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10ACA25E" w14:textId="77777777" w:rsidTr="00DE264A">
        <w:trPr>
          <w:trHeight w:val="852"/>
          <w:jc w:val="center"/>
        </w:trPr>
        <w:tc>
          <w:tcPr>
            <w:tcW w:w="6946" w:type="dxa"/>
            <w:vMerge w:val="restart"/>
            <w:tcBorders>
              <w:right w:val="single" w:sz="4" w:space="0" w:color="auto"/>
            </w:tcBorders>
          </w:tcPr>
          <w:p w14:paraId="4BF44C7A" w14:textId="77777777" w:rsidR="000A03B2" w:rsidRPr="00847C9D" w:rsidRDefault="000A03B2" w:rsidP="00DE264A">
            <w:pPr>
              <w:tabs>
                <w:tab w:val="left" w:pos="-108"/>
              </w:tabs>
              <w:ind w:left="-108"/>
              <w:jc w:val="left"/>
              <w:rPr>
                <w:rFonts w:cs="Arial"/>
                <w:b/>
                <w:bCs/>
                <w:i/>
                <w:iCs/>
                <w:color w:val="000066"/>
                <w:sz w:val="12"/>
                <w:szCs w:val="12"/>
                <w:lang w:val="en-US" w:eastAsia="it-IT"/>
              </w:rPr>
            </w:pPr>
            <w:r w:rsidRPr="00B57B36">
              <w:rPr>
                <w:rFonts w:ascii="AdvP6960" w:hAnsi="AdvP6960" w:cs="AdvP6960"/>
                <w:noProof/>
                <w:color w:val="241F20"/>
                <w:szCs w:val="18"/>
                <w:lang w:val="fr-FR" w:eastAsia="fr-FR"/>
              </w:rPr>
              <w:drawing>
                <wp:inline distT="0" distB="0" distL="0" distR="0" wp14:anchorId="2E51A48D" wp14:editId="0D2293D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47C9D">
              <w:rPr>
                <w:rFonts w:ascii="AdvP6960" w:hAnsi="AdvP6960" w:cs="AdvP6960"/>
                <w:color w:val="241F20"/>
                <w:szCs w:val="18"/>
                <w:lang w:val="en-US" w:eastAsia="it-IT"/>
              </w:rPr>
              <w:t xml:space="preserve"> </w:t>
            </w:r>
            <w:r w:rsidRPr="00847C9D">
              <w:rPr>
                <w:rFonts w:cs="Arial"/>
                <w:b/>
                <w:bCs/>
                <w:i/>
                <w:iCs/>
                <w:color w:val="000066"/>
                <w:sz w:val="24"/>
                <w:szCs w:val="24"/>
                <w:lang w:val="en-US" w:eastAsia="it-IT"/>
              </w:rPr>
              <w:t>CHEMICAL ENGINEERING</w:t>
            </w:r>
            <w:r w:rsidRPr="00847C9D">
              <w:rPr>
                <w:rFonts w:cs="Arial"/>
                <w:b/>
                <w:bCs/>
                <w:i/>
                <w:iCs/>
                <w:color w:val="0033FF"/>
                <w:sz w:val="24"/>
                <w:szCs w:val="24"/>
                <w:lang w:val="en-US" w:eastAsia="it-IT"/>
              </w:rPr>
              <w:t xml:space="preserve"> </w:t>
            </w:r>
            <w:r w:rsidRPr="00847C9D">
              <w:rPr>
                <w:rFonts w:cs="Arial"/>
                <w:b/>
                <w:bCs/>
                <w:i/>
                <w:iCs/>
                <w:color w:val="666666"/>
                <w:sz w:val="24"/>
                <w:szCs w:val="24"/>
                <w:lang w:val="en-US" w:eastAsia="it-IT"/>
              </w:rPr>
              <w:t>TRANSACTIONS</w:t>
            </w:r>
            <w:r w:rsidRPr="00847C9D">
              <w:rPr>
                <w:color w:val="333333"/>
                <w:sz w:val="24"/>
                <w:szCs w:val="24"/>
                <w:lang w:val="en-US" w:eastAsia="it-IT"/>
              </w:rPr>
              <w:t xml:space="preserve"> </w:t>
            </w:r>
            <w:r w:rsidRPr="00847C9D">
              <w:rPr>
                <w:rFonts w:cs="Arial"/>
                <w:b/>
                <w:bCs/>
                <w:i/>
                <w:iCs/>
                <w:color w:val="000066"/>
                <w:sz w:val="27"/>
                <w:szCs w:val="27"/>
                <w:lang w:val="en-US" w:eastAsia="it-IT"/>
              </w:rPr>
              <w:br/>
            </w:r>
          </w:p>
          <w:p w14:paraId="7626BB3C" w14:textId="77777777" w:rsidR="000A03B2" w:rsidRPr="00847C9D" w:rsidRDefault="00A76EFC" w:rsidP="001D21AF">
            <w:pPr>
              <w:tabs>
                <w:tab w:val="left" w:pos="-108"/>
              </w:tabs>
              <w:ind w:left="-108"/>
              <w:rPr>
                <w:rFonts w:cs="Arial"/>
                <w:b/>
                <w:bCs/>
                <w:i/>
                <w:iCs/>
                <w:color w:val="000066"/>
                <w:sz w:val="22"/>
                <w:szCs w:val="22"/>
                <w:lang w:val="en-US" w:eastAsia="it-IT"/>
              </w:rPr>
            </w:pPr>
            <w:r w:rsidRPr="00847C9D">
              <w:rPr>
                <w:rFonts w:cs="Arial"/>
                <w:b/>
                <w:bCs/>
                <w:i/>
                <w:iCs/>
                <w:color w:val="000066"/>
                <w:sz w:val="22"/>
                <w:szCs w:val="22"/>
                <w:lang w:val="en-US" w:eastAsia="it-IT"/>
              </w:rPr>
              <w:t xml:space="preserve">VOL. </w:t>
            </w:r>
            <w:r w:rsidR="00D46B7E" w:rsidRPr="00847C9D">
              <w:rPr>
                <w:rFonts w:cs="Arial"/>
                <w:b/>
                <w:bCs/>
                <w:i/>
                <w:iCs/>
                <w:color w:val="000066"/>
                <w:sz w:val="22"/>
                <w:szCs w:val="22"/>
                <w:lang w:val="en-US" w:eastAsia="it-IT"/>
              </w:rPr>
              <w:t>9</w:t>
            </w:r>
            <w:r w:rsidR="00323C5F" w:rsidRPr="00847C9D">
              <w:rPr>
                <w:rFonts w:cs="Arial"/>
                <w:b/>
                <w:bCs/>
                <w:i/>
                <w:iCs/>
                <w:color w:val="000066"/>
                <w:sz w:val="22"/>
                <w:szCs w:val="22"/>
                <w:lang w:val="en-US" w:eastAsia="it-IT"/>
              </w:rPr>
              <w:t>5</w:t>
            </w:r>
            <w:r w:rsidR="007B48F9" w:rsidRPr="00847C9D">
              <w:rPr>
                <w:rFonts w:cs="Arial"/>
                <w:b/>
                <w:bCs/>
                <w:i/>
                <w:iCs/>
                <w:color w:val="000066"/>
                <w:sz w:val="22"/>
                <w:szCs w:val="22"/>
                <w:lang w:val="en-US" w:eastAsia="it-IT"/>
              </w:rPr>
              <w:t>,</w:t>
            </w:r>
            <w:r w:rsidR="00FA5F5F" w:rsidRPr="00847C9D">
              <w:rPr>
                <w:rFonts w:cs="Arial"/>
                <w:b/>
                <w:bCs/>
                <w:i/>
                <w:iCs/>
                <w:color w:val="000066"/>
                <w:sz w:val="22"/>
                <w:szCs w:val="22"/>
                <w:lang w:val="en-US" w:eastAsia="it-IT"/>
              </w:rPr>
              <w:t xml:space="preserve"> 20</w:t>
            </w:r>
            <w:r w:rsidR="00DF5072" w:rsidRPr="00847C9D">
              <w:rPr>
                <w:rFonts w:cs="Arial"/>
                <w:b/>
                <w:bCs/>
                <w:i/>
                <w:iCs/>
                <w:color w:val="000066"/>
                <w:sz w:val="22"/>
                <w:szCs w:val="22"/>
                <w:lang w:val="en-US" w:eastAsia="it-IT"/>
              </w:rPr>
              <w:t>2</w:t>
            </w:r>
            <w:r w:rsidR="007B48F9" w:rsidRPr="00847C9D">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46E9E19C"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1580FE68" w14:textId="77777777" w:rsidR="000A03B2" w:rsidRPr="00B57B36" w:rsidRDefault="000A03B2" w:rsidP="00CD5FE2">
            <w:pPr>
              <w:jc w:val="right"/>
            </w:pPr>
            <w:r w:rsidRPr="00B57B36">
              <w:rPr>
                <w:noProof/>
                <w:lang w:val="fr-FR" w:eastAsia="fr-FR"/>
              </w:rPr>
              <w:drawing>
                <wp:inline distT="0" distB="0" distL="0" distR="0" wp14:anchorId="028F2236" wp14:editId="4820297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509B266" w14:textId="77777777" w:rsidTr="00DE264A">
        <w:trPr>
          <w:trHeight w:val="567"/>
          <w:jc w:val="center"/>
        </w:trPr>
        <w:tc>
          <w:tcPr>
            <w:tcW w:w="6946" w:type="dxa"/>
            <w:vMerge/>
            <w:tcBorders>
              <w:right w:val="single" w:sz="4" w:space="0" w:color="auto"/>
            </w:tcBorders>
          </w:tcPr>
          <w:p w14:paraId="49DDA7AC"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7763BD0"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6DE17B98"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E4F58AC"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08CA7DAE" w14:textId="77777777" w:rsidTr="00DE264A">
        <w:trPr>
          <w:trHeight w:val="68"/>
          <w:jc w:val="center"/>
        </w:trPr>
        <w:tc>
          <w:tcPr>
            <w:tcW w:w="8789" w:type="dxa"/>
            <w:gridSpan w:val="2"/>
          </w:tcPr>
          <w:p w14:paraId="200DCCE5" w14:textId="77777777"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4C7A3EDD" w14:textId="77777777"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5B442412" w14:textId="77777777" w:rsidR="00E978D0" w:rsidRPr="00767118" w:rsidRDefault="00310802" w:rsidP="00767118">
      <w:pPr>
        <w:pStyle w:val="CETTitle"/>
      </w:pPr>
      <w:r>
        <w:t xml:space="preserve"> </w:t>
      </w:r>
      <w:r w:rsidRPr="00767118">
        <w:t xml:space="preserve">Odour </w:t>
      </w:r>
      <w:r w:rsidR="00E3662A">
        <w:t>N</w:t>
      </w:r>
      <w:r w:rsidRPr="00767118">
        <w:t xml:space="preserve">uisance: </w:t>
      </w:r>
      <w:r w:rsidR="00E3662A">
        <w:t>A</w:t>
      </w:r>
      <w:r w:rsidRPr="00767118">
        <w:t xml:space="preserve"> </w:t>
      </w:r>
      <w:r w:rsidR="00E3662A">
        <w:t>N</w:t>
      </w:r>
      <w:r w:rsidRPr="00767118">
        <w:t xml:space="preserve">ew </w:t>
      </w:r>
      <w:r w:rsidR="00E3662A">
        <w:t>M</w:t>
      </w:r>
      <w:r w:rsidRPr="00767118">
        <w:t xml:space="preserve">ethodology to </w:t>
      </w:r>
      <w:r w:rsidR="00E3662A">
        <w:t>E</w:t>
      </w:r>
      <w:r w:rsidRPr="00767118">
        <w:t xml:space="preserve">valuate and </w:t>
      </w:r>
      <w:r w:rsidR="00E3662A">
        <w:t>A</w:t>
      </w:r>
      <w:r w:rsidRPr="00767118">
        <w:t>nticipate the</w:t>
      </w:r>
      <w:r w:rsidR="00767118">
        <w:t xml:space="preserve"> </w:t>
      </w:r>
      <w:r w:rsidR="00E3662A">
        <w:t>R</w:t>
      </w:r>
      <w:r w:rsidR="00767118">
        <w:t>isk</w:t>
      </w:r>
    </w:p>
    <w:p w14:paraId="6028B8A7" w14:textId="77777777" w:rsidR="00B57E6F" w:rsidRPr="00A57FA1" w:rsidRDefault="00767118" w:rsidP="00B57E6F">
      <w:pPr>
        <w:pStyle w:val="CETAuthors"/>
        <w:rPr>
          <w:lang w:val="fr-FR"/>
        </w:rPr>
      </w:pPr>
      <w:r w:rsidRPr="00A57FA1">
        <w:rPr>
          <w:lang w:val="fr-FR"/>
        </w:rPr>
        <w:t>Billy Pottier</w:t>
      </w:r>
      <w:r w:rsidR="00A57FA1" w:rsidRPr="00A57FA1">
        <w:rPr>
          <w:vertAlign w:val="superscript"/>
          <w:lang w:val="fr-FR"/>
        </w:rPr>
        <w:t>a</w:t>
      </w:r>
      <w:r w:rsidRPr="00A57FA1">
        <w:rPr>
          <w:lang w:val="fr-FR"/>
        </w:rPr>
        <w:t>, Veronica Artigue</w:t>
      </w:r>
      <w:r w:rsidR="00A57FA1" w:rsidRPr="00A57FA1">
        <w:rPr>
          <w:vertAlign w:val="superscript"/>
          <w:lang w:val="fr-FR"/>
        </w:rPr>
        <w:t>a</w:t>
      </w:r>
      <w:r w:rsidRPr="00A57FA1">
        <w:rPr>
          <w:lang w:val="fr-FR"/>
        </w:rPr>
        <w:t>, Jérôme Tixier</w:t>
      </w:r>
      <w:r w:rsidR="00A57FA1" w:rsidRPr="00A57FA1">
        <w:rPr>
          <w:vertAlign w:val="superscript"/>
          <w:lang w:val="fr-FR"/>
        </w:rPr>
        <w:t>a</w:t>
      </w:r>
      <w:r w:rsidRPr="00A57FA1">
        <w:rPr>
          <w:lang w:val="fr-FR"/>
        </w:rPr>
        <w:t>, Sylvain Olivier</w:t>
      </w:r>
      <w:r w:rsidR="00A57FA1" w:rsidRPr="00A57FA1">
        <w:rPr>
          <w:vertAlign w:val="superscript"/>
          <w:lang w:val="fr-FR"/>
        </w:rPr>
        <w:t>b</w:t>
      </w:r>
      <w:r w:rsidRPr="00A57FA1">
        <w:rPr>
          <w:lang w:val="fr-FR"/>
        </w:rPr>
        <w:t>, Mathilde Chaignaud</w:t>
      </w:r>
      <w:r w:rsidR="00A57FA1" w:rsidRPr="00A57FA1">
        <w:rPr>
          <w:vertAlign w:val="superscript"/>
          <w:lang w:val="fr-FR"/>
        </w:rPr>
        <w:t>c</w:t>
      </w:r>
      <w:r w:rsidRPr="00A57FA1">
        <w:rPr>
          <w:lang w:val="fr-FR"/>
        </w:rPr>
        <w:t>, Jean-Louis Fanlo</w:t>
      </w:r>
      <w:r w:rsidR="00A57FA1" w:rsidRPr="00A57FA1">
        <w:rPr>
          <w:vertAlign w:val="superscript"/>
          <w:lang w:val="fr-FR"/>
        </w:rPr>
        <w:t>c</w:t>
      </w:r>
    </w:p>
    <w:p w14:paraId="1540D103" w14:textId="77777777" w:rsidR="00B57E6F" w:rsidRPr="00B57B36" w:rsidRDefault="00B57E6F" w:rsidP="00B57E6F">
      <w:pPr>
        <w:pStyle w:val="CETAddress"/>
      </w:pPr>
      <w:r w:rsidRPr="00B57B36">
        <w:rPr>
          <w:vertAlign w:val="superscript"/>
        </w:rPr>
        <w:t>a</w:t>
      </w:r>
      <w:r w:rsidR="00767118">
        <w:t>Laboratory for the Science of Risks (LSR), IMT Mines Ales, Ales, France.</w:t>
      </w:r>
      <w:r w:rsidRPr="00B57B36">
        <w:t xml:space="preserve"> </w:t>
      </w:r>
    </w:p>
    <w:p w14:paraId="729F1A9B" w14:textId="77777777" w:rsidR="00B57E6F" w:rsidRPr="001D0EDF" w:rsidRDefault="00B57E6F" w:rsidP="00B57E6F">
      <w:pPr>
        <w:pStyle w:val="CETAddress"/>
        <w:rPr>
          <w:lang w:val="fr-FR"/>
        </w:rPr>
      </w:pPr>
      <w:r w:rsidRPr="001D0EDF">
        <w:rPr>
          <w:vertAlign w:val="superscript"/>
          <w:lang w:val="fr-FR"/>
        </w:rPr>
        <w:t>b</w:t>
      </w:r>
      <w:r w:rsidR="00767118" w:rsidRPr="001D0EDF">
        <w:rPr>
          <w:lang w:val="fr-FR"/>
        </w:rPr>
        <w:t>CHROME, Université de Nîmes, Rue du Docteur Georges Salan, Nîmes, France.</w:t>
      </w:r>
      <w:r w:rsidRPr="001D0EDF">
        <w:rPr>
          <w:lang w:val="fr-FR"/>
        </w:rPr>
        <w:t xml:space="preserve"> </w:t>
      </w:r>
    </w:p>
    <w:p w14:paraId="5CCCA731" w14:textId="77777777" w:rsidR="00767118" w:rsidRPr="00A57FA1" w:rsidRDefault="00767118" w:rsidP="00B57E6F">
      <w:pPr>
        <w:pStyle w:val="CETAddress"/>
        <w:rPr>
          <w:lang w:val="fr-FR"/>
        </w:rPr>
      </w:pPr>
      <w:r w:rsidRPr="00A57FA1">
        <w:rPr>
          <w:vertAlign w:val="superscript"/>
          <w:lang w:val="fr-FR"/>
        </w:rPr>
        <w:t>c</w:t>
      </w:r>
      <w:r w:rsidRPr="00A57FA1">
        <w:rPr>
          <w:lang w:val="fr-FR"/>
        </w:rPr>
        <w:t>Olentica, 14 boulevard Charles Péguy</w:t>
      </w:r>
      <w:r w:rsidR="00A57FA1" w:rsidRPr="00A57FA1">
        <w:rPr>
          <w:lang w:val="fr-FR"/>
        </w:rPr>
        <w:t>, Ales, France</w:t>
      </w:r>
    </w:p>
    <w:p w14:paraId="3236D872" w14:textId="77777777" w:rsidR="00B57E6F" w:rsidRPr="00D60E5F" w:rsidRDefault="00A57FA1" w:rsidP="00B57E6F">
      <w:pPr>
        <w:pStyle w:val="CETemail"/>
      </w:pPr>
      <w:r w:rsidRPr="00D60E5F">
        <w:t>billy.pottier@mines-ales.fr</w:t>
      </w:r>
    </w:p>
    <w:p w14:paraId="7D1A587D" w14:textId="77777777" w:rsidR="00D60E5F" w:rsidRPr="00D60E5F" w:rsidRDefault="00D60E5F" w:rsidP="00D60E5F">
      <w:pPr>
        <w:pStyle w:val="CETBodytext"/>
      </w:pPr>
      <w:proofErr w:type="spellStart"/>
      <w:r w:rsidRPr="00D60E5F">
        <w:t>Odour</w:t>
      </w:r>
      <w:proofErr w:type="spellEnd"/>
      <w:r w:rsidRPr="00D60E5F">
        <w:t xml:space="preserve"> annoyance is the second most common source of complaints after noise in France. </w:t>
      </w:r>
      <w:r w:rsidR="00102CB4">
        <w:t>This leads to</w:t>
      </w:r>
      <w:r w:rsidRPr="00D60E5F">
        <w:t xml:space="preserve"> a direct impact on the quality of life of residents and an indirect impact on economic activities. This is why</w:t>
      </w:r>
      <w:r>
        <w:t xml:space="preserve"> </w:t>
      </w:r>
      <w:r w:rsidRPr="00D60E5F">
        <w:t>regulations require each emitting activity to take into account the annoyances it could generate (</w:t>
      </w:r>
      <w:proofErr w:type="spellStart"/>
      <w:r w:rsidRPr="00D60E5F">
        <w:t>Grenelle</w:t>
      </w:r>
      <w:proofErr w:type="spellEnd"/>
      <w:r w:rsidRPr="00D60E5F">
        <w:t xml:space="preserve"> II of the environment). It is clear that the forecasting of these impacts represents a strategic issue. </w:t>
      </w:r>
    </w:p>
    <w:p w14:paraId="76C1B3C2" w14:textId="77777777" w:rsidR="00D60E5F" w:rsidRPr="00D60E5F" w:rsidRDefault="00D60E5F" w:rsidP="00D60E5F">
      <w:pPr>
        <w:pStyle w:val="CETBodytext"/>
      </w:pPr>
      <w:r w:rsidRPr="00D60E5F">
        <w:t xml:space="preserve">In this context, this article presents a new methodology to evaluate and predict the risk of </w:t>
      </w:r>
      <w:proofErr w:type="spellStart"/>
      <w:r w:rsidRPr="00D60E5F">
        <w:t>odour</w:t>
      </w:r>
      <w:proofErr w:type="spellEnd"/>
      <w:r w:rsidRPr="00D60E5F">
        <w:t xml:space="preserve"> nuisance on a territory </w:t>
      </w:r>
      <w:r w:rsidR="00EC759A">
        <w:t>but also</w:t>
      </w:r>
      <w:r w:rsidRPr="00D60E5F">
        <w:t xml:space="preserve"> the potential economic</w:t>
      </w:r>
      <w:r w:rsidR="00EC759A">
        <w:t xml:space="preserve"> or social</w:t>
      </w:r>
      <w:r w:rsidRPr="00D60E5F">
        <w:t xml:space="preserve"> damage associated. The objective is to provide a planning tool to decision-makers, based on maps of the </w:t>
      </w:r>
      <w:proofErr w:type="spellStart"/>
      <w:r w:rsidRPr="00D60E5F">
        <w:t>odour</w:t>
      </w:r>
      <w:proofErr w:type="spellEnd"/>
      <w:r w:rsidRPr="00D60E5F">
        <w:t xml:space="preserve"> impact and the associated risk of nuisance of an existing or future site. </w:t>
      </w:r>
    </w:p>
    <w:p w14:paraId="001A1F87" w14:textId="77777777" w:rsidR="00D60E5F" w:rsidRPr="00D60E5F" w:rsidRDefault="00D60E5F" w:rsidP="00CC3C48">
      <w:pPr>
        <w:pStyle w:val="CETBodytext"/>
      </w:pPr>
      <w:r w:rsidRPr="00D60E5F">
        <w:t>This work follows those co</w:t>
      </w:r>
      <w:r w:rsidR="00506421">
        <w:t>nducted on the same theme by Popa (2013)</w:t>
      </w:r>
      <w:r w:rsidRPr="00D60E5F">
        <w:t xml:space="preserve">. The approach is based on the concept of risk to assess both the potential annoyance of a site and the vulnerability of populations or activities. The annoyance potential is calculated on the basis of the intensity and acceptability of the </w:t>
      </w:r>
      <w:proofErr w:type="spellStart"/>
      <w:r w:rsidRPr="00D60E5F">
        <w:t>odour</w:t>
      </w:r>
      <w:proofErr w:type="spellEnd"/>
      <w:r w:rsidRPr="00D60E5F">
        <w:t xml:space="preserve">, two messages returned by our olfactory sense. These two parameters are intrinsically linked to the </w:t>
      </w:r>
      <w:proofErr w:type="spellStart"/>
      <w:r w:rsidRPr="00D60E5F">
        <w:t>odour</w:t>
      </w:r>
      <w:proofErr w:type="spellEnd"/>
      <w:r w:rsidRPr="00D60E5F">
        <w:t xml:space="preserve"> concentration. They are therefore calculated in each cell of the studied territory (200x200m) </w:t>
      </w:r>
      <w:r w:rsidR="00730376" w:rsidRPr="00730376">
        <w:t xml:space="preserve">according to the </w:t>
      </w:r>
      <w:proofErr w:type="spellStart"/>
      <w:r w:rsidR="00730376" w:rsidRPr="00730376">
        <w:t>odour</w:t>
      </w:r>
      <w:proofErr w:type="spellEnd"/>
      <w:r w:rsidR="00730376" w:rsidRPr="00730376">
        <w:t xml:space="preserve"> concentrations obtained using a Gaussian dispersion software</w:t>
      </w:r>
      <w:r w:rsidR="00730376">
        <w:t>.</w:t>
      </w:r>
      <w:r w:rsidRPr="00D60E5F">
        <w:t xml:space="preserve"> The risk of </w:t>
      </w:r>
      <w:proofErr w:type="spellStart"/>
      <w:r w:rsidRPr="00D60E5F">
        <w:t>odour</w:t>
      </w:r>
      <w:proofErr w:type="spellEnd"/>
      <w:r w:rsidRPr="00D60E5F">
        <w:t xml:space="preserve"> nuisance is evaluated by combining the potential of annoyance thus calculated and the human vulnerability to </w:t>
      </w:r>
      <w:proofErr w:type="spellStart"/>
      <w:r w:rsidRPr="00D60E5F">
        <w:t>odour</w:t>
      </w:r>
      <w:proofErr w:type="spellEnd"/>
      <w:r w:rsidRPr="00D60E5F">
        <w:t>, defined by the number of inhabitants in the cell. The risk of economic damage is obtained in a similar way, by combining the annoyance potential with the vulnerability of the activities present in each cell. The levels of annoyance potential and associated risks are defined using criticality matrices (</w:t>
      </w:r>
      <w:proofErr w:type="spellStart"/>
      <w:r w:rsidRPr="00D60E5F">
        <w:t>Merad</w:t>
      </w:r>
      <w:proofErr w:type="spellEnd"/>
      <w:r w:rsidRPr="00D60E5F">
        <w:t xml:space="preserve">, </w:t>
      </w:r>
      <w:r w:rsidR="00CC3C48">
        <w:t>2004).</w:t>
      </w:r>
      <w:r w:rsidR="00CC3C48" w:rsidRPr="00CC3C48">
        <w:t xml:space="preserve"> The results </w:t>
      </w:r>
      <w:r w:rsidR="00EC759A">
        <w:t>have to be</w:t>
      </w:r>
      <w:r w:rsidR="00CC3C48" w:rsidRPr="00CC3C48">
        <w:t xml:space="preserve"> compared with the reports of a panel of residents around the site studied to assess the quality of the model.</w:t>
      </w:r>
    </w:p>
    <w:p w14:paraId="05382FE0" w14:textId="77777777" w:rsidR="00600535" w:rsidRDefault="00600535" w:rsidP="00D60E5F">
      <w:pPr>
        <w:pStyle w:val="CETHeading1"/>
        <w:rPr>
          <w:lang w:val="en-GB"/>
        </w:rPr>
      </w:pPr>
      <w:r w:rsidRPr="00B57B36">
        <w:rPr>
          <w:lang w:val="en-GB"/>
        </w:rPr>
        <w:t>Introduction</w:t>
      </w:r>
    </w:p>
    <w:p w14:paraId="57914FD5" w14:textId="77777777" w:rsidR="00521204" w:rsidRPr="00922640" w:rsidRDefault="005234D1" w:rsidP="00586080">
      <w:pPr>
        <w:pStyle w:val="CETBodytext"/>
        <w:rPr>
          <w:lang w:val="en-GB"/>
        </w:rPr>
      </w:pPr>
      <w:r w:rsidRPr="005234D1">
        <w:rPr>
          <w:lang w:val="en-GB"/>
        </w:rPr>
        <w:t>Since the middle of the 18th century, tolerance to odo</w:t>
      </w:r>
      <w:r>
        <w:rPr>
          <w:lang w:val="en-GB"/>
        </w:rPr>
        <w:t>u</w:t>
      </w:r>
      <w:r w:rsidRPr="005234D1">
        <w:rPr>
          <w:lang w:val="en-GB"/>
        </w:rPr>
        <w:t xml:space="preserve">r problems has decreased significantly. The industrialization of societies has multiplied environmental degradation and increased the apprehension of a health risk </w:t>
      </w:r>
      <w:r w:rsidR="00F83DDD">
        <w:rPr>
          <w:lang w:val="fr-FR"/>
        </w:rPr>
        <w:fldChar w:fldCharType="begin" w:fldLock="1"/>
      </w:r>
      <w:r w:rsidR="00173DE8" w:rsidRPr="005234D1">
        <w:rPr>
          <w:lang w:val="en-GB"/>
        </w:rPr>
        <w:instrText>ADDIN CSL_CITATION {"citationItems":[{"id":"ITEM-1","itemData":{"author":[{"dropping-particle":"","family":"Pierrette","given":"Marjorie","non-dropping-particle":"","parse-names":false,"suffix":""}],"container-title":"www.theses.fr","id":"ITEM-1","issued":{"date-parts":[["2009"]]},"title":"L’environnement olfactif : de la perception à la gêne. Le cas d’un site industriel.","type":"article-journal","volume":"1"},"uris":["http://www.mendeley.com/documents/?uuid=0eca9325-ebcc-4b35-aad8-fe1f4768eae3"]}],"mendeley":{"formattedCitation":"(Pierrette, 2009)","plainTextFormattedCitation":"(Pierrette, 2009)","previouslyFormattedCitation":"(Pierrette, 2009)"},"properties":{"noteIndex":0},"schema":"https://github.com/citation-style-language/schema/raw/master/csl-citation.json"}</w:instrText>
      </w:r>
      <w:r w:rsidR="00F83DDD">
        <w:rPr>
          <w:lang w:val="fr-FR"/>
        </w:rPr>
        <w:fldChar w:fldCharType="separate"/>
      </w:r>
      <w:r w:rsidR="00F83DDD" w:rsidRPr="005234D1">
        <w:rPr>
          <w:noProof/>
          <w:lang w:val="en-GB"/>
        </w:rPr>
        <w:t>(Pierrette, 2009)</w:t>
      </w:r>
      <w:r w:rsidR="00F83DDD">
        <w:rPr>
          <w:lang w:val="fr-FR"/>
        </w:rPr>
        <w:fldChar w:fldCharType="end"/>
      </w:r>
      <w:r w:rsidR="001D0EDF" w:rsidRPr="005234D1">
        <w:rPr>
          <w:lang w:val="en-GB"/>
        </w:rPr>
        <w:t>.</w:t>
      </w:r>
      <w:r w:rsidR="00F83DDD" w:rsidRPr="005234D1">
        <w:rPr>
          <w:lang w:val="en-GB"/>
        </w:rPr>
        <w:t xml:space="preserve"> </w:t>
      </w:r>
      <w:r w:rsidRPr="005234D1">
        <w:rPr>
          <w:lang w:val="en-GB"/>
        </w:rPr>
        <w:t>A certain awareness of environmental issues is developing worldwide, making populations increasingly attentive to the quality of their environment</w:t>
      </w:r>
      <w:r w:rsidR="004C54E6">
        <w:rPr>
          <w:lang w:val="en-GB"/>
        </w:rPr>
        <w:t>,</w:t>
      </w:r>
      <w:r w:rsidR="004C54E6" w:rsidRPr="004C54E6">
        <w:t xml:space="preserve"> </w:t>
      </w:r>
      <w:r w:rsidR="004C54E6" w:rsidRPr="004C54E6">
        <w:rPr>
          <w:lang w:val="en-GB"/>
        </w:rPr>
        <w:t>associating sometimes odours to dangerous atmospheric pollutants</w:t>
      </w:r>
      <w:r>
        <w:rPr>
          <w:lang w:val="en-GB"/>
        </w:rPr>
        <w:t xml:space="preserve"> </w:t>
      </w:r>
      <w:r w:rsidR="00F83DDD">
        <w:rPr>
          <w:lang w:val="fr-FR"/>
        </w:rPr>
        <w:fldChar w:fldCharType="begin" w:fldLock="1"/>
      </w:r>
      <w:r w:rsidR="00A97196">
        <w:rPr>
          <w:lang w:val="en-GB"/>
        </w:rPr>
        <w:instrText>ADDIN CSL_CITATION {"citationItems":[{"id":"ITEM-1","itemData":{"DOI":"10.1016/J.ENVINT.2019.105261","ISSN":"18736750","PMID":"31704563","abstract":"Odors have received increasing attention among atmospheric pollutants. Indeed, odor emissions are a common source of complaints, affecting the quality of life of humans and animals. The odor is a property of a mixture of different volatile chemical species (sulfur, nitrogen, and volatile organic compounds) capable of stimulating the olfaction sense sufficiently to trigger a sensation of odor. The impact of odors on the surrounding areas depends on different factors, such as the amount of odors emitted from the site, the distance from the site, weather conditions, topography, other than odors sensitivity and tolerance of the neighborhood. Due to the complexity of the odor issue, the aim of this review was to give an overview of: (i) techniques (sensorial and analytical) that can be used to determine a quantitative and qualitative characterization; (ii) air dispersion models applied for the evaluation of the spatial and temporal distribution of atmospheric pollutants in terms of concentration in air and/or deposition in the studied domain; (iii) major sources of odor nuisance (waste and livestock); (iv) mitigation actions against odor impact. Among sensorial techniques dynamic olfactometry, field inspection, and recording from residents were considered; whereas, for analytical methodologies: gas chromatography-mass spectrometry, identification of specific compounds, and electronic nose. Both kinds of techniques evaluate the odor concentration. Instead, to account for the effective impact of odors on the population, air dispersion models are used. They can provide estimates of odor levels in both current and future emission scenarios. Moreover, they can be useful to estimate the efficiency of mitigation strategies. Most of the odor control strategies involve measures oriented to prevent, control dispersion, minimize the nuisance or remove the odorants from emissions, such as adequate process design, buffer zones, odor covers, and treatment technologies.","author":[{"dropping-particle":"","family":"Conti","given":"Cecilia","non-dropping-particle":"","parse-names":false,"suffix":""},{"dropping-particle":"","family":"Guarino","given":"Marcella","non-dropping-particle":"","parse-names":false,"suffix":""},{"dropping-particle":"","family":"Bacenetti","given":"Jacopo","non-dropping-particle":"","parse-names":false,"suffix":""}],"container-title":"Environment International","id":"ITEM-1","issued":{"date-parts":[["2020","1","1"]]},"publisher":"Elsevier Ltd","title":"Measurements techniques and models to assess odor annoyance: A review","type":"article-journal","volume":"134"},"uris":["http://www.mendeley.com/documents/?uuid=0abb1181-1b30-3ae2-befd-964e1e19090f"]}],"mendeley":{"formattedCitation":"(Conti et al., 2020)","plainTextFormattedCitation":"(Conti et al., 2020)","previouslyFormattedCitation":"(Conti et al., 2020)"},"properties":{"noteIndex":0},"schema":"https://github.com/citation-style-language/schema/raw/master/csl-citation.json"}</w:instrText>
      </w:r>
      <w:r w:rsidR="00F83DDD">
        <w:rPr>
          <w:lang w:val="fr-FR"/>
        </w:rPr>
        <w:fldChar w:fldCharType="separate"/>
      </w:r>
      <w:r w:rsidR="00A97196" w:rsidRPr="00A97196">
        <w:rPr>
          <w:noProof/>
          <w:lang w:val="en-GB"/>
        </w:rPr>
        <w:t>(Conti et al., 2020)</w:t>
      </w:r>
      <w:r w:rsidR="00F83DDD">
        <w:rPr>
          <w:lang w:val="fr-FR"/>
        </w:rPr>
        <w:fldChar w:fldCharType="end"/>
      </w:r>
      <w:r w:rsidR="00F83DDD" w:rsidRPr="005234D1">
        <w:rPr>
          <w:lang w:val="en-GB"/>
        </w:rPr>
        <w:t xml:space="preserve">. </w:t>
      </w:r>
      <w:r w:rsidR="004C54E6">
        <w:rPr>
          <w:lang w:val="en-GB"/>
        </w:rPr>
        <w:t xml:space="preserve">Even </w:t>
      </w:r>
      <w:r w:rsidRPr="005234D1">
        <w:rPr>
          <w:lang w:val="en-GB"/>
        </w:rPr>
        <w:t>if there is no notion of toxicity behind these unpleasant odo</w:t>
      </w:r>
      <w:r>
        <w:rPr>
          <w:lang w:val="en-GB"/>
        </w:rPr>
        <w:t>u</w:t>
      </w:r>
      <w:r w:rsidRPr="005234D1">
        <w:rPr>
          <w:lang w:val="en-GB"/>
        </w:rPr>
        <w:t xml:space="preserve">rs, they have an impact on the image of the emitting activity, on the quality of life of the residents and, to a larger extent, on the functioning of the territory. </w:t>
      </w:r>
      <w:r w:rsidR="00D8261E">
        <w:rPr>
          <w:lang w:val="en-GB"/>
        </w:rPr>
        <w:t>Odour generated</w:t>
      </w:r>
      <w:r w:rsidR="00017C93">
        <w:rPr>
          <w:lang w:val="en-GB"/>
        </w:rPr>
        <w:t xml:space="preserve"> </w:t>
      </w:r>
      <w:r w:rsidR="00D8261E">
        <w:rPr>
          <w:lang w:val="en-GB"/>
        </w:rPr>
        <w:t xml:space="preserve">by </w:t>
      </w:r>
      <w:r w:rsidR="00CE3D73" w:rsidRPr="00CE3D73">
        <w:rPr>
          <w:lang w:val="en-GB"/>
        </w:rPr>
        <w:t xml:space="preserve">wastewater treatment plants, composting plants, intensive livestock farming, chemical industry, </w:t>
      </w:r>
      <w:r w:rsidR="00CE3D73">
        <w:rPr>
          <w:lang w:val="en-GB"/>
        </w:rPr>
        <w:t xml:space="preserve">etc. </w:t>
      </w:r>
      <w:r w:rsidRPr="005234D1">
        <w:rPr>
          <w:lang w:val="en-GB"/>
        </w:rPr>
        <w:t>can lead</w:t>
      </w:r>
      <w:r w:rsidR="00D8261E">
        <w:rPr>
          <w:lang w:val="en-GB"/>
        </w:rPr>
        <w:t xml:space="preserve"> the local residents</w:t>
      </w:r>
      <w:r>
        <w:rPr>
          <w:lang w:val="en-GB"/>
        </w:rPr>
        <w:t xml:space="preserve"> to nuisance and complaint action</w:t>
      </w:r>
      <w:r w:rsidR="008E0BD9" w:rsidRPr="00922640">
        <w:rPr>
          <w:lang w:val="en-GB"/>
        </w:rPr>
        <w:t xml:space="preserve">. </w:t>
      </w:r>
    </w:p>
    <w:p w14:paraId="7CB09413" w14:textId="77777777" w:rsidR="00586080" w:rsidRPr="008E4742" w:rsidRDefault="008E4742" w:rsidP="008E4742">
      <w:pPr>
        <w:pStyle w:val="CETBodytext"/>
        <w:rPr>
          <w:lang w:val="en-GB"/>
        </w:rPr>
      </w:pPr>
      <w:r w:rsidRPr="008E4742">
        <w:rPr>
          <w:lang w:val="en-GB"/>
        </w:rPr>
        <w:t xml:space="preserve">In this context, several methods </w:t>
      </w:r>
      <w:r w:rsidR="00BE22F0" w:rsidRPr="008E4742">
        <w:rPr>
          <w:lang w:val="en-GB"/>
        </w:rPr>
        <w:t xml:space="preserve">have been developed </w:t>
      </w:r>
      <w:r w:rsidRPr="008E4742">
        <w:rPr>
          <w:lang w:val="en-GB"/>
        </w:rPr>
        <w:t>to evaluate odour</w:t>
      </w:r>
      <w:r w:rsidR="003D4DF2">
        <w:rPr>
          <w:lang w:val="en-GB"/>
        </w:rPr>
        <w:t xml:space="preserve"> nuisance</w:t>
      </w:r>
      <w:r w:rsidRPr="008E4742">
        <w:rPr>
          <w:lang w:val="en-GB"/>
        </w:rPr>
        <w:t xml:space="preserve">. Most of them are </w:t>
      </w:r>
      <w:r w:rsidRPr="00BC2BF0">
        <w:rPr>
          <w:i/>
          <w:lang w:val="en-GB"/>
        </w:rPr>
        <w:t xml:space="preserve">a </w:t>
      </w:r>
      <w:proofErr w:type="gramStart"/>
      <w:r w:rsidRPr="00BC2BF0">
        <w:rPr>
          <w:i/>
          <w:lang w:val="en-GB"/>
        </w:rPr>
        <w:t>posteriori</w:t>
      </w:r>
      <w:r w:rsidRPr="008E4742">
        <w:rPr>
          <w:lang w:val="en-GB"/>
        </w:rPr>
        <w:t xml:space="preserve"> </w:t>
      </w:r>
      <w:r w:rsidR="00102CB4">
        <w:rPr>
          <w:lang w:val="en-GB"/>
        </w:rPr>
        <w:t>assessment</w:t>
      </w:r>
      <w:r w:rsidR="00102CB4" w:rsidRPr="008E4742">
        <w:rPr>
          <w:lang w:val="en-GB"/>
        </w:rPr>
        <w:t xml:space="preserve"> </w:t>
      </w:r>
      <w:r w:rsidRPr="008E4742">
        <w:rPr>
          <w:lang w:val="en-GB"/>
        </w:rPr>
        <w:t>methods</w:t>
      </w:r>
      <w:proofErr w:type="gramEnd"/>
      <w:r w:rsidRPr="008E4742">
        <w:rPr>
          <w:lang w:val="en-GB"/>
        </w:rPr>
        <w:t xml:space="preserve">, </w:t>
      </w:r>
      <w:r>
        <w:rPr>
          <w:lang w:val="en-GB"/>
        </w:rPr>
        <w:t xml:space="preserve">used </w:t>
      </w:r>
      <w:r w:rsidRPr="008E4742">
        <w:rPr>
          <w:lang w:val="en-GB"/>
        </w:rPr>
        <w:t xml:space="preserve">to </w:t>
      </w:r>
      <w:r w:rsidR="00102CB4">
        <w:rPr>
          <w:lang w:val="en-GB"/>
        </w:rPr>
        <w:t>characterize</w:t>
      </w:r>
      <w:r w:rsidR="00102CB4" w:rsidRPr="008E4742">
        <w:rPr>
          <w:lang w:val="en-GB"/>
        </w:rPr>
        <w:t xml:space="preserve"> </w:t>
      </w:r>
      <w:r w:rsidRPr="008E4742">
        <w:rPr>
          <w:lang w:val="en-GB"/>
        </w:rPr>
        <w:t xml:space="preserve">an established situation. </w:t>
      </w:r>
      <w:r w:rsidR="00506421" w:rsidRPr="008E4742">
        <w:rPr>
          <w:lang w:val="en-GB"/>
        </w:rPr>
        <w:t>The following article focuses on the presentation of a new model able to anticipate odour</w:t>
      </w:r>
      <w:r w:rsidR="00506421">
        <w:rPr>
          <w:lang w:val="en-GB"/>
        </w:rPr>
        <w:t xml:space="preserve"> nuisance</w:t>
      </w:r>
      <w:r w:rsidR="00506421" w:rsidRPr="008E4742">
        <w:rPr>
          <w:lang w:val="en-GB"/>
        </w:rPr>
        <w:t xml:space="preserve">. This model is tested around </w:t>
      </w:r>
      <w:r w:rsidR="00506421">
        <w:rPr>
          <w:lang w:val="en-GB"/>
        </w:rPr>
        <w:t>an industrial plant</w:t>
      </w:r>
      <w:r w:rsidR="00506421" w:rsidRPr="008E4742">
        <w:rPr>
          <w:lang w:val="en-GB"/>
        </w:rPr>
        <w:t xml:space="preserve"> and provides </w:t>
      </w:r>
      <w:r w:rsidR="00506421">
        <w:rPr>
          <w:lang w:val="en-GB"/>
        </w:rPr>
        <w:t>results</w:t>
      </w:r>
      <w:r w:rsidR="00506421" w:rsidRPr="008E4742">
        <w:rPr>
          <w:lang w:val="en-GB"/>
        </w:rPr>
        <w:t xml:space="preserve"> that </w:t>
      </w:r>
      <w:r w:rsidR="00506421">
        <w:rPr>
          <w:lang w:val="en-GB"/>
        </w:rPr>
        <w:t>must be validated on the field.</w:t>
      </w:r>
    </w:p>
    <w:p w14:paraId="1D2D93F7" w14:textId="77777777" w:rsidR="004F2A19" w:rsidRPr="004F2A19" w:rsidRDefault="004F2A19" w:rsidP="00276D7D">
      <w:pPr>
        <w:pStyle w:val="CETHeading1"/>
        <w:rPr>
          <w:rFonts w:eastAsia="Calibri"/>
        </w:rPr>
      </w:pPr>
      <w:r w:rsidRPr="004F2A19">
        <w:rPr>
          <w:rFonts w:eastAsia="Calibri"/>
        </w:rPr>
        <w:lastRenderedPageBreak/>
        <w:t>Method development</w:t>
      </w:r>
    </w:p>
    <w:p w14:paraId="78923654" w14:textId="77777777" w:rsidR="004F2A19" w:rsidRDefault="004F2A19" w:rsidP="00276D7D">
      <w:pPr>
        <w:pStyle w:val="CETheadingx"/>
        <w:rPr>
          <w:rFonts w:eastAsia="Calibri"/>
        </w:rPr>
      </w:pPr>
      <w:r w:rsidRPr="004F2A19">
        <w:rPr>
          <w:rFonts w:eastAsia="Calibri"/>
        </w:rPr>
        <w:t xml:space="preserve">The </w:t>
      </w:r>
      <w:proofErr w:type="spellStart"/>
      <w:r w:rsidRPr="004F2A19">
        <w:rPr>
          <w:rFonts w:eastAsia="Calibri"/>
        </w:rPr>
        <w:t>odour</w:t>
      </w:r>
      <w:proofErr w:type="spellEnd"/>
      <w:r w:rsidRPr="004F2A19">
        <w:rPr>
          <w:rFonts w:eastAsia="Calibri"/>
        </w:rPr>
        <w:t xml:space="preserve"> nuisance considered as a risk</w:t>
      </w:r>
    </w:p>
    <w:p w14:paraId="1C3B3F49" w14:textId="77777777" w:rsidR="003020E0" w:rsidRDefault="00C03EF7" w:rsidP="003020E0">
      <w:pPr>
        <w:pStyle w:val="CETBodytext"/>
        <w:rPr>
          <w:rFonts w:eastAsia="Calibri"/>
          <w:lang w:val="fr-FR"/>
        </w:rPr>
      </w:pPr>
      <w:r w:rsidRPr="00C03EF7">
        <w:t>The basic concept in risk assessment is that the overall risk depends on the events probability (hazard) as well as the probable consequences (stakes) if this event occurs</w:t>
      </w:r>
      <w:r w:rsidR="003020E0" w:rsidRPr="00C03EF7">
        <w:rPr>
          <w:rFonts w:eastAsia="Calibri"/>
          <w:lang w:val="en-GB"/>
        </w:rPr>
        <w:t xml:space="preserve"> </w:t>
      </w:r>
      <w:r w:rsidR="003020E0">
        <w:rPr>
          <w:rStyle w:val="Appelnotedebasdep"/>
          <w:rFonts w:eastAsia="Calibri"/>
          <w:lang w:val="fr-FR"/>
        </w:rPr>
        <w:fldChar w:fldCharType="begin" w:fldLock="1"/>
      </w:r>
      <w:r w:rsidR="00A97196">
        <w:rPr>
          <w:rFonts w:eastAsia="Calibri"/>
          <w:lang w:val="en-GB"/>
        </w:rPr>
        <w:instrText>ADDIN CSL_CITATION {"citationItems":[{"id":"ITEM-1","itemData":{"DOI":"10.1016/j.jhazmat.2005.07.020","ISSN":"03043894","abstract":"This work has been carried out in the framework of the ARAMIS project, which aims at developing a comprehensive procedure for assessing the risk level associated to an industrial site with respect to the surrounding environment. To this end, an index is defined which consists of the contribution of three terms, expressing the severity of the scenario consequences, the efficiency of the safety management and the vulnerability of the surrounding environment. The present work focuses on this last aspect concerning the determination of the vulnerability, of the area in the vicinity of an industrial site, of human, environmental (or natural) and material stakes. The applied methodology consists in identifying and quantifying the targets by the means of a geographical information system (GIS) and in assessing the contribution of each target on the basis of a multicriteria decision approach (Saaty method). The result is an operational tool allowing competent authorities, industrialists and risk experts to assess the vulnerability of the area surrounding an industrial site. © 2005 Elsevier B.V. All rights reserved.","author":[{"dropping-particle":"","family":"Tixier","given":"J.","non-dropping-particle":"","parse-names":false,"suffix":""},{"dropping-particle":"","family":"Dandrieux","given":"A.","non-dropping-particle":"","parse-names":false,"suffix":""},{"dropping-particle":"","family":"Dusserre","given":"G.","non-dropping-particle":"","parse-names":false,"suffix":""},{"dropping-particle":"","family":"Bubbico","given":"R.","non-dropping-particle":"","parse-names":false,"suffix":""},{"dropping-particle":"","family":"Mazzarotta","given":"B.","non-dropping-particle":"","parse-names":false,"suffix":""},{"dropping-particle":"","family":"Silvetti","given":"B.","non-dropping-particle":"","parse-names":false,"suffix":""},{"dropping-particle":"","family":"Hubert","given":"E.","non-dropping-particle":"","parse-names":false,"suffix":""},{"dropping-particle":"","family":"Rodrigues","given":"N.","non-dropping-particle":"","parse-names":false,"suffix":""},{"dropping-particle":"","family":"Salvi","given":"O.","non-dropping-particle":"","parse-names":false,"suffix":""}],"container-title":"Journal of Hazardous Materials","id":"ITEM-1","issue":"3 SPEC. ISS.","issued":{"date-parts":[["2006","3","31"]]},"page":"251-264","publisher":"Elsevier B.V.","title":"Environmental vulnerability assessment in the vicinity of an industrial site in the frame of ARAMIS European project","type":"article-journal","volume":"130"},"uris":["http://www.mendeley.com/documents/?uuid=cd7f176b-4485-3b78-82e3-b7a40a8deca8"]}],"mendeley":{"formattedCitation":"(Tixier et al., 2006)","plainTextFormattedCitation":"(Tixier et al., 2006)","previouslyFormattedCitation":"(Tixier et al., 2006)"},"properties":{"noteIndex":0},"schema":"https://github.com/citation-style-language/schema/raw/master/csl-citation.json"}</w:instrText>
      </w:r>
      <w:r w:rsidR="003020E0">
        <w:rPr>
          <w:rStyle w:val="Appelnotedebasdep"/>
          <w:rFonts w:eastAsia="Calibri"/>
          <w:lang w:val="fr-FR"/>
        </w:rPr>
        <w:fldChar w:fldCharType="separate"/>
      </w:r>
      <w:r w:rsidR="00625DA9" w:rsidRPr="00A97196">
        <w:rPr>
          <w:rFonts w:eastAsia="Calibri"/>
          <w:noProof/>
          <w:lang w:val="fr-FR"/>
        </w:rPr>
        <w:t>(Tixier et al., 2006)</w:t>
      </w:r>
      <w:r w:rsidR="003020E0">
        <w:rPr>
          <w:rStyle w:val="Appelnotedebasdep"/>
          <w:rFonts w:eastAsia="Calibri"/>
          <w:lang w:val="fr-FR"/>
        </w:rPr>
        <w:fldChar w:fldCharType="end"/>
      </w:r>
      <w:r w:rsidR="00BD5549">
        <w:rPr>
          <w:rFonts w:eastAsia="Calibri"/>
          <w:lang w:val="fr-FR"/>
        </w:rPr>
        <w:t>(</w:t>
      </w:r>
      <w:r w:rsidR="006B5D74">
        <w:rPr>
          <w:rFonts w:eastAsia="Calibri"/>
          <w:lang w:val="fr-FR"/>
        </w:rPr>
        <w:t>Eq(1))</w:t>
      </w:r>
      <w:r w:rsidR="00BD5549">
        <w:rPr>
          <w:rFonts w:eastAsia="Calibri"/>
          <w:lang w:val="fr-FR"/>
        </w:rPr>
        <w:t>.</w:t>
      </w:r>
    </w:p>
    <w:p w14:paraId="27F79648" w14:textId="77777777" w:rsidR="006B5D74" w:rsidRDefault="00D970D4" w:rsidP="00BD5549">
      <w:pPr>
        <w:pStyle w:val="CETEquation"/>
        <w:rPr>
          <w:rFonts w:eastAsia="Calibri"/>
          <w:lang w:val="fr-FR"/>
        </w:rPr>
      </w:pPr>
      <m:oMathPara>
        <m:oMath>
          <m:eqArr>
            <m:eqArrPr>
              <m:maxDist m:val="1"/>
              <m:ctrlPr>
                <w:rPr>
                  <w:rFonts w:ascii="Cambria Math" w:hAnsi="Cambria Math"/>
                  <w:i/>
                </w:rPr>
              </m:ctrlPr>
            </m:eqArrPr>
            <m:e>
              <m:r>
                <w:rPr>
                  <w:rFonts w:ascii="Cambria Math" w:hAnsi="Cambria Math"/>
                </w:rPr>
                <m:t>Risk</m:t>
              </m:r>
              <m:r>
                <w:rPr>
                  <w:rFonts w:ascii="Cambria Math" w:hAnsi="Cambria Math"/>
                  <w:lang w:val="fr-FR"/>
                </w:rPr>
                <m:t xml:space="preserve"> = </m:t>
              </m:r>
              <m:r>
                <w:rPr>
                  <w:rFonts w:ascii="Cambria Math" w:hAnsi="Cambria Math"/>
                </w:rPr>
                <m:t>Hazard</m:t>
              </m:r>
              <m:r>
                <w:rPr>
                  <w:rFonts w:ascii="Cambria Math" w:hAnsi="Cambria Math"/>
                  <w:lang w:val="fr-FR"/>
                </w:rPr>
                <m:t xml:space="preserve"> </m:t>
              </m:r>
              <m:r>
                <w:rPr>
                  <w:rFonts w:ascii="Cambria Math" w:hAnsi="Cambria Math"/>
                  <w:i/>
                  <w:noProof/>
                  <w:lang w:val="fr-FR" w:eastAsia="fr-FR"/>
                </w:rPr>
                <w:drawing>
                  <wp:inline distT="0" distB="0" distL="0" distR="0" wp14:anchorId="14E293E5" wp14:editId="53507961">
                    <wp:extent cx="93368" cy="93368"/>
                    <wp:effectExtent l="38100" t="38100" r="20955" b="209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e_equation.png"/>
                            <pic:cNvPicPr/>
                          </pic:nvPicPr>
                          <pic:blipFill>
                            <a:blip r:embed="rId10" cstate="print">
                              <a:extLst>
                                <a:ext uri="{28A0092B-C50C-407E-A947-70E740481C1C}">
                                  <a14:useLocalDpi xmlns:a14="http://schemas.microsoft.com/office/drawing/2010/main" val="0"/>
                                </a:ext>
                              </a:extLst>
                            </a:blip>
                            <a:stretch>
                              <a:fillRect/>
                            </a:stretch>
                          </pic:blipFill>
                          <pic:spPr>
                            <a:xfrm rot="18900000" flipV="1">
                              <a:off x="0" y="0"/>
                              <a:ext cx="120281" cy="120281"/>
                            </a:xfrm>
                            <a:prstGeom prst="rect">
                              <a:avLst/>
                            </a:prstGeom>
                          </pic:spPr>
                        </pic:pic>
                      </a:graphicData>
                    </a:graphic>
                  </wp:inline>
                </w:drawing>
              </m:r>
              <m:r>
                <w:rPr>
                  <w:rFonts w:ascii="Cambria Math" w:hAnsi="Cambria Math"/>
                  <w:lang w:val="fr-FR"/>
                </w:rPr>
                <m:t xml:space="preserve"> </m:t>
              </m:r>
              <m:r>
                <w:rPr>
                  <w:rFonts w:ascii="Cambria Math" w:hAnsi="Cambria Math"/>
                </w:rPr>
                <m:t>Stakes</m:t>
              </m:r>
              <m:r>
                <w:rPr>
                  <w:rFonts w:ascii="Cambria Math" w:hAnsi="Cambria Math"/>
                  <w:lang w:val="fr-FR"/>
                </w:rPr>
                <m:t>#</m:t>
              </m:r>
              <m:d>
                <m:dPr>
                  <m:ctrlPr>
                    <w:rPr>
                      <w:rFonts w:ascii="Cambria Math" w:hAnsi="Cambria Math"/>
                      <w:i/>
                    </w:rPr>
                  </m:ctrlPr>
                </m:dPr>
                <m:e>
                  <m:r>
                    <w:rPr>
                      <w:rFonts w:ascii="Cambria Math" w:hAnsi="Cambria Math"/>
                      <w:lang w:val="fr-FR"/>
                    </w:rPr>
                    <m:t>1</m:t>
                  </m:r>
                </m:e>
              </m:d>
            </m:e>
          </m:eqArr>
        </m:oMath>
      </m:oMathPara>
    </w:p>
    <w:p w14:paraId="604D1BED" w14:textId="77777777" w:rsidR="00BD5549" w:rsidRPr="00C03EF7" w:rsidRDefault="00C03EF7" w:rsidP="003020E0">
      <w:pPr>
        <w:pStyle w:val="CETBodytext"/>
        <w:rPr>
          <w:rFonts w:eastAsia="Calibri"/>
          <w:lang w:val="en-GB"/>
        </w:rPr>
      </w:pPr>
      <w:r w:rsidRPr="00C03EF7">
        <w:rPr>
          <w:rFonts w:eastAsia="Calibri"/>
          <w:lang w:val="en-GB"/>
        </w:rPr>
        <w:t>To quantify this risk, this equation</w:t>
      </w:r>
      <w:r w:rsidR="00BC2BF0">
        <w:rPr>
          <w:rFonts w:eastAsia="Calibri"/>
          <w:lang w:val="en-GB"/>
        </w:rPr>
        <w:t xml:space="preserve"> is</w:t>
      </w:r>
      <w:r w:rsidR="00BC2BF0" w:rsidRPr="00C03EF7">
        <w:rPr>
          <w:rFonts w:eastAsia="Calibri"/>
          <w:lang w:val="en-GB"/>
        </w:rPr>
        <w:t xml:space="preserve"> transpose</w:t>
      </w:r>
      <w:r w:rsidR="00BC2BF0">
        <w:rPr>
          <w:rFonts w:eastAsia="Calibri"/>
          <w:lang w:val="en-GB"/>
        </w:rPr>
        <w:t>d</w:t>
      </w:r>
      <w:r w:rsidRPr="00C03EF7">
        <w:rPr>
          <w:rFonts w:eastAsia="Calibri"/>
          <w:lang w:val="en-GB"/>
        </w:rPr>
        <w:t xml:space="preserve"> as follows (</w:t>
      </w:r>
      <w:proofErr w:type="spellStart"/>
      <w:proofErr w:type="gramStart"/>
      <w:r w:rsidRPr="00C03EF7">
        <w:rPr>
          <w:rFonts w:eastAsia="Calibri"/>
          <w:lang w:val="en-GB"/>
        </w:rPr>
        <w:t>Eq</w:t>
      </w:r>
      <w:proofErr w:type="spellEnd"/>
      <w:r w:rsidRPr="00C03EF7">
        <w:rPr>
          <w:rFonts w:eastAsia="Calibri"/>
          <w:lang w:val="en-GB"/>
        </w:rPr>
        <w:t>(</w:t>
      </w:r>
      <w:proofErr w:type="gramEnd"/>
      <w:r w:rsidRPr="00C03EF7">
        <w:rPr>
          <w:rFonts w:eastAsia="Calibri"/>
          <w:lang w:val="en-GB"/>
        </w:rPr>
        <w:t>2)).</w:t>
      </w:r>
    </w:p>
    <w:p w14:paraId="09352FCA" w14:textId="77777777" w:rsidR="00BD5549" w:rsidRDefault="00D970D4" w:rsidP="00BD5549">
      <w:pPr>
        <w:pStyle w:val="CETEquation"/>
        <w:rPr>
          <w:rFonts w:eastAsia="Calibri"/>
          <w:lang w:val="fr-FR"/>
        </w:rPr>
      </w:pPr>
      <m:oMathPara>
        <m:oMath>
          <m:eqArr>
            <m:eqArrPr>
              <m:maxDist m:val="1"/>
              <m:ctrlPr>
                <w:rPr>
                  <w:rFonts w:ascii="Cambria Math" w:hAnsi="Cambria Math"/>
                  <w:i/>
                </w:rPr>
              </m:ctrlPr>
            </m:eqArrPr>
            <m:e>
              <m:r>
                <w:rPr>
                  <w:rFonts w:ascii="Cambria Math" w:hAnsi="Cambria Math"/>
                </w:rPr>
                <m:t>Risk</m:t>
              </m:r>
              <m:r>
                <w:rPr>
                  <w:rFonts w:ascii="Cambria Math" w:hAnsi="Cambria Math"/>
                  <w:lang w:val="fr-FR"/>
                </w:rPr>
                <m:t xml:space="preserve"> = </m:t>
              </m:r>
              <m:r>
                <w:rPr>
                  <w:rFonts w:ascii="Cambria Math" w:hAnsi="Cambria Math"/>
                </w:rPr>
                <m:t>Hazard potential</m:t>
              </m:r>
              <m:r>
                <w:rPr>
                  <w:rFonts w:ascii="Cambria Math" w:hAnsi="Cambria Math"/>
                  <w:lang w:val="fr-FR"/>
                </w:rPr>
                <m:t xml:space="preserve"> </m:t>
              </m:r>
              <m:r>
                <w:rPr>
                  <w:rFonts w:ascii="Cambria Math" w:hAnsi="Cambria Math"/>
                  <w:i/>
                  <w:noProof/>
                  <w:lang w:val="fr-FR" w:eastAsia="fr-FR"/>
                </w:rPr>
                <w:drawing>
                  <wp:inline distT="0" distB="0" distL="0" distR="0" wp14:anchorId="514D5920" wp14:editId="1F610721">
                    <wp:extent cx="93368" cy="93368"/>
                    <wp:effectExtent l="38100" t="38100" r="20955"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e_equation.png"/>
                            <pic:cNvPicPr/>
                          </pic:nvPicPr>
                          <pic:blipFill>
                            <a:blip r:embed="rId10" cstate="print">
                              <a:extLst>
                                <a:ext uri="{28A0092B-C50C-407E-A947-70E740481C1C}">
                                  <a14:useLocalDpi xmlns:a14="http://schemas.microsoft.com/office/drawing/2010/main" val="0"/>
                                </a:ext>
                              </a:extLst>
                            </a:blip>
                            <a:stretch>
                              <a:fillRect/>
                            </a:stretch>
                          </pic:blipFill>
                          <pic:spPr>
                            <a:xfrm rot="18900000" flipV="1">
                              <a:off x="0" y="0"/>
                              <a:ext cx="120281" cy="120281"/>
                            </a:xfrm>
                            <a:prstGeom prst="rect">
                              <a:avLst/>
                            </a:prstGeom>
                          </pic:spPr>
                        </pic:pic>
                      </a:graphicData>
                    </a:graphic>
                  </wp:inline>
                </w:drawing>
              </m:r>
              <m:r>
                <w:rPr>
                  <w:rFonts w:ascii="Cambria Math" w:hAnsi="Cambria Math"/>
                  <w:lang w:val="fr-FR"/>
                </w:rPr>
                <m:t xml:space="preserve"> </m:t>
              </m:r>
              <m:r>
                <w:rPr>
                  <w:rFonts w:ascii="Cambria Math" w:hAnsi="Cambria Math"/>
                </w:rPr>
                <m:t>Stakes vulnerability</m:t>
              </m:r>
              <m:r>
                <w:rPr>
                  <w:rFonts w:ascii="Cambria Math" w:hAnsi="Cambria Math"/>
                  <w:lang w:val="fr-FR"/>
                </w:rPr>
                <m:t>#</m:t>
              </m:r>
              <m:d>
                <m:dPr>
                  <m:ctrlPr>
                    <w:rPr>
                      <w:rFonts w:ascii="Cambria Math" w:hAnsi="Cambria Math"/>
                      <w:i/>
                    </w:rPr>
                  </m:ctrlPr>
                </m:dPr>
                <m:e>
                  <m:r>
                    <w:rPr>
                      <w:rFonts w:ascii="Cambria Math" w:hAnsi="Cambria Math"/>
                      <w:lang w:val="fr-FR"/>
                    </w:rPr>
                    <m:t>2</m:t>
                  </m:r>
                </m:e>
              </m:d>
            </m:e>
          </m:eqArr>
        </m:oMath>
      </m:oMathPara>
    </w:p>
    <w:p w14:paraId="5876FFF2" w14:textId="77777777" w:rsidR="00F414D5" w:rsidRDefault="00C03EF7" w:rsidP="00F414D5">
      <w:pPr>
        <w:pStyle w:val="CETBodytext"/>
        <w:rPr>
          <w:rFonts w:eastAsia="Calibri"/>
          <w:lang w:val="en-GB"/>
        </w:rPr>
      </w:pPr>
      <w:r w:rsidRPr="00C03EF7">
        <w:rPr>
          <w:rFonts w:eastAsia="Calibri"/>
          <w:lang w:val="en-GB"/>
        </w:rPr>
        <w:t>This equation translates the hazard and the stakes into a typology which can be quantified and qualified. The risk is translated into an index that can be mapped</w:t>
      </w:r>
      <w:r w:rsidR="006A5984" w:rsidRPr="00C03EF7">
        <w:rPr>
          <w:rFonts w:eastAsia="Calibri"/>
          <w:lang w:val="en-GB"/>
        </w:rPr>
        <w:t xml:space="preserve"> </w:t>
      </w:r>
      <w:r w:rsidR="006A5984">
        <w:rPr>
          <w:rFonts w:eastAsia="Calibri"/>
          <w:lang w:val="fr-FR"/>
        </w:rPr>
        <w:fldChar w:fldCharType="begin" w:fldLock="1"/>
      </w:r>
      <w:r w:rsidR="00A97196">
        <w:rPr>
          <w:rFonts w:eastAsia="Calibri"/>
          <w:lang w:val="en-GB"/>
        </w:rPr>
        <w:instrText>ADDIN CSL_CITATION {"citationItems":[{"id":"ITEM-1","itemData":{"DOI":"10.1016/j.envsoft.2013.02.010","ISSN":"13648152","abstract":"The transportation of dangerous goods is a complex issue involving various potential consequences for a wide range of high-stake elements. Most particularly, hydrocarbon transportation requires the carrying out of a global study in order to assess the risks involved. The aim of this study is to develop a prediction code for analyzing different possible hydrocarbon supply routes in order to determine whether modifying the flow of hydrocarbon transportation significantly increases the risk (for people, infrastructure and the environment). On the one hand, this paper details the methodology proposed for assessing risk levels using hazard scenarios and the vulnerability of high-stake elements. On the other hand, it presents the modeling tool developed (CARTENJEUX), based on an existing geographical information system (MapInfo), through a case study (Paris, France). Several maps (severity of accident, vulnerability and risk levels) generated using CARTENJEUX are presented in order to illustrate how stakeholders can determine preferential routes at regional scale. © 2013 Elsevier Ltd.","author":[{"dropping-particle":"","family":"Tena-Chollet","given":"F.","non-dropping-particle":"","parse-names":false,"suffix":""},{"dropping-particle":"","family":"Tixier","given":"J.","non-dropping-particle":"","parse-names":false,"suffix":""},{"dropping-particle":"","family":"Dusserre","given":"G.","non-dropping-particle":"","parse-names":false,"suffix":""},{"dropping-particle":"","family":"Mangin","given":"J. F.","non-dropping-particle":"","parse-names":false,"suffix":""}],"container-title":"Environmental Modelling and Software","id":"ITEM-1","issued":{"date-parts":[["2013"]]},"title":"Development of a spatial risk assessment tool for the transportation of hydrocarbons: Methodology and implementation in a geographical information system","type":"article-journal"},"uris":["http://www.mendeley.com/documents/?uuid=32be0bae-b7d1-3d01-aa5d-00bdcdc48cf4"]}],"mendeley":{"formattedCitation":"(Tena-Chollet et al., 2013)","plainTextFormattedCitation":"(Tena-Chollet et al., 2013)","previouslyFormattedCitation":"(Tena-Chollet et al., 2013)"},"properties":{"noteIndex":0},"schema":"https://github.com/citation-style-language/schema/raw/master/csl-citation.json"}</w:instrText>
      </w:r>
      <w:r w:rsidR="006A5984">
        <w:rPr>
          <w:rFonts w:eastAsia="Calibri"/>
          <w:lang w:val="fr-FR"/>
        </w:rPr>
        <w:fldChar w:fldCharType="separate"/>
      </w:r>
      <w:r w:rsidR="00625DA9" w:rsidRPr="00A97196">
        <w:rPr>
          <w:rFonts w:eastAsia="Calibri"/>
          <w:noProof/>
          <w:lang w:val="en-GB"/>
        </w:rPr>
        <w:t>(Tena-Chollet et al., 2013)</w:t>
      </w:r>
      <w:r w:rsidR="006A5984">
        <w:rPr>
          <w:rFonts w:eastAsia="Calibri"/>
          <w:lang w:val="fr-FR"/>
        </w:rPr>
        <w:fldChar w:fldCharType="end"/>
      </w:r>
      <w:r w:rsidR="006A5984" w:rsidRPr="00C03EF7">
        <w:rPr>
          <w:rFonts w:eastAsia="Calibri"/>
          <w:lang w:val="en-GB"/>
        </w:rPr>
        <w:t xml:space="preserve">. </w:t>
      </w:r>
    </w:p>
    <w:p w14:paraId="6845BD28" w14:textId="77777777" w:rsidR="00F414D5" w:rsidRDefault="00F414D5" w:rsidP="00F414D5">
      <w:pPr>
        <w:pStyle w:val="CETBodytext"/>
        <w:rPr>
          <w:rStyle w:val="CETBodytextCarattere"/>
        </w:rPr>
      </w:pPr>
      <w:r w:rsidRPr="00F414D5">
        <w:rPr>
          <w:rStyle w:val="CETBodytextCarattere"/>
        </w:rPr>
        <w:t xml:space="preserve">Applied to the </w:t>
      </w:r>
      <w:proofErr w:type="spellStart"/>
      <w:r w:rsidRPr="00F414D5">
        <w:rPr>
          <w:rStyle w:val="CETBodytextCarattere"/>
        </w:rPr>
        <w:t>odour</w:t>
      </w:r>
      <w:proofErr w:type="spellEnd"/>
      <w:r w:rsidRPr="00F414D5">
        <w:rPr>
          <w:rStyle w:val="CETBodytextCarattere"/>
        </w:rPr>
        <w:t xml:space="preserve"> domain, the risk of </w:t>
      </w:r>
      <w:proofErr w:type="spellStart"/>
      <w:r w:rsidRPr="00F414D5">
        <w:rPr>
          <w:rStyle w:val="CETBodytextCarattere"/>
        </w:rPr>
        <w:t>odour</w:t>
      </w:r>
      <w:proofErr w:type="spellEnd"/>
      <w:r w:rsidRPr="00F414D5">
        <w:rPr>
          <w:rStyle w:val="CETBodytextCarattere"/>
        </w:rPr>
        <w:t xml:space="preserve"> nuisance becomes the combination of the </w:t>
      </w:r>
      <w:proofErr w:type="spellStart"/>
      <w:r w:rsidR="00625DA9">
        <w:rPr>
          <w:rStyle w:val="CETBodytextCarattere"/>
        </w:rPr>
        <w:t>odour</w:t>
      </w:r>
      <w:proofErr w:type="spellEnd"/>
      <w:r w:rsidR="00625DA9">
        <w:rPr>
          <w:rStyle w:val="CETBodytextCarattere"/>
        </w:rPr>
        <w:t xml:space="preserve"> annoyance</w:t>
      </w:r>
      <w:r w:rsidRPr="00F414D5">
        <w:rPr>
          <w:rStyle w:val="CETBodytextCarattere"/>
        </w:rPr>
        <w:t xml:space="preserve"> potential, considered as the probability of exposure with a given intensity (impact), and the stakes as the effect on receptors</w:t>
      </w:r>
      <w:r>
        <w:rPr>
          <w:rStyle w:val="CETBodytextCarattere"/>
        </w:rPr>
        <w:t xml:space="preserve"> (local</w:t>
      </w:r>
      <w:r w:rsidRPr="00F414D5">
        <w:rPr>
          <w:rStyle w:val="CETBodytextCarattere"/>
        </w:rPr>
        <w:t xml:space="preserve"> population, economic and social activities) (</w:t>
      </w:r>
      <w:proofErr w:type="gramStart"/>
      <w:r w:rsidRPr="00F414D5">
        <w:rPr>
          <w:rStyle w:val="CETBodytextCarattere"/>
        </w:rPr>
        <w:t>Eq(</w:t>
      </w:r>
      <w:proofErr w:type="gramEnd"/>
      <w:r w:rsidRPr="00F414D5">
        <w:rPr>
          <w:rStyle w:val="CETBodytextCarattere"/>
        </w:rPr>
        <w:t>3)).</w:t>
      </w:r>
    </w:p>
    <w:p w14:paraId="567683FE" w14:textId="77777777" w:rsidR="009D1D5E" w:rsidRPr="00F414D5" w:rsidRDefault="00D970D4" w:rsidP="00F414D5">
      <w:pPr>
        <w:pStyle w:val="CETBodytext"/>
        <w:rPr>
          <w:rFonts w:eastAsia="Calibri"/>
          <w:lang w:val="en-GB"/>
        </w:rPr>
      </w:pPr>
      <m:oMathPara>
        <m:oMath>
          <m:eqArr>
            <m:eqArrPr>
              <m:maxDist m:val="1"/>
              <m:ctrlPr>
                <w:rPr>
                  <w:rFonts w:ascii="Cambria Math" w:hAnsi="Cambria Math"/>
                  <w:i/>
                </w:rPr>
              </m:ctrlPr>
            </m:eqArrPr>
            <m:e>
              <m:r>
                <w:rPr>
                  <w:rFonts w:ascii="Cambria Math" w:hAnsi="Cambria Math"/>
                </w:rPr>
                <m:t>Risk</m:t>
              </m:r>
              <m:r>
                <w:rPr>
                  <w:rFonts w:ascii="Cambria Math" w:hAnsi="Cambria Math"/>
                  <w:lang w:val="en-GB"/>
                </w:rPr>
                <m:t xml:space="preserve"> </m:t>
              </m:r>
              <m:r>
                <w:rPr>
                  <w:rFonts w:ascii="Cambria Math" w:hAnsi="Cambria Math"/>
                  <w:lang w:val="fr-FR"/>
                </w:rPr>
                <m:t>of</m:t>
              </m:r>
              <m:r>
                <w:rPr>
                  <w:rFonts w:ascii="Cambria Math" w:hAnsi="Cambria Math"/>
                  <w:lang w:val="en-GB"/>
                </w:rPr>
                <m:t xml:space="preserve"> </m:t>
              </m:r>
              <m:r>
                <w:rPr>
                  <w:rFonts w:ascii="Cambria Math" w:hAnsi="Cambria Math"/>
                  <w:lang w:val="fr-FR"/>
                </w:rPr>
                <m:t>odour</m:t>
              </m:r>
              <m:r>
                <w:rPr>
                  <w:rFonts w:ascii="Cambria Math" w:hAnsi="Cambria Math"/>
                  <w:lang w:val="en-GB"/>
                </w:rPr>
                <m:t xml:space="preserve"> </m:t>
              </m:r>
              <m:r>
                <w:rPr>
                  <w:rFonts w:ascii="Cambria Math" w:hAnsi="Cambria Math"/>
                  <w:lang w:val="fr-FR"/>
                </w:rPr>
                <m:t>nuisance</m:t>
              </m:r>
              <m:r>
                <w:rPr>
                  <w:rFonts w:ascii="Cambria Math" w:hAnsi="Cambria Math"/>
                  <w:lang w:val="en-GB"/>
                </w:rPr>
                <m:t xml:space="preserve">= </m:t>
              </m:r>
              <m:r>
                <w:rPr>
                  <w:rFonts w:ascii="Cambria Math" w:hAnsi="Cambria Math"/>
                </w:rPr>
                <m:t>Odour annoyance potential</m:t>
              </m:r>
              <m:r>
                <w:rPr>
                  <w:rFonts w:ascii="Cambria Math" w:hAnsi="Cambria Math"/>
                  <w:lang w:val="en-GB"/>
                </w:rPr>
                <m:t xml:space="preserve"> </m:t>
              </m:r>
              <m:r>
                <w:rPr>
                  <w:rFonts w:ascii="Cambria Math" w:hAnsi="Cambria Math"/>
                  <w:i/>
                  <w:noProof/>
                  <w:lang w:val="fr-FR" w:eastAsia="fr-FR"/>
                </w:rPr>
                <w:drawing>
                  <wp:inline distT="0" distB="0" distL="0" distR="0" wp14:anchorId="685B430B" wp14:editId="1027F6D5">
                    <wp:extent cx="93368" cy="93368"/>
                    <wp:effectExtent l="38100" t="38100" r="20955" b="209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e_equation.png"/>
                            <pic:cNvPicPr/>
                          </pic:nvPicPr>
                          <pic:blipFill>
                            <a:blip r:embed="rId10" cstate="print">
                              <a:extLst>
                                <a:ext uri="{28A0092B-C50C-407E-A947-70E740481C1C}">
                                  <a14:useLocalDpi xmlns:a14="http://schemas.microsoft.com/office/drawing/2010/main" val="0"/>
                                </a:ext>
                              </a:extLst>
                            </a:blip>
                            <a:stretch>
                              <a:fillRect/>
                            </a:stretch>
                          </pic:blipFill>
                          <pic:spPr>
                            <a:xfrm rot="18900000" flipV="1">
                              <a:off x="0" y="0"/>
                              <a:ext cx="120281" cy="120281"/>
                            </a:xfrm>
                            <a:prstGeom prst="rect">
                              <a:avLst/>
                            </a:prstGeom>
                          </pic:spPr>
                        </pic:pic>
                      </a:graphicData>
                    </a:graphic>
                  </wp:inline>
                </w:drawing>
              </m:r>
              <m:r>
                <w:rPr>
                  <w:rFonts w:ascii="Cambria Math" w:hAnsi="Cambria Math"/>
                  <w:lang w:val="fr-FR"/>
                </w:rPr>
                <m:t>Human</m:t>
              </m:r>
              <m:r>
                <w:rPr>
                  <w:rFonts w:ascii="Cambria Math" w:hAnsi="Cambria Math"/>
                  <w:lang w:val="en-GB"/>
                </w:rPr>
                <m:t>/</m:t>
              </m:r>
              <m:r>
                <w:rPr>
                  <w:rFonts w:ascii="Cambria Math" w:hAnsi="Cambria Math"/>
                  <w:lang w:val="fr-FR"/>
                </w:rPr>
                <m:t>Economic</m:t>
              </m:r>
              <m:r>
                <w:rPr>
                  <w:rFonts w:ascii="Cambria Math" w:hAnsi="Cambria Math"/>
                  <w:lang w:val="en-GB"/>
                </w:rPr>
                <m:t>/</m:t>
              </m:r>
              <m:r>
                <w:rPr>
                  <w:rFonts w:ascii="Cambria Math" w:hAnsi="Cambria Math"/>
                  <w:lang w:val="fr-FR"/>
                </w:rPr>
                <m:t>Social</m:t>
              </m:r>
              <m:r>
                <w:rPr>
                  <w:rFonts w:ascii="Cambria Math" w:hAnsi="Cambria Math"/>
                  <w:lang w:val="en-GB"/>
                </w:rPr>
                <m:t xml:space="preserve"> </m:t>
              </m:r>
              <m:r>
                <w:rPr>
                  <w:rFonts w:ascii="Cambria Math" w:hAnsi="Cambria Math"/>
                  <w:lang w:val="fr-FR"/>
                </w:rPr>
                <m:t>s</m:t>
              </m:r>
              <m:r>
                <w:rPr>
                  <w:rFonts w:ascii="Cambria Math" w:hAnsi="Cambria Math"/>
                </w:rPr>
                <m:t>takes vulnerability</m:t>
              </m:r>
              <m:r>
                <w:rPr>
                  <w:rFonts w:ascii="Cambria Math" w:hAnsi="Cambria Math"/>
                  <w:lang w:val="en-GB"/>
                </w:rPr>
                <m:t>#</m:t>
              </m:r>
              <m:d>
                <m:dPr>
                  <m:ctrlPr>
                    <w:rPr>
                      <w:rFonts w:ascii="Cambria Math" w:hAnsi="Cambria Math"/>
                      <w:i/>
                    </w:rPr>
                  </m:ctrlPr>
                </m:dPr>
                <m:e>
                  <m:r>
                    <w:rPr>
                      <w:rFonts w:ascii="Cambria Math" w:hAnsi="Cambria Math"/>
                    </w:rPr>
                    <m:t>3</m:t>
                  </m:r>
                </m:e>
              </m:d>
            </m:e>
          </m:eqArr>
        </m:oMath>
      </m:oMathPara>
    </w:p>
    <w:p w14:paraId="1BB286A9" w14:textId="77777777" w:rsidR="00F414D5" w:rsidRDefault="00F414D5" w:rsidP="003020E0">
      <w:pPr>
        <w:pStyle w:val="CETBodytext"/>
      </w:pPr>
    </w:p>
    <w:p w14:paraId="2AE4BDA3" w14:textId="77777777" w:rsidR="006A5984" w:rsidRPr="00F414D5" w:rsidRDefault="00F414D5" w:rsidP="00F414D5">
      <w:pPr>
        <w:pStyle w:val="CETBodytext"/>
        <w:rPr>
          <w:rFonts w:eastAsia="Calibri"/>
          <w:lang w:val="en-GB"/>
        </w:rPr>
      </w:pPr>
      <w:r w:rsidRPr="00F414D5">
        <w:t>Anticipat</w:t>
      </w:r>
      <w:r w:rsidR="007A748E">
        <w:t>io</w:t>
      </w:r>
      <w:r w:rsidR="00982A1E">
        <w:t>n of</w:t>
      </w:r>
      <w:r w:rsidRPr="00F414D5">
        <w:t xml:space="preserve"> </w:t>
      </w:r>
      <w:proofErr w:type="spellStart"/>
      <w:r w:rsidRPr="00F414D5">
        <w:t>odour</w:t>
      </w:r>
      <w:proofErr w:type="spellEnd"/>
      <w:r w:rsidRPr="00F414D5">
        <w:t xml:space="preserve"> nuisance caused by an industry requires an </w:t>
      </w:r>
      <w:proofErr w:type="spellStart"/>
      <w:r w:rsidRPr="00F414D5">
        <w:t>odour</w:t>
      </w:r>
      <w:proofErr w:type="spellEnd"/>
      <w:r w:rsidRPr="00F414D5">
        <w:t xml:space="preserve"> process description, from emission to its effect on local residents. The model is part of the Source-Pathway-Receptor (S-P-R) concept that is now part of the guidelines for environmental risk assessment and management</w:t>
      </w:r>
      <w:r>
        <w:rPr>
          <w:sz w:val="20"/>
        </w:rPr>
        <w:t xml:space="preserve"> </w:t>
      </w:r>
      <w:r w:rsidR="007F5907">
        <w:rPr>
          <w:rFonts w:eastAsia="Calibri"/>
          <w:lang w:val="fr-FR"/>
        </w:rPr>
        <w:fldChar w:fldCharType="begin" w:fldLock="1"/>
      </w:r>
      <w:r w:rsidR="00A97196">
        <w:rPr>
          <w:rFonts w:eastAsia="Calibri"/>
          <w:lang w:val="en-GB"/>
        </w:rPr>
        <w:instrText>ADDIN CSL_CITATION {"citationItems":[{"id":"ITEM-1","itemData":{"author":[{"dropping-particle":"","family":"Bull","given":"Michael","non-dropping-particle":"","parse-names":false,"suffix":""}],"id":"ITEM-1","issue":"July","issued":{"date-parts":[["2018"]]},"note":"Distinction outils empiriques/prédictive","number-of-pages":"1-50","publisher-place":"London","title":"IAQM Guidance on the assessment of odour for planning – version 1.1, Institute of Air Quality Management","type":"report"},"uris":["http://www.mendeley.com/documents/?uuid=ff53b33c-9050-4b83-8af8-808cc812a3d0"]}],"mendeley":{"formattedCitation":"(Bull, 2018)","plainTextFormattedCitation":"(Bull, 2018)","previouslyFormattedCitation":"(Bull, 2018)"},"properties":{"noteIndex":0},"schema":"https://github.com/citation-style-language/schema/raw/master/csl-citation.json"}</w:instrText>
      </w:r>
      <w:r w:rsidR="007F5907">
        <w:rPr>
          <w:rFonts w:eastAsia="Calibri"/>
          <w:lang w:val="fr-FR"/>
        </w:rPr>
        <w:fldChar w:fldCharType="separate"/>
      </w:r>
      <w:r w:rsidR="00982A1E" w:rsidRPr="00982A1E">
        <w:rPr>
          <w:rFonts w:eastAsia="Calibri"/>
          <w:noProof/>
          <w:lang w:val="en-GB"/>
        </w:rPr>
        <w:t>(Bull, 2018)</w:t>
      </w:r>
      <w:r w:rsidR="007F5907">
        <w:rPr>
          <w:rFonts w:eastAsia="Calibri"/>
          <w:lang w:val="fr-FR"/>
        </w:rPr>
        <w:fldChar w:fldCharType="end"/>
      </w:r>
      <w:r w:rsidR="007F5907" w:rsidRPr="00F414D5">
        <w:rPr>
          <w:rFonts w:eastAsia="Calibri"/>
          <w:lang w:val="en-GB"/>
        </w:rPr>
        <w:t xml:space="preserve">. </w:t>
      </w:r>
      <w:r w:rsidRPr="00F414D5">
        <w:rPr>
          <w:rFonts w:eastAsia="Calibri"/>
          <w:lang w:val="en-GB"/>
        </w:rPr>
        <w:t xml:space="preserve">The S-P-R concept describes the potential relationship between the characteristics of the odour source (S), the pathway (P) which represents exposure on the territory and the receptors (R) that could be impacted. This approach </w:t>
      </w:r>
      <w:r w:rsidR="00102CB4">
        <w:rPr>
          <w:rFonts w:eastAsia="Calibri"/>
          <w:lang w:val="en-GB"/>
        </w:rPr>
        <w:t>considers</w:t>
      </w:r>
      <w:r w:rsidRPr="00F414D5">
        <w:rPr>
          <w:rFonts w:eastAsia="Calibri"/>
          <w:lang w:val="en-GB"/>
        </w:rPr>
        <w:t xml:space="preserve"> both the annoyance and the impacted populations/activities. </w:t>
      </w:r>
      <w:r w:rsidRPr="00830409">
        <w:rPr>
          <w:rFonts w:eastAsia="Calibri"/>
          <w:lang w:val="en-GB"/>
        </w:rPr>
        <w:t>It characterizes both the source (S) and the receptors (R) of the S-P-R concept. To model the impact of the odo</w:t>
      </w:r>
      <w:r w:rsidR="00830409">
        <w:rPr>
          <w:rFonts w:eastAsia="Calibri"/>
          <w:lang w:val="en-GB"/>
        </w:rPr>
        <w:t>u</w:t>
      </w:r>
      <w:r w:rsidR="00982A1E">
        <w:rPr>
          <w:rFonts w:eastAsia="Calibri"/>
          <w:lang w:val="en-GB"/>
        </w:rPr>
        <w:t xml:space="preserve">r on the territory (P), a </w:t>
      </w:r>
      <w:r w:rsidR="00652793">
        <w:rPr>
          <w:rFonts w:eastAsia="Calibri"/>
          <w:lang w:val="en-GB"/>
        </w:rPr>
        <w:t>G</w:t>
      </w:r>
      <w:r w:rsidR="00476881">
        <w:rPr>
          <w:rFonts w:eastAsia="Calibri"/>
          <w:lang w:val="en-GB"/>
        </w:rPr>
        <w:t xml:space="preserve">aussian </w:t>
      </w:r>
      <w:r w:rsidRPr="00830409">
        <w:rPr>
          <w:rFonts w:eastAsia="Calibri"/>
          <w:lang w:val="en-GB"/>
        </w:rPr>
        <w:t>atmospheric dispersion software</w:t>
      </w:r>
      <w:r w:rsidR="00476881">
        <w:rPr>
          <w:rFonts w:eastAsia="Calibri"/>
          <w:lang w:val="en-GB"/>
        </w:rPr>
        <w:t xml:space="preserve"> (Aria Impact)</w:t>
      </w:r>
      <w:r w:rsidRPr="00830409">
        <w:rPr>
          <w:rFonts w:eastAsia="Calibri"/>
          <w:lang w:val="en-GB"/>
        </w:rPr>
        <w:t xml:space="preserve"> simulates the transport of odorant molecules in the atmosphere and thus the odour concentration on the ground in a defin</w:t>
      </w:r>
      <w:r w:rsidR="00830409">
        <w:rPr>
          <w:rFonts w:eastAsia="Calibri"/>
          <w:lang w:val="en-GB"/>
        </w:rPr>
        <w:t>ed spatial and temporal domain</w:t>
      </w:r>
      <w:r w:rsidR="0035470E">
        <w:rPr>
          <w:rFonts w:eastAsia="Calibri"/>
          <w:lang w:val="en-GB"/>
        </w:rPr>
        <w:t xml:space="preserve"> </w:t>
      </w:r>
      <w:r w:rsidR="0035470E">
        <w:rPr>
          <w:rFonts w:eastAsia="Calibri"/>
          <w:lang w:val="en-GB"/>
        </w:rPr>
        <w:fldChar w:fldCharType="begin" w:fldLock="1"/>
      </w:r>
      <w:r w:rsidR="00A97196">
        <w:rPr>
          <w:rFonts w:eastAsia="Calibri"/>
          <w:lang w:val="en-GB"/>
        </w:rPr>
        <w:instrText>ADDIN CSL_CITATION {"citationItems":[{"id":"ITEM-1","itemData":{"ISBN":"9789811485930","abstract":"Several activities can cause unpleasant odours: waste storage and treatment, refinery, animal breeding, slaughterhouse, sewage treatment plant, pulp mill, fertilizer plant… Even if these unpleasant odours very rarely have toxic effects, they have an impact on the image of the emitting activity, the quality of life and, to a larger extent, on the functioning of the territory. It is this last observation, and the population's growing demand for the quality of its living environment that has led decision-makers and industrialists to address the problem of odour emissions. Until now, there is no standard method for assessing odour nuisance on a territory. Several methods exist and their use depends on the objectives and resources of the stakeholders. Few models have been developed to predict odour nuisance on a territory. The purpose of this article is to explain the interest of predictive methods in the evaluation of odour nuisance on a territory. For this purpose, this article presents an example of a method that anticipates and maps the levels of odour nuisance on a territory and the economic consequences that it causes. Based on a risk analysis method, the model uses AHP method, a multi-criteria approach, to assess the effect (nuisance) of the exposure on receptors. (Popa 2013). This method provides a paradigm shift from a posteriori measurement of odour nuisance to a preventive approach used as a decision support tool.","author":[{"dropping-particle":"","family":"Pottier","given":"Billy","non-dropping-particle":"","parse-names":false,"suffix":""},{"dropping-particle":"","family":"Popa-Artigue","given":"Veronica","non-dropping-particle":"","parse-names":false,"suffix":""},{"dropping-particle":"","family":"Tixier","given":"Jerome","non-dropping-particle":"","parse-names":false,"suffix":""},{"dropping-particle":"","family":"Olivier","given":"Sylvain","non-dropping-particle":"","parse-names":false,"suffix":""},{"dropping-particle":"","family":"Fanlo","given":"Jean Louis","non-dropping-particle":"","parse-names":false,"suffix":""}],"container-title":"30th European Safety and Reliability Conference, ESREL 2020 and 15th Probabilistic Safety Assessment and Management Conference, PSAM 2020","id":"ITEM-1","issued":{"date-parts":[["2020"]]},"page":"2404-2410","title":"Odour nuisance: Decision support tools to anticipate and represent levels of odour nuisance on a territory","type":"article-journal"},"uris":["http://www.mendeley.com/documents/?uuid=01df2392-bb07-4de8-9017-fdd736f9e5cf"]}],"mendeley":{"formattedCitation":"(Pottier et al., 2020)","plainTextFormattedCitation":"(Pottier et al., 2020)","previouslyFormattedCitation":"(Pottier et al., 2020)"},"properties":{"noteIndex":0},"schema":"https://github.com/citation-style-language/schema/raw/master/csl-citation.json"}</w:instrText>
      </w:r>
      <w:r w:rsidR="0035470E">
        <w:rPr>
          <w:rFonts w:eastAsia="Calibri"/>
          <w:lang w:val="en-GB"/>
        </w:rPr>
        <w:fldChar w:fldCharType="separate"/>
      </w:r>
      <w:r w:rsidR="00625DA9" w:rsidRPr="00A97196">
        <w:rPr>
          <w:rFonts w:eastAsia="Calibri"/>
          <w:noProof/>
          <w:lang w:val="en-GB"/>
        </w:rPr>
        <w:t>(Pottier et al., 2020)</w:t>
      </w:r>
      <w:r w:rsidR="0035470E">
        <w:rPr>
          <w:rFonts w:eastAsia="Calibri"/>
          <w:lang w:val="en-GB"/>
        </w:rPr>
        <w:fldChar w:fldCharType="end"/>
      </w:r>
      <w:r w:rsidR="00830409">
        <w:rPr>
          <w:rFonts w:eastAsia="Calibri"/>
          <w:lang w:val="en-GB"/>
        </w:rPr>
        <w:t>.</w:t>
      </w:r>
    </w:p>
    <w:p w14:paraId="244BF18E" w14:textId="77777777" w:rsidR="004F2A19" w:rsidRPr="006B5D74" w:rsidRDefault="004F2A19" w:rsidP="00276D7D">
      <w:pPr>
        <w:pStyle w:val="CETheadingx"/>
        <w:rPr>
          <w:rFonts w:eastAsia="Calibri"/>
          <w:lang w:val="fr-FR"/>
        </w:rPr>
      </w:pPr>
      <w:proofErr w:type="spellStart"/>
      <w:r w:rsidRPr="006B5D74">
        <w:rPr>
          <w:rFonts w:eastAsia="Calibri"/>
          <w:lang w:val="fr-FR"/>
        </w:rPr>
        <w:t>Definition</w:t>
      </w:r>
      <w:proofErr w:type="spellEnd"/>
      <w:r w:rsidRPr="006B5D74">
        <w:rPr>
          <w:rFonts w:eastAsia="Calibri"/>
          <w:lang w:val="fr-FR"/>
        </w:rPr>
        <w:t xml:space="preserve"> of </w:t>
      </w:r>
      <w:proofErr w:type="spellStart"/>
      <w:r w:rsidR="00314734">
        <w:rPr>
          <w:rFonts w:eastAsia="Calibri"/>
          <w:lang w:val="fr-FR"/>
        </w:rPr>
        <w:t>annoyance</w:t>
      </w:r>
      <w:proofErr w:type="spellEnd"/>
      <w:r w:rsidRPr="006B5D74">
        <w:rPr>
          <w:rFonts w:eastAsia="Calibri"/>
          <w:lang w:val="fr-FR"/>
        </w:rPr>
        <w:t xml:space="preserve"> </w:t>
      </w:r>
      <w:proofErr w:type="spellStart"/>
      <w:r w:rsidRPr="006B5D74">
        <w:rPr>
          <w:rFonts w:eastAsia="Calibri"/>
          <w:lang w:val="fr-FR"/>
        </w:rPr>
        <w:t>potential</w:t>
      </w:r>
      <w:proofErr w:type="spellEnd"/>
    </w:p>
    <w:p w14:paraId="107E982D" w14:textId="77777777" w:rsidR="00830409" w:rsidRPr="00830409" w:rsidRDefault="00830409" w:rsidP="00830409">
      <w:pPr>
        <w:pStyle w:val="CETBodytext"/>
        <w:rPr>
          <w:rFonts w:eastAsia="Calibri"/>
          <w:lang w:val="en-GB"/>
        </w:rPr>
      </w:pPr>
      <w:r w:rsidRPr="00830409">
        <w:rPr>
          <w:rFonts w:eastAsia="Calibri"/>
          <w:lang w:val="en-GB"/>
        </w:rPr>
        <w:t>Annoyance potential is defined as the capacity of an odour to constitute an annoyance. It describes the impact of the odour according to its intensity, acceptability and frequency in time and space.</w:t>
      </w:r>
      <w:r w:rsidR="00530614">
        <w:rPr>
          <w:rFonts w:eastAsia="Calibri"/>
          <w:lang w:val="en-GB"/>
        </w:rPr>
        <w:t xml:space="preserve"> </w:t>
      </w:r>
    </w:p>
    <w:p w14:paraId="63A0A3AD" w14:textId="77777777" w:rsidR="001227DF" w:rsidRPr="00830409" w:rsidRDefault="00830409" w:rsidP="00830409">
      <w:pPr>
        <w:pStyle w:val="CETBodytext"/>
        <w:rPr>
          <w:rFonts w:eastAsia="Calibri"/>
          <w:lang w:val="en-GB"/>
        </w:rPr>
      </w:pPr>
      <w:r w:rsidRPr="00830409">
        <w:rPr>
          <w:rFonts w:eastAsia="Calibri"/>
          <w:lang w:val="en-GB"/>
        </w:rPr>
        <w:t xml:space="preserve">Its evaluation is based on two of the main </w:t>
      </w:r>
      <w:r>
        <w:rPr>
          <w:rFonts w:eastAsia="Calibri"/>
          <w:lang w:val="en-GB"/>
        </w:rPr>
        <w:t>information</w:t>
      </w:r>
      <w:r w:rsidRPr="00830409">
        <w:rPr>
          <w:rFonts w:eastAsia="Calibri"/>
          <w:lang w:val="en-GB"/>
        </w:rPr>
        <w:t xml:space="preserve"> returned by our olfactory sense: the acceptability and the intensity of the odour, which are closely related to the odour concentration. The equation used to calculate a value of intensity and acceptability in each cell is inspired by Weber Fechner's law (</w:t>
      </w:r>
      <w:proofErr w:type="spellStart"/>
      <w:proofErr w:type="gramStart"/>
      <w:r w:rsidRPr="00830409">
        <w:rPr>
          <w:rFonts w:eastAsia="Calibri"/>
          <w:lang w:val="en-GB"/>
        </w:rPr>
        <w:t>Eq</w:t>
      </w:r>
      <w:proofErr w:type="spellEnd"/>
      <w:r w:rsidRPr="00830409">
        <w:rPr>
          <w:rFonts w:eastAsia="Calibri"/>
          <w:lang w:val="en-GB"/>
        </w:rPr>
        <w:t>(</w:t>
      </w:r>
      <w:proofErr w:type="gramEnd"/>
      <w:r w:rsidRPr="00830409">
        <w:rPr>
          <w:rFonts w:eastAsia="Calibri"/>
          <w:lang w:val="en-GB"/>
        </w:rPr>
        <w:t>4)). In psychophysics, this law describes the relationship between a mental sensation and the ph</w:t>
      </w:r>
      <w:r>
        <w:rPr>
          <w:rFonts w:eastAsia="Calibri"/>
          <w:lang w:val="en-GB"/>
        </w:rPr>
        <w:t>ysical magnitude of a stimulus.</w:t>
      </w:r>
    </w:p>
    <w:p w14:paraId="24B41FEE" w14:textId="77777777" w:rsidR="001227DF" w:rsidRPr="001227DF" w:rsidRDefault="00D970D4" w:rsidP="001227DF">
      <w:pPr>
        <w:pStyle w:val="CETEquation"/>
        <w:rPr>
          <w:rFonts w:eastAsia="Calibri"/>
        </w:rPr>
      </w:pPr>
      <m:oMathPara>
        <m:oMath>
          <m:eqArr>
            <m:eqArrPr>
              <m:maxDist m:val="1"/>
              <m:ctrlPr>
                <w:rPr>
                  <w:rFonts w:ascii="Cambria Math" w:hAnsi="Cambria Math"/>
                  <w:i/>
                </w:rPr>
              </m:ctrlPr>
            </m:eqArrPr>
            <m:e>
              <m:r>
                <w:rPr>
                  <w:rFonts w:ascii="Cambria Math" w:hAnsi="Cambria Math"/>
                </w:rPr>
                <m:t>I=</m:t>
              </m:r>
              <m:r>
                <m:rPr>
                  <m:sty m:val="p"/>
                </m:rPr>
                <w:rPr>
                  <w:rFonts w:ascii="Cambria Math" w:hAnsi="Cambria Math"/>
                </w:rPr>
                <m:t>k</m:t>
              </m:r>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S</m:t>
                      </m:r>
                    </m:e>
                  </m:d>
                </m:e>
              </m:func>
              <m:r>
                <w:rPr>
                  <w:rFonts w:ascii="Cambria Math" w:hAnsi="Cambria Math"/>
                  <w:lang w:val="fr-FR"/>
                </w:rPr>
                <m:t>#</m:t>
              </m:r>
              <m:d>
                <m:dPr>
                  <m:ctrlPr>
                    <w:rPr>
                      <w:rFonts w:ascii="Cambria Math" w:hAnsi="Cambria Math"/>
                      <w:i/>
                    </w:rPr>
                  </m:ctrlPr>
                </m:dPr>
                <m:e>
                  <m:r>
                    <w:rPr>
                      <w:rFonts w:ascii="Cambria Math" w:hAnsi="Cambria Math"/>
                    </w:rPr>
                    <m:t>4</m:t>
                  </m:r>
                </m:e>
              </m:d>
            </m:e>
          </m:eqArr>
        </m:oMath>
      </m:oMathPara>
    </w:p>
    <w:p w14:paraId="2D39BF82" w14:textId="77777777" w:rsidR="00530614" w:rsidRPr="00530614" w:rsidRDefault="00530614" w:rsidP="00530614">
      <w:pPr>
        <w:pStyle w:val="CETBodytext"/>
        <w:rPr>
          <w:rFonts w:eastAsia="Calibri"/>
          <w:lang w:val="en-GB"/>
        </w:rPr>
      </w:pPr>
      <w:r w:rsidRPr="00530614">
        <w:rPr>
          <w:rFonts w:eastAsia="Calibri"/>
          <w:lang w:val="en-GB"/>
        </w:rPr>
        <w:t xml:space="preserve">Where </w:t>
      </w:r>
      <w:r w:rsidRPr="00930B48">
        <w:rPr>
          <w:rFonts w:eastAsia="Calibri"/>
          <w:i/>
          <w:lang w:val="en-GB"/>
        </w:rPr>
        <w:t>I</w:t>
      </w:r>
      <w:r w:rsidRPr="00530614">
        <w:rPr>
          <w:rFonts w:eastAsia="Calibri"/>
          <w:lang w:val="en-GB"/>
        </w:rPr>
        <w:t xml:space="preserve"> </w:t>
      </w:r>
      <w:proofErr w:type="gramStart"/>
      <w:r w:rsidRPr="00530614">
        <w:rPr>
          <w:rFonts w:eastAsia="Calibri"/>
          <w:lang w:val="en-GB"/>
        </w:rPr>
        <w:t>is</w:t>
      </w:r>
      <w:proofErr w:type="gramEnd"/>
      <w:r w:rsidRPr="00530614">
        <w:rPr>
          <w:rFonts w:eastAsia="Calibri"/>
          <w:lang w:val="en-GB"/>
        </w:rPr>
        <w:t xml:space="preserve"> the intensity of the sensation, </w:t>
      </w:r>
      <w:r w:rsidRPr="00930B48">
        <w:rPr>
          <w:rFonts w:eastAsia="Calibri"/>
          <w:i/>
          <w:lang w:val="en-GB"/>
        </w:rPr>
        <w:t>S</w:t>
      </w:r>
      <w:r w:rsidRPr="00530614">
        <w:rPr>
          <w:rFonts w:eastAsia="Calibri"/>
          <w:lang w:val="en-GB"/>
        </w:rPr>
        <w:t xml:space="preserve"> the </w:t>
      </w:r>
      <w:r>
        <w:rPr>
          <w:rFonts w:eastAsia="Calibri"/>
          <w:lang w:val="en-GB"/>
        </w:rPr>
        <w:t xml:space="preserve">magnitude </w:t>
      </w:r>
      <w:r w:rsidRPr="00530614">
        <w:rPr>
          <w:rFonts w:eastAsia="Calibri"/>
          <w:lang w:val="en-GB"/>
        </w:rPr>
        <w:t>of the stimulus, k a constant.</w:t>
      </w:r>
    </w:p>
    <w:p w14:paraId="1B74B419" w14:textId="77777777" w:rsidR="001227DF" w:rsidRPr="00530614" w:rsidRDefault="00530614" w:rsidP="00530614">
      <w:pPr>
        <w:pStyle w:val="CETBodytext"/>
        <w:rPr>
          <w:rFonts w:eastAsia="Calibri"/>
          <w:lang w:val="en-GB"/>
        </w:rPr>
      </w:pPr>
      <w:r w:rsidRPr="00530614">
        <w:rPr>
          <w:rFonts w:eastAsia="Calibri"/>
          <w:lang w:val="en-GB"/>
        </w:rPr>
        <w:t xml:space="preserve">Applied to odours, the slope coefficient of the line (k) is determined by olfactometry for each gaseous effluent according to the responses of a </w:t>
      </w:r>
      <w:r>
        <w:rPr>
          <w:rFonts w:eastAsia="Calibri"/>
          <w:lang w:val="en-GB"/>
        </w:rPr>
        <w:t>sniffing</w:t>
      </w:r>
      <w:r w:rsidRPr="00530614">
        <w:rPr>
          <w:rFonts w:eastAsia="Calibri"/>
          <w:lang w:val="en-GB"/>
        </w:rPr>
        <w:t xml:space="preserve"> </w:t>
      </w:r>
      <w:r>
        <w:rPr>
          <w:rFonts w:eastAsia="Calibri"/>
          <w:lang w:val="en-GB"/>
        </w:rPr>
        <w:t>team</w:t>
      </w:r>
      <w:r w:rsidRPr="00530614">
        <w:rPr>
          <w:rFonts w:eastAsia="Calibri"/>
          <w:lang w:val="en-GB"/>
        </w:rPr>
        <w:t xml:space="preserve">. This method developed by </w:t>
      </w:r>
      <w:proofErr w:type="spellStart"/>
      <w:r w:rsidRPr="00530614">
        <w:rPr>
          <w:rFonts w:eastAsia="Calibri"/>
          <w:lang w:val="en-GB"/>
        </w:rPr>
        <w:t>Olentica</w:t>
      </w:r>
      <w:proofErr w:type="spellEnd"/>
      <w:r w:rsidRPr="00530614">
        <w:rPr>
          <w:rFonts w:eastAsia="Calibri"/>
          <w:lang w:val="en-GB"/>
        </w:rPr>
        <w:t xml:space="preserve"> measures the intensity and acceptability on an open scale</w:t>
      </w:r>
      <w:r w:rsidR="00F161BF">
        <w:rPr>
          <w:rFonts w:eastAsia="Calibri"/>
          <w:lang w:val="en-GB"/>
        </w:rPr>
        <w:t xml:space="preserve"> </w:t>
      </w:r>
      <w:r w:rsidR="00F161BF">
        <w:rPr>
          <w:rFonts w:eastAsia="Calibri"/>
          <w:lang w:val="en-GB"/>
        </w:rPr>
        <w:fldChar w:fldCharType="begin" w:fldLock="1"/>
      </w:r>
      <w:r w:rsidR="00A97196">
        <w:rPr>
          <w:rFonts w:eastAsia="Calibri"/>
          <w:lang w:val="en-GB"/>
        </w:rPr>
        <w:instrText>ADDIN CSL_CITATION {"citationItems":[{"id":"ITEM-1","itemData":{"DOI":"10.3303/CET1440003","ISBN":"978-88-95608-31-0","ISSN":"2283-9216","abstract":"Nowadays olfactory discomfort is one of the most important factors of well-being. Different methods exist to calculate a discomfort indicator, but these indicators are based on one year human observations. However, only few methods are able to give information on concentration and acceptability of odours. These values are rarely combined to build an annoyance potential for odorous sources. In this paper, a new method is proposed for the evaluation of odours acceptability. In this method the odour concentration determination (according to the EN 13725) is followed by odour acceptability determination. The measurement of acceptability is realised at different concentrations just above the threshold at which all panel members detect the odour. An extrapolation is done to obtain the acceptability of the sample at the real concentration. A potential of annoyance is calculated by multiplying odour concentration and acceptability. In the last part of this paper, three examples are given to illustrate the interest of annoyance potential. Two deal with environmental odours (composting and rendering) to identify the most impacting sources. The third one concerns building materials.","author":[{"dropping-particle":"","family":"Chaignaud","given":"Mathilde","non-dropping-particle":"","parse-names":false,"suffix":""},{"dropping-particle":"","family":"Cariou","given":"Stephane","non-dropping-particle":"","parse-names":false,"suffix":""},{"dropping-particle":"","family":"Poette","given":"Julie","non-dropping-particle":"","parse-names":false,"suffix":""},{"dropping-particle":"","family":"Fages","given":"Marion","non-dropping-particle":"","parse-names":false,"suffix":""},{"dropping-particle":"","family":"Despres","given":"Jean-François","non-dropping-particle":"","parse-names":false,"suffix":""},{"dropping-particle":"","family":"Fanlo","given":"Jean-Louis","non-dropping-particle":"","parse-names":false,"suffix":""}],"container-title":"Chemical Engineering Transactions","id":"ITEM-1","issued":{"date-parts":[["2014"]]},"page":"13 – 18","title":"A New method to Evaluate Odour Annoyance Potential","type":"paper-conference","volume":"40"},"uris":["http://www.mendeley.com/documents/?uuid=3c24fc51-7514-358e-8d64-19e7142d4d0a"]}],"mendeley":{"formattedCitation":"(Chaignaud et al., 2014)","plainTextFormattedCitation":"(Chaignaud et al., 2014)","previouslyFormattedCitation":"(Chaignaud et al., 2014)"},"properties":{"noteIndex":0},"schema":"https://github.com/citation-style-language/schema/raw/master/csl-citation.json"}</w:instrText>
      </w:r>
      <w:r w:rsidR="00F161BF">
        <w:rPr>
          <w:rFonts w:eastAsia="Calibri"/>
          <w:lang w:val="en-GB"/>
        </w:rPr>
        <w:fldChar w:fldCharType="separate"/>
      </w:r>
      <w:r w:rsidR="00F161BF" w:rsidRPr="00A97196">
        <w:rPr>
          <w:rFonts w:eastAsia="Calibri"/>
          <w:noProof/>
          <w:lang w:val="en-GB"/>
        </w:rPr>
        <w:t>(Chaignaud et al., 2014)</w:t>
      </w:r>
      <w:r w:rsidR="00F161BF">
        <w:rPr>
          <w:rFonts w:eastAsia="Calibri"/>
          <w:lang w:val="en-GB"/>
        </w:rPr>
        <w:fldChar w:fldCharType="end"/>
      </w:r>
      <w:r w:rsidRPr="00530614">
        <w:rPr>
          <w:rFonts w:eastAsia="Calibri"/>
          <w:lang w:val="en-GB"/>
        </w:rPr>
        <w:t>. The stimulus magnitude (</w:t>
      </w:r>
      <w:r w:rsidRPr="00930B48">
        <w:rPr>
          <w:rFonts w:eastAsia="Calibri"/>
          <w:i/>
          <w:lang w:val="en-GB"/>
        </w:rPr>
        <w:t>S</w:t>
      </w:r>
      <w:r w:rsidRPr="00530614">
        <w:rPr>
          <w:rFonts w:eastAsia="Calibri"/>
          <w:lang w:val="en-GB"/>
        </w:rPr>
        <w:t>) corresponds to the concentration in odour units. This equation is used to calculate an intensity value in each cell (</w:t>
      </w:r>
      <w:proofErr w:type="spellStart"/>
      <w:proofErr w:type="gramStart"/>
      <w:r w:rsidRPr="00530614">
        <w:rPr>
          <w:rFonts w:eastAsia="Calibri"/>
          <w:lang w:val="en-GB"/>
        </w:rPr>
        <w:t>Eq</w:t>
      </w:r>
      <w:proofErr w:type="spellEnd"/>
      <w:r w:rsidRPr="00530614">
        <w:rPr>
          <w:rFonts w:eastAsia="Calibri"/>
          <w:lang w:val="en-GB"/>
        </w:rPr>
        <w:t>(</w:t>
      </w:r>
      <w:proofErr w:type="gramEnd"/>
      <w:r w:rsidRPr="00530614">
        <w:rPr>
          <w:rFonts w:eastAsia="Calibri"/>
          <w:lang w:val="en-GB"/>
        </w:rPr>
        <w:t>5)).</w:t>
      </w:r>
    </w:p>
    <w:p w14:paraId="672DDCB3" w14:textId="77777777" w:rsidR="00947220" w:rsidRPr="003D5FE6" w:rsidRDefault="00D970D4" w:rsidP="003D5FE6">
      <w:pPr>
        <w:pStyle w:val="CETEquation"/>
        <w:rPr>
          <w:rFonts w:eastAsia="Calibri"/>
        </w:rPr>
      </w:pPr>
      <m:oMathPara>
        <m:oMath>
          <m:eqArr>
            <m:eqArrPr>
              <m:maxDist m:val="1"/>
              <m:ctrlPr>
                <w:rPr>
                  <w:rFonts w:ascii="Cambria Math" w:hAnsi="Cambria Math"/>
                  <w:i/>
                </w:rPr>
              </m:ctrlPr>
            </m:eqArrPr>
            <m:e>
              <m:r>
                <w:rPr>
                  <w:rFonts w:ascii="Cambria Math" w:hAnsi="Cambria Math"/>
                </w:rPr>
                <m:t>I=k*</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C</m:t>
                      </m:r>
                    </m:e>
                    <m:sub>
                      <m:r>
                        <w:rPr>
                          <w:rFonts w:ascii="Cambria Math" w:hAnsi="Cambria Math"/>
                        </w:rPr>
                        <m:t>od</m:t>
                      </m:r>
                    </m:sub>
                  </m:sSub>
                  <m:r>
                    <w:rPr>
                      <w:rFonts w:ascii="Cambria Math" w:hAnsi="Cambria Math"/>
                    </w:rPr>
                    <m:t>)</m:t>
                  </m:r>
                </m:e>
              </m:func>
              <m:r>
                <w:rPr>
                  <w:rFonts w:ascii="Cambria Math" w:hAnsi="Cambria Math"/>
                  <w:lang w:val="fr-FR"/>
                </w:rPr>
                <m:t>+0.5#</m:t>
              </m:r>
              <m:d>
                <m:dPr>
                  <m:ctrlPr>
                    <w:rPr>
                      <w:rFonts w:ascii="Cambria Math" w:hAnsi="Cambria Math"/>
                      <w:i/>
                    </w:rPr>
                  </m:ctrlPr>
                </m:dPr>
                <m:e>
                  <m:r>
                    <w:rPr>
                      <w:rFonts w:ascii="Cambria Math" w:hAnsi="Cambria Math"/>
                    </w:rPr>
                    <m:t>5</m:t>
                  </m:r>
                </m:e>
              </m:d>
            </m:e>
          </m:eqArr>
          <m:r>
            <w:rPr>
              <w:rFonts w:ascii="Cambria Math" w:hAnsi="Cambria Math"/>
            </w:rPr>
            <m:t xml:space="preserve"> </m:t>
          </m:r>
        </m:oMath>
      </m:oMathPara>
    </w:p>
    <w:p w14:paraId="6578B304" w14:textId="77777777" w:rsidR="00930B48" w:rsidRDefault="00930B48" w:rsidP="00930B48">
      <w:pPr>
        <w:pStyle w:val="CETBodytext"/>
        <w:rPr>
          <w:rFonts w:eastAsia="Calibri"/>
          <w:lang w:val="en-GB"/>
        </w:rPr>
      </w:pPr>
      <w:r w:rsidRPr="00530614">
        <w:rPr>
          <w:rFonts w:eastAsia="Calibri"/>
          <w:lang w:val="en-GB"/>
        </w:rPr>
        <w:t xml:space="preserve">Where </w:t>
      </w:r>
      <w:r w:rsidRPr="00930B48">
        <w:rPr>
          <w:rFonts w:eastAsia="Calibri"/>
          <w:i/>
          <w:lang w:val="en-GB"/>
        </w:rPr>
        <w:t>I</w:t>
      </w:r>
      <w:r w:rsidRPr="00530614">
        <w:rPr>
          <w:rFonts w:eastAsia="Calibri"/>
          <w:lang w:val="en-GB"/>
        </w:rPr>
        <w:t xml:space="preserve"> </w:t>
      </w:r>
      <w:proofErr w:type="gramStart"/>
      <w:r w:rsidRPr="00530614">
        <w:rPr>
          <w:rFonts w:eastAsia="Calibri"/>
          <w:lang w:val="en-GB"/>
        </w:rPr>
        <w:t>is</w:t>
      </w:r>
      <w:proofErr w:type="gramEnd"/>
      <w:r w:rsidRPr="00530614">
        <w:rPr>
          <w:rFonts w:eastAsia="Calibri"/>
          <w:lang w:val="en-GB"/>
        </w:rPr>
        <w:t xml:space="preserve"> the </w:t>
      </w:r>
      <w:r>
        <w:rPr>
          <w:rFonts w:eastAsia="Calibri"/>
          <w:lang w:val="en-GB"/>
        </w:rPr>
        <w:t xml:space="preserve">odour </w:t>
      </w:r>
      <w:r w:rsidRPr="00530614">
        <w:rPr>
          <w:rFonts w:eastAsia="Calibri"/>
          <w:lang w:val="en-GB"/>
        </w:rPr>
        <w:t xml:space="preserve">intensity value in the cell, k is the constant measured by </w:t>
      </w:r>
      <w:proofErr w:type="spellStart"/>
      <w:r w:rsidRPr="00530614">
        <w:rPr>
          <w:rFonts w:eastAsia="Calibri"/>
          <w:lang w:val="en-GB"/>
        </w:rPr>
        <w:t>Olentica</w:t>
      </w:r>
      <w:proofErr w:type="spellEnd"/>
      <w:r>
        <w:rPr>
          <w:rFonts w:eastAsia="Calibri"/>
          <w:lang w:val="en-GB"/>
        </w:rPr>
        <w:t xml:space="preserve">, </w:t>
      </w:r>
      <m:oMath>
        <m:sSub>
          <m:sSubPr>
            <m:ctrlPr>
              <w:rPr>
                <w:rFonts w:ascii="Cambria Math" w:eastAsia="Calibri" w:hAnsi="Cambria Math"/>
                <w:i/>
                <w:lang w:val="fr-FR"/>
              </w:rPr>
            </m:ctrlPr>
          </m:sSubPr>
          <m:e>
            <m:r>
              <w:rPr>
                <w:rFonts w:ascii="Cambria Math" w:eastAsia="Calibri" w:hAnsi="Cambria Math"/>
                <w:lang w:val="fr-FR"/>
              </w:rPr>
              <m:t>C</m:t>
            </m:r>
          </m:e>
          <m:sub>
            <m:r>
              <w:rPr>
                <w:rFonts w:ascii="Cambria Math" w:eastAsia="Calibri" w:hAnsi="Cambria Math"/>
                <w:lang w:val="fr-FR"/>
              </w:rPr>
              <m:t>od</m:t>
            </m:r>
          </m:sub>
        </m:sSub>
      </m:oMath>
      <w:r w:rsidRPr="00530614">
        <w:rPr>
          <w:rFonts w:eastAsia="Calibri"/>
          <w:lang w:val="en-GB"/>
        </w:rPr>
        <w:t>is the concentration of odour units in the cell</w:t>
      </w:r>
      <w:r>
        <w:rPr>
          <w:rFonts w:eastAsia="Calibri"/>
          <w:lang w:val="en-GB"/>
        </w:rPr>
        <w:t xml:space="preserve"> and 0.5 is an interception constant </w:t>
      </w:r>
      <w:r w:rsidRPr="000F403A">
        <w:rPr>
          <w:rFonts w:eastAsia="Calibri"/>
          <w:lang w:val="en-GB"/>
        </w:rPr>
        <w:t>(0.5 by definition</w:t>
      </w:r>
      <w:r>
        <w:rPr>
          <w:rFonts w:eastAsia="Calibri"/>
          <w:lang w:val="en-GB"/>
        </w:rPr>
        <w:t>,</w:t>
      </w:r>
      <w:r w:rsidRPr="000F403A">
        <w:rPr>
          <w:rFonts w:eastAsia="Calibri"/>
          <w:lang w:val="en-GB"/>
        </w:rPr>
        <w:t xml:space="preserve"> </w:t>
      </w:r>
      <w:r>
        <w:rPr>
          <w:rFonts w:eastAsia="Calibri"/>
          <w:lang w:val="en-GB"/>
        </w:rPr>
        <w:t>since</w:t>
      </w:r>
      <w:r w:rsidRPr="000F403A">
        <w:rPr>
          <w:rFonts w:eastAsia="Calibri"/>
          <w:lang w:val="en-GB"/>
        </w:rPr>
        <w:t xml:space="preserve"> 50% of the population can perceive the odour when the odour concentration is equal to 1</w:t>
      </w:r>
      <w:r w:rsidRPr="008255E8">
        <w:rPr>
          <w:rFonts w:eastAsia="Calibri"/>
          <w:lang w:val="en-GB"/>
        </w:rPr>
        <w:t xml:space="preserve"> </w:t>
      </w:r>
      <w:r>
        <w:rPr>
          <w:rFonts w:eastAsia="Calibri"/>
          <w:lang w:val="en-GB"/>
        </w:rPr>
        <w:t>OU</w:t>
      </w:r>
      <w:r w:rsidRPr="00BC37A8">
        <w:rPr>
          <w:rFonts w:eastAsia="Calibri"/>
          <w:vertAlign w:val="subscript"/>
          <w:lang w:val="en-GB"/>
        </w:rPr>
        <w:t>E</w:t>
      </w:r>
      <w:r w:rsidRPr="008255E8">
        <w:rPr>
          <w:rFonts w:eastAsia="Calibri"/>
          <w:lang w:val="en-GB"/>
        </w:rPr>
        <w:t>/m</w:t>
      </w:r>
      <w:r w:rsidRPr="00BC37A8">
        <w:rPr>
          <w:rFonts w:eastAsia="Calibri"/>
          <w:vertAlign w:val="superscript"/>
          <w:lang w:val="en-GB"/>
        </w:rPr>
        <w:t>3</w:t>
      </w:r>
      <w:r w:rsidRPr="000F403A">
        <w:rPr>
          <w:rFonts w:eastAsia="Calibri"/>
          <w:lang w:val="en-GB"/>
        </w:rPr>
        <w:t>)</w:t>
      </w:r>
      <w:r>
        <w:rPr>
          <w:rFonts w:eastAsia="Calibri"/>
          <w:lang w:val="en-GB"/>
        </w:rPr>
        <w:t xml:space="preserve">. </w:t>
      </w:r>
    </w:p>
    <w:p w14:paraId="6278812F" w14:textId="77777777" w:rsidR="00C32DB9" w:rsidRPr="00930B48" w:rsidRDefault="00930B48" w:rsidP="00930B48">
      <w:pPr>
        <w:pStyle w:val="CETBodytext"/>
        <w:rPr>
          <w:rFonts w:eastAsia="Calibri"/>
          <w:lang w:val="en-GB"/>
        </w:rPr>
      </w:pPr>
      <w:r w:rsidRPr="00530614">
        <w:rPr>
          <w:rFonts w:eastAsia="Calibri"/>
          <w:lang w:val="en-GB"/>
        </w:rPr>
        <w:t xml:space="preserve">The equation used to calculate </w:t>
      </w:r>
      <w:r>
        <w:rPr>
          <w:rFonts w:eastAsia="Calibri"/>
          <w:lang w:val="en-GB"/>
        </w:rPr>
        <w:t xml:space="preserve">odour </w:t>
      </w:r>
      <w:r w:rsidRPr="00530614">
        <w:rPr>
          <w:rFonts w:eastAsia="Calibri"/>
          <w:lang w:val="en-GB"/>
        </w:rPr>
        <w:t xml:space="preserve">acceptability </w:t>
      </w:r>
      <w:r>
        <w:rPr>
          <w:rFonts w:eastAsia="Calibri"/>
          <w:lang w:val="en-GB"/>
        </w:rPr>
        <w:t>(</w:t>
      </w:r>
      <w:proofErr w:type="spellStart"/>
      <w:r w:rsidRPr="003A78CA">
        <w:rPr>
          <w:rFonts w:eastAsia="Calibri"/>
          <w:i/>
          <w:lang w:val="en-GB"/>
        </w:rPr>
        <w:t>Acc</w:t>
      </w:r>
      <w:proofErr w:type="spellEnd"/>
      <w:r>
        <w:rPr>
          <w:rFonts w:eastAsia="Calibri"/>
          <w:lang w:val="en-GB"/>
        </w:rPr>
        <w:t xml:space="preserve">) </w:t>
      </w:r>
      <w:r w:rsidRPr="00530614">
        <w:rPr>
          <w:rFonts w:eastAsia="Calibri"/>
          <w:lang w:val="en-GB"/>
        </w:rPr>
        <w:t xml:space="preserve">differs slightly from the intensity equation. </w:t>
      </w:r>
      <w:r w:rsidRPr="008255E8">
        <w:t xml:space="preserve"> </w:t>
      </w:r>
      <w:r w:rsidRPr="008255E8">
        <w:rPr>
          <w:rFonts w:eastAsia="Calibri"/>
          <w:lang w:val="en-GB"/>
        </w:rPr>
        <w:t xml:space="preserve">The interception constant in this case is equal to 0 (at 1 </w:t>
      </w:r>
      <w:r>
        <w:rPr>
          <w:rFonts w:eastAsia="Calibri"/>
          <w:lang w:val="en-GB"/>
        </w:rPr>
        <w:t>OU</w:t>
      </w:r>
      <w:r w:rsidRPr="003A78CA">
        <w:rPr>
          <w:rFonts w:eastAsia="Calibri"/>
          <w:vertAlign w:val="subscript"/>
          <w:lang w:val="en-GB"/>
        </w:rPr>
        <w:t>E</w:t>
      </w:r>
      <w:r w:rsidRPr="008255E8">
        <w:rPr>
          <w:rFonts w:eastAsia="Calibri"/>
          <w:lang w:val="en-GB"/>
        </w:rPr>
        <w:t>/m</w:t>
      </w:r>
      <w:r w:rsidRPr="003A78CA">
        <w:rPr>
          <w:rFonts w:eastAsia="Calibri"/>
          <w:vertAlign w:val="superscript"/>
          <w:lang w:val="en-GB"/>
        </w:rPr>
        <w:t>3</w:t>
      </w:r>
      <w:r w:rsidRPr="008255E8">
        <w:rPr>
          <w:rFonts w:eastAsia="Calibri"/>
          <w:lang w:val="en-GB"/>
        </w:rPr>
        <w:t xml:space="preserve"> the odour quality is not perceptible, so the odour acceptability is equal to 0 (neutral odour)</w:t>
      </w:r>
      <w:proofErr w:type="gramStart"/>
      <w:r w:rsidRPr="008255E8">
        <w:rPr>
          <w:rFonts w:eastAsia="Calibri"/>
          <w:lang w:val="en-GB"/>
        </w:rPr>
        <w:t>).</w:t>
      </w:r>
      <w:r w:rsidRPr="00530614">
        <w:rPr>
          <w:rFonts w:eastAsia="Calibri"/>
          <w:lang w:val="en-GB"/>
        </w:rPr>
        <w:t>The</w:t>
      </w:r>
      <w:proofErr w:type="gramEnd"/>
      <w:r w:rsidRPr="00530614">
        <w:rPr>
          <w:rFonts w:eastAsia="Calibri"/>
          <w:lang w:val="en-GB"/>
        </w:rPr>
        <w:t xml:space="preserve"> </w:t>
      </w:r>
      <w:r>
        <w:rPr>
          <w:rFonts w:eastAsia="Calibri"/>
          <w:lang w:val="en-GB"/>
        </w:rPr>
        <w:t xml:space="preserve">slope </w:t>
      </w:r>
      <w:r w:rsidRPr="00530614">
        <w:rPr>
          <w:rFonts w:eastAsia="Calibri"/>
          <w:lang w:val="en-GB"/>
        </w:rPr>
        <w:t>coefficient (k</w:t>
      </w:r>
      <w:r>
        <w:rPr>
          <w:rFonts w:eastAsia="Calibri"/>
          <w:lang w:val="en-GB"/>
        </w:rPr>
        <w:t>’</w:t>
      </w:r>
      <w:r w:rsidRPr="00530614">
        <w:rPr>
          <w:rFonts w:eastAsia="Calibri"/>
          <w:lang w:val="en-GB"/>
        </w:rPr>
        <w:t>) is determined in a similar way, based on the answers of a jury. This equation is used to calculate an acceptability value in each cell (</w:t>
      </w:r>
      <w:proofErr w:type="spellStart"/>
      <w:proofErr w:type="gramStart"/>
      <w:r w:rsidRPr="00530614">
        <w:rPr>
          <w:rFonts w:eastAsia="Calibri"/>
          <w:lang w:val="en-GB"/>
        </w:rPr>
        <w:t>Eq</w:t>
      </w:r>
      <w:proofErr w:type="spellEnd"/>
      <w:r w:rsidRPr="00530614">
        <w:rPr>
          <w:rFonts w:eastAsia="Calibri"/>
          <w:lang w:val="en-GB"/>
        </w:rPr>
        <w:t>(</w:t>
      </w:r>
      <w:proofErr w:type="gramEnd"/>
      <w:r w:rsidRPr="00530614">
        <w:rPr>
          <w:rFonts w:eastAsia="Calibri"/>
          <w:lang w:val="en-GB"/>
        </w:rPr>
        <w:t>6)).</w:t>
      </w:r>
      <m:oMath>
        <m:eqArr>
          <m:eqArrPr>
            <m:maxDist m:val="1"/>
            <m:ctrlPr>
              <w:rPr>
                <w:rFonts w:ascii="Cambria Math" w:hAnsi="Cambria Math"/>
                <w:i/>
              </w:rPr>
            </m:ctrlPr>
          </m:eqArrPr>
          <m:e>
            <m:r>
              <w:rPr>
                <w:rFonts w:ascii="Cambria Math" w:hAnsi="Cambria Math"/>
              </w:rPr>
              <m:t>Acc</m:t>
            </m:r>
            <m:r>
              <w:rPr>
                <w:rFonts w:ascii="Cambria Math" w:hAnsi="Cambria Math"/>
                <w:lang w:val="en-GB"/>
              </w:rPr>
              <m:t>=</m:t>
            </m:r>
            <m:r>
              <w:rPr>
                <w:rFonts w:ascii="Cambria Math" w:hAnsi="Cambria Math"/>
              </w:rPr>
              <m:t>k'</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log⁡(</m:t>
                </m:r>
              </m:fName>
              <m:e>
                <m:sSub>
                  <m:sSubPr>
                    <m:ctrlPr>
                      <w:rPr>
                        <w:rFonts w:ascii="Cambria Math" w:hAnsi="Cambria Math"/>
                        <w:i/>
                      </w:rPr>
                    </m:ctrlPr>
                  </m:sSubPr>
                  <m:e>
                    <m:r>
                      <w:rPr>
                        <w:rFonts w:ascii="Cambria Math" w:hAnsi="Cambria Math"/>
                      </w:rPr>
                      <m:t>C</m:t>
                    </m:r>
                  </m:e>
                  <m:sub>
                    <m:r>
                      <w:rPr>
                        <w:rFonts w:ascii="Cambria Math" w:hAnsi="Cambria Math"/>
                      </w:rPr>
                      <m:t>od</m:t>
                    </m:r>
                  </m:sub>
                </m:sSub>
                <m:r>
                  <w:rPr>
                    <w:rFonts w:ascii="Cambria Math" w:hAnsi="Cambria Math"/>
                    <w:lang w:val="en-GB"/>
                  </w:rPr>
                  <m:t>)</m:t>
                </m:r>
              </m:e>
            </m:func>
            <m:r>
              <w:rPr>
                <w:rFonts w:ascii="Cambria Math" w:hAnsi="Cambria Math"/>
                <w:lang w:val="en-GB"/>
              </w:rPr>
              <m:t>#</m:t>
            </m:r>
            <m:d>
              <m:dPr>
                <m:ctrlPr>
                  <w:rPr>
                    <w:rFonts w:ascii="Cambria Math" w:hAnsi="Cambria Math"/>
                    <w:i/>
                  </w:rPr>
                </m:ctrlPr>
              </m:dPr>
              <m:e>
                <m:r>
                  <w:rPr>
                    <w:rFonts w:ascii="Cambria Math" w:hAnsi="Cambria Math"/>
                    <w:lang w:val="en-GB"/>
                  </w:rPr>
                  <m:t>6</m:t>
                </m:r>
              </m:e>
            </m:d>
          </m:e>
        </m:eqArr>
        <m:r>
          <w:rPr>
            <w:rFonts w:ascii="Cambria Math" w:hAnsi="Cambria Math"/>
            <w:lang w:val="en-GB"/>
          </w:rPr>
          <m:t xml:space="preserve"> </m:t>
        </m:r>
      </m:oMath>
    </w:p>
    <w:p w14:paraId="4400D505" w14:textId="77777777" w:rsidR="004C0BE9" w:rsidRPr="00CB205B" w:rsidRDefault="00CB205B" w:rsidP="004C0BE9">
      <w:pPr>
        <w:pStyle w:val="CETBodytext"/>
        <w:rPr>
          <w:rFonts w:eastAsia="Calibri"/>
          <w:lang w:val="en-GB"/>
        </w:rPr>
      </w:pPr>
      <w:r w:rsidRPr="00CB205B">
        <w:rPr>
          <w:rFonts w:eastAsia="Calibri"/>
          <w:lang w:val="en-GB"/>
        </w:rPr>
        <w:t>Using the intensity and acceptability values of the odour calculated in each cell, the annoyance potential is evaluated according to this equation, which gives equal importance to both parameters (</w:t>
      </w:r>
      <w:proofErr w:type="spellStart"/>
      <w:proofErr w:type="gramStart"/>
      <w:r w:rsidRPr="00CB205B">
        <w:rPr>
          <w:rFonts w:eastAsia="Calibri"/>
          <w:lang w:val="en-GB"/>
        </w:rPr>
        <w:t>Eq</w:t>
      </w:r>
      <w:proofErr w:type="spellEnd"/>
      <w:r w:rsidRPr="00CB205B">
        <w:rPr>
          <w:rFonts w:eastAsia="Calibri"/>
          <w:lang w:val="en-GB"/>
        </w:rPr>
        <w:t>(</w:t>
      </w:r>
      <w:proofErr w:type="gramEnd"/>
      <w:r w:rsidRPr="00CB205B">
        <w:rPr>
          <w:rFonts w:eastAsia="Calibri"/>
          <w:lang w:val="en-GB"/>
        </w:rPr>
        <w:t>7)).</w:t>
      </w:r>
    </w:p>
    <w:p w14:paraId="6EF8FEB3" w14:textId="77777777" w:rsidR="004C0BE9" w:rsidRPr="00CB205B" w:rsidRDefault="00D970D4" w:rsidP="004C0BE9">
      <w:pPr>
        <w:pStyle w:val="CETBodytext"/>
        <w:rPr>
          <w:rFonts w:eastAsia="Calibri" w:cs="Arial"/>
          <w:lang w:val="fr-FR"/>
        </w:rPr>
      </w:pPr>
      <m:oMathPara>
        <m:oMath>
          <m:eqArr>
            <m:eqArrPr>
              <m:maxDist m:val="1"/>
              <m:ctrlPr>
                <w:rPr>
                  <w:rFonts w:ascii="Cambria Math" w:hAnsi="Cambria Math"/>
                  <w:i/>
                </w:rPr>
              </m:ctrlPr>
            </m:eqArrPr>
            <m:e>
              <m:sSub>
                <m:sSubPr>
                  <m:ctrlPr>
                    <w:rPr>
                      <w:rFonts w:ascii="Cambria Math" w:hAnsi="Cambria Math"/>
                      <w:i/>
                      <w:lang w:val="fr-FR"/>
                    </w:rPr>
                  </m:ctrlPr>
                </m:sSubPr>
                <m:e>
                  <m:r>
                    <w:rPr>
                      <w:rFonts w:ascii="Cambria Math" w:hAnsi="Cambria Math"/>
                      <w:lang w:val="fr-FR"/>
                    </w:rPr>
                    <m:t>Pot</m:t>
                  </m:r>
                </m:e>
                <m:sub>
                  <m:r>
                    <w:rPr>
                      <w:rFonts w:ascii="Cambria Math" w:hAnsi="Cambria Math"/>
                      <w:lang w:val="fr-FR"/>
                    </w:rPr>
                    <m:t>annoyance</m:t>
                  </m:r>
                </m:sub>
              </m:sSub>
              <m:r>
                <w:rPr>
                  <w:rFonts w:ascii="Cambria Math" w:hAnsi="Cambria Math"/>
                  <w:lang w:val="fr-FR"/>
                </w:rPr>
                <m:t xml:space="preserve">=I* </m:t>
              </m:r>
              <m:r>
                <w:rPr>
                  <w:rFonts w:ascii="Cambria Math" w:hAnsi="Cambria Math"/>
                </w:rPr>
                <m:t>Acc</m:t>
              </m:r>
              <m:r>
                <w:rPr>
                  <w:rFonts w:ascii="Cambria Math" w:hAnsi="Cambria Math"/>
                  <w:lang w:val="fr-FR"/>
                </w:rPr>
                <m:t>#</m:t>
              </m:r>
              <m:d>
                <m:dPr>
                  <m:ctrlPr>
                    <w:rPr>
                      <w:rFonts w:ascii="Cambria Math" w:hAnsi="Cambria Math"/>
                      <w:i/>
                    </w:rPr>
                  </m:ctrlPr>
                </m:dPr>
                <m:e>
                  <m:r>
                    <w:rPr>
                      <w:rFonts w:ascii="Cambria Math" w:hAnsi="Cambria Math"/>
                    </w:rPr>
                    <m:t>7</m:t>
                  </m:r>
                </m:e>
              </m:d>
            </m:e>
          </m:eqArr>
        </m:oMath>
      </m:oMathPara>
    </w:p>
    <w:p w14:paraId="615009B8" w14:textId="77777777" w:rsidR="003D5FE6" w:rsidRDefault="00CB205B" w:rsidP="00FC19EF">
      <w:pPr>
        <w:pStyle w:val="CETBodytext"/>
        <w:rPr>
          <w:rFonts w:eastAsia="Calibri"/>
          <w:lang w:val="en-GB"/>
        </w:rPr>
      </w:pPr>
      <w:r w:rsidRPr="00CB205B">
        <w:rPr>
          <w:rFonts w:eastAsia="Calibri"/>
          <w:lang w:val="en-GB"/>
        </w:rPr>
        <w:lastRenderedPageBreak/>
        <w:t>The discretization of the variables is based on the range of the two parameters (0 to 20) and on the jury's verbalization scale (very weak/ slightly unpleasant odour, weak/ unpleasant odour, etc.). A level of annoyance potential (1 to 10) is calculated for each cell in our study area (200 × 200 m) (Figure 1).</w:t>
      </w:r>
    </w:p>
    <w:p w14:paraId="5691B8E0" w14:textId="77777777" w:rsidR="00883417" w:rsidRPr="00CB205B" w:rsidRDefault="00883417" w:rsidP="00FC19EF">
      <w:pPr>
        <w:pStyle w:val="CETBodytext"/>
        <w:rPr>
          <w:rFonts w:eastAsia="Calibri"/>
          <w:lang w:val="en-GB"/>
        </w:rPr>
      </w:pPr>
    </w:p>
    <w:p w14:paraId="2F6E4BD5" w14:textId="77777777" w:rsidR="00C32DB9" w:rsidRDefault="00883417" w:rsidP="00C32DB9">
      <w:pPr>
        <w:pStyle w:val="CETBodytext"/>
        <w:rPr>
          <w:rFonts w:eastAsia="Calibri"/>
          <w:lang w:val="fr-FR"/>
        </w:rPr>
      </w:pPr>
      <w:r>
        <w:rPr>
          <w:rFonts w:eastAsia="Calibri"/>
          <w:noProof/>
          <w:lang w:val="fr-FR" w:eastAsia="fr-FR"/>
        </w:rPr>
        <w:drawing>
          <wp:inline distT="0" distB="0" distL="0" distR="0" wp14:anchorId="68350A31" wp14:editId="55D4D836">
            <wp:extent cx="5579745" cy="105346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nose_A&amp;I_potNuis.png"/>
                    <pic:cNvPicPr/>
                  </pic:nvPicPr>
                  <pic:blipFill>
                    <a:blip r:embed="rId11">
                      <a:extLst>
                        <a:ext uri="{28A0092B-C50C-407E-A947-70E740481C1C}">
                          <a14:useLocalDpi xmlns:a14="http://schemas.microsoft.com/office/drawing/2010/main" val="0"/>
                        </a:ext>
                      </a:extLst>
                    </a:blip>
                    <a:stretch>
                      <a:fillRect/>
                    </a:stretch>
                  </pic:blipFill>
                  <pic:spPr>
                    <a:xfrm>
                      <a:off x="0" y="0"/>
                      <a:ext cx="5579745" cy="1053465"/>
                    </a:xfrm>
                    <a:prstGeom prst="rect">
                      <a:avLst/>
                    </a:prstGeom>
                  </pic:spPr>
                </pic:pic>
              </a:graphicData>
            </a:graphic>
          </wp:inline>
        </w:drawing>
      </w:r>
    </w:p>
    <w:p w14:paraId="355FF7C8" w14:textId="77777777" w:rsidR="007E17A6" w:rsidRPr="007E17A6" w:rsidRDefault="007E17A6" w:rsidP="00C32DB9">
      <w:pPr>
        <w:pStyle w:val="CETBodytext"/>
        <w:rPr>
          <w:rFonts w:eastAsia="Calibri"/>
          <w:lang w:val="en-GB"/>
        </w:rPr>
      </w:pPr>
      <w:r w:rsidRPr="00BD077D">
        <w:rPr>
          <w:rStyle w:val="CETCaptionCarattere"/>
        </w:rPr>
        <w:t xml:space="preserve">Figure 1: </w:t>
      </w:r>
      <w:r w:rsidRPr="007E17A6">
        <w:rPr>
          <w:rStyle w:val="CETCaptionCarattere"/>
        </w:rPr>
        <w:t>Discretization of odo</w:t>
      </w:r>
      <w:r>
        <w:rPr>
          <w:rStyle w:val="CETCaptionCarattere"/>
        </w:rPr>
        <w:t>u</w:t>
      </w:r>
      <w:r w:rsidRPr="007E17A6">
        <w:rPr>
          <w:rStyle w:val="CETCaptionCarattere"/>
        </w:rPr>
        <w:t xml:space="preserve">r intensity/acceptability and construction of </w:t>
      </w:r>
      <w:r w:rsidR="008A511B">
        <w:rPr>
          <w:rStyle w:val="CETCaptionCarattere"/>
        </w:rPr>
        <w:t>annoyance</w:t>
      </w:r>
      <w:r w:rsidRPr="007E17A6">
        <w:rPr>
          <w:rStyle w:val="CETCaptionCarattere"/>
        </w:rPr>
        <w:t xml:space="preserve"> potential</w:t>
      </w:r>
    </w:p>
    <w:p w14:paraId="3DB17F7C" w14:textId="77777777" w:rsidR="00CC4E5D" w:rsidRPr="006B5D74" w:rsidRDefault="004F2A19" w:rsidP="00CC4E5D">
      <w:pPr>
        <w:pStyle w:val="CETheadingx"/>
        <w:rPr>
          <w:rFonts w:eastAsia="Calibri"/>
          <w:lang w:val="fr-FR"/>
        </w:rPr>
      </w:pPr>
      <w:proofErr w:type="spellStart"/>
      <w:r w:rsidRPr="006B5D74">
        <w:rPr>
          <w:rFonts w:eastAsia="Calibri"/>
          <w:lang w:val="fr-FR"/>
        </w:rPr>
        <w:t>Defining</w:t>
      </w:r>
      <w:proofErr w:type="spellEnd"/>
      <w:r w:rsidRPr="006B5D74">
        <w:rPr>
          <w:rFonts w:eastAsia="Calibri"/>
          <w:lang w:val="fr-FR"/>
        </w:rPr>
        <w:t xml:space="preserve"> </w:t>
      </w:r>
      <w:proofErr w:type="spellStart"/>
      <w:r w:rsidRPr="006B5D74">
        <w:rPr>
          <w:rFonts w:eastAsia="Calibri"/>
          <w:lang w:val="fr-FR"/>
        </w:rPr>
        <w:t>vulnerability</w:t>
      </w:r>
      <w:proofErr w:type="spellEnd"/>
    </w:p>
    <w:p w14:paraId="5D748AFE" w14:textId="77777777" w:rsidR="00221EAB" w:rsidRPr="00F9244F" w:rsidRDefault="00CB205B" w:rsidP="00DC56D3">
      <w:pPr>
        <w:pStyle w:val="CETBodytext"/>
        <w:rPr>
          <w:lang w:val="en-GB"/>
        </w:rPr>
      </w:pPr>
      <w:r w:rsidRPr="00CB205B">
        <w:rPr>
          <w:lang w:val="en-GB"/>
        </w:rPr>
        <w:t>Vulnerability is considered as "the propensity of a human, material, environmental or economic stake to be damaged".</w:t>
      </w:r>
      <w:r w:rsidR="00DC56D3" w:rsidRPr="00CB205B">
        <w:rPr>
          <w:lang w:val="en-GB"/>
        </w:rPr>
        <w:t xml:space="preserve"> </w:t>
      </w:r>
      <w:r w:rsidR="00173DE8">
        <w:rPr>
          <w:lang w:val="fr-FR"/>
        </w:rPr>
        <w:fldChar w:fldCharType="begin" w:fldLock="1"/>
      </w:r>
      <w:r w:rsidR="00F161BF">
        <w:rPr>
          <w:lang w:val="en-GB"/>
        </w:rPr>
        <w:instrText>ADDIN CSL_CITATION {"citationItems":[{"id":"ITEM-1","itemData":{"DOI":"10.3917/eg.391.0035","ISBN":"9782701156187","ISSN":"00462497","abstract":"Risk management, long focused on controlling hazards, is moving towards vulnerability reduction. This presupposes an accurate knowledge of vulnerability. This research, applicable to any place, proposes a methodology for vulnerability assessment on the basis of the conurbation of Lyon. The study is based on a decision support method that ranks the issues in order to deduce vulnerability functions using expert assessments. A specific view of risk is obtained from overlapping layers of hazards.","author":[{"dropping-particle":"","family":"Renard","given":"Florent","non-dropping-particle":"","parse-names":false,"suffix":""},{"dropping-particle":"","family":"Chapon","given":"Pierre Marie","non-dropping-particle":"","parse-names":false,"suffix":""}],"container-title":"Espace Geographique","id":"ITEM-1","issue":"1","issued":{"date-parts":[["2010"]]},"page":"35-50","title":"An urban vulnerability assessment method applied to the conurbation of Lyon","type":"article-journal","volume":"39"},"uris":["http://www.mendeley.com/documents/?uuid=d362bf02-6e7e-4b87-a8ff-83fe40d9d93d"]}],"mendeley":{"formattedCitation":"(Renard and Chapon, 2010)","plainTextFormattedCitation":"(Renard and Chapon, 2010)","previouslyFormattedCitation":"(Renard and Chapon, 2010)"},"properties":{"noteIndex":0},"schema":"https://github.com/citation-style-language/schema/raw/master/csl-citation.json"}</w:instrText>
      </w:r>
      <w:r w:rsidR="00173DE8">
        <w:rPr>
          <w:lang w:val="fr-FR"/>
        </w:rPr>
        <w:fldChar w:fldCharType="separate"/>
      </w:r>
      <w:r w:rsidR="00625DA9" w:rsidRPr="00625DA9">
        <w:rPr>
          <w:noProof/>
          <w:lang w:val="en-GB"/>
        </w:rPr>
        <w:t>(Renard and Chapon, 2010)</w:t>
      </w:r>
      <w:r w:rsidR="00173DE8">
        <w:rPr>
          <w:lang w:val="fr-FR"/>
        </w:rPr>
        <w:fldChar w:fldCharType="end"/>
      </w:r>
      <w:r w:rsidR="00DC56D3" w:rsidRPr="00922640">
        <w:rPr>
          <w:lang w:val="en-GB"/>
        </w:rPr>
        <w:t>.</w:t>
      </w:r>
      <w:r w:rsidR="00252D2A" w:rsidRPr="00922640">
        <w:rPr>
          <w:lang w:val="en-GB"/>
        </w:rPr>
        <w:t xml:space="preserve"> </w:t>
      </w:r>
      <w:r w:rsidR="00F9244F" w:rsidRPr="00F9244F">
        <w:rPr>
          <w:lang w:val="en-GB"/>
        </w:rPr>
        <w:t xml:space="preserve">In the context of a territory subject to an odour annoyance, only human, </w:t>
      </w:r>
      <w:r w:rsidR="00930B48">
        <w:rPr>
          <w:lang w:val="en-GB"/>
        </w:rPr>
        <w:t>economic and social stakes are considered</w:t>
      </w:r>
      <w:r w:rsidR="00F9244F" w:rsidRPr="00F9244F">
        <w:rPr>
          <w:lang w:val="en-GB"/>
        </w:rPr>
        <w:t xml:space="preserve">. The objective of this method is to enlighten the decision makers on the odour impact of an existing or future industry under the prism of three </w:t>
      </w:r>
      <w:r w:rsidR="00652E8D">
        <w:rPr>
          <w:lang w:val="en-GB"/>
        </w:rPr>
        <w:t xml:space="preserve">types of </w:t>
      </w:r>
      <w:r w:rsidR="00F9244F" w:rsidRPr="00F9244F">
        <w:rPr>
          <w:lang w:val="en-GB"/>
        </w:rPr>
        <w:t>stakes. Instead of providing a global index of the risk of odour</w:t>
      </w:r>
      <w:r w:rsidR="00B40D40">
        <w:rPr>
          <w:lang w:val="en-GB"/>
        </w:rPr>
        <w:t xml:space="preserve"> nuisance</w:t>
      </w:r>
      <w:r w:rsidR="00F9244F" w:rsidRPr="00F9244F">
        <w:rPr>
          <w:lang w:val="en-GB"/>
        </w:rPr>
        <w:t>, several thematic maps are proposed to the actors involved: risk of odour</w:t>
      </w:r>
      <w:r w:rsidR="00B40D40">
        <w:rPr>
          <w:lang w:val="en-GB"/>
        </w:rPr>
        <w:t xml:space="preserve"> nuisance </w:t>
      </w:r>
      <w:r w:rsidR="00F9244F" w:rsidRPr="00F9244F">
        <w:rPr>
          <w:lang w:val="en-GB"/>
        </w:rPr>
        <w:t>at home, risk of economic prejudice and risk of social prejudice.</w:t>
      </w:r>
    </w:p>
    <w:p w14:paraId="5B050F09" w14:textId="77777777" w:rsidR="004F2A19" w:rsidRPr="00922640" w:rsidRDefault="004F2A19" w:rsidP="00DC56D3">
      <w:pPr>
        <w:pStyle w:val="CETHeadingxx"/>
        <w:rPr>
          <w:rFonts w:eastAsia="Calibri"/>
          <w:lang w:val="en-GB"/>
        </w:rPr>
      </w:pPr>
      <w:r w:rsidRPr="00922640">
        <w:rPr>
          <w:rFonts w:eastAsia="Calibri"/>
          <w:lang w:val="en-GB"/>
        </w:rPr>
        <w:t>Defining vulnerability at home</w:t>
      </w:r>
    </w:p>
    <w:p w14:paraId="6C1EA129" w14:textId="77777777" w:rsidR="0054631F" w:rsidRPr="00F9244F" w:rsidRDefault="00F9244F" w:rsidP="0054631F">
      <w:pPr>
        <w:pStyle w:val="CETBodytext"/>
        <w:rPr>
          <w:rFonts w:eastAsia="Calibri"/>
          <w:lang w:val="en-GB"/>
        </w:rPr>
      </w:pPr>
      <w:r w:rsidRPr="00F9244F">
        <w:rPr>
          <w:lang w:val="en-GB"/>
        </w:rPr>
        <w:t xml:space="preserve">Applied to odours, human vulnerability can be defined as the sensitivity of an individual to an odorous compound. This sensitivity depends on a set of complex processes (neurosensorial, cognitive, </w:t>
      </w:r>
      <w:proofErr w:type="spellStart"/>
      <w:r w:rsidRPr="00F9244F">
        <w:rPr>
          <w:lang w:val="en-GB"/>
        </w:rPr>
        <w:t>mnesic</w:t>
      </w:r>
      <w:proofErr w:type="spellEnd"/>
      <w:r w:rsidRPr="00F9244F">
        <w:rPr>
          <w:lang w:val="en-GB"/>
        </w:rPr>
        <w:t>, social, cultural, etc.)</w:t>
      </w:r>
      <w:r w:rsidR="00EA6568">
        <w:rPr>
          <w:rFonts w:eastAsia="Calibri"/>
          <w:lang w:val="fr-FR"/>
        </w:rPr>
        <w:fldChar w:fldCharType="begin" w:fldLock="1"/>
      </w:r>
      <w:r w:rsidR="00A97196">
        <w:rPr>
          <w:rFonts w:eastAsia="Calibri"/>
          <w:lang w:val="en-GB"/>
        </w:rPr>
        <w:instrText>ADDIN CSL_CITATION {"citationItems":[{"id":"ITEM-1","itemData":{"abstract":"Le stress environnemental croissant perçu dans les zones résidentielles crée un sentiment d’insécurité et une perception négative de la qualité de vie, plaçant la nuisance olfactive au coeur des préoccupations des études environnementales. Dans ce contexte, les travaux de recherche présentés dans cette thèse de doctorat ont été initiés dans le but d’aboutir à une méthode permettant d’évaluer et de représenter les niveaux de gêne olfactive sur un territoire. En conséquence, l’intérêt s’est porté non seulement sur les caractéristiques de la source et des sujets récepteurs mais aussi sur leur environnement au moment de la perception de la nuisance odorante. Plus particulièrement, l’objectif de cette nouvelle approche est de permettre de mesurer et de prévoir l’impact olfactif d’une industrie existante ou future sur un territoire donné. L’idée est de représenter le niveau de gêne olfactive et ses conséquences sur le territoire, afin d’avoir une meilleure gestion du site industriel en termes de rejets, mais aussi de fournir une aide à la décision claire et objective aux acteurs impliqués. La démarche développée s’articule autour de deux concepts : la gêne olfactive et le préjudice économique de cette gêne sur le territoire. Ces deux concepts sont définis par un ensemble de critères hétérogènes organisés et agrégés afin d’aboutir à un outil géographique et environnemental opérationnel. L’outil a été validé autour d’un site industriel permettant de confronter l’approche méthodologique développée et le résultat des mesures sur place. Les résultats de l’application de cette méthode sont de qualité satisfaisante et ouvrent la porte à de nombreuses perspectives de recherche.","author":[{"dropping-particle":"","family":"Popa","given":"Veronica","non-dropping-particle":"","parse-names":false,"suffix":""}],"container-title":"www.theses.fr","id":"ITEM-1","issued":{"date-parts":[["2013"]]},"title":"Méthode prédictive d'évaluation de la gêne olfactive sur un territoire soumis à une activité industrielle. Approche du potentiel de nuisance et analyse de la vulnérabilité du territoire","type":"article-journal"},"uris":["http://www.mendeley.com/documents/?uuid=2bb6d5af-08af-4149-83c2-2f50a508b7f3"]}],"mendeley":{"formattedCitation":"(Popa, 2013)","plainTextFormattedCitation":"(Popa, 2013)","previouslyFormattedCitation":"(Popa, 2013)"},"properties":{"noteIndex":0},"schema":"https://github.com/citation-style-language/schema/raw/master/csl-citation.json"}</w:instrText>
      </w:r>
      <w:r w:rsidR="00EA6568">
        <w:rPr>
          <w:rFonts w:eastAsia="Calibri"/>
          <w:lang w:val="fr-FR"/>
        </w:rPr>
        <w:fldChar w:fldCharType="separate"/>
      </w:r>
      <w:r w:rsidR="00EA6568" w:rsidRPr="00F9244F">
        <w:rPr>
          <w:rFonts w:eastAsia="Calibri"/>
          <w:noProof/>
          <w:lang w:val="en-GB"/>
        </w:rPr>
        <w:t>(Popa, 2013)</w:t>
      </w:r>
      <w:r w:rsidR="00EA6568">
        <w:rPr>
          <w:rFonts w:eastAsia="Calibri"/>
          <w:lang w:val="fr-FR"/>
        </w:rPr>
        <w:fldChar w:fldCharType="end"/>
      </w:r>
      <w:r w:rsidR="0054631F" w:rsidRPr="00F9244F">
        <w:rPr>
          <w:rFonts w:eastAsia="Calibri"/>
          <w:lang w:val="en-GB"/>
        </w:rPr>
        <w:t>.</w:t>
      </w:r>
    </w:p>
    <w:p w14:paraId="6E199A60" w14:textId="77777777" w:rsidR="00F9244F" w:rsidRPr="00F9244F" w:rsidRDefault="00F9244F" w:rsidP="00F9244F">
      <w:pPr>
        <w:pStyle w:val="CETBodytext"/>
        <w:rPr>
          <w:rFonts w:eastAsia="Calibri"/>
          <w:lang w:val="en-GB"/>
        </w:rPr>
      </w:pPr>
      <w:r w:rsidRPr="00F9244F">
        <w:rPr>
          <w:rFonts w:eastAsia="Calibri"/>
          <w:lang w:val="en-GB"/>
        </w:rPr>
        <w:t xml:space="preserve">The vulnerability of human stakes is reduced to a </w:t>
      </w:r>
      <w:r w:rsidR="00652E8D">
        <w:rPr>
          <w:rFonts w:eastAsia="Calibri"/>
          <w:lang w:val="en-GB"/>
        </w:rPr>
        <w:t>geo-referenced census</w:t>
      </w:r>
      <w:r w:rsidRPr="00F9244F">
        <w:rPr>
          <w:rFonts w:eastAsia="Calibri"/>
          <w:lang w:val="en-GB"/>
        </w:rPr>
        <w:t xml:space="preserve"> of the population </w:t>
      </w:r>
      <w:r w:rsidR="00652E8D">
        <w:rPr>
          <w:rFonts w:eastAsia="Calibri"/>
          <w:lang w:val="en-GB"/>
        </w:rPr>
        <w:t>on</w:t>
      </w:r>
      <w:r w:rsidR="00652E8D" w:rsidRPr="00F9244F">
        <w:rPr>
          <w:rFonts w:eastAsia="Calibri"/>
          <w:lang w:val="en-GB"/>
        </w:rPr>
        <w:t xml:space="preserve"> </w:t>
      </w:r>
      <w:r w:rsidRPr="00F9244F">
        <w:rPr>
          <w:rFonts w:eastAsia="Calibri"/>
          <w:lang w:val="en-GB"/>
        </w:rPr>
        <w:t xml:space="preserve">the territory. It corresponds to the vulnerability of people when they are at home. A densely populated cell increases the probability that populations complain against the industrialist and the public authorities. </w:t>
      </w:r>
    </w:p>
    <w:p w14:paraId="67445813" w14:textId="77777777" w:rsidR="00861969" w:rsidRPr="00861969" w:rsidRDefault="00944409" w:rsidP="00861969">
      <w:pPr>
        <w:pStyle w:val="CETBodytext"/>
        <w:rPr>
          <w:rFonts w:eastAsia="Calibri"/>
          <w:lang w:val="en-GB"/>
        </w:rPr>
      </w:pPr>
      <w:r w:rsidRPr="00944409">
        <w:rPr>
          <w:rFonts w:eastAsia="Calibri"/>
          <w:lang w:val="fr-FR"/>
        </w:rPr>
        <w:t xml:space="preserve">The population living in the </w:t>
      </w:r>
      <w:proofErr w:type="spellStart"/>
      <w:r w:rsidRPr="00944409">
        <w:rPr>
          <w:rFonts w:eastAsia="Calibri"/>
          <w:lang w:val="fr-FR"/>
        </w:rPr>
        <w:t>territory</w:t>
      </w:r>
      <w:proofErr w:type="spellEnd"/>
      <w:r w:rsidRPr="00944409">
        <w:rPr>
          <w:rFonts w:eastAsia="Calibri"/>
          <w:lang w:val="fr-FR"/>
        </w:rPr>
        <w:t xml:space="preserve"> </w:t>
      </w:r>
      <w:proofErr w:type="spellStart"/>
      <w:r w:rsidRPr="00944409">
        <w:rPr>
          <w:rFonts w:eastAsia="Calibri"/>
          <w:lang w:val="fr-FR"/>
        </w:rPr>
        <w:t>is</w:t>
      </w:r>
      <w:proofErr w:type="spellEnd"/>
      <w:r w:rsidRPr="00944409">
        <w:rPr>
          <w:rFonts w:eastAsia="Calibri"/>
          <w:lang w:val="fr-FR"/>
        </w:rPr>
        <w:t xml:space="preserve"> </w:t>
      </w:r>
      <w:proofErr w:type="spellStart"/>
      <w:r w:rsidRPr="00944409">
        <w:rPr>
          <w:rFonts w:eastAsia="Calibri"/>
          <w:lang w:val="fr-FR"/>
        </w:rPr>
        <w:t>estimated</w:t>
      </w:r>
      <w:proofErr w:type="spellEnd"/>
      <w:r w:rsidRPr="00944409">
        <w:rPr>
          <w:rFonts w:eastAsia="Calibri"/>
          <w:lang w:val="fr-FR"/>
        </w:rPr>
        <w:t xml:space="preserve"> </w:t>
      </w:r>
      <w:proofErr w:type="spellStart"/>
      <w:r w:rsidRPr="00944409">
        <w:rPr>
          <w:rFonts w:eastAsia="Calibri"/>
          <w:lang w:val="fr-FR"/>
        </w:rPr>
        <w:t>from</w:t>
      </w:r>
      <w:proofErr w:type="spellEnd"/>
      <w:r w:rsidRPr="00944409">
        <w:rPr>
          <w:rFonts w:eastAsia="Calibri"/>
          <w:lang w:val="fr-FR"/>
        </w:rPr>
        <w:t xml:space="preserve"> the</w:t>
      </w:r>
      <w:r>
        <w:rPr>
          <w:rFonts w:eastAsia="Calibri"/>
          <w:lang w:val="fr-FR"/>
        </w:rPr>
        <w:t xml:space="preserve"> LCSQA </w:t>
      </w:r>
      <w:r w:rsidRPr="00944409">
        <w:rPr>
          <w:rFonts w:eastAsia="Calibri"/>
          <w:lang w:val="fr-FR"/>
        </w:rPr>
        <w:t>data</w:t>
      </w:r>
      <w:r w:rsidR="00F9244F" w:rsidRPr="00F9244F">
        <w:rPr>
          <w:rFonts w:eastAsia="Calibri"/>
          <w:lang w:val="fr-FR"/>
        </w:rPr>
        <w:t xml:space="preserve"> (Laboratoire de Contrôle et de Surveillance de la Qualité de l'Air). </w:t>
      </w:r>
      <w:r w:rsidR="00F9244F" w:rsidRPr="00F9244F">
        <w:rPr>
          <w:rFonts w:eastAsia="Calibri"/>
          <w:lang w:val="en-GB"/>
        </w:rPr>
        <w:t xml:space="preserve">This annualized data is based on a precise method using the MAJIC files (cadastral information) to estimate the population at the building scale. </w:t>
      </w:r>
      <w:r w:rsidR="00265974">
        <w:rPr>
          <w:rFonts w:eastAsia="Calibri"/>
          <w:lang w:val="fr-FR"/>
        </w:rPr>
        <w:fldChar w:fldCharType="begin" w:fldLock="1"/>
      </w:r>
      <w:r w:rsidR="000A003E" w:rsidRPr="00F9244F">
        <w:rPr>
          <w:rFonts w:eastAsia="Calibri"/>
          <w:lang w:val="en-GB"/>
        </w:rPr>
        <w:instrText>ADDIN CSL_CITATION {"citationItems":[{"id":"ITEM-1","itemData":{"author":[{"dropping-particle":"","family":"Létinois","given":"Laurent","non-dropping-particle":"","parse-names":false,"suffix":""}],"id":"ITEM-1","issued":{"date-parts":[["2014"]]},"number-of-pages":"48","title":"Méthodologie de répartition spatiale de la population","type":"report"},"uris":["http://www.mendeley.com/documents/?uuid=1f94b247-b380-43e6-b779-a88d2a61d433"]}],"mendeley":{"formattedCitation":"(Létinois, 2014)","plainTextFormattedCitation":"(Létinois, 2014)","previouslyFormattedCitation":"(Létinois, 2014)"},"properties":{"noteIndex":0},"schema":"https://github.com/citation-style-language/schema/raw/master/csl-citation.json"}</w:instrText>
      </w:r>
      <w:r w:rsidR="00265974">
        <w:rPr>
          <w:rFonts w:eastAsia="Calibri"/>
          <w:lang w:val="fr-FR"/>
        </w:rPr>
        <w:fldChar w:fldCharType="separate"/>
      </w:r>
      <w:r w:rsidR="00265974" w:rsidRPr="00861969">
        <w:rPr>
          <w:rFonts w:eastAsia="Calibri"/>
          <w:noProof/>
          <w:lang w:val="en-GB"/>
        </w:rPr>
        <w:t>(Létinois, 2014)</w:t>
      </w:r>
      <w:r w:rsidR="00265974">
        <w:rPr>
          <w:rFonts w:eastAsia="Calibri"/>
          <w:lang w:val="fr-FR"/>
        </w:rPr>
        <w:fldChar w:fldCharType="end"/>
      </w:r>
      <w:r w:rsidR="00760A03" w:rsidRPr="00861969">
        <w:rPr>
          <w:rFonts w:eastAsia="Calibri"/>
          <w:lang w:val="en-GB"/>
        </w:rPr>
        <w:t xml:space="preserve">. </w:t>
      </w:r>
      <w:r w:rsidR="00861969" w:rsidRPr="00861969">
        <w:rPr>
          <w:rFonts w:eastAsia="Calibri"/>
          <w:lang w:val="en-GB"/>
        </w:rPr>
        <w:t xml:space="preserve">This population at home is then aggregated into the 200m INSEE squares, which constitute our analysis grid. </w:t>
      </w:r>
    </w:p>
    <w:p w14:paraId="43F3ACD7" w14:textId="77777777" w:rsidR="00861969" w:rsidRDefault="00861969" w:rsidP="00861969">
      <w:pPr>
        <w:pStyle w:val="CETBodytext"/>
        <w:rPr>
          <w:rFonts w:eastAsia="Calibri"/>
          <w:lang w:val="en-GB"/>
        </w:rPr>
      </w:pPr>
      <w:r w:rsidRPr="00861969">
        <w:rPr>
          <w:rFonts w:eastAsia="Calibri"/>
          <w:lang w:val="en-GB"/>
        </w:rPr>
        <w:t>The different levels of vulnerability at home were obtained by dividing the statistical distribution into equal amplitudes. The discretization method is applied from the maximum value obse</w:t>
      </w:r>
      <w:r>
        <w:rPr>
          <w:rFonts w:eastAsia="Calibri"/>
          <w:lang w:val="en-GB"/>
        </w:rPr>
        <w:t>rved (2000 inhabitants in a 200</w:t>
      </w:r>
      <w:r w:rsidRPr="00861969">
        <w:rPr>
          <w:rFonts w:eastAsia="Calibri"/>
          <w:lang w:val="en-GB"/>
        </w:rPr>
        <w:t>×200 m square in a dense urban environment). These matrices, inspired by the assessment of major risks</w:t>
      </w:r>
      <w:r>
        <w:rPr>
          <w:rFonts w:eastAsia="Calibri"/>
          <w:lang w:val="en-GB"/>
        </w:rPr>
        <w:t xml:space="preserve"> are used to</w:t>
      </w:r>
      <w:r w:rsidRPr="00861969">
        <w:rPr>
          <w:rFonts w:eastAsia="Calibri"/>
          <w:lang w:val="en-GB"/>
        </w:rPr>
        <w:t xml:space="preserve"> transform a quantitative result into a qualitative result (Figure 2).</w:t>
      </w:r>
    </w:p>
    <w:p w14:paraId="763A8912" w14:textId="77777777" w:rsidR="00883417" w:rsidRDefault="00883417" w:rsidP="00861969">
      <w:pPr>
        <w:pStyle w:val="CETBodytext"/>
        <w:rPr>
          <w:rFonts w:eastAsia="Calibri"/>
          <w:lang w:val="en-GB"/>
        </w:rPr>
      </w:pPr>
    </w:p>
    <w:p w14:paraId="3EA976FE" w14:textId="77777777" w:rsidR="008A511B" w:rsidRPr="00861969" w:rsidRDefault="00883417" w:rsidP="00861969">
      <w:pPr>
        <w:pStyle w:val="CETBodytext"/>
        <w:rPr>
          <w:rFonts w:eastAsia="Calibri"/>
          <w:lang w:val="en-GB"/>
        </w:rPr>
      </w:pPr>
      <w:r>
        <w:rPr>
          <w:rFonts w:eastAsia="Calibri"/>
          <w:noProof/>
          <w:lang w:val="fr-FR" w:eastAsia="fr-FR"/>
        </w:rPr>
        <w:drawing>
          <wp:inline distT="0" distB="0" distL="0" distR="0" wp14:anchorId="6177645C" wp14:editId="3C5207F8">
            <wp:extent cx="5579745" cy="97536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nose_RG.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975360"/>
                    </a:xfrm>
                    <a:prstGeom prst="rect">
                      <a:avLst/>
                    </a:prstGeom>
                  </pic:spPr>
                </pic:pic>
              </a:graphicData>
            </a:graphic>
          </wp:inline>
        </w:drawing>
      </w:r>
    </w:p>
    <w:p w14:paraId="0646C711" w14:textId="77777777" w:rsidR="008A511B" w:rsidRPr="007E17A6" w:rsidRDefault="008A511B" w:rsidP="008A511B">
      <w:pPr>
        <w:pStyle w:val="CETBodytext"/>
        <w:rPr>
          <w:rFonts w:eastAsia="Calibri"/>
          <w:lang w:val="en-GB"/>
        </w:rPr>
      </w:pPr>
      <w:r w:rsidRPr="00BD077D">
        <w:rPr>
          <w:rStyle w:val="CETCaptionCarattere"/>
        </w:rPr>
        <w:t xml:space="preserve">Figure </w:t>
      </w:r>
      <w:r>
        <w:rPr>
          <w:rStyle w:val="CETCaptionCarattere"/>
        </w:rPr>
        <w:t>2</w:t>
      </w:r>
      <w:r w:rsidRPr="00BD077D">
        <w:rPr>
          <w:rStyle w:val="CETCaptionCarattere"/>
        </w:rPr>
        <w:t xml:space="preserve">: </w:t>
      </w:r>
      <w:r w:rsidRPr="007E17A6">
        <w:rPr>
          <w:rStyle w:val="CETCaptionCarattere"/>
        </w:rPr>
        <w:t xml:space="preserve">Discretization of </w:t>
      </w:r>
      <w:r>
        <w:rPr>
          <w:rStyle w:val="CETCaptionCarattere"/>
        </w:rPr>
        <w:t>vulnerability at home</w:t>
      </w:r>
      <w:r w:rsidRPr="007E17A6">
        <w:rPr>
          <w:rStyle w:val="CETCaptionCarattere"/>
        </w:rPr>
        <w:t xml:space="preserve"> and construction of</w:t>
      </w:r>
      <w:r>
        <w:rPr>
          <w:rStyle w:val="CETCaptionCarattere"/>
        </w:rPr>
        <w:t xml:space="preserve"> odour</w:t>
      </w:r>
      <w:r w:rsidRPr="007E17A6">
        <w:rPr>
          <w:rStyle w:val="CETCaptionCarattere"/>
        </w:rPr>
        <w:t xml:space="preserve"> nuisance </w:t>
      </w:r>
      <w:r>
        <w:rPr>
          <w:rStyle w:val="CETCaptionCarattere"/>
        </w:rPr>
        <w:t>index</w:t>
      </w:r>
    </w:p>
    <w:p w14:paraId="644F9404" w14:textId="77777777" w:rsidR="004F2A19" w:rsidRPr="00922640" w:rsidRDefault="004F2A19" w:rsidP="00DC56D3">
      <w:pPr>
        <w:pStyle w:val="CETHeadingxx"/>
        <w:rPr>
          <w:rFonts w:eastAsia="Calibri"/>
          <w:lang w:val="en-GB"/>
        </w:rPr>
      </w:pPr>
      <w:r w:rsidRPr="00922640">
        <w:rPr>
          <w:rFonts w:eastAsia="Calibri"/>
          <w:lang w:val="en-GB"/>
        </w:rPr>
        <w:t>Defining economic</w:t>
      </w:r>
      <w:r w:rsidR="00CC4E5D" w:rsidRPr="00922640">
        <w:rPr>
          <w:rFonts w:eastAsia="Calibri"/>
          <w:lang w:val="en-GB"/>
        </w:rPr>
        <w:t xml:space="preserve"> </w:t>
      </w:r>
      <w:r w:rsidRPr="00922640">
        <w:rPr>
          <w:rFonts w:eastAsia="Calibri"/>
          <w:lang w:val="en-GB"/>
        </w:rPr>
        <w:t>vulnerability</w:t>
      </w:r>
    </w:p>
    <w:p w14:paraId="5BEE4A2C" w14:textId="77777777" w:rsidR="00861969" w:rsidRPr="00507D11" w:rsidRDefault="00861969" w:rsidP="00861969">
      <w:pPr>
        <w:pStyle w:val="CETBodytext"/>
        <w:rPr>
          <w:lang w:val="en-GB"/>
        </w:rPr>
      </w:pPr>
      <w:r w:rsidRPr="00507D11">
        <w:rPr>
          <w:lang w:val="en-GB"/>
        </w:rPr>
        <w:t xml:space="preserve">Economic vulnerability represents the fragility of economic activities </w:t>
      </w:r>
      <w:r w:rsidR="00652E8D">
        <w:rPr>
          <w:lang w:val="en-GB"/>
        </w:rPr>
        <w:t>which suffer</w:t>
      </w:r>
      <w:r w:rsidRPr="00507D11">
        <w:rPr>
          <w:lang w:val="en-GB"/>
        </w:rPr>
        <w:t xml:space="preserve"> </w:t>
      </w:r>
      <w:r w:rsidR="00D14D91">
        <w:rPr>
          <w:lang w:val="en-GB"/>
        </w:rPr>
        <w:t xml:space="preserve">from </w:t>
      </w:r>
      <w:r w:rsidRPr="00507D11">
        <w:rPr>
          <w:lang w:val="en-GB"/>
        </w:rPr>
        <w:t>an odour</w:t>
      </w:r>
      <w:r w:rsidR="00507D11">
        <w:rPr>
          <w:lang w:val="en-GB"/>
        </w:rPr>
        <w:t xml:space="preserve"> annoyance (attendance decrease</w:t>
      </w:r>
      <w:r w:rsidRPr="00507D11">
        <w:rPr>
          <w:lang w:val="en-GB"/>
        </w:rPr>
        <w:t xml:space="preserve">, change in behaviour, etc.). </w:t>
      </w:r>
    </w:p>
    <w:p w14:paraId="5FA06954" w14:textId="77777777" w:rsidR="00496AE9" w:rsidRDefault="00861969" w:rsidP="00861969">
      <w:pPr>
        <w:pStyle w:val="CETBodytext"/>
        <w:rPr>
          <w:lang w:val="en-GB"/>
        </w:rPr>
      </w:pPr>
      <w:r w:rsidRPr="00861969">
        <w:rPr>
          <w:lang w:val="en-GB"/>
        </w:rPr>
        <w:t xml:space="preserve">For each activity (economic and social) </w:t>
      </w:r>
      <w:r w:rsidR="00A74E99">
        <w:rPr>
          <w:lang w:val="en-GB"/>
        </w:rPr>
        <w:t>of</w:t>
      </w:r>
      <w:r w:rsidRPr="00861969">
        <w:rPr>
          <w:lang w:val="en-GB"/>
        </w:rPr>
        <w:t xml:space="preserve"> the Open Street Map nomenclature (224 activities), a sensitivity value is assigned, indicating the level of tolerance of a bad smell in that location. </w:t>
      </w:r>
      <w:r w:rsidRPr="00507D11">
        <w:rPr>
          <w:lang w:val="en-GB"/>
        </w:rPr>
        <w:t>These values were collected through a questionnaire open to all (</w:t>
      </w:r>
      <w:r w:rsidR="00A74E99">
        <w:rPr>
          <w:lang w:val="en-GB"/>
        </w:rPr>
        <w:t xml:space="preserve">365 </w:t>
      </w:r>
      <w:r w:rsidRPr="00507D11">
        <w:rPr>
          <w:lang w:val="en-GB"/>
        </w:rPr>
        <w:t>responses</w:t>
      </w:r>
      <w:r w:rsidR="00652E8D">
        <w:rPr>
          <w:lang w:val="en-GB"/>
        </w:rPr>
        <w:t xml:space="preserve"> have been collected</w:t>
      </w:r>
      <w:r w:rsidRPr="00507D11">
        <w:rPr>
          <w:lang w:val="en-GB"/>
        </w:rPr>
        <w:t>), providing information on the capacity to bear a nasty odour in various situations</w:t>
      </w:r>
      <w:r w:rsidR="0031533D">
        <w:rPr>
          <w:lang w:val="en-GB"/>
        </w:rPr>
        <w:t xml:space="preserve"> which allow us to define a </w:t>
      </w:r>
      <w:r w:rsidR="00625DA9">
        <w:rPr>
          <w:lang w:val="en-GB"/>
        </w:rPr>
        <w:t>sensibility value</w:t>
      </w:r>
      <w:r w:rsidR="00511AD6">
        <w:rPr>
          <w:lang w:val="en-GB"/>
        </w:rPr>
        <w:t xml:space="preserve"> and</w:t>
      </w:r>
      <w:r w:rsidR="003F229C">
        <w:rPr>
          <w:lang w:val="en-GB"/>
        </w:rPr>
        <w:t xml:space="preserve"> </w:t>
      </w:r>
      <w:r w:rsidR="00511AD6" w:rsidRPr="00507D11">
        <w:rPr>
          <w:lang w:val="en-GB"/>
        </w:rPr>
        <w:t>rank all the activ</w:t>
      </w:r>
      <w:r w:rsidR="00511AD6">
        <w:rPr>
          <w:lang w:val="en-GB"/>
        </w:rPr>
        <w:t>ities according to their sensibility to odour annoyance</w:t>
      </w:r>
      <w:r w:rsidR="00511AD6" w:rsidRPr="00507D11">
        <w:rPr>
          <w:lang w:val="en-GB"/>
        </w:rPr>
        <w:t xml:space="preserve">. </w:t>
      </w:r>
      <w:r w:rsidR="003F229C" w:rsidRPr="00642EDD">
        <w:rPr>
          <w:rFonts w:eastAsia="Calibri"/>
          <w:lang w:val="en-GB"/>
        </w:rPr>
        <w:t>(</w:t>
      </w:r>
      <w:proofErr w:type="spellStart"/>
      <w:proofErr w:type="gramStart"/>
      <w:r w:rsidR="003F229C" w:rsidRPr="00642EDD">
        <w:rPr>
          <w:rFonts w:eastAsia="Calibri"/>
          <w:lang w:val="en-GB"/>
        </w:rPr>
        <w:t>Eq</w:t>
      </w:r>
      <w:proofErr w:type="spellEnd"/>
      <w:r w:rsidR="003F229C" w:rsidRPr="00642EDD">
        <w:rPr>
          <w:rFonts w:eastAsia="Calibri"/>
          <w:lang w:val="en-GB"/>
        </w:rPr>
        <w:t>(</w:t>
      </w:r>
      <w:proofErr w:type="gramEnd"/>
      <w:r w:rsidR="003F229C" w:rsidRPr="00642EDD">
        <w:rPr>
          <w:rFonts w:eastAsia="Calibri"/>
          <w:lang w:val="en-GB"/>
        </w:rPr>
        <w:t>8))</w:t>
      </w:r>
      <w:r w:rsidRPr="00507D11">
        <w:rPr>
          <w:lang w:val="en-GB"/>
        </w:rPr>
        <w:t>.</w:t>
      </w:r>
    </w:p>
    <w:p w14:paraId="27F59236" w14:textId="77777777" w:rsidR="00496AE9" w:rsidRPr="003F229C" w:rsidRDefault="00D970D4" w:rsidP="00861969">
      <w:pPr>
        <w:pStyle w:val="CETBodytext"/>
        <w:rPr>
          <w:szCs w:val="18"/>
        </w:rPr>
      </w:pPr>
      <m:oMathPara>
        <m:oMath>
          <m:eqArr>
            <m:eqArrPr>
              <m:maxDist m:val="1"/>
              <m:ctrlPr>
                <w:rPr>
                  <w:rFonts w:ascii="Cambria Math" w:hAnsi="Cambria Math"/>
                  <w:i/>
                  <w:szCs w:val="18"/>
                </w:rPr>
              </m:ctrlPr>
            </m:eqArrPr>
            <m:e>
              <m:r>
                <w:rPr>
                  <w:rFonts w:ascii="Cambria Math" w:hAnsi="Cambria Math"/>
                  <w:szCs w:val="18"/>
                </w:rPr>
                <m:t>Sensibility</m:t>
              </m:r>
              <m:r>
                <w:rPr>
                  <w:rFonts w:ascii="Cambria Math" w:hAnsi="Cambria Math"/>
                  <w:szCs w:val="18"/>
                  <w:lang w:val="fr-FR"/>
                </w:rPr>
                <m:t>=</m:t>
              </m:r>
              <m:r>
                <m:rPr>
                  <m:sty m:val="p"/>
                </m:rPr>
                <w:rPr>
                  <w:rStyle w:val="mo"/>
                  <w:rFonts w:ascii="Cambria Math" w:hAnsi="Cambria Math"/>
                  <w:szCs w:val="18"/>
                </w:rPr>
                <m:t>(</m:t>
              </m:r>
              <m:r>
                <w:rPr>
                  <w:rStyle w:val="mi"/>
                  <w:rFonts w:ascii="Cambria Math" w:hAnsi="Cambria Math"/>
                  <w:szCs w:val="18"/>
                </w:rPr>
                <m:t>NbRep</m:t>
              </m:r>
              <m:r>
                <m:rPr>
                  <m:sty m:val="p"/>
                </m:rPr>
                <w:rPr>
                  <w:rStyle w:val="mn"/>
                  <w:rFonts w:ascii="Cambria Math" w:hAnsi="Cambria Math"/>
                  <w:szCs w:val="18"/>
                </w:rPr>
                <m:t>1</m:t>
              </m:r>
              <m:r>
                <m:rPr>
                  <m:sty m:val="p"/>
                </m:rPr>
                <w:rPr>
                  <w:rStyle w:val="mo"/>
                  <w:rFonts w:ascii="Cambria Math" w:hAnsi="Cambria Math" w:cs="Cambria Math"/>
                  <w:szCs w:val="18"/>
                </w:rPr>
                <m:t>*</m:t>
              </m:r>
              <m:r>
                <w:rPr>
                  <w:rStyle w:val="mi"/>
                  <w:rFonts w:ascii="Cambria Math" w:hAnsi="Cambria Math"/>
                  <w:szCs w:val="18"/>
                </w:rPr>
                <m:t>a</m:t>
              </m:r>
              <m:r>
                <m:rPr>
                  <m:sty m:val="p"/>
                </m:rPr>
                <w:rPr>
                  <w:rStyle w:val="mn"/>
                  <w:rFonts w:ascii="Cambria Math" w:hAnsi="Cambria Math"/>
                  <w:szCs w:val="18"/>
                </w:rPr>
                <m:t>1</m:t>
              </m:r>
              <m:r>
                <m:rPr>
                  <m:sty m:val="p"/>
                </m:rPr>
                <w:rPr>
                  <w:rStyle w:val="mo"/>
                  <w:rFonts w:ascii="Cambria Math" w:hAnsi="Cambria Math"/>
                  <w:szCs w:val="18"/>
                </w:rPr>
                <m:t>+</m:t>
              </m:r>
              <m:r>
                <w:rPr>
                  <w:rStyle w:val="mi"/>
                  <w:rFonts w:ascii="Cambria Math" w:hAnsi="Cambria Math"/>
                  <w:szCs w:val="18"/>
                </w:rPr>
                <m:t>NbRep</m:t>
              </m:r>
              <m:r>
                <m:rPr>
                  <m:sty m:val="p"/>
                </m:rPr>
                <w:rPr>
                  <w:rStyle w:val="mn"/>
                  <w:rFonts w:ascii="Cambria Math" w:hAnsi="Cambria Math"/>
                  <w:szCs w:val="18"/>
                </w:rPr>
                <m:t>2</m:t>
              </m:r>
              <m:r>
                <m:rPr>
                  <m:sty m:val="p"/>
                </m:rPr>
                <w:rPr>
                  <w:rStyle w:val="mo"/>
                  <w:rFonts w:ascii="Cambria Math" w:hAnsi="Cambria Math" w:cs="Cambria Math"/>
                  <w:szCs w:val="18"/>
                </w:rPr>
                <m:t>*</m:t>
              </m:r>
              <m:r>
                <w:rPr>
                  <w:rStyle w:val="mi"/>
                  <w:rFonts w:ascii="Cambria Math" w:hAnsi="Cambria Math"/>
                  <w:szCs w:val="18"/>
                </w:rPr>
                <m:t>a</m:t>
              </m:r>
              <m:r>
                <m:rPr>
                  <m:sty m:val="p"/>
                </m:rPr>
                <w:rPr>
                  <w:rStyle w:val="mn"/>
                  <w:rFonts w:ascii="Cambria Math" w:hAnsi="Cambria Math"/>
                  <w:szCs w:val="18"/>
                </w:rPr>
                <m:t>2</m:t>
              </m:r>
              <m:r>
                <m:rPr>
                  <m:sty m:val="p"/>
                </m:rPr>
                <w:rPr>
                  <w:rStyle w:val="mo"/>
                  <w:rFonts w:ascii="Cambria Math" w:hAnsi="Cambria Math"/>
                  <w:szCs w:val="18"/>
                </w:rPr>
                <m:t>+</m:t>
              </m:r>
              <m:r>
                <w:rPr>
                  <w:rStyle w:val="mi"/>
                  <w:rFonts w:ascii="Cambria Math" w:hAnsi="Cambria Math"/>
                  <w:szCs w:val="18"/>
                </w:rPr>
                <m:t>NbRep</m:t>
              </m:r>
              <m:r>
                <m:rPr>
                  <m:sty m:val="p"/>
                </m:rPr>
                <w:rPr>
                  <w:rStyle w:val="mn"/>
                  <w:rFonts w:ascii="Cambria Math" w:hAnsi="Cambria Math"/>
                  <w:szCs w:val="18"/>
                </w:rPr>
                <m:t>3</m:t>
              </m:r>
              <m:r>
                <m:rPr>
                  <m:sty m:val="p"/>
                </m:rPr>
                <w:rPr>
                  <w:rStyle w:val="mo"/>
                  <w:rFonts w:ascii="Cambria Math" w:hAnsi="Cambria Math" w:cs="Cambria Math"/>
                  <w:szCs w:val="18"/>
                </w:rPr>
                <m:t>*</m:t>
              </m:r>
              <m:r>
                <w:rPr>
                  <w:rStyle w:val="mi"/>
                  <w:rFonts w:ascii="Cambria Math" w:hAnsi="Cambria Math"/>
                  <w:szCs w:val="18"/>
                </w:rPr>
                <m:t>a</m:t>
              </m:r>
              <m:r>
                <m:rPr>
                  <m:sty m:val="p"/>
                </m:rPr>
                <w:rPr>
                  <w:rStyle w:val="mn"/>
                  <w:rFonts w:ascii="Cambria Math" w:hAnsi="Cambria Math"/>
                  <w:szCs w:val="18"/>
                </w:rPr>
                <m:t>3</m:t>
              </m:r>
              <m:r>
                <m:rPr>
                  <m:sty m:val="p"/>
                </m:rPr>
                <w:rPr>
                  <w:rStyle w:val="mo"/>
                  <w:rFonts w:ascii="Cambria Math" w:hAnsi="Cambria Math"/>
                  <w:szCs w:val="18"/>
                </w:rPr>
                <m:t>+</m:t>
              </m:r>
              <m:r>
                <w:rPr>
                  <w:rStyle w:val="mi"/>
                  <w:rFonts w:ascii="Cambria Math" w:hAnsi="Cambria Math"/>
                  <w:szCs w:val="18"/>
                </w:rPr>
                <m:t>NbRep</m:t>
              </m:r>
              <m:r>
                <m:rPr>
                  <m:sty m:val="p"/>
                </m:rPr>
                <w:rPr>
                  <w:rStyle w:val="mn"/>
                  <w:rFonts w:ascii="Cambria Math" w:hAnsi="Cambria Math"/>
                  <w:szCs w:val="18"/>
                </w:rPr>
                <m:t>4</m:t>
              </m:r>
              <m:r>
                <m:rPr>
                  <m:sty m:val="p"/>
                </m:rPr>
                <w:rPr>
                  <w:rStyle w:val="mo"/>
                  <w:rFonts w:ascii="Cambria Math" w:hAnsi="Cambria Math" w:cs="Cambria Math"/>
                  <w:szCs w:val="18"/>
                </w:rPr>
                <m:t>*</m:t>
              </m:r>
              <m:r>
                <w:rPr>
                  <w:rStyle w:val="mi"/>
                  <w:rFonts w:ascii="Cambria Math" w:hAnsi="Cambria Math"/>
                  <w:szCs w:val="18"/>
                </w:rPr>
                <m:t>a</m:t>
              </m:r>
              <m:r>
                <m:rPr>
                  <m:sty m:val="p"/>
                </m:rPr>
                <w:rPr>
                  <w:rStyle w:val="mn"/>
                  <w:rFonts w:ascii="Cambria Math" w:hAnsi="Cambria Math"/>
                  <w:szCs w:val="18"/>
                </w:rPr>
                <m:t>4</m:t>
              </m:r>
              <m:r>
                <m:rPr>
                  <m:sty m:val="p"/>
                </m:rPr>
                <w:rPr>
                  <w:rStyle w:val="mo"/>
                  <w:rFonts w:ascii="Cambria Math" w:hAnsi="Cambria Math"/>
                  <w:szCs w:val="18"/>
                </w:rPr>
                <m:t>)/(</m:t>
              </m:r>
              <m:r>
                <w:rPr>
                  <w:rStyle w:val="mi"/>
                  <w:rFonts w:ascii="Cambria Math" w:hAnsi="Cambria Math"/>
                  <w:szCs w:val="18"/>
                </w:rPr>
                <m:t>NbRepTot</m:t>
              </m:r>
              <m:r>
                <m:rPr>
                  <m:sty m:val="p"/>
                </m:rPr>
                <w:rPr>
                  <w:rStyle w:val="mo"/>
                  <w:rFonts w:ascii="Cambria Math" w:hAnsi="Cambria Math"/>
                  <w:szCs w:val="18"/>
                </w:rPr>
                <m:t>-</m:t>
              </m:r>
              <m:r>
                <w:rPr>
                  <w:rStyle w:val="mi"/>
                  <w:rFonts w:ascii="Cambria Math" w:hAnsi="Cambria Math"/>
                  <w:szCs w:val="18"/>
                </w:rPr>
                <m:t>Nbna</m:t>
              </m:r>
              <m:r>
                <m:rPr>
                  <m:sty m:val="p"/>
                </m:rPr>
                <w:rPr>
                  <w:rStyle w:val="mo"/>
                  <w:rFonts w:ascii="Cambria Math" w:hAnsi="Cambria Math"/>
                  <w:szCs w:val="18"/>
                </w:rPr>
                <m:t>)</m:t>
              </m:r>
              <m:r>
                <w:rPr>
                  <w:rFonts w:ascii="Cambria Math" w:hAnsi="Cambria Math"/>
                  <w:szCs w:val="18"/>
                  <w:lang w:val="fr-FR"/>
                </w:rPr>
                <m:t>#</m:t>
              </m:r>
              <m:d>
                <m:dPr>
                  <m:ctrlPr>
                    <w:rPr>
                      <w:rFonts w:ascii="Cambria Math" w:hAnsi="Cambria Math"/>
                      <w:i/>
                      <w:szCs w:val="18"/>
                    </w:rPr>
                  </m:ctrlPr>
                </m:dPr>
                <m:e>
                  <m:r>
                    <w:rPr>
                      <w:rFonts w:ascii="Cambria Math" w:hAnsi="Cambria Math"/>
                      <w:szCs w:val="18"/>
                    </w:rPr>
                    <m:t>8</m:t>
                  </m:r>
                </m:e>
              </m:d>
            </m:e>
          </m:eqArr>
        </m:oMath>
      </m:oMathPara>
    </w:p>
    <w:p w14:paraId="12F6DB2A" w14:textId="77777777" w:rsidR="003F229C" w:rsidRPr="003F229C" w:rsidRDefault="003F229C" w:rsidP="00861969">
      <w:pPr>
        <w:pStyle w:val="CETBodytext"/>
        <w:rPr>
          <w:lang w:val="en-GB"/>
        </w:rPr>
      </w:pPr>
      <w:r w:rsidRPr="00530614">
        <w:rPr>
          <w:rFonts w:eastAsia="Calibri"/>
          <w:lang w:val="en-GB"/>
        </w:rPr>
        <w:t>Where</w:t>
      </w:r>
      <w:r>
        <w:rPr>
          <w:rFonts w:eastAsia="Calibri"/>
          <w:lang w:val="en-GB"/>
        </w:rPr>
        <w:t xml:space="preserve"> a1, a2, etc. is a</w:t>
      </w:r>
      <w:r w:rsidRPr="003F229C">
        <w:t xml:space="preserve"> </w:t>
      </w:r>
      <w:r w:rsidRPr="003F229C">
        <w:rPr>
          <w:rFonts w:eastAsia="Calibri"/>
          <w:lang w:val="en-GB"/>
        </w:rPr>
        <w:t>weighting factor according to a geometric progression (1, 10, 100, 1000)</w:t>
      </w:r>
      <w:r>
        <w:rPr>
          <w:rFonts w:eastAsia="Calibri"/>
          <w:lang w:val="en-GB"/>
        </w:rPr>
        <w:t xml:space="preserve">, </w:t>
      </w:r>
      <w:r>
        <w:t>Nb_Rep</w:t>
      </w:r>
      <w:proofErr w:type="gramStart"/>
      <w:r>
        <w:t>1,Nb</w:t>
      </w:r>
      <w:proofErr w:type="gramEnd"/>
      <w:r>
        <w:t>_Rep2,</w:t>
      </w:r>
      <w:r w:rsidR="00511AD6">
        <w:t xml:space="preserve"> etc. is the </w:t>
      </w:r>
      <w:r w:rsidR="00511AD6" w:rsidRPr="00511AD6">
        <w:t xml:space="preserve">number of responses collected according to each category (a little, moderately, </w:t>
      </w:r>
      <w:r w:rsidR="00511AD6">
        <w:t>very</w:t>
      </w:r>
      <w:r w:rsidR="00511AD6" w:rsidRPr="00511AD6">
        <w:t xml:space="preserve">, </w:t>
      </w:r>
      <w:r w:rsidR="00511AD6" w:rsidRPr="00507D11">
        <w:rPr>
          <w:lang w:val="en-GB"/>
        </w:rPr>
        <w:t>extremely bothered</w:t>
      </w:r>
      <w:r w:rsidR="00511AD6" w:rsidRPr="00511AD6">
        <w:t>)</w:t>
      </w:r>
      <w:r w:rsidR="00511AD6">
        <w:t xml:space="preserve"> and </w:t>
      </w:r>
      <w:proofErr w:type="spellStart"/>
      <w:r w:rsidR="00511AD6">
        <w:t>Nbna</w:t>
      </w:r>
      <w:proofErr w:type="spellEnd"/>
      <w:r w:rsidR="00511AD6">
        <w:t xml:space="preserve"> the </w:t>
      </w:r>
      <w:r w:rsidR="00511AD6" w:rsidRPr="00511AD6">
        <w:t>number of people who answered don't know</w:t>
      </w:r>
      <w:r w:rsidR="00511AD6">
        <w:t>.</w:t>
      </w:r>
    </w:p>
    <w:p w14:paraId="2342A0EB" w14:textId="77777777" w:rsidR="00507D11" w:rsidRDefault="00861969" w:rsidP="00861969">
      <w:pPr>
        <w:pStyle w:val="CETBodytext"/>
        <w:rPr>
          <w:lang w:val="en-GB"/>
        </w:rPr>
      </w:pPr>
      <w:r w:rsidRPr="00507D11">
        <w:rPr>
          <w:lang w:val="en-GB"/>
        </w:rPr>
        <w:lastRenderedPageBreak/>
        <w:t>In general, it appears that unpleasant odours are not accepted very much, respondents are very sensitive to the presence of an odour, and more particularly at home. In detail, the answers are more nuanced and reveal situations where the presence of an odour is unanimously judged as intolerable (</w:t>
      </w:r>
      <w:proofErr w:type="gramStart"/>
      <w:r w:rsidRPr="00507D11">
        <w:rPr>
          <w:lang w:val="en-GB"/>
        </w:rPr>
        <w:t>i.e.</w:t>
      </w:r>
      <w:proofErr w:type="gramEnd"/>
      <w:r w:rsidRPr="00507D11">
        <w:rPr>
          <w:lang w:val="en-GB"/>
        </w:rPr>
        <w:t xml:space="preserve"> a negative odour perceived in a restaurant), and others more easily tolerated (i.e. an errand at the tobacconist's). </w:t>
      </w:r>
      <w:r w:rsidR="00D14D91">
        <w:rPr>
          <w:lang w:val="en-GB"/>
        </w:rPr>
        <w:t>For example, a</w:t>
      </w:r>
      <w:r w:rsidRPr="00507D11">
        <w:rPr>
          <w:lang w:val="en-GB"/>
        </w:rPr>
        <w:t xml:space="preserve"> tennis club or a bakery may have a similar sensi</w:t>
      </w:r>
      <w:r w:rsidR="00FC1053">
        <w:rPr>
          <w:lang w:val="en-GB"/>
        </w:rPr>
        <w:t>bility</w:t>
      </w:r>
      <w:r w:rsidRPr="00507D11">
        <w:rPr>
          <w:lang w:val="en-GB"/>
        </w:rPr>
        <w:t xml:space="preserve"> to the annoyance, but the economic impact on the business will be different.</w:t>
      </w:r>
    </w:p>
    <w:p w14:paraId="4E2415DC" w14:textId="77777777" w:rsidR="00AB10FE" w:rsidRPr="00507D11" w:rsidRDefault="00FC1053" w:rsidP="00861969">
      <w:pPr>
        <w:pStyle w:val="CETBodytext"/>
        <w:rPr>
          <w:rFonts w:eastAsia="Calibri"/>
          <w:lang w:val="en-GB"/>
        </w:rPr>
      </w:pPr>
      <w:r>
        <w:rPr>
          <w:rFonts w:eastAsia="Calibri"/>
          <w:lang w:val="en-GB"/>
        </w:rPr>
        <w:t>This sensi</w:t>
      </w:r>
      <w:r w:rsidR="00625DA9">
        <w:rPr>
          <w:rFonts w:eastAsia="Calibri"/>
          <w:lang w:val="en-GB"/>
        </w:rPr>
        <w:t>bility</w:t>
      </w:r>
      <w:r w:rsidR="00507D11" w:rsidRPr="00507D11">
        <w:rPr>
          <w:rFonts w:eastAsia="Calibri"/>
          <w:lang w:val="en-GB"/>
        </w:rPr>
        <w:t xml:space="preserve"> variable is associated with an economic variable: the value-added rate of the activity. It is assumed that a high </w:t>
      </w:r>
      <w:r w:rsidR="00652793">
        <w:rPr>
          <w:rFonts w:eastAsia="Calibri"/>
          <w:lang w:val="en-GB"/>
        </w:rPr>
        <w:t>value-added</w:t>
      </w:r>
      <w:r w:rsidR="00507D11" w:rsidRPr="00507D11">
        <w:rPr>
          <w:rFonts w:eastAsia="Calibri"/>
          <w:lang w:val="en-GB"/>
        </w:rPr>
        <w:t xml:space="preserve"> rate indicates </w:t>
      </w:r>
      <w:r w:rsidR="00A74E99" w:rsidRPr="00A74E99">
        <w:rPr>
          <w:rFonts w:eastAsia="Calibri"/>
          <w:lang w:val="en-GB"/>
        </w:rPr>
        <w:t>an activity more vulnerable to a decline in attendance.</w:t>
      </w:r>
      <w:r w:rsidR="00507D11" w:rsidRPr="00507D11">
        <w:rPr>
          <w:rFonts w:eastAsia="Calibri"/>
          <w:lang w:val="en-GB"/>
        </w:rPr>
        <w:t xml:space="preserve"> A high value-added rate means that the production cycle creates wealth to cover the other expenses of the business related to its economic model: salaries and expenses. According to the</w:t>
      </w:r>
      <w:r w:rsidR="000D3D2C">
        <w:rPr>
          <w:rFonts w:eastAsia="Calibri"/>
          <w:lang w:val="en-GB"/>
        </w:rPr>
        <w:t xml:space="preserve"> large </w:t>
      </w:r>
      <w:r w:rsidR="00507D11" w:rsidRPr="00507D11">
        <w:rPr>
          <w:rFonts w:eastAsia="Calibri"/>
          <w:lang w:val="en-GB"/>
        </w:rPr>
        <w:t>and simplified nomenclature of the INSEE, a multiplicative factor (1 to 3) is attributed to each activity according to the value</w:t>
      </w:r>
      <w:r w:rsidR="000D3D2C">
        <w:rPr>
          <w:rFonts w:eastAsia="Calibri"/>
          <w:lang w:val="en-GB"/>
        </w:rPr>
        <w:t>-</w:t>
      </w:r>
      <w:r w:rsidR="00507D11" w:rsidRPr="00507D11">
        <w:rPr>
          <w:rFonts w:eastAsia="Calibri"/>
          <w:lang w:val="en-GB"/>
        </w:rPr>
        <w:t xml:space="preserve">added rate of the </w:t>
      </w:r>
      <w:r w:rsidR="00A74E99">
        <w:rPr>
          <w:rFonts w:eastAsia="Calibri"/>
          <w:lang w:val="en-GB"/>
        </w:rPr>
        <w:t xml:space="preserve">sector of </w:t>
      </w:r>
      <w:r w:rsidR="006C094C">
        <w:rPr>
          <w:rFonts w:eastAsia="Calibri"/>
          <w:lang w:val="en-GB"/>
        </w:rPr>
        <w:t>activity (Table 1</w:t>
      </w:r>
      <w:r w:rsidR="00507D11" w:rsidRPr="00507D11">
        <w:rPr>
          <w:rFonts w:eastAsia="Calibri"/>
          <w:lang w:val="en-GB"/>
        </w:rPr>
        <w:t>).</w:t>
      </w:r>
    </w:p>
    <w:p w14:paraId="5967857E" w14:textId="77777777" w:rsidR="00EC6095" w:rsidRPr="00B57B36" w:rsidRDefault="00EC6095" w:rsidP="00EC6095">
      <w:pPr>
        <w:pStyle w:val="CETTabletitle"/>
      </w:pPr>
      <w:r w:rsidRPr="00B57B36">
        <w:t xml:space="preserve">Table 1: </w:t>
      </w:r>
      <w:r w:rsidR="009D596A" w:rsidRPr="009D596A">
        <w:t>Allocation of a multiplicative factor according to the nature of the activity and its value</w:t>
      </w:r>
      <w:r w:rsidR="00507D11">
        <w:t>-</w:t>
      </w:r>
      <w:r w:rsidR="009D596A" w:rsidRPr="009D596A">
        <w:t>added rate</w:t>
      </w:r>
    </w:p>
    <w:tbl>
      <w:tblPr>
        <w:tblW w:w="875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26"/>
        <w:gridCol w:w="2211"/>
        <w:gridCol w:w="2211"/>
        <w:gridCol w:w="2211"/>
      </w:tblGrid>
      <w:tr w:rsidR="00F96114" w:rsidRPr="00B57B36" w14:paraId="40162808" w14:textId="77777777" w:rsidTr="008E1A01">
        <w:tc>
          <w:tcPr>
            <w:tcW w:w="2126" w:type="dxa"/>
            <w:tcBorders>
              <w:top w:val="single" w:sz="12" w:space="0" w:color="008000"/>
              <w:bottom w:val="single" w:sz="6" w:space="0" w:color="008000"/>
            </w:tcBorders>
            <w:shd w:val="clear" w:color="auto" w:fill="FFFFFF"/>
          </w:tcPr>
          <w:p w14:paraId="7379142D" w14:textId="77777777" w:rsidR="00F96114" w:rsidRPr="00B57B36" w:rsidRDefault="001D3E1A" w:rsidP="002111CF">
            <w:pPr>
              <w:pStyle w:val="CETBodytext"/>
              <w:rPr>
                <w:lang w:val="en-GB"/>
              </w:rPr>
            </w:pPr>
            <w:r>
              <w:rPr>
                <w:lang w:val="en-GB"/>
              </w:rPr>
              <w:t>V</w:t>
            </w:r>
            <w:r w:rsidRPr="001D3E1A">
              <w:rPr>
                <w:lang w:val="en-GB"/>
              </w:rPr>
              <w:t>alue added rate</w:t>
            </w:r>
          </w:p>
        </w:tc>
        <w:tc>
          <w:tcPr>
            <w:tcW w:w="2211" w:type="dxa"/>
            <w:tcBorders>
              <w:top w:val="single" w:sz="12" w:space="0" w:color="008000"/>
              <w:bottom w:val="single" w:sz="6" w:space="0" w:color="008000"/>
            </w:tcBorders>
            <w:shd w:val="clear" w:color="auto" w:fill="FFFFFF"/>
          </w:tcPr>
          <w:p w14:paraId="070807A6" w14:textId="77777777" w:rsidR="00F96114" w:rsidRPr="001D3E1A" w:rsidRDefault="001D3E1A" w:rsidP="00EC6095">
            <w:pPr>
              <w:pStyle w:val="CETBodytext"/>
              <w:rPr>
                <w:lang w:val="en-GB"/>
              </w:rPr>
            </w:pPr>
            <w:r w:rsidRPr="001D3E1A">
              <w:rPr>
                <w:lang w:val="en-GB"/>
              </w:rPr>
              <w:t>Less than 25</w:t>
            </w:r>
            <w:r w:rsidR="00750959">
              <w:rPr>
                <w:lang w:val="en-GB"/>
              </w:rPr>
              <w:t>%</w:t>
            </w:r>
          </w:p>
        </w:tc>
        <w:tc>
          <w:tcPr>
            <w:tcW w:w="2211" w:type="dxa"/>
            <w:tcBorders>
              <w:top w:val="single" w:sz="12" w:space="0" w:color="008000"/>
              <w:bottom w:val="single" w:sz="6" w:space="0" w:color="008000"/>
            </w:tcBorders>
            <w:shd w:val="clear" w:color="auto" w:fill="FFFFFF"/>
          </w:tcPr>
          <w:p w14:paraId="5A1A242D" w14:textId="77777777" w:rsidR="00F96114" w:rsidRPr="00B57B36" w:rsidRDefault="00F96114" w:rsidP="002111CF">
            <w:pPr>
              <w:pStyle w:val="CETBodytext"/>
              <w:rPr>
                <w:lang w:val="en-GB"/>
              </w:rPr>
            </w:pPr>
            <w:r>
              <w:rPr>
                <w:lang w:val="en-GB"/>
              </w:rPr>
              <w:t>2</w:t>
            </w:r>
            <w:r w:rsidR="00750959">
              <w:rPr>
                <w:lang w:val="en-GB"/>
              </w:rPr>
              <w:t>5-40%</w:t>
            </w:r>
          </w:p>
        </w:tc>
        <w:tc>
          <w:tcPr>
            <w:tcW w:w="2211" w:type="dxa"/>
            <w:tcBorders>
              <w:top w:val="single" w:sz="12" w:space="0" w:color="008000"/>
              <w:bottom w:val="single" w:sz="6" w:space="0" w:color="008000"/>
            </w:tcBorders>
            <w:shd w:val="clear" w:color="auto" w:fill="FFFFFF"/>
          </w:tcPr>
          <w:p w14:paraId="37EAA704" w14:textId="77777777" w:rsidR="00F96114" w:rsidRPr="00B57B36" w:rsidRDefault="00750959" w:rsidP="002111CF">
            <w:pPr>
              <w:pStyle w:val="CETBodytext"/>
              <w:ind w:right="-1"/>
              <w:rPr>
                <w:rFonts w:cs="Arial"/>
                <w:szCs w:val="18"/>
                <w:lang w:val="en-GB"/>
              </w:rPr>
            </w:pPr>
            <w:r>
              <w:rPr>
                <w:rFonts w:cs="Arial"/>
                <w:szCs w:val="18"/>
                <w:lang w:val="en-GB"/>
              </w:rPr>
              <w:t>40% and more</w:t>
            </w:r>
          </w:p>
        </w:tc>
      </w:tr>
      <w:tr w:rsidR="00F96114" w:rsidRPr="00B57B36" w14:paraId="55FD0E46" w14:textId="77777777" w:rsidTr="008E1A01">
        <w:tc>
          <w:tcPr>
            <w:tcW w:w="2126" w:type="dxa"/>
            <w:shd w:val="clear" w:color="auto" w:fill="FFFFFF"/>
          </w:tcPr>
          <w:p w14:paraId="2D0AA41B" w14:textId="77777777" w:rsidR="00F96114" w:rsidRPr="00B57B36" w:rsidRDefault="001D3E1A" w:rsidP="002111CF">
            <w:pPr>
              <w:pStyle w:val="CETBodytext"/>
              <w:rPr>
                <w:lang w:val="en-GB"/>
              </w:rPr>
            </w:pPr>
            <w:r>
              <w:rPr>
                <w:lang w:val="en-GB"/>
              </w:rPr>
              <w:t>Economic factor</w:t>
            </w:r>
          </w:p>
        </w:tc>
        <w:tc>
          <w:tcPr>
            <w:tcW w:w="2211" w:type="dxa"/>
            <w:shd w:val="clear" w:color="auto" w:fill="FFFFFF"/>
          </w:tcPr>
          <w:p w14:paraId="0C467A8D" w14:textId="77777777" w:rsidR="00F96114" w:rsidRPr="001D3E1A" w:rsidRDefault="001D3E1A" w:rsidP="002111CF">
            <w:pPr>
              <w:pStyle w:val="CETBodytext"/>
              <w:rPr>
                <w:lang w:val="en-GB"/>
              </w:rPr>
            </w:pPr>
            <w:r w:rsidRPr="001D3E1A">
              <w:rPr>
                <w:lang w:val="en-GB"/>
              </w:rPr>
              <w:t>1</w:t>
            </w:r>
          </w:p>
        </w:tc>
        <w:tc>
          <w:tcPr>
            <w:tcW w:w="2211" w:type="dxa"/>
            <w:shd w:val="clear" w:color="auto" w:fill="FFFFFF"/>
          </w:tcPr>
          <w:p w14:paraId="06D8256E" w14:textId="77777777" w:rsidR="00F96114" w:rsidRPr="00B57B36" w:rsidRDefault="001D3E1A" w:rsidP="002111CF">
            <w:pPr>
              <w:pStyle w:val="CETBodytext"/>
              <w:rPr>
                <w:lang w:val="en-GB"/>
              </w:rPr>
            </w:pPr>
            <w:r>
              <w:rPr>
                <w:lang w:val="en-GB"/>
              </w:rPr>
              <w:t>2</w:t>
            </w:r>
          </w:p>
        </w:tc>
        <w:tc>
          <w:tcPr>
            <w:tcW w:w="2211" w:type="dxa"/>
            <w:shd w:val="clear" w:color="auto" w:fill="FFFFFF"/>
          </w:tcPr>
          <w:p w14:paraId="2D2094E6" w14:textId="77777777" w:rsidR="00F96114" w:rsidRPr="00B57B36" w:rsidRDefault="001D3E1A" w:rsidP="002111CF">
            <w:pPr>
              <w:pStyle w:val="CETBodytext"/>
              <w:ind w:right="-1"/>
              <w:rPr>
                <w:rFonts w:cs="Arial"/>
                <w:szCs w:val="18"/>
                <w:lang w:val="en-GB"/>
              </w:rPr>
            </w:pPr>
            <w:r>
              <w:rPr>
                <w:rFonts w:cs="Arial"/>
                <w:szCs w:val="18"/>
                <w:lang w:val="en-GB"/>
              </w:rPr>
              <w:t>3</w:t>
            </w:r>
          </w:p>
        </w:tc>
      </w:tr>
      <w:tr w:rsidR="001D3E1A" w:rsidRPr="00B57B36" w14:paraId="26121B66" w14:textId="77777777" w:rsidTr="008E1A01">
        <w:tc>
          <w:tcPr>
            <w:tcW w:w="2126" w:type="dxa"/>
            <w:shd w:val="clear" w:color="auto" w:fill="FFFFFF"/>
          </w:tcPr>
          <w:p w14:paraId="681981A6" w14:textId="77777777" w:rsidR="001D3E1A" w:rsidRDefault="00750959" w:rsidP="00750959">
            <w:pPr>
              <w:pStyle w:val="CETBodytext"/>
              <w:rPr>
                <w:lang w:val="en-GB"/>
              </w:rPr>
            </w:pPr>
            <w:r w:rsidRPr="00750959">
              <w:rPr>
                <w:lang w:val="en-GB"/>
              </w:rPr>
              <w:t xml:space="preserve">Examples of </w:t>
            </w:r>
            <w:r>
              <w:rPr>
                <w:lang w:val="en-GB"/>
              </w:rPr>
              <w:t>OSM</w:t>
            </w:r>
            <w:r w:rsidRPr="00750959">
              <w:rPr>
                <w:lang w:val="en-GB"/>
              </w:rPr>
              <w:t xml:space="preserve"> objects</w:t>
            </w:r>
          </w:p>
        </w:tc>
        <w:tc>
          <w:tcPr>
            <w:tcW w:w="2211" w:type="dxa"/>
            <w:shd w:val="clear" w:color="auto" w:fill="FFFFFF"/>
          </w:tcPr>
          <w:p w14:paraId="358F9E90" w14:textId="77777777" w:rsidR="001D3E1A" w:rsidRPr="00B57B36" w:rsidRDefault="00750959" w:rsidP="008E1A01">
            <w:pPr>
              <w:pStyle w:val="CETBodytext"/>
              <w:jc w:val="left"/>
              <w:rPr>
                <w:lang w:val="en-GB"/>
              </w:rPr>
            </w:pPr>
            <w:r w:rsidRPr="00750959">
              <w:rPr>
                <w:lang w:val="en-GB"/>
              </w:rPr>
              <w:t>Superstore/supermarket/</w:t>
            </w:r>
            <w:r w:rsidR="008E1A01">
              <w:rPr>
                <w:lang w:val="en-GB"/>
              </w:rPr>
              <w:t xml:space="preserve"> </w:t>
            </w:r>
            <w:r w:rsidRPr="00750959">
              <w:rPr>
                <w:lang w:val="en-GB"/>
              </w:rPr>
              <w:t>car dealer/furniture store</w:t>
            </w:r>
          </w:p>
        </w:tc>
        <w:tc>
          <w:tcPr>
            <w:tcW w:w="2211" w:type="dxa"/>
            <w:shd w:val="clear" w:color="auto" w:fill="FFFFFF"/>
          </w:tcPr>
          <w:p w14:paraId="61C2CB4F" w14:textId="77777777" w:rsidR="001D3E1A" w:rsidRPr="00B57B36" w:rsidRDefault="00750959" w:rsidP="008E1A01">
            <w:pPr>
              <w:pStyle w:val="CETBodytext"/>
              <w:jc w:val="left"/>
              <w:rPr>
                <w:lang w:val="en-GB"/>
              </w:rPr>
            </w:pPr>
            <w:r w:rsidRPr="00750959">
              <w:rPr>
                <w:lang w:val="en-GB"/>
              </w:rPr>
              <w:t>Bookstore/butcher shop/clothing store, game store, etc./auto repair</w:t>
            </w:r>
          </w:p>
        </w:tc>
        <w:tc>
          <w:tcPr>
            <w:tcW w:w="2211" w:type="dxa"/>
            <w:shd w:val="clear" w:color="auto" w:fill="FFFFFF"/>
          </w:tcPr>
          <w:p w14:paraId="08FE7D1B" w14:textId="77777777" w:rsidR="001D3E1A" w:rsidRPr="00B57B36" w:rsidRDefault="00750959" w:rsidP="008E1A01">
            <w:pPr>
              <w:pStyle w:val="CETBodytext"/>
              <w:ind w:right="-1"/>
              <w:jc w:val="left"/>
              <w:rPr>
                <w:rFonts w:cs="Arial"/>
                <w:szCs w:val="18"/>
                <w:lang w:val="en-GB"/>
              </w:rPr>
            </w:pPr>
            <w:r w:rsidRPr="00750959">
              <w:rPr>
                <w:rFonts w:cs="Arial"/>
                <w:szCs w:val="18"/>
                <w:lang w:val="en-GB"/>
              </w:rPr>
              <w:t>Restaurant/bar/hotel/golf/</w:t>
            </w:r>
            <w:r w:rsidR="008E1A01">
              <w:rPr>
                <w:rFonts w:cs="Arial"/>
                <w:szCs w:val="18"/>
                <w:lang w:val="en-GB"/>
              </w:rPr>
              <w:t xml:space="preserve"> </w:t>
            </w:r>
            <w:r w:rsidRPr="00750959">
              <w:rPr>
                <w:rFonts w:cs="Arial"/>
                <w:szCs w:val="18"/>
                <w:lang w:val="en-GB"/>
              </w:rPr>
              <w:t>amusement park</w:t>
            </w:r>
          </w:p>
        </w:tc>
      </w:tr>
    </w:tbl>
    <w:p w14:paraId="1FB1E070" w14:textId="77777777" w:rsidR="00EC6095" w:rsidRDefault="00EC6095" w:rsidP="00CC4E5D">
      <w:pPr>
        <w:pStyle w:val="CETBodytext"/>
        <w:rPr>
          <w:rFonts w:eastAsia="Calibri"/>
          <w:lang w:val="en-GB"/>
        </w:rPr>
      </w:pPr>
    </w:p>
    <w:p w14:paraId="05FBEE00" w14:textId="77777777" w:rsidR="00EC4966" w:rsidRPr="00642EDD" w:rsidRDefault="00642EDD" w:rsidP="00CC4E5D">
      <w:pPr>
        <w:pStyle w:val="CETBodytext"/>
        <w:rPr>
          <w:rFonts w:eastAsia="Calibri"/>
          <w:lang w:val="en-GB"/>
        </w:rPr>
      </w:pPr>
      <w:r w:rsidRPr="00642EDD">
        <w:rPr>
          <w:rFonts w:eastAsia="Calibri"/>
          <w:lang w:val="en-GB"/>
        </w:rPr>
        <w:t>The economic vulnerability is evaluated for each activity according to this equation (</w:t>
      </w:r>
      <w:proofErr w:type="spellStart"/>
      <w:proofErr w:type="gramStart"/>
      <w:r w:rsidRPr="00642EDD">
        <w:rPr>
          <w:rFonts w:eastAsia="Calibri"/>
          <w:lang w:val="en-GB"/>
        </w:rPr>
        <w:t>Eq</w:t>
      </w:r>
      <w:proofErr w:type="spellEnd"/>
      <w:r w:rsidRPr="00642EDD">
        <w:rPr>
          <w:rFonts w:eastAsia="Calibri"/>
          <w:lang w:val="en-GB"/>
        </w:rPr>
        <w:t>(</w:t>
      </w:r>
      <w:proofErr w:type="gramEnd"/>
      <w:r w:rsidR="009E095C">
        <w:rPr>
          <w:rFonts w:eastAsia="Calibri"/>
          <w:lang w:val="en-GB"/>
        </w:rPr>
        <w:t>9</w:t>
      </w:r>
      <w:r w:rsidRPr="00642EDD">
        <w:rPr>
          <w:rFonts w:eastAsia="Calibri"/>
          <w:lang w:val="en-GB"/>
        </w:rPr>
        <w:t>)).</w:t>
      </w:r>
    </w:p>
    <w:p w14:paraId="2CE62A27" w14:textId="77777777" w:rsidR="00EC4966" w:rsidRPr="00642EDD" w:rsidRDefault="00D970D4" w:rsidP="00EC4966">
      <w:pPr>
        <w:pStyle w:val="CETBodytext"/>
        <w:rPr>
          <w:rFonts w:eastAsia="Calibri" w:cs="Arial"/>
          <w:lang w:val="fr-FR"/>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eco</m:t>
                  </m:r>
                </m:sub>
              </m:sSub>
              <m:r>
                <w:rPr>
                  <w:rFonts w:ascii="Cambria Math" w:hAnsi="Cambria Math"/>
                  <w:lang w:val="fr-FR"/>
                </w:rPr>
                <m:t>=</m:t>
              </m:r>
              <m:r>
                <w:rPr>
                  <w:rFonts w:ascii="Cambria Math" w:hAnsi="Cambria Math"/>
                </w:rPr>
                <m:t>Sensibility variable*Economic factor</m:t>
              </m:r>
              <m:r>
                <w:rPr>
                  <w:rFonts w:ascii="Cambria Math" w:hAnsi="Cambria Math"/>
                  <w:lang w:val="fr-FR"/>
                </w:rPr>
                <m:t>#</m:t>
              </m:r>
              <m:d>
                <m:dPr>
                  <m:ctrlPr>
                    <w:rPr>
                      <w:rFonts w:ascii="Cambria Math" w:hAnsi="Cambria Math"/>
                      <w:i/>
                    </w:rPr>
                  </m:ctrlPr>
                </m:dPr>
                <m:e>
                  <m:r>
                    <w:rPr>
                      <w:rFonts w:ascii="Cambria Math" w:hAnsi="Cambria Math"/>
                    </w:rPr>
                    <m:t>9</m:t>
                  </m:r>
                </m:e>
              </m:d>
            </m:e>
          </m:eqArr>
        </m:oMath>
      </m:oMathPara>
    </w:p>
    <w:p w14:paraId="14EBDDD5" w14:textId="77777777" w:rsidR="00EC4966" w:rsidRPr="00642EDD" w:rsidRDefault="00642EDD" w:rsidP="00EC4966">
      <w:pPr>
        <w:pStyle w:val="CETBodytext"/>
        <w:rPr>
          <w:rFonts w:eastAsia="Calibri"/>
          <w:lang w:val="en-GB"/>
        </w:rPr>
      </w:pPr>
      <w:r w:rsidRPr="00642EDD">
        <w:rPr>
          <w:rFonts w:eastAsia="Calibri"/>
          <w:lang w:val="en-GB"/>
        </w:rPr>
        <w:t>At the cell scale, the economic vulnerability is obtained by adding up all the activities which are present.</w:t>
      </w:r>
    </w:p>
    <w:p w14:paraId="37A9E8AE" w14:textId="77777777" w:rsidR="00C5707A" w:rsidRPr="00922640" w:rsidRDefault="00C5707A" w:rsidP="00C5707A">
      <w:pPr>
        <w:pStyle w:val="CETHeadingxx"/>
        <w:rPr>
          <w:rFonts w:eastAsia="Calibri"/>
          <w:lang w:val="en-GB"/>
        </w:rPr>
      </w:pPr>
      <w:r w:rsidRPr="00922640">
        <w:rPr>
          <w:rFonts w:eastAsia="Calibri"/>
          <w:lang w:val="en-GB"/>
        </w:rPr>
        <w:t>Defining social vulnerability</w:t>
      </w:r>
    </w:p>
    <w:p w14:paraId="0C502CD0" w14:textId="77777777" w:rsidR="00642EDD" w:rsidRPr="00642EDD" w:rsidRDefault="00642EDD" w:rsidP="00642EDD">
      <w:pPr>
        <w:pStyle w:val="CETBodytext"/>
        <w:rPr>
          <w:lang w:val="en-GB"/>
        </w:rPr>
      </w:pPr>
      <w:r w:rsidRPr="00642EDD">
        <w:rPr>
          <w:lang w:val="en-GB"/>
        </w:rPr>
        <w:t xml:space="preserve">Social vulnerability represents the impact of the odour annoyance on the functioning of public infrastructure and on those who attend it (school, hospital, public space, etc.). </w:t>
      </w:r>
    </w:p>
    <w:p w14:paraId="7AD3D39E" w14:textId="77777777" w:rsidR="00C5707A" w:rsidRPr="00642EDD" w:rsidRDefault="00642EDD" w:rsidP="00642EDD">
      <w:pPr>
        <w:pStyle w:val="CETBodytext"/>
        <w:rPr>
          <w:lang w:val="en-GB"/>
        </w:rPr>
      </w:pPr>
      <w:r w:rsidRPr="00642EDD">
        <w:rPr>
          <w:lang w:val="en-GB"/>
        </w:rPr>
        <w:t xml:space="preserve">In the same way as economic vulnerability, a </w:t>
      </w:r>
      <w:r w:rsidR="00FC1053">
        <w:rPr>
          <w:lang w:val="en-GB"/>
        </w:rPr>
        <w:t>multiplicative</w:t>
      </w:r>
      <w:r w:rsidRPr="00642EDD">
        <w:rPr>
          <w:lang w:val="en-GB"/>
        </w:rPr>
        <w:t xml:space="preserve"> factor</w:t>
      </w:r>
      <w:r w:rsidR="00FC1053">
        <w:rPr>
          <w:lang w:val="en-GB"/>
        </w:rPr>
        <w:t xml:space="preserve"> is associated with the sensibil</w:t>
      </w:r>
      <w:r w:rsidRPr="00642EDD">
        <w:rPr>
          <w:lang w:val="en-GB"/>
        </w:rPr>
        <w:t xml:space="preserve">ity </w:t>
      </w:r>
      <w:r w:rsidR="00FC1053">
        <w:rPr>
          <w:lang w:val="en-GB"/>
        </w:rPr>
        <w:t xml:space="preserve">variable </w:t>
      </w:r>
      <w:r w:rsidRPr="00642EDD">
        <w:rPr>
          <w:lang w:val="en-GB"/>
        </w:rPr>
        <w:t>of the public infrastructure, in this case related to the average daily attendance. The vulnerability of a public facility is thus considered to depend on its sensitivity to an odour annoyance (impact on the quality of service and/or its functioning) but also on the number of people affected. Each type of public facility is assigned to one of three main</w:t>
      </w:r>
      <w:r w:rsidR="006C094C">
        <w:rPr>
          <w:lang w:val="en-GB"/>
        </w:rPr>
        <w:t xml:space="preserve"> attendance classes (Table </w:t>
      </w:r>
      <w:r w:rsidRPr="00642EDD">
        <w:rPr>
          <w:lang w:val="en-GB"/>
        </w:rPr>
        <w:t>2).</w:t>
      </w:r>
    </w:p>
    <w:p w14:paraId="2B6A4D1C" w14:textId="77777777" w:rsidR="00706C30" w:rsidRPr="00B57B36" w:rsidRDefault="00706C30" w:rsidP="00706C30">
      <w:pPr>
        <w:pStyle w:val="CETTabletitle"/>
      </w:pPr>
      <w:r w:rsidRPr="00B57B36">
        <w:t xml:space="preserve">Table </w:t>
      </w:r>
      <w:r>
        <w:t>2</w:t>
      </w:r>
      <w:r w:rsidRPr="00B57B36">
        <w:t xml:space="preserve">: </w:t>
      </w:r>
      <w:r w:rsidRPr="009D596A">
        <w:t xml:space="preserve">Allocation of a multiplicative factor according to the </w:t>
      </w:r>
      <w:r w:rsidR="00642EDD">
        <w:t>public facility</w:t>
      </w:r>
      <w:r w:rsidRPr="009D596A">
        <w:t xml:space="preserve"> and its </w:t>
      </w:r>
      <w:r w:rsidR="00642EDD">
        <w:t>average daily attendance</w:t>
      </w:r>
    </w:p>
    <w:tbl>
      <w:tblPr>
        <w:tblW w:w="876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27"/>
        <w:gridCol w:w="2211"/>
        <w:gridCol w:w="2211"/>
        <w:gridCol w:w="2211"/>
      </w:tblGrid>
      <w:tr w:rsidR="00706C30" w:rsidRPr="00B57B36" w14:paraId="7E4AF42B" w14:textId="77777777" w:rsidTr="008E1A01">
        <w:tc>
          <w:tcPr>
            <w:tcW w:w="2127" w:type="dxa"/>
            <w:tcBorders>
              <w:top w:val="single" w:sz="12" w:space="0" w:color="008000"/>
              <w:bottom w:val="single" w:sz="6" w:space="0" w:color="008000"/>
            </w:tcBorders>
            <w:shd w:val="clear" w:color="auto" w:fill="FFFFFF"/>
          </w:tcPr>
          <w:p w14:paraId="281CF6A0" w14:textId="77777777" w:rsidR="00706C30" w:rsidRPr="00B57B36" w:rsidRDefault="00706C30" w:rsidP="002111CF">
            <w:pPr>
              <w:pStyle w:val="CETBodytext"/>
              <w:rPr>
                <w:lang w:val="en-GB"/>
              </w:rPr>
            </w:pPr>
            <w:r>
              <w:rPr>
                <w:lang w:val="en-GB"/>
              </w:rPr>
              <w:t>A</w:t>
            </w:r>
            <w:r w:rsidRPr="00706C30">
              <w:rPr>
                <w:lang w:val="en-GB"/>
              </w:rPr>
              <w:t>ttendance</w:t>
            </w:r>
          </w:p>
        </w:tc>
        <w:tc>
          <w:tcPr>
            <w:tcW w:w="2211" w:type="dxa"/>
            <w:tcBorders>
              <w:top w:val="single" w:sz="12" w:space="0" w:color="008000"/>
              <w:bottom w:val="single" w:sz="6" w:space="0" w:color="008000"/>
            </w:tcBorders>
            <w:shd w:val="clear" w:color="auto" w:fill="FFFFFF"/>
          </w:tcPr>
          <w:p w14:paraId="7A2E2E97" w14:textId="77777777" w:rsidR="00706C30" w:rsidRPr="001D3E1A" w:rsidRDefault="00706C30" w:rsidP="00706C30">
            <w:pPr>
              <w:pStyle w:val="CETBodytext"/>
              <w:rPr>
                <w:lang w:val="en-GB"/>
              </w:rPr>
            </w:pPr>
            <w:r w:rsidRPr="001D3E1A">
              <w:rPr>
                <w:lang w:val="en-GB"/>
              </w:rPr>
              <w:t>Less than</w:t>
            </w:r>
            <w:r>
              <w:rPr>
                <w:lang w:val="en-GB"/>
              </w:rPr>
              <w:t xml:space="preserve"> 100</w:t>
            </w:r>
          </w:p>
        </w:tc>
        <w:tc>
          <w:tcPr>
            <w:tcW w:w="2211" w:type="dxa"/>
            <w:tcBorders>
              <w:top w:val="single" w:sz="12" w:space="0" w:color="008000"/>
              <w:bottom w:val="single" w:sz="6" w:space="0" w:color="008000"/>
            </w:tcBorders>
            <w:shd w:val="clear" w:color="auto" w:fill="FFFFFF"/>
          </w:tcPr>
          <w:p w14:paraId="58BE4839" w14:textId="77777777" w:rsidR="00706C30" w:rsidRPr="00B57B36" w:rsidRDefault="00706C30" w:rsidP="00706C30">
            <w:pPr>
              <w:pStyle w:val="CETBodytext"/>
              <w:rPr>
                <w:lang w:val="en-GB"/>
              </w:rPr>
            </w:pPr>
            <w:r>
              <w:rPr>
                <w:lang w:val="en-GB"/>
              </w:rPr>
              <w:t>Between 100 and 500</w:t>
            </w:r>
          </w:p>
        </w:tc>
        <w:tc>
          <w:tcPr>
            <w:tcW w:w="2211" w:type="dxa"/>
            <w:tcBorders>
              <w:top w:val="single" w:sz="12" w:space="0" w:color="008000"/>
              <w:bottom w:val="single" w:sz="6" w:space="0" w:color="008000"/>
            </w:tcBorders>
            <w:shd w:val="clear" w:color="auto" w:fill="FFFFFF"/>
          </w:tcPr>
          <w:p w14:paraId="16E585CE" w14:textId="77777777" w:rsidR="00706C30" w:rsidRPr="00B57B36" w:rsidRDefault="00706C30" w:rsidP="002111CF">
            <w:pPr>
              <w:pStyle w:val="CETBodytext"/>
              <w:ind w:right="-1"/>
              <w:rPr>
                <w:rFonts w:cs="Arial"/>
                <w:szCs w:val="18"/>
                <w:lang w:val="en-GB"/>
              </w:rPr>
            </w:pPr>
            <w:r>
              <w:rPr>
                <w:rFonts w:cs="Arial"/>
                <w:szCs w:val="18"/>
                <w:lang w:val="en-GB"/>
              </w:rPr>
              <w:t>500 and more</w:t>
            </w:r>
          </w:p>
        </w:tc>
      </w:tr>
      <w:tr w:rsidR="00706C30" w:rsidRPr="00B57B36" w14:paraId="3D2C4438" w14:textId="77777777" w:rsidTr="008E1A01">
        <w:tc>
          <w:tcPr>
            <w:tcW w:w="2127" w:type="dxa"/>
            <w:shd w:val="clear" w:color="auto" w:fill="FFFFFF"/>
          </w:tcPr>
          <w:p w14:paraId="1C8608A3" w14:textId="77777777" w:rsidR="00706C30" w:rsidRPr="00B57B36" w:rsidRDefault="00706C30" w:rsidP="002111CF">
            <w:pPr>
              <w:pStyle w:val="CETBodytext"/>
              <w:rPr>
                <w:lang w:val="en-GB"/>
              </w:rPr>
            </w:pPr>
            <w:r>
              <w:rPr>
                <w:lang w:val="en-GB"/>
              </w:rPr>
              <w:t>Attendance factor</w:t>
            </w:r>
          </w:p>
        </w:tc>
        <w:tc>
          <w:tcPr>
            <w:tcW w:w="2211" w:type="dxa"/>
            <w:shd w:val="clear" w:color="auto" w:fill="FFFFFF"/>
          </w:tcPr>
          <w:p w14:paraId="5D062829" w14:textId="77777777" w:rsidR="00706C30" w:rsidRPr="001D3E1A" w:rsidRDefault="00706C30" w:rsidP="002111CF">
            <w:pPr>
              <w:pStyle w:val="CETBodytext"/>
              <w:rPr>
                <w:lang w:val="en-GB"/>
              </w:rPr>
            </w:pPr>
            <w:r w:rsidRPr="001D3E1A">
              <w:rPr>
                <w:lang w:val="en-GB"/>
              </w:rPr>
              <w:t>1</w:t>
            </w:r>
          </w:p>
        </w:tc>
        <w:tc>
          <w:tcPr>
            <w:tcW w:w="2211" w:type="dxa"/>
            <w:shd w:val="clear" w:color="auto" w:fill="FFFFFF"/>
          </w:tcPr>
          <w:p w14:paraId="503F89A8" w14:textId="77777777" w:rsidR="00706C30" w:rsidRPr="00B57B36" w:rsidRDefault="00706C30" w:rsidP="002111CF">
            <w:pPr>
              <w:pStyle w:val="CETBodytext"/>
              <w:rPr>
                <w:lang w:val="en-GB"/>
              </w:rPr>
            </w:pPr>
            <w:r>
              <w:rPr>
                <w:lang w:val="en-GB"/>
              </w:rPr>
              <w:t>2</w:t>
            </w:r>
          </w:p>
        </w:tc>
        <w:tc>
          <w:tcPr>
            <w:tcW w:w="2211" w:type="dxa"/>
            <w:shd w:val="clear" w:color="auto" w:fill="FFFFFF"/>
          </w:tcPr>
          <w:p w14:paraId="3090C6ED" w14:textId="77777777" w:rsidR="00706C30" w:rsidRPr="00B57B36" w:rsidRDefault="00706C30" w:rsidP="002111CF">
            <w:pPr>
              <w:pStyle w:val="CETBodytext"/>
              <w:ind w:right="-1"/>
              <w:rPr>
                <w:rFonts w:cs="Arial"/>
                <w:szCs w:val="18"/>
                <w:lang w:val="en-GB"/>
              </w:rPr>
            </w:pPr>
            <w:r>
              <w:rPr>
                <w:rFonts w:cs="Arial"/>
                <w:szCs w:val="18"/>
                <w:lang w:val="en-GB"/>
              </w:rPr>
              <w:t>3</w:t>
            </w:r>
          </w:p>
        </w:tc>
      </w:tr>
      <w:tr w:rsidR="00706C30" w:rsidRPr="00B57B36" w14:paraId="731D96D3" w14:textId="77777777" w:rsidTr="008E1A01">
        <w:tc>
          <w:tcPr>
            <w:tcW w:w="2127" w:type="dxa"/>
            <w:shd w:val="clear" w:color="auto" w:fill="FFFFFF"/>
          </w:tcPr>
          <w:p w14:paraId="6641F52E" w14:textId="77777777" w:rsidR="00706C30" w:rsidRDefault="00706C30" w:rsidP="002111CF">
            <w:pPr>
              <w:pStyle w:val="CETBodytext"/>
              <w:rPr>
                <w:lang w:val="en-GB"/>
              </w:rPr>
            </w:pPr>
            <w:r w:rsidRPr="00750959">
              <w:rPr>
                <w:lang w:val="en-GB"/>
              </w:rPr>
              <w:t xml:space="preserve">Examples of </w:t>
            </w:r>
            <w:r>
              <w:rPr>
                <w:lang w:val="en-GB"/>
              </w:rPr>
              <w:t>OSM</w:t>
            </w:r>
            <w:r w:rsidRPr="00750959">
              <w:rPr>
                <w:lang w:val="en-GB"/>
              </w:rPr>
              <w:t xml:space="preserve"> objects</w:t>
            </w:r>
          </w:p>
        </w:tc>
        <w:tc>
          <w:tcPr>
            <w:tcW w:w="2211" w:type="dxa"/>
            <w:shd w:val="clear" w:color="auto" w:fill="FFFFFF"/>
          </w:tcPr>
          <w:p w14:paraId="0B67C194" w14:textId="77777777" w:rsidR="00706C30" w:rsidRPr="00B57B36" w:rsidRDefault="00A04098" w:rsidP="008E1A01">
            <w:pPr>
              <w:pStyle w:val="CETBodytext"/>
              <w:jc w:val="left"/>
              <w:rPr>
                <w:lang w:val="en-GB"/>
              </w:rPr>
            </w:pPr>
            <w:r w:rsidRPr="00A04098">
              <w:rPr>
                <w:lang w:val="en-GB"/>
              </w:rPr>
              <w:t>City Hall/Court/Police</w:t>
            </w:r>
          </w:p>
        </w:tc>
        <w:tc>
          <w:tcPr>
            <w:tcW w:w="2211" w:type="dxa"/>
            <w:shd w:val="clear" w:color="auto" w:fill="FFFFFF"/>
          </w:tcPr>
          <w:p w14:paraId="2679F268" w14:textId="77777777" w:rsidR="00706C30" w:rsidRPr="00B57B36" w:rsidRDefault="00A04098" w:rsidP="008E1A01">
            <w:pPr>
              <w:pStyle w:val="CETBodytext"/>
              <w:jc w:val="left"/>
              <w:rPr>
                <w:lang w:val="en-GB"/>
              </w:rPr>
            </w:pPr>
            <w:r w:rsidRPr="00A04098">
              <w:rPr>
                <w:lang w:val="en-GB"/>
              </w:rPr>
              <w:t xml:space="preserve">Social </w:t>
            </w:r>
            <w:proofErr w:type="spellStart"/>
            <w:r w:rsidRPr="00A04098">
              <w:rPr>
                <w:lang w:val="en-GB"/>
              </w:rPr>
              <w:t>center</w:t>
            </w:r>
            <w:proofErr w:type="spellEnd"/>
            <w:r w:rsidRPr="00A04098">
              <w:rPr>
                <w:lang w:val="en-GB"/>
              </w:rPr>
              <w:t xml:space="preserve">/sports </w:t>
            </w:r>
            <w:proofErr w:type="spellStart"/>
            <w:r w:rsidRPr="00A04098">
              <w:rPr>
                <w:lang w:val="en-GB"/>
              </w:rPr>
              <w:t>center</w:t>
            </w:r>
            <w:proofErr w:type="spellEnd"/>
            <w:r w:rsidRPr="00A04098">
              <w:rPr>
                <w:lang w:val="en-GB"/>
              </w:rPr>
              <w:t>/jail/ school/college</w:t>
            </w:r>
          </w:p>
        </w:tc>
        <w:tc>
          <w:tcPr>
            <w:tcW w:w="2211" w:type="dxa"/>
            <w:shd w:val="clear" w:color="auto" w:fill="FFFFFF"/>
          </w:tcPr>
          <w:p w14:paraId="2F5536A1" w14:textId="77777777" w:rsidR="00706C30" w:rsidRPr="00B57B36" w:rsidRDefault="00A04098" w:rsidP="008E1A01">
            <w:pPr>
              <w:pStyle w:val="CETBodytext"/>
              <w:ind w:right="-1"/>
              <w:jc w:val="left"/>
              <w:rPr>
                <w:rFonts w:cs="Arial"/>
                <w:szCs w:val="18"/>
                <w:lang w:val="en-GB"/>
              </w:rPr>
            </w:pPr>
            <w:r w:rsidRPr="00A04098">
              <w:rPr>
                <w:rFonts w:cs="Arial"/>
                <w:szCs w:val="18"/>
                <w:lang w:val="en-GB"/>
              </w:rPr>
              <w:t>University/hospital/clinic</w:t>
            </w:r>
          </w:p>
        </w:tc>
      </w:tr>
    </w:tbl>
    <w:p w14:paraId="513022C6" w14:textId="77777777" w:rsidR="0052761C" w:rsidRDefault="0052761C" w:rsidP="0052761C">
      <w:pPr>
        <w:pStyle w:val="CETBodytext"/>
        <w:rPr>
          <w:rFonts w:eastAsia="Calibri"/>
          <w:lang w:val="fr-FR"/>
        </w:rPr>
      </w:pPr>
    </w:p>
    <w:p w14:paraId="3EB2E52A" w14:textId="77777777" w:rsidR="0052761C" w:rsidRPr="00642EDD" w:rsidRDefault="00642EDD" w:rsidP="0052761C">
      <w:pPr>
        <w:pStyle w:val="CETBodytext"/>
        <w:rPr>
          <w:rFonts w:eastAsia="Calibri"/>
          <w:lang w:val="en-GB"/>
        </w:rPr>
      </w:pPr>
      <w:r w:rsidRPr="00642EDD">
        <w:rPr>
          <w:rFonts w:eastAsia="Calibri"/>
          <w:lang w:val="en-GB"/>
        </w:rPr>
        <w:t>Social vulnerability is assessed for each public infrastructure according to this equation (</w:t>
      </w:r>
      <w:proofErr w:type="spellStart"/>
      <w:proofErr w:type="gramStart"/>
      <w:r w:rsidRPr="00642EDD">
        <w:rPr>
          <w:rFonts w:eastAsia="Calibri"/>
          <w:lang w:val="en-GB"/>
        </w:rPr>
        <w:t>Eq</w:t>
      </w:r>
      <w:proofErr w:type="spellEnd"/>
      <w:r w:rsidRPr="00642EDD">
        <w:rPr>
          <w:rFonts w:eastAsia="Calibri"/>
          <w:lang w:val="en-GB"/>
        </w:rPr>
        <w:t>(</w:t>
      </w:r>
      <w:proofErr w:type="gramEnd"/>
      <w:r w:rsidRPr="00642EDD">
        <w:rPr>
          <w:rFonts w:eastAsia="Calibri"/>
          <w:lang w:val="en-GB"/>
        </w:rPr>
        <w:t>9)).</w:t>
      </w:r>
    </w:p>
    <w:p w14:paraId="700E50ED" w14:textId="77777777" w:rsidR="0052761C" w:rsidRPr="00642EDD" w:rsidRDefault="00D970D4" w:rsidP="0052761C">
      <w:pPr>
        <w:pStyle w:val="CETBodytext"/>
        <w:rPr>
          <w:rFonts w:eastAsia="Calibri" w:cs="Arial"/>
          <w:lang w:val="fr-FR"/>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soc</m:t>
                  </m:r>
                </m:sub>
              </m:sSub>
              <m:r>
                <w:rPr>
                  <w:rFonts w:ascii="Cambria Math" w:hAnsi="Cambria Math"/>
                  <w:lang w:val="fr-FR"/>
                </w:rPr>
                <m:t>=</m:t>
              </m:r>
              <m:r>
                <w:rPr>
                  <w:rFonts w:ascii="Cambria Math" w:hAnsi="Cambria Math"/>
                </w:rPr>
                <m:t>Sensibility variable*Attendance factor</m:t>
              </m:r>
              <m:r>
                <w:rPr>
                  <w:rFonts w:ascii="Cambria Math" w:hAnsi="Cambria Math"/>
                  <w:lang w:val="fr-FR"/>
                </w:rPr>
                <m:t>#</m:t>
              </m:r>
              <m:d>
                <m:dPr>
                  <m:ctrlPr>
                    <w:rPr>
                      <w:rFonts w:ascii="Cambria Math" w:hAnsi="Cambria Math"/>
                      <w:i/>
                    </w:rPr>
                  </m:ctrlPr>
                </m:dPr>
                <m:e>
                  <m:r>
                    <w:rPr>
                      <w:rFonts w:ascii="Cambria Math" w:hAnsi="Cambria Math"/>
                    </w:rPr>
                    <m:t>9</m:t>
                  </m:r>
                </m:e>
              </m:d>
            </m:e>
          </m:eqArr>
        </m:oMath>
      </m:oMathPara>
    </w:p>
    <w:p w14:paraId="704377AD" w14:textId="77777777" w:rsidR="0052761C" w:rsidRPr="00F67AEC" w:rsidRDefault="00F67AEC" w:rsidP="0052761C">
      <w:pPr>
        <w:pStyle w:val="CETBodytext"/>
        <w:rPr>
          <w:rFonts w:eastAsia="Calibri"/>
          <w:lang w:val="en-GB"/>
        </w:rPr>
      </w:pPr>
      <w:r w:rsidRPr="00642EDD">
        <w:rPr>
          <w:rFonts w:eastAsia="Calibri"/>
          <w:lang w:val="en-GB"/>
        </w:rPr>
        <w:t>At the cell scale, the</w:t>
      </w:r>
      <w:r>
        <w:rPr>
          <w:rFonts w:eastAsia="Calibri"/>
          <w:lang w:val="en-GB"/>
        </w:rPr>
        <w:t xml:space="preserve"> social </w:t>
      </w:r>
      <w:r w:rsidRPr="00642EDD">
        <w:rPr>
          <w:rFonts w:eastAsia="Calibri"/>
          <w:lang w:val="en-GB"/>
        </w:rPr>
        <w:t>vulnerability is obtained by adding up all the</w:t>
      </w:r>
      <w:r>
        <w:rPr>
          <w:rFonts w:eastAsia="Calibri"/>
          <w:lang w:val="en-GB"/>
        </w:rPr>
        <w:t xml:space="preserve"> infrastructure </w:t>
      </w:r>
      <w:r w:rsidRPr="00642EDD">
        <w:rPr>
          <w:rFonts w:eastAsia="Calibri"/>
          <w:lang w:val="en-GB"/>
        </w:rPr>
        <w:t>which are present.</w:t>
      </w:r>
    </w:p>
    <w:p w14:paraId="6753111F" w14:textId="77777777" w:rsidR="004F2A19" w:rsidRDefault="004F2A19" w:rsidP="00276D7D">
      <w:pPr>
        <w:pStyle w:val="CETHeading1"/>
        <w:rPr>
          <w:rFonts w:eastAsia="Calibri"/>
        </w:rPr>
      </w:pPr>
      <w:r w:rsidRPr="004F2A19">
        <w:rPr>
          <w:rFonts w:eastAsia="Calibri"/>
        </w:rPr>
        <w:t>Results</w:t>
      </w:r>
    </w:p>
    <w:p w14:paraId="78C4B40A" w14:textId="77777777" w:rsidR="007F27E3" w:rsidRDefault="007F27E3" w:rsidP="007F27E3">
      <w:pPr>
        <w:pStyle w:val="CETheadingx"/>
        <w:rPr>
          <w:rFonts w:eastAsia="Calibri"/>
        </w:rPr>
      </w:pPr>
      <w:r w:rsidRPr="007F27E3">
        <w:rPr>
          <w:rFonts w:eastAsia="Calibri"/>
        </w:rPr>
        <w:t>Result of the nuisance index at home</w:t>
      </w:r>
    </w:p>
    <w:p w14:paraId="2D3BE569" w14:textId="77777777" w:rsidR="00D14D91" w:rsidRDefault="00D14D91" w:rsidP="00D14D91">
      <w:pPr>
        <w:pStyle w:val="CETBodytext"/>
        <w:rPr>
          <w:rFonts w:eastAsia="Calibri"/>
          <w:lang w:val="en-GB"/>
        </w:rPr>
      </w:pPr>
      <w:r w:rsidRPr="00F67AEC">
        <w:rPr>
          <w:rFonts w:eastAsia="Calibri"/>
          <w:lang w:val="en-GB"/>
        </w:rPr>
        <w:t>The model is being</w:t>
      </w:r>
      <w:r w:rsidR="009E095C">
        <w:rPr>
          <w:rFonts w:eastAsia="Calibri"/>
          <w:lang w:val="en-GB"/>
        </w:rPr>
        <w:t xml:space="preserve"> tested in the sur</w:t>
      </w:r>
      <w:r w:rsidRPr="00F67AEC">
        <w:rPr>
          <w:rFonts w:eastAsia="Calibri"/>
          <w:lang w:val="en-GB"/>
        </w:rPr>
        <w:t>round</w:t>
      </w:r>
      <w:r w:rsidR="009E095C">
        <w:rPr>
          <w:rFonts w:eastAsia="Calibri"/>
          <w:lang w:val="en-GB"/>
        </w:rPr>
        <w:t>ing</w:t>
      </w:r>
      <w:r w:rsidRPr="00F67AEC">
        <w:rPr>
          <w:rFonts w:eastAsia="Calibri"/>
          <w:lang w:val="en-GB"/>
        </w:rPr>
        <w:t xml:space="preserve"> </w:t>
      </w:r>
      <w:r w:rsidR="009E095C">
        <w:rPr>
          <w:rFonts w:eastAsia="Calibri"/>
          <w:lang w:val="en-GB"/>
        </w:rPr>
        <w:t>of an</w:t>
      </w:r>
      <w:r>
        <w:rPr>
          <w:rFonts w:eastAsia="Calibri"/>
          <w:lang w:val="en-GB"/>
        </w:rPr>
        <w:t xml:space="preserve"> industrial site, in France</w:t>
      </w:r>
      <w:r w:rsidRPr="00F67AEC">
        <w:rPr>
          <w:rFonts w:eastAsia="Calibri"/>
          <w:lang w:val="en-GB"/>
        </w:rPr>
        <w:t>. Originally located outside of the city, the site is currently in the heart of a very dense urban area (10,000 inhabitants/km²). The area is therefore particularly vulnerable to the presence of an</w:t>
      </w:r>
      <w:r>
        <w:rPr>
          <w:rFonts w:eastAsia="Calibri"/>
          <w:lang w:val="en-GB"/>
        </w:rPr>
        <w:t xml:space="preserve"> odour annoyance (Figure 3(a)). </w:t>
      </w:r>
    </w:p>
    <w:p w14:paraId="6DDCB7B2" w14:textId="77777777" w:rsidR="00F07730" w:rsidRDefault="00D14D91" w:rsidP="000A19FA">
      <w:pPr>
        <w:pStyle w:val="CETBodytext"/>
        <w:rPr>
          <w:rFonts w:eastAsia="Calibri"/>
          <w:lang w:val="en-GB"/>
        </w:rPr>
      </w:pPr>
      <w:r>
        <w:rPr>
          <w:rFonts w:eastAsia="Calibri"/>
          <w:lang w:val="en-GB"/>
        </w:rPr>
        <w:t>Figure 3(d</w:t>
      </w:r>
      <w:r w:rsidRPr="00F67AEC">
        <w:rPr>
          <w:rFonts w:eastAsia="Calibri"/>
          <w:lang w:val="en-GB"/>
        </w:rPr>
        <w:t xml:space="preserve">) illustrates the levels of annoyance potential </w:t>
      </w:r>
      <w:r>
        <w:rPr>
          <w:rFonts w:eastAsia="Calibri"/>
          <w:lang w:val="en-GB"/>
        </w:rPr>
        <w:t>evaluated</w:t>
      </w:r>
      <w:r w:rsidRPr="00F67AEC">
        <w:rPr>
          <w:rFonts w:eastAsia="Calibri"/>
          <w:lang w:val="en-GB"/>
        </w:rPr>
        <w:t xml:space="preserve"> over a period of one year. This time scale gives a global representation of the odour impact on the territory and will be completed later by the modelling of particularly penalizing episodes (calm wind, summer, technical problems, etc.). </w:t>
      </w:r>
      <w:r w:rsidRPr="004960DC">
        <w:rPr>
          <w:rFonts w:eastAsia="Calibri"/>
          <w:lang w:val="en-GB"/>
        </w:rPr>
        <w:t xml:space="preserve">In each cell, the level of annoyance potential is associated with the number of inhabitants to provide the cartography of the risk of </w:t>
      </w:r>
      <w:r>
        <w:rPr>
          <w:rFonts w:eastAsia="Calibri"/>
          <w:lang w:val="en-GB"/>
        </w:rPr>
        <w:t xml:space="preserve">odour </w:t>
      </w:r>
      <w:r w:rsidRPr="004960DC">
        <w:rPr>
          <w:rFonts w:eastAsia="Calibri"/>
          <w:lang w:val="en-GB"/>
        </w:rPr>
        <w:t>nuisance at home</w:t>
      </w:r>
      <w:r w:rsidRPr="00F67AEC">
        <w:rPr>
          <w:rFonts w:eastAsia="Calibri"/>
          <w:lang w:val="en-GB"/>
        </w:rPr>
        <w:t xml:space="preserve"> (Figure 3(</w:t>
      </w:r>
      <w:r>
        <w:rPr>
          <w:rFonts w:eastAsia="Calibri"/>
          <w:lang w:val="en-GB"/>
        </w:rPr>
        <w:t>e</w:t>
      </w:r>
      <w:r w:rsidRPr="00F67AEC">
        <w:rPr>
          <w:rFonts w:eastAsia="Calibri"/>
          <w:lang w:val="en-GB"/>
        </w:rPr>
        <w:t xml:space="preserve">)). The highest levels of nuisance are mainly located around the site, but also in particularly populated city </w:t>
      </w:r>
      <w:proofErr w:type="spellStart"/>
      <w:r w:rsidRPr="00F67AEC">
        <w:rPr>
          <w:rFonts w:eastAsia="Calibri"/>
          <w:lang w:val="en-GB"/>
        </w:rPr>
        <w:t>centers</w:t>
      </w:r>
      <w:proofErr w:type="spellEnd"/>
      <w:r w:rsidRPr="00F67AEC">
        <w:rPr>
          <w:rFonts w:eastAsia="Calibri"/>
          <w:lang w:val="en-GB"/>
        </w:rPr>
        <w:t xml:space="preserve"> and collective housing areas.</w:t>
      </w:r>
    </w:p>
    <w:p w14:paraId="47801D9A" w14:textId="77777777" w:rsidR="007F27E3" w:rsidRDefault="007F27E3" w:rsidP="007F27E3">
      <w:pPr>
        <w:pStyle w:val="CETheadingx"/>
        <w:rPr>
          <w:rFonts w:eastAsia="Calibri"/>
        </w:rPr>
      </w:pPr>
      <w:r w:rsidRPr="007F27E3">
        <w:rPr>
          <w:rFonts w:eastAsia="Calibri"/>
        </w:rPr>
        <w:lastRenderedPageBreak/>
        <w:t>Result of the economic damage index</w:t>
      </w:r>
    </w:p>
    <w:p w14:paraId="18FC7331" w14:textId="77777777" w:rsidR="00F07730" w:rsidRDefault="00F07730" w:rsidP="00F07730">
      <w:pPr>
        <w:pStyle w:val="CETBodytext"/>
        <w:rPr>
          <w:rFonts w:eastAsia="Calibri"/>
          <w:lang w:val="en-GB"/>
        </w:rPr>
      </w:pPr>
      <w:r w:rsidRPr="00405761">
        <w:rPr>
          <w:rFonts w:eastAsia="Calibri"/>
          <w:lang w:val="en-GB"/>
        </w:rPr>
        <w:t>The risk of economic damage is assessed in each cell by combining the annoyance potential (Figure 3(</w:t>
      </w:r>
      <w:r w:rsidR="00922640">
        <w:rPr>
          <w:rFonts w:eastAsia="Calibri"/>
          <w:lang w:val="en-GB"/>
        </w:rPr>
        <w:t>d</w:t>
      </w:r>
      <w:r w:rsidRPr="00405761">
        <w:rPr>
          <w:rFonts w:eastAsia="Calibri"/>
          <w:lang w:val="en-GB"/>
        </w:rPr>
        <w:t>)) and the economic vulnerability of activities</w:t>
      </w:r>
      <w:r w:rsidR="003F1474">
        <w:rPr>
          <w:rFonts w:eastAsia="Calibri"/>
          <w:lang w:val="en-GB"/>
        </w:rPr>
        <w:t xml:space="preserve"> face</w:t>
      </w:r>
      <w:r w:rsidRPr="00405761">
        <w:rPr>
          <w:rFonts w:eastAsia="Calibri"/>
          <w:lang w:val="en-GB"/>
        </w:rPr>
        <w:t xml:space="preserve"> to </w:t>
      </w:r>
      <w:r w:rsidR="00922640">
        <w:rPr>
          <w:rFonts w:eastAsia="Calibri"/>
          <w:lang w:val="en-GB"/>
        </w:rPr>
        <w:t>an odour annoyance (Figure 3</w:t>
      </w:r>
      <w:r w:rsidRPr="00405761">
        <w:rPr>
          <w:rFonts w:eastAsia="Calibri"/>
          <w:lang w:val="en-GB"/>
        </w:rPr>
        <w:t>(</w:t>
      </w:r>
      <w:r w:rsidR="00922640">
        <w:rPr>
          <w:rFonts w:eastAsia="Calibri"/>
          <w:lang w:val="en-GB"/>
        </w:rPr>
        <w:t>b</w:t>
      </w:r>
      <w:r w:rsidRPr="00405761">
        <w:rPr>
          <w:rFonts w:eastAsia="Calibri"/>
          <w:lang w:val="en-GB"/>
        </w:rPr>
        <w:t xml:space="preserve">)). The aim of this analysis is not to measure or quantify the economic damage but to highlight the cells that are particularly vulnerable. A cell with a high level of risk of economic damage indicates the presence of activities which are particularly vulnerable to the presence of an odour annoyance (hotels, restaurants, etc.), a very high level indicates a clustering of these activities, while a low risk indicates </w:t>
      </w:r>
      <w:r w:rsidR="00FC1053" w:rsidRPr="00FC1053">
        <w:rPr>
          <w:rFonts w:eastAsia="Calibri"/>
          <w:lang w:val="en-GB"/>
        </w:rPr>
        <w:t xml:space="preserve">economically less vulnerable activities </w:t>
      </w:r>
      <w:r w:rsidR="00922640">
        <w:rPr>
          <w:rFonts w:eastAsia="Calibri"/>
          <w:lang w:val="en-GB"/>
        </w:rPr>
        <w:t>(Figure 3</w:t>
      </w:r>
      <w:r w:rsidRPr="00405761">
        <w:rPr>
          <w:rFonts w:eastAsia="Calibri"/>
          <w:lang w:val="en-GB"/>
        </w:rPr>
        <w:t>(</w:t>
      </w:r>
      <w:r w:rsidR="00922640">
        <w:rPr>
          <w:rFonts w:eastAsia="Calibri"/>
          <w:lang w:val="en-GB"/>
        </w:rPr>
        <w:t>f</w:t>
      </w:r>
      <w:r w:rsidRPr="00405761">
        <w:rPr>
          <w:rFonts w:eastAsia="Calibri"/>
          <w:lang w:val="en-GB"/>
        </w:rPr>
        <w:t>)).</w:t>
      </w:r>
    </w:p>
    <w:p w14:paraId="27DBD4E7" w14:textId="77777777" w:rsidR="007F27E3" w:rsidRDefault="007F27E3" w:rsidP="007F27E3">
      <w:pPr>
        <w:pStyle w:val="CETheadingx"/>
        <w:rPr>
          <w:rFonts w:eastAsia="Calibri"/>
        </w:rPr>
      </w:pPr>
      <w:r w:rsidRPr="007F27E3">
        <w:rPr>
          <w:rFonts w:eastAsia="Calibri"/>
        </w:rPr>
        <w:t>Result of the social prejudice index</w:t>
      </w:r>
    </w:p>
    <w:p w14:paraId="37835AF0" w14:textId="77777777" w:rsidR="00F07730" w:rsidRDefault="00922640" w:rsidP="000A19FA">
      <w:pPr>
        <w:pStyle w:val="CETBodytext"/>
        <w:rPr>
          <w:rFonts w:eastAsia="Calibri"/>
          <w:lang w:val="en-GB"/>
        </w:rPr>
      </w:pPr>
      <w:r w:rsidRPr="00855450">
        <w:rPr>
          <w:rFonts w:eastAsia="Calibri"/>
          <w:lang w:val="en-GB"/>
        </w:rPr>
        <w:t>The risk of social damage is similarly assessed by combining the</w:t>
      </w:r>
      <w:r w:rsidR="003F1474" w:rsidRPr="003F1474">
        <w:rPr>
          <w:rFonts w:eastAsia="Calibri"/>
          <w:lang w:val="en-GB"/>
        </w:rPr>
        <w:t xml:space="preserve"> </w:t>
      </w:r>
      <w:r w:rsidR="003F1474" w:rsidRPr="00855450">
        <w:rPr>
          <w:rFonts w:eastAsia="Calibri"/>
          <w:lang w:val="en-GB"/>
        </w:rPr>
        <w:t>annoyance</w:t>
      </w:r>
      <w:r w:rsidRPr="00855450">
        <w:rPr>
          <w:rFonts w:eastAsia="Calibri"/>
          <w:lang w:val="en-GB"/>
        </w:rPr>
        <w:t xml:space="preserve"> potential (Figure 3(</w:t>
      </w:r>
      <w:r>
        <w:rPr>
          <w:rFonts w:eastAsia="Calibri"/>
          <w:lang w:val="en-GB"/>
        </w:rPr>
        <w:t>d</w:t>
      </w:r>
      <w:r w:rsidRPr="00855450">
        <w:rPr>
          <w:rFonts w:eastAsia="Calibri"/>
          <w:lang w:val="en-GB"/>
        </w:rPr>
        <w:t>)) with the vulnerability of public infrastructure</w:t>
      </w:r>
      <w:r w:rsidR="003F1474">
        <w:rPr>
          <w:rFonts w:eastAsia="Calibri"/>
          <w:lang w:val="en-GB"/>
        </w:rPr>
        <w:t xml:space="preserve"> face to</w:t>
      </w:r>
      <w:r w:rsidRPr="00855450">
        <w:rPr>
          <w:rFonts w:eastAsia="Calibri"/>
          <w:lang w:val="en-GB"/>
        </w:rPr>
        <w:t xml:space="preserve"> an odour annoyance (Figure </w:t>
      </w:r>
      <w:r>
        <w:rPr>
          <w:rFonts w:eastAsia="Calibri"/>
          <w:lang w:val="en-GB"/>
        </w:rPr>
        <w:t>3</w:t>
      </w:r>
      <w:r w:rsidRPr="00855450">
        <w:rPr>
          <w:rFonts w:eastAsia="Calibri"/>
          <w:lang w:val="en-GB"/>
        </w:rPr>
        <w:t>(</w:t>
      </w:r>
      <w:r w:rsidR="00D14D91">
        <w:rPr>
          <w:rFonts w:eastAsia="Calibri"/>
          <w:lang w:val="en-GB"/>
        </w:rPr>
        <w:t>c</w:t>
      </w:r>
      <w:r w:rsidRPr="00855450">
        <w:rPr>
          <w:rFonts w:eastAsia="Calibri"/>
          <w:lang w:val="en-GB"/>
        </w:rPr>
        <w:t>)). The cartography of the ris</w:t>
      </w:r>
      <w:r>
        <w:rPr>
          <w:rFonts w:eastAsia="Calibri"/>
          <w:lang w:val="en-GB"/>
        </w:rPr>
        <w:t>k of social damage (Figure 3</w:t>
      </w:r>
      <w:r w:rsidRPr="00855450">
        <w:rPr>
          <w:rFonts w:eastAsia="Calibri"/>
          <w:lang w:val="en-GB"/>
        </w:rPr>
        <w:t>(</w:t>
      </w:r>
      <w:r>
        <w:rPr>
          <w:rFonts w:eastAsia="Calibri"/>
          <w:lang w:val="en-GB"/>
        </w:rPr>
        <w:t>g</w:t>
      </w:r>
      <w:r w:rsidRPr="00855450">
        <w:rPr>
          <w:rFonts w:eastAsia="Calibri"/>
          <w:lang w:val="en-GB"/>
        </w:rPr>
        <w:t xml:space="preserve">)) reveals the most </w:t>
      </w:r>
      <w:r>
        <w:rPr>
          <w:rFonts w:eastAsia="Calibri"/>
          <w:lang w:val="en-GB"/>
        </w:rPr>
        <w:t>critical</w:t>
      </w:r>
      <w:r w:rsidRPr="00855450">
        <w:rPr>
          <w:rFonts w:eastAsia="Calibri"/>
          <w:lang w:val="en-GB"/>
        </w:rPr>
        <w:t xml:space="preserve"> infrastructures that are impacted by an odour annoyance. These include schools and health care facilities where the presence of an odour annoyance is considered unacceptable. In contrast, a low value indicates the presence of public administration (town hall, police station, etc.) where the presence of odour is comparatively more acceptable.</w:t>
      </w:r>
    </w:p>
    <w:p w14:paraId="45448BCB" w14:textId="77777777" w:rsidR="007F27E3" w:rsidRPr="00F67AEC" w:rsidRDefault="007F27E3" w:rsidP="000A19FA">
      <w:pPr>
        <w:pStyle w:val="CETBodytext"/>
        <w:rPr>
          <w:rFonts w:eastAsia="Calibri"/>
          <w:lang w:val="en-GB"/>
        </w:rPr>
      </w:pPr>
    </w:p>
    <w:p w14:paraId="71B3C615" w14:textId="0A2B3928" w:rsidR="00F72C1C" w:rsidRDefault="00847C9D" w:rsidP="001B37BD">
      <w:pPr>
        <w:pStyle w:val="CETBodytext"/>
        <w:rPr>
          <w:rFonts w:eastAsia="Calibri"/>
          <w:lang w:val="fr-FR"/>
        </w:rPr>
      </w:pPr>
      <w:r>
        <w:rPr>
          <w:rFonts w:eastAsia="Calibri"/>
          <w:noProof/>
          <w:lang w:val="fr-FR"/>
        </w:rPr>
        <w:drawing>
          <wp:inline distT="0" distB="0" distL="0" distR="0" wp14:anchorId="373C6775" wp14:editId="3F1B418C">
            <wp:extent cx="5579745" cy="490474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stretch>
                      <a:fillRect/>
                    </a:stretch>
                  </pic:blipFill>
                  <pic:spPr>
                    <a:xfrm>
                      <a:off x="0" y="0"/>
                      <a:ext cx="5579745" cy="4904740"/>
                    </a:xfrm>
                    <a:prstGeom prst="rect">
                      <a:avLst/>
                    </a:prstGeom>
                  </pic:spPr>
                </pic:pic>
              </a:graphicData>
            </a:graphic>
          </wp:inline>
        </w:drawing>
      </w:r>
    </w:p>
    <w:p w14:paraId="18C2FD95" w14:textId="77777777" w:rsidR="00197E76" w:rsidRDefault="00197E76" w:rsidP="001B37BD">
      <w:pPr>
        <w:pStyle w:val="CETBodytext"/>
        <w:rPr>
          <w:rStyle w:val="CETCaptionCarattere"/>
        </w:rPr>
      </w:pPr>
      <w:r>
        <w:rPr>
          <w:rStyle w:val="CETCaptionCarattere"/>
        </w:rPr>
        <w:t>Figure</w:t>
      </w:r>
      <w:r w:rsidR="001E1B3D">
        <w:rPr>
          <w:rStyle w:val="CETCaptionCarattere"/>
        </w:rPr>
        <w:t xml:space="preserve"> 3</w:t>
      </w:r>
      <w:r w:rsidRPr="00BD077D">
        <w:rPr>
          <w:rStyle w:val="CETCaptionCarattere"/>
        </w:rPr>
        <w:t xml:space="preserve">: </w:t>
      </w:r>
      <w:r w:rsidR="00347887" w:rsidRPr="00347887">
        <w:rPr>
          <w:rStyle w:val="CETCaptionCarattere"/>
        </w:rPr>
        <w:t xml:space="preserve">Aggregation of annoyance potential with vulnerability and cartography of odour </w:t>
      </w:r>
      <w:r w:rsidR="006C094C">
        <w:rPr>
          <w:rStyle w:val="CETCaptionCarattere"/>
        </w:rPr>
        <w:t>nuisance</w:t>
      </w:r>
      <w:r w:rsidR="00347887" w:rsidRPr="00347887">
        <w:rPr>
          <w:rStyle w:val="CETCaptionCarattere"/>
        </w:rPr>
        <w:t xml:space="preserve"> levels</w:t>
      </w:r>
    </w:p>
    <w:p w14:paraId="0B86EA9D" w14:textId="77777777" w:rsidR="00FC1053" w:rsidRDefault="00FC1053" w:rsidP="00FC1053">
      <w:pPr>
        <w:pStyle w:val="CETBodytext"/>
        <w:rPr>
          <w:rStyle w:val="CETCaptionCarattere"/>
          <w:i w:val="0"/>
          <w:lang w:val="en-US"/>
        </w:rPr>
      </w:pPr>
    </w:p>
    <w:p w14:paraId="51E34653" w14:textId="77777777" w:rsidR="00FC1053" w:rsidRPr="00FC1053" w:rsidRDefault="00FC1053" w:rsidP="00FC1053">
      <w:pPr>
        <w:pStyle w:val="CETBodytext"/>
        <w:rPr>
          <w:rStyle w:val="CETCaptionCarattere"/>
          <w:i w:val="0"/>
          <w:lang w:val="en-US"/>
        </w:rPr>
      </w:pPr>
      <w:r w:rsidRPr="00FC1053">
        <w:rPr>
          <w:rStyle w:val="CETCaptionCarattere"/>
          <w:i w:val="0"/>
          <w:lang w:val="en-US"/>
        </w:rPr>
        <w:t>These maps should be used to support decision-making. They will provide information to local stakeholders and industrialists to anticipate the impact of the settlement of a new odorous industry</w:t>
      </w:r>
      <w:r>
        <w:rPr>
          <w:rStyle w:val="CETCaptionCarattere"/>
          <w:i w:val="0"/>
          <w:lang w:val="en-US"/>
        </w:rPr>
        <w:t>.</w:t>
      </w:r>
    </w:p>
    <w:p w14:paraId="170DCE53" w14:textId="77777777" w:rsidR="004F2A19" w:rsidRDefault="004F2A19" w:rsidP="00276D7D">
      <w:pPr>
        <w:pStyle w:val="CETHeading1"/>
        <w:rPr>
          <w:rFonts w:eastAsia="Calibri"/>
        </w:rPr>
      </w:pPr>
      <w:r>
        <w:rPr>
          <w:rFonts w:eastAsia="Calibri"/>
        </w:rPr>
        <w:lastRenderedPageBreak/>
        <w:t>C</w:t>
      </w:r>
      <w:r w:rsidRPr="004F2A19">
        <w:rPr>
          <w:rFonts w:eastAsia="Calibri"/>
        </w:rPr>
        <w:t>onclusion</w:t>
      </w:r>
    </w:p>
    <w:p w14:paraId="07B0F669" w14:textId="77777777" w:rsidR="001E6A30" w:rsidRDefault="0035470E" w:rsidP="001E6A30">
      <w:pPr>
        <w:pStyle w:val="CETBodytext"/>
        <w:rPr>
          <w:rFonts w:eastAsia="Calibri"/>
          <w:lang w:val="en-GB"/>
        </w:rPr>
      </w:pPr>
      <w:r w:rsidRPr="00041ECE">
        <w:rPr>
          <w:rFonts w:eastAsia="Calibri"/>
          <w:lang w:val="en-GB"/>
        </w:rPr>
        <w:t>The model integrates the different stages of the process leading to odour nuisance, in accordance with the S-P-R concept. This concept, based on the risk analysis method, provides a spatial and temporal representation of the odour nuisance on a territory.</w:t>
      </w:r>
      <w:r>
        <w:rPr>
          <w:rFonts w:eastAsia="Calibri"/>
          <w:lang w:val="en-GB"/>
        </w:rPr>
        <w:t xml:space="preserve"> </w:t>
      </w:r>
    </w:p>
    <w:p w14:paraId="2AE9CCB9" w14:textId="77777777" w:rsidR="00D571E8" w:rsidRDefault="00041ECE" w:rsidP="001E6A30">
      <w:pPr>
        <w:pStyle w:val="CETBodytext"/>
      </w:pPr>
      <w:r w:rsidRPr="00041ECE">
        <w:rPr>
          <w:rFonts w:eastAsia="Calibri"/>
          <w:lang w:val="en-GB"/>
        </w:rPr>
        <w:t>The initial work initiated by Popa</w:t>
      </w:r>
      <w:r w:rsidR="00B71EAF">
        <w:rPr>
          <w:rFonts w:eastAsia="Calibri"/>
          <w:lang w:val="en-GB"/>
        </w:rPr>
        <w:t xml:space="preserve"> </w:t>
      </w:r>
      <w:r w:rsidRPr="00041ECE">
        <w:rPr>
          <w:rFonts w:eastAsia="Calibri"/>
          <w:lang w:val="en-GB"/>
        </w:rPr>
        <w:t>led to a reproducible method requiring less data (64 to 4 variables to describe vulnerability)</w:t>
      </w:r>
      <w:r w:rsidR="00C91863">
        <w:rPr>
          <w:rFonts w:eastAsia="Calibri"/>
          <w:lang w:val="en-GB"/>
        </w:rPr>
        <w:t>.</w:t>
      </w:r>
      <w:r w:rsidR="001E6A30" w:rsidRPr="001E6A30">
        <w:t xml:space="preserve"> </w:t>
      </w:r>
      <w:r w:rsidR="001E6A30" w:rsidRPr="001E6A30">
        <w:rPr>
          <w:rFonts w:eastAsia="Calibri"/>
          <w:lang w:val="en-GB"/>
        </w:rPr>
        <w:t xml:space="preserve">In an attempt to simplify, sensitive variables such as income or property title are no longer taken into account in the vulnerability assessment. This simplification places everyone on an equal footing when faced with an odour </w:t>
      </w:r>
      <w:r w:rsidR="00D571E8">
        <w:rPr>
          <w:rFonts w:eastAsia="Calibri"/>
          <w:lang w:val="en-GB"/>
        </w:rPr>
        <w:t>annoyance</w:t>
      </w:r>
      <w:r w:rsidR="003F1474" w:rsidRPr="003F1474">
        <w:t xml:space="preserve"> </w:t>
      </w:r>
      <w:r w:rsidR="003F1474" w:rsidRPr="003F1474">
        <w:rPr>
          <w:rFonts w:eastAsia="Calibri"/>
          <w:lang w:val="en-GB"/>
        </w:rPr>
        <w:t>and simplifies the adaptation of the model to other parts of the world</w:t>
      </w:r>
      <w:r w:rsidR="001E6A30" w:rsidRPr="001E6A30">
        <w:rPr>
          <w:rFonts w:eastAsia="Calibri"/>
          <w:lang w:val="en-GB"/>
        </w:rPr>
        <w:t>.</w:t>
      </w:r>
      <w:r w:rsidR="001E6A30" w:rsidRPr="001E6A30">
        <w:t xml:space="preserve"> </w:t>
      </w:r>
    </w:p>
    <w:p w14:paraId="665F9FFC" w14:textId="77777777" w:rsidR="00D571E8" w:rsidRDefault="001E6A30" w:rsidP="001E6A30">
      <w:pPr>
        <w:pStyle w:val="CETBodytext"/>
        <w:rPr>
          <w:rFonts w:eastAsia="Calibri"/>
          <w:lang w:val="en-GB"/>
        </w:rPr>
      </w:pPr>
      <w:r w:rsidRPr="001E6A30">
        <w:rPr>
          <w:rFonts w:eastAsia="Calibri"/>
          <w:lang w:val="en-GB"/>
        </w:rPr>
        <w:t xml:space="preserve">Only two sets of geographical data are required (OSM, LCSQA). These data are accessible and regularly updated. The OSM data have the advantage of being available on a global scale, whereas the LCSQA data </w:t>
      </w:r>
      <w:r>
        <w:rPr>
          <w:rFonts w:eastAsia="Calibri"/>
          <w:lang w:val="en-GB"/>
        </w:rPr>
        <w:t xml:space="preserve">is </w:t>
      </w:r>
      <w:r w:rsidRPr="001E6A30">
        <w:rPr>
          <w:rFonts w:eastAsia="Calibri"/>
          <w:lang w:val="en-GB"/>
        </w:rPr>
        <w:t xml:space="preserve">limited to the French </w:t>
      </w:r>
      <w:r>
        <w:rPr>
          <w:rFonts w:eastAsia="Calibri"/>
          <w:lang w:val="en-GB"/>
        </w:rPr>
        <w:t>territory</w:t>
      </w:r>
      <w:r w:rsidRPr="001E6A30">
        <w:rPr>
          <w:rFonts w:eastAsia="Calibri"/>
          <w:lang w:val="en-GB"/>
        </w:rPr>
        <w:t xml:space="preserve">. For a global application, population grids exist, but the analysis scale is sometimes a limit (1 km grid) or the data </w:t>
      </w:r>
      <w:r>
        <w:rPr>
          <w:rFonts w:eastAsia="Calibri"/>
          <w:lang w:val="en-GB"/>
        </w:rPr>
        <w:t>is</w:t>
      </w:r>
      <w:r w:rsidRPr="001E6A30">
        <w:rPr>
          <w:rFonts w:eastAsia="Calibri"/>
          <w:lang w:val="en-GB"/>
        </w:rPr>
        <w:t xml:space="preserve"> not free of rights.</w:t>
      </w:r>
      <w:r w:rsidR="00C91863">
        <w:rPr>
          <w:rFonts w:eastAsia="Calibri"/>
          <w:lang w:val="en-GB"/>
        </w:rPr>
        <w:t xml:space="preserve"> </w:t>
      </w:r>
    </w:p>
    <w:p w14:paraId="7D896B06" w14:textId="77777777" w:rsidR="00041ECE" w:rsidRPr="00041ECE" w:rsidRDefault="0035470E" w:rsidP="001E6A30">
      <w:pPr>
        <w:pStyle w:val="CETBodytext"/>
        <w:rPr>
          <w:rFonts w:eastAsia="Calibri"/>
          <w:lang w:val="en-GB"/>
        </w:rPr>
      </w:pPr>
      <w:r w:rsidRPr="0035470E">
        <w:rPr>
          <w:rFonts w:eastAsia="Calibri"/>
          <w:lang w:val="en-GB"/>
        </w:rPr>
        <w:t>An innovation was introduced in the assessment of the annoyance potential, product of the acceptabil</w:t>
      </w:r>
      <w:r w:rsidR="006C094C">
        <w:rPr>
          <w:rFonts w:eastAsia="Calibri"/>
          <w:lang w:val="en-GB"/>
        </w:rPr>
        <w:t>ity and intensity of the odour.</w:t>
      </w:r>
      <w:r w:rsidR="006C094C" w:rsidRPr="006C094C">
        <w:t xml:space="preserve"> </w:t>
      </w:r>
      <w:r w:rsidR="006C094C" w:rsidRPr="006C094C">
        <w:rPr>
          <w:rFonts w:eastAsia="Calibri"/>
          <w:lang w:val="en-GB"/>
        </w:rPr>
        <w:t>These two parameters are measured on an open scale for each type of gaseous effluent (</w:t>
      </w:r>
      <w:proofErr w:type="spellStart"/>
      <w:r w:rsidR="006C094C" w:rsidRPr="006C094C">
        <w:rPr>
          <w:rFonts w:eastAsia="Calibri"/>
          <w:lang w:val="en-GB"/>
        </w:rPr>
        <w:t>Olentica</w:t>
      </w:r>
      <w:proofErr w:type="spellEnd"/>
      <w:r w:rsidR="006C094C" w:rsidRPr="006C094C">
        <w:rPr>
          <w:rFonts w:eastAsia="Calibri"/>
          <w:lang w:val="en-GB"/>
        </w:rPr>
        <w:t xml:space="preserve"> methodology) and then evaluated according to the concentration of odour units </w:t>
      </w:r>
      <w:r w:rsidR="001B7B71" w:rsidRPr="001B7B71">
        <w:rPr>
          <w:rFonts w:eastAsia="Calibri"/>
          <w:lang w:val="en-GB"/>
        </w:rPr>
        <w:t>in any point of the territory</w:t>
      </w:r>
      <w:r w:rsidR="006C094C">
        <w:rPr>
          <w:rFonts w:eastAsia="Calibri"/>
          <w:lang w:val="en-GB"/>
        </w:rPr>
        <w:t>.</w:t>
      </w:r>
    </w:p>
    <w:p w14:paraId="1BDBB546" w14:textId="77777777" w:rsidR="00041ECE" w:rsidRPr="00041ECE" w:rsidRDefault="0035470E" w:rsidP="00041ECE">
      <w:pPr>
        <w:pStyle w:val="CETBodytext"/>
        <w:rPr>
          <w:rFonts w:eastAsia="Calibri"/>
          <w:lang w:val="en-GB"/>
        </w:rPr>
      </w:pPr>
      <w:r w:rsidRPr="0035470E">
        <w:rPr>
          <w:rFonts w:eastAsia="Calibri"/>
          <w:lang w:val="en-GB"/>
        </w:rPr>
        <w:t>To provide a decision</w:t>
      </w:r>
      <w:r w:rsidR="00053DCB">
        <w:rPr>
          <w:rFonts w:eastAsia="Calibri"/>
          <w:lang w:val="en-GB"/>
        </w:rPr>
        <w:t xml:space="preserve"> support </w:t>
      </w:r>
      <w:r w:rsidRPr="0035470E">
        <w:rPr>
          <w:rFonts w:eastAsia="Calibri"/>
          <w:lang w:val="en-GB"/>
        </w:rPr>
        <w:t>tool for the stakeholders involved,</w:t>
      </w:r>
      <w:r>
        <w:rPr>
          <w:rFonts w:eastAsia="Calibri"/>
          <w:lang w:val="en-GB"/>
        </w:rPr>
        <w:t xml:space="preserve"> t</w:t>
      </w:r>
      <w:r w:rsidR="00041ECE" w:rsidRPr="00041ECE">
        <w:rPr>
          <w:rFonts w:eastAsia="Calibri"/>
          <w:lang w:val="en-GB"/>
        </w:rPr>
        <w:t>his model must be validated in Maisons-Alfort by confronting the results with the responses of a panel of local residents around the site. It can then be tested in other areas with different populations, types of odours, topography, etc.</w:t>
      </w:r>
    </w:p>
    <w:p w14:paraId="56C60E14" w14:textId="77777777" w:rsidR="0076579A" w:rsidRPr="00041ECE" w:rsidRDefault="00041ECE" w:rsidP="00041ECE">
      <w:pPr>
        <w:pStyle w:val="CETBodytext"/>
        <w:rPr>
          <w:rFonts w:eastAsia="Calibri"/>
          <w:lang w:val="en-GB"/>
        </w:rPr>
      </w:pPr>
      <w:r w:rsidRPr="00041ECE">
        <w:rPr>
          <w:rFonts w:eastAsia="Calibri"/>
          <w:lang w:val="en-GB"/>
        </w:rPr>
        <w:t xml:space="preserve">There is a paradigm shift from </w:t>
      </w:r>
      <w:r w:rsidRPr="0035470E">
        <w:rPr>
          <w:rFonts w:eastAsia="Calibri"/>
          <w:i/>
          <w:lang w:val="en-GB"/>
        </w:rPr>
        <w:t xml:space="preserve">a posteriori </w:t>
      </w:r>
      <w:r w:rsidRPr="009A58D7">
        <w:rPr>
          <w:rFonts w:eastAsia="Calibri"/>
          <w:lang w:val="en-GB"/>
        </w:rPr>
        <w:t xml:space="preserve">measurement </w:t>
      </w:r>
      <w:r w:rsidRPr="00041ECE">
        <w:rPr>
          <w:rFonts w:eastAsia="Calibri"/>
          <w:lang w:val="en-GB"/>
        </w:rPr>
        <w:t>of odour nuisance to a preventive approach used as a decision-making tool. This predictive model is intended for stakeholders and industrialists to proactively manage odour problems. This does not mean that other methods should be abandoned. The British Institute for Air Quality (IAQM) therefore recommends using empirical observation tools, where available and applicable, and combining them with a model.</w:t>
      </w:r>
      <w:r w:rsidR="0035470E">
        <w:rPr>
          <w:rFonts w:eastAsia="Calibri"/>
          <w:lang w:val="en-GB"/>
        </w:rPr>
        <w:t xml:space="preserve"> </w:t>
      </w:r>
      <w:r w:rsidR="0035470E" w:rsidRPr="0035470E">
        <w:rPr>
          <w:rFonts w:eastAsia="Calibri"/>
          <w:lang w:val="en-GB"/>
        </w:rPr>
        <w:t>Using these different assessment tools in combination can minimise individual limitations and improve the reliability of conclusions.</w:t>
      </w:r>
    </w:p>
    <w:p w14:paraId="0716F255" w14:textId="77777777" w:rsidR="0003088D" w:rsidRPr="007E17A6" w:rsidRDefault="0003088D" w:rsidP="0003088D">
      <w:pPr>
        <w:pStyle w:val="CETReference"/>
        <w:rPr>
          <w:rFonts w:eastAsia="Calibri"/>
        </w:rPr>
      </w:pPr>
      <w:r w:rsidRPr="007E17A6">
        <w:t>References</w:t>
      </w:r>
    </w:p>
    <w:p w14:paraId="165B4AEC" w14:textId="77777777" w:rsidR="00A97196" w:rsidRPr="00A97196" w:rsidRDefault="000A003E" w:rsidP="00A97196">
      <w:pPr>
        <w:pStyle w:val="Bibliographie"/>
        <w:rPr>
          <w:noProof/>
        </w:rPr>
      </w:pPr>
      <w:r>
        <w:fldChar w:fldCharType="begin" w:fldLock="1"/>
      </w:r>
      <w:r w:rsidRPr="00945BF7">
        <w:instrText xml:space="preserve">ADDIN Mendeley Bibliography CSL_BIBLIOGRAPHY </w:instrText>
      </w:r>
      <w:r>
        <w:fldChar w:fldCharType="separate"/>
      </w:r>
      <w:r w:rsidR="00A97196" w:rsidRPr="00A97196">
        <w:rPr>
          <w:noProof/>
        </w:rPr>
        <w:t>Bull, M., 2018. IAQM Guidance on the assessment of odour for planning – version 1.1, Institute of Air Quality Management. London.</w:t>
      </w:r>
    </w:p>
    <w:p w14:paraId="4756015F" w14:textId="77777777" w:rsidR="00A97196" w:rsidRPr="00A97196" w:rsidRDefault="00A97196" w:rsidP="00A97196">
      <w:pPr>
        <w:pStyle w:val="Bibliographie"/>
        <w:rPr>
          <w:noProof/>
        </w:rPr>
      </w:pPr>
      <w:r w:rsidRPr="00A97196">
        <w:rPr>
          <w:noProof/>
        </w:rPr>
        <w:t>Chaignaud, M., Cariou, S., Poette, J., Fages, M., Despres, J.-F., Fanlo, J.-L., 2014. A New method to Evaluate Odour Annoyance Potential, in: Chemical Engineering Transactions. pp. 13 – 18. https://doi.org/10.3303/CET1440003</w:t>
      </w:r>
    </w:p>
    <w:p w14:paraId="497F77D9" w14:textId="77777777" w:rsidR="00A97196" w:rsidRPr="00A43FA2" w:rsidRDefault="00A97196" w:rsidP="00A97196">
      <w:pPr>
        <w:pStyle w:val="Bibliographie"/>
        <w:rPr>
          <w:noProof/>
          <w:lang w:val="fr-FR"/>
        </w:rPr>
      </w:pPr>
      <w:r w:rsidRPr="00A97196">
        <w:rPr>
          <w:noProof/>
        </w:rPr>
        <w:t xml:space="preserve">Conti, C., Guarino, M., Bacenetti, J., 2020. Measurements techniques and models to assess odor annoyance: A review. </w:t>
      </w:r>
      <w:r w:rsidRPr="00A43FA2">
        <w:rPr>
          <w:noProof/>
          <w:lang w:val="fr-FR"/>
        </w:rPr>
        <w:t>Environ. Int. 134. https://doi.org/10.1016/J.ENVINT.2019.105261</w:t>
      </w:r>
    </w:p>
    <w:p w14:paraId="3A258D9C" w14:textId="77777777" w:rsidR="00A97196" w:rsidRPr="00A43FA2" w:rsidRDefault="00A97196" w:rsidP="00A97196">
      <w:pPr>
        <w:pStyle w:val="Bibliographie"/>
        <w:rPr>
          <w:noProof/>
          <w:lang w:val="fr-FR"/>
        </w:rPr>
      </w:pPr>
      <w:r w:rsidRPr="00A43FA2">
        <w:rPr>
          <w:noProof/>
          <w:lang w:val="fr-FR"/>
        </w:rPr>
        <w:t>Létinois, L., 2014. Méthodologie de répartition spatiale de la population (Methodology for spatial distribution of the population).</w:t>
      </w:r>
    </w:p>
    <w:p w14:paraId="4DB661FA" w14:textId="77777777" w:rsidR="00A97196" w:rsidRPr="00A43FA2" w:rsidRDefault="00A97196" w:rsidP="00A97196">
      <w:pPr>
        <w:pStyle w:val="Bibliographie"/>
        <w:rPr>
          <w:noProof/>
          <w:lang w:val="fr-FR"/>
        </w:rPr>
      </w:pPr>
      <w:r w:rsidRPr="00A43FA2">
        <w:rPr>
          <w:noProof/>
          <w:lang w:val="fr-FR"/>
        </w:rPr>
        <w:t xml:space="preserve">Pierrette, M., 2009. L’environnement olfactif : de la perception à la gêne. </w:t>
      </w:r>
      <w:r w:rsidRPr="00A97196">
        <w:rPr>
          <w:noProof/>
        </w:rPr>
        <w:t>Le cas d’un site industriel</w:t>
      </w:r>
      <w:r>
        <w:rPr>
          <w:noProof/>
        </w:rPr>
        <w:t xml:space="preserve"> (</w:t>
      </w:r>
      <w:r w:rsidRPr="00A97196">
        <w:rPr>
          <w:noProof/>
        </w:rPr>
        <w:t>The olfactory environment: from perception to annoyance. The case of an industrial site</w:t>
      </w:r>
      <w:r>
        <w:rPr>
          <w:noProof/>
        </w:rPr>
        <w:t>)</w:t>
      </w:r>
      <w:r w:rsidRPr="00A97196">
        <w:rPr>
          <w:noProof/>
        </w:rPr>
        <w:t>.</w:t>
      </w:r>
      <w:r>
        <w:rPr>
          <w:noProof/>
        </w:rPr>
        <w:t xml:space="preserve"> </w:t>
      </w:r>
      <w:r w:rsidRPr="00A43FA2">
        <w:rPr>
          <w:noProof/>
          <w:lang w:val="fr-FR"/>
        </w:rPr>
        <w:t>Www.theses.fr 1.</w:t>
      </w:r>
    </w:p>
    <w:p w14:paraId="68D99886" w14:textId="77777777" w:rsidR="00A97196" w:rsidRPr="00A43FA2" w:rsidRDefault="00A97196" w:rsidP="00A97196">
      <w:pPr>
        <w:pStyle w:val="Bibliographie"/>
        <w:rPr>
          <w:rFonts w:eastAsiaTheme="minorHAnsi"/>
          <w:lang w:val="en-US"/>
        </w:rPr>
      </w:pPr>
      <w:r w:rsidRPr="00A43FA2">
        <w:rPr>
          <w:noProof/>
          <w:lang w:val="fr-FR"/>
        </w:rPr>
        <w:t>Popa, V., 2013. Méthode prédictive d’évaluation de la gêne olfactive sur un territoire soumis à une activité industrielle. Approche du potentiel de nuisance et analyse de la vulnérabilité du territoire (</w:t>
      </w:r>
      <w:r>
        <w:rPr>
          <w:rFonts w:eastAsiaTheme="minorHAnsi"/>
          <w:lang w:val="fr-FR"/>
        </w:rPr>
        <w:t xml:space="preserve">Predictive method for the assessment of odor annoyance on a territory submitted to an industrial activity. </w:t>
      </w:r>
      <w:r w:rsidRPr="00A43FA2">
        <w:rPr>
          <w:rFonts w:eastAsiaTheme="minorHAnsi"/>
          <w:lang w:val="en-US"/>
        </w:rPr>
        <w:t>Olfactory nuisance potential and territory vulnerability approach)</w:t>
      </w:r>
      <w:r w:rsidRPr="00A97196">
        <w:rPr>
          <w:noProof/>
        </w:rPr>
        <w:t>. www.theses.fr.</w:t>
      </w:r>
    </w:p>
    <w:p w14:paraId="7EBD2B50" w14:textId="77777777" w:rsidR="00A97196" w:rsidRPr="00A97196" w:rsidRDefault="00A97196" w:rsidP="00A97196">
      <w:pPr>
        <w:pStyle w:val="Bibliographie"/>
        <w:rPr>
          <w:noProof/>
        </w:rPr>
      </w:pPr>
      <w:r w:rsidRPr="00A43FA2">
        <w:rPr>
          <w:noProof/>
          <w:lang w:val="fr-FR"/>
        </w:rPr>
        <w:t xml:space="preserve">Pottier, B., Popa-Artigue, V., Tixier, J., Olivier, S., Fanlo, J.L., 2020. </w:t>
      </w:r>
      <w:r w:rsidRPr="00A97196">
        <w:rPr>
          <w:noProof/>
        </w:rPr>
        <w:t>Odour nuisance: Decision support tools to anticipate and represent levels of odour nuisance on a territory. 30th Eur. Saf. Reliab. Conf. ESREL 2020 15th Probabilistic Saf. Assess. Manag. Conf. PSAM 2020 2404–2410.</w:t>
      </w:r>
    </w:p>
    <w:p w14:paraId="3A3385B6" w14:textId="77777777" w:rsidR="00A97196" w:rsidRPr="00A97196" w:rsidRDefault="00A97196" w:rsidP="00A97196">
      <w:pPr>
        <w:pStyle w:val="Bibliographie"/>
        <w:rPr>
          <w:noProof/>
        </w:rPr>
      </w:pPr>
      <w:r w:rsidRPr="00A97196">
        <w:rPr>
          <w:noProof/>
        </w:rPr>
        <w:t>Renard, F., Chapon, P.M., 2010. An urban vulnerability assessment method applied to the conurbation of Lyon. Espac. Geogr. 39, 35–50. https://doi.org/10.3917/eg.391.0035</w:t>
      </w:r>
    </w:p>
    <w:p w14:paraId="659D7573" w14:textId="77777777" w:rsidR="00A97196" w:rsidRPr="00A43FA2" w:rsidRDefault="00A97196" w:rsidP="00A97196">
      <w:pPr>
        <w:pStyle w:val="Bibliographie"/>
        <w:rPr>
          <w:noProof/>
          <w:lang w:val="fr-FR"/>
        </w:rPr>
      </w:pPr>
      <w:r w:rsidRPr="00A97196">
        <w:rPr>
          <w:noProof/>
        </w:rPr>
        <w:t xml:space="preserve">Tena-Chollet, F., Tixier, J., Dusserre, G., Mangin, J.F., 2013. Development of a spatial risk assessment tool for the transportation of hydrocarbons: Methodology and implementation in a geographical information system. </w:t>
      </w:r>
      <w:r w:rsidRPr="00A43FA2">
        <w:rPr>
          <w:noProof/>
          <w:lang w:val="fr-FR"/>
        </w:rPr>
        <w:t>Environ. Model. Softw. https://doi.org/10.1016/j.envsoft.2013.02.010</w:t>
      </w:r>
    </w:p>
    <w:p w14:paraId="64AFB0EA" w14:textId="77777777" w:rsidR="00A97196" w:rsidRPr="00A97196" w:rsidRDefault="00A97196" w:rsidP="00A97196">
      <w:pPr>
        <w:pStyle w:val="Bibliographie"/>
        <w:rPr>
          <w:noProof/>
        </w:rPr>
      </w:pPr>
      <w:r w:rsidRPr="00A43FA2">
        <w:rPr>
          <w:noProof/>
          <w:lang w:val="fr-FR"/>
        </w:rPr>
        <w:t xml:space="preserve">Tixier, J., Dandrieux, A., Dusserre, G., Bubbico, R., Mazzarotta, B., Silvetti, B., Hubert, E., Rodrigues, N., Salvi, O., 2006. </w:t>
      </w:r>
      <w:r w:rsidRPr="00A97196">
        <w:rPr>
          <w:noProof/>
        </w:rPr>
        <w:t>Environmental vulnerability assessment in the vicinity of an industrial site in the frame of ARAMIS European project. J. Hazard. Mater. 130, 251–264. https://doi.org/10.1016/j.jhazmat.2005.07.020</w:t>
      </w:r>
    </w:p>
    <w:p w14:paraId="4322EFAD" w14:textId="77777777" w:rsidR="004628D2" w:rsidRPr="008030C7" w:rsidRDefault="000A003E" w:rsidP="00041ECE">
      <w:pPr>
        <w:pStyle w:val="CETReferencetext"/>
        <w:ind w:left="0" w:firstLine="0"/>
      </w:pPr>
      <w:r>
        <w:fldChar w:fldCharType="end"/>
      </w:r>
    </w:p>
    <w:sectPr w:rsidR="004628D2" w:rsidRPr="008030C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0F412" w14:textId="77777777" w:rsidR="00D970D4" w:rsidRDefault="00D970D4" w:rsidP="004F5E36">
      <w:r>
        <w:separator/>
      </w:r>
    </w:p>
  </w:endnote>
  <w:endnote w:type="continuationSeparator" w:id="0">
    <w:p w14:paraId="26244642" w14:textId="77777777" w:rsidR="00D970D4" w:rsidRDefault="00D970D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A4BA" w14:textId="77777777" w:rsidR="00D970D4" w:rsidRDefault="00D970D4" w:rsidP="004F5E36">
      <w:r>
        <w:separator/>
      </w:r>
    </w:p>
  </w:footnote>
  <w:footnote w:type="continuationSeparator" w:id="0">
    <w:p w14:paraId="0EC969DA" w14:textId="77777777" w:rsidR="00D970D4" w:rsidRDefault="00D970D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2284153">
    <w:abstractNumId w:val="10"/>
  </w:num>
  <w:num w:numId="2" w16cid:durableId="1452476440">
    <w:abstractNumId w:val="8"/>
  </w:num>
  <w:num w:numId="3" w16cid:durableId="1984846720">
    <w:abstractNumId w:val="3"/>
  </w:num>
  <w:num w:numId="4" w16cid:durableId="73860010">
    <w:abstractNumId w:val="2"/>
  </w:num>
  <w:num w:numId="5" w16cid:durableId="1195802539">
    <w:abstractNumId w:val="1"/>
  </w:num>
  <w:num w:numId="6" w16cid:durableId="379551741">
    <w:abstractNumId w:val="0"/>
  </w:num>
  <w:num w:numId="7" w16cid:durableId="452747199">
    <w:abstractNumId w:val="9"/>
  </w:num>
  <w:num w:numId="8" w16cid:durableId="59208262">
    <w:abstractNumId w:val="7"/>
  </w:num>
  <w:num w:numId="9" w16cid:durableId="1218929164">
    <w:abstractNumId w:val="6"/>
  </w:num>
  <w:num w:numId="10" w16cid:durableId="803157806">
    <w:abstractNumId w:val="5"/>
  </w:num>
  <w:num w:numId="11" w16cid:durableId="50272068">
    <w:abstractNumId w:val="4"/>
  </w:num>
  <w:num w:numId="12" w16cid:durableId="648435700">
    <w:abstractNumId w:val="17"/>
  </w:num>
  <w:num w:numId="13" w16cid:durableId="109328430">
    <w:abstractNumId w:val="12"/>
  </w:num>
  <w:num w:numId="14" w16cid:durableId="1533613779">
    <w:abstractNumId w:val="18"/>
  </w:num>
  <w:num w:numId="15" w16cid:durableId="1447657085">
    <w:abstractNumId w:val="20"/>
  </w:num>
  <w:num w:numId="16" w16cid:durableId="1055279400">
    <w:abstractNumId w:val="19"/>
  </w:num>
  <w:num w:numId="17" w16cid:durableId="551700485">
    <w:abstractNumId w:val="11"/>
  </w:num>
  <w:num w:numId="18" w16cid:durableId="1769235342">
    <w:abstractNumId w:val="12"/>
    <w:lvlOverride w:ilvl="0">
      <w:startOverride w:val="1"/>
    </w:lvlOverride>
  </w:num>
  <w:num w:numId="19" w16cid:durableId="29494119">
    <w:abstractNumId w:val="16"/>
  </w:num>
  <w:num w:numId="20" w16cid:durableId="1498038438">
    <w:abstractNumId w:val="15"/>
  </w:num>
  <w:num w:numId="21" w16cid:durableId="2118595513">
    <w:abstractNumId w:val="14"/>
  </w:num>
  <w:num w:numId="22" w16cid:durableId="16104311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dgnword-docGUID" w:val="{6D32C5F3-204C-45B3-B4E0-80ED7219BF13}"/>
    <w:docVar w:name="dgnword-eventsink" w:val="2635836514176"/>
  </w:docVars>
  <w:rsids>
    <w:rsidRoot w:val="000E414A"/>
    <w:rsid w:val="000027C0"/>
    <w:rsid w:val="000052FB"/>
    <w:rsid w:val="00010D8D"/>
    <w:rsid w:val="000117CB"/>
    <w:rsid w:val="00017C93"/>
    <w:rsid w:val="0003088D"/>
    <w:rsid w:val="0003148D"/>
    <w:rsid w:val="00031EEC"/>
    <w:rsid w:val="00041ECE"/>
    <w:rsid w:val="00051566"/>
    <w:rsid w:val="00053DCB"/>
    <w:rsid w:val="00062A9A"/>
    <w:rsid w:val="00065058"/>
    <w:rsid w:val="000770DD"/>
    <w:rsid w:val="00086C39"/>
    <w:rsid w:val="000A003E"/>
    <w:rsid w:val="000A03B2"/>
    <w:rsid w:val="000A19FA"/>
    <w:rsid w:val="000B29F7"/>
    <w:rsid w:val="000C3233"/>
    <w:rsid w:val="000C3CA9"/>
    <w:rsid w:val="000D0268"/>
    <w:rsid w:val="000D34BE"/>
    <w:rsid w:val="000D3D2C"/>
    <w:rsid w:val="000E102F"/>
    <w:rsid w:val="000E36F1"/>
    <w:rsid w:val="000E3A73"/>
    <w:rsid w:val="000E414A"/>
    <w:rsid w:val="000F093C"/>
    <w:rsid w:val="000F787B"/>
    <w:rsid w:val="00102CB4"/>
    <w:rsid w:val="001054AB"/>
    <w:rsid w:val="0012091F"/>
    <w:rsid w:val="001227DF"/>
    <w:rsid w:val="00126BC2"/>
    <w:rsid w:val="001308B6"/>
    <w:rsid w:val="0013121F"/>
    <w:rsid w:val="00131FE6"/>
    <w:rsid w:val="00132276"/>
    <w:rsid w:val="0013263F"/>
    <w:rsid w:val="001331DF"/>
    <w:rsid w:val="00134DE4"/>
    <w:rsid w:val="0014034D"/>
    <w:rsid w:val="00144D16"/>
    <w:rsid w:val="00150E59"/>
    <w:rsid w:val="00152DE3"/>
    <w:rsid w:val="00164CF9"/>
    <w:rsid w:val="001667A6"/>
    <w:rsid w:val="00173DE8"/>
    <w:rsid w:val="00184AD6"/>
    <w:rsid w:val="00185F08"/>
    <w:rsid w:val="00191083"/>
    <w:rsid w:val="00191261"/>
    <w:rsid w:val="001939F0"/>
    <w:rsid w:val="00197E76"/>
    <w:rsid w:val="001A4AF7"/>
    <w:rsid w:val="001A643E"/>
    <w:rsid w:val="001B0349"/>
    <w:rsid w:val="001B1E93"/>
    <w:rsid w:val="001B37BD"/>
    <w:rsid w:val="001B3CB6"/>
    <w:rsid w:val="001B65C1"/>
    <w:rsid w:val="001B7B71"/>
    <w:rsid w:val="001C684B"/>
    <w:rsid w:val="001D0CFB"/>
    <w:rsid w:val="001D0EDF"/>
    <w:rsid w:val="001D21AF"/>
    <w:rsid w:val="001D3E1A"/>
    <w:rsid w:val="001D53FC"/>
    <w:rsid w:val="001D756D"/>
    <w:rsid w:val="001D7F97"/>
    <w:rsid w:val="001E1B3D"/>
    <w:rsid w:val="001E6A30"/>
    <w:rsid w:val="001F42A5"/>
    <w:rsid w:val="001F4AF8"/>
    <w:rsid w:val="001F7B9D"/>
    <w:rsid w:val="00201C93"/>
    <w:rsid w:val="00203048"/>
    <w:rsid w:val="002111CF"/>
    <w:rsid w:val="002148E1"/>
    <w:rsid w:val="00221EAB"/>
    <w:rsid w:val="002224B4"/>
    <w:rsid w:val="0022291F"/>
    <w:rsid w:val="00224D92"/>
    <w:rsid w:val="002447EF"/>
    <w:rsid w:val="00251550"/>
    <w:rsid w:val="00252D2A"/>
    <w:rsid w:val="00263B05"/>
    <w:rsid w:val="00265974"/>
    <w:rsid w:val="0027221A"/>
    <w:rsid w:val="00275B61"/>
    <w:rsid w:val="00276D7D"/>
    <w:rsid w:val="00277A6D"/>
    <w:rsid w:val="00280FAF"/>
    <w:rsid w:val="00282656"/>
    <w:rsid w:val="00283ED7"/>
    <w:rsid w:val="00296B83"/>
    <w:rsid w:val="002B4015"/>
    <w:rsid w:val="002B445B"/>
    <w:rsid w:val="002B78CE"/>
    <w:rsid w:val="002C2FB6"/>
    <w:rsid w:val="002E5FA7"/>
    <w:rsid w:val="002F3309"/>
    <w:rsid w:val="002F715F"/>
    <w:rsid w:val="003008CE"/>
    <w:rsid w:val="003009B7"/>
    <w:rsid w:val="00300E56"/>
    <w:rsid w:val="003020E0"/>
    <w:rsid w:val="0030469C"/>
    <w:rsid w:val="00310802"/>
    <w:rsid w:val="00314734"/>
    <w:rsid w:val="0031533D"/>
    <w:rsid w:val="00316AB1"/>
    <w:rsid w:val="00321CA6"/>
    <w:rsid w:val="00323763"/>
    <w:rsid w:val="00323C5F"/>
    <w:rsid w:val="00326C49"/>
    <w:rsid w:val="00334C09"/>
    <w:rsid w:val="00342A13"/>
    <w:rsid w:val="0034546C"/>
    <w:rsid w:val="00347887"/>
    <w:rsid w:val="0035281F"/>
    <w:rsid w:val="0035470E"/>
    <w:rsid w:val="003646BD"/>
    <w:rsid w:val="003723D4"/>
    <w:rsid w:val="003810D0"/>
    <w:rsid w:val="00381905"/>
    <w:rsid w:val="00384CC8"/>
    <w:rsid w:val="00385823"/>
    <w:rsid w:val="003871FD"/>
    <w:rsid w:val="00387A50"/>
    <w:rsid w:val="0039466E"/>
    <w:rsid w:val="003A1E30"/>
    <w:rsid w:val="003A2829"/>
    <w:rsid w:val="003A40FF"/>
    <w:rsid w:val="003A7D1C"/>
    <w:rsid w:val="003B304B"/>
    <w:rsid w:val="003B3146"/>
    <w:rsid w:val="003D4DF2"/>
    <w:rsid w:val="003D5FE6"/>
    <w:rsid w:val="003E09FA"/>
    <w:rsid w:val="003F015E"/>
    <w:rsid w:val="003F1474"/>
    <w:rsid w:val="003F229C"/>
    <w:rsid w:val="00400414"/>
    <w:rsid w:val="00405761"/>
    <w:rsid w:val="0041446B"/>
    <w:rsid w:val="0044071E"/>
    <w:rsid w:val="0044329C"/>
    <w:rsid w:val="0044391D"/>
    <w:rsid w:val="00453E24"/>
    <w:rsid w:val="00457456"/>
    <w:rsid w:val="004577FE"/>
    <w:rsid w:val="00457B9C"/>
    <w:rsid w:val="00457BF0"/>
    <w:rsid w:val="0046164A"/>
    <w:rsid w:val="004628D2"/>
    <w:rsid w:val="00462DCD"/>
    <w:rsid w:val="004633F3"/>
    <w:rsid w:val="004648AD"/>
    <w:rsid w:val="00470001"/>
    <w:rsid w:val="004703A9"/>
    <w:rsid w:val="004760DE"/>
    <w:rsid w:val="004763D7"/>
    <w:rsid w:val="00476881"/>
    <w:rsid w:val="00490619"/>
    <w:rsid w:val="00495667"/>
    <w:rsid w:val="004960DC"/>
    <w:rsid w:val="00496AE9"/>
    <w:rsid w:val="004A004E"/>
    <w:rsid w:val="004A24CF"/>
    <w:rsid w:val="004A77CD"/>
    <w:rsid w:val="004C0BE9"/>
    <w:rsid w:val="004C3D1D"/>
    <w:rsid w:val="004C3D84"/>
    <w:rsid w:val="004C54E6"/>
    <w:rsid w:val="004C7913"/>
    <w:rsid w:val="004D1275"/>
    <w:rsid w:val="004D7A77"/>
    <w:rsid w:val="004E4DD6"/>
    <w:rsid w:val="004E4F5D"/>
    <w:rsid w:val="004E4F66"/>
    <w:rsid w:val="004F2A19"/>
    <w:rsid w:val="004F5E36"/>
    <w:rsid w:val="00506421"/>
    <w:rsid w:val="00507B47"/>
    <w:rsid w:val="00507BEF"/>
    <w:rsid w:val="00507CC9"/>
    <w:rsid w:val="00507D11"/>
    <w:rsid w:val="005119A5"/>
    <w:rsid w:val="00511AD6"/>
    <w:rsid w:val="00521204"/>
    <w:rsid w:val="005234D1"/>
    <w:rsid w:val="0052761C"/>
    <w:rsid w:val="005278B7"/>
    <w:rsid w:val="00530614"/>
    <w:rsid w:val="00532016"/>
    <w:rsid w:val="005346C8"/>
    <w:rsid w:val="00535E87"/>
    <w:rsid w:val="00543E7D"/>
    <w:rsid w:val="0054631F"/>
    <w:rsid w:val="0054717B"/>
    <w:rsid w:val="00547A68"/>
    <w:rsid w:val="00551918"/>
    <w:rsid w:val="005531C9"/>
    <w:rsid w:val="00570C43"/>
    <w:rsid w:val="00586080"/>
    <w:rsid w:val="00591A15"/>
    <w:rsid w:val="005A2485"/>
    <w:rsid w:val="005A6920"/>
    <w:rsid w:val="005B2110"/>
    <w:rsid w:val="005B61E6"/>
    <w:rsid w:val="005C77E1"/>
    <w:rsid w:val="005D668A"/>
    <w:rsid w:val="005D6A2F"/>
    <w:rsid w:val="005E1A82"/>
    <w:rsid w:val="005E794C"/>
    <w:rsid w:val="005F0A28"/>
    <w:rsid w:val="005F0E5E"/>
    <w:rsid w:val="005F291C"/>
    <w:rsid w:val="00600535"/>
    <w:rsid w:val="0060729B"/>
    <w:rsid w:val="00610CD6"/>
    <w:rsid w:val="00620DEE"/>
    <w:rsid w:val="00621F92"/>
    <w:rsid w:val="0062280A"/>
    <w:rsid w:val="00625639"/>
    <w:rsid w:val="00625DA9"/>
    <w:rsid w:val="0062799A"/>
    <w:rsid w:val="00631B33"/>
    <w:rsid w:val="00637E83"/>
    <w:rsid w:val="0064184D"/>
    <w:rsid w:val="006422CC"/>
    <w:rsid w:val="00642EDD"/>
    <w:rsid w:val="006505DC"/>
    <w:rsid w:val="00652793"/>
    <w:rsid w:val="00652E8D"/>
    <w:rsid w:val="00660E3E"/>
    <w:rsid w:val="00662E74"/>
    <w:rsid w:val="006741A7"/>
    <w:rsid w:val="00680C23"/>
    <w:rsid w:val="00690966"/>
    <w:rsid w:val="00693766"/>
    <w:rsid w:val="006A3281"/>
    <w:rsid w:val="006A5984"/>
    <w:rsid w:val="006B132F"/>
    <w:rsid w:val="006B4888"/>
    <w:rsid w:val="006B5D74"/>
    <w:rsid w:val="006B6400"/>
    <w:rsid w:val="006C094C"/>
    <w:rsid w:val="006C2E45"/>
    <w:rsid w:val="006C359C"/>
    <w:rsid w:val="006C44C9"/>
    <w:rsid w:val="006C5579"/>
    <w:rsid w:val="006D26FA"/>
    <w:rsid w:val="006D6E8B"/>
    <w:rsid w:val="006E295C"/>
    <w:rsid w:val="006E737D"/>
    <w:rsid w:val="00703006"/>
    <w:rsid w:val="00706C30"/>
    <w:rsid w:val="00713973"/>
    <w:rsid w:val="00720A24"/>
    <w:rsid w:val="00730376"/>
    <w:rsid w:val="00732386"/>
    <w:rsid w:val="0073514D"/>
    <w:rsid w:val="007447F3"/>
    <w:rsid w:val="00750358"/>
    <w:rsid w:val="00750959"/>
    <w:rsid w:val="0075499F"/>
    <w:rsid w:val="0076059A"/>
    <w:rsid w:val="00760A03"/>
    <w:rsid w:val="0076579A"/>
    <w:rsid w:val="007661C8"/>
    <w:rsid w:val="00767118"/>
    <w:rsid w:val="0077098D"/>
    <w:rsid w:val="00791836"/>
    <w:rsid w:val="007931FA"/>
    <w:rsid w:val="0079657A"/>
    <w:rsid w:val="007A4861"/>
    <w:rsid w:val="007A748E"/>
    <w:rsid w:val="007A7BBA"/>
    <w:rsid w:val="007B0C50"/>
    <w:rsid w:val="007B48F9"/>
    <w:rsid w:val="007C1A43"/>
    <w:rsid w:val="007E0786"/>
    <w:rsid w:val="007E17A6"/>
    <w:rsid w:val="007F10AF"/>
    <w:rsid w:val="007F1281"/>
    <w:rsid w:val="007F27E3"/>
    <w:rsid w:val="007F5907"/>
    <w:rsid w:val="0080013E"/>
    <w:rsid w:val="008030C7"/>
    <w:rsid w:val="00804620"/>
    <w:rsid w:val="008104F2"/>
    <w:rsid w:val="00813288"/>
    <w:rsid w:val="008168FC"/>
    <w:rsid w:val="008178BA"/>
    <w:rsid w:val="00822E38"/>
    <w:rsid w:val="00830409"/>
    <w:rsid w:val="00830996"/>
    <w:rsid w:val="00831A82"/>
    <w:rsid w:val="008345F1"/>
    <w:rsid w:val="00847C9D"/>
    <w:rsid w:val="00855450"/>
    <w:rsid w:val="00861969"/>
    <w:rsid w:val="00865B07"/>
    <w:rsid w:val="008667EA"/>
    <w:rsid w:val="0087637F"/>
    <w:rsid w:val="00876BD5"/>
    <w:rsid w:val="008771BF"/>
    <w:rsid w:val="00880C91"/>
    <w:rsid w:val="00883417"/>
    <w:rsid w:val="00892AD5"/>
    <w:rsid w:val="00896D56"/>
    <w:rsid w:val="008A1512"/>
    <w:rsid w:val="008A4A42"/>
    <w:rsid w:val="008A511B"/>
    <w:rsid w:val="008B2CFE"/>
    <w:rsid w:val="008D313C"/>
    <w:rsid w:val="008D32B9"/>
    <w:rsid w:val="008D433B"/>
    <w:rsid w:val="008D4A16"/>
    <w:rsid w:val="008E0BD9"/>
    <w:rsid w:val="008E1A01"/>
    <w:rsid w:val="008E4742"/>
    <w:rsid w:val="008E566E"/>
    <w:rsid w:val="008E69DF"/>
    <w:rsid w:val="0090161A"/>
    <w:rsid w:val="00901EB6"/>
    <w:rsid w:val="00904C62"/>
    <w:rsid w:val="0091493B"/>
    <w:rsid w:val="009219EA"/>
    <w:rsid w:val="00922640"/>
    <w:rsid w:val="00922BA8"/>
    <w:rsid w:val="00924DAC"/>
    <w:rsid w:val="00927058"/>
    <w:rsid w:val="00930B48"/>
    <w:rsid w:val="00933948"/>
    <w:rsid w:val="00934FB6"/>
    <w:rsid w:val="00942750"/>
    <w:rsid w:val="00944409"/>
    <w:rsid w:val="009450CE"/>
    <w:rsid w:val="00945BF7"/>
    <w:rsid w:val="00947179"/>
    <w:rsid w:val="00947220"/>
    <w:rsid w:val="0095164B"/>
    <w:rsid w:val="00954090"/>
    <w:rsid w:val="009573E7"/>
    <w:rsid w:val="00962F0F"/>
    <w:rsid w:val="00963E05"/>
    <w:rsid w:val="00964A45"/>
    <w:rsid w:val="00967843"/>
    <w:rsid w:val="00967D54"/>
    <w:rsid w:val="00971028"/>
    <w:rsid w:val="00982A1E"/>
    <w:rsid w:val="00993B84"/>
    <w:rsid w:val="00996483"/>
    <w:rsid w:val="00996F5A"/>
    <w:rsid w:val="009A58D7"/>
    <w:rsid w:val="009B041A"/>
    <w:rsid w:val="009C37C3"/>
    <w:rsid w:val="009C5D3E"/>
    <w:rsid w:val="009C7C86"/>
    <w:rsid w:val="009D1D5E"/>
    <w:rsid w:val="009D2FF7"/>
    <w:rsid w:val="009D596A"/>
    <w:rsid w:val="009E095C"/>
    <w:rsid w:val="009E7884"/>
    <w:rsid w:val="009E788A"/>
    <w:rsid w:val="009F0E08"/>
    <w:rsid w:val="00A04098"/>
    <w:rsid w:val="00A173F1"/>
    <w:rsid w:val="00A1763D"/>
    <w:rsid w:val="00A17CEC"/>
    <w:rsid w:val="00A27EF0"/>
    <w:rsid w:val="00A42361"/>
    <w:rsid w:val="00A43FA2"/>
    <w:rsid w:val="00A50B20"/>
    <w:rsid w:val="00A51390"/>
    <w:rsid w:val="00A57FA1"/>
    <w:rsid w:val="00A60D13"/>
    <w:rsid w:val="00A63508"/>
    <w:rsid w:val="00A63C39"/>
    <w:rsid w:val="00A658F6"/>
    <w:rsid w:val="00A666A5"/>
    <w:rsid w:val="00A707C9"/>
    <w:rsid w:val="00A71F38"/>
    <w:rsid w:val="00A7223D"/>
    <w:rsid w:val="00A72745"/>
    <w:rsid w:val="00A74E99"/>
    <w:rsid w:val="00A76EFC"/>
    <w:rsid w:val="00A8664F"/>
    <w:rsid w:val="00A91010"/>
    <w:rsid w:val="00A9285C"/>
    <w:rsid w:val="00A97196"/>
    <w:rsid w:val="00A97F29"/>
    <w:rsid w:val="00AA702E"/>
    <w:rsid w:val="00AB0964"/>
    <w:rsid w:val="00AB10FE"/>
    <w:rsid w:val="00AB5011"/>
    <w:rsid w:val="00AC7368"/>
    <w:rsid w:val="00AD16B9"/>
    <w:rsid w:val="00AE377D"/>
    <w:rsid w:val="00AE51D5"/>
    <w:rsid w:val="00AF0EBA"/>
    <w:rsid w:val="00B02C8A"/>
    <w:rsid w:val="00B17B4F"/>
    <w:rsid w:val="00B17FBD"/>
    <w:rsid w:val="00B315A6"/>
    <w:rsid w:val="00B31813"/>
    <w:rsid w:val="00B33365"/>
    <w:rsid w:val="00B40C98"/>
    <w:rsid w:val="00B40D40"/>
    <w:rsid w:val="00B57B36"/>
    <w:rsid w:val="00B57E6F"/>
    <w:rsid w:val="00B71EAF"/>
    <w:rsid w:val="00B82935"/>
    <w:rsid w:val="00B8686D"/>
    <w:rsid w:val="00B93F69"/>
    <w:rsid w:val="00BA7251"/>
    <w:rsid w:val="00BB1DDC"/>
    <w:rsid w:val="00BB6BF5"/>
    <w:rsid w:val="00BC2BF0"/>
    <w:rsid w:val="00BC30C9"/>
    <w:rsid w:val="00BC5931"/>
    <w:rsid w:val="00BD077D"/>
    <w:rsid w:val="00BD5549"/>
    <w:rsid w:val="00BE22F0"/>
    <w:rsid w:val="00BE3E58"/>
    <w:rsid w:val="00BE43D1"/>
    <w:rsid w:val="00C01616"/>
    <w:rsid w:val="00C0162B"/>
    <w:rsid w:val="00C03EF7"/>
    <w:rsid w:val="00C068ED"/>
    <w:rsid w:val="00C15467"/>
    <w:rsid w:val="00C17F01"/>
    <w:rsid w:val="00C2008A"/>
    <w:rsid w:val="00C22E0C"/>
    <w:rsid w:val="00C32DB9"/>
    <w:rsid w:val="00C345B1"/>
    <w:rsid w:val="00C40142"/>
    <w:rsid w:val="00C47219"/>
    <w:rsid w:val="00C52C3C"/>
    <w:rsid w:val="00C5707A"/>
    <w:rsid w:val="00C57182"/>
    <w:rsid w:val="00C57863"/>
    <w:rsid w:val="00C640AF"/>
    <w:rsid w:val="00C655FD"/>
    <w:rsid w:val="00C7444A"/>
    <w:rsid w:val="00C74956"/>
    <w:rsid w:val="00C75407"/>
    <w:rsid w:val="00C870A8"/>
    <w:rsid w:val="00C91863"/>
    <w:rsid w:val="00C94434"/>
    <w:rsid w:val="00C97A00"/>
    <w:rsid w:val="00CA0D75"/>
    <w:rsid w:val="00CA1C95"/>
    <w:rsid w:val="00CA5A9C"/>
    <w:rsid w:val="00CB205B"/>
    <w:rsid w:val="00CC3C48"/>
    <w:rsid w:val="00CC4C20"/>
    <w:rsid w:val="00CC4E5D"/>
    <w:rsid w:val="00CD3517"/>
    <w:rsid w:val="00CD5FE2"/>
    <w:rsid w:val="00CE3D73"/>
    <w:rsid w:val="00CE4544"/>
    <w:rsid w:val="00CE7C68"/>
    <w:rsid w:val="00CF143C"/>
    <w:rsid w:val="00D0189E"/>
    <w:rsid w:val="00D02B4C"/>
    <w:rsid w:val="00D040C4"/>
    <w:rsid w:val="00D14D91"/>
    <w:rsid w:val="00D14F42"/>
    <w:rsid w:val="00D20AD1"/>
    <w:rsid w:val="00D24D37"/>
    <w:rsid w:val="00D352E2"/>
    <w:rsid w:val="00D46B7E"/>
    <w:rsid w:val="00D474DE"/>
    <w:rsid w:val="00D518DD"/>
    <w:rsid w:val="00D571E8"/>
    <w:rsid w:val="00D57C84"/>
    <w:rsid w:val="00D6057D"/>
    <w:rsid w:val="00D60E5F"/>
    <w:rsid w:val="00D71640"/>
    <w:rsid w:val="00D8261E"/>
    <w:rsid w:val="00D836C5"/>
    <w:rsid w:val="00D84576"/>
    <w:rsid w:val="00D970D4"/>
    <w:rsid w:val="00DA1399"/>
    <w:rsid w:val="00DA1628"/>
    <w:rsid w:val="00DA24C6"/>
    <w:rsid w:val="00DA4D7B"/>
    <w:rsid w:val="00DA7D01"/>
    <w:rsid w:val="00DB21AC"/>
    <w:rsid w:val="00DB61EE"/>
    <w:rsid w:val="00DC1803"/>
    <w:rsid w:val="00DC56D3"/>
    <w:rsid w:val="00DC7C51"/>
    <w:rsid w:val="00DD271C"/>
    <w:rsid w:val="00DE264A"/>
    <w:rsid w:val="00DF5072"/>
    <w:rsid w:val="00E02D18"/>
    <w:rsid w:val="00E041E7"/>
    <w:rsid w:val="00E14B10"/>
    <w:rsid w:val="00E151FF"/>
    <w:rsid w:val="00E20BED"/>
    <w:rsid w:val="00E23CA1"/>
    <w:rsid w:val="00E3662A"/>
    <w:rsid w:val="00E409A8"/>
    <w:rsid w:val="00E50C12"/>
    <w:rsid w:val="00E65B91"/>
    <w:rsid w:val="00E7209D"/>
    <w:rsid w:val="00E72EAD"/>
    <w:rsid w:val="00E77223"/>
    <w:rsid w:val="00E84AD3"/>
    <w:rsid w:val="00E8528B"/>
    <w:rsid w:val="00E85B94"/>
    <w:rsid w:val="00E978D0"/>
    <w:rsid w:val="00EA4613"/>
    <w:rsid w:val="00EA6568"/>
    <w:rsid w:val="00EA7F91"/>
    <w:rsid w:val="00EB1523"/>
    <w:rsid w:val="00EC0E49"/>
    <w:rsid w:val="00EC101F"/>
    <w:rsid w:val="00EC1D9F"/>
    <w:rsid w:val="00EC4966"/>
    <w:rsid w:val="00EC6095"/>
    <w:rsid w:val="00EC759A"/>
    <w:rsid w:val="00EE0131"/>
    <w:rsid w:val="00EE17B0"/>
    <w:rsid w:val="00EE26FE"/>
    <w:rsid w:val="00EE575F"/>
    <w:rsid w:val="00EF06D9"/>
    <w:rsid w:val="00F07730"/>
    <w:rsid w:val="00F161BF"/>
    <w:rsid w:val="00F16ACC"/>
    <w:rsid w:val="00F25875"/>
    <w:rsid w:val="00F30C64"/>
    <w:rsid w:val="00F32BA2"/>
    <w:rsid w:val="00F32CDB"/>
    <w:rsid w:val="00F414D5"/>
    <w:rsid w:val="00F4452F"/>
    <w:rsid w:val="00F449E9"/>
    <w:rsid w:val="00F565FE"/>
    <w:rsid w:val="00F63A70"/>
    <w:rsid w:val="00F63D8C"/>
    <w:rsid w:val="00F67AEC"/>
    <w:rsid w:val="00F72C1C"/>
    <w:rsid w:val="00F7534E"/>
    <w:rsid w:val="00F83DDD"/>
    <w:rsid w:val="00F9244F"/>
    <w:rsid w:val="00F96114"/>
    <w:rsid w:val="00FA0BD2"/>
    <w:rsid w:val="00FA1802"/>
    <w:rsid w:val="00FA21D0"/>
    <w:rsid w:val="00FA5F5F"/>
    <w:rsid w:val="00FB730C"/>
    <w:rsid w:val="00FC1053"/>
    <w:rsid w:val="00FC19EF"/>
    <w:rsid w:val="00FC2695"/>
    <w:rsid w:val="00FC3E03"/>
    <w:rsid w:val="00FC3FC1"/>
    <w:rsid w:val="00FE0F8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74B7D3"/>
  <w14:defaultImageDpi w14:val="330"/>
  <w15:docId w15:val="{D038C847-B0E4-41AD-AB04-3CA95622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paragraph" w:customStyle="1" w:styleId="Default">
    <w:name w:val="Default"/>
    <w:rsid w:val="00D60E5F"/>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Appelnotedebasdep">
    <w:name w:val="footnote reference"/>
    <w:basedOn w:val="Policepardfaut"/>
    <w:uiPriority w:val="99"/>
    <w:semiHidden/>
    <w:unhideWhenUsed/>
    <w:rsid w:val="00876BD5"/>
    <w:rPr>
      <w:vertAlign w:val="superscript"/>
    </w:rPr>
  </w:style>
  <w:style w:type="character" w:styleId="Textedelespacerserv">
    <w:name w:val="Placeholder Text"/>
    <w:basedOn w:val="Policepardfaut"/>
    <w:uiPriority w:val="99"/>
    <w:semiHidden/>
    <w:rsid w:val="006B5D74"/>
    <w:rPr>
      <w:color w:val="808080"/>
    </w:rPr>
  </w:style>
  <w:style w:type="character" w:customStyle="1" w:styleId="mo">
    <w:name w:val="mo"/>
    <w:basedOn w:val="Policepardfaut"/>
    <w:rsid w:val="003F229C"/>
  </w:style>
  <w:style w:type="character" w:customStyle="1" w:styleId="mi">
    <w:name w:val="mi"/>
    <w:basedOn w:val="Policepardfaut"/>
    <w:rsid w:val="003F229C"/>
  </w:style>
  <w:style w:type="character" w:customStyle="1" w:styleId="mn">
    <w:name w:val="mn"/>
    <w:basedOn w:val="Policepardfaut"/>
    <w:rsid w:val="003F2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747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8075C-3C41-449C-9F33-E3DBBF69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6</Pages>
  <Words>6627</Words>
  <Characters>36451</Characters>
  <Application>Microsoft Office Word</Application>
  <DocSecurity>0</DocSecurity>
  <Lines>303</Lines>
  <Paragraphs>85</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Billy Pottier</cp:lastModifiedBy>
  <cp:revision>9</cp:revision>
  <cp:lastPrinted>2015-05-12T18:31:00Z</cp:lastPrinted>
  <dcterms:created xsi:type="dcterms:W3CDTF">2022-04-28T09:12:00Z</dcterms:created>
  <dcterms:modified xsi:type="dcterms:W3CDTF">2022-06-20T12:26:00Z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cb8821b6-6b40-3be1-97ab-4f3b16193e25</vt:lpwstr>
  </property>
  <property fmtid="{D5CDD505-2E9C-101B-9397-08002B2CF9AE}" pid="6" name="Mendeley Citation Style_1">
    <vt:lpwstr>http://www.zotero.org/styles/elsevier-harvard</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http://www.zotero.org/styles/elsevier-harvard</vt:lpwstr>
  </property>
  <property fmtid="{D5CDD505-2E9C-101B-9397-08002B2CF9AE}" pid="18" name="Mendeley Recent Style Name 5_1">
    <vt:lpwstr>Elsevier - Harvard (with titles)</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8th edition</vt:lpwstr>
  </property>
</Properties>
</file>