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55FD5D7" w:rsidR="000A03B2" w:rsidRPr="00B57B36" w:rsidRDefault="00A76EFC" w:rsidP="00EC1D9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A4861">
              <w:rPr>
                <w:rFonts w:cs="Arial"/>
                <w:b/>
                <w:bCs/>
                <w:i/>
                <w:iCs/>
                <w:color w:val="000066"/>
                <w:sz w:val="22"/>
                <w:szCs w:val="22"/>
                <w:lang w:eastAsia="it-IT"/>
              </w:rPr>
              <w:t>8</w:t>
            </w:r>
            <w:r w:rsidR="00EC1D9F">
              <w:rPr>
                <w:rFonts w:cs="Arial"/>
                <w:b/>
                <w:bCs/>
                <w:i/>
                <w:iCs/>
                <w:color w:val="000066"/>
                <w:sz w:val="22"/>
                <w:szCs w:val="22"/>
                <w:lang w:eastAsia="it-IT"/>
              </w:rPr>
              <w:t>2</w:t>
            </w:r>
            <w:r w:rsidR="00FA5F5F">
              <w:rPr>
                <w:rFonts w:cs="Arial"/>
                <w:b/>
                <w:bCs/>
                <w:i/>
                <w:iCs/>
                <w:color w:val="000066"/>
                <w:sz w:val="22"/>
                <w:szCs w:val="22"/>
                <w:lang w:eastAsia="it-IT"/>
              </w:rPr>
              <w:t>, 20</w:t>
            </w:r>
            <w:r w:rsidR="00DF5072">
              <w:rPr>
                <w:rFonts w:cs="Arial"/>
                <w:b/>
                <w:bCs/>
                <w:i/>
                <w:iCs/>
                <w:color w:val="000066"/>
                <w:sz w:val="22"/>
                <w:szCs w:val="22"/>
                <w:lang w:eastAsia="it-IT"/>
              </w:rPr>
              <w:t>20</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DAB152D" w:rsidR="00300E56" w:rsidRPr="00FE5F89" w:rsidRDefault="00300E56" w:rsidP="007931FA">
            <w:pPr>
              <w:ind w:left="-107"/>
              <w:rPr>
                <w:rFonts w:ascii="Times New Roman" w:hAnsi="Times New Roman"/>
                <w:sz w:val="24"/>
                <w:szCs w:val="24"/>
                <w:lang w:val="it-IT" w:eastAsia="it-IT"/>
              </w:rPr>
            </w:pPr>
            <w:r w:rsidRPr="00FE5F89">
              <w:rPr>
                <w:rFonts w:ascii="Tahoma" w:hAnsi="Tahoma" w:cs="Tahoma"/>
                <w:iCs/>
                <w:color w:val="333333"/>
                <w:sz w:val="14"/>
                <w:szCs w:val="14"/>
                <w:lang w:val="it-IT" w:eastAsia="it-IT"/>
              </w:rPr>
              <w:t>Guest Editors:</w:t>
            </w:r>
            <w:r w:rsidR="00904C62" w:rsidRPr="00FE5F89">
              <w:rPr>
                <w:rFonts w:ascii="Tahoma" w:hAnsi="Tahoma" w:cs="Tahoma"/>
                <w:iCs/>
                <w:color w:val="333333"/>
                <w:sz w:val="14"/>
                <w:szCs w:val="14"/>
                <w:lang w:val="it-IT" w:eastAsia="it-IT"/>
              </w:rPr>
              <w:t xml:space="preserve"> </w:t>
            </w:r>
            <w:r w:rsidR="00EC1D9F" w:rsidRPr="00FE5F89">
              <w:rPr>
                <w:rFonts w:ascii="Tahoma" w:hAnsi="Tahoma" w:cs="Tahoma"/>
                <w:iCs/>
                <w:color w:val="333333"/>
                <w:sz w:val="14"/>
                <w:szCs w:val="14"/>
                <w:lang w:val="it-IT" w:eastAsia="it-IT"/>
              </w:rPr>
              <w:t>Selena Sironi, Laura Capelli</w:t>
            </w:r>
          </w:p>
          <w:p w14:paraId="1B0F1814" w14:textId="06B41921" w:rsidR="000A03B2" w:rsidRPr="00B57B36" w:rsidRDefault="00FA5F5F" w:rsidP="00EC1D9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20</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EF06D9" w:rsidRPr="00EF06D9">
              <w:rPr>
                <w:rFonts w:ascii="Tahoma" w:hAnsi="Tahoma" w:cs="Tahoma"/>
                <w:sz w:val="14"/>
                <w:szCs w:val="14"/>
              </w:rPr>
              <w:t>8</w:t>
            </w:r>
            <w:r w:rsidR="00EC1D9F">
              <w:rPr>
                <w:rFonts w:ascii="Tahoma" w:hAnsi="Tahoma" w:cs="Tahoma"/>
                <w:sz w:val="14"/>
                <w:szCs w:val="14"/>
              </w:rPr>
              <w:t>0</w:t>
            </w:r>
            <w:r w:rsidR="008D32B9" w:rsidRPr="00EF06D9">
              <w:rPr>
                <w:rFonts w:ascii="Tahoma" w:hAnsi="Tahoma" w:cs="Tahoma"/>
                <w:sz w:val="14"/>
                <w:szCs w:val="14"/>
              </w:rPr>
              <w:t>-</w:t>
            </w:r>
            <w:r w:rsidR="00EC1D9F">
              <w:rPr>
                <w:rFonts w:ascii="Tahoma" w:hAnsi="Tahoma" w:cs="Tahoma"/>
                <w:sz w:val="14"/>
                <w:szCs w:val="14"/>
              </w:rPr>
              <w:t>8</w:t>
            </w:r>
            <w:r w:rsidR="00300E56"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3A2D8CF9" w14:textId="77777777" w:rsidR="008A3A17" w:rsidRPr="00F64BAA" w:rsidRDefault="008A3A17" w:rsidP="008A3A17">
      <w:pPr>
        <w:pStyle w:val="CETemail"/>
        <w:rPr>
          <w:sz w:val="12"/>
          <w:szCs w:val="12"/>
        </w:rPr>
      </w:pPr>
      <w:r>
        <w:tab/>
      </w:r>
    </w:p>
    <w:p w14:paraId="433B1E42" w14:textId="65384149" w:rsidR="009B540B" w:rsidRPr="009B540B" w:rsidRDefault="009B540B" w:rsidP="00D9257D">
      <w:pPr>
        <w:pStyle w:val="CETemail"/>
        <w:jc w:val="center"/>
      </w:pPr>
      <w:r w:rsidRPr="008A3A17">
        <w:rPr>
          <w:noProof w:val="0"/>
          <w:sz w:val="32"/>
        </w:rPr>
        <w:t>Advanced data mining for odour emissions monitoring: experimental peak-to-mean calculations and spectral analysis of data derived from IOMS in two waste treatment plants</w:t>
      </w:r>
    </w:p>
    <w:p w14:paraId="2B3CA35C" w14:textId="46D70F15" w:rsidR="00E978D0" w:rsidRPr="005E773B" w:rsidRDefault="009B540B" w:rsidP="00A975BB">
      <w:pPr>
        <w:pStyle w:val="CETAuthors"/>
        <w:jc w:val="center"/>
        <w:rPr>
          <w:lang w:val="it-IT"/>
        </w:rPr>
      </w:pPr>
      <w:r w:rsidRPr="005E773B">
        <w:rPr>
          <w:lang w:val="it-IT"/>
        </w:rPr>
        <w:t>Federico Cangialos</w:t>
      </w:r>
      <w:r w:rsidRPr="00A975BB">
        <w:rPr>
          <w:lang w:val="it-IT"/>
        </w:rPr>
        <w:t>i</w:t>
      </w:r>
    </w:p>
    <w:p w14:paraId="38D29194" w14:textId="2FAFB39E" w:rsidR="00E978D0" w:rsidRPr="009B540B" w:rsidRDefault="009B540B" w:rsidP="009B540B">
      <w:pPr>
        <w:pStyle w:val="CETAddress"/>
        <w:rPr>
          <w:lang w:val="it-IT"/>
        </w:rPr>
      </w:pPr>
      <w:r w:rsidRPr="009B540B">
        <w:rPr>
          <w:lang w:val="it-IT"/>
        </w:rPr>
        <w:t>T&amp;A - Tecnologia e Ambiente Srl, S.P. 237 per Noci, 8 – 70017 Putignano (BA), Italy</w:t>
      </w:r>
      <w:r w:rsidR="00E978D0" w:rsidRPr="009B540B">
        <w:rPr>
          <w:lang w:val="it-IT"/>
        </w:rPr>
        <w:t xml:space="preserve"> </w:t>
      </w:r>
    </w:p>
    <w:p w14:paraId="0127A28D" w14:textId="03DCCA61" w:rsidR="00E978D0" w:rsidRPr="00D9257D" w:rsidRDefault="008A3A17" w:rsidP="008A3A17">
      <w:pPr>
        <w:pStyle w:val="CETAddress"/>
      </w:pPr>
      <w:r w:rsidRPr="00D9257D">
        <w:t>federico.cangialosi@icloud.com</w:t>
      </w:r>
      <w:r w:rsidR="00600535" w:rsidRPr="00D9257D">
        <w:t xml:space="preserve"> </w:t>
      </w:r>
    </w:p>
    <w:p w14:paraId="1CE2138C" w14:textId="77777777" w:rsidR="008A3A17" w:rsidRPr="00D9257D" w:rsidRDefault="008A3A17" w:rsidP="008A3A17">
      <w:pPr>
        <w:pStyle w:val="CETAddress"/>
      </w:pPr>
    </w:p>
    <w:p w14:paraId="31DA3C70" w14:textId="15CDAD88" w:rsidR="009B540B" w:rsidRPr="009B540B" w:rsidRDefault="009B540B" w:rsidP="008C58E4">
      <w:pPr>
        <w:pStyle w:val="Corpotesto"/>
        <w:spacing w:line="240" w:lineRule="auto"/>
      </w:pPr>
      <w:r w:rsidRPr="009B540B">
        <w:t xml:space="preserve">A landfill for non-hazardous waste and a composting plant were equipped with an integrated odour management system made up of instrumental Odour monitoring systems and automated air samplers. Collected data by the instrumental system cover a time span of </w:t>
      </w:r>
      <w:r w:rsidR="00B71C43">
        <w:t>8 months</w:t>
      </w:r>
      <w:r w:rsidRPr="009B540B">
        <w:t xml:space="preserve"> and </w:t>
      </w:r>
      <w:r w:rsidR="00B71C43">
        <w:t>9</w:t>
      </w:r>
      <w:r w:rsidRPr="009B540B">
        <w:t xml:space="preserve"> months for the two plants, respectively, and have been used for investigating spatial distribution and statistical properties of peak-to-mean ratios; moreover, a new method of data analysis, not yet employed in the field of odour dispersion modelling, has been proposed.</w:t>
      </w:r>
      <w:r w:rsidR="008C58E4">
        <w:t xml:space="preserve"> </w:t>
      </w:r>
      <w:r w:rsidRPr="009B540B">
        <w:t>A peak-to-mean value is defined as the ratio between an hourly mediation time and the average duration of a single human breath (few seconds). Data derived from 0.03</w:t>
      </w:r>
      <w:r w:rsidR="001364C9">
        <w:t>3</w:t>
      </w:r>
      <w:r w:rsidRPr="009B540B">
        <w:t xml:space="preserve"> Hz sampling frequency by IOMS were used to calculate peak-to-mean for the monitoring period for both plants; the size of samples analysed allowed the implementation of a statistical calculation methodology for peak-to-mean estimation, based on the construction of empirical probability density functions (PDF). Moreover, data collected from instruments installed in different areas of the plants, were used to evaluate how PDF of peak-to-mean values varies with the distance from the odour emission sources.</w:t>
      </w:r>
      <w:r w:rsidR="008C58E4">
        <w:t xml:space="preserve"> </w:t>
      </w:r>
      <w:r w:rsidRPr="009B540B">
        <w:t xml:space="preserve">The same data were also used to develop a new method of analysis based on time series processing through the use of the Fourier Transform. Spectral analysis, sometimes used for meteorological variables, more recently has been applied in the study of air pollution data, although this type of analysis makes a decisive contribution to the understanding of cyclical behaviour in the observed data and provides information on temporal and spatial scales of such mechanisms. The aim is therefore to define a </w:t>
      </w:r>
      <w:r w:rsidR="00BF5DCC">
        <w:t xml:space="preserve">viable </w:t>
      </w:r>
      <w:r w:rsidRPr="009B540B">
        <w:t>methodology to time series of odour concentration data collected at the fence of a plant, to be used to gather information on periodic odour variations. Interesting results, which related some periodic behaviours in odour emissions to working periods and composting phases, were observed, demonstrating the usefulness of such methodology to assess whether odour fluctuations are caused by atmospheric conditions variability or plant management operations.</w:t>
      </w:r>
    </w:p>
    <w:p w14:paraId="476B2F2E" w14:textId="77777777" w:rsidR="00600535" w:rsidRPr="00B57B36" w:rsidRDefault="00600535" w:rsidP="00600535">
      <w:pPr>
        <w:pStyle w:val="CETHeading1"/>
        <w:rPr>
          <w:lang w:val="en-GB"/>
        </w:rPr>
      </w:pPr>
      <w:r w:rsidRPr="00B57B36">
        <w:rPr>
          <w:lang w:val="en-GB"/>
        </w:rPr>
        <w:t>Introduction</w:t>
      </w:r>
    </w:p>
    <w:p w14:paraId="18AD5E99" w14:textId="3151E08A" w:rsidR="00E52D00" w:rsidRDefault="00BF5DCC" w:rsidP="008C58E4">
      <w:pPr>
        <w:pStyle w:val="CETListbullets"/>
        <w:ind w:left="0" w:firstLine="0"/>
      </w:pPr>
      <w:r>
        <w:t xml:space="preserve">Using predictive modelling of odour dispersion for Environmental Impact assessment of plants to build, </w:t>
      </w:r>
      <w:r w:rsidR="005643DF">
        <w:t xml:space="preserve">is </w:t>
      </w:r>
      <w:r w:rsidR="00942A1D">
        <w:t>common in several countries, thus verifying if a plant could impact a human receptor by evaluating the 98</w:t>
      </w:r>
      <w:r w:rsidR="00942A1D" w:rsidRPr="00942A1D">
        <w:rPr>
          <w:vertAlign w:val="superscript"/>
        </w:rPr>
        <w:t>th</w:t>
      </w:r>
      <w:r w:rsidR="00942A1D">
        <w:t xml:space="preserve"> percentile of odour concentration, calculated over 1 or more years by using available </w:t>
      </w:r>
      <w:r w:rsidR="007024A6">
        <w:t>meteorological</w:t>
      </w:r>
      <w:r w:rsidR="00942A1D">
        <w:t xml:space="preserve"> data. </w:t>
      </w:r>
      <w:r>
        <w:t>With regard to</w:t>
      </w:r>
      <w:r w:rsidR="00942A1D">
        <w:t xml:space="preserve"> existing plant, </w:t>
      </w:r>
      <w:r w:rsidR="007024A6">
        <w:t>odours</w:t>
      </w:r>
      <w:r w:rsidR="00942A1D">
        <w:t xml:space="preserve"> can be perceived for</w:t>
      </w:r>
      <w:r>
        <w:t xml:space="preserve"> a</w:t>
      </w:r>
      <w:r w:rsidR="00942A1D">
        <w:t xml:space="preserve"> few seconds, thus generating complaints for peak events with short duration, </w:t>
      </w:r>
      <w:r>
        <w:t>al</w:t>
      </w:r>
      <w:r w:rsidR="00942A1D">
        <w:t xml:space="preserve">though, on average, emissions </w:t>
      </w:r>
      <w:r w:rsidR="003C7A5F">
        <w:t>could</w:t>
      </w:r>
      <w:r w:rsidR="00942A1D">
        <w:t xml:space="preserve"> not exceed any regulatory-set limit.</w:t>
      </w:r>
      <w:r w:rsidR="00351607">
        <w:t xml:space="preserve"> </w:t>
      </w:r>
      <w:r w:rsidR="00942A1D">
        <w:t>Two approaches have been adopted in the last years to deal with such proble</w:t>
      </w:r>
      <w:r w:rsidR="00351607">
        <w:t>m</w:t>
      </w:r>
      <w:r w:rsidR="00942A1D">
        <w:t xml:space="preserve">s: developing </w:t>
      </w:r>
      <w:r w:rsidR="00284841">
        <w:t>more complex and refined models taking into account scalar fields fluctuations generated by turbulence (</w:t>
      </w:r>
      <w:proofErr w:type="spellStart"/>
      <w:r w:rsidR="00284841">
        <w:t>Tinarelli</w:t>
      </w:r>
      <w:proofErr w:type="spellEnd"/>
      <w:r w:rsidR="00284841">
        <w:t xml:space="preserve"> et al 2019)</w:t>
      </w:r>
      <w:r w:rsidR="003C7A5F">
        <w:t>;</w:t>
      </w:r>
      <w:r w:rsidR="00284841">
        <w:t xml:space="preserve"> using the models generally employed in dispersion modelling from emission sources, for which the time scale of </w:t>
      </w:r>
      <w:r w:rsidR="008C58E4">
        <w:t>interest</w:t>
      </w:r>
      <w:r w:rsidR="00284841">
        <w:t xml:space="preserve"> for the variable is at least the hour (the values are hourly-averaged), and correct them with the peak-to-mean factor for taking into account the</w:t>
      </w:r>
      <w:r w:rsidR="003C7A5F">
        <w:t xml:space="preserve"> odour fluctuations.</w:t>
      </w:r>
      <w:r w:rsidR="00284841">
        <w:t xml:space="preserve"> </w:t>
      </w:r>
      <w:r w:rsidR="002F7423">
        <w:t>Although empirical values or simplified theoretically derived or relationships are available for estimating Peak-to mean</w:t>
      </w:r>
      <w:r w:rsidR="00E565F6">
        <w:t xml:space="preserve"> (PTM)</w:t>
      </w:r>
      <w:r w:rsidR="002F7423">
        <w:t xml:space="preserve"> ratios as a function of atmospheric stability and distance from the source,</w:t>
      </w:r>
      <w:r w:rsidR="007024A6">
        <w:t xml:space="preserve"> </w:t>
      </w:r>
      <w:r w:rsidR="002F7423">
        <w:t xml:space="preserve">very few are the field studies assessing the effectiveness of such approaches, </w:t>
      </w:r>
      <w:r>
        <w:t>as</w:t>
      </w:r>
      <w:r w:rsidR="002F7423">
        <w:t xml:space="preserve"> most of them </w:t>
      </w:r>
      <w:r>
        <w:t xml:space="preserve">are </w:t>
      </w:r>
      <w:r w:rsidR="002F7423">
        <w:t xml:space="preserve">limited to </w:t>
      </w:r>
      <w:r w:rsidR="002F7423" w:rsidRPr="007024A6">
        <w:t>short period</w:t>
      </w:r>
      <w:r>
        <w:t>s</w:t>
      </w:r>
      <w:r w:rsidR="002F7423" w:rsidRPr="007024A6">
        <w:t xml:space="preserve"> of time (</w:t>
      </w:r>
      <w:proofErr w:type="spellStart"/>
      <w:r w:rsidR="002F7423" w:rsidRPr="007024A6">
        <w:t>Oettl</w:t>
      </w:r>
      <w:proofErr w:type="spellEnd"/>
      <w:r w:rsidR="007024A6" w:rsidRPr="007024A6">
        <w:t xml:space="preserve"> and </w:t>
      </w:r>
      <w:proofErr w:type="spellStart"/>
      <w:r w:rsidR="007024A6" w:rsidRPr="007024A6">
        <w:t>Ferero</w:t>
      </w:r>
      <w:proofErr w:type="spellEnd"/>
      <w:r w:rsidR="007024A6" w:rsidRPr="007024A6">
        <w:t xml:space="preserve">, </w:t>
      </w:r>
      <w:r w:rsidR="002F7423" w:rsidRPr="007024A6">
        <w:t>2017)</w:t>
      </w:r>
      <w:r w:rsidR="007024A6">
        <w:t>.</w:t>
      </w:r>
      <w:r w:rsidR="00606B23">
        <w:t xml:space="preserve"> </w:t>
      </w:r>
      <w:r>
        <w:t>Besides odour dispersion modelling for future plants</w:t>
      </w:r>
      <w:r w:rsidR="002F7423">
        <w:t>, evaluating whether</w:t>
      </w:r>
      <w:r w:rsidR="00581CF7">
        <w:t xml:space="preserve"> extreme or recurring </w:t>
      </w:r>
      <w:r w:rsidR="002F7423">
        <w:t xml:space="preserve">odour </w:t>
      </w:r>
      <w:r w:rsidR="00581CF7">
        <w:t xml:space="preserve">events are related to meteorological </w:t>
      </w:r>
      <w:r w:rsidR="002F7423">
        <w:t>or</w:t>
      </w:r>
      <w:r w:rsidR="00581CF7">
        <w:t xml:space="preserve"> plant operational conditions</w:t>
      </w:r>
      <w:r>
        <w:t xml:space="preserve"> is relevant</w:t>
      </w:r>
      <w:r w:rsidR="0073380C" w:rsidRPr="0073380C">
        <w:t xml:space="preserve"> </w:t>
      </w:r>
      <w:r w:rsidR="0073380C">
        <w:t>for existing plant</w:t>
      </w:r>
      <w:r w:rsidR="002F7423">
        <w:t>:</w:t>
      </w:r>
      <w:r w:rsidR="00581CF7">
        <w:t xml:space="preserve"> the lack of long-term </w:t>
      </w:r>
      <w:r w:rsidR="0054679E">
        <w:t xml:space="preserve">odour </w:t>
      </w:r>
      <w:r w:rsidR="00E52D00">
        <w:t xml:space="preserve">monitoring </w:t>
      </w:r>
      <w:r w:rsidR="008E4BB3">
        <w:t xml:space="preserve">campaign </w:t>
      </w:r>
      <w:r w:rsidR="00E52D00">
        <w:t>prevent</w:t>
      </w:r>
      <w:r w:rsidR="008E4BB3">
        <w:t>ed</w:t>
      </w:r>
      <w:r w:rsidR="00E52D00">
        <w:t xml:space="preserve"> </w:t>
      </w:r>
      <w:r w:rsidR="00A975BB">
        <w:lastRenderedPageBreak/>
        <w:t xml:space="preserve">data </w:t>
      </w:r>
      <w:r w:rsidR="008E4BB3">
        <w:t>analysis</w:t>
      </w:r>
      <w:r w:rsidR="00581CF7">
        <w:t xml:space="preserve"> with the </w:t>
      </w:r>
      <w:r w:rsidR="00E52D00">
        <w:t>techniques</w:t>
      </w:r>
      <w:r w:rsidR="00581CF7">
        <w:t xml:space="preserve"> already developed </w:t>
      </w:r>
      <w:r w:rsidR="00E52D00">
        <w:t xml:space="preserve">to air pollution data </w:t>
      </w:r>
      <w:r w:rsidR="007024A6" w:rsidRPr="00004DBE">
        <w:t>(</w:t>
      </w:r>
      <w:proofErr w:type="spellStart"/>
      <w:r w:rsidR="007024A6" w:rsidRPr="00004DBE">
        <w:t>Tchepel</w:t>
      </w:r>
      <w:proofErr w:type="spellEnd"/>
      <w:r w:rsidR="007024A6" w:rsidRPr="00004DBE">
        <w:t xml:space="preserve"> and Borrego, 2010</w:t>
      </w:r>
      <w:r w:rsidR="00E52D00">
        <w:t>)</w:t>
      </w:r>
      <w:r w:rsidR="002F7423">
        <w:t>.</w:t>
      </w:r>
      <w:r w:rsidR="00E52D00">
        <w:t>Two large dataset</w:t>
      </w:r>
      <w:r w:rsidR="00606B23">
        <w:t>s</w:t>
      </w:r>
      <w:r w:rsidR="00E52D00">
        <w:t xml:space="preserve"> related to odour emissions from two treatment plants, collected with high</w:t>
      </w:r>
      <w:r w:rsidR="00A975BB">
        <w:t>-</w:t>
      </w:r>
      <w:r w:rsidR="00E52D00">
        <w:t xml:space="preserve">frequency automated Instrumental Odour monitoring systems (IOMS), were </w:t>
      </w:r>
      <w:r w:rsidR="0073380C">
        <w:t>employed</w:t>
      </w:r>
      <w:r w:rsidR="00E52D00">
        <w:t xml:space="preserve"> to study the PTM </w:t>
      </w:r>
      <w:r w:rsidR="00E565F6">
        <w:t xml:space="preserve">ratios </w:t>
      </w:r>
      <w:r w:rsidR="00E52D00">
        <w:t xml:space="preserve">and to </w:t>
      </w:r>
      <w:r w:rsidR="00A975BB">
        <w:t xml:space="preserve">develop </w:t>
      </w:r>
      <w:r w:rsidR="00A975BB" w:rsidRPr="00A975BB">
        <w:t>a methodology for time series analysis of odour con</w:t>
      </w:r>
      <w:r w:rsidR="00A975BB">
        <w:t>c</w:t>
      </w:r>
      <w:r w:rsidR="00A975BB" w:rsidRPr="00A975BB">
        <w:t>entrations in the frequency domain.</w:t>
      </w:r>
      <w:r w:rsidR="00052E70">
        <w:t xml:space="preserve"> First, a short description of the</w:t>
      </w:r>
      <w:r w:rsidR="000A327D">
        <w:t xml:space="preserve"> sites and the</w:t>
      </w:r>
      <w:r w:rsidR="00052E70">
        <w:t xml:space="preserve"> </w:t>
      </w:r>
      <w:r w:rsidR="000A327D">
        <w:t xml:space="preserve">integrated odour monitoring </w:t>
      </w:r>
      <w:r w:rsidR="00F64BAA">
        <w:t>s</w:t>
      </w:r>
      <w:r w:rsidR="000A327D">
        <w:t>ystem</w:t>
      </w:r>
      <w:r w:rsidR="00BB5524">
        <w:t xml:space="preserve">, comprised by IOMS and dedicated software platform for advanced data </w:t>
      </w:r>
      <w:r w:rsidR="00BB5524" w:rsidRPr="00906DBD">
        <w:t xml:space="preserve">analysis </w:t>
      </w:r>
      <w:r w:rsidR="000A327D" w:rsidRPr="00906DBD">
        <w:t>(</w:t>
      </w:r>
      <w:proofErr w:type="spellStart"/>
      <w:r w:rsidR="000A327D" w:rsidRPr="00906DBD">
        <w:t>Olysis</w:t>
      </w:r>
      <w:proofErr w:type="spellEnd"/>
      <w:r w:rsidR="000A327D" w:rsidRPr="00906DBD">
        <w:t>, T&amp;A)</w:t>
      </w:r>
      <w:r w:rsidR="000A327D">
        <w:t xml:space="preserve"> is </w:t>
      </w:r>
      <w:r w:rsidR="0073380C">
        <w:t>provided</w:t>
      </w:r>
      <w:r w:rsidR="000A327D">
        <w:t xml:space="preserve"> and then a brief description of the methodologies for data analysis is shown. Results are discussed in par. 3 as related to peak-to-mean analysis and spectral analysis for both plants.</w:t>
      </w:r>
    </w:p>
    <w:p w14:paraId="677EBFF0" w14:textId="2F706289" w:rsidR="00600535" w:rsidRPr="00B57B36" w:rsidRDefault="00CA30C1" w:rsidP="00600535">
      <w:pPr>
        <w:pStyle w:val="CETHeading1"/>
        <w:tabs>
          <w:tab w:val="clear" w:pos="360"/>
          <w:tab w:val="right" w:pos="7100"/>
        </w:tabs>
        <w:jc w:val="both"/>
        <w:rPr>
          <w:lang w:val="en-GB"/>
        </w:rPr>
      </w:pPr>
      <w:r>
        <w:rPr>
          <w:lang w:val="en-GB"/>
        </w:rPr>
        <w:t>Instruments and methods</w:t>
      </w:r>
    </w:p>
    <w:p w14:paraId="04963A06" w14:textId="605C46EF" w:rsidR="00600535" w:rsidRPr="0013239A" w:rsidRDefault="00CA30C1" w:rsidP="0013239A">
      <w:pPr>
        <w:pStyle w:val="CETheadingx"/>
      </w:pPr>
      <w:r w:rsidRPr="0013239A">
        <w:t>Site descriptions</w:t>
      </w:r>
    </w:p>
    <w:p w14:paraId="64DB9C9E" w14:textId="532ED9E0" w:rsidR="005177D5" w:rsidRPr="007024A6" w:rsidRDefault="00A56635" w:rsidP="00F27427">
      <w:pPr>
        <w:pStyle w:val="CETBodytext"/>
      </w:pPr>
      <w:r w:rsidRPr="007024A6">
        <w:t xml:space="preserve">The first site is </w:t>
      </w:r>
      <w:r w:rsidR="0073380C">
        <w:t xml:space="preserve">a </w:t>
      </w:r>
      <w:r w:rsidRPr="007024A6">
        <w:t>composting plan</w:t>
      </w:r>
      <w:r w:rsidR="00701059" w:rsidRPr="007024A6">
        <w:t>t</w:t>
      </w:r>
      <w:r w:rsidR="00641205" w:rsidRPr="007024A6">
        <w:t xml:space="preserve"> </w:t>
      </w:r>
      <w:r w:rsidRPr="007024A6">
        <w:t>located in Puglia</w:t>
      </w:r>
      <w:r w:rsidR="007024A6" w:rsidRPr="007024A6">
        <w:t xml:space="preserve">, </w:t>
      </w:r>
      <w:r w:rsidRPr="007024A6">
        <w:t>with a</w:t>
      </w:r>
      <w:r w:rsidR="00701059" w:rsidRPr="007024A6">
        <w:t xml:space="preserve"> </w:t>
      </w:r>
      <w:r w:rsidRPr="007024A6">
        <w:t xml:space="preserve">total capacity </w:t>
      </w:r>
      <w:r w:rsidR="00701059" w:rsidRPr="007024A6">
        <w:t xml:space="preserve">of 91.000 ton/y, equipped with two monitoring stations for </w:t>
      </w:r>
      <w:proofErr w:type="spellStart"/>
      <w:r w:rsidR="00B3072A">
        <w:t>odour</w:t>
      </w:r>
      <w:proofErr w:type="spellEnd"/>
      <w:r w:rsidR="00701059" w:rsidRPr="007024A6">
        <w:t xml:space="preserve"> monitoring, </w:t>
      </w:r>
      <w:r w:rsidR="00F27427" w:rsidRPr="007024A6">
        <w:t xml:space="preserve">located within the perimeter of the installation, the first being along the northern border, close to the entrance, </w:t>
      </w:r>
      <w:r w:rsidR="0073380C">
        <w:t xml:space="preserve">whereas </w:t>
      </w:r>
      <w:r w:rsidR="00F27427" w:rsidRPr="007024A6">
        <w:t xml:space="preserve">the second </w:t>
      </w:r>
      <w:r w:rsidR="0073380C">
        <w:t>is adjacent to</w:t>
      </w:r>
      <w:r w:rsidR="00F27427" w:rsidRPr="007024A6">
        <w:t xml:space="preserve"> the southern border, close to the entrance</w:t>
      </w:r>
      <w:r w:rsidR="00906DBD" w:rsidRPr="007024A6">
        <w:t xml:space="preserve"> of</w:t>
      </w:r>
      <w:r w:rsidR="00F27427" w:rsidRPr="007024A6">
        <w:t xml:space="preserve"> </w:t>
      </w:r>
      <w:proofErr w:type="spellStart"/>
      <w:r w:rsidR="00F27427" w:rsidRPr="007024A6">
        <w:t>Builiding</w:t>
      </w:r>
      <w:proofErr w:type="spellEnd"/>
      <w:r w:rsidR="00F27427" w:rsidRPr="007024A6">
        <w:t xml:space="preserve"> #3</w:t>
      </w:r>
      <w:r w:rsidR="00E565F6">
        <w:t>:</w:t>
      </w:r>
      <w:r w:rsidR="005177D5" w:rsidRPr="007024A6">
        <w:t xml:space="preserve"> </w:t>
      </w:r>
      <w:r w:rsidR="00E565F6">
        <w:t>i</w:t>
      </w:r>
      <w:r w:rsidR="005177D5" w:rsidRPr="007024A6">
        <w:t>n this building</w:t>
      </w:r>
      <w:r w:rsidR="00F27427" w:rsidRPr="007024A6">
        <w:t xml:space="preserve"> organic wastes are unloaded in the receiving pit, pre-treated mechanically and </w:t>
      </w:r>
      <w:r w:rsidR="0073380C">
        <w:t xml:space="preserve">then </w:t>
      </w:r>
      <w:r w:rsidR="00F27427" w:rsidRPr="007024A6">
        <w:t xml:space="preserve">undergo the first phase of </w:t>
      </w:r>
      <w:r w:rsidR="005177D5" w:rsidRPr="007024A6">
        <w:t>biological treatment</w:t>
      </w:r>
      <w:r w:rsidR="00F27427" w:rsidRPr="007024A6">
        <w:t xml:space="preserve"> consisting in </w:t>
      </w:r>
      <w:r w:rsidR="005177D5" w:rsidRPr="007024A6">
        <w:t xml:space="preserve">Active Composting in which wastes are set in six </w:t>
      </w:r>
      <w:r w:rsidR="00A253CE" w:rsidRPr="007024A6">
        <w:t>windrows</w:t>
      </w:r>
      <w:r w:rsidR="005177D5" w:rsidRPr="007024A6">
        <w:t xml:space="preserve"> for the first 6 weeks of treatment, each wi</w:t>
      </w:r>
      <w:r w:rsidR="007024A6" w:rsidRPr="007024A6">
        <w:t>n</w:t>
      </w:r>
      <w:r w:rsidR="005177D5" w:rsidRPr="007024A6">
        <w:t xml:space="preserve">drow made of the wastes received </w:t>
      </w:r>
      <w:r w:rsidR="005A627B" w:rsidRPr="007024A6">
        <w:t>during</w:t>
      </w:r>
      <w:r w:rsidR="005177D5" w:rsidRPr="007024A6">
        <w:t xml:space="preserve"> a working week. </w:t>
      </w:r>
      <w:r w:rsidR="00144819">
        <w:t>The compositing plant has two emission points (</w:t>
      </w:r>
      <w:r w:rsidR="00F64BAA">
        <w:t>E1, E2</w:t>
      </w:r>
      <w:r w:rsidR="00144819">
        <w:t xml:space="preserve">) </w:t>
      </w:r>
      <w:r w:rsidR="00A066DC">
        <w:t>from stacks</w:t>
      </w:r>
      <w:r w:rsidR="0020524D">
        <w:t xml:space="preserve">. </w:t>
      </w:r>
      <w:r w:rsidR="005106BA" w:rsidRPr="007024A6">
        <w:t xml:space="preserve">The landfill site </w:t>
      </w:r>
      <w:r w:rsidR="001308E5" w:rsidRPr="007024A6">
        <w:t xml:space="preserve">was described elsewhere (Cangialosi et al, 2018): two monitoring stations were installed along the northern border, close </w:t>
      </w:r>
      <w:r w:rsidR="00144819">
        <w:t xml:space="preserve">(20 m) </w:t>
      </w:r>
      <w:r w:rsidR="001308E5" w:rsidRPr="007024A6">
        <w:t xml:space="preserve">to </w:t>
      </w:r>
      <w:r w:rsidR="0073380C">
        <w:t>the daily landfilling area</w:t>
      </w:r>
      <w:r w:rsidR="005A627B" w:rsidRPr="007024A6">
        <w:t xml:space="preserve"> (Lotto 2)</w:t>
      </w:r>
      <w:r w:rsidR="00EF7F18" w:rsidRPr="007024A6">
        <w:t>,</w:t>
      </w:r>
      <w:r w:rsidR="00144819">
        <w:t xml:space="preserve"> whose extension is 110.000 m</w:t>
      </w:r>
      <w:r w:rsidR="00144819">
        <w:rPr>
          <w:vertAlign w:val="superscript"/>
        </w:rPr>
        <w:t>2</w:t>
      </w:r>
      <w:r w:rsidR="00EF7F18" w:rsidRPr="007024A6">
        <w:t xml:space="preserve"> and along the southern border</w:t>
      </w:r>
      <w:r w:rsidR="00D15E17" w:rsidRPr="007024A6">
        <w:t>, 1</w:t>
      </w:r>
      <w:r w:rsidR="00DE6331">
        <w:t>3</w:t>
      </w:r>
      <w:r w:rsidR="0020524D">
        <w:t>00</w:t>
      </w:r>
      <w:r w:rsidR="0073380C">
        <w:t xml:space="preserve"> </w:t>
      </w:r>
      <w:r w:rsidR="00D15E17" w:rsidRPr="007024A6">
        <w:t xml:space="preserve">m </w:t>
      </w:r>
      <w:r w:rsidR="0073380C">
        <w:t>away</w:t>
      </w:r>
      <w:r w:rsidR="00D15E17" w:rsidRPr="007024A6">
        <w:t xml:space="preserve"> from the </w:t>
      </w:r>
      <w:r w:rsidR="005A627B" w:rsidRPr="007024A6">
        <w:t>that zone</w:t>
      </w:r>
      <w:r w:rsidR="008C58E4" w:rsidRPr="007024A6">
        <w:t>.</w:t>
      </w:r>
    </w:p>
    <w:p w14:paraId="358268BC" w14:textId="673CDFB6" w:rsidR="00CA30C1" w:rsidRPr="0013239A" w:rsidRDefault="0024060C" w:rsidP="0013239A">
      <w:pPr>
        <w:pStyle w:val="CETheadingx"/>
      </w:pPr>
      <w:r w:rsidRPr="0013239A">
        <w:t>Instruments and d</w:t>
      </w:r>
      <w:r w:rsidR="00CA30C1" w:rsidRPr="0013239A">
        <w:t>ata processing</w:t>
      </w:r>
    </w:p>
    <w:p w14:paraId="15A76BF8" w14:textId="74EFD3E0" w:rsidR="0024060C" w:rsidRDefault="0024060C" w:rsidP="0013239A">
      <w:pPr>
        <w:pStyle w:val="CETheadingx"/>
        <w:numPr>
          <w:ilvl w:val="0"/>
          <w:numId w:val="0"/>
        </w:numPr>
      </w:pPr>
      <w:r>
        <w:t>Instruments</w:t>
      </w:r>
    </w:p>
    <w:p w14:paraId="07CE7FC1" w14:textId="19F63166" w:rsidR="004679EF" w:rsidRPr="00243A5B" w:rsidRDefault="0024060C" w:rsidP="004679EF">
      <w:pPr>
        <w:pStyle w:val="CETBodytext"/>
      </w:pPr>
      <w:r>
        <w:t xml:space="preserve">Each monitoring station for the two sites </w:t>
      </w:r>
      <w:r w:rsidR="0073380C">
        <w:t>consists of</w:t>
      </w:r>
      <w:r w:rsidR="005177D5" w:rsidRPr="005106BA">
        <w:t xml:space="preserve"> an IOMS (MSEM32® by </w:t>
      </w:r>
      <w:proofErr w:type="spellStart"/>
      <w:r w:rsidR="005177D5" w:rsidRPr="005106BA">
        <w:t>Sensigent</w:t>
      </w:r>
      <w:proofErr w:type="spellEnd"/>
      <w:r w:rsidR="005177D5" w:rsidRPr="005106BA">
        <w:t>, Cal.), an automatic air sampler (</w:t>
      </w:r>
      <w:proofErr w:type="spellStart"/>
      <w:r w:rsidR="00B3072A">
        <w:t>Odour</w:t>
      </w:r>
      <w:r w:rsidR="005177D5" w:rsidRPr="005106BA">
        <w:t>Prep</w:t>
      </w:r>
      <w:proofErr w:type="spellEnd"/>
      <w:r w:rsidR="005177D5" w:rsidRPr="005106BA">
        <w:t>®</w:t>
      </w:r>
      <w:r w:rsidR="005106BA">
        <w:t>,</w:t>
      </w:r>
      <w:r w:rsidR="005177D5" w:rsidRPr="005106BA">
        <w:t xml:space="preserve"> by </w:t>
      </w:r>
      <w:proofErr w:type="spellStart"/>
      <w:r w:rsidR="005177D5" w:rsidRPr="005106BA">
        <w:t>Labservice</w:t>
      </w:r>
      <w:proofErr w:type="spellEnd"/>
      <w:r w:rsidR="005177D5" w:rsidRPr="005106BA">
        <w:t xml:space="preserve"> Analytica), an automatic management system (</w:t>
      </w:r>
      <w:proofErr w:type="spellStart"/>
      <w:r w:rsidR="00B3072A">
        <w:t>Odour</w:t>
      </w:r>
      <w:r w:rsidR="005177D5" w:rsidRPr="005106BA">
        <w:t>Sens</w:t>
      </w:r>
      <w:proofErr w:type="spellEnd"/>
      <w:r w:rsidR="005177D5" w:rsidRPr="005106BA">
        <w:t xml:space="preserve">®, by </w:t>
      </w:r>
      <w:proofErr w:type="spellStart"/>
      <w:r w:rsidR="005177D5" w:rsidRPr="00C9105B">
        <w:t>Labservice</w:t>
      </w:r>
      <w:proofErr w:type="spellEnd"/>
      <w:r w:rsidR="005177D5" w:rsidRPr="00C9105B">
        <w:t xml:space="preserve"> Analytica) and a platform for data analysis (</w:t>
      </w:r>
      <w:proofErr w:type="spellStart"/>
      <w:r w:rsidR="005177D5" w:rsidRPr="00C9105B">
        <w:t>Olysis</w:t>
      </w:r>
      <w:proofErr w:type="spellEnd"/>
      <w:r w:rsidR="005177D5" w:rsidRPr="00C9105B">
        <w:t>, T&amp;A).</w:t>
      </w:r>
      <w:r w:rsidR="007024A6" w:rsidRPr="00C9105B">
        <w:t xml:space="preserve"> </w:t>
      </w:r>
      <w:r w:rsidR="005177D5" w:rsidRPr="00C9105B">
        <w:t xml:space="preserve">IOMS </w:t>
      </w:r>
      <w:r w:rsidR="005106BA" w:rsidRPr="00C9105B">
        <w:t xml:space="preserve">is a </w:t>
      </w:r>
      <w:r w:rsidRPr="00C9105B">
        <w:t xml:space="preserve">32-channel </w:t>
      </w:r>
      <w:proofErr w:type="spellStart"/>
      <w:r w:rsidRPr="00C9105B">
        <w:t>multisensor</w:t>
      </w:r>
      <w:proofErr w:type="spellEnd"/>
      <w:r w:rsidR="00C220AA" w:rsidRPr="00C9105B">
        <w:t>, trained</w:t>
      </w:r>
      <w:r w:rsidR="00C220AA">
        <w:t xml:space="preserve"> with several samples collected in the sites in the range of concentration 20-2000 </w:t>
      </w:r>
      <w:proofErr w:type="spellStart"/>
      <w:r w:rsidR="00C220AA">
        <w:t>ouE</w:t>
      </w:r>
      <w:proofErr w:type="spellEnd"/>
      <w:r w:rsidR="00C220AA">
        <w:t>/m</w:t>
      </w:r>
      <w:r w:rsidR="00C220AA" w:rsidRPr="00E77958">
        <w:rPr>
          <w:vertAlign w:val="superscript"/>
        </w:rPr>
        <w:t>3</w:t>
      </w:r>
      <w:r w:rsidR="00C220AA">
        <w:t xml:space="preserve">. </w:t>
      </w:r>
      <w:r w:rsidR="00F64BAA">
        <w:t>The field validation of IOMS, after the training periods (February -October 2018 for the landfill, May -</w:t>
      </w:r>
      <w:r w:rsidR="00BE2257">
        <w:t xml:space="preserve"> </w:t>
      </w:r>
      <w:r w:rsidR="00F64BAA">
        <w:t xml:space="preserve">August 2019 for the composting plant), was carried out according the </w:t>
      </w:r>
      <w:proofErr w:type="spellStart"/>
      <w:r w:rsidR="00BE2257">
        <w:t>italian</w:t>
      </w:r>
      <w:proofErr w:type="spellEnd"/>
      <w:r w:rsidR="00BE2257">
        <w:t xml:space="preserve"> technical standard </w:t>
      </w:r>
      <w:r w:rsidR="00F64BAA">
        <w:t>UNI 11761:2019, showing values for the “</w:t>
      </w:r>
      <w:proofErr w:type="gramStart"/>
      <w:r w:rsidR="00F64BAA" w:rsidRPr="00243A5B">
        <w:rPr>
          <w:i/>
          <w:iCs/>
        </w:rPr>
        <w:t>I</w:t>
      </w:r>
      <w:r w:rsidR="00F64BAA">
        <w:rPr>
          <w:i/>
          <w:iCs/>
        </w:rPr>
        <w:t>“</w:t>
      </w:r>
      <w:r w:rsidR="00BE2257">
        <w:rPr>
          <w:i/>
          <w:iCs/>
        </w:rPr>
        <w:t xml:space="preserve"> </w:t>
      </w:r>
      <w:r w:rsidR="00F64BAA" w:rsidRPr="00243A5B">
        <w:t>parameter</w:t>
      </w:r>
      <w:proofErr w:type="gramEnd"/>
      <w:r w:rsidR="00F64BAA">
        <w:t xml:space="preserve"> of 98.8 and 97.5 for the landfill and composting plant, respectively</w:t>
      </w:r>
      <w:r w:rsidR="00BE2257">
        <w:t>, whereas</w:t>
      </w:r>
      <w:r w:rsidR="00F64BAA">
        <w:t xml:space="preserve"> the </w:t>
      </w:r>
      <w:r w:rsidR="00F64BAA" w:rsidRPr="00243A5B">
        <w:rPr>
          <w:i/>
          <w:iCs/>
        </w:rPr>
        <w:t xml:space="preserve">I </w:t>
      </w:r>
      <w:r w:rsidR="00F64BAA" w:rsidRPr="00243A5B">
        <w:t>parameter</w:t>
      </w:r>
      <w:r w:rsidR="00F64BAA" w:rsidRPr="00243A5B">
        <w:rPr>
          <w:i/>
          <w:iCs/>
        </w:rPr>
        <w:t xml:space="preserve"> </w:t>
      </w:r>
      <w:r w:rsidR="00F64BAA">
        <w:t xml:space="preserve">should be greater than 80 for a </w:t>
      </w:r>
      <w:r w:rsidR="00F64BAA" w:rsidRPr="00243A5B">
        <w:t>good in field validation.</w:t>
      </w:r>
      <w:r w:rsidR="00F64BAA">
        <w:t xml:space="preserve"> </w:t>
      </w:r>
      <w:r w:rsidR="00C220AA">
        <w:t>For the landfill, the instruments were set to a sampling rate of 0.033 Hz, except</w:t>
      </w:r>
      <w:r w:rsidR="0073380C">
        <w:t xml:space="preserve"> for</w:t>
      </w:r>
      <w:r w:rsidR="00C220AA">
        <w:t xml:space="preserve"> the time period from where the sampling rate was doubled</w:t>
      </w:r>
      <w:r w:rsidR="0073380C">
        <w:t xml:space="preserve"> in order to</w:t>
      </w:r>
      <w:r w:rsidR="00C220AA">
        <w:t xml:space="preserve"> study the influence of such aspect in the calculations of statistical parameters of data distribution. For the composting plant, continuous monitoring started on May</w:t>
      </w:r>
      <w:r w:rsidR="00F64BAA">
        <w:t xml:space="preserve"> 2019</w:t>
      </w:r>
      <w:r w:rsidR="004679EF">
        <w:t xml:space="preserve">; </w:t>
      </w:r>
      <w:r w:rsidR="00775E82">
        <w:t>t</w:t>
      </w:r>
      <w:r w:rsidR="00C220AA">
        <w:t xml:space="preserve">he monitoring stations are located at the northern and southern borders of the installation, even though the southern station is close to the pre-treatment and composting building, so that it is referred </w:t>
      </w:r>
      <w:r w:rsidR="0073380C">
        <w:t>as</w:t>
      </w:r>
      <w:r w:rsidR="00C220AA">
        <w:t xml:space="preserve"> “inner station”, while the northern station is referred </w:t>
      </w:r>
      <w:r w:rsidR="0073380C">
        <w:t>as</w:t>
      </w:r>
      <w:r w:rsidR="00C220AA">
        <w:t xml:space="preserve"> “fence station”.</w:t>
      </w:r>
      <w:r w:rsidR="0020524D">
        <w:t xml:space="preserve"> The first emission point (E1) is located 185 m and 100 m from the inner station and fence station, respectively, whereas the second emission point (E2) is located 230 m and 70 m from the inner station and fence station, respectively.</w:t>
      </w:r>
      <w:r w:rsidR="004679EF">
        <w:t xml:space="preserve"> </w:t>
      </w:r>
    </w:p>
    <w:p w14:paraId="7B183559" w14:textId="0A4FB6A9" w:rsidR="00CA30C1" w:rsidRDefault="00CA30C1" w:rsidP="0013239A">
      <w:pPr>
        <w:pStyle w:val="CETheadingx"/>
        <w:numPr>
          <w:ilvl w:val="0"/>
          <w:numId w:val="0"/>
        </w:numPr>
      </w:pPr>
      <w:r>
        <w:t>Peak-to-mean analysis</w:t>
      </w:r>
    </w:p>
    <w:p w14:paraId="10D3D7F4" w14:textId="661AC6DF" w:rsidR="00FA3307" w:rsidRDefault="00312DD8" w:rsidP="00CA30C1">
      <w:pPr>
        <w:pStyle w:val="CETBodytext"/>
      </w:pPr>
      <w:r>
        <w:t xml:space="preserve">For </w:t>
      </w:r>
      <w:r w:rsidR="0073380C">
        <w:t xml:space="preserve">the </w:t>
      </w:r>
      <w:r>
        <w:t>landfill</w:t>
      </w:r>
      <w:r w:rsidR="0073380C">
        <w:t xml:space="preserve"> site</w:t>
      </w:r>
      <w:r>
        <w:t xml:space="preserve"> the monitoring period considered in the present study </w:t>
      </w:r>
      <w:r w:rsidR="00D32FC1">
        <w:t>i</w:t>
      </w:r>
      <w:r>
        <w:t xml:space="preserve">s from May to December 2019, while for the composting plant </w:t>
      </w:r>
      <w:r w:rsidR="00D32FC1">
        <w:t>a</w:t>
      </w:r>
      <w:r>
        <w:t xml:space="preserve"> 9-month </w:t>
      </w:r>
      <w:r w:rsidR="00D32FC1">
        <w:t>dataset</w:t>
      </w:r>
      <w:r>
        <w:t xml:space="preserve"> (from May 2019 to January 2020) </w:t>
      </w:r>
      <w:r w:rsidR="00D32FC1">
        <w:t>is</w:t>
      </w:r>
      <w:r>
        <w:t xml:space="preserve"> considered. </w:t>
      </w:r>
      <w:r w:rsidR="005E24C5">
        <w:t xml:space="preserve">All the variables calculated are the ratios between a certain statistic of the concentrations distribution in a given averaging-time and the mean of the concentrations averaged </w:t>
      </w:r>
      <w:r w:rsidR="00F64BAA">
        <w:t>throughout</w:t>
      </w:r>
      <w:r w:rsidR="005E24C5">
        <w:t xml:space="preserve"> such time, which, in turn, is related to regulatory limits: </w:t>
      </w:r>
      <w:r w:rsidR="00F64BAA">
        <w:t>here</w:t>
      </w:r>
      <w:r w:rsidR="005E24C5">
        <w:t xml:space="preserve"> we consider the case of an averaging time of 1 hour</w:t>
      </w:r>
      <w:r w:rsidR="00C9105B">
        <w:t>,</w:t>
      </w:r>
      <w:r w:rsidR="005E24C5">
        <w:t xml:space="preserve"> used as a reference value since meteorological data used for modelling </w:t>
      </w:r>
      <w:proofErr w:type="spellStart"/>
      <w:r w:rsidR="00B3072A">
        <w:t>odour</w:t>
      </w:r>
      <w:proofErr w:type="spellEnd"/>
      <w:r w:rsidR="005E24C5">
        <w:t xml:space="preserve"> dispersion are on</w:t>
      </w:r>
      <w:r w:rsidR="00D32FC1">
        <w:t xml:space="preserve"> an</w:t>
      </w:r>
      <w:r w:rsidR="005E24C5">
        <w:t xml:space="preserve"> hourly base.</w:t>
      </w:r>
      <w:r w:rsidR="00F64BAA">
        <w:t xml:space="preserve"> </w:t>
      </w:r>
      <w:r w:rsidR="00FA3307">
        <w:t xml:space="preserve">First the “concentration intensity” </w:t>
      </w:r>
      <w:proofErr w:type="spellStart"/>
      <w:r w:rsidR="00FA3307">
        <w:t>i</w:t>
      </w:r>
      <w:r w:rsidR="00FA3307" w:rsidRPr="00524CD5">
        <w:rPr>
          <w:vertAlign w:val="subscript"/>
        </w:rPr>
        <w:t>c</w:t>
      </w:r>
      <w:proofErr w:type="spellEnd"/>
      <w:r w:rsidR="00FA3307">
        <w:t>, ratio between the standard deviation of the data collected by the instrument in each hour and hourly-averaged concentration was calculated</w:t>
      </w:r>
      <w:r w:rsidR="00524CD5">
        <w:t xml:space="preserve"> for each hour (j)</w:t>
      </w:r>
      <w:r w:rsidR="00FA3307">
        <w:t>:</w:t>
      </w:r>
    </w:p>
    <w:tbl>
      <w:tblPr>
        <w:tblW w:w="5000" w:type="pct"/>
        <w:tblLook w:val="04A0" w:firstRow="1" w:lastRow="0" w:firstColumn="1" w:lastColumn="0" w:noHBand="0" w:noVBand="1"/>
      </w:tblPr>
      <w:tblGrid>
        <w:gridCol w:w="7983"/>
        <w:gridCol w:w="804"/>
      </w:tblGrid>
      <w:tr w:rsidR="00FA3307" w:rsidRPr="00B57B36" w14:paraId="67F913C1" w14:textId="77777777" w:rsidTr="00665401">
        <w:tc>
          <w:tcPr>
            <w:tcW w:w="7983" w:type="dxa"/>
            <w:shd w:val="clear" w:color="auto" w:fill="auto"/>
            <w:vAlign w:val="center"/>
          </w:tcPr>
          <w:p w14:paraId="52816EA3" w14:textId="6BD0E751" w:rsidR="00FA3307" w:rsidRPr="00665401" w:rsidRDefault="00B05648" w:rsidP="00665401">
            <w:pPr>
              <w:pStyle w:val="CETEquation"/>
            </w:pPr>
            <m:oMathPara>
              <m:oMathParaPr>
                <m:jc m:val="left"/>
              </m:oMathParaPr>
              <m:oMath>
                <m:sSub>
                  <m:sSubPr>
                    <m:ctrlPr>
                      <w:rPr>
                        <w:rFonts w:ascii="Cambria Math" w:hAnsi="Cambria Math"/>
                        <w:i/>
                      </w:rPr>
                    </m:ctrlPr>
                  </m:sSubPr>
                  <m:e>
                    <m:r>
                      <w:rPr>
                        <w:rFonts w:ascii="Cambria Math" w:hAnsi="Cambria Math"/>
                      </w:rPr>
                      <m:t>i</m:t>
                    </m:r>
                  </m:e>
                  <m:sub>
                    <m:r>
                      <w:rPr>
                        <w:rFonts w:ascii="Cambria Math" w:hAnsi="Cambria Math"/>
                      </w:rPr>
                      <m:t>c</m:t>
                    </m:r>
                  </m:sub>
                </m:sSub>
                <m:d>
                  <m:dPr>
                    <m:ctrlPr>
                      <w:rPr>
                        <w:rFonts w:ascii="Cambria Math" w:hAnsi="Cambria Math"/>
                        <w:i/>
                      </w:rPr>
                    </m:ctrlPr>
                  </m:dPr>
                  <m:e>
                    <m:r>
                      <w:rPr>
                        <w:rFonts w:ascii="Cambria Math" w:hAnsi="Cambria Math"/>
                      </w:rPr>
                      <m:t>j</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c</m:t>
                        </m:r>
                      </m:sub>
                    </m:sSub>
                    <m:r>
                      <w:rPr>
                        <w:rFonts w:ascii="Cambria Math" w:hAnsi="Cambria Math"/>
                      </w:rPr>
                      <m:t>(j)</m:t>
                    </m:r>
                  </m:num>
                  <m:den>
                    <m:acc>
                      <m:accPr>
                        <m:chr m:val="̅"/>
                        <m:ctrlPr>
                          <w:rPr>
                            <w:rFonts w:ascii="Cambria Math" w:hAnsi="Cambria Math"/>
                            <w:i/>
                          </w:rPr>
                        </m:ctrlPr>
                      </m:accPr>
                      <m:e>
                        <m:r>
                          <w:rPr>
                            <w:rFonts w:ascii="Cambria Math" w:hAnsi="Cambria Math"/>
                          </w:rPr>
                          <m:t>C</m:t>
                        </m:r>
                      </m:e>
                    </m:acc>
                    <m:r>
                      <w:rPr>
                        <w:rFonts w:ascii="Cambria Math" w:hAnsi="Cambria Math"/>
                      </w:rPr>
                      <m:t>(j)</m:t>
                    </m:r>
                  </m:den>
                </m:f>
              </m:oMath>
            </m:oMathPara>
          </w:p>
        </w:tc>
        <w:tc>
          <w:tcPr>
            <w:tcW w:w="804" w:type="dxa"/>
            <w:shd w:val="clear" w:color="auto" w:fill="auto"/>
            <w:vAlign w:val="center"/>
          </w:tcPr>
          <w:p w14:paraId="4A7E3D0E" w14:textId="77777777" w:rsidR="00FA3307" w:rsidRPr="00B57B36" w:rsidRDefault="00FA3307" w:rsidP="00A3168C">
            <w:pPr>
              <w:pStyle w:val="CETEquation"/>
              <w:jc w:val="right"/>
            </w:pPr>
            <w:r w:rsidRPr="00B57B36">
              <w:t>(1)</w:t>
            </w:r>
          </w:p>
        </w:tc>
      </w:tr>
    </w:tbl>
    <w:p w14:paraId="76E81CE4" w14:textId="154D15A9" w:rsidR="00FA3307" w:rsidRDefault="00524CD5" w:rsidP="00CA30C1">
      <w:pPr>
        <w:pStyle w:val="CETBodytext"/>
      </w:pPr>
      <w:r>
        <w:t xml:space="preserve">Then the </w:t>
      </w:r>
      <w:r w:rsidR="00C353BF">
        <w:t>peak-to-mean (PTM) r</w:t>
      </w:r>
      <w:r>
        <w:t>atio</w:t>
      </w:r>
      <w:r w:rsidR="00C353BF">
        <w:t xml:space="preserve"> </w:t>
      </w:r>
      <w:r w:rsidR="00D70F45">
        <w:t xml:space="preserve">is </w:t>
      </w:r>
      <w:r w:rsidR="00C353BF">
        <w:t xml:space="preserve">defined as </w:t>
      </w:r>
      <w:r w:rsidR="00D70F45">
        <w:t>the ratio between the peak concentration</w:t>
      </w:r>
      <w:r w:rsidR="005E24C5">
        <w:t xml:space="preserve"> occurred in the averaging time,</w:t>
      </w:r>
      <w:r w:rsidR="00D70F45">
        <w:t xml:space="preserve"> measured by a high frequency instrument able to acquire data with </w:t>
      </w:r>
      <w:r w:rsidR="00E565F6">
        <w:t>high</w:t>
      </w:r>
      <w:r w:rsidR="00D70F45">
        <w:t xml:space="preserve"> sampling rate </w:t>
      </w:r>
      <w:r w:rsidR="00E565F6">
        <w:t>(</w:t>
      </w:r>
      <w:r w:rsidR="00D70F45">
        <w:t xml:space="preserve">in the order of </w:t>
      </w:r>
      <w:r w:rsidR="00D712AA">
        <w:t>0.2</w:t>
      </w:r>
      <w:r w:rsidR="00D70F45">
        <w:t xml:space="preserve"> Hz</w:t>
      </w:r>
      <w:r w:rsidR="00E565F6">
        <w:t xml:space="preserve">, </w:t>
      </w:r>
      <w:r w:rsidR="00D70F45">
        <w:t xml:space="preserve">being </w:t>
      </w:r>
      <w:proofErr w:type="gramStart"/>
      <w:r w:rsidR="00F64BAA">
        <w:t>5 s</w:t>
      </w:r>
      <w:proofErr w:type="gramEnd"/>
      <w:r w:rsidR="00F64BAA">
        <w:t xml:space="preserve"> </w:t>
      </w:r>
      <w:r w:rsidR="00D70F45">
        <w:t xml:space="preserve">the duration of a single human breathe) and the mean value calculated on a </w:t>
      </w:r>
      <w:r w:rsidR="005E24C5">
        <w:t>one-hour averaging time, for each hour (j) as follows:</w:t>
      </w:r>
    </w:p>
    <w:tbl>
      <w:tblPr>
        <w:tblW w:w="5000" w:type="pct"/>
        <w:tblLook w:val="04A0" w:firstRow="1" w:lastRow="0" w:firstColumn="1" w:lastColumn="0" w:noHBand="0" w:noVBand="1"/>
      </w:tblPr>
      <w:tblGrid>
        <w:gridCol w:w="7983"/>
        <w:gridCol w:w="804"/>
      </w:tblGrid>
      <w:tr w:rsidR="005E24C5" w:rsidRPr="00B57B36" w14:paraId="23E39A5F" w14:textId="77777777" w:rsidTr="00665401">
        <w:tc>
          <w:tcPr>
            <w:tcW w:w="7983" w:type="dxa"/>
            <w:shd w:val="clear" w:color="auto" w:fill="auto"/>
            <w:vAlign w:val="center"/>
          </w:tcPr>
          <w:p w14:paraId="2337C72D" w14:textId="300FA850" w:rsidR="005E24C5" w:rsidRPr="00665401" w:rsidRDefault="005E24C5" w:rsidP="00665401">
            <w:pPr>
              <w:pStyle w:val="CETEquation"/>
            </w:pPr>
            <m:oMathPara>
              <m:oMathParaPr>
                <m:jc m:val="left"/>
              </m:oMathParaPr>
              <m:oMath>
                <m:r>
                  <w:rPr>
                    <w:rFonts w:ascii="Cambria Math" w:hAnsi="Cambria Math"/>
                  </w:rPr>
                  <w:lastRenderedPageBreak/>
                  <m:t>PTM</m:t>
                </m:r>
                <m:d>
                  <m:dPr>
                    <m:ctrlPr>
                      <w:rPr>
                        <w:rFonts w:ascii="Cambria Math" w:hAnsi="Cambria Math"/>
                        <w:i/>
                      </w:rPr>
                    </m:ctrlPr>
                  </m:dPr>
                  <m:e>
                    <m:r>
                      <w:rPr>
                        <w:rFonts w:ascii="Cambria Math" w:hAnsi="Cambria Math"/>
                      </w:rPr>
                      <m:t>j</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(j)</m:t>
                    </m:r>
                  </m:num>
                  <m:den>
                    <m:acc>
                      <m:accPr>
                        <m:chr m:val="̅"/>
                        <m:ctrlPr>
                          <w:rPr>
                            <w:rFonts w:ascii="Cambria Math" w:hAnsi="Cambria Math"/>
                            <w:i/>
                          </w:rPr>
                        </m:ctrlPr>
                      </m:accPr>
                      <m:e>
                        <m:r>
                          <w:rPr>
                            <w:rFonts w:ascii="Cambria Math" w:hAnsi="Cambria Math"/>
                          </w:rPr>
                          <m:t>C</m:t>
                        </m:r>
                      </m:e>
                    </m:acc>
                    <m:r>
                      <w:rPr>
                        <w:rFonts w:ascii="Cambria Math" w:hAnsi="Cambria Math"/>
                      </w:rPr>
                      <m:t>(j)</m:t>
                    </m:r>
                  </m:den>
                </m:f>
              </m:oMath>
            </m:oMathPara>
          </w:p>
        </w:tc>
        <w:tc>
          <w:tcPr>
            <w:tcW w:w="804" w:type="dxa"/>
            <w:shd w:val="clear" w:color="auto" w:fill="auto"/>
            <w:vAlign w:val="center"/>
          </w:tcPr>
          <w:p w14:paraId="2DE0CB4A" w14:textId="0FF8374B" w:rsidR="005E24C5" w:rsidRPr="00B57B36" w:rsidRDefault="005E24C5" w:rsidP="00A3168C">
            <w:pPr>
              <w:pStyle w:val="CETEquation"/>
              <w:jc w:val="right"/>
            </w:pPr>
            <w:r w:rsidRPr="00B57B36">
              <w:t>(</w:t>
            </w:r>
            <w:r>
              <w:t>2</w:t>
            </w:r>
            <w:r w:rsidRPr="00B57B36">
              <w:t>)</w:t>
            </w:r>
          </w:p>
        </w:tc>
      </w:tr>
    </w:tbl>
    <w:p w14:paraId="28BB2D5F" w14:textId="099C812B" w:rsidR="00524CD5" w:rsidRDefault="0067692D" w:rsidP="00CA30C1">
      <w:pPr>
        <w:pStyle w:val="CETBodytext"/>
      </w:pPr>
      <w:r>
        <w:t>T</w:t>
      </w:r>
      <w:r w:rsidRPr="0067692D">
        <w:t xml:space="preserve">he results are underestimated vs </w:t>
      </w:r>
      <w:r>
        <w:t>the original definition of PTM (</w:t>
      </w:r>
      <w:proofErr w:type="spellStart"/>
      <w:r>
        <w:t>Schauberger</w:t>
      </w:r>
      <w:proofErr w:type="spellEnd"/>
      <w:r>
        <w:t xml:space="preserve"> et a, 2000) </w:t>
      </w:r>
      <w:r w:rsidRPr="0067692D">
        <w:t>due to instruments not able to</w:t>
      </w:r>
      <w:r>
        <w:t xml:space="preserve"> </w:t>
      </w:r>
      <w:r w:rsidR="001364C9">
        <w:t xml:space="preserve">acquire data with 0.2 Hz sampling frequency: for such </w:t>
      </w:r>
      <w:r w:rsidR="00FE5EB0">
        <w:t>reason</w:t>
      </w:r>
      <w:r w:rsidR="001364C9">
        <w:t xml:space="preserve"> the influence of the sampling frequency was examined </w:t>
      </w:r>
      <w:r w:rsidR="00BE2257">
        <w:t xml:space="preserve">- </w:t>
      </w:r>
      <w:r w:rsidR="001364C9">
        <w:t xml:space="preserve">by using 0.067 e 0.033 Hz </w:t>
      </w:r>
      <w:r w:rsidR="00BE2257">
        <w:t xml:space="preserve">- </w:t>
      </w:r>
      <w:r w:rsidR="001364C9">
        <w:t xml:space="preserve">and comparing the results in order to </w:t>
      </w:r>
      <w:r w:rsidR="005D5C7F">
        <w:t>establish</w:t>
      </w:r>
      <w:r w:rsidR="001364C9">
        <w:t xml:space="preserve"> to which </w:t>
      </w:r>
      <w:r w:rsidR="005D5C7F">
        <w:t>extent</w:t>
      </w:r>
      <w:r w:rsidR="001364C9">
        <w:t xml:space="preserve"> the </w:t>
      </w:r>
      <w:r w:rsidR="005D5C7F">
        <w:t>s</w:t>
      </w:r>
      <w:r w:rsidR="001364C9">
        <w:t>ampling rate affects the value of PTM</w:t>
      </w:r>
      <w:r w:rsidR="005D5C7F">
        <w:t xml:space="preserve"> both for near-field and far-field measurement points. </w:t>
      </w:r>
      <w:r w:rsidR="005E24C5">
        <w:t>A</w:t>
      </w:r>
      <w:r w:rsidR="005D5C7F">
        <w:t>s</w:t>
      </w:r>
      <w:r w:rsidR="005E24C5">
        <w:t xml:space="preserve"> suggested by </w:t>
      </w:r>
      <w:proofErr w:type="spellStart"/>
      <w:r w:rsidR="005E24C5">
        <w:t>Sozzi</w:t>
      </w:r>
      <w:proofErr w:type="spellEnd"/>
      <w:r w:rsidR="005E24C5">
        <w:t xml:space="preserve"> et al (2018), the 99</w:t>
      </w:r>
      <w:r w:rsidR="005E24C5" w:rsidRPr="005E24C5">
        <w:rPr>
          <w:vertAlign w:val="superscript"/>
        </w:rPr>
        <w:t>th</w:t>
      </w:r>
      <w:r w:rsidR="005E24C5">
        <w:t xml:space="preserve"> percentile was use</w:t>
      </w:r>
      <w:r w:rsidR="005D5C7F">
        <w:t>d</w:t>
      </w:r>
      <w:r w:rsidR="005E24C5">
        <w:t xml:space="preserve"> to calculate the peak concentration</w:t>
      </w:r>
      <w:r w:rsidR="00B71C43">
        <w:t>; a</w:t>
      </w:r>
      <w:r w:rsidR="00524CD5">
        <w:t xml:space="preserve"> </w:t>
      </w:r>
      <w:proofErr w:type="spellStart"/>
      <w:r w:rsidR="00524CD5">
        <w:t>M</w:t>
      </w:r>
      <w:r w:rsidR="00BE2257">
        <w:t>atlab</w:t>
      </w:r>
      <w:proofErr w:type="spellEnd"/>
      <w:r w:rsidR="00524CD5">
        <w:t xml:space="preserve"> code was written for data analysis, including statistical analysis, calculation of </w:t>
      </w:r>
      <w:r w:rsidR="00BE2257">
        <w:t>PTM</w:t>
      </w:r>
      <w:r w:rsidR="00B71C43">
        <w:t xml:space="preserve">, standard deviation </w:t>
      </w:r>
      <w:r w:rsidR="00524CD5">
        <w:t>and probability density functions of the variables</w:t>
      </w:r>
      <w:r w:rsidR="005D5C7F">
        <w:t>.</w:t>
      </w:r>
    </w:p>
    <w:p w14:paraId="13136F7F" w14:textId="7ADEB8C7" w:rsidR="00CA30C1" w:rsidRDefault="00CA30C1" w:rsidP="0013239A">
      <w:pPr>
        <w:pStyle w:val="CETheadingx"/>
        <w:numPr>
          <w:ilvl w:val="0"/>
          <w:numId w:val="0"/>
        </w:numPr>
      </w:pPr>
      <w:r>
        <w:t>Spectral analysis</w:t>
      </w:r>
    </w:p>
    <w:p w14:paraId="60C7F890" w14:textId="36BD5E4F" w:rsidR="00F20305" w:rsidRPr="00665401" w:rsidRDefault="00D74FFA" w:rsidP="00D74FFA">
      <w:pPr>
        <w:pStyle w:val="CETBodytext"/>
      </w:pPr>
      <w:r>
        <w:t xml:space="preserve">By observing the data during the monitoring period, it appeared that the </w:t>
      </w:r>
      <w:proofErr w:type="spellStart"/>
      <w:r w:rsidR="00B3072A">
        <w:t>odour</w:t>
      </w:r>
      <w:proofErr w:type="spellEnd"/>
      <w:r>
        <w:t xml:space="preserve"> concentration varied periodically on daily bas</w:t>
      </w:r>
      <w:r w:rsidR="0067692D">
        <w:t>is</w:t>
      </w:r>
      <w:r>
        <w:t xml:space="preserve"> for both sites</w:t>
      </w:r>
      <w:r w:rsidR="00BF5DCC">
        <w:t>, as</w:t>
      </w:r>
      <w:r>
        <w:t xml:space="preserve"> this is clearly associated with the daily operations of waste treatment and </w:t>
      </w:r>
      <w:r w:rsidR="00C9105B">
        <w:t>landfilling</w:t>
      </w:r>
      <w:r>
        <w:t xml:space="preserve"> occurring at both sites. In order to verify the significance of other </w:t>
      </w:r>
      <w:r w:rsidRPr="00CC4C10">
        <w:t xml:space="preserve">periodic </w:t>
      </w:r>
      <w:r w:rsidR="00C9105B" w:rsidRPr="00CC4C10">
        <w:t>behaviors</w:t>
      </w:r>
      <w:r w:rsidRPr="00CC4C10">
        <w:t xml:space="preserve"> and </w:t>
      </w:r>
      <w:r w:rsidR="00E77958" w:rsidRPr="00CC4C10">
        <w:t xml:space="preserve">gather </w:t>
      </w:r>
      <w:r w:rsidR="00E77958">
        <w:t>insights</w:t>
      </w:r>
      <w:r w:rsidR="00344DF9">
        <w:t xml:space="preserve"> </w:t>
      </w:r>
      <w:r w:rsidR="00E77958">
        <w:t>on</w:t>
      </w:r>
      <w:r w:rsidRPr="00CC4C10">
        <w:t xml:space="preserve"> temporal</w:t>
      </w:r>
      <w:r w:rsidR="00581CF7" w:rsidRPr="00CC4C10">
        <w:t xml:space="preserve"> scales of mechanisms causing </w:t>
      </w:r>
      <w:proofErr w:type="spellStart"/>
      <w:r w:rsidR="00B3072A">
        <w:t>odour</w:t>
      </w:r>
      <w:proofErr w:type="spellEnd"/>
      <w:r w:rsidR="00581CF7" w:rsidRPr="00CC4C10">
        <w:t xml:space="preserve"> emissions during waste treatment, </w:t>
      </w:r>
      <w:r w:rsidRPr="00CC4C10">
        <w:t xml:space="preserve">spectral analysis </w:t>
      </w:r>
      <w:r w:rsidR="00581CF7" w:rsidRPr="00CC4C10">
        <w:t>was</w:t>
      </w:r>
      <w:r w:rsidRPr="00CC4C10">
        <w:t xml:space="preserve"> </w:t>
      </w:r>
      <w:r w:rsidR="00615587">
        <w:t>carried out</w:t>
      </w:r>
      <w:r w:rsidR="00A975BB" w:rsidRPr="00CC4C10">
        <w:t>, according to the following method.</w:t>
      </w:r>
      <w:r w:rsidR="005F56CA" w:rsidRPr="00CC4C10">
        <w:t xml:space="preserve"> </w:t>
      </w:r>
      <w:r w:rsidR="00A975BB" w:rsidRPr="00CC4C10">
        <w:t>Pre-processing of the original time series is necessary prior to their analysis: first the missing data in the time series were computed by interpolation from the adjacent non-missing points</w:t>
      </w:r>
      <w:r w:rsidR="00D712AA">
        <w:t>,</w:t>
      </w:r>
      <w:r w:rsidR="00A975BB" w:rsidRPr="00CC4C10">
        <w:t xml:space="preserve"> </w:t>
      </w:r>
      <w:r w:rsidR="00D712AA">
        <w:t>t</w:t>
      </w:r>
      <w:r w:rsidR="00A975BB" w:rsidRPr="00CC4C10">
        <w:t>hen the overall mean is subtracted from the series.</w:t>
      </w:r>
      <w:r w:rsidR="00052E70">
        <w:t xml:space="preserve"> </w:t>
      </w:r>
      <w:r w:rsidR="000449C1" w:rsidRPr="00CC4C10">
        <w:t xml:space="preserve">The frequency components in a time-varying signal can be isolated by using </w:t>
      </w:r>
      <w:r w:rsidR="00C9105B">
        <w:t>F</w:t>
      </w:r>
      <w:r w:rsidR="000449C1" w:rsidRPr="00CC4C10">
        <w:t>ourier transform</w:t>
      </w:r>
      <w:r w:rsidR="00C9105B">
        <w:t>:</w:t>
      </w:r>
      <w:r w:rsidR="000449C1" w:rsidRPr="00CC4C10">
        <w:t xml:space="preserve"> </w:t>
      </w:r>
      <w:r w:rsidR="00C9105B">
        <w:t>i</w:t>
      </w:r>
      <w:r w:rsidR="000449C1" w:rsidRPr="00CC4C10">
        <w:t>n this study, the fast Fourier transform (FFT) is employed to detect the common periodicities to study the variance in the frequency-domain and to identify which frequencies are more important to the variability of the time series.</w:t>
      </w:r>
      <w:r w:rsidR="00052E70">
        <w:t xml:space="preserve"> </w:t>
      </w:r>
      <w:r w:rsidR="000449C1" w:rsidRPr="00CC4C10">
        <w:t xml:space="preserve">The variable </w:t>
      </w:r>
      <w:proofErr w:type="spellStart"/>
      <w:r w:rsidR="000449C1" w:rsidRPr="002F2BBB">
        <w:rPr>
          <w:i/>
          <w:iCs/>
        </w:rPr>
        <w:t>c</w:t>
      </w:r>
      <w:r w:rsidR="00FB49DA" w:rsidRPr="002F2BBB">
        <w:rPr>
          <w:i/>
          <w:iCs/>
          <w:vertAlign w:val="subscript"/>
        </w:rPr>
        <w:t>j</w:t>
      </w:r>
      <w:proofErr w:type="spellEnd"/>
      <w:r w:rsidR="000449C1" w:rsidRPr="002F2BBB">
        <w:rPr>
          <w:i/>
          <w:iCs/>
        </w:rPr>
        <w:t xml:space="preserve"> </w:t>
      </w:r>
      <w:r w:rsidR="000449C1" w:rsidRPr="00CC4C10">
        <w:t>(</w:t>
      </w:r>
      <w:proofErr w:type="spellStart"/>
      <w:r w:rsidR="000449C1" w:rsidRPr="00CC4C10">
        <w:t>odour</w:t>
      </w:r>
      <w:proofErr w:type="spellEnd"/>
      <w:r w:rsidR="000449C1" w:rsidRPr="00CC4C10">
        <w:t xml:space="preserve"> </w:t>
      </w:r>
      <w:r w:rsidR="00052E70" w:rsidRPr="00CC4C10">
        <w:t>concentration</w:t>
      </w:r>
      <w:r w:rsidR="000449C1" w:rsidRPr="00CC4C10">
        <w:t xml:space="preserve">) measured over a </w:t>
      </w:r>
      <w:r w:rsidR="002F2BBB">
        <w:t>monitoring</w:t>
      </w:r>
      <w:r w:rsidR="000449C1" w:rsidRPr="00CC4C10">
        <w:t xml:space="preserve"> period T with a sample frequency </w:t>
      </w:r>
      <w:r w:rsidR="000449C1" w:rsidRPr="00CC4C10">
        <w:rPr>
          <w:rFonts w:cs="Arial"/>
        </w:rPr>
        <w:t>F</w:t>
      </w:r>
      <w:r w:rsidR="000449C1" w:rsidRPr="002F2BBB">
        <w:rPr>
          <w:rFonts w:cs="Arial"/>
          <w:vertAlign w:val="subscript"/>
        </w:rPr>
        <w:t>s</w:t>
      </w:r>
      <w:r w:rsidR="000449C1" w:rsidRPr="00CC4C10">
        <w:rPr>
          <w:rFonts w:cs="Arial"/>
        </w:rPr>
        <w:t>=1</w:t>
      </w:r>
      <w:r w:rsidR="000449C1" w:rsidRPr="00CC4C10">
        <w:rPr>
          <w:rFonts w:eastAsiaTheme="minorHAnsi" w:cs="Arial"/>
          <w:szCs w:val="18"/>
          <w:lang w:val="en-GB"/>
        </w:rPr>
        <w:t>/</w:t>
      </w:r>
      <w:r w:rsidR="00FB49DA" w:rsidRPr="00FB49DA">
        <w:rPr>
          <w:rFonts w:ascii="GreekC" w:eastAsiaTheme="minorHAnsi" w:hAnsi="GreekC" w:cs="GreekC"/>
          <w:szCs w:val="18"/>
          <w:lang w:val="en-GB"/>
        </w:rPr>
        <w:t>D</w:t>
      </w:r>
      <w:r w:rsidR="000449C1">
        <w:rPr>
          <w:rFonts w:ascii="AdvPS497E2" w:eastAsiaTheme="minorHAnsi" w:hAnsi="AdvPS497E2" w:cs="AdvPS497E2"/>
          <w:szCs w:val="18"/>
          <w:lang w:val="en-GB"/>
        </w:rPr>
        <w:t>t</w:t>
      </w:r>
      <w:r w:rsidR="000449C1" w:rsidRPr="00CC4C10">
        <w:t>, is a discrete-time variable</w:t>
      </w:r>
      <w:r w:rsidR="00F20305" w:rsidRPr="00CC4C10">
        <w:t xml:space="preserve"> measured in N point</w:t>
      </w:r>
      <w:r w:rsidR="00615587">
        <w:t>s</w:t>
      </w:r>
      <w:r w:rsidR="00F20305" w:rsidRPr="00CC4C10">
        <w:t xml:space="preserve">, where </w:t>
      </w:r>
      <w:r w:rsidR="000449C1" w:rsidRPr="00CC4C10">
        <w:rPr>
          <w:rFonts w:cs="Arial"/>
        </w:rPr>
        <w:t>N=T</w:t>
      </w:r>
      <w:r w:rsidR="000449C1" w:rsidRPr="00CC4C10">
        <w:rPr>
          <w:rFonts w:eastAsiaTheme="minorHAnsi" w:cs="Arial"/>
          <w:szCs w:val="18"/>
          <w:lang w:val="en-GB"/>
        </w:rPr>
        <w:t>/</w:t>
      </w:r>
      <w:r w:rsidR="00FB49DA" w:rsidRPr="00FB49DA">
        <w:rPr>
          <w:rFonts w:ascii="GreekC" w:eastAsiaTheme="minorHAnsi" w:hAnsi="GreekC" w:cs="GreekC"/>
          <w:szCs w:val="18"/>
          <w:lang w:val="en-GB"/>
        </w:rPr>
        <w:t>D</w:t>
      </w:r>
      <w:r w:rsidR="00FB49DA">
        <w:rPr>
          <w:rFonts w:ascii="AdvPS497E2" w:eastAsiaTheme="minorHAnsi" w:hAnsi="AdvPS497E2" w:cs="AdvPS497E2"/>
          <w:szCs w:val="18"/>
          <w:lang w:val="en-GB"/>
        </w:rPr>
        <w:t>t</w:t>
      </w:r>
      <w:r w:rsidR="000449C1">
        <w:rPr>
          <w:rFonts w:ascii="AdvPS497E2" w:eastAsiaTheme="minorHAnsi" w:hAnsi="AdvPS497E2" w:cs="AdvPS497E2"/>
          <w:szCs w:val="18"/>
          <w:lang w:val="en-GB"/>
        </w:rPr>
        <w:t>.</w:t>
      </w:r>
      <w:r w:rsidR="002F2BBB">
        <w:rPr>
          <w:rFonts w:ascii="AdvPS497E2" w:eastAsiaTheme="minorHAnsi" w:hAnsi="AdvPS497E2" w:cs="AdvPS497E2"/>
          <w:szCs w:val="18"/>
          <w:lang w:val="en-GB"/>
        </w:rPr>
        <w:t xml:space="preserve"> </w:t>
      </w:r>
      <w:r w:rsidR="000449C1" w:rsidRPr="002F2BBB">
        <w:t xml:space="preserve"> </w:t>
      </w:r>
      <w:r w:rsidR="00F20305" w:rsidRPr="002F2BBB">
        <w:t>The discrete Fourier tran</w:t>
      </w:r>
      <w:r w:rsidR="00FB49DA" w:rsidRPr="002F2BBB">
        <w:t>s</w:t>
      </w:r>
      <w:r w:rsidR="00F20305" w:rsidRPr="002F2BBB">
        <w:t xml:space="preserve">form of </w:t>
      </w:r>
      <w:proofErr w:type="spellStart"/>
      <w:r w:rsidR="00F20305" w:rsidRPr="002F2BBB">
        <w:rPr>
          <w:i/>
          <w:iCs/>
        </w:rPr>
        <w:t>c</w:t>
      </w:r>
      <w:r w:rsidR="00FB49DA" w:rsidRPr="002F2BBB">
        <w:rPr>
          <w:i/>
          <w:iCs/>
          <w:vertAlign w:val="subscript"/>
        </w:rPr>
        <w:t>j</w:t>
      </w:r>
      <w:proofErr w:type="spellEnd"/>
      <w:r w:rsidR="00F20305" w:rsidRPr="002F2BBB">
        <w:t xml:space="preserve"> is:</w:t>
      </w:r>
    </w:p>
    <w:tbl>
      <w:tblPr>
        <w:tblW w:w="5000" w:type="pct"/>
        <w:tblLook w:val="04A0" w:firstRow="1" w:lastRow="0" w:firstColumn="1" w:lastColumn="0" w:noHBand="0" w:noVBand="1"/>
      </w:tblPr>
      <w:tblGrid>
        <w:gridCol w:w="7986"/>
        <w:gridCol w:w="801"/>
      </w:tblGrid>
      <w:tr w:rsidR="00F20305" w:rsidRPr="00B57B36" w14:paraId="44053A11" w14:textId="77777777" w:rsidTr="005F3810">
        <w:tc>
          <w:tcPr>
            <w:tcW w:w="8188" w:type="dxa"/>
            <w:shd w:val="clear" w:color="auto" w:fill="auto"/>
            <w:vAlign w:val="center"/>
          </w:tcPr>
          <w:p w14:paraId="70A5B773" w14:textId="250AF2C1" w:rsidR="00F20305" w:rsidRPr="00665401" w:rsidRDefault="00B05648" w:rsidP="00F20305">
            <w:pPr>
              <w:pStyle w:val="CETEquation"/>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k</m:t>
                    </m:r>
                  </m:sub>
                </m:sSub>
                <m:r>
                  <w:rPr>
                    <w:rFonts w:ascii="Cambria Math" w:hAnsi="Cambria Math"/>
                  </w:rPr>
                  <m:t>=</m:t>
                </m:r>
                <m:nary>
                  <m:naryPr>
                    <m:chr m:val="∑"/>
                    <m:limLoc m:val="undOvr"/>
                    <m:ctrlPr>
                      <w:rPr>
                        <w:rFonts w:ascii="Cambria Math" w:hAnsi="Cambria Math"/>
                        <w:i/>
                      </w:rPr>
                    </m:ctrlPr>
                  </m:naryPr>
                  <m:sub>
                    <m:r>
                      <w:rPr>
                        <w:rFonts w:ascii="Cambria Math" w:hAnsi="Cambria Math"/>
                      </w:rPr>
                      <m:t>j=0</m:t>
                    </m:r>
                  </m:sub>
                  <m:sup>
                    <m:r>
                      <w:rPr>
                        <w:rFonts w:ascii="Cambria Math" w:hAnsi="Cambria Math"/>
                      </w:rPr>
                      <m:t>N-1</m:t>
                    </m:r>
                  </m:sup>
                  <m:e>
                    <m:sSub>
                      <m:sSubPr>
                        <m:ctrlPr>
                          <w:rPr>
                            <w:rFonts w:ascii="Cambria Math" w:hAnsi="Cambria Math"/>
                            <w:i/>
                          </w:rPr>
                        </m:ctrlPr>
                      </m:sSubPr>
                      <m:e>
                        <m:r>
                          <w:rPr>
                            <w:rFonts w:ascii="Cambria Math" w:hAnsi="Cambria Math"/>
                          </w:rPr>
                          <m:t>c</m:t>
                        </m:r>
                      </m:e>
                      <m:sub>
                        <m:r>
                          <w:rPr>
                            <w:rFonts w:ascii="Cambria Math" w:hAnsi="Cambria Math"/>
                          </w:rPr>
                          <m:t>j</m:t>
                        </m:r>
                      </m:sub>
                    </m:sSub>
                    <m:sSup>
                      <m:sSupPr>
                        <m:ctrlPr>
                          <w:rPr>
                            <w:rFonts w:ascii="Cambria Math" w:hAnsi="Cambria Math"/>
                            <w:i/>
                          </w:rPr>
                        </m:ctrlPr>
                      </m:sSupPr>
                      <m:e>
                        <m:r>
                          <w:rPr>
                            <w:rFonts w:ascii="Cambria Math" w:hAnsi="Cambria Math"/>
                          </w:rPr>
                          <m:t>e</m:t>
                        </m:r>
                      </m:e>
                      <m:sup>
                        <m:r>
                          <w:rPr>
                            <w:rFonts w:ascii="Cambria Math" w:hAnsi="Cambria Math"/>
                          </w:rPr>
                          <m:t>i2πjk/N</m:t>
                        </m:r>
                      </m:sup>
                    </m:sSup>
                  </m:e>
                </m:nary>
                <m:r>
                  <w:rPr>
                    <w:rFonts w:ascii="Cambria Math" w:hAnsi="Cambria Math"/>
                  </w:rPr>
                  <m:t xml:space="preserve">                           k=0,1,….N-1</m:t>
                </m:r>
              </m:oMath>
            </m:oMathPara>
          </w:p>
        </w:tc>
        <w:tc>
          <w:tcPr>
            <w:tcW w:w="815" w:type="dxa"/>
            <w:shd w:val="clear" w:color="auto" w:fill="auto"/>
            <w:vAlign w:val="center"/>
          </w:tcPr>
          <w:p w14:paraId="207BAF6A" w14:textId="77777777" w:rsidR="00F20305" w:rsidRPr="00B57B36" w:rsidRDefault="00F20305" w:rsidP="005F3810">
            <w:pPr>
              <w:pStyle w:val="CETEquation"/>
              <w:jc w:val="right"/>
            </w:pPr>
            <w:r w:rsidRPr="00B57B36">
              <w:t>(</w:t>
            </w:r>
            <w:r>
              <w:t>2</w:t>
            </w:r>
            <w:r w:rsidRPr="00B57B36">
              <w:t>)</w:t>
            </w:r>
          </w:p>
        </w:tc>
      </w:tr>
    </w:tbl>
    <w:p w14:paraId="24C1AD86" w14:textId="42B679B0" w:rsidR="005F56CA" w:rsidRPr="002F2BBB" w:rsidRDefault="00FB49DA" w:rsidP="002F2BBB">
      <w:pPr>
        <w:tabs>
          <w:tab w:val="clear" w:pos="7100"/>
        </w:tabs>
        <w:autoSpaceDE w:val="0"/>
        <w:autoSpaceDN w:val="0"/>
        <w:adjustRightInd w:val="0"/>
        <w:spacing w:line="240" w:lineRule="auto"/>
        <w:rPr>
          <w:lang w:val="en-US"/>
        </w:rPr>
      </w:pPr>
      <w:r w:rsidRPr="002F2BBB">
        <w:rPr>
          <w:lang w:val="en-US"/>
        </w:rPr>
        <w:t xml:space="preserve">Power Spectral </w:t>
      </w:r>
      <w:r w:rsidR="00344DF9">
        <w:rPr>
          <w:lang w:val="en-US"/>
        </w:rPr>
        <w:t>D</w:t>
      </w:r>
      <w:r w:rsidRPr="002F2BBB">
        <w:rPr>
          <w:lang w:val="en-US"/>
        </w:rPr>
        <w:t>ensity</w:t>
      </w:r>
      <w:r w:rsidR="00344DF9">
        <w:rPr>
          <w:lang w:val="en-US"/>
        </w:rPr>
        <w:t xml:space="preserve"> (PSD)</w:t>
      </w:r>
      <w:r w:rsidRPr="002F2BBB">
        <w:rPr>
          <w:lang w:val="en-US"/>
        </w:rPr>
        <w:t xml:space="preserve"> </w:t>
      </w:r>
      <w:r w:rsidR="002F2BBB">
        <w:rPr>
          <w:lang w:val="en-US"/>
        </w:rPr>
        <w:t>w</w:t>
      </w:r>
      <w:r w:rsidRPr="002F2BBB">
        <w:rPr>
          <w:lang w:val="en-US"/>
        </w:rPr>
        <w:t xml:space="preserve">as </w:t>
      </w:r>
      <w:r w:rsidR="002F2BBB">
        <w:rPr>
          <w:lang w:val="en-US"/>
        </w:rPr>
        <w:t>c</w:t>
      </w:r>
      <w:r w:rsidRPr="002F2BBB">
        <w:rPr>
          <w:lang w:val="en-US"/>
        </w:rPr>
        <w:t>alculated as follows:</w:t>
      </w:r>
    </w:p>
    <w:tbl>
      <w:tblPr>
        <w:tblW w:w="5000" w:type="pct"/>
        <w:tblLook w:val="04A0" w:firstRow="1" w:lastRow="0" w:firstColumn="1" w:lastColumn="0" w:noHBand="0" w:noVBand="1"/>
      </w:tblPr>
      <w:tblGrid>
        <w:gridCol w:w="7984"/>
        <w:gridCol w:w="803"/>
      </w:tblGrid>
      <w:tr w:rsidR="00FB49DA" w:rsidRPr="00B57B36" w14:paraId="159FF7A2" w14:textId="77777777" w:rsidTr="00052E70">
        <w:tc>
          <w:tcPr>
            <w:tcW w:w="7984" w:type="dxa"/>
            <w:shd w:val="clear" w:color="auto" w:fill="auto"/>
            <w:vAlign w:val="center"/>
          </w:tcPr>
          <w:p w14:paraId="150BE3CD" w14:textId="257F707B" w:rsidR="00FB49DA" w:rsidRPr="00665401" w:rsidRDefault="00B05648" w:rsidP="005F3810">
            <w:pPr>
              <w:pStyle w:val="CETEquation"/>
            </w:pPr>
            <m:oMathPara>
              <m:oMathParaPr>
                <m:jc m:val="left"/>
              </m:oMathParaPr>
              <m:oMath>
                <m:sSub>
                  <m:sSubPr>
                    <m:ctrlPr>
                      <w:rPr>
                        <w:rFonts w:ascii="Cambria Math" w:hAnsi="Cambria Math"/>
                        <w:i/>
                      </w:rPr>
                    </m:ctrlPr>
                  </m:sSubPr>
                  <m:e>
                    <m:r>
                      <w:rPr>
                        <w:rFonts w:ascii="Cambria Math" w:hAnsi="Cambria Math"/>
                      </w:rPr>
                      <m:t>P(f</m:t>
                    </m:r>
                  </m:e>
                  <m:sub>
                    <m:r>
                      <w:rPr>
                        <w:rFonts w:ascii="Cambria Math" w:hAnsi="Cambria Math"/>
                      </w:rPr>
                      <m:t>k</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N</m:t>
                        </m:r>
                      </m:e>
                      <m:sup>
                        <m:r>
                          <w:rPr>
                            <w:rFonts w:ascii="Cambria Math" w:hAnsi="Cambria Math"/>
                          </w:rPr>
                          <m:t>2</m:t>
                        </m:r>
                      </m:sup>
                    </m:sSup>
                  </m:den>
                </m:f>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k</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N-k</m:t>
                                </m:r>
                              </m:sub>
                            </m:sSub>
                          </m:e>
                        </m:d>
                      </m:e>
                      <m:sup>
                        <m:r>
                          <w:rPr>
                            <w:rFonts w:ascii="Cambria Math" w:hAnsi="Cambria Math"/>
                          </w:rPr>
                          <m:t>2</m:t>
                        </m:r>
                      </m:sup>
                    </m:sSup>
                  </m:e>
                </m:d>
                <m:r>
                  <w:rPr>
                    <w:rFonts w:ascii="Cambria Math" w:hAnsi="Cambria Math"/>
                  </w:rPr>
                  <m:t xml:space="preserve">         k=1,2,….(</m:t>
                </m:r>
                <m:f>
                  <m:fPr>
                    <m:ctrlPr>
                      <w:rPr>
                        <w:rFonts w:ascii="Cambria Math" w:hAnsi="Cambria Math"/>
                        <w:i/>
                      </w:rPr>
                    </m:ctrlPr>
                  </m:fPr>
                  <m:num>
                    <m:r>
                      <w:rPr>
                        <w:rFonts w:ascii="Cambria Math" w:hAnsi="Cambria Math"/>
                      </w:rPr>
                      <m:t>N</m:t>
                    </m:r>
                  </m:num>
                  <m:den>
                    <m:r>
                      <w:rPr>
                        <w:rFonts w:ascii="Cambria Math" w:hAnsi="Cambria Math"/>
                      </w:rPr>
                      <m:t>2</m:t>
                    </m:r>
                  </m:den>
                </m:f>
                <m:r>
                  <w:rPr>
                    <w:rFonts w:ascii="Cambria Math" w:hAnsi="Cambria Math"/>
                  </w:rPr>
                  <m:t>-1)</m:t>
                </m:r>
              </m:oMath>
            </m:oMathPara>
          </w:p>
        </w:tc>
        <w:tc>
          <w:tcPr>
            <w:tcW w:w="803" w:type="dxa"/>
            <w:shd w:val="clear" w:color="auto" w:fill="auto"/>
            <w:vAlign w:val="center"/>
          </w:tcPr>
          <w:p w14:paraId="042EE1FA" w14:textId="6317DCD3" w:rsidR="00FB49DA" w:rsidRPr="00B57B36" w:rsidRDefault="00665401" w:rsidP="00665401">
            <w:pPr>
              <w:pStyle w:val="CETEquation"/>
            </w:pPr>
            <w:r>
              <w:t xml:space="preserve">       </w:t>
            </w:r>
            <w:r w:rsidR="00FB49DA" w:rsidRPr="00B57B36">
              <w:t>(</w:t>
            </w:r>
            <w:r w:rsidR="00FB49DA">
              <w:t>2</w:t>
            </w:r>
            <w:r w:rsidR="00FB49DA" w:rsidRPr="00B57B36">
              <w:t>)</w:t>
            </w:r>
          </w:p>
        </w:tc>
      </w:tr>
    </w:tbl>
    <w:p w14:paraId="3BDC0209" w14:textId="097C103B" w:rsidR="00052E70" w:rsidRDefault="00344DF9" w:rsidP="00D74FFA">
      <w:pPr>
        <w:pStyle w:val="CETBodytext"/>
        <w:rPr>
          <w:rFonts w:ascii="AdvPS497E2" w:eastAsiaTheme="minorHAnsi" w:hAnsi="AdvPS497E2" w:cs="AdvPS497E2"/>
          <w:szCs w:val="18"/>
          <w:lang w:val="en-GB"/>
        </w:rPr>
      </w:pPr>
      <w:r>
        <w:t>PSD</w:t>
      </w:r>
      <w:r w:rsidR="00052E70" w:rsidRPr="002F2BBB">
        <w:t xml:space="preserve"> </w:t>
      </w:r>
      <w:r>
        <w:t>re</w:t>
      </w:r>
      <w:r w:rsidR="00052E70" w:rsidRPr="002F2BBB">
        <w:t xml:space="preserve">presents the strength of the signal at the respective frequency: the highest PSD values reveal the most important cyclic components and the contribution of weekly, daily or hourly fluctuations to the total variance of the </w:t>
      </w:r>
      <w:proofErr w:type="spellStart"/>
      <w:r w:rsidR="00B3072A">
        <w:t>odour</w:t>
      </w:r>
      <w:proofErr w:type="spellEnd"/>
      <w:r w:rsidR="00052E70" w:rsidRPr="002F2BBB">
        <w:t xml:space="preserve"> concentration measurements could be quantified.</w:t>
      </w:r>
      <w:r w:rsidR="00052E70">
        <w:t xml:space="preserve"> PSD </w:t>
      </w:r>
      <w:r>
        <w:t>for all</w:t>
      </w:r>
      <w:r w:rsidR="00052E70">
        <w:t xml:space="preserve"> the </w:t>
      </w:r>
      <w:r>
        <w:t>monitoring</w:t>
      </w:r>
      <w:r w:rsidR="00052E70">
        <w:t xml:space="preserve"> stations were calculated and </w:t>
      </w:r>
      <w:r w:rsidR="00615587">
        <w:t xml:space="preserve">their </w:t>
      </w:r>
      <w:r w:rsidR="00052E70">
        <w:t>results are discussed in par. 3.2.</w:t>
      </w:r>
    </w:p>
    <w:p w14:paraId="4F0976A2" w14:textId="558C183A" w:rsidR="008C4431" w:rsidRPr="00B57B36" w:rsidRDefault="008C4431" w:rsidP="008C4431">
      <w:pPr>
        <w:pStyle w:val="CETHeading1"/>
        <w:rPr>
          <w:lang w:val="en-GB"/>
        </w:rPr>
      </w:pPr>
      <w:r>
        <w:rPr>
          <w:lang w:val="en-GB"/>
        </w:rPr>
        <w:t>Results and discussions</w:t>
      </w:r>
    </w:p>
    <w:p w14:paraId="7FF5C37F" w14:textId="2C241464" w:rsidR="008C4431" w:rsidRDefault="008C4431" w:rsidP="0013239A">
      <w:pPr>
        <w:pStyle w:val="CETheadingx"/>
      </w:pPr>
      <w:r>
        <w:t>Peak-to-mean analysis</w:t>
      </w:r>
    </w:p>
    <w:p w14:paraId="1BB766D3" w14:textId="65F0751B" w:rsidR="008C4431" w:rsidRPr="00CA30C1" w:rsidRDefault="008C4431" w:rsidP="0013239A">
      <w:pPr>
        <w:pStyle w:val="CETHeadingxx"/>
      </w:pPr>
      <w:r w:rsidRPr="00CA30C1">
        <w:t xml:space="preserve">Site A: composting plant </w:t>
      </w:r>
    </w:p>
    <w:p w14:paraId="21A7B1CD" w14:textId="1C169EE0" w:rsidR="00474055" w:rsidRDefault="0099518A" w:rsidP="00C9453A">
      <w:pPr>
        <w:pStyle w:val="CETBodytext"/>
        <w:rPr>
          <w:lang w:val="en-GB"/>
        </w:rPr>
      </w:pPr>
      <w:r w:rsidRPr="00B3072A">
        <w:rPr>
          <w:rFonts w:eastAsiaTheme="minorHAnsi" w:cs="Arial"/>
          <w:szCs w:val="18"/>
          <w:lang w:val="en-GB"/>
        </w:rPr>
        <w:t>First</w:t>
      </w:r>
      <w:r w:rsidR="00357D05" w:rsidRPr="00B3072A">
        <w:rPr>
          <w:rFonts w:eastAsiaTheme="minorHAnsi" w:cs="Arial"/>
          <w:szCs w:val="18"/>
          <w:lang w:val="en-GB"/>
        </w:rPr>
        <w:t>,</w:t>
      </w:r>
      <w:r w:rsidR="0050716A" w:rsidRPr="00B3072A">
        <w:rPr>
          <w:rFonts w:eastAsiaTheme="minorHAnsi" w:cs="Arial"/>
          <w:szCs w:val="18"/>
          <w:lang w:val="en-GB"/>
        </w:rPr>
        <w:t xml:space="preserve"> the </w:t>
      </w:r>
      <w:proofErr w:type="spellStart"/>
      <w:r w:rsidR="0050716A" w:rsidRPr="00B3072A">
        <w:rPr>
          <w:rFonts w:eastAsiaTheme="minorHAnsi" w:cs="Arial"/>
          <w:szCs w:val="18"/>
          <w:lang w:val="en-GB"/>
        </w:rPr>
        <w:t>i</w:t>
      </w:r>
      <w:r w:rsidR="0050716A" w:rsidRPr="00B3072A">
        <w:rPr>
          <w:rFonts w:eastAsiaTheme="minorHAnsi" w:cs="Arial"/>
          <w:szCs w:val="18"/>
          <w:vertAlign w:val="subscript"/>
          <w:lang w:val="en-GB"/>
        </w:rPr>
        <w:t>c</w:t>
      </w:r>
      <w:proofErr w:type="spellEnd"/>
      <w:r w:rsidR="0050716A" w:rsidRPr="00B3072A">
        <w:rPr>
          <w:rFonts w:eastAsiaTheme="minorHAnsi" w:cs="Arial"/>
          <w:szCs w:val="18"/>
          <w:lang w:val="en-GB"/>
        </w:rPr>
        <w:t xml:space="preserve"> (odour intensity) for each hour of the monitoring period (6624 hours)</w:t>
      </w:r>
      <w:r w:rsidRPr="00B3072A">
        <w:rPr>
          <w:rFonts w:eastAsiaTheme="minorHAnsi" w:cs="Arial"/>
          <w:szCs w:val="18"/>
          <w:lang w:val="en-GB"/>
        </w:rPr>
        <w:t xml:space="preserve"> </w:t>
      </w:r>
      <w:r w:rsidR="00615587" w:rsidRPr="00B3072A">
        <w:rPr>
          <w:rFonts w:eastAsiaTheme="minorHAnsi" w:cs="Arial"/>
          <w:szCs w:val="18"/>
          <w:lang w:val="en-GB"/>
        </w:rPr>
        <w:t>has been</w:t>
      </w:r>
      <w:r w:rsidRPr="00B3072A">
        <w:rPr>
          <w:rFonts w:eastAsiaTheme="minorHAnsi" w:cs="Arial"/>
          <w:szCs w:val="18"/>
          <w:lang w:val="en-GB"/>
        </w:rPr>
        <w:t xml:space="preserve"> calculated for both stations</w:t>
      </w:r>
      <w:r w:rsidR="0050716A" w:rsidRPr="00B3072A">
        <w:rPr>
          <w:rFonts w:eastAsiaTheme="minorHAnsi" w:cs="Arial"/>
          <w:szCs w:val="18"/>
          <w:lang w:val="en-GB"/>
        </w:rPr>
        <w:t xml:space="preserve">: for the fence station, the </w:t>
      </w:r>
      <w:r w:rsidR="00EE5054" w:rsidRPr="00B3072A">
        <w:rPr>
          <w:rFonts w:eastAsiaTheme="minorHAnsi" w:cs="Arial"/>
          <w:szCs w:val="18"/>
          <w:lang w:val="en-GB"/>
        </w:rPr>
        <w:t>corresponding 95</w:t>
      </w:r>
      <w:r w:rsidR="00EE5054" w:rsidRPr="00B3072A">
        <w:rPr>
          <w:rFonts w:eastAsiaTheme="minorHAnsi" w:cs="Arial"/>
          <w:szCs w:val="18"/>
          <w:vertAlign w:val="superscript"/>
          <w:lang w:val="en-GB"/>
        </w:rPr>
        <w:t>th</w:t>
      </w:r>
      <w:r w:rsidR="00EE5054" w:rsidRPr="00B3072A">
        <w:rPr>
          <w:rFonts w:eastAsiaTheme="minorHAnsi" w:cs="Arial"/>
          <w:szCs w:val="18"/>
          <w:lang w:val="en-GB"/>
        </w:rPr>
        <w:t xml:space="preserve"> percentile is 3.5, which is consistent with the values </w:t>
      </w:r>
      <w:r w:rsidR="00143B66" w:rsidRPr="00B3072A">
        <w:rPr>
          <w:rFonts w:eastAsiaTheme="minorHAnsi" w:cs="Arial"/>
          <w:szCs w:val="18"/>
          <w:lang w:val="en-GB"/>
        </w:rPr>
        <w:t>obtained</w:t>
      </w:r>
      <w:r w:rsidR="00EE5054" w:rsidRPr="00B3072A">
        <w:rPr>
          <w:rFonts w:eastAsiaTheme="minorHAnsi" w:cs="Arial"/>
          <w:szCs w:val="18"/>
          <w:lang w:val="en-GB"/>
        </w:rPr>
        <w:t xml:space="preserve"> by </w:t>
      </w:r>
      <w:r w:rsidR="0039636E" w:rsidRPr="00B3072A">
        <w:rPr>
          <w:rFonts w:eastAsiaTheme="minorHAnsi" w:cs="Arial"/>
          <w:szCs w:val="18"/>
          <w:lang w:val="en-GB"/>
        </w:rPr>
        <w:t>other</w:t>
      </w:r>
      <w:r w:rsidR="00EE5054" w:rsidRPr="00B3072A">
        <w:rPr>
          <w:rFonts w:eastAsiaTheme="minorHAnsi" w:cs="Arial"/>
          <w:szCs w:val="18"/>
          <w:lang w:val="en-GB"/>
        </w:rPr>
        <w:t xml:space="preserve"> authors </w:t>
      </w:r>
      <w:r w:rsidR="0039636E" w:rsidRPr="00B3072A">
        <w:rPr>
          <w:rFonts w:eastAsiaTheme="minorHAnsi" w:cs="Arial"/>
          <w:szCs w:val="18"/>
          <w:lang w:val="en-GB"/>
        </w:rPr>
        <w:t xml:space="preserve">(Best et al, 2001) </w:t>
      </w:r>
      <w:r w:rsidR="00EE5054" w:rsidRPr="00B3072A">
        <w:rPr>
          <w:rFonts w:eastAsiaTheme="minorHAnsi" w:cs="Arial"/>
          <w:szCs w:val="18"/>
          <w:lang w:val="en-GB"/>
        </w:rPr>
        <w:t>for downstream monitoring station in the near-field</w:t>
      </w:r>
      <w:r w:rsidR="00143B66" w:rsidRPr="00B3072A">
        <w:rPr>
          <w:rFonts w:eastAsiaTheme="minorHAnsi" w:cs="Arial"/>
          <w:szCs w:val="18"/>
          <w:lang w:val="en-GB"/>
        </w:rPr>
        <w:t xml:space="preserve">. </w:t>
      </w:r>
      <w:r w:rsidR="00BF5DCC" w:rsidRPr="00B3072A">
        <w:rPr>
          <w:rFonts w:eastAsiaTheme="minorHAnsi" w:cs="Arial"/>
          <w:szCs w:val="18"/>
          <w:lang w:val="en-GB"/>
        </w:rPr>
        <w:t>T</w:t>
      </w:r>
      <w:r w:rsidR="00143B66" w:rsidRPr="00B3072A">
        <w:rPr>
          <w:rFonts w:eastAsiaTheme="minorHAnsi" w:cs="Arial"/>
          <w:szCs w:val="18"/>
          <w:lang w:val="en-GB"/>
        </w:rPr>
        <w:t xml:space="preserve">he </w:t>
      </w:r>
      <w:r w:rsidRPr="00B3072A">
        <w:rPr>
          <w:rFonts w:eastAsiaTheme="minorHAnsi" w:cs="Arial"/>
          <w:szCs w:val="18"/>
          <w:lang w:val="en-GB"/>
        </w:rPr>
        <w:t>meteorological</w:t>
      </w:r>
      <w:r w:rsidR="00143B66" w:rsidRPr="00B3072A">
        <w:rPr>
          <w:rFonts w:eastAsiaTheme="minorHAnsi" w:cs="Arial"/>
          <w:szCs w:val="18"/>
          <w:lang w:val="en-GB"/>
        </w:rPr>
        <w:t xml:space="preserve"> conditions (convective, neutral, stable) are the variables associated to the </w:t>
      </w:r>
      <w:proofErr w:type="spellStart"/>
      <w:r w:rsidR="00143B66" w:rsidRPr="00B3072A">
        <w:rPr>
          <w:rFonts w:eastAsiaTheme="minorHAnsi" w:cs="Arial"/>
          <w:szCs w:val="18"/>
          <w:lang w:val="en-GB"/>
        </w:rPr>
        <w:t>i</w:t>
      </w:r>
      <w:r w:rsidR="00143B66" w:rsidRPr="00B3072A">
        <w:rPr>
          <w:rFonts w:eastAsiaTheme="minorHAnsi" w:cs="Arial"/>
          <w:szCs w:val="18"/>
          <w:vertAlign w:val="subscript"/>
          <w:lang w:val="en-GB"/>
        </w:rPr>
        <w:t>c</w:t>
      </w:r>
      <w:proofErr w:type="spellEnd"/>
      <w:r w:rsidR="00143B66" w:rsidRPr="00B3072A">
        <w:rPr>
          <w:rFonts w:eastAsiaTheme="minorHAnsi" w:cs="Arial"/>
          <w:szCs w:val="18"/>
          <w:vertAlign w:val="subscript"/>
          <w:lang w:val="en-GB"/>
        </w:rPr>
        <w:t xml:space="preserve"> </w:t>
      </w:r>
      <w:r w:rsidR="00143B66" w:rsidRPr="00B3072A">
        <w:rPr>
          <w:rFonts w:eastAsiaTheme="minorHAnsi" w:cs="Arial"/>
          <w:szCs w:val="18"/>
          <w:lang w:val="en-GB"/>
        </w:rPr>
        <w:t xml:space="preserve">variations, </w:t>
      </w:r>
      <w:r w:rsidR="00606B23">
        <w:rPr>
          <w:rFonts w:eastAsiaTheme="minorHAnsi" w:cs="Arial"/>
          <w:szCs w:val="18"/>
          <w:lang w:val="en-GB"/>
        </w:rPr>
        <w:t>and</w:t>
      </w:r>
      <w:r w:rsidR="00143B66" w:rsidRPr="00B3072A">
        <w:rPr>
          <w:rFonts w:eastAsiaTheme="minorHAnsi" w:cs="Arial"/>
          <w:szCs w:val="18"/>
          <w:lang w:val="en-GB"/>
        </w:rPr>
        <w:t xml:space="preserve"> the </w:t>
      </w:r>
      <w:proofErr w:type="spellStart"/>
      <w:r w:rsidR="00143B66" w:rsidRPr="00B3072A">
        <w:rPr>
          <w:rFonts w:eastAsiaTheme="minorHAnsi" w:cs="Arial"/>
          <w:szCs w:val="18"/>
          <w:lang w:val="en-GB"/>
        </w:rPr>
        <w:t>i</w:t>
      </w:r>
      <w:r w:rsidR="00143B66" w:rsidRPr="00B3072A">
        <w:rPr>
          <w:rFonts w:eastAsiaTheme="minorHAnsi" w:cs="Arial"/>
          <w:szCs w:val="18"/>
          <w:vertAlign w:val="subscript"/>
          <w:lang w:val="en-GB"/>
        </w:rPr>
        <w:t>c</w:t>
      </w:r>
      <w:proofErr w:type="spellEnd"/>
      <w:r w:rsidR="00143B66" w:rsidRPr="00B3072A">
        <w:rPr>
          <w:rFonts w:eastAsiaTheme="minorHAnsi" w:cs="Arial"/>
          <w:szCs w:val="18"/>
          <w:lang w:val="en-GB"/>
        </w:rPr>
        <w:t xml:space="preserve"> value of 3.5 must be considered the</w:t>
      </w:r>
      <w:r w:rsidRPr="00B3072A">
        <w:rPr>
          <w:rFonts w:eastAsiaTheme="minorHAnsi" w:cs="Arial"/>
          <w:szCs w:val="18"/>
          <w:lang w:val="en-GB"/>
        </w:rPr>
        <w:t xml:space="preserve"> value</w:t>
      </w:r>
      <w:r w:rsidR="00775E82" w:rsidRPr="00B3072A">
        <w:rPr>
          <w:rFonts w:eastAsiaTheme="minorHAnsi" w:cs="Arial"/>
          <w:szCs w:val="18"/>
          <w:lang w:val="en-GB"/>
        </w:rPr>
        <w:t xml:space="preserve"> exceeded only 5% of the time</w:t>
      </w:r>
      <w:r w:rsidR="00357D05" w:rsidRPr="00B3072A">
        <w:rPr>
          <w:rFonts w:eastAsiaTheme="minorHAnsi" w:cs="Arial"/>
          <w:szCs w:val="18"/>
          <w:lang w:val="en-GB"/>
        </w:rPr>
        <w:t>.</w:t>
      </w:r>
      <w:r w:rsidR="00E41E73" w:rsidRPr="00B3072A">
        <w:rPr>
          <w:rFonts w:eastAsiaTheme="minorHAnsi" w:cs="Arial"/>
          <w:szCs w:val="18"/>
          <w:lang w:val="en-GB"/>
        </w:rPr>
        <w:t xml:space="preserve"> </w:t>
      </w:r>
      <w:r w:rsidR="00357D05" w:rsidRPr="00B3072A">
        <w:rPr>
          <w:rFonts w:eastAsiaTheme="minorHAnsi" w:cs="Arial"/>
          <w:szCs w:val="18"/>
          <w:lang w:val="en-GB"/>
        </w:rPr>
        <w:t>Table 1 gives the experimentally derived intensity of odour fluctuations, in terms of 75</w:t>
      </w:r>
      <w:r w:rsidR="00357D05" w:rsidRPr="00B3072A">
        <w:rPr>
          <w:rFonts w:eastAsiaTheme="minorHAnsi" w:cs="Arial"/>
          <w:szCs w:val="18"/>
          <w:vertAlign w:val="superscript"/>
          <w:lang w:val="en-GB"/>
        </w:rPr>
        <w:t>th</w:t>
      </w:r>
      <w:r w:rsidR="00357D05" w:rsidRPr="00B3072A">
        <w:rPr>
          <w:rFonts w:eastAsiaTheme="minorHAnsi" w:cs="Arial"/>
          <w:szCs w:val="18"/>
          <w:lang w:val="en-GB"/>
        </w:rPr>
        <w:t xml:space="preserve"> and 95</w:t>
      </w:r>
      <w:r w:rsidR="00357D05" w:rsidRPr="00B3072A">
        <w:rPr>
          <w:rFonts w:eastAsiaTheme="minorHAnsi" w:cs="Arial"/>
          <w:szCs w:val="18"/>
          <w:vertAlign w:val="superscript"/>
          <w:lang w:val="en-GB"/>
        </w:rPr>
        <w:t>th</w:t>
      </w:r>
      <w:r w:rsidR="00357D05" w:rsidRPr="00B3072A">
        <w:rPr>
          <w:rFonts w:eastAsiaTheme="minorHAnsi" w:cs="Arial"/>
          <w:szCs w:val="18"/>
          <w:lang w:val="en-GB"/>
        </w:rPr>
        <w:t xml:space="preserve"> </w:t>
      </w:r>
      <w:r w:rsidR="00357D05">
        <w:rPr>
          <w:rFonts w:eastAsiaTheme="minorHAnsi" w:cs="Arial"/>
          <w:szCs w:val="18"/>
          <w:lang w:val="en-GB"/>
        </w:rPr>
        <w:t>percentiles.</w:t>
      </w:r>
      <w:r w:rsidR="00665401">
        <w:rPr>
          <w:rFonts w:eastAsiaTheme="minorHAnsi" w:cs="Arial"/>
          <w:szCs w:val="18"/>
          <w:lang w:val="en-GB"/>
        </w:rPr>
        <w:t xml:space="preserve"> </w:t>
      </w:r>
      <w:r w:rsidR="00665401">
        <w:t xml:space="preserve">Since widely-used dispersion models give </w:t>
      </w:r>
      <w:r w:rsidR="00615587">
        <w:t xml:space="preserve">the hourly-averaged concentrations </w:t>
      </w:r>
      <w:r w:rsidR="00665401">
        <w:t xml:space="preserve">as output, it is useful to analyze the collected data to calculate PTM ratios, strictly correlated with the concentration intensity </w:t>
      </w:r>
      <w:proofErr w:type="spellStart"/>
      <w:r w:rsidR="00665401">
        <w:t>i</w:t>
      </w:r>
      <w:r w:rsidR="00665401" w:rsidRPr="00272B80">
        <w:rPr>
          <w:vertAlign w:val="subscript"/>
        </w:rPr>
        <w:t>c</w:t>
      </w:r>
      <w:proofErr w:type="spellEnd"/>
      <w:r w:rsidR="00665401">
        <w:t>. For the fence-station, the 95</w:t>
      </w:r>
      <w:r w:rsidR="00665401" w:rsidRPr="00272B80">
        <w:rPr>
          <w:vertAlign w:val="superscript"/>
        </w:rPr>
        <w:t>th</w:t>
      </w:r>
      <w:r w:rsidR="00665401">
        <w:t xml:space="preserve"> percentile </w:t>
      </w:r>
      <w:r w:rsidR="00665401">
        <w:rPr>
          <w:rFonts w:eastAsiaTheme="minorHAnsi" w:cs="Arial"/>
          <w:szCs w:val="18"/>
          <w:lang w:val="en-GB"/>
        </w:rPr>
        <w:t>of PTM ratios is 18.5: the length of the monitoring period (9 month</w:t>
      </w:r>
      <w:r w:rsidR="00615587">
        <w:rPr>
          <w:rFonts w:eastAsiaTheme="minorHAnsi" w:cs="Arial"/>
          <w:szCs w:val="18"/>
          <w:lang w:val="en-GB"/>
        </w:rPr>
        <w:t>s</w:t>
      </w:r>
      <w:r w:rsidR="00665401">
        <w:rPr>
          <w:rFonts w:eastAsiaTheme="minorHAnsi" w:cs="Arial"/>
          <w:szCs w:val="18"/>
          <w:lang w:val="en-GB"/>
        </w:rPr>
        <w:t xml:space="preserve">) can be considered sufficient in order to conservatively use a PTM ratio in the near-field equal to 18.5 in dispersion modelling for taking into account odour fluctuations with order of magnitudes of </w:t>
      </w:r>
      <w:r w:rsidR="00E552E4">
        <w:rPr>
          <w:rFonts w:eastAsiaTheme="minorHAnsi" w:cs="Arial"/>
          <w:szCs w:val="18"/>
          <w:lang w:val="en-GB"/>
        </w:rPr>
        <w:t>30</w:t>
      </w:r>
      <w:r w:rsidR="00665401">
        <w:rPr>
          <w:rFonts w:eastAsiaTheme="minorHAnsi" w:cs="Arial"/>
          <w:szCs w:val="18"/>
          <w:lang w:val="en-GB"/>
        </w:rPr>
        <w:t xml:space="preserve"> seconds, for a non-buoyant stationary point source such as the emissions from closed biofilters.</w:t>
      </w:r>
      <w:r w:rsidR="00665401" w:rsidRPr="00C9453A">
        <w:rPr>
          <w:rFonts w:eastAsiaTheme="minorHAnsi" w:cs="Arial"/>
          <w:szCs w:val="18"/>
          <w:lang w:val="en-GB"/>
        </w:rPr>
        <w:t xml:space="preserve"> </w:t>
      </w:r>
      <w:r w:rsidR="00665401">
        <w:rPr>
          <w:rFonts w:eastAsiaTheme="minorHAnsi" w:cs="Arial"/>
          <w:szCs w:val="18"/>
          <w:lang w:val="en-GB"/>
        </w:rPr>
        <w:t>It is worth pointing out that the 95</w:t>
      </w:r>
      <w:r w:rsidR="00665401" w:rsidRPr="000C1762">
        <w:rPr>
          <w:rFonts w:eastAsiaTheme="minorHAnsi" w:cs="Arial"/>
          <w:szCs w:val="18"/>
          <w:vertAlign w:val="superscript"/>
          <w:lang w:val="en-GB"/>
        </w:rPr>
        <w:t>th</w:t>
      </w:r>
      <w:r w:rsidR="00665401">
        <w:rPr>
          <w:rFonts w:eastAsiaTheme="minorHAnsi" w:cs="Arial"/>
          <w:szCs w:val="18"/>
          <w:lang w:val="en-GB"/>
        </w:rPr>
        <w:t xml:space="preserve"> percentile of PTM ratios for the near-field station is </w:t>
      </w:r>
      <w:r w:rsidR="00615587">
        <w:rPr>
          <w:rFonts w:eastAsiaTheme="minorHAnsi" w:cs="Arial"/>
          <w:szCs w:val="18"/>
          <w:lang w:val="en-GB"/>
        </w:rPr>
        <w:t>within agreed levels provided</w:t>
      </w:r>
      <w:r w:rsidR="00665401">
        <w:t xml:space="preserve"> by the guidelines of New South Wales EPA for short stack, </w:t>
      </w:r>
      <w:proofErr w:type="gramStart"/>
      <w:r w:rsidR="00665401">
        <w:t>i.e.</w:t>
      </w:r>
      <w:proofErr w:type="gramEnd"/>
      <w:r w:rsidR="00665401">
        <w:t xml:space="preserve"> within the influence of building wakes</w:t>
      </w:r>
      <w:r w:rsidR="00665401" w:rsidRPr="00357D05">
        <w:t xml:space="preserve"> </w:t>
      </w:r>
      <w:r w:rsidR="00665401">
        <w:t>(</w:t>
      </w:r>
      <w:proofErr w:type="spellStart"/>
      <w:r w:rsidR="0039636E" w:rsidRPr="0039636E">
        <w:t>Katestone</w:t>
      </w:r>
      <w:proofErr w:type="spellEnd"/>
      <w:r w:rsidR="0039636E" w:rsidRPr="0039636E">
        <w:t xml:space="preserve"> Scientific</w:t>
      </w:r>
      <w:r w:rsidR="0039636E">
        <w:t>,</w:t>
      </w:r>
      <w:r w:rsidR="0039636E" w:rsidRPr="0039636E">
        <w:t xml:space="preserve"> 199</w:t>
      </w:r>
      <w:r w:rsidR="0039636E">
        <w:t>8</w:t>
      </w:r>
      <w:r w:rsidR="00665401">
        <w:t>).</w:t>
      </w:r>
      <w:r w:rsidR="00BE2257">
        <w:t xml:space="preserve"> </w:t>
      </w:r>
      <w:r w:rsidR="00BE2257" w:rsidRPr="00A56635">
        <w:rPr>
          <w:lang w:val="en-GB"/>
        </w:rPr>
        <w:t>In the case of inner station, for most (75%) of the monitoring hours, PTM ratios of the fence station are similar to the inner station, with values around 2.5 at 75</w:t>
      </w:r>
      <w:r w:rsidR="00BE2257" w:rsidRPr="00606B23">
        <w:rPr>
          <w:vertAlign w:val="superscript"/>
          <w:lang w:val="en-GB"/>
        </w:rPr>
        <w:t>th</w:t>
      </w:r>
      <w:r w:rsidR="00BE2257" w:rsidRPr="00A56635">
        <w:rPr>
          <w:lang w:val="en-GB"/>
        </w:rPr>
        <w:t xml:space="preserve"> percentile.</w:t>
      </w:r>
      <w:r w:rsidR="00BE2257" w:rsidRPr="00BE2257">
        <w:rPr>
          <w:lang w:val="en-GB"/>
        </w:rPr>
        <w:t xml:space="preserve"> </w:t>
      </w:r>
      <w:r w:rsidR="00BE2257">
        <w:rPr>
          <w:lang w:val="en-GB"/>
        </w:rPr>
        <w:t xml:space="preserve">As regards </w:t>
      </w:r>
      <w:r w:rsidR="00BE2257" w:rsidRPr="00A56635">
        <w:rPr>
          <w:lang w:val="en-GB"/>
        </w:rPr>
        <w:t xml:space="preserve">extreme values, inner station is </w:t>
      </w:r>
      <w:r w:rsidR="00BE2257">
        <w:rPr>
          <w:lang w:val="en-GB"/>
        </w:rPr>
        <w:t>affected</w:t>
      </w:r>
      <w:r w:rsidR="00BE2257" w:rsidRPr="00A56635">
        <w:rPr>
          <w:lang w:val="en-GB"/>
        </w:rPr>
        <w:t xml:space="preserve"> by lower odour fluctuations, </w:t>
      </w:r>
      <w:r w:rsidR="00BE2257">
        <w:rPr>
          <w:lang w:val="en-GB"/>
        </w:rPr>
        <w:t xml:space="preserve">which is consistent with </w:t>
      </w:r>
      <w:r w:rsidR="00BE2257" w:rsidRPr="00A56635">
        <w:rPr>
          <w:lang w:val="en-GB"/>
        </w:rPr>
        <w:t xml:space="preserve">the values of </w:t>
      </w:r>
      <w:proofErr w:type="spellStart"/>
      <w:r w:rsidR="00BE2257" w:rsidRPr="00A56635">
        <w:rPr>
          <w:lang w:val="en-GB"/>
        </w:rPr>
        <w:t>i</w:t>
      </w:r>
      <w:r w:rsidR="00BE2257" w:rsidRPr="0039636E">
        <w:rPr>
          <w:vertAlign w:val="subscript"/>
          <w:lang w:val="en-GB"/>
        </w:rPr>
        <w:t>c</w:t>
      </w:r>
      <w:proofErr w:type="spellEnd"/>
      <w:r w:rsidR="00BE2257" w:rsidRPr="00A56635">
        <w:rPr>
          <w:lang w:val="en-GB"/>
        </w:rPr>
        <w:t xml:space="preserve"> in Table 1.</w:t>
      </w:r>
      <w:r w:rsidR="00BE2257">
        <w:rPr>
          <w:lang w:val="en-GB"/>
        </w:rPr>
        <w:t xml:space="preserve"> </w:t>
      </w:r>
      <w:r w:rsidR="0039636E">
        <w:rPr>
          <w:lang w:val="en-GB"/>
        </w:rPr>
        <w:t>T</w:t>
      </w:r>
      <w:r w:rsidR="00C9453A" w:rsidRPr="00A56635">
        <w:rPr>
          <w:lang w:val="en-GB"/>
        </w:rPr>
        <w:t xml:space="preserve">his aspect is </w:t>
      </w:r>
      <w:r w:rsidR="0039636E">
        <w:rPr>
          <w:lang w:val="en-GB"/>
        </w:rPr>
        <w:t>p</w:t>
      </w:r>
      <w:r w:rsidR="0039636E" w:rsidRPr="00A56635">
        <w:rPr>
          <w:lang w:val="en-GB"/>
        </w:rPr>
        <w:t xml:space="preserve">robably </w:t>
      </w:r>
      <w:r w:rsidR="00C9453A" w:rsidRPr="00A56635">
        <w:rPr>
          <w:lang w:val="en-GB"/>
        </w:rPr>
        <w:t xml:space="preserve">related to the fact that the inner station is </w:t>
      </w:r>
      <w:r w:rsidR="00C9453A" w:rsidRPr="00A56635">
        <w:rPr>
          <w:lang w:val="en-GB"/>
        </w:rPr>
        <w:lastRenderedPageBreak/>
        <w:t xml:space="preserve">close to the main composting building and </w:t>
      </w:r>
      <w:r w:rsidR="00474055" w:rsidRPr="00A56635">
        <w:rPr>
          <w:lang w:val="en-GB"/>
        </w:rPr>
        <w:t xml:space="preserve">the measured odours are </w:t>
      </w:r>
      <w:r w:rsidR="00CE5FBE">
        <w:rPr>
          <w:lang w:val="en-GB"/>
        </w:rPr>
        <w:t>more</w:t>
      </w:r>
      <w:r w:rsidR="00474055" w:rsidRPr="00A56635">
        <w:rPr>
          <w:lang w:val="en-GB"/>
        </w:rPr>
        <w:t xml:space="preserve"> related to the fugitive emissions from this buildings (when the door is opened for the truck entrance and waste unloading in the </w:t>
      </w:r>
      <w:r w:rsidR="00E41E73" w:rsidRPr="00A56635">
        <w:rPr>
          <w:lang w:val="en-GB"/>
        </w:rPr>
        <w:t>receiving</w:t>
      </w:r>
      <w:r w:rsidR="00474055" w:rsidRPr="00A56635">
        <w:rPr>
          <w:lang w:val="en-GB"/>
        </w:rPr>
        <w:t xml:space="preserve"> pit), rather than the odours emitted from the short stacks: this hypothesis is also confirmed by spectral analysis</w:t>
      </w:r>
      <w:r w:rsidR="00CE5FBE">
        <w:rPr>
          <w:lang w:val="en-GB"/>
        </w:rPr>
        <w:t xml:space="preserve"> </w:t>
      </w:r>
      <w:r w:rsidR="00CE5FBE" w:rsidRPr="00CE5FBE">
        <w:rPr>
          <w:lang w:val="en-GB"/>
        </w:rPr>
        <w:t xml:space="preserve">in which the periodicity of odour fluctuations </w:t>
      </w:r>
      <w:r w:rsidR="00CE5FBE" w:rsidRPr="00A56635">
        <w:rPr>
          <w:lang w:val="en-GB"/>
        </w:rPr>
        <w:t xml:space="preserve">related to the  first composting phase </w:t>
      </w:r>
      <w:r w:rsidR="00CE5FBE">
        <w:rPr>
          <w:lang w:val="en-GB"/>
        </w:rPr>
        <w:t xml:space="preserve">is </w:t>
      </w:r>
      <w:r w:rsidR="00CE5FBE" w:rsidRPr="00CE5FBE">
        <w:rPr>
          <w:lang w:val="en-GB"/>
        </w:rPr>
        <w:t>clearly evident</w:t>
      </w:r>
      <w:r w:rsidR="00E41E73">
        <w:rPr>
          <w:lang w:val="en-GB"/>
        </w:rPr>
        <w:t>.</w:t>
      </w:r>
      <w:r w:rsidR="007024A6">
        <w:rPr>
          <w:lang w:val="en-GB"/>
        </w:rPr>
        <w:t xml:space="preserve"> </w:t>
      </w:r>
      <w:r w:rsidR="00474055" w:rsidRPr="00A56635">
        <w:rPr>
          <w:lang w:val="en-GB"/>
        </w:rPr>
        <w:t>In such case, the value of PTM ratio around 8</w:t>
      </w:r>
      <w:r w:rsidR="00CE5FBE">
        <w:rPr>
          <w:lang w:val="en-GB"/>
        </w:rPr>
        <w:t xml:space="preserve"> can be explained as </w:t>
      </w:r>
      <w:r w:rsidR="00474055" w:rsidRPr="00A56635">
        <w:rPr>
          <w:lang w:val="en-GB"/>
        </w:rPr>
        <w:t>intermediate between a surface point and a volume source in near-field</w:t>
      </w:r>
      <w:r w:rsidR="006F34D7" w:rsidRPr="00A56635">
        <w:rPr>
          <w:lang w:val="en-GB"/>
        </w:rPr>
        <w:t xml:space="preserve"> </w:t>
      </w:r>
      <w:r w:rsidR="00EF0C59" w:rsidRPr="00A56635">
        <w:rPr>
          <w:lang w:val="en-GB"/>
        </w:rPr>
        <w:t>(Best et al., 2011).</w:t>
      </w:r>
    </w:p>
    <w:p w14:paraId="0D8DF505" w14:textId="77777777" w:rsidR="00BE2257" w:rsidRPr="00B57B36" w:rsidRDefault="00BE2257" w:rsidP="00D16375">
      <w:pPr>
        <w:pStyle w:val="CETTabletitle"/>
        <w:spacing w:before="160"/>
      </w:pPr>
      <w:r w:rsidRPr="00B57B36">
        <w:t xml:space="preserve">Table 1: </w:t>
      </w:r>
      <w:r>
        <w:t xml:space="preserve">Intensity of odour fluctuations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80"/>
        <w:gridCol w:w="1080"/>
        <w:gridCol w:w="1080"/>
        <w:gridCol w:w="1080"/>
        <w:gridCol w:w="1080"/>
      </w:tblGrid>
      <w:tr w:rsidR="00BE2257" w:rsidRPr="00B57B36" w14:paraId="56EFEA22" w14:textId="77777777" w:rsidTr="00A802C3">
        <w:trPr>
          <w:trHeight w:val="272"/>
        </w:trPr>
        <w:tc>
          <w:tcPr>
            <w:tcW w:w="1080" w:type="dxa"/>
            <w:tcBorders>
              <w:top w:val="single" w:sz="12" w:space="0" w:color="008000"/>
              <w:bottom w:val="single" w:sz="6" w:space="0" w:color="008000"/>
            </w:tcBorders>
            <w:shd w:val="clear" w:color="auto" w:fill="FFFFFF"/>
          </w:tcPr>
          <w:p w14:paraId="19FD866D" w14:textId="77777777" w:rsidR="00BE2257" w:rsidRPr="00B57B36" w:rsidRDefault="00BE2257" w:rsidP="00A802C3">
            <w:pPr>
              <w:pStyle w:val="CETBodytext"/>
              <w:rPr>
                <w:lang w:val="en-GB"/>
              </w:rPr>
            </w:pPr>
          </w:p>
        </w:tc>
        <w:tc>
          <w:tcPr>
            <w:tcW w:w="2160" w:type="dxa"/>
            <w:gridSpan w:val="2"/>
            <w:tcBorders>
              <w:top w:val="single" w:sz="12" w:space="0" w:color="008000"/>
              <w:bottom w:val="single" w:sz="6" w:space="0" w:color="008000"/>
            </w:tcBorders>
            <w:shd w:val="clear" w:color="auto" w:fill="FFFFFF"/>
          </w:tcPr>
          <w:p w14:paraId="2E1AD39F" w14:textId="77777777" w:rsidR="00BE2257" w:rsidRDefault="00BE2257" w:rsidP="00A802C3">
            <w:pPr>
              <w:pStyle w:val="CETBodytext"/>
              <w:jc w:val="center"/>
              <w:rPr>
                <w:lang w:val="en-GB"/>
              </w:rPr>
            </w:pPr>
            <w:r>
              <w:rPr>
                <w:lang w:val="en-GB"/>
              </w:rPr>
              <w:t>Fence station</w:t>
            </w:r>
          </w:p>
        </w:tc>
        <w:tc>
          <w:tcPr>
            <w:tcW w:w="2160" w:type="dxa"/>
            <w:gridSpan w:val="2"/>
            <w:tcBorders>
              <w:top w:val="single" w:sz="12" w:space="0" w:color="008000"/>
              <w:bottom w:val="single" w:sz="6" w:space="0" w:color="008000"/>
            </w:tcBorders>
            <w:shd w:val="clear" w:color="auto" w:fill="FFFFFF"/>
          </w:tcPr>
          <w:p w14:paraId="5635544D" w14:textId="77777777" w:rsidR="00BE2257" w:rsidRDefault="00BE2257" w:rsidP="00A802C3">
            <w:pPr>
              <w:pStyle w:val="CETBodytext"/>
              <w:jc w:val="center"/>
              <w:rPr>
                <w:lang w:val="en-GB"/>
              </w:rPr>
            </w:pPr>
            <w:r>
              <w:rPr>
                <w:lang w:val="en-GB"/>
              </w:rPr>
              <w:t>Inner station</w:t>
            </w:r>
          </w:p>
        </w:tc>
      </w:tr>
      <w:tr w:rsidR="00BE2257" w:rsidRPr="00B57B36" w14:paraId="2C2CF059" w14:textId="77777777" w:rsidTr="00A802C3">
        <w:trPr>
          <w:trHeight w:val="272"/>
        </w:trPr>
        <w:tc>
          <w:tcPr>
            <w:tcW w:w="1080" w:type="dxa"/>
            <w:shd w:val="clear" w:color="auto" w:fill="FFFFFF"/>
          </w:tcPr>
          <w:p w14:paraId="4CF6043A" w14:textId="77777777" w:rsidR="00BE2257" w:rsidRDefault="00BE2257" w:rsidP="00A802C3">
            <w:pPr>
              <w:pStyle w:val="CETBodytext"/>
              <w:ind w:right="-1"/>
              <w:rPr>
                <w:rFonts w:cs="Arial"/>
                <w:szCs w:val="18"/>
                <w:lang w:val="en-GB"/>
              </w:rPr>
            </w:pPr>
          </w:p>
        </w:tc>
        <w:tc>
          <w:tcPr>
            <w:tcW w:w="1080" w:type="dxa"/>
            <w:shd w:val="clear" w:color="auto" w:fill="FFFFFF"/>
          </w:tcPr>
          <w:p w14:paraId="150CF1CD" w14:textId="77777777" w:rsidR="00BE2257" w:rsidRPr="00E41E73" w:rsidRDefault="00BE2257" w:rsidP="00A802C3">
            <w:pPr>
              <w:pStyle w:val="CETBodytext"/>
              <w:ind w:right="-1"/>
              <w:jc w:val="center"/>
              <w:rPr>
                <w:rFonts w:cs="Arial"/>
                <w:i/>
                <w:iCs/>
                <w:szCs w:val="18"/>
                <w:lang w:val="en-GB"/>
              </w:rPr>
            </w:pPr>
            <w:proofErr w:type="spellStart"/>
            <w:r w:rsidRPr="00E41E73">
              <w:rPr>
                <w:i/>
                <w:iCs/>
                <w:lang w:val="en-GB"/>
              </w:rPr>
              <w:t>i</w:t>
            </w:r>
            <w:r w:rsidRPr="00E41E73">
              <w:rPr>
                <w:i/>
                <w:iCs/>
                <w:vertAlign w:val="subscript"/>
                <w:lang w:val="en-GB"/>
              </w:rPr>
              <w:t>c</w:t>
            </w:r>
            <w:proofErr w:type="spellEnd"/>
          </w:p>
        </w:tc>
        <w:tc>
          <w:tcPr>
            <w:tcW w:w="1080" w:type="dxa"/>
            <w:shd w:val="clear" w:color="auto" w:fill="FFFFFF"/>
          </w:tcPr>
          <w:p w14:paraId="2CA4F8F3" w14:textId="77777777" w:rsidR="00BE2257" w:rsidRPr="00E41E73" w:rsidRDefault="00BE2257" w:rsidP="00A802C3">
            <w:pPr>
              <w:pStyle w:val="CETBodytext"/>
              <w:ind w:right="-1"/>
              <w:jc w:val="center"/>
              <w:rPr>
                <w:rFonts w:cs="Arial"/>
                <w:i/>
                <w:iCs/>
                <w:szCs w:val="18"/>
                <w:lang w:val="en-GB"/>
              </w:rPr>
            </w:pPr>
            <w:r w:rsidRPr="00E41E73">
              <w:rPr>
                <w:rFonts w:cs="Arial"/>
                <w:i/>
                <w:iCs/>
                <w:szCs w:val="18"/>
                <w:lang w:val="en-GB"/>
              </w:rPr>
              <w:t>PTM</w:t>
            </w:r>
          </w:p>
        </w:tc>
        <w:tc>
          <w:tcPr>
            <w:tcW w:w="1080" w:type="dxa"/>
            <w:shd w:val="clear" w:color="auto" w:fill="FFFFFF"/>
          </w:tcPr>
          <w:p w14:paraId="4FEF53F3" w14:textId="77777777" w:rsidR="00BE2257" w:rsidRPr="00E41E73" w:rsidRDefault="00BE2257" w:rsidP="00A802C3">
            <w:pPr>
              <w:pStyle w:val="CETBodytext"/>
              <w:ind w:right="-1"/>
              <w:jc w:val="center"/>
              <w:rPr>
                <w:rFonts w:cs="Arial"/>
                <w:i/>
                <w:iCs/>
                <w:szCs w:val="18"/>
                <w:lang w:val="en-GB"/>
              </w:rPr>
            </w:pPr>
            <w:proofErr w:type="spellStart"/>
            <w:r w:rsidRPr="00E41E73">
              <w:rPr>
                <w:i/>
                <w:iCs/>
                <w:lang w:val="en-GB"/>
              </w:rPr>
              <w:t>i</w:t>
            </w:r>
            <w:r w:rsidRPr="00E41E73">
              <w:rPr>
                <w:i/>
                <w:iCs/>
                <w:vertAlign w:val="subscript"/>
                <w:lang w:val="en-GB"/>
              </w:rPr>
              <w:t>c</w:t>
            </w:r>
            <w:proofErr w:type="spellEnd"/>
          </w:p>
        </w:tc>
        <w:tc>
          <w:tcPr>
            <w:tcW w:w="1080" w:type="dxa"/>
            <w:shd w:val="clear" w:color="auto" w:fill="FFFFFF"/>
          </w:tcPr>
          <w:p w14:paraId="2B746AAB" w14:textId="77777777" w:rsidR="00BE2257" w:rsidRPr="00E41E73" w:rsidRDefault="00BE2257" w:rsidP="00A802C3">
            <w:pPr>
              <w:pStyle w:val="CETBodytext"/>
              <w:ind w:right="-1"/>
              <w:jc w:val="center"/>
              <w:rPr>
                <w:rFonts w:cs="Arial"/>
                <w:i/>
                <w:iCs/>
                <w:szCs w:val="18"/>
                <w:lang w:val="en-GB"/>
              </w:rPr>
            </w:pPr>
            <w:r w:rsidRPr="00E41E73">
              <w:rPr>
                <w:rFonts w:cs="Arial"/>
                <w:i/>
                <w:iCs/>
                <w:szCs w:val="18"/>
                <w:lang w:val="en-GB"/>
              </w:rPr>
              <w:t>PTM</w:t>
            </w:r>
          </w:p>
        </w:tc>
      </w:tr>
      <w:tr w:rsidR="00BE2257" w:rsidRPr="00B57B36" w14:paraId="722D2B53" w14:textId="77777777" w:rsidTr="00A802C3">
        <w:trPr>
          <w:trHeight w:val="291"/>
        </w:trPr>
        <w:tc>
          <w:tcPr>
            <w:tcW w:w="1080" w:type="dxa"/>
            <w:shd w:val="clear" w:color="auto" w:fill="FFFFFF"/>
          </w:tcPr>
          <w:p w14:paraId="530D5215" w14:textId="77777777" w:rsidR="00BE2257" w:rsidRPr="00665401" w:rsidRDefault="00BE2257" w:rsidP="00A802C3">
            <w:pPr>
              <w:pStyle w:val="CETBodytext"/>
              <w:ind w:right="-1"/>
              <w:rPr>
                <w:rFonts w:cs="Arial"/>
                <w:szCs w:val="18"/>
                <w:lang w:val="en-GB"/>
              </w:rPr>
            </w:pPr>
            <w:r w:rsidRPr="00665401">
              <w:rPr>
                <w:rFonts w:cs="Arial"/>
                <w:szCs w:val="18"/>
                <w:lang w:val="en-GB"/>
              </w:rPr>
              <w:t>75th pct</w:t>
            </w:r>
          </w:p>
        </w:tc>
        <w:tc>
          <w:tcPr>
            <w:tcW w:w="1080" w:type="dxa"/>
            <w:shd w:val="clear" w:color="auto" w:fill="FFFFFF"/>
          </w:tcPr>
          <w:p w14:paraId="4112E1F8" w14:textId="77777777" w:rsidR="00BE2257" w:rsidRPr="00665401" w:rsidRDefault="00BE2257" w:rsidP="00A802C3">
            <w:pPr>
              <w:pStyle w:val="CETBodytext"/>
              <w:ind w:right="-1"/>
              <w:jc w:val="center"/>
              <w:rPr>
                <w:rFonts w:cs="Arial"/>
                <w:szCs w:val="18"/>
                <w:lang w:val="en-GB"/>
              </w:rPr>
            </w:pPr>
            <w:r w:rsidRPr="00665401">
              <w:rPr>
                <w:rFonts w:cs="Arial"/>
                <w:szCs w:val="18"/>
                <w:lang w:val="en-GB"/>
              </w:rPr>
              <w:t>1</w:t>
            </w:r>
          </w:p>
        </w:tc>
        <w:tc>
          <w:tcPr>
            <w:tcW w:w="1080" w:type="dxa"/>
            <w:shd w:val="clear" w:color="auto" w:fill="FFFFFF"/>
          </w:tcPr>
          <w:p w14:paraId="0C73C7FB" w14:textId="77777777" w:rsidR="00BE2257" w:rsidRPr="00665401" w:rsidRDefault="00BE2257" w:rsidP="00A802C3">
            <w:pPr>
              <w:pStyle w:val="CETBodytext"/>
              <w:ind w:right="-1"/>
              <w:jc w:val="center"/>
              <w:rPr>
                <w:rFonts w:cs="Arial"/>
                <w:szCs w:val="18"/>
                <w:lang w:val="en-GB"/>
              </w:rPr>
            </w:pPr>
            <w:r>
              <w:rPr>
                <w:rFonts w:cs="Arial"/>
                <w:szCs w:val="18"/>
                <w:lang w:val="en-GB"/>
              </w:rPr>
              <w:t>2.5</w:t>
            </w:r>
          </w:p>
        </w:tc>
        <w:tc>
          <w:tcPr>
            <w:tcW w:w="1080" w:type="dxa"/>
            <w:shd w:val="clear" w:color="auto" w:fill="FFFFFF"/>
          </w:tcPr>
          <w:p w14:paraId="50CB9657" w14:textId="77777777" w:rsidR="00BE2257" w:rsidRPr="00665401" w:rsidRDefault="00BE2257" w:rsidP="00A802C3">
            <w:pPr>
              <w:pStyle w:val="CETBodytext"/>
              <w:ind w:right="-1"/>
              <w:jc w:val="center"/>
              <w:rPr>
                <w:rFonts w:cs="Arial"/>
                <w:szCs w:val="18"/>
                <w:lang w:val="en-GB"/>
              </w:rPr>
            </w:pPr>
            <w:r w:rsidRPr="00665401">
              <w:rPr>
                <w:rFonts w:cs="Arial"/>
                <w:szCs w:val="18"/>
                <w:lang w:val="en-GB"/>
              </w:rPr>
              <w:t>1</w:t>
            </w:r>
          </w:p>
        </w:tc>
        <w:tc>
          <w:tcPr>
            <w:tcW w:w="1080" w:type="dxa"/>
            <w:shd w:val="clear" w:color="auto" w:fill="FFFFFF"/>
          </w:tcPr>
          <w:p w14:paraId="2D535D40" w14:textId="77777777" w:rsidR="00BE2257" w:rsidRPr="00665401" w:rsidRDefault="00BE2257" w:rsidP="00A802C3">
            <w:pPr>
              <w:pStyle w:val="CETBodytext"/>
              <w:ind w:right="-1"/>
              <w:jc w:val="center"/>
              <w:rPr>
                <w:rFonts w:cs="Arial"/>
                <w:szCs w:val="18"/>
                <w:lang w:val="en-GB"/>
              </w:rPr>
            </w:pPr>
            <w:r>
              <w:rPr>
                <w:rFonts w:cs="Arial"/>
                <w:szCs w:val="18"/>
                <w:lang w:val="en-GB"/>
              </w:rPr>
              <w:t>2.5</w:t>
            </w:r>
          </w:p>
        </w:tc>
      </w:tr>
      <w:tr w:rsidR="00BE2257" w:rsidRPr="00B57B36" w14:paraId="630C5D6E" w14:textId="77777777" w:rsidTr="00A802C3">
        <w:trPr>
          <w:trHeight w:val="272"/>
        </w:trPr>
        <w:tc>
          <w:tcPr>
            <w:tcW w:w="1080" w:type="dxa"/>
            <w:tcBorders>
              <w:bottom w:val="single" w:sz="12" w:space="0" w:color="008000"/>
            </w:tcBorders>
            <w:shd w:val="clear" w:color="auto" w:fill="FFFFFF"/>
          </w:tcPr>
          <w:p w14:paraId="49E40F81" w14:textId="77777777" w:rsidR="00BE2257" w:rsidRPr="00B57B36" w:rsidRDefault="00BE2257" w:rsidP="00A802C3">
            <w:pPr>
              <w:pStyle w:val="CETBodytext"/>
              <w:ind w:right="-1"/>
              <w:rPr>
                <w:rFonts w:cs="Arial"/>
                <w:szCs w:val="18"/>
                <w:lang w:val="en-GB"/>
              </w:rPr>
            </w:pPr>
            <w:r>
              <w:rPr>
                <w:rFonts w:cs="Arial"/>
                <w:szCs w:val="18"/>
                <w:lang w:val="en-GB"/>
              </w:rPr>
              <w:t>95</w:t>
            </w:r>
            <w:r w:rsidRPr="00665401">
              <w:rPr>
                <w:rFonts w:cs="Arial"/>
                <w:szCs w:val="18"/>
                <w:lang w:val="en-GB"/>
              </w:rPr>
              <w:t>th</w:t>
            </w:r>
            <w:r>
              <w:rPr>
                <w:rFonts w:cs="Arial"/>
                <w:szCs w:val="18"/>
                <w:lang w:val="en-GB"/>
              </w:rPr>
              <w:t xml:space="preserve"> pct</w:t>
            </w:r>
          </w:p>
        </w:tc>
        <w:tc>
          <w:tcPr>
            <w:tcW w:w="1080" w:type="dxa"/>
            <w:tcBorders>
              <w:bottom w:val="single" w:sz="12" w:space="0" w:color="008000"/>
            </w:tcBorders>
            <w:shd w:val="clear" w:color="auto" w:fill="FFFFFF"/>
          </w:tcPr>
          <w:p w14:paraId="4D33A78C" w14:textId="77777777" w:rsidR="00BE2257" w:rsidRPr="00B57B36" w:rsidRDefault="00BE2257" w:rsidP="00A802C3">
            <w:pPr>
              <w:pStyle w:val="CETBodytext"/>
              <w:ind w:right="-1"/>
              <w:jc w:val="center"/>
              <w:rPr>
                <w:rFonts w:cs="Arial"/>
                <w:szCs w:val="18"/>
                <w:lang w:val="en-GB"/>
              </w:rPr>
            </w:pPr>
            <w:r>
              <w:rPr>
                <w:rFonts w:cs="Arial"/>
                <w:szCs w:val="18"/>
                <w:lang w:val="en-GB"/>
              </w:rPr>
              <w:t>3.5</w:t>
            </w:r>
          </w:p>
        </w:tc>
        <w:tc>
          <w:tcPr>
            <w:tcW w:w="1080" w:type="dxa"/>
            <w:tcBorders>
              <w:bottom w:val="single" w:sz="12" w:space="0" w:color="008000"/>
            </w:tcBorders>
            <w:shd w:val="clear" w:color="auto" w:fill="FFFFFF"/>
          </w:tcPr>
          <w:p w14:paraId="51AF7DF9" w14:textId="77777777" w:rsidR="00BE2257" w:rsidRDefault="00BE2257" w:rsidP="00A802C3">
            <w:pPr>
              <w:pStyle w:val="CETBodytext"/>
              <w:ind w:right="-1"/>
              <w:jc w:val="center"/>
              <w:rPr>
                <w:rFonts w:cs="Arial"/>
                <w:szCs w:val="18"/>
                <w:lang w:val="en-GB"/>
              </w:rPr>
            </w:pPr>
            <w:r>
              <w:rPr>
                <w:rFonts w:cs="Arial"/>
                <w:szCs w:val="18"/>
                <w:lang w:val="en-GB"/>
              </w:rPr>
              <w:t>18.5</w:t>
            </w:r>
          </w:p>
        </w:tc>
        <w:tc>
          <w:tcPr>
            <w:tcW w:w="1080" w:type="dxa"/>
            <w:tcBorders>
              <w:bottom w:val="single" w:sz="12" w:space="0" w:color="008000"/>
            </w:tcBorders>
            <w:shd w:val="clear" w:color="auto" w:fill="FFFFFF"/>
          </w:tcPr>
          <w:p w14:paraId="5480AAAC" w14:textId="77777777" w:rsidR="00BE2257" w:rsidRPr="00B57B36" w:rsidRDefault="00BE2257" w:rsidP="00A802C3">
            <w:pPr>
              <w:pStyle w:val="CETBodytext"/>
              <w:ind w:right="-1"/>
              <w:jc w:val="center"/>
              <w:rPr>
                <w:rFonts w:cs="Arial"/>
                <w:szCs w:val="18"/>
                <w:lang w:val="en-GB"/>
              </w:rPr>
            </w:pPr>
            <w:r>
              <w:rPr>
                <w:rFonts w:cs="Arial"/>
                <w:szCs w:val="18"/>
                <w:lang w:val="en-GB"/>
              </w:rPr>
              <w:t>1.7</w:t>
            </w:r>
          </w:p>
        </w:tc>
        <w:tc>
          <w:tcPr>
            <w:tcW w:w="1080" w:type="dxa"/>
            <w:tcBorders>
              <w:bottom w:val="single" w:sz="12" w:space="0" w:color="008000"/>
            </w:tcBorders>
            <w:shd w:val="clear" w:color="auto" w:fill="FFFFFF"/>
          </w:tcPr>
          <w:p w14:paraId="672073EE" w14:textId="77777777" w:rsidR="00BE2257" w:rsidRDefault="00BE2257" w:rsidP="00A802C3">
            <w:pPr>
              <w:pStyle w:val="CETBodytext"/>
              <w:ind w:right="-1"/>
              <w:jc w:val="center"/>
              <w:rPr>
                <w:rFonts w:cs="Arial"/>
                <w:szCs w:val="18"/>
                <w:lang w:val="en-GB"/>
              </w:rPr>
            </w:pPr>
            <w:r>
              <w:rPr>
                <w:rFonts w:cs="Arial"/>
                <w:szCs w:val="18"/>
                <w:lang w:val="en-GB"/>
              </w:rPr>
              <w:t>8</w:t>
            </w:r>
          </w:p>
        </w:tc>
      </w:tr>
    </w:tbl>
    <w:p w14:paraId="7CCB9FF4" w14:textId="0C57D210" w:rsidR="008C4431" w:rsidRDefault="008C4431" w:rsidP="0013239A">
      <w:pPr>
        <w:pStyle w:val="CETHeadingxx"/>
      </w:pPr>
      <w:r w:rsidRPr="00CA30C1">
        <w:t xml:space="preserve">Site </w:t>
      </w:r>
      <w:r>
        <w:t>B</w:t>
      </w:r>
      <w:r w:rsidRPr="00CA30C1">
        <w:t xml:space="preserve">: </w:t>
      </w:r>
      <w:r>
        <w:t>landfill</w:t>
      </w:r>
      <w:r w:rsidRPr="00CA30C1">
        <w:t xml:space="preserve"> </w:t>
      </w:r>
    </w:p>
    <w:p w14:paraId="15F6DB69" w14:textId="1D0B2197" w:rsidR="00E00F87" w:rsidRDefault="00E00F87" w:rsidP="00BE2257">
      <w:pPr>
        <w:pStyle w:val="CETBodytext"/>
        <w:spacing w:after="120"/>
      </w:pPr>
      <w:r>
        <w:t>During the period May-August</w:t>
      </w:r>
      <w:r w:rsidR="00C30AC4">
        <w:t xml:space="preserve"> 2019</w:t>
      </w:r>
      <w:r>
        <w:t>, the monitoring stations sampling rate was set to 0.067 Hz (1 sample each 15 se</w:t>
      </w:r>
      <w:r w:rsidR="00740F6F">
        <w:t>c</w:t>
      </w:r>
      <w:r>
        <w:t>onds)</w:t>
      </w:r>
      <w:r w:rsidR="00740F6F">
        <w:t>.</w:t>
      </w:r>
      <w:r>
        <w:t xml:space="preserve"> </w:t>
      </w:r>
      <w:r w:rsidR="00E552E4">
        <w:t>E</w:t>
      </w:r>
      <w:r w:rsidR="007F1D75" w:rsidRPr="00C462EE">
        <w:rPr>
          <w:rFonts w:eastAsiaTheme="minorHAnsi"/>
        </w:rPr>
        <w:t>mpirical cumulative distribution frequencies</w:t>
      </w:r>
      <w:r w:rsidR="007F1D75">
        <w:rPr>
          <w:rFonts w:eastAsiaTheme="minorHAnsi"/>
        </w:rPr>
        <w:t xml:space="preserve"> (ECDF) of PTM are plotted for near-field (</w:t>
      </w:r>
      <w:r w:rsidR="001C6F97">
        <w:rPr>
          <w:rFonts w:eastAsiaTheme="minorHAnsi"/>
        </w:rPr>
        <w:t xml:space="preserve">Figure </w:t>
      </w:r>
      <w:r w:rsidR="007F1D75">
        <w:rPr>
          <w:rFonts w:eastAsiaTheme="minorHAnsi"/>
        </w:rPr>
        <w:t>1a) and far</w:t>
      </w:r>
      <w:r w:rsidR="001C6F97">
        <w:rPr>
          <w:rFonts w:eastAsiaTheme="minorHAnsi"/>
        </w:rPr>
        <w:t xml:space="preserve">-field </w:t>
      </w:r>
      <w:r w:rsidR="007F1D75">
        <w:rPr>
          <w:rFonts w:eastAsiaTheme="minorHAnsi"/>
        </w:rPr>
        <w:t>(</w:t>
      </w:r>
      <w:r w:rsidR="001C6F97">
        <w:rPr>
          <w:rFonts w:eastAsiaTheme="minorHAnsi"/>
        </w:rPr>
        <w:t xml:space="preserve">Figure </w:t>
      </w:r>
      <w:r w:rsidR="007F1D75">
        <w:rPr>
          <w:rFonts w:eastAsiaTheme="minorHAnsi"/>
        </w:rPr>
        <w:t>1b) monitoring stations.</w:t>
      </w:r>
      <w:r w:rsidR="00C33AF6">
        <w:rPr>
          <w:rFonts w:eastAsiaTheme="minorHAnsi"/>
        </w:rPr>
        <w:t xml:space="preserve"> </w:t>
      </w:r>
      <w:r w:rsidR="007F1D75">
        <w:rPr>
          <w:rFonts w:eastAsiaTheme="minorHAnsi"/>
        </w:rPr>
        <w:t>Over the 123</w:t>
      </w:r>
      <w:r w:rsidR="00CE5FBE">
        <w:rPr>
          <w:rFonts w:eastAsiaTheme="minorHAnsi"/>
        </w:rPr>
        <w:t>-</w:t>
      </w:r>
      <w:r w:rsidR="007F1D75">
        <w:rPr>
          <w:rFonts w:eastAsiaTheme="minorHAnsi"/>
        </w:rPr>
        <w:t>day observational period</w:t>
      </w:r>
      <w:r w:rsidR="0007217C">
        <w:rPr>
          <w:rFonts w:eastAsiaTheme="minorHAnsi"/>
        </w:rPr>
        <w:t xml:space="preserve">, </w:t>
      </w:r>
      <w:r w:rsidR="007F1D75">
        <w:rPr>
          <w:rFonts w:eastAsiaTheme="minorHAnsi"/>
        </w:rPr>
        <w:t xml:space="preserve">where sampling rate was set to </w:t>
      </w:r>
      <w:r w:rsidR="007F1D75">
        <w:t xml:space="preserve">0.067 Hz, the </w:t>
      </w:r>
      <w:r w:rsidR="009D19EA">
        <w:t>impact</w:t>
      </w:r>
      <w:r w:rsidR="007F1D75">
        <w:t xml:space="preserve"> of lower frequency sampling was investigated by </w:t>
      </w:r>
      <w:proofErr w:type="spellStart"/>
      <w:r w:rsidR="007F1D75">
        <w:t>downsampling</w:t>
      </w:r>
      <w:proofErr w:type="spellEnd"/>
      <w:r w:rsidR="007F1D75">
        <w:t xml:space="preserve"> the data to 0.033 Hz (1 sample</w:t>
      </w:r>
      <w:r w:rsidR="00E552E4">
        <w:t>/</w:t>
      </w:r>
      <w:r w:rsidR="007F1D75">
        <w:t>30 seconds).</w:t>
      </w:r>
      <w:r w:rsidR="007024A6">
        <w:t xml:space="preserve"> </w:t>
      </w:r>
      <w:r w:rsidR="007F1D75">
        <w:t xml:space="preserve">As far as the northern station is </w:t>
      </w:r>
      <w:r w:rsidR="007F1D75" w:rsidRPr="0039636E">
        <w:t>concerned (Fig</w:t>
      </w:r>
      <w:r w:rsidR="00004DBE" w:rsidRPr="0039636E">
        <w:t>ure</w:t>
      </w:r>
      <w:r w:rsidR="007F1D75" w:rsidRPr="0039636E">
        <w:t xml:space="preserve"> </w:t>
      </w:r>
      <w:r w:rsidR="00004DBE" w:rsidRPr="0039636E">
        <w:t>1</w:t>
      </w:r>
      <w:r w:rsidR="007F1D75" w:rsidRPr="0039636E">
        <w:t>a), the 95</w:t>
      </w:r>
      <w:r w:rsidR="007F1D75" w:rsidRPr="0039636E">
        <w:rPr>
          <w:vertAlign w:val="superscript"/>
        </w:rPr>
        <w:t>th</w:t>
      </w:r>
      <w:r w:rsidR="007F1D75" w:rsidRPr="0039636E">
        <w:t xml:space="preserve"> percentile of PTM ECDF is 41 when we consider the original data sampled at</w:t>
      </w:r>
      <w:r w:rsidR="007F1D75">
        <w:t xml:space="preserve"> 0,067 Hz</w:t>
      </w:r>
      <w:r w:rsidR="00E552E4">
        <w:t>:</w:t>
      </w:r>
      <w:r w:rsidR="007F1D75">
        <w:t xml:space="preserve"> during the observational period PTM exceeds 41 only 5% of the time.</w:t>
      </w:r>
      <w:r w:rsidR="007024A6">
        <w:t xml:space="preserve"> </w:t>
      </w:r>
      <w:r w:rsidR="007F1D75">
        <w:t xml:space="preserve">When we calculate the ECDF of PTM starting from </w:t>
      </w:r>
      <w:proofErr w:type="spellStart"/>
      <w:r w:rsidR="007F1D75">
        <w:t>downsampled</w:t>
      </w:r>
      <w:proofErr w:type="spellEnd"/>
      <w:r w:rsidR="007F1D75">
        <w:t xml:space="preserve"> data (0.003 Hz),</w:t>
      </w:r>
      <w:r w:rsidR="0007217C">
        <w:t xml:space="preserve"> </w:t>
      </w:r>
      <w:r w:rsidR="007F1D75">
        <w:t>lower values are clearly obtained and the 95</w:t>
      </w:r>
      <w:r w:rsidR="007F1D75" w:rsidRPr="00C462EE">
        <w:rPr>
          <w:vertAlign w:val="superscript"/>
        </w:rPr>
        <w:t>th</w:t>
      </w:r>
      <w:r w:rsidR="007F1D75">
        <w:t xml:space="preserve"> percentile of PTM ECDF is 30: the lower </w:t>
      </w:r>
      <w:r w:rsidR="009D19EA">
        <w:t>the sampling frequency is</w:t>
      </w:r>
      <w:r w:rsidR="007F1D75">
        <w:t xml:space="preserve">, the lower the PTM ratio </w:t>
      </w:r>
      <w:r w:rsidR="009D19EA">
        <w:t>becomes</w:t>
      </w:r>
      <w:r w:rsidR="007F1D75">
        <w:t xml:space="preserve">, </w:t>
      </w:r>
      <w:r w:rsidR="009D19EA">
        <w:t>resulting in</w:t>
      </w:r>
      <w:r w:rsidR="007F1D75">
        <w:t xml:space="preserve"> losing the </w:t>
      </w:r>
      <w:proofErr w:type="spellStart"/>
      <w:r w:rsidR="00B3072A">
        <w:t>odour</w:t>
      </w:r>
      <w:proofErr w:type="spellEnd"/>
      <w:r w:rsidR="007F1D75">
        <w:t xml:space="preserve"> fluctuations we are interested in studying for evaluating the nuisance on receptors.</w:t>
      </w:r>
    </w:p>
    <w:p w14:paraId="71C3B137" w14:textId="77777777" w:rsidR="00740F6F" w:rsidRDefault="000A0F64" w:rsidP="0031382A">
      <w:pPr>
        <w:pStyle w:val="CETBodytext"/>
        <w:jc w:val="center"/>
      </w:pPr>
      <w:r>
        <w:rPr>
          <w:noProof/>
        </w:rPr>
        <w:drawing>
          <wp:inline distT="0" distB="0" distL="0" distR="0" wp14:anchorId="0CD8F873" wp14:editId="1B0BB66E">
            <wp:extent cx="4817830" cy="2361277"/>
            <wp:effectExtent l="0" t="0" r="1905" b="127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6171" t="4809" r="7877"/>
                    <a:stretch/>
                  </pic:blipFill>
                  <pic:spPr bwMode="auto">
                    <a:xfrm>
                      <a:off x="0" y="0"/>
                      <a:ext cx="5021677" cy="2461185"/>
                    </a:xfrm>
                    <a:prstGeom prst="rect">
                      <a:avLst/>
                    </a:prstGeom>
                    <a:noFill/>
                    <a:ln>
                      <a:noFill/>
                    </a:ln>
                    <a:extLst>
                      <a:ext uri="{53640926-AAD7-44D8-BBD7-CCE9431645EC}">
                        <a14:shadowObscured xmlns:a14="http://schemas.microsoft.com/office/drawing/2010/main"/>
                      </a:ext>
                    </a:extLst>
                  </pic:spPr>
                </pic:pic>
              </a:graphicData>
            </a:graphic>
          </wp:inline>
        </w:drawing>
      </w:r>
    </w:p>
    <w:p w14:paraId="266924EF" w14:textId="5FF4B431" w:rsidR="004969DE" w:rsidRPr="00B57B36" w:rsidRDefault="004969DE" w:rsidP="007B6E22">
      <w:pPr>
        <w:pStyle w:val="CETCaption"/>
        <w:spacing w:before="160"/>
      </w:pPr>
      <w:r w:rsidRPr="00611E84">
        <w:t xml:space="preserve">Figure 1: </w:t>
      </w:r>
      <w:r w:rsidR="00004DBE" w:rsidRPr="00611E84">
        <w:t xml:space="preserve">Empirical cumulative distribution for PTM ratios in northern station (a) and southern station (b) as a function of IOMS sampling rate </w:t>
      </w:r>
      <w:r w:rsidR="00E552E4">
        <w:t>for the period May-August 2019.</w:t>
      </w:r>
    </w:p>
    <w:p w14:paraId="1E35AEA2" w14:textId="1606E15B" w:rsidR="008C4431" w:rsidRDefault="007F1D75" w:rsidP="00A56635">
      <w:pPr>
        <w:pStyle w:val="CETBodytext"/>
      </w:pPr>
      <w:r w:rsidRPr="001C6F97">
        <w:t>On the other hand</w:t>
      </w:r>
      <w:r w:rsidR="00153C50" w:rsidRPr="001C6F97">
        <w:t>,</w:t>
      </w:r>
      <w:r w:rsidRPr="001C6F97">
        <w:t xml:space="preserve"> sufficiently far from the source (southern station) (Fig</w:t>
      </w:r>
      <w:r w:rsidR="00004DBE" w:rsidRPr="001C6F97">
        <w:t>ure</w:t>
      </w:r>
      <w:r w:rsidRPr="001C6F97">
        <w:t xml:space="preserve"> </w:t>
      </w:r>
      <w:r w:rsidR="00004DBE" w:rsidRPr="001C6F97">
        <w:t>1</w:t>
      </w:r>
      <w:r w:rsidRPr="001C6F97">
        <w:t>b),</w:t>
      </w:r>
      <w:r>
        <w:t xml:space="preserve"> </w:t>
      </w:r>
      <w:proofErr w:type="spellStart"/>
      <w:r w:rsidR="00B3072A">
        <w:t>odour</w:t>
      </w:r>
      <w:proofErr w:type="spellEnd"/>
      <w:r>
        <w:t xml:space="preserve"> fluctuations are less relevant (95</w:t>
      </w:r>
      <w:r w:rsidRPr="00C462EE">
        <w:rPr>
          <w:vertAlign w:val="superscript"/>
        </w:rPr>
        <w:t>th</w:t>
      </w:r>
      <w:r>
        <w:t xml:space="preserve"> percentile of PTM ECDF is 1.5) and, as a consequence, doubling the sampling time does not influence the PTM rations distribution</w:t>
      </w:r>
      <w:r w:rsidR="00312DD8">
        <w:t xml:space="preserve">, as pointed out by </w:t>
      </w:r>
      <w:proofErr w:type="spellStart"/>
      <w:r w:rsidR="00312DD8" w:rsidRPr="00312DD8">
        <w:t>Mylne</w:t>
      </w:r>
      <w:proofErr w:type="spellEnd"/>
      <w:r w:rsidR="00312DD8" w:rsidRPr="00312DD8">
        <w:t xml:space="preserve"> and Mason</w:t>
      </w:r>
      <w:r w:rsidR="00312DD8">
        <w:t xml:space="preserve"> (1991)</w:t>
      </w:r>
      <w:r w:rsidR="00C61A8E">
        <w:t>.</w:t>
      </w:r>
      <w:r w:rsidR="00312DD8">
        <w:t xml:space="preserve"> </w:t>
      </w:r>
      <w:r w:rsidR="00C33AF6">
        <w:t xml:space="preserve">The monitoring period duration is also relevant for assessing the PTM ratios: the longer the monitoring periods, </w:t>
      </w:r>
      <w:r w:rsidR="009D19EA">
        <w:t xml:space="preserve">the more likely the occurrence of high concentrations during instant measurements </w:t>
      </w:r>
      <w:r w:rsidR="00C33AF6">
        <w:t xml:space="preserve">is and, consequently, the higher the PTM ratio will be. When </w:t>
      </w:r>
      <w:r w:rsidR="00BE5025">
        <w:t>8</w:t>
      </w:r>
      <w:r w:rsidR="00C33AF6">
        <w:t xml:space="preserve"> months monitoring period is considered (May-December 2019),</w:t>
      </w:r>
      <w:r w:rsidR="00F5277E">
        <w:t xml:space="preserve"> and the data are adjusted to the sampling frequency of 0.033 Hz (for the first 3 months </w:t>
      </w:r>
      <w:proofErr w:type="spellStart"/>
      <w:r w:rsidR="00F5277E">
        <w:t>downsampled</w:t>
      </w:r>
      <w:proofErr w:type="spellEnd"/>
      <w:r w:rsidR="00F5277E">
        <w:t xml:space="preserve"> data are used, while in the second 3-months period the sampling rate was set to 0.033 Hz),</w:t>
      </w:r>
      <w:r w:rsidR="00C33AF6">
        <w:t xml:space="preserve"> the near-field monitoring station </w:t>
      </w:r>
      <w:r w:rsidR="00F5277E">
        <w:t>shows a 95</w:t>
      </w:r>
      <w:r w:rsidR="00F5277E" w:rsidRPr="00C462EE">
        <w:rPr>
          <w:vertAlign w:val="superscript"/>
        </w:rPr>
        <w:t>th</w:t>
      </w:r>
      <w:r w:rsidR="00F5277E">
        <w:t xml:space="preserve"> percentile of PTM ECDF equal to 34, </w:t>
      </w:r>
      <w:r w:rsidR="00C30AC4">
        <w:t>slightly</w:t>
      </w:r>
      <w:r w:rsidR="00F5277E">
        <w:t xml:space="preserve"> greater than the value obtained in the first </w:t>
      </w:r>
      <w:r w:rsidR="00E552E4">
        <w:t>four</w:t>
      </w:r>
      <w:r w:rsidR="00F5277E">
        <w:t xml:space="preserve"> months (30). </w:t>
      </w:r>
      <w:r w:rsidR="005643DF">
        <w:t>Also,</w:t>
      </w:r>
      <w:r w:rsidR="00F5277E">
        <w:t xml:space="preserve"> for the far-fie</w:t>
      </w:r>
      <w:r w:rsidR="005643DF">
        <w:t>l</w:t>
      </w:r>
      <w:r w:rsidR="00F5277E">
        <w:t>d station, an increase of 95</w:t>
      </w:r>
      <w:r w:rsidR="00F5277E" w:rsidRPr="00C462EE">
        <w:rPr>
          <w:vertAlign w:val="superscript"/>
        </w:rPr>
        <w:t>th</w:t>
      </w:r>
      <w:r w:rsidR="00F5277E">
        <w:t xml:space="preserve"> percentile of PTM ECDF was observed</w:t>
      </w:r>
      <w:r w:rsidR="005643DF">
        <w:t xml:space="preserve"> </w:t>
      </w:r>
      <w:r w:rsidR="00F5277E">
        <w:t>from 1.5 to 2.5.</w:t>
      </w:r>
      <w:r w:rsidR="008C58E4">
        <w:t xml:space="preserve"> </w:t>
      </w:r>
      <w:r w:rsidR="005643DF">
        <w:t>P</w:t>
      </w:r>
      <w:r w:rsidR="00A253CE">
        <w:t>T</w:t>
      </w:r>
      <w:r w:rsidR="005643DF">
        <w:t xml:space="preserve">M ratios in near-field for landfill are higher than </w:t>
      </w:r>
      <w:r w:rsidR="009D19EA">
        <w:t xml:space="preserve">the </w:t>
      </w:r>
      <w:r w:rsidR="005643DF">
        <w:t>composting plant</w:t>
      </w:r>
      <w:r w:rsidR="009D19EA">
        <w:t>’s</w:t>
      </w:r>
      <w:r w:rsidR="005643DF">
        <w:t>, as it is well known that buildings dampen the variations in plume fluctuations (peak-to-mean) ratios, especially for non</w:t>
      </w:r>
      <w:r w:rsidR="00E77958">
        <w:t>-</w:t>
      </w:r>
      <w:r w:rsidR="005643DF">
        <w:t>buoyant emission sources (Porter, 2006).</w:t>
      </w:r>
      <w:r w:rsidR="008C58E4">
        <w:t xml:space="preserve"> </w:t>
      </w:r>
      <w:r w:rsidR="00C30AC4">
        <w:t>F</w:t>
      </w:r>
      <w:r w:rsidR="00F5277E">
        <w:t xml:space="preserve">ar-field values of 95% percentile of calculated PTM ratios over a monitoring period of </w:t>
      </w:r>
      <w:r w:rsidR="00E552E4">
        <w:t>8</w:t>
      </w:r>
      <w:r w:rsidR="00F5277E">
        <w:t xml:space="preserve"> months is consistent with the </w:t>
      </w:r>
      <w:r w:rsidR="00F5277E">
        <w:lastRenderedPageBreak/>
        <w:t>value suggested</w:t>
      </w:r>
      <w:r w:rsidR="00C30AC4">
        <w:t xml:space="preserve"> in Italy (</w:t>
      </w:r>
      <w:r w:rsidR="00904386">
        <w:t>Brancher et al., 2017)</w:t>
      </w:r>
      <w:r w:rsidR="00C30AC4">
        <w:t xml:space="preserve"> </w:t>
      </w:r>
      <w:r w:rsidR="00F5277E">
        <w:t>for correcting the hourly averaged co</w:t>
      </w:r>
      <w:r w:rsidR="00C30AC4">
        <w:t>n</w:t>
      </w:r>
      <w:r w:rsidR="00F5277E">
        <w:t>c</w:t>
      </w:r>
      <w:r w:rsidR="00C30AC4">
        <w:t>e</w:t>
      </w:r>
      <w:r w:rsidR="00F5277E">
        <w:t xml:space="preserve">ntrations obtained by </w:t>
      </w:r>
      <w:proofErr w:type="spellStart"/>
      <w:r w:rsidR="00F5277E" w:rsidRPr="00B3072A">
        <w:t>odo</w:t>
      </w:r>
      <w:r w:rsidR="009D19EA" w:rsidRPr="00B3072A">
        <w:t>u</w:t>
      </w:r>
      <w:r w:rsidR="00F5277E" w:rsidRPr="00B3072A">
        <w:t>r</w:t>
      </w:r>
      <w:proofErr w:type="spellEnd"/>
      <w:r w:rsidR="00F5277E" w:rsidRPr="00B3072A">
        <w:t xml:space="preserve"> dispersion model</w:t>
      </w:r>
      <w:r w:rsidR="00153C50" w:rsidRPr="00B3072A">
        <w:t>s using hourly-averaged wind data</w:t>
      </w:r>
      <w:r w:rsidR="00F5277E" w:rsidRPr="00B3072A">
        <w:t xml:space="preserve"> and is also consistent with</w:t>
      </w:r>
      <w:r w:rsidR="00823B24" w:rsidRPr="00B3072A">
        <w:t xml:space="preserve"> the far-fi</w:t>
      </w:r>
      <w:r w:rsidR="00153C50" w:rsidRPr="00B3072A">
        <w:t>e</w:t>
      </w:r>
      <w:r w:rsidR="00823B24" w:rsidRPr="00B3072A">
        <w:t xml:space="preserve">ld values for </w:t>
      </w:r>
      <w:r w:rsidR="00823B24">
        <w:t>area source</w:t>
      </w:r>
      <w:r w:rsidR="00C30AC4">
        <w:t>s</w:t>
      </w:r>
      <w:r w:rsidR="00823B24">
        <w:t xml:space="preserve"> given by</w:t>
      </w:r>
      <w:r w:rsidR="00F5277E">
        <w:t xml:space="preserve"> the </w:t>
      </w:r>
      <w:r w:rsidR="00823B24">
        <w:t xml:space="preserve">guidelines of </w:t>
      </w:r>
      <w:r w:rsidR="00C30AC4">
        <w:t>N</w:t>
      </w:r>
      <w:r w:rsidR="00823B24">
        <w:t xml:space="preserve">ew South Wales EPA </w:t>
      </w:r>
      <w:r w:rsidR="0007217C">
        <w:t>(</w:t>
      </w:r>
      <w:proofErr w:type="spellStart"/>
      <w:r w:rsidR="0007217C" w:rsidRPr="0039636E">
        <w:t>Katestone</w:t>
      </w:r>
      <w:proofErr w:type="spellEnd"/>
      <w:r w:rsidR="0007217C" w:rsidRPr="0039636E">
        <w:t xml:space="preserve"> Scientific</w:t>
      </w:r>
      <w:r w:rsidR="0007217C">
        <w:t>,</w:t>
      </w:r>
      <w:r w:rsidR="0007217C" w:rsidRPr="0039636E">
        <w:t xml:space="preserve"> 199</w:t>
      </w:r>
      <w:r w:rsidR="0007217C">
        <w:t>8)</w:t>
      </w:r>
      <w:r w:rsidR="00823B24">
        <w:t xml:space="preserve"> for estimating Peak-to-mean ratios for different source.</w:t>
      </w:r>
      <w:r w:rsidR="00C30AC4">
        <w:t xml:space="preserve"> Near</w:t>
      </w:r>
      <w:r w:rsidR="00153C50">
        <w:t>-</w:t>
      </w:r>
      <w:r w:rsidR="00C30AC4">
        <w:t>fi</w:t>
      </w:r>
      <w:r w:rsidR="00153C50">
        <w:t>e</w:t>
      </w:r>
      <w:r w:rsidR="00C30AC4">
        <w:t>ld values</w:t>
      </w:r>
      <w:r w:rsidR="00E552E4" w:rsidRPr="00E552E4">
        <w:t xml:space="preserve"> </w:t>
      </w:r>
      <w:r w:rsidR="00E552E4">
        <w:t>of PTM ratios</w:t>
      </w:r>
      <w:r w:rsidR="00C30AC4">
        <w:t xml:space="preserve">, on the other hand, are </w:t>
      </w:r>
      <w:r w:rsidR="00153C50">
        <w:t>considerably</w:t>
      </w:r>
      <w:r w:rsidR="00C30AC4">
        <w:t xml:space="preserve"> higher</w:t>
      </w:r>
      <w:r w:rsidR="0031382A">
        <w:t xml:space="preserve"> (</w:t>
      </w:r>
      <w:proofErr w:type="spellStart"/>
      <w:r w:rsidR="0031382A">
        <w:t>Invernizzi</w:t>
      </w:r>
      <w:proofErr w:type="spellEnd"/>
      <w:r w:rsidR="0031382A">
        <w:t xml:space="preserve"> et al, 2020)</w:t>
      </w:r>
      <w:r w:rsidR="00153C50">
        <w:t>, thus</w:t>
      </w:r>
      <w:r w:rsidR="00C30AC4">
        <w:t xml:space="preserve"> using values of 2.3 clearly underestimate</w:t>
      </w:r>
      <w:r w:rsidR="00153C50">
        <w:t>s</w:t>
      </w:r>
      <w:r w:rsidR="00C30AC4">
        <w:t xml:space="preserve"> by a factor of </w:t>
      </w:r>
      <w:r w:rsidR="00C30AC4">
        <w:rPr>
          <w:rFonts w:cs="Arial"/>
        </w:rPr>
        <w:t>~</w:t>
      </w:r>
      <w:r w:rsidR="00C30AC4">
        <w:t>10 the peak concentrations nearby the source area.</w:t>
      </w:r>
      <w:r w:rsidR="00823B24">
        <w:t xml:space="preserve"> </w:t>
      </w:r>
      <w:r w:rsidR="00243A5B">
        <w:t xml:space="preserve">A detailed statistical analysis of PTM </w:t>
      </w:r>
      <w:r w:rsidR="00D35C90">
        <w:t xml:space="preserve">ratios related to atmospheric conditions (wind velocity, atmospheric stability, </w:t>
      </w:r>
      <w:proofErr w:type="spellStart"/>
      <w:proofErr w:type="gramStart"/>
      <w:r w:rsidR="00D35C90">
        <w:t>etc</w:t>
      </w:r>
      <w:proofErr w:type="spellEnd"/>
      <w:r w:rsidR="00D35C90">
        <w:t>,,</w:t>
      </w:r>
      <w:proofErr w:type="gramEnd"/>
      <w:r w:rsidR="00D35C90">
        <w:t>)</w:t>
      </w:r>
      <w:r w:rsidR="00D35C90" w:rsidRPr="00D35C90">
        <w:t xml:space="preserve"> </w:t>
      </w:r>
      <w:r w:rsidR="00D35C90">
        <w:t>is under preparation.</w:t>
      </w:r>
    </w:p>
    <w:p w14:paraId="2CE545C4" w14:textId="0E94641F" w:rsidR="00C74D4A" w:rsidRDefault="00FA1547" w:rsidP="00C74D4A">
      <w:pPr>
        <w:pStyle w:val="CETheadingx"/>
      </w:pPr>
      <w:r>
        <w:t>Spectral</w:t>
      </w:r>
      <w:r w:rsidR="00C74D4A">
        <w:t xml:space="preserve"> analysis</w:t>
      </w:r>
    </w:p>
    <w:p w14:paraId="44921B67" w14:textId="75B1AE50" w:rsidR="00D16375" w:rsidRDefault="00611E84" w:rsidP="00AB1B37">
      <w:pPr>
        <w:pStyle w:val="CETBodytext"/>
        <w:rPr>
          <w:lang w:val="en-GB"/>
        </w:rPr>
      </w:pPr>
      <w:r w:rsidRPr="00611E84">
        <w:rPr>
          <w:lang w:val="en-GB"/>
        </w:rPr>
        <w:t xml:space="preserve">Power Spectral </w:t>
      </w:r>
      <w:r w:rsidR="00FA1547">
        <w:rPr>
          <w:lang w:val="en-GB"/>
        </w:rPr>
        <w:t>D</w:t>
      </w:r>
      <w:r w:rsidRPr="00611E84">
        <w:rPr>
          <w:lang w:val="en-GB"/>
        </w:rPr>
        <w:t xml:space="preserve">ensity </w:t>
      </w:r>
      <w:r w:rsidR="00FA1547">
        <w:rPr>
          <w:lang w:val="en-GB"/>
        </w:rPr>
        <w:t xml:space="preserve">(PSD) </w:t>
      </w:r>
      <w:r w:rsidRPr="00611E84">
        <w:rPr>
          <w:lang w:val="en-GB"/>
        </w:rPr>
        <w:t>for composting plant (Figure 2a,</w:t>
      </w:r>
      <w:r w:rsidR="007B6E22">
        <w:rPr>
          <w:lang w:val="en-GB"/>
        </w:rPr>
        <w:t xml:space="preserve"> </w:t>
      </w:r>
      <w:r w:rsidRPr="00611E84">
        <w:rPr>
          <w:lang w:val="en-GB"/>
        </w:rPr>
        <w:t>b) and landfill (Figure 2c,</w:t>
      </w:r>
      <w:r w:rsidR="007B6E22">
        <w:rPr>
          <w:lang w:val="en-GB"/>
        </w:rPr>
        <w:t xml:space="preserve"> </w:t>
      </w:r>
      <w:r w:rsidRPr="00611E84">
        <w:rPr>
          <w:lang w:val="en-GB"/>
        </w:rPr>
        <w:t>d) are shown</w:t>
      </w:r>
      <w:r w:rsidR="00557833">
        <w:rPr>
          <w:lang w:val="en-GB"/>
        </w:rPr>
        <w:t xml:space="preserve"> below.</w:t>
      </w:r>
    </w:p>
    <w:p w14:paraId="416D37EA" w14:textId="77777777" w:rsidR="00D16375" w:rsidRPr="00D16375" w:rsidRDefault="00D16375" w:rsidP="00AB1B37">
      <w:pPr>
        <w:pStyle w:val="CETBodytext"/>
        <w:rPr>
          <w:sz w:val="10"/>
          <w:szCs w:val="10"/>
          <w:lang w:val="en-GB"/>
        </w:rPr>
      </w:pPr>
    </w:p>
    <w:p w14:paraId="368F2CD7" w14:textId="635A9117" w:rsidR="00AB1B37" w:rsidRDefault="00774AA9" w:rsidP="0031382A">
      <w:pPr>
        <w:pStyle w:val="CETBodytext"/>
        <w:jc w:val="center"/>
        <w:rPr>
          <w:lang w:val="en-GB"/>
        </w:rPr>
      </w:pPr>
      <w:r>
        <w:rPr>
          <w:noProof/>
        </w:rPr>
        <w:drawing>
          <wp:inline distT="0" distB="0" distL="0" distR="0" wp14:anchorId="01E5F411" wp14:editId="1F0F5149">
            <wp:extent cx="5096163" cy="4244196"/>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7877" t="4832" r="6514" b="4694"/>
                    <a:stretch/>
                  </pic:blipFill>
                  <pic:spPr bwMode="auto">
                    <a:xfrm>
                      <a:off x="0" y="0"/>
                      <a:ext cx="5142113" cy="4282464"/>
                    </a:xfrm>
                    <a:prstGeom prst="rect">
                      <a:avLst/>
                    </a:prstGeom>
                    <a:noFill/>
                    <a:ln>
                      <a:noFill/>
                    </a:ln>
                    <a:extLst>
                      <a:ext uri="{53640926-AAD7-44D8-BBD7-CCE9431645EC}">
                        <a14:shadowObscured xmlns:a14="http://schemas.microsoft.com/office/drawing/2010/main"/>
                      </a:ext>
                    </a:extLst>
                  </pic:spPr>
                </pic:pic>
              </a:graphicData>
            </a:graphic>
          </wp:inline>
        </w:drawing>
      </w:r>
    </w:p>
    <w:p w14:paraId="63C6FE71" w14:textId="22F17E7D" w:rsidR="00611E84" w:rsidRPr="00611E84" w:rsidRDefault="00C74D4A" w:rsidP="00D16375">
      <w:pPr>
        <w:pStyle w:val="CETCaption"/>
        <w:spacing w:before="120"/>
      </w:pPr>
      <w:r w:rsidRPr="00611E84">
        <w:t xml:space="preserve">Figure </w:t>
      </w:r>
      <w:r w:rsidR="0007217C" w:rsidRPr="00611E84">
        <w:t>2</w:t>
      </w:r>
      <w:r w:rsidRPr="00611E84">
        <w:t>:</w:t>
      </w:r>
      <w:r w:rsidR="00611E84" w:rsidRPr="00611E84">
        <w:t xml:space="preserve"> Power Spectral </w:t>
      </w:r>
      <w:r w:rsidR="00FA06BA">
        <w:t>D</w:t>
      </w:r>
      <w:r w:rsidR="00611E84" w:rsidRPr="00611E84">
        <w:t xml:space="preserve">ensity of time series: composting plant, fence station (a) and inner station (b); landfill, southern station (c) and northern station (d).  </w:t>
      </w:r>
    </w:p>
    <w:p w14:paraId="32F55C8C" w14:textId="77777777" w:rsidR="008C4431" w:rsidRPr="00CA30C1" w:rsidRDefault="008C4431" w:rsidP="0013239A">
      <w:pPr>
        <w:pStyle w:val="CETHeadingxx"/>
      </w:pPr>
      <w:r w:rsidRPr="00CA30C1">
        <w:t xml:space="preserve">Site A: composting plant </w:t>
      </w:r>
    </w:p>
    <w:p w14:paraId="7C0D8073" w14:textId="74976688" w:rsidR="008C58E4" w:rsidRDefault="004536FF" w:rsidP="008C58E4">
      <w:pPr>
        <w:pStyle w:val="CETBodytext"/>
        <w:rPr>
          <w:lang w:val="en-GB"/>
        </w:rPr>
      </w:pPr>
      <w:r w:rsidRPr="0007217C">
        <w:t xml:space="preserve">In </w:t>
      </w:r>
      <w:r w:rsidR="0007217C" w:rsidRPr="0007217C">
        <w:t>F</w:t>
      </w:r>
      <w:r w:rsidRPr="0007217C">
        <w:t xml:space="preserve">igure </w:t>
      </w:r>
      <w:r w:rsidR="0007217C" w:rsidRPr="0007217C">
        <w:t>2</w:t>
      </w:r>
      <w:r w:rsidRPr="0007217C">
        <w:t xml:space="preserve">a and </w:t>
      </w:r>
      <w:r w:rsidR="0007217C" w:rsidRPr="0007217C">
        <w:t>2</w:t>
      </w:r>
      <w:r w:rsidRPr="0007217C">
        <w:t>b</w:t>
      </w:r>
      <w:r w:rsidR="0026326A">
        <w:t xml:space="preserve">, </w:t>
      </w:r>
      <w:r w:rsidRPr="0007217C">
        <w:t>PSD for the fence station and inner station are shown.</w:t>
      </w:r>
      <w:r w:rsidR="00004DBE" w:rsidRPr="0007217C">
        <w:t xml:space="preserve"> </w:t>
      </w:r>
      <w:r w:rsidR="00A56635" w:rsidRPr="0007217C">
        <w:rPr>
          <w:lang w:val="en-GB"/>
        </w:rPr>
        <w:t>Odour fluctuations are stronger in</w:t>
      </w:r>
      <w:r w:rsidR="00A56635" w:rsidRPr="00E13A35">
        <w:rPr>
          <w:lang w:val="en-GB"/>
        </w:rPr>
        <w:t xml:space="preserve"> the inner station for all the frequency domain: </w:t>
      </w:r>
      <w:r w:rsidR="0013239A">
        <w:rPr>
          <w:lang w:val="en-GB"/>
        </w:rPr>
        <w:t>in addition to</w:t>
      </w:r>
      <w:r w:rsidR="00A56635" w:rsidRPr="00E13A35">
        <w:rPr>
          <w:lang w:val="en-GB"/>
        </w:rPr>
        <w:t xml:space="preserve"> the </w:t>
      </w:r>
      <w:r w:rsidR="00D7748A">
        <w:rPr>
          <w:lang w:val="en-GB"/>
        </w:rPr>
        <w:t>harmonic</w:t>
      </w:r>
      <w:r w:rsidR="00A56635" w:rsidRPr="00E13A35">
        <w:rPr>
          <w:lang w:val="en-GB"/>
        </w:rPr>
        <w:t xml:space="preserve"> corresponding to daily odour fluctuations, diurnal variation</w:t>
      </w:r>
      <w:r w:rsidR="00A56635">
        <w:rPr>
          <w:lang w:val="en-GB"/>
        </w:rPr>
        <w:t>s</w:t>
      </w:r>
      <w:r w:rsidR="00A56635" w:rsidRPr="00E13A35">
        <w:rPr>
          <w:lang w:val="en-GB"/>
        </w:rPr>
        <w:t xml:space="preserve"> are associated to 12</w:t>
      </w:r>
      <w:r w:rsidR="004928F9">
        <w:rPr>
          <w:lang w:val="en-GB"/>
        </w:rPr>
        <w:t>-</w:t>
      </w:r>
      <w:r w:rsidR="00A56635" w:rsidRPr="00E13A35">
        <w:rPr>
          <w:lang w:val="en-GB"/>
        </w:rPr>
        <w:t>h</w:t>
      </w:r>
      <w:r w:rsidR="004928F9">
        <w:rPr>
          <w:lang w:val="en-GB"/>
        </w:rPr>
        <w:t>our</w:t>
      </w:r>
      <w:r w:rsidR="00A56635" w:rsidRPr="00E13A35">
        <w:rPr>
          <w:lang w:val="en-GB"/>
        </w:rPr>
        <w:t xml:space="preserve"> and 8</w:t>
      </w:r>
      <w:r w:rsidR="004928F9">
        <w:rPr>
          <w:lang w:val="en-GB"/>
        </w:rPr>
        <w:t>-hour</w:t>
      </w:r>
      <w:r w:rsidR="00A56635" w:rsidRPr="00E13A35">
        <w:rPr>
          <w:lang w:val="en-GB"/>
        </w:rPr>
        <w:t xml:space="preserve"> periods</w:t>
      </w:r>
      <w:r w:rsidR="00A56635">
        <w:rPr>
          <w:lang w:val="en-GB"/>
        </w:rPr>
        <w:t>, whereas weekly variation</w:t>
      </w:r>
      <w:r w:rsidR="004928F9">
        <w:rPr>
          <w:lang w:val="en-GB"/>
        </w:rPr>
        <w:t>s</w:t>
      </w:r>
      <w:r w:rsidR="00A56635">
        <w:rPr>
          <w:lang w:val="en-GB"/>
        </w:rPr>
        <w:t xml:space="preserve"> are 8 days for fence station and 6 days for inner station</w:t>
      </w:r>
      <w:r w:rsidR="00A56635" w:rsidRPr="00904386">
        <w:rPr>
          <w:lang w:val="en-GB"/>
        </w:rPr>
        <w:t>.</w:t>
      </w:r>
      <w:r w:rsidRPr="00904386">
        <w:rPr>
          <w:lang w:val="en-GB"/>
        </w:rPr>
        <w:t xml:space="preserve"> </w:t>
      </w:r>
      <w:r w:rsidR="00904386" w:rsidRPr="00904386">
        <w:rPr>
          <w:rFonts w:cs="Arial"/>
          <w:lang w:val="en-GB"/>
        </w:rPr>
        <w:t>ꞷ</w:t>
      </w:r>
      <w:r w:rsidRPr="0026326A">
        <w:rPr>
          <w:vertAlign w:val="subscript"/>
          <w:lang w:val="en-GB"/>
        </w:rPr>
        <w:t>3</w:t>
      </w:r>
      <w:r w:rsidRPr="004A5B83">
        <w:rPr>
          <w:lang w:val="en-GB"/>
        </w:rPr>
        <w:t xml:space="preserve"> </w:t>
      </w:r>
      <w:r w:rsidR="00D7748A">
        <w:rPr>
          <w:lang w:val="en-GB"/>
        </w:rPr>
        <w:t>harmonic</w:t>
      </w:r>
      <w:r w:rsidRPr="004A5B83">
        <w:rPr>
          <w:lang w:val="en-GB"/>
        </w:rPr>
        <w:t xml:space="preserve"> </w:t>
      </w:r>
      <w:r w:rsidR="004A5B83" w:rsidRPr="004A5B83">
        <w:rPr>
          <w:lang w:val="en-GB"/>
        </w:rPr>
        <w:t xml:space="preserve">was observed in other </w:t>
      </w:r>
      <w:r w:rsidR="004A5B83" w:rsidRPr="00004DBE">
        <w:rPr>
          <w:lang w:val="en-GB"/>
        </w:rPr>
        <w:t>studies of spectral analysis of pollution data (</w:t>
      </w:r>
      <w:proofErr w:type="spellStart"/>
      <w:r w:rsidR="004A5B83" w:rsidRPr="00004DBE">
        <w:rPr>
          <w:lang w:val="en-GB"/>
        </w:rPr>
        <w:t>Tchepel</w:t>
      </w:r>
      <w:proofErr w:type="spellEnd"/>
      <w:r w:rsidR="004A5B83" w:rsidRPr="00004DBE">
        <w:rPr>
          <w:lang w:val="en-GB"/>
        </w:rPr>
        <w:t xml:space="preserve"> and Borrego, 20</w:t>
      </w:r>
      <w:r w:rsidR="00904386" w:rsidRPr="00004DBE">
        <w:rPr>
          <w:lang w:val="en-GB"/>
        </w:rPr>
        <w:t>10</w:t>
      </w:r>
      <w:r w:rsidR="004A5B83" w:rsidRPr="00004DBE">
        <w:rPr>
          <w:lang w:val="en-GB"/>
        </w:rPr>
        <w:t>)</w:t>
      </w:r>
      <w:r w:rsidRPr="00004DBE">
        <w:rPr>
          <w:lang w:val="en-GB"/>
        </w:rPr>
        <w:t xml:space="preserve"> </w:t>
      </w:r>
      <w:r w:rsidR="004A5B83" w:rsidRPr="00004DBE">
        <w:rPr>
          <w:lang w:val="en-GB"/>
        </w:rPr>
        <w:t xml:space="preserve">and can be associated with the odour </w:t>
      </w:r>
      <w:r w:rsidR="004A5B83">
        <w:rPr>
          <w:lang w:val="en-GB"/>
        </w:rPr>
        <w:t>variation related to fluctuations</w:t>
      </w:r>
      <w:r w:rsidR="0040577E">
        <w:rPr>
          <w:lang w:val="en-GB"/>
        </w:rPr>
        <w:t xml:space="preserve"> of P</w:t>
      </w:r>
      <w:r w:rsidR="00945087">
        <w:rPr>
          <w:lang w:val="en-GB"/>
        </w:rPr>
        <w:t xml:space="preserve">lanetary </w:t>
      </w:r>
      <w:r w:rsidR="0040577E">
        <w:rPr>
          <w:lang w:val="en-GB"/>
        </w:rPr>
        <w:t>B</w:t>
      </w:r>
      <w:r w:rsidR="00945087">
        <w:rPr>
          <w:lang w:val="en-GB"/>
        </w:rPr>
        <w:t xml:space="preserve">oundary </w:t>
      </w:r>
      <w:r w:rsidR="0040577E">
        <w:rPr>
          <w:lang w:val="en-GB"/>
        </w:rPr>
        <w:t>L</w:t>
      </w:r>
      <w:r w:rsidR="00945087">
        <w:rPr>
          <w:lang w:val="en-GB"/>
        </w:rPr>
        <w:t>ayer</w:t>
      </w:r>
      <w:r w:rsidR="0026326A">
        <w:rPr>
          <w:lang w:val="en-GB"/>
        </w:rPr>
        <w:t xml:space="preserve"> (PBL)</w:t>
      </w:r>
      <w:r w:rsidR="0040577E">
        <w:rPr>
          <w:lang w:val="en-GB"/>
        </w:rPr>
        <w:t>:</w:t>
      </w:r>
      <w:r w:rsidR="00D8745E">
        <w:rPr>
          <w:lang w:val="en-GB"/>
        </w:rPr>
        <w:t xml:space="preserve"> </w:t>
      </w:r>
      <w:r w:rsidR="00D8745E">
        <w:t>t</w:t>
      </w:r>
      <w:r w:rsidR="00453E8A">
        <w:t xml:space="preserve">he decrease in the </w:t>
      </w:r>
      <w:r w:rsidR="00D8745E">
        <w:t>PBL</w:t>
      </w:r>
      <w:r w:rsidR="00453E8A">
        <w:t xml:space="preserve"> weaken</w:t>
      </w:r>
      <w:r w:rsidR="00945087">
        <w:t xml:space="preserve">s </w:t>
      </w:r>
      <w:r w:rsidR="00453E8A">
        <w:t>the vertical diffusion ability of pollutants, thereby increasing the pollutant concentration</w:t>
      </w:r>
      <w:r w:rsidR="00D8745E">
        <w:t>, while</w:t>
      </w:r>
      <w:r w:rsidR="00453E8A">
        <w:t xml:space="preserve"> </w:t>
      </w:r>
      <w:r w:rsidR="00D8745E">
        <w:t>t</w:t>
      </w:r>
      <w:r w:rsidR="00453E8A">
        <w:t xml:space="preserve">he increase in </w:t>
      </w:r>
      <w:r w:rsidR="00945087">
        <w:t>PBL</w:t>
      </w:r>
      <w:r w:rsidR="00453E8A">
        <w:t xml:space="preserve"> strengthen</w:t>
      </w:r>
      <w:r w:rsidR="00945087">
        <w:t>s</w:t>
      </w:r>
      <w:r w:rsidR="00453E8A">
        <w:t xml:space="preserve"> the vertical diffusion ability of pollutants, thereby decreasing the pollutant concentration.</w:t>
      </w:r>
      <w:r w:rsidR="00D8745E">
        <w:t xml:space="preserve"> Since PBL decreases two times during the 24 hours, </w:t>
      </w:r>
      <w:r w:rsidR="004928F9">
        <w:t>at</w:t>
      </w:r>
      <w:r w:rsidR="00D8745E">
        <w:t xml:space="preserve"> night and during the morning, the resulting </w:t>
      </w:r>
      <w:r w:rsidR="00453E8A">
        <w:rPr>
          <w:lang w:val="en-GB"/>
        </w:rPr>
        <w:t xml:space="preserve">increase in </w:t>
      </w:r>
      <w:r w:rsidR="00D8745E">
        <w:rPr>
          <w:lang w:val="en-GB"/>
        </w:rPr>
        <w:t>concentrations</w:t>
      </w:r>
      <w:r w:rsidR="00453E8A">
        <w:rPr>
          <w:lang w:val="en-GB"/>
        </w:rPr>
        <w:t xml:space="preserve"> </w:t>
      </w:r>
      <w:r w:rsidR="004928F9">
        <w:rPr>
          <w:lang w:val="en-GB"/>
        </w:rPr>
        <w:t>is</w:t>
      </w:r>
      <w:r w:rsidR="00D8745E">
        <w:rPr>
          <w:lang w:val="en-GB"/>
        </w:rPr>
        <w:t xml:space="preserve"> likely to happen </w:t>
      </w:r>
      <w:r w:rsidR="00453E8A">
        <w:rPr>
          <w:lang w:val="en-GB"/>
        </w:rPr>
        <w:t xml:space="preserve">during such phases, then causing a concentration variation compatible with </w:t>
      </w:r>
      <w:r w:rsidR="004928F9">
        <w:rPr>
          <w:lang w:val="en-GB"/>
        </w:rPr>
        <w:t xml:space="preserve">a </w:t>
      </w:r>
      <w:r w:rsidR="00453E8A">
        <w:rPr>
          <w:lang w:val="en-GB"/>
        </w:rPr>
        <w:t xml:space="preserve">12-hour </w:t>
      </w:r>
      <w:r w:rsidR="00D7748A">
        <w:rPr>
          <w:lang w:val="en-GB"/>
        </w:rPr>
        <w:t>harmonic</w:t>
      </w:r>
      <w:r w:rsidR="00453E8A" w:rsidRPr="00453E8A">
        <w:t xml:space="preserve"> </w:t>
      </w:r>
      <w:r w:rsidR="00E13A35" w:rsidRPr="00004DBE">
        <w:t>(</w:t>
      </w:r>
      <w:r w:rsidR="00E13A35" w:rsidRPr="00004DBE">
        <w:rPr>
          <w:lang w:val="en-GB"/>
        </w:rPr>
        <w:t>Xiang, Y., et</w:t>
      </w:r>
      <w:r w:rsidR="00004DBE" w:rsidRPr="00004DBE">
        <w:rPr>
          <w:lang w:val="en-GB"/>
        </w:rPr>
        <w:t xml:space="preserve"> </w:t>
      </w:r>
      <w:r w:rsidR="00E13A35" w:rsidRPr="00004DBE">
        <w:rPr>
          <w:lang w:val="en-GB"/>
        </w:rPr>
        <w:t>al, 201</w:t>
      </w:r>
      <w:r w:rsidR="0026326A">
        <w:rPr>
          <w:lang w:val="en-GB"/>
        </w:rPr>
        <w:t>9</w:t>
      </w:r>
      <w:r w:rsidR="00E13A35" w:rsidRPr="00004DBE">
        <w:rPr>
          <w:lang w:val="en-GB"/>
        </w:rPr>
        <w:t>)</w:t>
      </w:r>
      <w:r w:rsidR="008C58E4" w:rsidRPr="00004DBE">
        <w:rPr>
          <w:lang w:val="en-GB"/>
        </w:rPr>
        <w:t xml:space="preserve">. </w:t>
      </w:r>
      <w:r w:rsidR="00D7748A" w:rsidRPr="00004DBE">
        <w:rPr>
          <w:lang w:val="en-GB"/>
        </w:rPr>
        <w:t>Harmonic</w:t>
      </w:r>
      <w:r w:rsidR="00945087" w:rsidRPr="00004DBE">
        <w:rPr>
          <w:lang w:val="en-GB"/>
        </w:rPr>
        <w:t xml:space="preserve"> </w:t>
      </w:r>
      <w:r w:rsidR="00004DBE" w:rsidRPr="00004DBE">
        <w:rPr>
          <w:rFonts w:cs="Arial"/>
          <w:lang w:val="en-GB"/>
        </w:rPr>
        <w:t>ꞷ</w:t>
      </w:r>
      <w:proofErr w:type="gramStart"/>
      <w:r w:rsidR="00004DBE" w:rsidRPr="00004DBE">
        <w:rPr>
          <w:rFonts w:cs="Arial"/>
          <w:vertAlign w:val="subscript"/>
          <w:lang w:val="en-GB"/>
        </w:rPr>
        <w:t>1</w:t>
      </w:r>
      <w:r w:rsidR="00945087" w:rsidRPr="00004DBE">
        <w:rPr>
          <w:vertAlign w:val="subscript"/>
          <w:lang w:val="en-GB"/>
        </w:rPr>
        <w:t>,b</w:t>
      </w:r>
      <w:proofErr w:type="gramEnd"/>
      <w:r w:rsidR="00945087" w:rsidRPr="00004DBE">
        <w:rPr>
          <w:lang w:val="en-GB"/>
        </w:rPr>
        <w:t xml:space="preserve"> at six days are likely to be related to plant waste treatment process and </w:t>
      </w:r>
      <w:r w:rsidR="00945087" w:rsidRPr="00945087">
        <w:rPr>
          <w:lang w:val="en-GB"/>
        </w:rPr>
        <w:t>operations</w:t>
      </w:r>
      <w:r w:rsidR="007651EC">
        <w:rPr>
          <w:lang w:val="en-GB"/>
        </w:rPr>
        <w:t>. In fact,</w:t>
      </w:r>
      <w:r w:rsidR="00945087">
        <w:rPr>
          <w:lang w:val="en-GB"/>
        </w:rPr>
        <w:t xml:space="preserve"> 6 days is the time for </w:t>
      </w:r>
      <w:r w:rsidR="007651EC">
        <w:rPr>
          <w:lang w:val="en-GB"/>
        </w:rPr>
        <w:t xml:space="preserve">the formation of the first </w:t>
      </w:r>
      <w:r w:rsidR="00A253CE">
        <w:rPr>
          <w:lang w:val="en-GB"/>
        </w:rPr>
        <w:t>windrows</w:t>
      </w:r>
      <w:r w:rsidR="007651EC">
        <w:rPr>
          <w:lang w:val="en-GB"/>
        </w:rPr>
        <w:t xml:space="preserve"> of organic waste in </w:t>
      </w:r>
      <w:r w:rsidR="00004DBE">
        <w:rPr>
          <w:lang w:val="en-GB"/>
        </w:rPr>
        <w:t>B</w:t>
      </w:r>
      <w:r w:rsidR="007651EC">
        <w:rPr>
          <w:lang w:val="en-GB"/>
        </w:rPr>
        <w:t xml:space="preserve">uilding </w:t>
      </w:r>
      <w:r w:rsidR="00004DBE">
        <w:rPr>
          <w:lang w:val="en-GB"/>
        </w:rPr>
        <w:t>#</w:t>
      </w:r>
      <w:r w:rsidR="007651EC">
        <w:rPr>
          <w:lang w:val="en-GB"/>
        </w:rPr>
        <w:t xml:space="preserve">3 after </w:t>
      </w:r>
      <w:r w:rsidR="005A3CF7">
        <w:rPr>
          <w:lang w:val="en-GB"/>
        </w:rPr>
        <w:t>mechanical</w:t>
      </w:r>
      <w:r w:rsidR="007651EC">
        <w:rPr>
          <w:lang w:val="en-GB"/>
        </w:rPr>
        <w:t xml:space="preserve"> pre-treatment, so that after 6 days the </w:t>
      </w:r>
      <w:r w:rsidR="00A253CE">
        <w:rPr>
          <w:lang w:val="en-GB"/>
        </w:rPr>
        <w:t>windrows</w:t>
      </w:r>
      <w:r w:rsidR="007651EC">
        <w:rPr>
          <w:lang w:val="en-GB"/>
        </w:rPr>
        <w:t xml:space="preserve"> are turned to go forward in the maturing process. </w:t>
      </w:r>
      <w:r w:rsidR="00945087" w:rsidRPr="00945087">
        <w:rPr>
          <w:lang w:val="en-GB"/>
        </w:rPr>
        <w:t xml:space="preserve"> </w:t>
      </w:r>
    </w:p>
    <w:p w14:paraId="4FAA8246" w14:textId="1AF5D8D7" w:rsidR="008C58E4" w:rsidRDefault="008C4431" w:rsidP="008C58E4">
      <w:pPr>
        <w:pStyle w:val="CETHeadingxx"/>
      </w:pPr>
      <w:r w:rsidRPr="00641205">
        <w:lastRenderedPageBreak/>
        <w:t xml:space="preserve">Site B: landfill </w:t>
      </w:r>
    </w:p>
    <w:p w14:paraId="3EF3E07A" w14:textId="40A9B6D2" w:rsidR="00641205" w:rsidRDefault="00641205" w:rsidP="008C58E4">
      <w:pPr>
        <w:pStyle w:val="CETBodytext"/>
      </w:pPr>
      <w:r w:rsidRPr="00641205">
        <w:t>The two moni</w:t>
      </w:r>
      <w:r w:rsidR="00D7748A">
        <w:t>t</w:t>
      </w:r>
      <w:r w:rsidRPr="00641205">
        <w:t xml:space="preserve">oring stations </w:t>
      </w:r>
      <w:r>
        <w:t>loc</w:t>
      </w:r>
      <w:r w:rsidR="00D7748A">
        <w:t>a</w:t>
      </w:r>
      <w:r>
        <w:t>t</w:t>
      </w:r>
      <w:r w:rsidR="00D7748A">
        <w:t>e</w:t>
      </w:r>
      <w:r>
        <w:t>d in the landfill showed some analogies to those installed in the composting plant</w:t>
      </w:r>
      <w:r w:rsidR="0007217C">
        <w:t xml:space="preserve"> (</w:t>
      </w:r>
      <w:r w:rsidR="00075923" w:rsidRPr="00641205">
        <w:t xml:space="preserve">Figure </w:t>
      </w:r>
      <w:r w:rsidR="0007217C">
        <w:t>2</w:t>
      </w:r>
      <w:r w:rsidR="00075923" w:rsidRPr="00641205">
        <w:t>a</w:t>
      </w:r>
      <w:r>
        <w:t xml:space="preserve"> and </w:t>
      </w:r>
      <w:r w:rsidR="0007217C">
        <w:t>2d)</w:t>
      </w:r>
      <w:r w:rsidR="008C58E4">
        <w:t xml:space="preserve">. </w:t>
      </w:r>
      <w:r>
        <w:t xml:space="preserve">First, the station close to the waste disposal shows higher values of PSD, thus indicating a more evident cyclic component of </w:t>
      </w:r>
      <w:proofErr w:type="spellStart"/>
      <w:r w:rsidR="00B3072A">
        <w:t>odour</w:t>
      </w:r>
      <w:proofErr w:type="spellEnd"/>
      <w:r>
        <w:t xml:space="preserve"> emission. Besides the usual strong component at 24 hours, a </w:t>
      </w:r>
      <w:r w:rsidR="00D7748A">
        <w:t>cycl</w:t>
      </w:r>
      <w:r w:rsidR="005A3CF7">
        <w:t>e</w:t>
      </w:r>
      <w:r w:rsidR="00D7748A">
        <w:t xml:space="preserve"> of</w:t>
      </w:r>
      <w:r>
        <w:t xml:space="preserve"> 5 days </w:t>
      </w:r>
      <w:r w:rsidR="004928F9">
        <w:t xml:space="preserve">is observed, </w:t>
      </w:r>
      <w:r>
        <w:t xml:space="preserve">which </w:t>
      </w:r>
      <w:r w:rsidR="005A3CF7">
        <w:t>can be related to the weekly operational days of the landfill.</w:t>
      </w:r>
    </w:p>
    <w:p w14:paraId="68D26B83" w14:textId="77777777" w:rsidR="00600535" w:rsidRPr="00B57B36" w:rsidRDefault="00600535" w:rsidP="00600535">
      <w:pPr>
        <w:pStyle w:val="CETHeading1"/>
        <w:rPr>
          <w:lang w:val="en-GB"/>
        </w:rPr>
      </w:pPr>
      <w:r w:rsidRPr="00B57B36">
        <w:rPr>
          <w:lang w:val="en-GB"/>
        </w:rPr>
        <w:t>Conclusions</w:t>
      </w:r>
    </w:p>
    <w:p w14:paraId="6B736956" w14:textId="4E3E42CD" w:rsidR="00600535" w:rsidRPr="0013239A" w:rsidRDefault="0013239A" w:rsidP="00600535">
      <w:pPr>
        <w:pStyle w:val="CETBodytext"/>
      </w:pPr>
      <w:r>
        <w:t xml:space="preserve">A landfill and a composting plant were monitored </w:t>
      </w:r>
      <w:r w:rsidR="008C58E4">
        <w:t xml:space="preserve">for 8 </w:t>
      </w:r>
      <w:r w:rsidR="008C58E4" w:rsidRPr="009B540B">
        <w:t xml:space="preserve">and </w:t>
      </w:r>
      <w:r w:rsidR="008C58E4">
        <w:t>9</w:t>
      </w:r>
      <w:r w:rsidR="008C58E4" w:rsidRPr="009B540B">
        <w:t xml:space="preserve"> months</w:t>
      </w:r>
      <w:r w:rsidR="008C58E4">
        <w:t>, respectively,</w:t>
      </w:r>
      <w:r w:rsidR="008C58E4" w:rsidRPr="009B540B">
        <w:t xml:space="preserve"> </w:t>
      </w:r>
      <w:r>
        <w:t>with two IOMS each, located within the borders of</w:t>
      </w:r>
      <w:r w:rsidR="004928F9">
        <w:t xml:space="preserve"> the</w:t>
      </w:r>
      <w:r>
        <w:t xml:space="preserve"> installation. Dataset</w:t>
      </w:r>
      <w:r w:rsidR="004928F9">
        <w:t>s</w:t>
      </w:r>
      <w:r>
        <w:t xml:space="preserve"> </w:t>
      </w:r>
      <w:r w:rsidRPr="009B540B">
        <w:t>for the two plants</w:t>
      </w:r>
      <w:r w:rsidR="0026326A">
        <w:t xml:space="preserve"> </w:t>
      </w:r>
      <w:r>
        <w:t xml:space="preserve">were employed </w:t>
      </w:r>
      <w:r w:rsidR="00E41E73">
        <w:t xml:space="preserve">to calculate peak-to-mean ratios for each hour of the monitoring period. For the composting plant, </w:t>
      </w:r>
      <w:r w:rsidR="004928F9">
        <w:t xml:space="preserve">the </w:t>
      </w:r>
      <w:r w:rsidR="00E41E73">
        <w:t>monitoring point along the northern border is near-field type with reference to the dispersion of short stack non-buoyant emissions from biofilters. 95</w:t>
      </w:r>
      <w:r w:rsidR="00E41E73" w:rsidRPr="00E41E73">
        <w:rPr>
          <w:vertAlign w:val="superscript"/>
        </w:rPr>
        <w:t>th</w:t>
      </w:r>
      <w:r w:rsidR="00E41E73">
        <w:t xml:space="preserve"> percentile of PTM ratios is 18.5, fairly higher than </w:t>
      </w:r>
      <w:r w:rsidR="004928F9">
        <w:t xml:space="preserve">the </w:t>
      </w:r>
      <w:r w:rsidR="00E41E73">
        <w:t xml:space="preserve">valued currently indicated by Italian guidelines on </w:t>
      </w:r>
      <w:proofErr w:type="spellStart"/>
      <w:r w:rsidR="00E41E73">
        <w:t>odour</w:t>
      </w:r>
      <w:proofErr w:type="spellEnd"/>
      <w:r w:rsidR="00E41E73">
        <w:t xml:space="preserve"> dispe</w:t>
      </w:r>
      <w:r w:rsidR="00AA3F3B">
        <w:t>r</w:t>
      </w:r>
      <w:r w:rsidR="00E41E73">
        <w:t xml:space="preserve">sion modelling (2.3), whereas the inner station showed a lower value, probably related to the emissions coming from the </w:t>
      </w:r>
      <w:r w:rsidR="004928F9">
        <w:t>nearby</w:t>
      </w:r>
      <w:r w:rsidR="00E41E73">
        <w:t xml:space="preserve"> building</w:t>
      </w:r>
      <w:r w:rsidR="00AA3F3B">
        <w:t>, so that turbulent fluctuations are attenuated by the buildings</w:t>
      </w:r>
      <w:r w:rsidR="00BE5025">
        <w:t>. In the case of landfill, while one monitoring point is far-field, with PTM value at 95</w:t>
      </w:r>
      <w:r w:rsidR="00BE5025" w:rsidRPr="00BE5025">
        <w:rPr>
          <w:vertAlign w:val="superscript"/>
        </w:rPr>
        <w:t>th</w:t>
      </w:r>
      <w:r w:rsidR="00BE5025">
        <w:t xml:space="preserve"> percentile of 2.5, the near-fie</w:t>
      </w:r>
      <w:r w:rsidR="0026326A">
        <w:t>l</w:t>
      </w:r>
      <w:r w:rsidR="00BE5025">
        <w:t>d PTM ratio at 95</w:t>
      </w:r>
      <w:r w:rsidR="00BE5025" w:rsidRPr="00BE5025">
        <w:rPr>
          <w:vertAlign w:val="superscript"/>
        </w:rPr>
        <w:t>th</w:t>
      </w:r>
      <w:r w:rsidR="00BE5025">
        <w:t xml:space="preserve"> percentile is 34</w:t>
      </w:r>
      <w:r w:rsidR="00482ED6">
        <w:t>. The</w:t>
      </w:r>
      <w:r w:rsidR="005F3E23">
        <w:t xml:space="preserve"> time-series of collected data </w:t>
      </w:r>
      <w:r w:rsidR="00482ED6">
        <w:t xml:space="preserve">were used </w:t>
      </w:r>
      <w:r w:rsidR="005F3E23">
        <w:t>to develop spectral analysis in order to asse</w:t>
      </w:r>
      <w:r w:rsidR="004928F9">
        <w:t>s</w:t>
      </w:r>
      <w:r w:rsidR="005F3E23">
        <w:t xml:space="preserve">s the influence of cyclical </w:t>
      </w:r>
      <w:r w:rsidR="008C58E4" w:rsidRPr="009B540B">
        <w:t>behavior</w:t>
      </w:r>
      <w:r w:rsidR="005F3E23">
        <w:t xml:space="preserve"> for atmospheric variables as well as plant operative conditions. The power spectral density </w:t>
      </w:r>
      <w:r w:rsidR="00A253CE">
        <w:t xml:space="preserve">values </w:t>
      </w:r>
      <w:r w:rsidR="005F3E23">
        <w:t>of near field station are higher than the other</w:t>
      </w:r>
      <w:r w:rsidR="00A253CE">
        <w:t>,</w:t>
      </w:r>
      <w:r w:rsidR="005F3E23">
        <w:t xml:space="preserve"> with principal harmonics related to daily (24 h) and weekly (5 d) landfilling </w:t>
      </w:r>
      <w:r w:rsidR="0026326A">
        <w:t>operations</w:t>
      </w:r>
      <w:r w:rsidR="005F3E23">
        <w:t xml:space="preserve">; for the composting plant, harmonic at 12 hours is also evident, mostly connected with PBL diurnal/nocturnal variation, whereas the inner station shows a cyclic component at 6 days, which is the average turning time for windrows during the active composting phase in the building close to the monitoring station. </w:t>
      </w:r>
    </w:p>
    <w:p w14:paraId="459D05E6" w14:textId="77777777" w:rsidR="00600535" w:rsidRPr="00B57B36" w:rsidRDefault="00600535" w:rsidP="00600535">
      <w:pPr>
        <w:pStyle w:val="CETAcknowledgementstitle"/>
      </w:pPr>
      <w:r w:rsidRPr="00B57B36">
        <w:t>Acknowledgments</w:t>
      </w:r>
    </w:p>
    <w:p w14:paraId="33F8138F" w14:textId="354CF20B" w:rsidR="00600535" w:rsidRPr="008C58E4" w:rsidRDefault="000D2738" w:rsidP="00600535">
      <w:pPr>
        <w:pStyle w:val="CETBodytext"/>
        <w:rPr>
          <w:lang w:val="en-GB"/>
        </w:rPr>
      </w:pPr>
      <w:r w:rsidRPr="008C58E4">
        <w:rPr>
          <w:lang w:val="en-GB"/>
        </w:rPr>
        <w:t>Italcave e Tersan Puglia</w:t>
      </w:r>
      <w:r w:rsidR="00600535" w:rsidRPr="008C58E4">
        <w:rPr>
          <w:lang w:val="en-GB"/>
        </w:rPr>
        <w:t xml:space="preserve"> </w:t>
      </w:r>
      <w:r w:rsidR="008C58E4" w:rsidRPr="008C58E4">
        <w:rPr>
          <w:lang w:val="en-GB"/>
        </w:rPr>
        <w:t xml:space="preserve">are </w:t>
      </w:r>
      <w:r w:rsidR="00A253CE" w:rsidRPr="008C58E4">
        <w:rPr>
          <w:lang w:val="en-GB"/>
        </w:rPr>
        <w:t>gratefully</w:t>
      </w:r>
      <w:r w:rsidR="008C58E4" w:rsidRPr="008C58E4">
        <w:rPr>
          <w:lang w:val="en-GB"/>
        </w:rPr>
        <w:t xml:space="preserve"> acknowledge</w:t>
      </w:r>
      <w:r w:rsidR="00E77958">
        <w:rPr>
          <w:lang w:val="en-GB"/>
        </w:rPr>
        <w:t>d</w:t>
      </w:r>
      <w:r w:rsidR="008C58E4">
        <w:rPr>
          <w:lang w:val="en-GB"/>
        </w:rPr>
        <w:t xml:space="preserve"> for their technical and </w:t>
      </w:r>
      <w:r w:rsidR="00E77958">
        <w:rPr>
          <w:lang w:val="en-GB"/>
        </w:rPr>
        <w:t>financial</w:t>
      </w:r>
      <w:r w:rsidR="008C58E4">
        <w:rPr>
          <w:lang w:val="en-GB"/>
        </w:rPr>
        <w:t xml:space="preserve"> support.</w:t>
      </w:r>
    </w:p>
    <w:p w14:paraId="4F1327F8" w14:textId="77777777" w:rsidR="00600535" w:rsidRPr="00B57B36" w:rsidRDefault="00600535" w:rsidP="00600535">
      <w:pPr>
        <w:pStyle w:val="CETReference"/>
      </w:pPr>
      <w:r w:rsidRPr="00B57B36">
        <w:t>References</w:t>
      </w:r>
    </w:p>
    <w:p w14:paraId="750D5A83" w14:textId="2AD1057F" w:rsidR="00904386" w:rsidRDefault="00904386" w:rsidP="00904386">
      <w:pPr>
        <w:pStyle w:val="CETReferencetext"/>
      </w:pPr>
      <w:r w:rsidRPr="00E77958">
        <w:t xml:space="preserve">Best P.R., </w:t>
      </w:r>
      <w:proofErr w:type="spellStart"/>
      <w:r w:rsidRPr="00E77958">
        <w:t>Lunney</w:t>
      </w:r>
      <w:proofErr w:type="spellEnd"/>
      <w:r w:rsidRPr="00E77958">
        <w:t xml:space="preserve"> K.E., Killip, C.A.</w:t>
      </w:r>
      <w:r w:rsidR="00FA06BA">
        <w:t>,</w:t>
      </w:r>
      <w:r w:rsidRPr="00E77958">
        <w:t xml:space="preserve"> 2001, Statistical elements of predicting the impact of a variety of odour sources, Water Science and Technology Australia, 44, 157-164.</w:t>
      </w:r>
    </w:p>
    <w:p w14:paraId="369D0749" w14:textId="085DE618" w:rsidR="00904386" w:rsidRPr="00904386" w:rsidRDefault="00904386" w:rsidP="00904386">
      <w:pPr>
        <w:pStyle w:val="CETReferencetext"/>
      </w:pPr>
      <w:r w:rsidRPr="00904386">
        <w:t xml:space="preserve">Brancher M., Griffiths K.D., Franco D., de Melo </w:t>
      </w:r>
      <w:proofErr w:type="spellStart"/>
      <w:r w:rsidRPr="00904386">
        <w:t>Lisboa</w:t>
      </w:r>
      <w:proofErr w:type="spellEnd"/>
      <w:r w:rsidRPr="00904386">
        <w:t xml:space="preserve"> H., 2017, A review of odour impact criteria in selected</w:t>
      </w:r>
      <w:r>
        <w:t xml:space="preserve"> </w:t>
      </w:r>
      <w:r w:rsidRPr="00904386">
        <w:t>countries around the world, Chemosphere, 168, 1531-1570.</w:t>
      </w:r>
    </w:p>
    <w:p w14:paraId="0233E79D" w14:textId="4E5BE073" w:rsidR="005106BA" w:rsidRDefault="005106BA" w:rsidP="006B4888">
      <w:pPr>
        <w:pStyle w:val="CETReferencetext"/>
      </w:pPr>
      <w:r>
        <w:t>Cangialosi</w:t>
      </w:r>
      <w:r w:rsidR="00305102">
        <w:t xml:space="preserve"> F., </w:t>
      </w:r>
      <w:r>
        <w:t>Intini</w:t>
      </w:r>
      <w:r w:rsidR="00305102">
        <w:t xml:space="preserve"> G.</w:t>
      </w:r>
      <w:r>
        <w:t>, Colucci</w:t>
      </w:r>
      <w:r w:rsidR="00305102">
        <w:t xml:space="preserve"> D., </w:t>
      </w:r>
      <w:r w:rsidRPr="005E24C5">
        <w:t xml:space="preserve">2018, </w:t>
      </w:r>
      <w:r>
        <w:t xml:space="preserve">On Line Monitoring of Odour Nuisance at a Sanitary Landfill for Non-Hazardous Waste, </w:t>
      </w:r>
      <w:r w:rsidRPr="005E24C5">
        <w:t xml:space="preserve">Chemical </w:t>
      </w:r>
      <w:r w:rsidRPr="00FA06BA">
        <w:t>Engineering Transactions, 68, 1</w:t>
      </w:r>
      <w:r w:rsidR="00FA06BA" w:rsidRPr="00FA06BA">
        <w:t>27</w:t>
      </w:r>
      <w:r w:rsidRPr="00FA06BA">
        <w:t>-</w:t>
      </w:r>
      <w:r w:rsidR="00FA06BA" w:rsidRPr="00FA06BA">
        <w:t>132.</w:t>
      </w:r>
    </w:p>
    <w:p w14:paraId="4772244D" w14:textId="23FE110D" w:rsidR="00EF0C59" w:rsidRPr="00EF0C59" w:rsidRDefault="00EF0C59" w:rsidP="00EF0C59">
      <w:pPr>
        <w:shd w:val="clear" w:color="auto" w:fill="FFFFFF"/>
        <w:tabs>
          <w:tab w:val="clear" w:pos="7100"/>
        </w:tabs>
        <w:spacing w:line="0" w:lineRule="auto"/>
        <w:jc w:val="left"/>
        <w:rPr>
          <w:rFonts w:ascii="ff2" w:hAnsi="ff2"/>
          <w:color w:val="000000"/>
          <w:sz w:val="96"/>
          <w:szCs w:val="96"/>
          <w:lang w:eastAsia="it-IT"/>
        </w:rPr>
      </w:pPr>
      <w:r w:rsidRPr="00EF0C59">
        <w:rPr>
          <w:rFonts w:ascii="ff2" w:hAnsi="ff2"/>
          <w:color w:val="000000"/>
          <w:sz w:val="96"/>
          <w:szCs w:val="96"/>
          <w:lang w:eastAsia="it-IT"/>
        </w:rPr>
        <w:t xml:space="preserve">TATISTICAL ELEMENTS OF PREDICTING  </w:t>
      </w:r>
    </w:p>
    <w:p w14:paraId="00E78AEC" w14:textId="77777777" w:rsidR="00EF0C59" w:rsidRPr="00EF0C59" w:rsidRDefault="00EF0C59" w:rsidP="00EF0C59">
      <w:pPr>
        <w:shd w:val="clear" w:color="auto" w:fill="FFFFFF"/>
        <w:tabs>
          <w:tab w:val="clear" w:pos="7100"/>
        </w:tabs>
        <w:spacing w:line="0" w:lineRule="auto"/>
        <w:jc w:val="left"/>
        <w:rPr>
          <w:rFonts w:ascii="ff2" w:hAnsi="ff2"/>
          <w:color w:val="000000"/>
          <w:sz w:val="96"/>
          <w:szCs w:val="96"/>
          <w:lang w:eastAsia="it-IT"/>
        </w:rPr>
      </w:pPr>
      <w:r w:rsidRPr="00EF0C59">
        <w:rPr>
          <w:rFonts w:ascii="ff2" w:hAnsi="ff2"/>
          <w:color w:val="000000"/>
          <w:sz w:val="96"/>
          <w:szCs w:val="96"/>
          <w:lang w:eastAsia="it-IT"/>
        </w:rPr>
        <w:t>THE IMPACT OF A VARIETY OF ODOUR SOURCES</w:t>
      </w:r>
    </w:p>
    <w:p w14:paraId="1FC26B91" w14:textId="77777777" w:rsidR="00EF0C59" w:rsidRPr="00EF0C59" w:rsidRDefault="00EF0C59" w:rsidP="00EF0C59">
      <w:pPr>
        <w:shd w:val="clear" w:color="auto" w:fill="FFFFFF"/>
        <w:tabs>
          <w:tab w:val="clear" w:pos="7100"/>
        </w:tabs>
        <w:spacing w:line="0" w:lineRule="auto"/>
        <w:jc w:val="left"/>
        <w:rPr>
          <w:rFonts w:ascii="ff2" w:hAnsi="ff2"/>
          <w:color w:val="000000"/>
          <w:sz w:val="96"/>
          <w:szCs w:val="96"/>
          <w:lang w:eastAsia="it-IT"/>
        </w:rPr>
      </w:pPr>
      <w:r w:rsidRPr="00EF0C59">
        <w:rPr>
          <w:rFonts w:ascii="ff2" w:hAnsi="ff2"/>
          <w:color w:val="000000"/>
          <w:sz w:val="96"/>
          <w:szCs w:val="96"/>
          <w:lang w:eastAsia="it-IT"/>
        </w:rPr>
        <w:t xml:space="preserve">STATISTICAL ELEMENTS OF PREDICTING  </w:t>
      </w:r>
    </w:p>
    <w:p w14:paraId="00A54B6F" w14:textId="77777777" w:rsidR="00EF0C59" w:rsidRPr="00EF0C59" w:rsidRDefault="00EF0C59" w:rsidP="00EF0C59">
      <w:pPr>
        <w:shd w:val="clear" w:color="auto" w:fill="FFFFFF"/>
        <w:tabs>
          <w:tab w:val="clear" w:pos="7100"/>
        </w:tabs>
        <w:spacing w:line="0" w:lineRule="auto"/>
        <w:jc w:val="left"/>
        <w:rPr>
          <w:rFonts w:ascii="ff2" w:hAnsi="ff2"/>
          <w:color w:val="000000"/>
          <w:sz w:val="96"/>
          <w:szCs w:val="96"/>
          <w:lang w:eastAsia="it-IT"/>
        </w:rPr>
      </w:pPr>
      <w:r w:rsidRPr="00EF0C59">
        <w:rPr>
          <w:rFonts w:ascii="ff2" w:hAnsi="ff2"/>
          <w:color w:val="000000"/>
          <w:sz w:val="96"/>
          <w:szCs w:val="96"/>
          <w:lang w:eastAsia="it-IT"/>
        </w:rPr>
        <w:t>THE IMPACT OF A VARIETY OF ODOUR SOURCES</w:t>
      </w:r>
    </w:p>
    <w:p w14:paraId="29D47B01" w14:textId="0A54238F" w:rsidR="0039636E" w:rsidRDefault="0039636E" w:rsidP="0039636E">
      <w:pPr>
        <w:pStyle w:val="CETReferencetext"/>
      </w:pPr>
      <w:proofErr w:type="spellStart"/>
      <w:r w:rsidRPr="0039636E">
        <w:t>Katestone</w:t>
      </w:r>
      <w:proofErr w:type="spellEnd"/>
      <w:r w:rsidRPr="0039636E">
        <w:t xml:space="preserve"> Scientific</w:t>
      </w:r>
      <w:r>
        <w:t>,</w:t>
      </w:r>
      <w:r w:rsidRPr="0039636E">
        <w:t xml:space="preserve"> 199</w:t>
      </w:r>
      <w:r>
        <w:t>8</w:t>
      </w:r>
      <w:r w:rsidRPr="0039636E">
        <w:t xml:space="preserve">, Peak-to-mean ratios for odour assessments, Report from </w:t>
      </w:r>
      <w:proofErr w:type="spellStart"/>
      <w:r w:rsidRPr="0039636E">
        <w:t>Katestone</w:t>
      </w:r>
      <w:proofErr w:type="spellEnd"/>
      <w:r w:rsidRPr="0039636E">
        <w:t xml:space="preserve"> Scientific to Environmental Protection Agency New South Wales (EPANSW).</w:t>
      </w:r>
      <w:r>
        <w:t xml:space="preserve"> </w:t>
      </w:r>
    </w:p>
    <w:p w14:paraId="63396991" w14:textId="420B860F" w:rsidR="0031382A" w:rsidRPr="00781B9D" w:rsidRDefault="0031382A" w:rsidP="0031382A">
      <w:pPr>
        <w:pStyle w:val="CETReferencetext"/>
      </w:pPr>
      <w:r w:rsidRPr="00781B9D">
        <w:rPr>
          <w:lang w:val="it-IT"/>
        </w:rPr>
        <w:t>Invernizzi, M., Brancher, M., Sironi,</w:t>
      </w:r>
      <w:r w:rsidRPr="0031382A">
        <w:rPr>
          <w:lang w:val="it-IT"/>
        </w:rPr>
        <w:t xml:space="preserve"> </w:t>
      </w:r>
      <w:r w:rsidRPr="00781B9D">
        <w:rPr>
          <w:lang w:val="it-IT"/>
        </w:rPr>
        <w:t xml:space="preserve">S., Capelli, L., </w:t>
      </w:r>
      <w:proofErr w:type="spellStart"/>
      <w:r w:rsidRPr="00781B9D">
        <w:rPr>
          <w:lang w:val="it-IT"/>
        </w:rPr>
        <w:t>Piringer</w:t>
      </w:r>
      <w:proofErr w:type="spellEnd"/>
      <w:r w:rsidRPr="00781B9D">
        <w:rPr>
          <w:lang w:val="it-IT"/>
        </w:rPr>
        <w:t xml:space="preserve">, M., &amp; </w:t>
      </w:r>
      <w:proofErr w:type="spellStart"/>
      <w:r w:rsidRPr="00781B9D">
        <w:rPr>
          <w:lang w:val="it-IT"/>
        </w:rPr>
        <w:t>Schauberger</w:t>
      </w:r>
      <w:proofErr w:type="spellEnd"/>
      <w:r w:rsidRPr="00781B9D">
        <w:rPr>
          <w:lang w:val="it-IT"/>
        </w:rPr>
        <w:t>, G.</w:t>
      </w:r>
      <w:r w:rsidRPr="0031382A">
        <w:rPr>
          <w:lang w:val="it-IT"/>
        </w:rPr>
        <w:t>, 2020</w:t>
      </w:r>
      <w:r w:rsidRPr="00781B9D">
        <w:rPr>
          <w:lang w:val="it-IT"/>
        </w:rPr>
        <w:t xml:space="preserve">. </w:t>
      </w:r>
      <w:r w:rsidRPr="00781B9D">
        <w:t>Odour impact assessment by considering</w:t>
      </w:r>
      <w:r>
        <w:t xml:space="preserve"> </w:t>
      </w:r>
      <w:r w:rsidRPr="00781B9D">
        <w:t>short-term ambient concentrations: A multi-model and two-site comparison. Environment International,</w:t>
      </w:r>
      <w:r>
        <w:t xml:space="preserve"> </w:t>
      </w:r>
      <w:r w:rsidRPr="00781B9D">
        <w:t>144, 105990.</w:t>
      </w:r>
    </w:p>
    <w:p w14:paraId="19C4FC68" w14:textId="2FCCB2C1" w:rsidR="004628D2" w:rsidRDefault="00312DD8" w:rsidP="00312DD8">
      <w:pPr>
        <w:pStyle w:val="CETReferencetext"/>
      </w:pPr>
      <w:proofErr w:type="spellStart"/>
      <w:r w:rsidRPr="00312DD8">
        <w:t>Mylne</w:t>
      </w:r>
      <w:proofErr w:type="spellEnd"/>
      <w:r w:rsidRPr="00312DD8">
        <w:t>, K. R., and P. J. Mason</w:t>
      </w:r>
      <w:r>
        <w:t>,</w:t>
      </w:r>
      <w:r w:rsidRPr="00312DD8">
        <w:t xml:space="preserve"> 1991</w:t>
      </w:r>
      <w:r>
        <w:t>,</w:t>
      </w:r>
      <w:r w:rsidRPr="00312DD8">
        <w:t xml:space="preserve"> Concentration fluctuation measurements in a</w:t>
      </w:r>
      <w:r>
        <w:t xml:space="preserve"> </w:t>
      </w:r>
      <w:r w:rsidRPr="00312DD8">
        <w:t>dispersing plume at a range of up to 1000</w:t>
      </w:r>
      <w:r w:rsidR="00FA06BA">
        <w:t xml:space="preserve"> </w:t>
      </w:r>
      <w:r w:rsidRPr="00312DD8">
        <w:t xml:space="preserve">m. Q J R </w:t>
      </w:r>
      <w:proofErr w:type="spellStart"/>
      <w:r w:rsidRPr="00312DD8">
        <w:t>Meteorol</w:t>
      </w:r>
      <w:proofErr w:type="spellEnd"/>
      <w:r w:rsidRPr="00312DD8">
        <w:t xml:space="preserve"> Soc, 117, 177-206</w:t>
      </w:r>
      <w:r w:rsidR="005E24C5">
        <w:t>.</w:t>
      </w:r>
    </w:p>
    <w:p w14:paraId="1E4C2933" w14:textId="77777777" w:rsidR="00904386" w:rsidRPr="00904386" w:rsidRDefault="00904386" w:rsidP="00904386">
      <w:pPr>
        <w:pStyle w:val="CETReferencetext"/>
      </w:pPr>
      <w:proofErr w:type="spellStart"/>
      <w:r w:rsidRPr="00904386">
        <w:t>Oettl</w:t>
      </w:r>
      <w:proofErr w:type="spellEnd"/>
      <w:r w:rsidRPr="00904386">
        <w:t xml:space="preserve"> D., Ferrero E., 2017, A simple model to assess odour hours for regulatory purposes, Atmospheric environment, 155, 162-173.</w:t>
      </w:r>
    </w:p>
    <w:p w14:paraId="7665E7EB" w14:textId="06562407" w:rsidR="00FA06BA" w:rsidRPr="00904386" w:rsidRDefault="00FA06BA" w:rsidP="00904386">
      <w:pPr>
        <w:pStyle w:val="CETReferencetext"/>
      </w:pPr>
      <w:r w:rsidRPr="00FA06BA">
        <w:t xml:space="preserve">Porter, R.C. and L. Santos, 2006, Peak-to-Mean Ratios for </w:t>
      </w:r>
      <w:r w:rsidR="00B3072A">
        <w:t>Odour</w:t>
      </w:r>
      <w:r w:rsidRPr="00FA06BA">
        <w:t xml:space="preserve"> Impacts: A Tracer Study Revisited</w:t>
      </w:r>
      <w:r>
        <w:t>,</w:t>
      </w:r>
      <w:r w:rsidRPr="00FA06BA">
        <w:t xml:space="preserve"> Water Environment Federation. Proceedings </w:t>
      </w:r>
      <w:r w:rsidR="00B3072A">
        <w:t>Odour</w:t>
      </w:r>
      <w:r w:rsidRPr="00FA06BA">
        <w:t>s and Air Emissions</w:t>
      </w:r>
    </w:p>
    <w:p w14:paraId="366DCF63" w14:textId="3AD27CB1" w:rsidR="005E24C5" w:rsidRDefault="005E24C5" w:rsidP="005E24C5">
      <w:pPr>
        <w:pStyle w:val="CETReferencetext"/>
      </w:pPr>
      <w:proofErr w:type="spellStart"/>
      <w:r w:rsidRPr="005E24C5">
        <w:t>Sozzi</w:t>
      </w:r>
      <w:proofErr w:type="spellEnd"/>
      <w:r w:rsidRPr="005E24C5">
        <w:t xml:space="preserve"> R., </w:t>
      </w:r>
      <w:proofErr w:type="spellStart"/>
      <w:r w:rsidRPr="005E24C5">
        <w:t>Bolignano</w:t>
      </w:r>
      <w:proofErr w:type="spellEnd"/>
      <w:r w:rsidRPr="005E24C5">
        <w:t xml:space="preserve"> A., </w:t>
      </w:r>
      <w:proofErr w:type="spellStart"/>
      <w:r w:rsidRPr="005E24C5">
        <w:t>Sironi</w:t>
      </w:r>
      <w:proofErr w:type="spellEnd"/>
      <w:r w:rsidRPr="005E24C5">
        <w:t xml:space="preserve"> S., </w:t>
      </w:r>
      <w:proofErr w:type="spellStart"/>
      <w:r w:rsidRPr="005E24C5">
        <w:t>Capelli</w:t>
      </w:r>
      <w:proofErr w:type="spellEnd"/>
      <w:r w:rsidRPr="005E24C5">
        <w:t xml:space="preserve"> L., 2018, Reflections on odour concentration fluctuations and nuisance,</w:t>
      </w:r>
      <w:r>
        <w:t xml:space="preserve"> </w:t>
      </w:r>
      <w:r w:rsidRPr="005E24C5">
        <w:t>Chemical Engineering Transactions, 68, 199-204</w:t>
      </w:r>
    </w:p>
    <w:p w14:paraId="16E37B01" w14:textId="64E083EC" w:rsidR="001364C9" w:rsidRDefault="001364C9" w:rsidP="005E24C5">
      <w:pPr>
        <w:pStyle w:val="CETReferencetext"/>
      </w:pPr>
      <w:proofErr w:type="spellStart"/>
      <w:r>
        <w:t>Schauberger</w:t>
      </w:r>
      <w:proofErr w:type="spellEnd"/>
      <w:r>
        <w:t xml:space="preserve">, G., </w:t>
      </w:r>
      <w:proofErr w:type="spellStart"/>
      <w:r>
        <w:t>Piringer</w:t>
      </w:r>
      <w:proofErr w:type="spellEnd"/>
      <w:r>
        <w:t xml:space="preserve">, M. </w:t>
      </w:r>
      <w:proofErr w:type="spellStart"/>
      <w:r>
        <w:t>Petz</w:t>
      </w:r>
      <w:proofErr w:type="spellEnd"/>
      <w:r>
        <w:t>, E.</w:t>
      </w:r>
      <w:r w:rsidR="00FE5EB0">
        <w:t>,</w:t>
      </w:r>
      <w:r>
        <w:t xml:space="preserve"> </w:t>
      </w:r>
      <w:r w:rsidR="00FE5EB0">
        <w:t>2000,</w:t>
      </w:r>
      <w:r>
        <w:t xml:space="preserve"> Diurnal and annual variation of the sensation distance of odour emitted by livestock buildings calculated by the Austrian odour dispersion model (AODM). Atmos. Environ. 34, 4839–4851.</w:t>
      </w:r>
    </w:p>
    <w:p w14:paraId="1431F158" w14:textId="524D75E2" w:rsidR="00904386" w:rsidRPr="00904386" w:rsidRDefault="00904386" w:rsidP="005E24C5">
      <w:pPr>
        <w:pStyle w:val="CETReferencetext"/>
      </w:pPr>
      <w:proofErr w:type="spellStart"/>
      <w:r w:rsidRPr="00904386">
        <w:t>Tchepel</w:t>
      </w:r>
      <w:proofErr w:type="spellEnd"/>
      <w:r w:rsidRPr="00904386">
        <w:t xml:space="preserve"> O., Borrego C., 2010, Frequency analysis of air quality time series for traffic related pollutants, J. Environ. </w:t>
      </w:r>
      <w:proofErr w:type="spellStart"/>
      <w:r w:rsidRPr="00904386">
        <w:t>Monit</w:t>
      </w:r>
      <w:proofErr w:type="spellEnd"/>
      <w:r w:rsidRPr="00904386">
        <w:t>.,</w:t>
      </w:r>
      <w:r w:rsidR="00FA06BA">
        <w:t xml:space="preserve"> </w:t>
      </w:r>
      <w:r w:rsidRPr="00904386">
        <w:t>12, 544–550</w:t>
      </w:r>
    </w:p>
    <w:p w14:paraId="0D0268D4" w14:textId="67A0170A" w:rsidR="00FA06BA" w:rsidRPr="00FA06BA" w:rsidRDefault="000D2738" w:rsidP="00FA06BA">
      <w:pPr>
        <w:pStyle w:val="CETReferencetext"/>
      </w:pPr>
      <w:proofErr w:type="spellStart"/>
      <w:r w:rsidRPr="000D2738">
        <w:t>Tinarelli</w:t>
      </w:r>
      <w:proofErr w:type="spellEnd"/>
      <w:r w:rsidRPr="000D2738">
        <w:t xml:space="preserve"> G.L, </w:t>
      </w:r>
      <w:proofErr w:type="spellStart"/>
      <w:r w:rsidRPr="000D2738">
        <w:t>Sozzi</w:t>
      </w:r>
      <w:proofErr w:type="spellEnd"/>
      <w:r w:rsidRPr="000D2738">
        <w:t xml:space="preserve"> R., Trini Castelli S., </w:t>
      </w:r>
      <w:proofErr w:type="spellStart"/>
      <w:r w:rsidRPr="000D2738">
        <w:t>Bisignano</w:t>
      </w:r>
      <w:proofErr w:type="spellEnd"/>
      <w:r w:rsidRPr="000D2738">
        <w:t xml:space="preserve"> A., 2019, Insertion and verification of algorithms for the calculation of peak-to-mean ratio in a particle model, </w:t>
      </w:r>
      <w:r w:rsidR="00B3072A">
        <w:t>Odour</w:t>
      </w:r>
      <w:r w:rsidR="00FA06BA" w:rsidRPr="00FA06BA">
        <w:t xml:space="preserve"> Emissions conference, </w:t>
      </w:r>
      <w:proofErr w:type="spellStart"/>
      <w:r w:rsidR="00677D1F" w:rsidRPr="00FA06BA">
        <w:t>Ecomondo</w:t>
      </w:r>
      <w:proofErr w:type="spellEnd"/>
      <w:r w:rsidR="00677D1F" w:rsidRPr="00FA06BA">
        <w:t xml:space="preserve"> </w:t>
      </w:r>
      <w:r w:rsidR="00FA06BA" w:rsidRPr="00FA06BA">
        <w:t>7 Nov</w:t>
      </w:r>
      <w:r w:rsidR="00967A88">
        <w:t>.</w:t>
      </w:r>
      <w:r w:rsidR="00FA06BA" w:rsidRPr="00FA06BA">
        <w:t xml:space="preserve"> 2019</w:t>
      </w:r>
    </w:p>
    <w:p w14:paraId="6E552804" w14:textId="08E9E9F9" w:rsidR="0031382A" w:rsidRDefault="0031382A" w:rsidP="000D2738">
      <w:pPr>
        <w:pStyle w:val="CETReferencetext"/>
      </w:pPr>
      <w:r>
        <w:t>UNI 11761:2019</w:t>
      </w:r>
      <w:r w:rsidR="00F64BAA">
        <w:t xml:space="preserve"> </w:t>
      </w:r>
      <w:r>
        <w:t>Emissions and air quality – Odour determination using IOMS</w:t>
      </w:r>
    </w:p>
    <w:p w14:paraId="4D7626C0" w14:textId="34321376" w:rsidR="00284841" w:rsidRDefault="00E13A35" w:rsidP="000D2738">
      <w:pPr>
        <w:pStyle w:val="CETReferencetext"/>
      </w:pPr>
      <w:r w:rsidRPr="000D2738">
        <w:t xml:space="preserve">Xiang, Y., Zhang, T., Liu, J., </w:t>
      </w:r>
      <w:proofErr w:type="spellStart"/>
      <w:r w:rsidRPr="000D2738">
        <w:t>Lv</w:t>
      </w:r>
      <w:proofErr w:type="spellEnd"/>
      <w:r w:rsidRPr="000D2738">
        <w:t>, L., Dong, Y., &amp; Chen, Z.</w:t>
      </w:r>
      <w:r w:rsidR="00FA06BA">
        <w:t>, 2019,</w:t>
      </w:r>
      <w:r w:rsidRPr="000D2738">
        <w:t xml:space="preserve"> Atmosphere boundary layer height and its effect on air pollutants in Beijing during winter heavy pollution</w:t>
      </w:r>
      <w:r w:rsidR="00FA06BA">
        <w:t>,</w:t>
      </w:r>
      <w:r w:rsidRPr="000D2738">
        <w:t xml:space="preserve"> Atm</w:t>
      </w:r>
      <w:r w:rsidR="00FA06BA">
        <w:t xml:space="preserve">. </w:t>
      </w:r>
      <w:r w:rsidRPr="000D2738">
        <w:t>Res</w:t>
      </w:r>
      <w:r w:rsidR="00FA06BA">
        <w:t xml:space="preserve">., </w:t>
      </w:r>
      <w:r w:rsidR="00FA06BA" w:rsidRPr="00904386">
        <w:t>2</w:t>
      </w:r>
      <w:r w:rsidR="00FA06BA">
        <w:t>15</w:t>
      </w:r>
      <w:r w:rsidR="00FA06BA" w:rsidRPr="00904386">
        <w:t xml:space="preserve">, </w:t>
      </w:r>
      <w:r w:rsidR="00FA06BA">
        <w:t>305-316</w:t>
      </w:r>
    </w:p>
    <w:sectPr w:rsidR="00284841"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C391B" w14:textId="77777777" w:rsidR="00B05648" w:rsidRDefault="00B05648" w:rsidP="004F5E36">
      <w:r>
        <w:separator/>
      </w:r>
    </w:p>
  </w:endnote>
  <w:endnote w:type="continuationSeparator" w:id="0">
    <w:p w14:paraId="3BEA5951" w14:textId="77777777" w:rsidR="00B05648" w:rsidRDefault="00B0564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cimaWE Rg">
    <w:altName w:val="Calibri"/>
    <w:panose1 w:val="00000000000000000000"/>
    <w:charset w:val="00"/>
    <w:family w:val="swiss"/>
    <w:notTrueType/>
    <w:pitch w:val="default"/>
    <w:sig w:usb0="00000003" w:usb1="00000000" w:usb2="00000000" w:usb3="00000000" w:csb0="00000001"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reekC">
    <w:panose1 w:val="00000400000000000000"/>
    <w:charset w:val="00"/>
    <w:family w:val="auto"/>
    <w:pitch w:val="variable"/>
    <w:sig w:usb0="20002A87" w:usb1="00000000" w:usb2="00000000" w:usb3="00000000" w:csb0="000001FF" w:csb1="00000000"/>
  </w:font>
  <w:font w:name="AdvPS497E2">
    <w:altName w:val="Cambria"/>
    <w:panose1 w:val="00000000000000000000"/>
    <w:charset w:val="00"/>
    <w:family w:val="roman"/>
    <w:notTrueType/>
    <w:pitch w:val="default"/>
    <w:sig w:usb0="00000003" w:usb1="00000000" w:usb2="00000000" w:usb3="00000000" w:csb0="00000001" w:csb1="00000000"/>
  </w:font>
  <w:font w:name="ff2">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2C631" w14:textId="77777777" w:rsidR="00B05648" w:rsidRDefault="00B05648" w:rsidP="004F5E36">
      <w:r>
        <w:separator/>
      </w:r>
    </w:p>
  </w:footnote>
  <w:footnote w:type="continuationSeparator" w:id="0">
    <w:p w14:paraId="76D75455" w14:textId="77777777" w:rsidR="00B05648" w:rsidRDefault="00B0564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203E5A4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A73602"/>
    <w:multiLevelType w:val="hybridMultilevel"/>
    <w:tmpl w:val="56EC138C"/>
    <w:lvl w:ilvl="0" w:tplc="1E505C28">
      <w:start w:val="1"/>
      <w:numFmt w:val="bullet"/>
      <w:lvlText w:val="•"/>
      <w:lvlJc w:val="left"/>
      <w:pPr>
        <w:tabs>
          <w:tab w:val="num" w:pos="720"/>
        </w:tabs>
        <w:ind w:left="720" w:hanging="360"/>
      </w:pPr>
      <w:rPr>
        <w:rFonts w:ascii="Arial" w:hAnsi="Arial" w:hint="default"/>
      </w:rPr>
    </w:lvl>
    <w:lvl w:ilvl="1" w:tplc="00449120" w:tentative="1">
      <w:start w:val="1"/>
      <w:numFmt w:val="bullet"/>
      <w:lvlText w:val="•"/>
      <w:lvlJc w:val="left"/>
      <w:pPr>
        <w:tabs>
          <w:tab w:val="num" w:pos="1440"/>
        </w:tabs>
        <w:ind w:left="1440" w:hanging="360"/>
      </w:pPr>
      <w:rPr>
        <w:rFonts w:ascii="Arial" w:hAnsi="Arial" w:hint="default"/>
      </w:rPr>
    </w:lvl>
    <w:lvl w:ilvl="2" w:tplc="F202EA12" w:tentative="1">
      <w:start w:val="1"/>
      <w:numFmt w:val="bullet"/>
      <w:lvlText w:val="•"/>
      <w:lvlJc w:val="left"/>
      <w:pPr>
        <w:tabs>
          <w:tab w:val="num" w:pos="2160"/>
        </w:tabs>
        <w:ind w:left="2160" w:hanging="360"/>
      </w:pPr>
      <w:rPr>
        <w:rFonts w:ascii="Arial" w:hAnsi="Arial" w:hint="default"/>
      </w:rPr>
    </w:lvl>
    <w:lvl w:ilvl="3" w:tplc="5A42FF92" w:tentative="1">
      <w:start w:val="1"/>
      <w:numFmt w:val="bullet"/>
      <w:lvlText w:val="•"/>
      <w:lvlJc w:val="left"/>
      <w:pPr>
        <w:tabs>
          <w:tab w:val="num" w:pos="2880"/>
        </w:tabs>
        <w:ind w:left="2880" w:hanging="360"/>
      </w:pPr>
      <w:rPr>
        <w:rFonts w:ascii="Arial" w:hAnsi="Arial" w:hint="default"/>
      </w:rPr>
    </w:lvl>
    <w:lvl w:ilvl="4" w:tplc="3976D0B4" w:tentative="1">
      <w:start w:val="1"/>
      <w:numFmt w:val="bullet"/>
      <w:lvlText w:val="•"/>
      <w:lvlJc w:val="left"/>
      <w:pPr>
        <w:tabs>
          <w:tab w:val="num" w:pos="3600"/>
        </w:tabs>
        <w:ind w:left="3600" w:hanging="360"/>
      </w:pPr>
      <w:rPr>
        <w:rFonts w:ascii="Arial" w:hAnsi="Arial" w:hint="default"/>
      </w:rPr>
    </w:lvl>
    <w:lvl w:ilvl="5" w:tplc="2F9CBE4A" w:tentative="1">
      <w:start w:val="1"/>
      <w:numFmt w:val="bullet"/>
      <w:lvlText w:val="•"/>
      <w:lvlJc w:val="left"/>
      <w:pPr>
        <w:tabs>
          <w:tab w:val="num" w:pos="4320"/>
        </w:tabs>
        <w:ind w:left="4320" w:hanging="360"/>
      </w:pPr>
      <w:rPr>
        <w:rFonts w:ascii="Arial" w:hAnsi="Arial" w:hint="default"/>
      </w:rPr>
    </w:lvl>
    <w:lvl w:ilvl="6" w:tplc="C7660606" w:tentative="1">
      <w:start w:val="1"/>
      <w:numFmt w:val="bullet"/>
      <w:lvlText w:val="•"/>
      <w:lvlJc w:val="left"/>
      <w:pPr>
        <w:tabs>
          <w:tab w:val="num" w:pos="5040"/>
        </w:tabs>
        <w:ind w:left="5040" w:hanging="360"/>
      </w:pPr>
      <w:rPr>
        <w:rFonts w:ascii="Arial" w:hAnsi="Arial" w:hint="default"/>
      </w:rPr>
    </w:lvl>
    <w:lvl w:ilvl="7" w:tplc="50CAE4CC" w:tentative="1">
      <w:start w:val="1"/>
      <w:numFmt w:val="bullet"/>
      <w:lvlText w:val="•"/>
      <w:lvlJc w:val="left"/>
      <w:pPr>
        <w:tabs>
          <w:tab w:val="num" w:pos="5760"/>
        </w:tabs>
        <w:ind w:left="5760" w:hanging="360"/>
      </w:pPr>
      <w:rPr>
        <w:rFonts w:ascii="Arial" w:hAnsi="Arial" w:hint="default"/>
      </w:rPr>
    </w:lvl>
    <w:lvl w:ilvl="8" w:tplc="0D56EB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EDA3E24"/>
    <w:multiLevelType w:val="hybridMultilevel"/>
    <w:tmpl w:val="DB6C7F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4"/>
  </w:num>
  <w:num w:numId="21">
    <w:abstractNumId w:val="13"/>
  </w:num>
  <w:num w:numId="22">
    <w:abstractNumId w:val="21"/>
  </w:num>
  <w:num w:numId="23">
    <w:abstractNumId w:val="10"/>
  </w:num>
  <w:num w:numId="24">
    <w:abstractNumId w:val="10"/>
  </w:num>
  <w:num w:numId="25">
    <w:abstractNumId w:val="10"/>
  </w:num>
  <w:num w:numId="26">
    <w:abstractNumId w:val="15"/>
  </w:num>
  <w:num w:numId="27">
    <w:abstractNumId w:val="1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DBE"/>
    <w:rsid w:val="000052FB"/>
    <w:rsid w:val="000117CB"/>
    <w:rsid w:val="0003148D"/>
    <w:rsid w:val="000449C1"/>
    <w:rsid w:val="00051566"/>
    <w:rsid w:val="00052E70"/>
    <w:rsid w:val="00062A9A"/>
    <w:rsid w:val="00065058"/>
    <w:rsid w:val="0007217C"/>
    <w:rsid w:val="00075923"/>
    <w:rsid w:val="0008556D"/>
    <w:rsid w:val="00086C39"/>
    <w:rsid w:val="00092714"/>
    <w:rsid w:val="000A03B2"/>
    <w:rsid w:val="000A0F64"/>
    <w:rsid w:val="000A327D"/>
    <w:rsid w:val="000B53A5"/>
    <w:rsid w:val="000C1762"/>
    <w:rsid w:val="000D0268"/>
    <w:rsid w:val="000D2738"/>
    <w:rsid w:val="000D34BE"/>
    <w:rsid w:val="000E102F"/>
    <w:rsid w:val="000E36F1"/>
    <w:rsid w:val="000E3A73"/>
    <w:rsid w:val="000E414A"/>
    <w:rsid w:val="000F093C"/>
    <w:rsid w:val="000F2447"/>
    <w:rsid w:val="000F787B"/>
    <w:rsid w:val="0012091F"/>
    <w:rsid w:val="00126BC2"/>
    <w:rsid w:val="001308B6"/>
    <w:rsid w:val="001308E5"/>
    <w:rsid w:val="0013121F"/>
    <w:rsid w:val="00131FE6"/>
    <w:rsid w:val="0013239A"/>
    <w:rsid w:val="0013263F"/>
    <w:rsid w:val="00134DE4"/>
    <w:rsid w:val="001364C9"/>
    <w:rsid w:val="0014034D"/>
    <w:rsid w:val="00143B66"/>
    <w:rsid w:val="00144819"/>
    <w:rsid w:val="00150E59"/>
    <w:rsid w:val="00152DE3"/>
    <w:rsid w:val="00153C50"/>
    <w:rsid w:val="00160FCC"/>
    <w:rsid w:val="00164CF9"/>
    <w:rsid w:val="00166305"/>
    <w:rsid w:val="001667A6"/>
    <w:rsid w:val="001708D5"/>
    <w:rsid w:val="00184AD6"/>
    <w:rsid w:val="001A4AF7"/>
    <w:rsid w:val="001B0349"/>
    <w:rsid w:val="001B65C1"/>
    <w:rsid w:val="001C684B"/>
    <w:rsid w:val="001C6F97"/>
    <w:rsid w:val="001D53FC"/>
    <w:rsid w:val="001E5E93"/>
    <w:rsid w:val="001F42A5"/>
    <w:rsid w:val="001F7B9D"/>
    <w:rsid w:val="0020524D"/>
    <w:rsid w:val="002224B4"/>
    <w:rsid w:val="0024060C"/>
    <w:rsid w:val="00243A5B"/>
    <w:rsid w:val="002447EF"/>
    <w:rsid w:val="00247411"/>
    <w:rsid w:val="00251550"/>
    <w:rsid w:val="0026326A"/>
    <w:rsid w:val="00263B05"/>
    <w:rsid w:val="0027221A"/>
    <w:rsid w:val="00272B80"/>
    <w:rsid w:val="00275B61"/>
    <w:rsid w:val="00276C7C"/>
    <w:rsid w:val="00282656"/>
    <w:rsid w:val="00284841"/>
    <w:rsid w:val="00296B83"/>
    <w:rsid w:val="002A6005"/>
    <w:rsid w:val="002B78CE"/>
    <w:rsid w:val="002C2FB6"/>
    <w:rsid w:val="002C6F9B"/>
    <w:rsid w:val="002D1895"/>
    <w:rsid w:val="002F2BBB"/>
    <w:rsid w:val="002F3309"/>
    <w:rsid w:val="002F7423"/>
    <w:rsid w:val="003009B7"/>
    <w:rsid w:val="00300E56"/>
    <w:rsid w:val="0030469C"/>
    <w:rsid w:val="00305102"/>
    <w:rsid w:val="00312DD8"/>
    <w:rsid w:val="0031382A"/>
    <w:rsid w:val="00321CA6"/>
    <w:rsid w:val="00334C09"/>
    <w:rsid w:val="00344DF9"/>
    <w:rsid w:val="00351607"/>
    <w:rsid w:val="00357D05"/>
    <w:rsid w:val="003723D4"/>
    <w:rsid w:val="00381905"/>
    <w:rsid w:val="00384CC8"/>
    <w:rsid w:val="003871FD"/>
    <w:rsid w:val="0039636E"/>
    <w:rsid w:val="003A1E30"/>
    <w:rsid w:val="003A6241"/>
    <w:rsid w:val="003A7D1C"/>
    <w:rsid w:val="003B304B"/>
    <w:rsid w:val="003B3146"/>
    <w:rsid w:val="003C7A5F"/>
    <w:rsid w:val="003D3A2D"/>
    <w:rsid w:val="003F015E"/>
    <w:rsid w:val="00400414"/>
    <w:rsid w:val="0040577E"/>
    <w:rsid w:val="0041446B"/>
    <w:rsid w:val="00427779"/>
    <w:rsid w:val="004418BF"/>
    <w:rsid w:val="0044329C"/>
    <w:rsid w:val="004470D8"/>
    <w:rsid w:val="00450A6C"/>
    <w:rsid w:val="004536FF"/>
    <w:rsid w:val="00453E8A"/>
    <w:rsid w:val="004577FE"/>
    <w:rsid w:val="00457B9C"/>
    <w:rsid w:val="0046164A"/>
    <w:rsid w:val="004628D2"/>
    <w:rsid w:val="00462DCD"/>
    <w:rsid w:val="004648AD"/>
    <w:rsid w:val="004679EF"/>
    <w:rsid w:val="004703A9"/>
    <w:rsid w:val="00474055"/>
    <w:rsid w:val="004760DE"/>
    <w:rsid w:val="004763D7"/>
    <w:rsid w:val="00482ED6"/>
    <w:rsid w:val="004928F9"/>
    <w:rsid w:val="00493F45"/>
    <w:rsid w:val="004969DE"/>
    <w:rsid w:val="004A004E"/>
    <w:rsid w:val="004A24CF"/>
    <w:rsid w:val="004A5B83"/>
    <w:rsid w:val="004B5C5D"/>
    <w:rsid w:val="004C3D1D"/>
    <w:rsid w:val="004C7913"/>
    <w:rsid w:val="004C7AE9"/>
    <w:rsid w:val="004E4DD6"/>
    <w:rsid w:val="004F5E36"/>
    <w:rsid w:val="0050716A"/>
    <w:rsid w:val="00507B47"/>
    <w:rsid w:val="00507BEF"/>
    <w:rsid w:val="00507CC9"/>
    <w:rsid w:val="005106BA"/>
    <w:rsid w:val="005119A5"/>
    <w:rsid w:val="005177D5"/>
    <w:rsid w:val="00524CD5"/>
    <w:rsid w:val="00525B9E"/>
    <w:rsid w:val="005278B7"/>
    <w:rsid w:val="00532016"/>
    <w:rsid w:val="005346C8"/>
    <w:rsid w:val="00543E7D"/>
    <w:rsid w:val="0054679E"/>
    <w:rsid w:val="00547A68"/>
    <w:rsid w:val="005531C9"/>
    <w:rsid w:val="00556DED"/>
    <w:rsid w:val="00557833"/>
    <w:rsid w:val="005643DF"/>
    <w:rsid w:val="00570C43"/>
    <w:rsid w:val="00581CF7"/>
    <w:rsid w:val="00594DEC"/>
    <w:rsid w:val="005A3CF7"/>
    <w:rsid w:val="005A627B"/>
    <w:rsid w:val="005B2110"/>
    <w:rsid w:val="005B61E6"/>
    <w:rsid w:val="005C77E1"/>
    <w:rsid w:val="005D5C7F"/>
    <w:rsid w:val="005D6A2F"/>
    <w:rsid w:val="005E1A82"/>
    <w:rsid w:val="005E24C5"/>
    <w:rsid w:val="005E773B"/>
    <w:rsid w:val="005E794C"/>
    <w:rsid w:val="005F0A28"/>
    <w:rsid w:val="005F0E5E"/>
    <w:rsid w:val="005F3E23"/>
    <w:rsid w:val="005F56CA"/>
    <w:rsid w:val="00600535"/>
    <w:rsid w:val="00606B23"/>
    <w:rsid w:val="00610CD6"/>
    <w:rsid w:val="00611E84"/>
    <w:rsid w:val="00615587"/>
    <w:rsid w:val="00620DEE"/>
    <w:rsid w:val="00621F92"/>
    <w:rsid w:val="0062280A"/>
    <w:rsid w:val="00625639"/>
    <w:rsid w:val="00631B33"/>
    <w:rsid w:val="00641205"/>
    <w:rsid w:val="0064184D"/>
    <w:rsid w:val="006422CC"/>
    <w:rsid w:val="00660E3E"/>
    <w:rsid w:val="00662E74"/>
    <w:rsid w:val="00665401"/>
    <w:rsid w:val="0067692D"/>
    <w:rsid w:val="00677D1F"/>
    <w:rsid w:val="00680C23"/>
    <w:rsid w:val="00693766"/>
    <w:rsid w:val="006A3281"/>
    <w:rsid w:val="006B4888"/>
    <w:rsid w:val="006C2E45"/>
    <w:rsid w:val="006C359C"/>
    <w:rsid w:val="006C5579"/>
    <w:rsid w:val="006D6C44"/>
    <w:rsid w:val="006D6E8B"/>
    <w:rsid w:val="006E737D"/>
    <w:rsid w:val="006F34D7"/>
    <w:rsid w:val="00701059"/>
    <w:rsid w:val="007024A6"/>
    <w:rsid w:val="00720A24"/>
    <w:rsid w:val="00732386"/>
    <w:rsid w:val="0073380C"/>
    <w:rsid w:val="0073514D"/>
    <w:rsid w:val="00740F6F"/>
    <w:rsid w:val="007447F3"/>
    <w:rsid w:val="0075499F"/>
    <w:rsid w:val="007651EC"/>
    <w:rsid w:val="007661C8"/>
    <w:rsid w:val="00770908"/>
    <w:rsid w:val="0077098D"/>
    <w:rsid w:val="00774AA9"/>
    <w:rsid w:val="00775E82"/>
    <w:rsid w:val="007931FA"/>
    <w:rsid w:val="007A4861"/>
    <w:rsid w:val="007A7BBA"/>
    <w:rsid w:val="007B0C50"/>
    <w:rsid w:val="007B6E22"/>
    <w:rsid w:val="007C1A43"/>
    <w:rsid w:val="007C299C"/>
    <w:rsid w:val="007C3791"/>
    <w:rsid w:val="007D24CA"/>
    <w:rsid w:val="007F1D75"/>
    <w:rsid w:val="0080013E"/>
    <w:rsid w:val="00800750"/>
    <w:rsid w:val="00813288"/>
    <w:rsid w:val="008168FC"/>
    <w:rsid w:val="00823B24"/>
    <w:rsid w:val="00830996"/>
    <w:rsid w:val="008345F1"/>
    <w:rsid w:val="00865B07"/>
    <w:rsid w:val="008667EA"/>
    <w:rsid w:val="0087637F"/>
    <w:rsid w:val="00892AD5"/>
    <w:rsid w:val="00894873"/>
    <w:rsid w:val="008A1512"/>
    <w:rsid w:val="008A3A17"/>
    <w:rsid w:val="008C4431"/>
    <w:rsid w:val="008C58E4"/>
    <w:rsid w:val="008D32B9"/>
    <w:rsid w:val="008D433B"/>
    <w:rsid w:val="008E4BB3"/>
    <w:rsid w:val="008E566E"/>
    <w:rsid w:val="0090161A"/>
    <w:rsid w:val="00901EB6"/>
    <w:rsid w:val="00904386"/>
    <w:rsid w:val="00904C62"/>
    <w:rsid w:val="00906DBD"/>
    <w:rsid w:val="00922BA8"/>
    <w:rsid w:val="00924DAC"/>
    <w:rsid w:val="00927058"/>
    <w:rsid w:val="00942750"/>
    <w:rsid w:val="00942A1D"/>
    <w:rsid w:val="00945087"/>
    <w:rsid w:val="009450CE"/>
    <w:rsid w:val="00947179"/>
    <w:rsid w:val="0095164B"/>
    <w:rsid w:val="00954090"/>
    <w:rsid w:val="009573E7"/>
    <w:rsid w:val="00963E05"/>
    <w:rsid w:val="00967A88"/>
    <w:rsid w:val="00967D54"/>
    <w:rsid w:val="00971028"/>
    <w:rsid w:val="00977E18"/>
    <w:rsid w:val="0099518A"/>
    <w:rsid w:val="00996483"/>
    <w:rsid w:val="00996F5A"/>
    <w:rsid w:val="009B041A"/>
    <w:rsid w:val="009B540B"/>
    <w:rsid w:val="009C37C3"/>
    <w:rsid w:val="009C7C86"/>
    <w:rsid w:val="009D19EA"/>
    <w:rsid w:val="009D2FF7"/>
    <w:rsid w:val="009E7884"/>
    <w:rsid w:val="009E788A"/>
    <w:rsid w:val="009F0E08"/>
    <w:rsid w:val="00A066DC"/>
    <w:rsid w:val="00A15946"/>
    <w:rsid w:val="00A1763D"/>
    <w:rsid w:val="00A17CEC"/>
    <w:rsid w:val="00A253CE"/>
    <w:rsid w:val="00A27EF0"/>
    <w:rsid w:val="00A50B20"/>
    <w:rsid w:val="00A51390"/>
    <w:rsid w:val="00A56635"/>
    <w:rsid w:val="00A60D13"/>
    <w:rsid w:val="00A72745"/>
    <w:rsid w:val="00A76EFC"/>
    <w:rsid w:val="00A818FE"/>
    <w:rsid w:val="00A91010"/>
    <w:rsid w:val="00A975BB"/>
    <w:rsid w:val="00A97F29"/>
    <w:rsid w:val="00AA3F3B"/>
    <w:rsid w:val="00AA702E"/>
    <w:rsid w:val="00AB0964"/>
    <w:rsid w:val="00AB1B37"/>
    <w:rsid w:val="00AB5011"/>
    <w:rsid w:val="00AC7368"/>
    <w:rsid w:val="00AD16B9"/>
    <w:rsid w:val="00AE2B06"/>
    <w:rsid w:val="00AE377D"/>
    <w:rsid w:val="00AF0EBA"/>
    <w:rsid w:val="00B02C8A"/>
    <w:rsid w:val="00B05648"/>
    <w:rsid w:val="00B17FBD"/>
    <w:rsid w:val="00B3072A"/>
    <w:rsid w:val="00B315A6"/>
    <w:rsid w:val="00B31813"/>
    <w:rsid w:val="00B33365"/>
    <w:rsid w:val="00B44F71"/>
    <w:rsid w:val="00B4525E"/>
    <w:rsid w:val="00B57B36"/>
    <w:rsid w:val="00B61F3F"/>
    <w:rsid w:val="00B71C43"/>
    <w:rsid w:val="00B8686D"/>
    <w:rsid w:val="00BB1DDC"/>
    <w:rsid w:val="00BB5524"/>
    <w:rsid w:val="00BC30C9"/>
    <w:rsid w:val="00BD1D99"/>
    <w:rsid w:val="00BE2257"/>
    <w:rsid w:val="00BE3E58"/>
    <w:rsid w:val="00BE5025"/>
    <w:rsid w:val="00BF5DCC"/>
    <w:rsid w:val="00C01616"/>
    <w:rsid w:val="00C0162B"/>
    <w:rsid w:val="00C068ED"/>
    <w:rsid w:val="00C16630"/>
    <w:rsid w:val="00C220AA"/>
    <w:rsid w:val="00C30AC4"/>
    <w:rsid w:val="00C33AF6"/>
    <w:rsid w:val="00C345B1"/>
    <w:rsid w:val="00C353BF"/>
    <w:rsid w:val="00C40142"/>
    <w:rsid w:val="00C462EE"/>
    <w:rsid w:val="00C57182"/>
    <w:rsid w:val="00C57863"/>
    <w:rsid w:val="00C61A8E"/>
    <w:rsid w:val="00C655FD"/>
    <w:rsid w:val="00C7130F"/>
    <w:rsid w:val="00C74D4A"/>
    <w:rsid w:val="00C75407"/>
    <w:rsid w:val="00C870A8"/>
    <w:rsid w:val="00C9105B"/>
    <w:rsid w:val="00C94434"/>
    <w:rsid w:val="00C9453A"/>
    <w:rsid w:val="00CA0D75"/>
    <w:rsid w:val="00CA1C95"/>
    <w:rsid w:val="00CA30C1"/>
    <w:rsid w:val="00CA5A9C"/>
    <w:rsid w:val="00CB4042"/>
    <w:rsid w:val="00CC0CAB"/>
    <w:rsid w:val="00CC4C10"/>
    <w:rsid w:val="00CC4C20"/>
    <w:rsid w:val="00CD3517"/>
    <w:rsid w:val="00CD5FE2"/>
    <w:rsid w:val="00CE5FBE"/>
    <w:rsid w:val="00CE7C68"/>
    <w:rsid w:val="00D02B4C"/>
    <w:rsid w:val="00D040C4"/>
    <w:rsid w:val="00D1157D"/>
    <w:rsid w:val="00D15E17"/>
    <w:rsid w:val="00D16375"/>
    <w:rsid w:val="00D22BC1"/>
    <w:rsid w:val="00D32FC1"/>
    <w:rsid w:val="00D35C90"/>
    <w:rsid w:val="00D553A6"/>
    <w:rsid w:val="00D57C84"/>
    <w:rsid w:val="00D6057D"/>
    <w:rsid w:val="00D70F45"/>
    <w:rsid w:val="00D712AA"/>
    <w:rsid w:val="00D74FFA"/>
    <w:rsid w:val="00D7748A"/>
    <w:rsid w:val="00D836C5"/>
    <w:rsid w:val="00D84576"/>
    <w:rsid w:val="00D8745E"/>
    <w:rsid w:val="00D9257D"/>
    <w:rsid w:val="00DA1399"/>
    <w:rsid w:val="00DA24C6"/>
    <w:rsid w:val="00DA4B85"/>
    <w:rsid w:val="00DA4D7B"/>
    <w:rsid w:val="00DA5535"/>
    <w:rsid w:val="00DE264A"/>
    <w:rsid w:val="00DE6331"/>
    <w:rsid w:val="00DF5072"/>
    <w:rsid w:val="00E00F87"/>
    <w:rsid w:val="00E02D18"/>
    <w:rsid w:val="00E041E7"/>
    <w:rsid w:val="00E13A35"/>
    <w:rsid w:val="00E23CA1"/>
    <w:rsid w:val="00E409A8"/>
    <w:rsid w:val="00E41E73"/>
    <w:rsid w:val="00E45DC3"/>
    <w:rsid w:val="00E50C12"/>
    <w:rsid w:val="00E52D00"/>
    <w:rsid w:val="00E552E4"/>
    <w:rsid w:val="00E565F6"/>
    <w:rsid w:val="00E65B91"/>
    <w:rsid w:val="00E7209D"/>
    <w:rsid w:val="00E77223"/>
    <w:rsid w:val="00E77958"/>
    <w:rsid w:val="00E8528B"/>
    <w:rsid w:val="00E85B94"/>
    <w:rsid w:val="00E92F9D"/>
    <w:rsid w:val="00E978D0"/>
    <w:rsid w:val="00EA4613"/>
    <w:rsid w:val="00EA7F91"/>
    <w:rsid w:val="00EB1523"/>
    <w:rsid w:val="00EC0E49"/>
    <w:rsid w:val="00EC101F"/>
    <w:rsid w:val="00EC1D9F"/>
    <w:rsid w:val="00EC2BD6"/>
    <w:rsid w:val="00EE0131"/>
    <w:rsid w:val="00EE17B0"/>
    <w:rsid w:val="00EE5054"/>
    <w:rsid w:val="00EF06D9"/>
    <w:rsid w:val="00EF0C59"/>
    <w:rsid w:val="00EF7F18"/>
    <w:rsid w:val="00F02760"/>
    <w:rsid w:val="00F20305"/>
    <w:rsid w:val="00F27427"/>
    <w:rsid w:val="00F30C64"/>
    <w:rsid w:val="00F32CDB"/>
    <w:rsid w:val="00F5277E"/>
    <w:rsid w:val="00F565FE"/>
    <w:rsid w:val="00F63A70"/>
    <w:rsid w:val="00F64A9C"/>
    <w:rsid w:val="00F64BAA"/>
    <w:rsid w:val="00FA030C"/>
    <w:rsid w:val="00FA06BA"/>
    <w:rsid w:val="00FA1547"/>
    <w:rsid w:val="00FA21D0"/>
    <w:rsid w:val="00FA3307"/>
    <w:rsid w:val="00FA5F5F"/>
    <w:rsid w:val="00FB49DA"/>
    <w:rsid w:val="00FB730C"/>
    <w:rsid w:val="00FC2695"/>
    <w:rsid w:val="00FC26B3"/>
    <w:rsid w:val="00FC3E03"/>
    <w:rsid w:val="00FC3FC1"/>
    <w:rsid w:val="00FE5EB0"/>
    <w:rsid w:val="00FE5F8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B9D8C02D-666F-4D79-974F-19A7036B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3239A"/>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3239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ff3">
    <w:name w:val="ff3"/>
    <w:basedOn w:val="Carpredefinitoparagrafo"/>
    <w:rsid w:val="00EF0C59"/>
  </w:style>
  <w:style w:type="character" w:customStyle="1" w:styleId="ls6">
    <w:name w:val="ls6"/>
    <w:basedOn w:val="Carpredefinitoparagrafo"/>
    <w:rsid w:val="00EF0C59"/>
  </w:style>
  <w:style w:type="character" w:styleId="Testosegnaposto">
    <w:name w:val="Placeholder Text"/>
    <w:basedOn w:val="Carpredefinitoparagrafo"/>
    <w:uiPriority w:val="99"/>
    <w:semiHidden/>
    <w:rsid w:val="00FA3307"/>
    <w:rPr>
      <w:color w:val="808080"/>
    </w:rPr>
  </w:style>
  <w:style w:type="character" w:styleId="CodiceHTML">
    <w:name w:val="HTML Code"/>
    <w:basedOn w:val="Carpredefinitoparagrafo"/>
    <w:uiPriority w:val="99"/>
    <w:semiHidden/>
    <w:unhideWhenUsed/>
    <w:rsid w:val="00DA4B85"/>
    <w:rPr>
      <w:rFonts w:ascii="Courier New" w:eastAsia="Times New Roman" w:hAnsi="Courier New" w:cs="Courier New"/>
      <w:sz w:val="20"/>
      <w:szCs w:val="20"/>
    </w:rPr>
  </w:style>
  <w:style w:type="character" w:styleId="Enfasicorsivo">
    <w:name w:val="Emphasis"/>
    <w:basedOn w:val="Carpredefinitoparagrafo"/>
    <w:uiPriority w:val="20"/>
    <w:qFormat/>
    <w:rsid w:val="00351607"/>
    <w:rPr>
      <w:i/>
      <w:iCs/>
    </w:rPr>
  </w:style>
  <w:style w:type="paragraph" w:customStyle="1" w:styleId="Default">
    <w:name w:val="Default"/>
    <w:rsid w:val="00665401"/>
    <w:pPr>
      <w:autoSpaceDE w:val="0"/>
      <w:autoSpaceDN w:val="0"/>
      <w:adjustRightInd w:val="0"/>
      <w:spacing w:after="0" w:line="240" w:lineRule="auto"/>
    </w:pPr>
    <w:rPr>
      <w:rFonts w:ascii="DecimaWE Rg" w:hAnsi="DecimaWE Rg" w:cs="DecimaWE Rg"/>
      <w:color w:val="000000"/>
      <w:sz w:val="24"/>
      <w:szCs w:val="24"/>
    </w:rPr>
  </w:style>
  <w:style w:type="paragraph" w:customStyle="1" w:styleId="Pa4">
    <w:name w:val="Pa4"/>
    <w:basedOn w:val="Default"/>
    <w:next w:val="Default"/>
    <w:uiPriority w:val="99"/>
    <w:rsid w:val="00665401"/>
    <w:pPr>
      <w:spacing w:line="241" w:lineRule="atLeast"/>
    </w:pPr>
    <w:rPr>
      <w:rFonts w:cstheme="minorBidi"/>
      <w:color w:val="auto"/>
    </w:rPr>
  </w:style>
  <w:style w:type="character" w:customStyle="1" w:styleId="A4">
    <w:name w:val="A4"/>
    <w:uiPriority w:val="99"/>
    <w:rsid w:val="00665401"/>
    <w:rPr>
      <w:rFonts w:cs="DecimaWE Rg"/>
      <w:b/>
      <w:bCs/>
      <w:color w:val="000000"/>
      <w:sz w:val="92"/>
      <w:szCs w:val="92"/>
    </w:rPr>
  </w:style>
  <w:style w:type="character" w:customStyle="1" w:styleId="A0">
    <w:name w:val="A0"/>
    <w:uiPriority w:val="99"/>
    <w:rsid w:val="00665401"/>
    <w:rPr>
      <w:rFonts w:cs="DecimaWE Rg"/>
      <w:b/>
      <w:bCs/>
      <w:color w:val="000000"/>
      <w:sz w:val="36"/>
      <w:szCs w:val="36"/>
    </w:rPr>
  </w:style>
  <w:style w:type="character" w:styleId="Menzionenonrisolta">
    <w:name w:val="Unresolved Mention"/>
    <w:basedOn w:val="Carpredefinitoparagrafo"/>
    <w:uiPriority w:val="99"/>
    <w:semiHidden/>
    <w:unhideWhenUsed/>
    <w:rsid w:val="005A6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21586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401780">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199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5348">
      <w:bodyDiv w:val="1"/>
      <w:marLeft w:val="0"/>
      <w:marRight w:val="0"/>
      <w:marTop w:val="0"/>
      <w:marBottom w:val="0"/>
      <w:divBdr>
        <w:top w:val="none" w:sz="0" w:space="0" w:color="auto"/>
        <w:left w:val="none" w:sz="0" w:space="0" w:color="auto"/>
        <w:bottom w:val="none" w:sz="0" w:space="0" w:color="auto"/>
        <w:right w:val="none" w:sz="0" w:space="0" w:color="auto"/>
      </w:divBdr>
    </w:div>
    <w:div w:id="1797605976">
      <w:bodyDiv w:val="1"/>
      <w:marLeft w:val="0"/>
      <w:marRight w:val="0"/>
      <w:marTop w:val="0"/>
      <w:marBottom w:val="0"/>
      <w:divBdr>
        <w:top w:val="none" w:sz="0" w:space="0" w:color="auto"/>
        <w:left w:val="none" w:sz="0" w:space="0" w:color="auto"/>
        <w:bottom w:val="none" w:sz="0" w:space="0" w:color="auto"/>
        <w:right w:val="none" w:sz="0" w:space="0" w:color="auto"/>
      </w:divBdr>
    </w:div>
    <w:div w:id="1885020407">
      <w:bodyDiv w:val="1"/>
      <w:marLeft w:val="0"/>
      <w:marRight w:val="0"/>
      <w:marTop w:val="0"/>
      <w:marBottom w:val="0"/>
      <w:divBdr>
        <w:top w:val="none" w:sz="0" w:space="0" w:color="auto"/>
        <w:left w:val="none" w:sz="0" w:space="0" w:color="auto"/>
        <w:bottom w:val="none" w:sz="0" w:space="0" w:color="auto"/>
        <w:right w:val="none" w:sz="0" w:space="0" w:color="auto"/>
      </w:divBdr>
    </w:div>
    <w:div w:id="196210819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1BD4A-22B4-47CD-9F78-4E77A69AD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3652</Words>
  <Characters>20819</Characters>
  <Application>Microsoft Office Word</Application>
  <DocSecurity>0</DocSecurity>
  <Lines>173</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Gianluca Intini</cp:lastModifiedBy>
  <cp:revision>6</cp:revision>
  <cp:lastPrinted>2015-05-12T18:31:00Z</cp:lastPrinted>
  <dcterms:created xsi:type="dcterms:W3CDTF">2021-02-08T15:53:00Z</dcterms:created>
  <dcterms:modified xsi:type="dcterms:W3CDTF">2021-02-08T17:39:00Z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