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290BAB" w14:paraId="2FF10FA6" w14:textId="77777777" w:rsidTr="00DE264A">
        <w:trPr>
          <w:trHeight w:val="852"/>
          <w:jc w:val="center"/>
        </w:trPr>
        <w:tc>
          <w:tcPr>
            <w:tcW w:w="6946" w:type="dxa"/>
            <w:vMerge w:val="restart"/>
            <w:tcBorders>
              <w:right w:val="single" w:sz="4" w:space="0" w:color="auto"/>
            </w:tcBorders>
          </w:tcPr>
          <w:p w14:paraId="01988BCC" w14:textId="77777777" w:rsidR="000A03B2" w:rsidRPr="00290BAB" w:rsidRDefault="000A03B2" w:rsidP="00DE264A">
            <w:pPr>
              <w:tabs>
                <w:tab w:val="left" w:pos="-108"/>
              </w:tabs>
              <w:ind w:left="-108"/>
              <w:jc w:val="left"/>
              <w:rPr>
                <w:rFonts w:cs="Arial"/>
                <w:b/>
                <w:bCs/>
                <w:i/>
                <w:iCs/>
                <w:color w:val="000066"/>
                <w:sz w:val="12"/>
                <w:szCs w:val="12"/>
                <w:lang w:eastAsia="it-IT"/>
              </w:rPr>
            </w:pPr>
            <w:bookmarkStart w:id="0" w:name="_GoBack"/>
            <w:bookmarkEnd w:id="0"/>
            <w:r w:rsidRPr="00290BAB">
              <w:rPr>
                <w:rFonts w:ascii="AdvP6960" w:hAnsi="AdvP6960" w:cs="AdvP6960"/>
                <w:noProof/>
                <w:color w:val="241F20"/>
                <w:szCs w:val="18"/>
                <w:lang w:val="it-IT" w:eastAsia="it-IT"/>
              </w:rPr>
              <w:drawing>
                <wp:inline distT="0" distB="0" distL="0" distR="0" wp14:anchorId="799B5512" wp14:editId="571B8880">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290BAB">
              <w:rPr>
                <w:rFonts w:ascii="AdvP6960" w:hAnsi="AdvP6960" w:cs="AdvP6960"/>
                <w:color w:val="241F20"/>
                <w:szCs w:val="18"/>
                <w:lang w:eastAsia="it-IT"/>
              </w:rPr>
              <w:t xml:space="preserve"> </w:t>
            </w:r>
            <w:r w:rsidRPr="00290BAB">
              <w:rPr>
                <w:rFonts w:cs="Arial"/>
                <w:b/>
                <w:bCs/>
                <w:i/>
                <w:iCs/>
                <w:color w:val="000066"/>
                <w:sz w:val="24"/>
                <w:szCs w:val="24"/>
                <w:lang w:eastAsia="it-IT"/>
              </w:rPr>
              <w:t>CHEMICAL ENGINEERING</w:t>
            </w:r>
            <w:r w:rsidRPr="00290BAB">
              <w:rPr>
                <w:rFonts w:cs="Arial"/>
                <w:b/>
                <w:bCs/>
                <w:i/>
                <w:iCs/>
                <w:color w:val="0033FF"/>
                <w:sz w:val="24"/>
                <w:szCs w:val="24"/>
                <w:lang w:eastAsia="it-IT"/>
              </w:rPr>
              <w:t xml:space="preserve"> </w:t>
            </w:r>
            <w:r w:rsidRPr="00290BAB">
              <w:rPr>
                <w:rFonts w:cs="Arial"/>
                <w:b/>
                <w:bCs/>
                <w:i/>
                <w:iCs/>
                <w:color w:val="666666"/>
                <w:sz w:val="24"/>
                <w:szCs w:val="24"/>
                <w:lang w:eastAsia="it-IT"/>
              </w:rPr>
              <w:t>TRANSACTIONS</w:t>
            </w:r>
            <w:r w:rsidRPr="00290BAB">
              <w:rPr>
                <w:color w:val="333333"/>
                <w:sz w:val="24"/>
                <w:szCs w:val="24"/>
                <w:lang w:eastAsia="it-IT"/>
              </w:rPr>
              <w:t xml:space="preserve"> </w:t>
            </w:r>
            <w:r w:rsidRPr="00290BAB">
              <w:rPr>
                <w:rFonts w:cs="Arial"/>
                <w:b/>
                <w:bCs/>
                <w:i/>
                <w:iCs/>
                <w:color w:val="000066"/>
                <w:sz w:val="27"/>
                <w:szCs w:val="27"/>
                <w:lang w:eastAsia="it-IT"/>
              </w:rPr>
              <w:br/>
            </w:r>
          </w:p>
          <w:p w14:paraId="5437CACE" w14:textId="3402C2A3" w:rsidR="000A03B2" w:rsidRPr="00290BAB" w:rsidRDefault="00A76EFC" w:rsidP="004C3D1D">
            <w:pPr>
              <w:tabs>
                <w:tab w:val="left" w:pos="-108"/>
              </w:tabs>
              <w:ind w:left="-108"/>
              <w:rPr>
                <w:rFonts w:cs="Arial"/>
                <w:b/>
                <w:bCs/>
                <w:i/>
                <w:iCs/>
                <w:color w:val="000066"/>
                <w:sz w:val="22"/>
                <w:szCs w:val="22"/>
                <w:lang w:eastAsia="it-IT"/>
              </w:rPr>
            </w:pPr>
            <w:r w:rsidRPr="00290BAB">
              <w:rPr>
                <w:rFonts w:cs="Arial"/>
                <w:b/>
                <w:bCs/>
                <w:i/>
                <w:iCs/>
                <w:color w:val="000066"/>
                <w:sz w:val="22"/>
                <w:szCs w:val="22"/>
                <w:lang w:eastAsia="it-IT"/>
              </w:rPr>
              <w:t xml:space="preserve">VOL. </w:t>
            </w:r>
            <w:r w:rsidR="002121A6">
              <w:rPr>
                <w:rFonts w:cs="Arial"/>
                <w:b/>
                <w:bCs/>
                <w:i/>
                <w:iCs/>
                <w:color w:val="000066"/>
                <w:sz w:val="22"/>
                <w:szCs w:val="22"/>
                <w:lang w:eastAsia="it-IT"/>
              </w:rPr>
              <w:t>82, 2020</w:t>
            </w:r>
          </w:p>
        </w:tc>
        <w:tc>
          <w:tcPr>
            <w:tcW w:w="1843" w:type="dxa"/>
            <w:tcBorders>
              <w:left w:val="single" w:sz="4" w:space="0" w:color="auto"/>
              <w:bottom w:val="nil"/>
              <w:right w:val="single" w:sz="4" w:space="0" w:color="auto"/>
            </w:tcBorders>
          </w:tcPr>
          <w:p w14:paraId="7B6C156E" w14:textId="77777777" w:rsidR="000A03B2" w:rsidRPr="00290BAB" w:rsidRDefault="000A03B2" w:rsidP="00CD5FE2">
            <w:pPr>
              <w:spacing w:line="140" w:lineRule="atLeast"/>
              <w:jc w:val="right"/>
              <w:rPr>
                <w:rFonts w:cs="Arial"/>
                <w:sz w:val="14"/>
                <w:szCs w:val="14"/>
              </w:rPr>
            </w:pPr>
            <w:r w:rsidRPr="00290BAB">
              <w:rPr>
                <w:rFonts w:cs="Arial"/>
                <w:sz w:val="14"/>
                <w:szCs w:val="14"/>
              </w:rPr>
              <w:t>A publication of</w:t>
            </w:r>
          </w:p>
          <w:p w14:paraId="7C7F0508" w14:textId="77777777" w:rsidR="000A03B2" w:rsidRPr="00290BAB" w:rsidRDefault="000A03B2" w:rsidP="00CD5FE2">
            <w:pPr>
              <w:jc w:val="right"/>
            </w:pPr>
            <w:r w:rsidRPr="00290BAB">
              <w:rPr>
                <w:noProof/>
                <w:lang w:val="it-IT" w:eastAsia="it-IT"/>
              </w:rPr>
              <w:drawing>
                <wp:inline distT="0" distB="0" distL="0" distR="0" wp14:anchorId="5650852B" wp14:editId="6A11A753">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290BAB" w14:paraId="39AE69E3" w14:textId="77777777" w:rsidTr="00DE264A">
        <w:trPr>
          <w:trHeight w:val="567"/>
          <w:jc w:val="center"/>
        </w:trPr>
        <w:tc>
          <w:tcPr>
            <w:tcW w:w="6946" w:type="dxa"/>
            <w:vMerge/>
            <w:tcBorders>
              <w:right w:val="single" w:sz="4" w:space="0" w:color="auto"/>
            </w:tcBorders>
          </w:tcPr>
          <w:p w14:paraId="4DF22400" w14:textId="77777777" w:rsidR="000A03B2" w:rsidRPr="00290BAB" w:rsidRDefault="000A03B2" w:rsidP="00CD5FE2">
            <w:pPr>
              <w:tabs>
                <w:tab w:val="left" w:pos="-108"/>
              </w:tabs>
            </w:pPr>
          </w:p>
        </w:tc>
        <w:tc>
          <w:tcPr>
            <w:tcW w:w="1843" w:type="dxa"/>
            <w:tcBorders>
              <w:left w:val="single" w:sz="4" w:space="0" w:color="auto"/>
              <w:bottom w:val="nil"/>
              <w:right w:val="single" w:sz="4" w:space="0" w:color="auto"/>
            </w:tcBorders>
          </w:tcPr>
          <w:p w14:paraId="5D5C05E4" w14:textId="77777777" w:rsidR="000A03B2" w:rsidRPr="00290BAB" w:rsidRDefault="000A03B2" w:rsidP="00CD5FE2">
            <w:pPr>
              <w:spacing w:line="140" w:lineRule="atLeast"/>
              <w:jc w:val="right"/>
              <w:rPr>
                <w:rFonts w:cs="Arial"/>
                <w:sz w:val="14"/>
                <w:szCs w:val="14"/>
              </w:rPr>
            </w:pPr>
            <w:r w:rsidRPr="00290BAB">
              <w:rPr>
                <w:rFonts w:cs="Arial"/>
                <w:sz w:val="14"/>
                <w:szCs w:val="14"/>
              </w:rPr>
              <w:t>The Italian Association</w:t>
            </w:r>
          </w:p>
          <w:p w14:paraId="2E5AD944" w14:textId="77777777" w:rsidR="000A03B2" w:rsidRPr="00290BAB" w:rsidRDefault="000A03B2" w:rsidP="00CD5FE2">
            <w:pPr>
              <w:spacing w:line="140" w:lineRule="atLeast"/>
              <w:jc w:val="right"/>
              <w:rPr>
                <w:rFonts w:cs="Arial"/>
                <w:sz w:val="14"/>
                <w:szCs w:val="14"/>
              </w:rPr>
            </w:pPr>
            <w:r w:rsidRPr="00290BAB">
              <w:rPr>
                <w:rFonts w:cs="Arial"/>
                <w:sz w:val="14"/>
                <w:szCs w:val="14"/>
              </w:rPr>
              <w:t>of Chemical Engineering</w:t>
            </w:r>
          </w:p>
          <w:p w14:paraId="6E4DCC95" w14:textId="77777777" w:rsidR="000A03B2" w:rsidRPr="00290BAB" w:rsidRDefault="005A3E9C" w:rsidP="00CD5FE2">
            <w:pPr>
              <w:spacing w:line="140" w:lineRule="atLeast"/>
              <w:jc w:val="right"/>
              <w:rPr>
                <w:rFonts w:cs="Arial"/>
                <w:sz w:val="14"/>
                <w:szCs w:val="14"/>
              </w:rPr>
            </w:pPr>
            <w:r w:rsidRPr="00290BAB">
              <w:rPr>
                <w:rFonts w:cs="Arial"/>
                <w:sz w:val="13"/>
                <w:szCs w:val="13"/>
              </w:rPr>
              <w:t>Online at www.cetjournal.it</w:t>
            </w:r>
          </w:p>
        </w:tc>
      </w:tr>
      <w:tr w:rsidR="000A03B2" w:rsidRPr="00290BAB" w14:paraId="230A4DB7" w14:textId="77777777" w:rsidTr="00DE264A">
        <w:trPr>
          <w:trHeight w:val="68"/>
          <w:jc w:val="center"/>
        </w:trPr>
        <w:tc>
          <w:tcPr>
            <w:tcW w:w="8789" w:type="dxa"/>
            <w:gridSpan w:val="2"/>
          </w:tcPr>
          <w:p w14:paraId="732109BF" w14:textId="77777777" w:rsidR="00300E56" w:rsidRPr="00290BAB" w:rsidRDefault="00300E56" w:rsidP="00EC0E49">
            <w:pPr>
              <w:tabs>
                <w:tab w:val="left" w:pos="-108"/>
              </w:tabs>
              <w:spacing w:line="140" w:lineRule="atLeast"/>
              <w:ind w:left="-108"/>
              <w:jc w:val="left"/>
              <w:rPr>
                <w:rFonts w:ascii="Tahoma" w:hAnsi="Tahoma" w:cs="Tahoma"/>
                <w:iCs/>
                <w:color w:val="333333"/>
                <w:sz w:val="14"/>
                <w:szCs w:val="14"/>
                <w:lang w:eastAsia="it-IT"/>
              </w:rPr>
            </w:pPr>
            <w:r w:rsidRPr="00290BAB">
              <w:rPr>
                <w:rFonts w:ascii="Tahoma" w:hAnsi="Tahoma" w:cs="Tahoma"/>
                <w:iCs/>
                <w:color w:val="333333"/>
                <w:sz w:val="14"/>
                <w:szCs w:val="14"/>
                <w:lang w:eastAsia="it-IT"/>
              </w:rPr>
              <w:t>Guest Editors:</w:t>
            </w:r>
            <w:r w:rsidR="00904C62" w:rsidRPr="00290BAB">
              <w:rPr>
                <w:rFonts w:ascii="Tahoma" w:hAnsi="Tahoma" w:cs="Tahoma"/>
                <w:iCs/>
                <w:color w:val="333333"/>
                <w:sz w:val="14"/>
                <w:szCs w:val="14"/>
                <w:lang w:eastAsia="it-IT"/>
              </w:rPr>
              <w:t xml:space="preserve"> </w:t>
            </w:r>
          </w:p>
          <w:p w14:paraId="557FCDE3" w14:textId="40D05F4E" w:rsidR="000A03B2" w:rsidRPr="00290BAB" w:rsidRDefault="0014464F" w:rsidP="00180860">
            <w:pPr>
              <w:tabs>
                <w:tab w:val="left" w:pos="-108"/>
              </w:tabs>
              <w:spacing w:line="140" w:lineRule="atLeast"/>
              <w:ind w:left="-108"/>
              <w:jc w:val="left"/>
            </w:pPr>
            <w:r w:rsidRPr="00290BAB">
              <w:rPr>
                <w:rFonts w:ascii="Tahoma" w:hAnsi="Tahoma" w:cs="Tahoma"/>
                <w:iCs/>
                <w:color w:val="333333"/>
                <w:sz w:val="14"/>
                <w:szCs w:val="14"/>
                <w:lang w:eastAsia="it-IT"/>
              </w:rPr>
              <w:t xml:space="preserve">Copyright © </w:t>
            </w:r>
            <w:r w:rsidR="00904C62" w:rsidRPr="00290BAB">
              <w:rPr>
                <w:rFonts w:ascii="Tahoma" w:hAnsi="Tahoma" w:cs="Tahoma"/>
                <w:iCs/>
                <w:color w:val="333333"/>
                <w:sz w:val="14"/>
                <w:szCs w:val="14"/>
                <w:lang w:eastAsia="it-IT"/>
              </w:rPr>
              <w:t xml:space="preserve"> AIDIC Servizi S.r.l.</w:t>
            </w:r>
            <w:r w:rsidR="00300E56" w:rsidRPr="00290BAB">
              <w:rPr>
                <w:rFonts w:ascii="Tahoma" w:hAnsi="Tahoma" w:cs="Tahoma"/>
                <w:iCs/>
                <w:color w:val="333333"/>
                <w:sz w:val="14"/>
                <w:szCs w:val="14"/>
                <w:lang w:eastAsia="it-IT"/>
              </w:rPr>
              <w:br/>
            </w:r>
            <w:r w:rsidR="00180860" w:rsidRPr="00290BAB">
              <w:rPr>
                <w:rFonts w:ascii="Tahoma" w:hAnsi="Tahoma" w:cs="Tahoma"/>
                <w:b/>
                <w:iCs/>
                <w:color w:val="333333"/>
                <w:sz w:val="14"/>
                <w:szCs w:val="14"/>
                <w:lang w:eastAsia="it-IT"/>
              </w:rPr>
              <w:t xml:space="preserve">ISBN </w:t>
            </w:r>
            <w:r w:rsidR="002121A6">
              <w:rPr>
                <w:rFonts w:ascii="Tahoma" w:hAnsi="Tahoma" w:cs="Tahoma"/>
                <w:sz w:val="14"/>
                <w:szCs w:val="14"/>
              </w:rPr>
              <w:t>978-88-</w:t>
            </w:r>
            <w:r w:rsidR="002121A6" w:rsidRPr="00EF06D9">
              <w:rPr>
                <w:rFonts w:ascii="Tahoma" w:hAnsi="Tahoma" w:cs="Tahoma"/>
                <w:sz w:val="14"/>
                <w:szCs w:val="14"/>
              </w:rPr>
              <w:t>95608-8</w:t>
            </w:r>
            <w:r w:rsidR="002121A6">
              <w:rPr>
                <w:rFonts w:ascii="Tahoma" w:hAnsi="Tahoma" w:cs="Tahoma"/>
                <w:sz w:val="14"/>
                <w:szCs w:val="14"/>
              </w:rPr>
              <w:t>0</w:t>
            </w:r>
            <w:r w:rsidR="002121A6" w:rsidRPr="00EF06D9">
              <w:rPr>
                <w:rFonts w:ascii="Tahoma" w:hAnsi="Tahoma" w:cs="Tahoma"/>
                <w:sz w:val="14"/>
                <w:szCs w:val="14"/>
              </w:rPr>
              <w:t>-</w:t>
            </w:r>
            <w:r w:rsidR="002121A6">
              <w:rPr>
                <w:rFonts w:ascii="Tahoma" w:hAnsi="Tahoma" w:cs="Tahoma"/>
                <w:sz w:val="14"/>
                <w:szCs w:val="14"/>
              </w:rPr>
              <w:t>8</w:t>
            </w:r>
            <w:r w:rsidR="002121A6" w:rsidRPr="00EF06D9">
              <w:rPr>
                <w:rFonts w:ascii="Tahoma" w:hAnsi="Tahoma" w:cs="Tahoma"/>
                <w:iCs/>
                <w:color w:val="333333"/>
                <w:sz w:val="14"/>
                <w:szCs w:val="14"/>
                <w:lang w:eastAsia="it-IT"/>
              </w:rPr>
              <w:t>;</w:t>
            </w:r>
            <w:r w:rsidR="002121A6" w:rsidRPr="00B57B36">
              <w:rPr>
                <w:rFonts w:ascii="Tahoma" w:hAnsi="Tahoma" w:cs="Tahoma"/>
                <w:iCs/>
                <w:color w:val="333333"/>
                <w:sz w:val="14"/>
                <w:szCs w:val="14"/>
                <w:lang w:eastAsia="it-IT"/>
              </w:rPr>
              <w:t xml:space="preserve"> </w:t>
            </w:r>
            <w:r w:rsidR="002121A6" w:rsidRPr="00B57B36">
              <w:rPr>
                <w:rFonts w:ascii="Tahoma" w:hAnsi="Tahoma" w:cs="Tahoma"/>
                <w:b/>
                <w:iCs/>
                <w:color w:val="333333"/>
                <w:sz w:val="14"/>
                <w:szCs w:val="14"/>
                <w:lang w:eastAsia="it-IT"/>
              </w:rPr>
              <w:t>ISSN</w:t>
            </w:r>
            <w:r w:rsidR="002121A6" w:rsidRPr="00B57B36">
              <w:rPr>
                <w:rFonts w:ascii="Tahoma" w:hAnsi="Tahoma" w:cs="Tahoma"/>
                <w:iCs/>
                <w:color w:val="333333"/>
                <w:sz w:val="14"/>
                <w:szCs w:val="14"/>
                <w:lang w:eastAsia="it-IT"/>
              </w:rPr>
              <w:t xml:space="preserve"> 2283-9216</w:t>
            </w:r>
          </w:p>
        </w:tc>
      </w:tr>
    </w:tbl>
    <w:p w14:paraId="5D542D8F" w14:textId="77777777" w:rsidR="000A03B2" w:rsidRPr="00290BAB" w:rsidRDefault="000A03B2" w:rsidP="000A03B2">
      <w:pPr>
        <w:pStyle w:val="CETAuthors"/>
        <w:sectPr w:rsidR="000A03B2" w:rsidRPr="00290BAB" w:rsidSect="00CD5FE2">
          <w:type w:val="continuous"/>
          <w:pgSz w:w="11906" w:h="16838" w:code="9"/>
          <w:pgMar w:top="1701" w:right="1418" w:bottom="1701" w:left="1701" w:header="1701" w:footer="0" w:gutter="0"/>
          <w:cols w:space="708"/>
          <w:titlePg/>
          <w:docGrid w:linePitch="360"/>
        </w:sectPr>
      </w:pPr>
    </w:p>
    <w:p w14:paraId="0164BD1E" w14:textId="77777777" w:rsidR="00E978D0" w:rsidRPr="00290BAB" w:rsidRDefault="00406F5D" w:rsidP="00E978D0">
      <w:pPr>
        <w:pStyle w:val="CETTitle"/>
      </w:pPr>
      <w:r w:rsidRPr="00406F5D">
        <w:t>T</w:t>
      </w:r>
      <w:r w:rsidR="00AD0C74" w:rsidRPr="00406F5D">
        <w:t>he Italian pilot study</w:t>
      </w:r>
      <w:r w:rsidRPr="00406F5D">
        <w:t xml:space="preserve"> of the D-NOSES project</w:t>
      </w:r>
      <w:r w:rsidR="00AD0C74" w:rsidRPr="00406F5D">
        <w:t xml:space="preserve">: </w:t>
      </w:r>
      <w:r w:rsidR="0090346D" w:rsidRPr="00406F5D">
        <w:t xml:space="preserve">an integrated approach involving citizen science and olfactometry to </w:t>
      </w:r>
      <w:r w:rsidR="00AD0C74" w:rsidRPr="00406F5D">
        <w:t>identify odour sources in the area of Castellanza</w:t>
      </w:r>
      <w:r w:rsidR="0090346D" w:rsidRPr="00406F5D">
        <w:t xml:space="preserve"> (VA)</w:t>
      </w:r>
    </w:p>
    <w:p w14:paraId="10B7C62C" w14:textId="77777777" w:rsidR="00E978D0" w:rsidRPr="001534D7" w:rsidRDefault="00535722" w:rsidP="00AB5011">
      <w:pPr>
        <w:pStyle w:val="CETAuthors"/>
        <w:rPr>
          <w:lang w:val="it-IT"/>
        </w:rPr>
      </w:pPr>
      <w:r w:rsidRPr="001534D7">
        <w:rPr>
          <w:lang w:val="it-IT"/>
        </w:rPr>
        <w:t>Beatrice J. Lotesoriere</w:t>
      </w:r>
      <w:r w:rsidR="00600535" w:rsidRPr="001534D7">
        <w:rPr>
          <w:lang w:val="it-IT"/>
        </w:rPr>
        <w:t xml:space="preserve">, </w:t>
      </w:r>
      <w:r w:rsidRPr="001534D7">
        <w:rPr>
          <w:lang w:val="it-IT"/>
        </w:rPr>
        <w:t>Alessio D. Giacomello</w:t>
      </w:r>
      <w:r w:rsidR="00600535" w:rsidRPr="001534D7">
        <w:rPr>
          <w:lang w:val="it-IT"/>
        </w:rPr>
        <w:t xml:space="preserve">, </w:t>
      </w:r>
      <w:r w:rsidR="005F19B4">
        <w:rPr>
          <w:lang w:val="it-IT"/>
        </w:rPr>
        <w:t xml:space="preserve">Carmen Bax, </w:t>
      </w:r>
      <w:r w:rsidRPr="001534D7">
        <w:rPr>
          <w:lang w:val="it-IT"/>
        </w:rPr>
        <w:t>Laura Capelli*</w:t>
      </w:r>
    </w:p>
    <w:p w14:paraId="753A4825" w14:textId="77777777" w:rsidR="00E978D0" w:rsidRPr="001534D7" w:rsidRDefault="00535722" w:rsidP="00E978D0">
      <w:pPr>
        <w:pStyle w:val="CETAddress"/>
        <w:rPr>
          <w:lang w:val="it-IT"/>
        </w:rPr>
      </w:pPr>
      <w:r w:rsidRPr="001534D7">
        <w:rPr>
          <w:lang w:val="it-IT"/>
        </w:rPr>
        <w:t>Politecnico di Milano,</w:t>
      </w:r>
      <w:r w:rsidR="0090346D" w:rsidRPr="001534D7">
        <w:rPr>
          <w:lang w:val="it-IT"/>
        </w:rPr>
        <w:t xml:space="preserve"> Department of Chemistry, materials, and Chemical Engineering “Giulio Natta”, Piazza Leonardo da Vinci 32, 20133 Milano, Italy</w:t>
      </w:r>
    </w:p>
    <w:p w14:paraId="57EEA7B1" w14:textId="77777777" w:rsidR="00E978D0" w:rsidRPr="005F19B4" w:rsidRDefault="0090346D" w:rsidP="00E978D0">
      <w:pPr>
        <w:pStyle w:val="CETemail"/>
      </w:pPr>
      <w:r w:rsidRPr="005F19B4">
        <w:t>laura.capelli</w:t>
      </w:r>
      <w:r w:rsidR="00600535" w:rsidRPr="005F19B4">
        <w:t>@</w:t>
      </w:r>
      <w:r w:rsidRPr="005F19B4">
        <w:t>polimi.it</w:t>
      </w:r>
    </w:p>
    <w:p w14:paraId="79A41746" w14:textId="77777777" w:rsidR="0011108A" w:rsidRPr="005F19B4" w:rsidRDefault="0011108A" w:rsidP="0090346D">
      <w:pPr>
        <w:pStyle w:val="CETBodytext"/>
        <w:rPr>
          <w:lang w:val="en-GB"/>
        </w:rPr>
      </w:pPr>
    </w:p>
    <w:p w14:paraId="271DE0CD" w14:textId="77777777" w:rsidR="0011108A" w:rsidRPr="00DC7B24" w:rsidRDefault="00406F5D" w:rsidP="0090346D">
      <w:pPr>
        <w:pStyle w:val="CETBodytext"/>
        <w:rPr>
          <w:lang w:val="en-GB"/>
        </w:rPr>
      </w:pPr>
      <w:r w:rsidRPr="00DC7B24">
        <w:rPr>
          <w:lang w:val="en-GB"/>
        </w:rPr>
        <w:t xml:space="preserve">This work was developed within the Horizon 2020 D-NOSES project, with the purpose </w:t>
      </w:r>
      <w:r w:rsidR="0051547A" w:rsidRPr="00DC7B24">
        <w:rPr>
          <w:lang w:val="en-GB"/>
        </w:rPr>
        <w:t>of validating a new methodology for odour pollution management based on citizen science.</w:t>
      </w:r>
      <w:r w:rsidR="00036627" w:rsidRPr="00DC7B24">
        <w:rPr>
          <w:lang w:val="en-GB"/>
        </w:rPr>
        <w:t xml:space="preserve"> The work was carried out in the</w:t>
      </w:r>
      <w:r w:rsidR="0051522D" w:rsidRPr="00DC7B24">
        <w:rPr>
          <w:lang w:val="en-GB"/>
        </w:rPr>
        <w:t xml:space="preserve"> area of Castellanza</w:t>
      </w:r>
      <w:r w:rsidR="00482649">
        <w:rPr>
          <w:lang w:val="en-GB"/>
        </w:rPr>
        <w:t>, in the Region of Lombardy</w:t>
      </w:r>
      <w:r w:rsidR="007F122A">
        <w:rPr>
          <w:lang w:val="en-GB"/>
        </w:rPr>
        <w:t xml:space="preserve"> (Italy)</w:t>
      </w:r>
      <w:r w:rsidR="00B179EF" w:rsidRPr="00DC7B24">
        <w:rPr>
          <w:lang w:val="en-GB"/>
        </w:rPr>
        <w:t>, and involved 4 plants</w:t>
      </w:r>
      <w:r w:rsidR="009A593B">
        <w:rPr>
          <w:lang w:val="en-GB"/>
        </w:rPr>
        <w:t xml:space="preserve"> that have been</w:t>
      </w:r>
      <w:r w:rsidR="00B179EF" w:rsidRPr="00DC7B24">
        <w:rPr>
          <w:lang w:val="en-GB"/>
        </w:rPr>
        <w:t xml:space="preserve"> identified as potential causes for odour emissions. In this complex situation, it was proposed to combine the D-NOSES methodology with the “traditional” way involving olfactometric measurements and dispersion modelling, in order to </w:t>
      </w:r>
      <w:r w:rsidR="009A593B">
        <w:rPr>
          <w:lang w:val="en-GB"/>
        </w:rPr>
        <w:t>identify the causes of the odour problem</w:t>
      </w:r>
      <w:r w:rsidR="00B179EF" w:rsidRPr="00DC7B24">
        <w:rPr>
          <w:lang w:val="en-GB"/>
        </w:rPr>
        <w:t xml:space="preserve">. </w:t>
      </w:r>
      <w:r w:rsidR="00DC7B24" w:rsidRPr="00DC7B24">
        <w:rPr>
          <w:lang w:val="en-GB"/>
        </w:rPr>
        <w:t xml:space="preserve">The results of the olfactometric surveys allowed to identify the major odour emissions of the plants under investigation. Moreover, </w:t>
      </w:r>
      <w:r w:rsidR="007F122A">
        <w:rPr>
          <w:lang w:val="en-GB"/>
        </w:rPr>
        <w:t xml:space="preserve">the preliminary analysis of the 358 odour observations collected in the period </w:t>
      </w:r>
      <w:r w:rsidR="007F122A" w:rsidRPr="00DC7B24">
        <w:rPr>
          <w:lang w:val="en-GB"/>
        </w:rPr>
        <w:t>between May 14</w:t>
      </w:r>
      <w:r w:rsidR="007F122A" w:rsidRPr="00DC7B24">
        <w:rPr>
          <w:vertAlign w:val="superscript"/>
          <w:lang w:val="en-GB"/>
        </w:rPr>
        <w:t>th</w:t>
      </w:r>
      <w:r w:rsidR="007F122A" w:rsidRPr="00DC7B24">
        <w:rPr>
          <w:lang w:val="en-GB"/>
        </w:rPr>
        <w:t xml:space="preserve"> and September 30</w:t>
      </w:r>
      <w:r w:rsidR="007F122A" w:rsidRPr="00DC7B24">
        <w:rPr>
          <w:vertAlign w:val="superscript"/>
          <w:lang w:val="en-GB"/>
        </w:rPr>
        <w:t>th</w:t>
      </w:r>
      <w:r w:rsidR="007F122A" w:rsidRPr="00DC7B24">
        <w:rPr>
          <w:lang w:val="en-GB"/>
        </w:rPr>
        <w:t xml:space="preserve"> 2020</w:t>
      </w:r>
      <w:r w:rsidR="007F122A">
        <w:rPr>
          <w:lang w:val="en-GB"/>
        </w:rPr>
        <w:t xml:space="preserve"> </w:t>
      </w:r>
      <w:r w:rsidR="007F122A" w:rsidRPr="00DC7B24">
        <w:rPr>
          <w:lang w:val="en-GB"/>
        </w:rPr>
        <w:t>by</w:t>
      </w:r>
      <w:r w:rsidR="007F122A">
        <w:rPr>
          <w:lang w:val="en-GB"/>
        </w:rPr>
        <w:t xml:space="preserve"> a group of</w:t>
      </w:r>
      <w:r w:rsidR="007F122A" w:rsidRPr="00DC7B24">
        <w:rPr>
          <w:lang w:val="en-GB"/>
        </w:rPr>
        <w:t xml:space="preserve"> trained citizens</w:t>
      </w:r>
      <w:r w:rsidR="007F122A">
        <w:rPr>
          <w:lang w:val="en-GB"/>
        </w:rPr>
        <w:t xml:space="preserve">, resulted in the disprove of the common belief </w:t>
      </w:r>
      <w:r w:rsidR="007F122A" w:rsidRPr="00290BAB">
        <w:rPr>
          <w:lang w:val="en-GB"/>
        </w:rPr>
        <w:t>that a particular product of the chemical plant cause</w:t>
      </w:r>
      <w:r w:rsidR="007F122A">
        <w:rPr>
          <w:lang w:val="en-GB"/>
        </w:rPr>
        <w:t>d</w:t>
      </w:r>
      <w:r w:rsidR="007F122A" w:rsidRPr="00290BAB">
        <w:rPr>
          <w:lang w:val="en-GB"/>
        </w:rPr>
        <w:t xml:space="preserve"> the release of odorous chemical </w:t>
      </w:r>
      <w:r w:rsidR="007F122A">
        <w:rPr>
          <w:lang w:val="en-GB"/>
        </w:rPr>
        <w:t xml:space="preserve">substances generating </w:t>
      </w:r>
      <w:r w:rsidR="007F122A" w:rsidRPr="00290BAB">
        <w:rPr>
          <w:lang w:val="en-GB"/>
        </w:rPr>
        <w:t>malodours at the municipal WWTP</w:t>
      </w:r>
      <w:r w:rsidR="007F122A">
        <w:rPr>
          <w:lang w:val="en-GB"/>
        </w:rPr>
        <w:t>.</w:t>
      </w:r>
    </w:p>
    <w:p w14:paraId="4045E26D" w14:textId="77777777" w:rsidR="0011108A" w:rsidRPr="00290BAB" w:rsidRDefault="0011108A" w:rsidP="0090346D">
      <w:pPr>
        <w:pStyle w:val="CETBodytext"/>
        <w:rPr>
          <w:lang w:val="en-GB"/>
        </w:rPr>
      </w:pPr>
    </w:p>
    <w:p w14:paraId="540C5427" w14:textId="77777777" w:rsidR="00844758" w:rsidRPr="00290BAB" w:rsidRDefault="00844758" w:rsidP="00844758">
      <w:pPr>
        <w:pStyle w:val="CETHeading1"/>
        <w:rPr>
          <w:lang w:val="en-GB"/>
        </w:rPr>
      </w:pPr>
      <w:r w:rsidRPr="00290BAB">
        <w:rPr>
          <w:lang w:val="en-GB"/>
        </w:rPr>
        <w:t>Introduction</w:t>
      </w:r>
    </w:p>
    <w:p w14:paraId="78052CDD" w14:textId="77777777" w:rsidR="0011108A" w:rsidRPr="00290BAB" w:rsidRDefault="0011108A" w:rsidP="0011108A">
      <w:r w:rsidRPr="00290BAB">
        <w:t>The overall aim of the H2020 D-NOSES project is to develop and validate a methodology for odour pollution management based on a bottom-up approach, which uses participatory strategies for citizen involvement, engagement with a broad set of quadruple helix stakeholders, and the co-creation of practical and balanced solutions.</w:t>
      </w:r>
    </w:p>
    <w:p w14:paraId="79970C2C" w14:textId="77777777" w:rsidR="0011108A" w:rsidRPr="00290BAB" w:rsidRDefault="0011108A" w:rsidP="0011108A">
      <w:r w:rsidRPr="00290BAB">
        <w:t>Within the frame of this project, 10 pilot studies are being carried out in 10 different countries in order to develop and validate the methodology. In the case of Italy, the pilot study involves 3 small Municipalities located in Northern Italy: Castellanza, Olgiate Olona, and Marnate, comprising a total of ca. 35</w:t>
      </w:r>
      <w:r w:rsidR="0051522D">
        <w:t>’</w:t>
      </w:r>
      <w:r w:rsidRPr="00290BAB">
        <w:t>000 inhabitants. In the area between these Municipalities, an odour problem has been lamented for years. A non-organized collection of complaints started already in 2016: the number of complaints clearly sho</w:t>
      </w:r>
      <w:r w:rsidR="00DF1A5D">
        <w:t>ws that there is an unsolved (a</w:t>
      </w:r>
      <w:r w:rsidRPr="00290BAB">
        <w:t xml:space="preserve"> non-identified) odour problem on the territory.</w:t>
      </w:r>
    </w:p>
    <w:p w14:paraId="32BAF7C9" w14:textId="5B35F99F" w:rsidR="0011108A" w:rsidRPr="00290BAB" w:rsidRDefault="0011108A" w:rsidP="0011108A">
      <w:r w:rsidRPr="00290BAB">
        <w:t>As a first step of the project, 4</w:t>
      </w:r>
      <w:r w:rsidR="00E5028E" w:rsidRPr="00290BAB">
        <w:t xml:space="preserve"> plant</w:t>
      </w:r>
      <w:r w:rsidRPr="00290BAB">
        <w:t>s were identified as potential sources of the lamented odour nuisance: a chemical plant, the municipal WWTP, a textile and dy</w:t>
      </w:r>
      <w:r w:rsidR="0051534F">
        <w:t>e</w:t>
      </w:r>
      <w:r w:rsidRPr="00290BAB">
        <w:t>ing industry, and the WWTP connected to the dy</w:t>
      </w:r>
      <w:r w:rsidR="0051534F">
        <w:t>e</w:t>
      </w:r>
      <w:r w:rsidRPr="00290BAB">
        <w:t>ing industry. For the purpose of investigating the cause of the odour nuisance, it was decided to adopt an integrated approach, involving the new D-NOSES methodology with the “traditional” top-down approach involving olfactometric measurements and dispersion modelling (</w:t>
      </w:r>
      <w:r w:rsidR="008A7C2B" w:rsidRPr="008920EC">
        <w:t>Capelli et al., 2011</w:t>
      </w:r>
      <w:r w:rsidRPr="008920EC">
        <w:t>), as it is foreseen by the specific guideline about odours of the region of Lombardy (</w:t>
      </w:r>
      <w:r w:rsidR="008920EC" w:rsidRPr="008920EC">
        <w:t>Regione Lombardia</w:t>
      </w:r>
      <w:r w:rsidRPr="008920EC">
        <w:t>, 2012),</w:t>
      </w:r>
      <w:r w:rsidRPr="00290BAB">
        <w:t xml:space="preserve"> where the 3 Municipalities are located.</w:t>
      </w:r>
    </w:p>
    <w:p w14:paraId="49C0A0FA" w14:textId="77777777" w:rsidR="0011108A" w:rsidRPr="00290BAB" w:rsidRDefault="0011108A" w:rsidP="0011108A">
      <w:r w:rsidRPr="00290BAB">
        <w:t>More in detail, this work presents the first part of the study, involving the olfactometric measurements on the odour sources of the four plants and a first preliminary analysis of the odour observations collected through the App Odour Collect, an open-source tool developed within the D-NOSES project.</w:t>
      </w:r>
    </w:p>
    <w:p w14:paraId="7DEC712E" w14:textId="77777777" w:rsidR="00844758" w:rsidRPr="00290BAB" w:rsidRDefault="00844758" w:rsidP="0090346D">
      <w:pPr>
        <w:pStyle w:val="CETBodytext"/>
        <w:rPr>
          <w:lang w:val="en-GB"/>
        </w:rPr>
      </w:pPr>
    </w:p>
    <w:p w14:paraId="72BEF429" w14:textId="77777777" w:rsidR="0011108A" w:rsidRPr="00290BAB" w:rsidRDefault="008A7C2B" w:rsidP="0011108A">
      <w:pPr>
        <w:pStyle w:val="CETHeading1"/>
        <w:rPr>
          <w:lang w:val="en-GB"/>
        </w:rPr>
      </w:pPr>
      <w:r w:rsidRPr="00290BAB">
        <w:rPr>
          <w:lang w:val="en-GB"/>
        </w:rPr>
        <w:lastRenderedPageBreak/>
        <w:t>Materials and Methods</w:t>
      </w:r>
    </w:p>
    <w:p w14:paraId="22A9ABE0" w14:textId="77777777" w:rsidR="008A7C2B" w:rsidRPr="00290BAB" w:rsidRDefault="00D52C06" w:rsidP="00B928CB">
      <w:pPr>
        <w:pStyle w:val="CETheadingx"/>
        <w:rPr>
          <w:lang w:val="en-GB"/>
        </w:rPr>
      </w:pPr>
      <w:r w:rsidRPr="00290BAB">
        <w:rPr>
          <w:noProof/>
          <w:lang w:val="it-IT" w:eastAsia="it-IT"/>
        </w:rPr>
        <w:drawing>
          <wp:anchor distT="0" distB="0" distL="114300" distR="114300" simplePos="0" relativeHeight="251658240" behindDoc="0" locked="0" layoutInCell="1" allowOverlap="1" wp14:anchorId="424CF9C9" wp14:editId="1E177DAC">
            <wp:simplePos x="0" y="0"/>
            <wp:positionH relativeFrom="margin">
              <wp:posOffset>3653790</wp:posOffset>
            </wp:positionH>
            <wp:positionV relativeFrom="paragraph">
              <wp:posOffset>2540</wp:posOffset>
            </wp:positionV>
            <wp:extent cx="1924685" cy="2273935"/>
            <wp:effectExtent l="0" t="0" r="0" b="0"/>
            <wp:wrapSquare wrapText="bothSides"/>
            <wp:docPr id="3" name="Immagine 3" descr="https://lh5.googleusercontent.com/Aka9d3CiPLkS2w2HEfvhX_FVZK2i1v5SkPOn0LaaodRaPVnKUDZM1QpM2l-5wtOF67MqLcQdETGh7xihc6AgufQ3ztFsYuW6Tcb_tUcQaOWKuYHorn_JgLz35akZhXiINNfjmtMTO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Aka9d3CiPLkS2w2HEfvhX_FVZK2i1v5SkPOn0LaaodRaPVnKUDZM1QpM2l-5wtOF67MqLcQdETGh7xihc6AgufQ3ztFsYuW6Tcb_tUcQaOWKuYHorn_JgLz35akZhXiINNfjmtMTO_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4685" cy="2273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7C2B" w:rsidRPr="00290BAB">
        <w:rPr>
          <w:lang w:val="en-GB"/>
        </w:rPr>
        <w:t>Description and history of the site</w:t>
      </w:r>
    </w:p>
    <w:p w14:paraId="62338844" w14:textId="2A98CEBC" w:rsidR="00844758" w:rsidRPr="00290BAB" w:rsidRDefault="00B928CB" w:rsidP="0090346D">
      <w:pPr>
        <w:pStyle w:val="CETBodytext"/>
        <w:rPr>
          <w:lang w:val="en-GB"/>
        </w:rPr>
      </w:pPr>
      <w:r w:rsidRPr="00290BAB">
        <w:rPr>
          <w:lang w:val="en-GB"/>
        </w:rPr>
        <w:t>The Italian pilot is being carried out in an area comprising three small municipalities located in the Region of Lombardy: Castellanza, Marnate and Olgiate Olona. At the beginning of 2019, the Majors of the 3 Municipalities contacted the Politecnico di Milano because their citizens have been complaining about the presence of ma</w:t>
      </w:r>
      <w:r w:rsidR="00A55D7B" w:rsidRPr="00290BAB">
        <w:rPr>
          <w:lang w:val="en-GB"/>
        </w:rPr>
        <w:t>lodours for years. Indeed, this</w:t>
      </w:r>
      <w:r w:rsidRPr="00290BAB">
        <w:rPr>
          <w:lang w:val="en-GB"/>
        </w:rPr>
        <w:t xml:space="preserve"> part of the Region is highly industrialized: in particular, </w:t>
      </w:r>
      <w:r w:rsidR="00A55D7B" w:rsidRPr="00290BAB">
        <w:rPr>
          <w:lang w:val="en-GB"/>
        </w:rPr>
        <w:t>based on the provenance of the odour complaints and the prevalent wind direction</w:t>
      </w:r>
      <w:r w:rsidRPr="00290BAB">
        <w:rPr>
          <w:lang w:val="en-GB"/>
        </w:rPr>
        <w:t xml:space="preserve">, </w:t>
      </w:r>
      <w:r w:rsidR="00A55D7B" w:rsidRPr="00290BAB">
        <w:rPr>
          <w:lang w:val="en-GB"/>
        </w:rPr>
        <w:t>four plants have been firstly identified as potential sources of odours in the study area. Those comprise a chemical plant, the municipal WWTP, a textile and dy</w:t>
      </w:r>
      <w:r w:rsidR="0051534F">
        <w:rPr>
          <w:lang w:val="en-GB"/>
        </w:rPr>
        <w:t>e</w:t>
      </w:r>
      <w:r w:rsidR="00A55D7B" w:rsidRPr="00290BAB">
        <w:rPr>
          <w:lang w:val="en-GB"/>
        </w:rPr>
        <w:t xml:space="preserve">ing industry, and </w:t>
      </w:r>
      <w:r w:rsidR="00FD6725" w:rsidRPr="00290BAB">
        <w:rPr>
          <w:lang w:val="en-GB"/>
        </w:rPr>
        <w:t>an industrial</w:t>
      </w:r>
      <w:r w:rsidR="00A55D7B" w:rsidRPr="00290BAB">
        <w:rPr>
          <w:lang w:val="en-GB"/>
        </w:rPr>
        <w:t xml:space="preserve"> WWTP connected to the dy</w:t>
      </w:r>
      <w:r w:rsidR="0051534F">
        <w:rPr>
          <w:lang w:val="en-GB"/>
        </w:rPr>
        <w:t>e</w:t>
      </w:r>
      <w:r w:rsidR="00A55D7B" w:rsidRPr="00290BAB">
        <w:rPr>
          <w:lang w:val="en-GB"/>
        </w:rPr>
        <w:t>ing industry.</w:t>
      </w:r>
    </w:p>
    <w:p w14:paraId="6DFF7503" w14:textId="295B4813" w:rsidR="00A55D7B" w:rsidRPr="00290BAB" w:rsidRDefault="00D52C06" w:rsidP="0090346D">
      <w:pPr>
        <w:pStyle w:val="CETBodytext"/>
        <w:rPr>
          <w:lang w:val="en-GB"/>
        </w:rPr>
      </w:pPr>
      <w:r w:rsidRPr="00290BAB">
        <w:rPr>
          <w:noProof/>
          <w:lang w:val="it-IT" w:eastAsia="it-IT"/>
        </w:rPr>
        <mc:AlternateContent>
          <mc:Choice Requires="wps">
            <w:drawing>
              <wp:anchor distT="45720" distB="45720" distL="114300" distR="114300" simplePos="0" relativeHeight="251663360" behindDoc="0" locked="0" layoutInCell="1" allowOverlap="1" wp14:anchorId="063CE74F" wp14:editId="69828189">
                <wp:simplePos x="0" y="0"/>
                <wp:positionH relativeFrom="margin">
                  <wp:posOffset>3653790</wp:posOffset>
                </wp:positionH>
                <wp:positionV relativeFrom="paragraph">
                  <wp:posOffset>481330</wp:posOffset>
                </wp:positionV>
                <wp:extent cx="1831975" cy="431800"/>
                <wp:effectExtent l="0" t="0" r="0" b="6350"/>
                <wp:wrapSquare wrapText="bothSides"/>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975" cy="431800"/>
                        </a:xfrm>
                        <a:prstGeom prst="rect">
                          <a:avLst/>
                        </a:prstGeom>
                        <a:solidFill>
                          <a:srgbClr val="FFFFFF"/>
                        </a:solidFill>
                        <a:ln w="9525">
                          <a:noFill/>
                          <a:miter lim="800000"/>
                          <a:headEnd/>
                          <a:tailEnd/>
                        </a:ln>
                      </wps:spPr>
                      <wps:txbx>
                        <w:txbxContent>
                          <w:p w14:paraId="229E6E8C" w14:textId="77777777" w:rsidR="00D52C06" w:rsidRDefault="00D52C06" w:rsidP="00D52C06">
                            <w:pPr>
                              <w:pStyle w:val="CETCaption"/>
                            </w:pPr>
                            <w:r w:rsidRPr="00263968">
                              <w:t xml:space="preserve">Figure </w:t>
                            </w:r>
                            <w:r>
                              <w:t>1</w:t>
                            </w:r>
                            <w:r w:rsidRPr="00263968">
                              <w:t xml:space="preserve">: </w:t>
                            </w:r>
                            <w:r>
                              <w:t>Location of the Italian pilot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3CE74F" id="_x0000_t202" coordsize="21600,21600" o:spt="202" path="m,l,21600r21600,l21600,xe">
                <v:stroke joinstyle="miter"/>
                <v:path gradientshapeok="t" o:connecttype="rect"/>
              </v:shapetype>
              <v:shape id="Casella di testo 2" o:spid="_x0000_s1026" type="#_x0000_t202" style="position:absolute;left:0;text-align:left;margin-left:287.7pt;margin-top:37.9pt;width:144.25pt;height:3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" stroked="f">
                <v:textbox>
                  <w:txbxContent>
                    <w:p w14:paraId="229E6E8C" w14:textId="77777777" w:rsidR="00D52C06" w:rsidRDefault="00D52C06" w:rsidP="00D52C06">
                      <w:pPr>
                        <w:pStyle w:val="CETCaption"/>
                      </w:pPr>
                      <w:r w:rsidRPr="00263968">
                        <w:t xml:space="preserve">Figure </w:t>
                      </w:r>
                      <w:r>
                        <w:t>1</w:t>
                      </w:r>
                      <w:r w:rsidRPr="00263968">
                        <w:t xml:space="preserve">: </w:t>
                      </w:r>
                      <w:r>
                        <w:t>Location of the Italian pilot</w:t>
                      </w:r>
                    </w:p>
                  </w:txbxContent>
                </v:textbox>
                <w10:wrap type="square" anchorx="margin"/>
              </v:shape>
            </w:pict>
          </mc:Fallback>
        </mc:AlternateContent>
      </w:r>
      <w:r w:rsidR="00A55D7B" w:rsidRPr="00290BAB">
        <w:rPr>
          <w:lang w:val="en-GB"/>
        </w:rPr>
        <w:t xml:space="preserve">Historically, there has been a long-lasting debate regarding the chemical plant and the municipal WWTP, involving the belief – not supported by scientific </w:t>
      </w:r>
      <w:r w:rsidR="00312BD9">
        <w:rPr>
          <w:lang w:val="en-GB"/>
        </w:rPr>
        <w:t>evidence</w:t>
      </w:r>
      <w:r w:rsidR="00A55D7B" w:rsidRPr="00290BAB">
        <w:rPr>
          <w:lang w:val="en-GB"/>
        </w:rPr>
        <w:t xml:space="preserve"> – that a particular product of the chemical plant cause</w:t>
      </w:r>
      <w:r w:rsidR="00777815">
        <w:rPr>
          <w:lang w:val="en-GB"/>
        </w:rPr>
        <w:t>s</w:t>
      </w:r>
      <w:r w:rsidR="00A55D7B" w:rsidRPr="00290BAB">
        <w:rPr>
          <w:lang w:val="en-GB"/>
        </w:rPr>
        <w:t xml:space="preserve"> the release of </w:t>
      </w:r>
      <w:r w:rsidR="00017A12" w:rsidRPr="00290BAB">
        <w:rPr>
          <w:lang w:val="en-GB"/>
        </w:rPr>
        <w:t xml:space="preserve">odorous </w:t>
      </w:r>
      <w:r w:rsidR="00A55D7B" w:rsidRPr="00290BAB">
        <w:rPr>
          <w:lang w:val="en-GB"/>
        </w:rPr>
        <w:t xml:space="preserve">chemical substances in their wastewaters, </w:t>
      </w:r>
      <w:r w:rsidR="00777815">
        <w:rPr>
          <w:lang w:val="en-GB"/>
        </w:rPr>
        <w:t xml:space="preserve">thereby generating </w:t>
      </w:r>
      <w:r w:rsidR="00A55D7B" w:rsidRPr="00290BAB">
        <w:rPr>
          <w:lang w:val="en-GB"/>
        </w:rPr>
        <w:t xml:space="preserve">the presence of </w:t>
      </w:r>
      <w:r w:rsidR="00017A12" w:rsidRPr="00290BAB">
        <w:rPr>
          <w:lang w:val="en-GB"/>
        </w:rPr>
        <w:t>mal</w:t>
      </w:r>
      <w:r w:rsidR="00A55D7B" w:rsidRPr="00290BAB">
        <w:rPr>
          <w:lang w:val="en-GB"/>
        </w:rPr>
        <w:t xml:space="preserve">odours at the </w:t>
      </w:r>
      <w:r w:rsidR="000E7658" w:rsidRPr="00290BAB">
        <w:rPr>
          <w:lang w:val="en-GB"/>
        </w:rPr>
        <w:t xml:space="preserve">municipal </w:t>
      </w:r>
      <w:r w:rsidR="00A55D7B" w:rsidRPr="00290BAB">
        <w:rPr>
          <w:lang w:val="en-GB"/>
        </w:rPr>
        <w:t>WWTP</w:t>
      </w:r>
      <w:r w:rsidR="000E7658" w:rsidRPr="00290BAB">
        <w:rPr>
          <w:lang w:val="en-GB"/>
        </w:rPr>
        <w:t>, which receives them for treatment.</w:t>
      </w:r>
    </w:p>
    <w:p w14:paraId="7C38EBE6" w14:textId="77777777" w:rsidR="00844758" w:rsidRPr="00290BAB" w:rsidRDefault="00844758" w:rsidP="0090346D">
      <w:pPr>
        <w:pStyle w:val="CETBodytext"/>
        <w:rPr>
          <w:lang w:val="en-GB"/>
        </w:rPr>
      </w:pPr>
    </w:p>
    <w:p w14:paraId="2EBEC17B" w14:textId="77777777" w:rsidR="00017A12" w:rsidRPr="00290BAB" w:rsidRDefault="00017A12" w:rsidP="00017A12">
      <w:pPr>
        <w:pStyle w:val="CETheadingx"/>
        <w:rPr>
          <w:lang w:val="en-GB"/>
        </w:rPr>
      </w:pPr>
      <w:r w:rsidRPr="00290BAB">
        <w:rPr>
          <w:lang w:val="en-GB"/>
        </w:rPr>
        <w:t>Proposed methodology</w:t>
      </w:r>
    </w:p>
    <w:p w14:paraId="671146F3" w14:textId="77777777" w:rsidR="00CF105C" w:rsidRPr="00290BAB" w:rsidRDefault="00017A12" w:rsidP="00CF105C">
      <w:pPr>
        <w:pStyle w:val="CETBodytext"/>
        <w:rPr>
          <w:lang w:val="en-GB"/>
        </w:rPr>
      </w:pPr>
      <w:r w:rsidRPr="0051547A">
        <w:rPr>
          <w:lang w:val="en-GB"/>
        </w:rPr>
        <w:t xml:space="preserve">Although no national regulation about </w:t>
      </w:r>
      <w:r w:rsidR="00592B50" w:rsidRPr="0051547A">
        <w:rPr>
          <w:lang w:val="en-GB"/>
        </w:rPr>
        <w:t>odours</w:t>
      </w:r>
      <w:r w:rsidRPr="0051547A">
        <w:rPr>
          <w:lang w:val="en-GB"/>
        </w:rPr>
        <w:t xml:space="preserve"> exists in Italy, in 2012, the Region of Lombardy issued a </w:t>
      </w:r>
      <w:r w:rsidR="00592B50" w:rsidRPr="0051547A">
        <w:rPr>
          <w:lang w:val="en-GB"/>
        </w:rPr>
        <w:t>guideline, paving the way for addressing odour pollution problems</w:t>
      </w:r>
      <w:r w:rsidR="008920EC" w:rsidRPr="0051547A">
        <w:rPr>
          <w:lang w:val="en-GB"/>
        </w:rPr>
        <w:t xml:space="preserve"> (Bokowa et al., 2021)</w:t>
      </w:r>
      <w:r w:rsidR="00592B50" w:rsidRPr="0051547A">
        <w:rPr>
          <w:lang w:val="en-GB"/>
        </w:rPr>
        <w:t xml:space="preserve">. </w:t>
      </w:r>
      <w:r w:rsidR="00CF105C" w:rsidRPr="0051547A">
        <w:rPr>
          <w:lang w:val="en-GB"/>
        </w:rPr>
        <w:t xml:space="preserve">The guideline is divided into different phases: phase A is the systematic monitoring of odour complaints, in order to verify the presence and the entity of the odour problem; this (in 2012) was foreseen by involving citizens through the use of questionnaires. In practice, phase A is very rarely applied. On the other hand, phase B, is applied in most cases: this phase involves the quantification of odour emissions by means of dynamic olfactometry </w:t>
      </w:r>
      <w:r w:rsidR="008920EC" w:rsidRPr="0051547A">
        <w:rPr>
          <w:lang w:val="en-GB"/>
        </w:rPr>
        <w:t>according to EN 13725:2003</w:t>
      </w:r>
      <w:r w:rsidR="00CF105C" w:rsidRPr="0051547A">
        <w:rPr>
          <w:lang w:val="en-GB"/>
        </w:rPr>
        <w:t xml:space="preserve"> and then odour impact assessment by dispersion modelling (</w:t>
      </w:r>
      <w:r w:rsidR="008920EC" w:rsidRPr="0051547A">
        <w:rPr>
          <w:lang w:val="en-GB"/>
        </w:rPr>
        <w:t>Cusano et al., 2010</w:t>
      </w:r>
      <w:r w:rsidR="00CF105C" w:rsidRPr="0051547A">
        <w:rPr>
          <w:lang w:val="en-GB"/>
        </w:rPr>
        <w:t>).</w:t>
      </w:r>
    </w:p>
    <w:p w14:paraId="1CDBCC1E" w14:textId="628AD654" w:rsidR="00FB6532" w:rsidRPr="00290BAB" w:rsidRDefault="00FB6532" w:rsidP="000471CE">
      <w:pPr>
        <w:pStyle w:val="CETBodytext"/>
        <w:rPr>
          <w:lang w:val="en-GB"/>
        </w:rPr>
      </w:pPr>
      <w:r w:rsidRPr="00290BAB">
        <w:rPr>
          <w:lang w:val="en-GB"/>
        </w:rPr>
        <w:t xml:space="preserve">For this reason, in this complex situation, in order </w:t>
      </w:r>
      <w:r w:rsidR="00312BD9">
        <w:rPr>
          <w:lang w:val="en-GB"/>
        </w:rPr>
        <w:t xml:space="preserve">to </w:t>
      </w:r>
      <w:r w:rsidRPr="00290BAB">
        <w:rPr>
          <w:lang w:val="en-GB"/>
        </w:rPr>
        <w:t>find an answer to the main research question: “What</w:t>
      </w:r>
      <w:r w:rsidR="00DF1A5D">
        <w:rPr>
          <w:lang w:val="en-GB"/>
        </w:rPr>
        <w:t xml:space="preserve"> is causing the odour problem?”,</w:t>
      </w:r>
      <w:r w:rsidRPr="00290BAB">
        <w:rPr>
          <w:lang w:val="en-GB"/>
        </w:rPr>
        <w:t xml:space="preserve"> it was proposed to combine the application of the D-NOSES methodology </w:t>
      </w:r>
      <w:r w:rsidR="000471CE" w:rsidRPr="00290BAB">
        <w:rPr>
          <w:lang w:val="en-GB"/>
        </w:rPr>
        <w:t>involving extreme citizen science</w:t>
      </w:r>
      <w:r w:rsidRPr="00290BAB">
        <w:rPr>
          <w:lang w:val="en-GB"/>
        </w:rPr>
        <w:t xml:space="preserve"> with the “traditional” way involving olfactometric measurements and dispersion modelling.</w:t>
      </w:r>
      <w:r w:rsidR="000471CE" w:rsidRPr="00290BAB">
        <w:rPr>
          <w:lang w:val="en-GB"/>
        </w:rPr>
        <w:t xml:space="preserve"> This approach, besides respecting the local guidelines, also has the advantage of providing </w:t>
      </w:r>
      <w:r w:rsidRPr="00290BAB">
        <w:rPr>
          <w:lang w:val="en-GB"/>
        </w:rPr>
        <w:t>scientific sound experimental data to validate the D-NOSES methodology</w:t>
      </w:r>
      <w:r w:rsidR="000471CE" w:rsidRPr="00290BAB">
        <w:rPr>
          <w:lang w:val="en-GB"/>
        </w:rPr>
        <w:t>, allowing to cross the results of the dispersion modelling studies with the odour observations by the citizens, in order to identify the odour provenance.</w:t>
      </w:r>
    </w:p>
    <w:p w14:paraId="37326DB2" w14:textId="77777777" w:rsidR="00FB6532" w:rsidRPr="00290BAB" w:rsidRDefault="00FB6532" w:rsidP="00CF105C">
      <w:pPr>
        <w:pStyle w:val="CETBodytext"/>
        <w:rPr>
          <w:lang w:val="en-GB"/>
        </w:rPr>
      </w:pPr>
    </w:p>
    <w:p w14:paraId="24A7147E" w14:textId="77777777" w:rsidR="00AB59B2" w:rsidRPr="00290BAB" w:rsidRDefault="00AB59B2" w:rsidP="00AB59B2">
      <w:pPr>
        <w:pStyle w:val="CETheadingx"/>
        <w:rPr>
          <w:lang w:val="en-GB"/>
        </w:rPr>
      </w:pPr>
      <w:r w:rsidRPr="00290BAB">
        <w:rPr>
          <w:lang w:val="en-GB"/>
        </w:rPr>
        <w:t>Collection and analysis of odour observations</w:t>
      </w:r>
    </w:p>
    <w:p w14:paraId="38C9DC8C" w14:textId="77777777" w:rsidR="00AB59B2" w:rsidRPr="00290BAB" w:rsidRDefault="0039399F" w:rsidP="00AB59B2">
      <w:pPr>
        <w:pStyle w:val="CETBodytext"/>
        <w:rPr>
          <w:lang w:val="en-GB"/>
        </w:rPr>
      </w:pPr>
      <w:r w:rsidRPr="00290BAB">
        <w:rPr>
          <w:lang w:val="en-GB"/>
        </w:rPr>
        <w:t>The odour observations from the citizens were registered through the app and website OdourCollect (</w:t>
      </w:r>
      <w:hyperlink r:id="rId11" w:history="1">
        <w:r w:rsidRPr="00290BAB">
          <w:rPr>
            <w:rStyle w:val="Collegamentoipertestuale"/>
            <w:lang w:val="en-GB"/>
          </w:rPr>
          <w:t>https://odourcollect.eu/</w:t>
        </w:r>
      </w:hyperlink>
      <w:r w:rsidRPr="00290BAB">
        <w:rPr>
          <w:lang w:val="en-GB"/>
        </w:rPr>
        <w:t>), which have been developed within the D-NOSES project.</w:t>
      </w:r>
      <w:r w:rsidR="00DC14CF" w:rsidRPr="00290BAB">
        <w:rPr>
          <w:lang w:val="en-GB"/>
        </w:rPr>
        <w:t xml:space="preserve"> </w:t>
      </w:r>
      <w:r w:rsidR="00E94C79" w:rsidRPr="00290BAB">
        <w:rPr>
          <w:lang w:val="en-GB"/>
        </w:rPr>
        <w:t>The app allows users to indicate whenever an odour is perceived by providing its type, intensity, and hedonic tone. The location of the perception is registered automatically by using the geo-localization system of the device where the app is installed (smartphone, tablet or PC).</w:t>
      </w:r>
    </w:p>
    <w:p w14:paraId="331EB83C" w14:textId="77777777" w:rsidR="0039399F" w:rsidRPr="00290BAB" w:rsidRDefault="00E94C79" w:rsidP="00AB59B2">
      <w:pPr>
        <w:pStyle w:val="CETBodytext"/>
        <w:rPr>
          <w:lang w:val="en-GB"/>
        </w:rPr>
      </w:pPr>
      <w:r w:rsidRPr="00290BAB">
        <w:rPr>
          <w:lang w:val="en-GB"/>
        </w:rPr>
        <w:t xml:space="preserve">Even though the app </w:t>
      </w:r>
      <w:r w:rsidR="009E71E2" w:rsidRPr="00290BAB">
        <w:rPr>
          <w:lang w:val="en-GB"/>
        </w:rPr>
        <w:t>is open source and any user may add observations after registration and login, in this case,</w:t>
      </w:r>
      <w:r w:rsidR="00B00D77" w:rsidRPr="00290BAB">
        <w:rPr>
          <w:lang w:val="en-GB"/>
        </w:rPr>
        <w:t xml:space="preserve"> it was decided to “train” a group of volunteers </w:t>
      </w:r>
      <w:r w:rsidR="00B108A7" w:rsidRPr="00290BAB">
        <w:rPr>
          <w:lang w:val="en-GB"/>
        </w:rPr>
        <w:t>on how to make a complaint, with the purpose of</w:t>
      </w:r>
      <w:r w:rsidR="00B00D77" w:rsidRPr="00290BAB">
        <w:rPr>
          <w:lang w:val="en-GB"/>
        </w:rPr>
        <w:t xml:space="preserve"> increas</w:t>
      </w:r>
      <w:r w:rsidR="00B108A7" w:rsidRPr="00290BAB">
        <w:rPr>
          <w:lang w:val="en-GB"/>
        </w:rPr>
        <w:t>ing</w:t>
      </w:r>
      <w:r w:rsidR="00B00D77" w:rsidRPr="00290BAB">
        <w:rPr>
          <w:lang w:val="en-GB"/>
        </w:rPr>
        <w:t xml:space="preserve"> their sense of responsibility in the participation to the project. </w:t>
      </w:r>
      <w:r w:rsidR="00B108A7" w:rsidRPr="00290BAB">
        <w:rPr>
          <w:lang w:val="en-GB"/>
        </w:rPr>
        <w:t>The observations made by these trained users are the one that, in a first period, are being used for further analysis and for comparison with other data (e.g., meteorological data and dispersion modelling results).</w:t>
      </w:r>
    </w:p>
    <w:p w14:paraId="3C8E9350" w14:textId="4F0E95A5" w:rsidR="002132F4" w:rsidRPr="00290BAB" w:rsidRDefault="002132F4" w:rsidP="00AB59B2">
      <w:pPr>
        <w:pStyle w:val="CETBodytext"/>
        <w:rPr>
          <w:lang w:val="en-GB"/>
        </w:rPr>
      </w:pPr>
      <w:r w:rsidRPr="00290BAB">
        <w:rPr>
          <w:lang w:val="en-GB"/>
        </w:rPr>
        <w:t>A first public meeting with communities was held on the 10</w:t>
      </w:r>
      <w:r w:rsidRPr="0054242A">
        <w:rPr>
          <w:vertAlign w:val="superscript"/>
          <w:lang w:val="en-GB"/>
        </w:rPr>
        <w:t>th</w:t>
      </w:r>
      <w:r w:rsidRPr="00290BAB">
        <w:rPr>
          <w:lang w:val="en-GB"/>
        </w:rPr>
        <w:t xml:space="preserve"> December 2019, during which a general introduction of the D-NOSES project and its objectives were presented, </w:t>
      </w:r>
      <w:r w:rsidR="00465B2E" w:rsidRPr="00290BAB">
        <w:rPr>
          <w:lang w:val="en-GB"/>
        </w:rPr>
        <w:t>aiming to inform citizens about the future activities and fin</w:t>
      </w:r>
      <w:r w:rsidR="00312BD9">
        <w:rPr>
          <w:lang w:val="en-GB"/>
        </w:rPr>
        <w:t>d</w:t>
      </w:r>
      <w:r w:rsidR="00465B2E" w:rsidRPr="00290BAB">
        <w:rPr>
          <w:lang w:val="en-GB"/>
        </w:rPr>
        <w:t xml:space="preserve"> volunteers for the project.</w:t>
      </w:r>
    </w:p>
    <w:p w14:paraId="44B642C6" w14:textId="77777777" w:rsidR="002132F4" w:rsidRPr="00290BAB" w:rsidRDefault="002132F4" w:rsidP="00AB59B2">
      <w:pPr>
        <w:pStyle w:val="CETBodytext"/>
        <w:rPr>
          <w:lang w:val="en-GB"/>
        </w:rPr>
      </w:pPr>
      <w:r w:rsidRPr="00290BAB">
        <w:rPr>
          <w:lang w:val="en-GB"/>
        </w:rPr>
        <w:t xml:space="preserve">The training of the </w:t>
      </w:r>
      <w:r w:rsidR="00465B2E" w:rsidRPr="00290BAB">
        <w:rPr>
          <w:lang w:val="en-GB"/>
        </w:rPr>
        <w:t>volunteers was organized in three subsequent meetings.</w:t>
      </w:r>
    </w:p>
    <w:p w14:paraId="1F2C7030" w14:textId="77777777" w:rsidR="007C2F5A" w:rsidRPr="00290BAB" w:rsidRDefault="00465B2E" w:rsidP="00AB59B2">
      <w:pPr>
        <w:pStyle w:val="CETBodytext"/>
        <w:rPr>
          <w:lang w:val="en-GB"/>
        </w:rPr>
      </w:pPr>
      <w:r w:rsidRPr="00290BAB">
        <w:rPr>
          <w:lang w:val="en-GB"/>
        </w:rPr>
        <w:t>The first training took place on the 20</w:t>
      </w:r>
      <w:r w:rsidRPr="00290BAB">
        <w:rPr>
          <w:vertAlign w:val="superscript"/>
          <w:lang w:val="en-GB"/>
        </w:rPr>
        <w:t>th</w:t>
      </w:r>
      <w:r w:rsidRPr="00290BAB">
        <w:rPr>
          <w:lang w:val="en-GB"/>
        </w:rPr>
        <w:t xml:space="preserve"> January 2020</w:t>
      </w:r>
      <w:r w:rsidR="007C2F5A" w:rsidRPr="00290BAB">
        <w:rPr>
          <w:lang w:val="en-GB"/>
        </w:rPr>
        <w:t>, and over 50 people attended, which was considered a huge success. During this meeting, the methods that can be used for odour impact assessment</w:t>
      </w:r>
      <w:r w:rsidR="00DA1789" w:rsidRPr="00290BAB">
        <w:rPr>
          <w:lang w:val="en-GB"/>
        </w:rPr>
        <w:t xml:space="preserve"> were explained</w:t>
      </w:r>
      <w:r w:rsidR="007C2F5A" w:rsidRPr="00290BAB">
        <w:rPr>
          <w:lang w:val="en-GB"/>
        </w:rPr>
        <w:t>, thereby focusing on citizen science and on its potential to become an effective tool for managing odour problems.</w:t>
      </w:r>
      <w:r w:rsidR="002C735D">
        <w:rPr>
          <w:lang w:val="en-GB"/>
        </w:rPr>
        <w:t xml:space="preserve"> </w:t>
      </w:r>
      <w:r w:rsidR="007C2F5A" w:rsidRPr="00290BAB">
        <w:rPr>
          <w:lang w:val="en-GB"/>
        </w:rPr>
        <w:t xml:space="preserve">Then, citizens </w:t>
      </w:r>
      <w:r w:rsidR="002C735D">
        <w:rPr>
          <w:lang w:val="en-GB"/>
        </w:rPr>
        <w:t xml:space="preserve">were further engaged </w:t>
      </w:r>
      <w:r w:rsidR="007C2F5A" w:rsidRPr="00290BAB">
        <w:rPr>
          <w:lang w:val="en-GB"/>
        </w:rPr>
        <w:t>in framing the problem by asking them 4 questions:</w:t>
      </w:r>
    </w:p>
    <w:p w14:paraId="06D89524" w14:textId="77777777" w:rsidR="0039399F" w:rsidRPr="00290BAB" w:rsidRDefault="007C2F5A" w:rsidP="007A202B">
      <w:pPr>
        <w:pStyle w:val="CETnumbering1"/>
        <w:rPr>
          <w:lang w:val="en-GB"/>
        </w:rPr>
      </w:pPr>
      <w:r w:rsidRPr="00290BAB">
        <w:rPr>
          <w:lang w:val="en-GB"/>
        </w:rPr>
        <w:t>Do you feel annoyed by odours?</w:t>
      </w:r>
    </w:p>
    <w:p w14:paraId="3DDE464B" w14:textId="77777777" w:rsidR="007C2F5A" w:rsidRPr="00290BAB" w:rsidRDefault="007C2F5A" w:rsidP="00231DA5">
      <w:pPr>
        <w:pStyle w:val="CETnumbering1"/>
        <w:rPr>
          <w:lang w:val="en-GB"/>
        </w:rPr>
      </w:pPr>
      <w:r w:rsidRPr="00290BAB">
        <w:rPr>
          <w:lang w:val="en-GB"/>
        </w:rPr>
        <w:t>Are odours perceived more frequently on specific hours, days, or seasons?</w:t>
      </w:r>
    </w:p>
    <w:p w14:paraId="133B7847" w14:textId="77777777" w:rsidR="007C2F5A" w:rsidRPr="00290BAB" w:rsidRDefault="007C2F5A" w:rsidP="00231DA5">
      <w:pPr>
        <w:pStyle w:val="CETnumbering1"/>
        <w:rPr>
          <w:lang w:val="en-GB"/>
        </w:rPr>
      </w:pPr>
      <w:r w:rsidRPr="00290BAB">
        <w:rPr>
          <w:lang w:val="en-GB"/>
        </w:rPr>
        <w:lastRenderedPageBreak/>
        <w:t>Which type of odour do you perceive more frequently?</w:t>
      </w:r>
    </w:p>
    <w:p w14:paraId="6B81E4C7" w14:textId="77777777" w:rsidR="007C2F5A" w:rsidRPr="00290BAB" w:rsidRDefault="007C2F5A" w:rsidP="00231DA5">
      <w:pPr>
        <w:pStyle w:val="CETnumbering1"/>
        <w:rPr>
          <w:lang w:val="en-GB"/>
        </w:rPr>
      </w:pPr>
      <w:r w:rsidRPr="00290BAB">
        <w:rPr>
          <w:lang w:val="en-GB"/>
        </w:rPr>
        <w:t>What are your expectations from the project?</w:t>
      </w:r>
    </w:p>
    <w:p w14:paraId="71328DD7" w14:textId="77777777" w:rsidR="0039399F" w:rsidRPr="00290BAB" w:rsidRDefault="007C2F5A" w:rsidP="00AB59B2">
      <w:pPr>
        <w:pStyle w:val="CETBodytext"/>
        <w:rPr>
          <w:lang w:val="en-GB"/>
        </w:rPr>
      </w:pPr>
      <w:r w:rsidRPr="00290BAB">
        <w:rPr>
          <w:lang w:val="en-GB"/>
        </w:rPr>
        <w:t>The answers to these questions were collected on specific anonymous forms, and their analysis allowed us to get a first overview of the problem, as perceived by the citizens.</w:t>
      </w:r>
    </w:p>
    <w:p w14:paraId="3B787282" w14:textId="77777777" w:rsidR="003E4407" w:rsidRPr="00290BAB" w:rsidRDefault="00F7085A" w:rsidP="003E4407">
      <w:pPr>
        <w:pStyle w:val="CETBodytext"/>
        <w:rPr>
          <w:lang w:val="en-GB"/>
        </w:rPr>
      </w:pPr>
      <w:r w:rsidRPr="00290BAB">
        <w:rPr>
          <w:lang w:val="en-GB"/>
        </w:rPr>
        <w:t>T</w:t>
      </w:r>
      <w:r w:rsidR="00DA1789" w:rsidRPr="00290BAB">
        <w:rPr>
          <w:lang w:val="en-GB"/>
        </w:rPr>
        <w:t xml:space="preserve">he second meeting </w:t>
      </w:r>
      <w:r w:rsidRPr="00290BAB">
        <w:rPr>
          <w:lang w:val="en-GB"/>
        </w:rPr>
        <w:t>(11</w:t>
      </w:r>
      <w:r w:rsidRPr="00290BAB">
        <w:rPr>
          <w:vertAlign w:val="superscript"/>
          <w:lang w:val="en-GB"/>
        </w:rPr>
        <w:t>th</w:t>
      </w:r>
      <w:r w:rsidRPr="00290BAB">
        <w:rPr>
          <w:lang w:val="en-GB"/>
        </w:rPr>
        <w:t xml:space="preserve"> February 2020, 42 participants) was a “practical</w:t>
      </w:r>
      <w:r w:rsidR="00C82771" w:rsidRPr="00290BAB">
        <w:rPr>
          <w:lang w:val="en-GB"/>
        </w:rPr>
        <w:t>” workshop</w:t>
      </w:r>
      <w:r w:rsidR="003E4407" w:rsidRPr="00290BAB">
        <w:rPr>
          <w:lang w:val="en-GB"/>
        </w:rPr>
        <w:t>. The aim of this training was to make citizens familiar with the concept of odour and its main characteristics through some examples. For this purpose, the citizens were asked to smell 7 different odour samples and to fill a table describing intensity, quality, and hedonic tone of the perceived odours on suitable scales. The samples that were used for the training were: n-butanol at 4 different concentrations (ranging from 60 ppb to 15 ppm), Dimeth</w:t>
      </w:r>
      <w:r w:rsidR="003B7855" w:rsidRPr="00290BAB">
        <w:rPr>
          <w:lang w:val="en-GB"/>
        </w:rPr>
        <w:t>y</w:t>
      </w:r>
      <w:r w:rsidR="003E4407" w:rsidRPr="00290BAB">
        <w:rPr>
          <w:lang w:val="en-GB"/>
        </w:rPr>
        <w:t>l</w:t>
      </w:r>
      <w:r w:rsidR="003B7855" w:rsidRPr="00290BAB">
        <w:rPr>
          <w:lang w:val="en-GB"/>
        </w:rPr>
        <w:t xml:space="preserve"> </w:t>
      </w:r>
      <w:r w:rsidR="003E4407" w:rsidRPr="00290BAB">
        <w:rPr>
          <w:lang w:val="en-GB"/>
        </w:rPr>
        <w:t xml:space="preserve">disulphide (DMDS), Guaiacol, and Vanillin. These samples were prepared as to be representative of different intensity levels, different odour types, and different degrees of pleasantness. </w:t>
      </w:r>
    </w:p>
    <w:p w14:paraId="16CDB361" w14:textId="77777777" w:rsidR="00AB59B2" w:rsidRPr="00290BAB" w:rsidRDefault="0039399F" w:rsidP="00AB59B2">
      <w:pPr>
        <w:pStyle w:val="CETBodytext"/>
        <w:rPr>
          <w:lang w:val="en-GB"/>
        </w:rPr>
      </w:pPr>
      <w:r w:rsidRPr="00290BAB">
        <w:rPr>
          <w:lang w:val="en-GB"/>
        </w:rPr>
        <w:t xml:space="preserve">A last meeting was </w:t>
      </w:r>
      <w:r w:rsidR="003E4407" w:rsidRPr="00290BAB">
        <w:rPr>
          <w:lang w:val="en-GB"/>
        </w:rPr>
        <w:t>organized</w:t>
      </w:r>
      <w:r w:rsidRPr="00290BAB">
        <w:rPr>
          <w:lang w:val="en-GB"/>
        </w:rPr>
        <w:t xml:space="preserve"> on </w:t>
      </w:r>
      <w:r w:rsidR="003E4407" w:rsidRPr="00290BAB">
        <w:rPr>
          <w:lang w:val="en-GB"/>
        </w:rPr>
        <w:t>the 14</w:t>
      </w:r>
      <w:r w:rsidR="003E4407" w:rsidRPr="00290BAB">
        <w:rPr>
          <w:vertAlign w:val="superscript"/>
          <w:lang w:val="en-GB"/>
        </w:rPr>
        <w:t>th</w:t>
      </w:r>
      <w:r w:rsidR="003E4407" w:rsidRPr="00290BAB">
        <w:rPr>
          <w:lang w:val="en-GB"/>
        </w:rPr>
        <w:t xml:space="preserve"> </w:t>
      </w:r>
      <w:r w:rsidRPr="00290BAB">
        <w:rPr>
          <w:lang w:val="en-GB"/>
        </w:rPr>
        <w:t>May</w:t>
      </w:r>
      <w:r w:rsidR="003E4407" w:rsidRPr="00290BAB">
        <w:rPr>
          <w:lang w:val="en-GB"/>
        </w:rPr>
        <w:t xml:space="preserve"> 2020 online (due to the COVID-19 pandemics public meetings were forbidden)</w:t>
      </w:r>
      <w:r w:rsidRPr="00290BAB">
        <w:rPr>
          <w:lang w:val="en-GB"/>
        </w:rPr>
        <w:t xml:space="preserve"> to explain how the app works and </w:t>
      </w:r>
      <w:r w:rsidR="003E4407" w:rsidRPr="00290BAB">
        <w:rPr>
          <w:lang w:val="en-GB"/>
        </w:rPr>
        <w:t>officially start the collection of observations from</w:t>
      </w:r>
      <w:r w:rsidRPr="00290BAB">
        <w:rPr>
          <w:lang w:val="en-GB"/>
        </w:rPr>
        <w:t xml:space="preserve"> the citizens.</w:t>
      </w:r>
    </w:p>
    <w:p w14:paraId="6C675505" w14:textId="77777777" w:rsidR="007525B0" w:rsidRPr="009A37DC" w:rsidRDefault="00B238E1" w:rsidP="00CF105C">
      <w:pPr>
        <w:pStyle w:val="CETBodytext"/>
        <w:rPr>
          <w:lang w:val="en-GB"/>
        </w:rPr>
      </w:pPr>
      <w:r w:rsidRPr="009A37DC">
        <w:rPr>
          <w:lang w:val="en-GB"/>
        </w:rPr>
        <w:t>This paper refers to the first 4.5 months of observations, i.e. those collected between the 15</w:t>
      </w:r>
      <w:r w:rsidRPr="009A37DC">
        <w:rPr>
          <w:vertAlign w:val="superscript"/>
          <w:lang w:val="en-GB"/>
        </w:rPr>
        <w:t>th</w:t>
      </w:r>
      <w:r w:rsidRPr="009A37DC">
        <w:rPr>
          <w:lang w:val="en-GB"/>
        </w:rPr>
        <w:t xml:space="preserve"> May and the 30</w:t>
      </w:r>
      <w:r w:rsidRPr="009A37DC">
        <w:rPr>
          <w:vertAlign w:val="superscript"/>
          <w:lang w:val="en-GB"/>
        </w:rPr>
        <w:t>th</w:t>
      </w:r>
      <w:r w:rsidRPr="009A37DC">
        <w:rPr>
          <w:lang w:val="en-GB"/>
        </w:rPr>
        <w:t xml:space="preserve"> September 2020</w:t>
      </w:r>
      <w:r w:rsidR="009626E9" w:rsidRPr="009A37DC">
        <w:rPr>
          <w:lang w:val="en-GB"/>
        </w:rPr>
        <w:t xml:space="preserve">. </w:t>
      </w:r>
      <w:r w:rsidR="00801A3D" w:rsidRPr="009A37DC">
        <w:rPr>
          <w:lang w:val="en-GB"/>
        </w:rPr>
        <w:t xml:space="preserve">The observations collected during this period </w:t>
      </w:r>
      <w:r w:rsidR="007525B0" w:rsidRPr="009A37DC">
        <w:rPr>
          <w:lang w:val="en-GB"/>
        </w:rPr>
        <w:t xml:space="preserve">underwent a preliminary analysis, with the aim to highlight the existence of specific correlations, for instance with the plant operations or with the meteorological conditions. For this purpose, some tools of the statistical analysis were employed, such as </w:t>
      </w:r>
      <w:r w:rsidR="001534D7" w:rsidRPr="009A37DC">
        <w:rPr>
          <w:lang w:val="en-GB"/>
        </w:rPr>
        <w:t>the chi-square</w:t>
      </w:r>
      <w:r w:rsidR="00E36262" w:rsidRPr="009A37DC">
        <w:rPr>
          <w:lang w:val="en-GB"/>
        </w:rPr>
        <w:t>d</w:t>
      </w:r>
      <w:r w:rsidR="001534D7" w:rsidRPr="009A37DC">
        <w:rPr>
          <w:lang w:val="en-GB"/>
        </w:rPr>
        <w:t xml:space="preserve"> test (</w:t>
      </w:r>
      <w:r w:rsidR="00E36262" w:rsidRPr="009A37DC">
        <w:rPr>
          <w:lang w:val="en-GB"/>
        </w:rPr>
        <w:t>Franke et al., 2012</w:t>
      </w:r>
      <w:r w:rsidR="001534D7" w:rsidRPr="009A37DC">
        <w:rPr>
          <w:lang w:val="en-GB"/>
        </w:rPr>
        <w:t>)</w:t>
      </w:r>
      <w:r w:rsidR="00194E4D" w:rsidRPr="009A37DC">
        <w:rPr>
          <w:lang w:val="en-GB"/>
        </w:rPr>
        <w:t>.</w:t>
      </w:r>
    </w:p>
    <w:p w14:paraId="53359747" w14:textId="77777777" w:rsidR="007525B0" w:rsidRPr="00290BAB" w:rsidRDefault="007525B0" w:rsidP="00CF105C">
      <w:pPr>
        <w:pStyle w:val="CETBodytext"/>
        <w:rPr>
          <w:lang w:val="en-GB"/>
        </w:rPr>
      </w:pPr>
    </w:p>
    <w:p w14:paraId="49F95F60" w14:textId="77777777" w:rsidR="00106A0C" w:rsidRPr="00290BAB" w:rsidRDefault="00106A0C" w:rsidP="00106A0C">
      <w:pPr>
        <w:pStyle w:val="CETheadingx"/>
        <w:rPr>
          <w:lang w:val="en-GB"/>
        </w:rPr>
      </w:pPr>
      <w:r w:rsidRPr="00290BAB">
        <w:rPr>
          <w:lang w:val="en-GB"/>
        </w:rPr>
        <w:t>Identification and quantification of odour emissions</w:t>
      </w:r>
    </w:p>
    <w:p w14:paraId="7ECCC4E1" w14:textId="77777777" w:rsidR="00106A0C" w:rsidRPr="00290BAB" w:rsidRDefault="00106A0C" w:rsidP="00106A0C">
      <w:pPr>
        <w:pStyle w:val="CETBodytext"/>
        <w:rPr>
          <w:lang w:val="en-GB"/>
        </w:rPr>
      </w:pPr>
      <w:r w:rsidRPr="00290BAB">
        <w:rPr>
          <w:lang w:val="en-GB"/>
        </w:rPr>
        <w:t>A deep inspection of the 4 plants under study was carried out in July 2020, with the purpose of analysing the process and identifying all the potential odour sources to be characterized by dynamic olfactometry in the subsequent phase.</w:t>
      </w:r>
    </w:p>
    <w:p w14:paraId="10A9F83B" w14:textId="77777777" w:rsidR="00106A0C" w:rsidRPr="00290BAB" w:rsidRDefault="00106A0C" w:rsidP="00106A0C">
      <w:pPr>
        <w:pStyle w:val="CETBodytext"/>
        <w:rPr>
          <w:lang w:val="en-GB"/>
        </w:rPr>
      </w:pPr>
      <w:r w:rsidRPr="00290BAB">
        <w:rPr>
          <w:lang w:val="en-GB"/>
        </w:rPr>
        <w:t>Odour emissions were quantified in terms of odour concentration and odour emission rate</w:t>
      </w:r>
      <w:r w:rsidR="007C1B69" w:rsidRPr="00290BAB">
        <w:rPr>
          <w:lang w:val="en-GB"/>
        </w:rPr>
        <w:t xml:space="preserve"> (OER)</w:t>
      </w:r>
      <w:r w:rsidRPr="00290BAB">
        <w:rPr>
          <w:lang w:val="en-GB"/>
        </w:rPr>
        <w:t xml:space="preserve"> according to EN 13725:2003. Samples were collected at the sources</w:t>
      </w:r>
      <w:r w:rsidR="000B7846" w:rsidRPr="00290BAB">
        <w:rPr>
          <w:lang w:val="en-GB"/>
        </w:rPr>
        <w:t xml:space="preserve"> according to the methods describe in the Regional guideline </w:t>
      </w:r>
      <w:r w:rsidR="000B7846" w:rsidRPr="008920EC">
        <w:rPr>
          <w:lang w:val="en-GB"/>
        </w:rPr>
        <w:t>(Regione Lombardia, 2012),</w:t>
      </w:r>
      <w:r w:rsidRPr="008920EC">
        <w:rPr>
          <w:lang w:val="en-GB"/>
        </w:rPr>
        <w:t xml:space="preserve"> on</w:t>
      </w:r>
      <w:r w:rsidRPr="00290BAB">
        <w:rPr>
          <w:lang w:val="en-GB"/>
        </w:rPr>
        <w:t xml:space="preserve"> differe</w:t>
      </w:r>
      <w:r w:rsidR="000B7846" w:rsidRPr="00290BAB">
        <w:rPr>
          <w:lang w:val="en-GB"/>
        </w:rPr>
        <w:t>nt dates in July, September and</w:t>
      </w:r>
      <w:r w:rsidRPr="00290BAB">
        <w:rPr>
          <w:lang w:val="en-GB"/>
        </w:rPr>
        <w:t xml:space="preserve"> Decembe</w:t>
      </w:r>
      <w:r w:rsidR="000B7846" w:rsidRPr="00290BAB">
        <w:rPr>
          <w:lang w:val="en-GB"/>
        </w:rPr>
        <w:t xml:space="preserve">r 2020 </w:t>
      </w:r>
      <w:r w:rsidRPr="00290BAB">
        <w:rPr>
          <w:lang w:val="en-GB"/>
        </w:rPr>
        <w:t>in order to characterize different operational conditions of the plants. Olfactometric analyses were carried out at the Olfactometric Laboratory of the Politecnico di Milano within 30 hours after sampling.</w:t>
      </w:r>
    </w:p>
    <w:p w14:paraId="63A4B916" w14:textId="77777777" w:rsidR="000D1A91" w:rsidRPr="00290BAB" w:rsidRDefault="000D1A91" w:rsidP="00106A0C">
      <w:pPr>
        <w:pStyle w:val="CETBodytext"/>
        <w:rPr>
          <w:lang w:val="en-GB"/>
        </w:rPr>
      </w:pPr>
      <w:r w:rsidRPr="00290BAB">
        <w:rPr>
          <w:lang w:val="en-GB"/>
        </w:rPr>
        <w:t>In order to evaluate the results of the olfactometric analyses it should be mentioned that the Regional guideline fixes a lower limit of 80 ou</w:t>
      </w:r>
      <w:r w:rsidRPr="00290BAB">
        <w:rPr>
          <w:vertAlign w:val="subscript"/>
          <w:lang w:val="en-GB"/>
        </w:rPr>
        <w:t>E</w:t>
      </w:r>
      <w:r w:rsidRPr="00290BAB">
        <w:rPr>
          <w:lang w:val="en-GB"/>
        </w:rPr>
        <w:t>/m</w:t>
      </w:r>
      <w:r w:rsidRPr="00290BAB">
        <w:rPr>
          <w:vertAlign w:val="superscript"/>
          <w:lang w:val="en-GB"/>
        </w:rPr>
        <w:t>3</w:t>
      </w:r>
      <w:r w:rsidRPr="00290BAB">
        <w:rPr>
          <w:lang w:val="en-GB"/>
        </w:rPr>
        <w:t xml:space="preserve"> and 500 ou</w:t>
      </w:r>
      <w:r w:rsidRPr="00290BAB">
        <w:rPr>
          <w:vertAlign w:val="subscript"/>
          <w:lang w:val="en-GB"/>
        </w:rPr>
        <w:t>E</w:t>
      </w:r>
      <w:r w:rsidRPr="00290BAB">
        <w:rPr>
          <w:lang w:val="en-GB"/>
        </w:rPr>
        <w:t>/s below which an odour source can be considered as negligible for odour impact assessment purposes.</w:t>
      </w:r>
    </w:p>
    <w:p w14:paraId="415D7009" w14:textId="77777777" w:rsidR="00106A0C" w:rsidRPr="00290BAB" w:rsidRDefault="00106A0C" w:rsidP="00CF105C">
      <w:pPr>
        <w:pStyle w:val="CETBodytext"/>
        <w:rPr>
          <w:lang w:val="en-GB"/>
        </w:rPr>
      </w:pPr>
    </w:p>
    <w:p w14:paraId="389FEA74" w14:textId="77777777" w:rsidR="00D87C73" w:rsidRPr="00290BAB" w:rsidRDefault="00D87C73" w:rsidP="00D87C73">
      <w:pPr>
        <w:pStyle w:val="CETHeading1"/>
        <w:rPr>
          <w:lang w:val="en-GB"/>
        </w:rPr>
      </w:pPr>
      <w:r w:rsidRPr="00290BAB">
        <w:rPr>
          <w:lang w:val="en-GB"/>
        </w:rPr>
        <w:t>Results and Discussion</w:t>
      </w:r>
    </w:p>
    <w:p w14:paraId="69F22E2B" w14:textId="77777777" w:rsidR="00D87C73" w:rsidRPr="00290BAB" w:rsidRDefault="00106A0C" w:rsidP="00D87C73">
      <w:pPr>
        <w:pStyle w:val="CETheadingx"/>
        <w:rPr>
          <w:lang w:val="en-GB"/>
        </w:rPr>
      </w:pPr>
      <w:r w:rsidRPr="00290BAB">
        <w:rPr>
          <w:lang w:val="en-GB"/>
        </w:rPr>
        <w:t>Olfactometric analyses</w:t>
      </w:r>
    </w:p>
    <w:p w14:paraId="0AE21326" w14:textId="433FC475" w:rsidR="00511389" w:rsidRPr="00290BAB" w:rsidRDefault="00511389" w:rsidP="00511389">
      <w:pPr>
        <w:pStyle w:val="CETBodytext"/>
        <w:rPr>
          <w:i/>
          <w:lang w:val="en-GB"/>
        </w:rPr>
      </w:pPr>
      <w:r w:rsidRPr="00290BAB">
        <w:rPr>
          <w:i/>
          <w:lang w:val="en-GB"/>
        </w:rPr>
        <w:t>Textile and dy</w:t>
      </w:r>
      <w:r w:rsidR="0051534F">
        <w:rPr>
          <w:i/>
          <w:lang w:val="en-GB"/>
        </w:rPr>
        <w:t>e</w:t>
      </w:r>
      <w:r w:rsidRPr="00290BAB">
        <w:rPr>
          <w:i/>
          <w:lang w:val="en-GB"/>
        </w:rPr>
        <w:t>ing industry</w:t>
      </w:r>
    </w:p>
    <w:p w14:paraId="1E053F05" w14:textId="4A879460" w:rsidR="00511389" w:rsidRPr="00290BAB" w:rsidRDefault="007A202B" w:rsidP="00511389">
      <w:pPr>
        <w:pStyle w:val="CETBodytext"/>
        <w:rPr>
          <w:lang w:val="en-GB"/>
        </w:rPr>
      </w:pPr>
      <w:r w:rsidRPr="00290BAB">
        <w:rPr>
          <w:lang w:val="en-GB"/>
        </w:rPr>
        <w:t>The textile and dy</w:t>
      </w:r>
      <w:r w:rsidR="00DC2623">
        <w:rPr>
          <w:lang w:val="en-GB"/>
        </w:rPr>
        <w:t>e</w:t>
      </w:r>
      <w:r w:rsidRPr="00290BAB">
        <w:rPr>
          <w:lang w:val="en-GB"/>
        </w:rPr>
        <w:t>ing industry has 2 main conveyed emissions, related to the bleaching and the drying of the tissues. The odour concentrations measured in correspondence of these emissions were &gt;80 ou</w:t>
      </w:r>
      <w:r w:rsidRPr="00290BAB">
        <w:rPr>
          <w:vertAlign w:val="subscript"/>
          <w:lang w:val="en-GB"/>
        </w:rPr>
        <w:t>E</w:t>
      </w:r>
      <w:r w:rsidRPr="00290BAB">
        <w:rPr>
          <w:lang w:val="en-GB"/>
        </w:rPr>
        <w:t>/m</w:t>
      </w:r>
      <w:r w:rsidRPr="00290BAB">
        <w:rPr>
          <w:vertAlign w:val="superscript"/>
          <w:lang w:val="en-GB"/>
        </w:rPr>
        <w:t>3</w:t>
      </w:r>
      <w:r w:rsidRPr="00290BAB">
        <w:rPr>
          <w:lang w:val="en-GB"/>
        </w:rPr>
        <w:t>: 910 ou</w:t>
      </w:r>
      <w:r w:rsidRPr="00290BAB">
        <w:rPr>
          <w:vertAlign w:val="subscript"/>
          <w:lang w:val="en-GB"/>
        </w:rPr>
        <w:t>E</w:t>
      </w:r>
      <w:r w:rsidRPr="00290BAB">
        <w:rPr>
          <w:lang w:val="en-GB"/>
        </w:rPr>
        <w:t>/m</w:t>
      </w:r>
      <w:r w:rsidRPr="00290BAB">
        <w:rPr>
          <w:vertAlign w:val="superscript"/>
          <w:lang w:val="en-GB"/>
        </w:rPr>
        <w:t>3</w:t>
      </w:r>
      <w:r w:rsidRPr="00290BAB">
        <w:rPr>
          <w:lang w:val="en-GB"/>
        </w:rPr>
        <w:t xml:space="preserve"> for the bleaching, and 460 ou</w:t>
      </w:r>
      <w:r w:rsidRPr="00290BAB">
        <w:rPr>
          <w:vertAlign w:val="subscript"/>
          <w:lang w:val="en-GB"/>
        </w:rPr>
        <w:t>E</w:t>
      </w:r>
      <w:r w:rsidRPr="00290BAB">
        <w:rPr>
          <w:lang w:val="en-GB"/>
        </w:rPr>
        <w:t>/m</w:t>
      </w:r>
      <w:r w:rsidRPr="00290BAB">
        <w:rPr>
          <w:vertAlign w:val="superscript"/>
          <w:lang w:val="en-GB"/>
        </w:rPr>
        <w:t>3</w:t>
      </w:r>
      <w:r w:rsidRPr="00290BAB">
        <w:rPr>
          <w:lang w:val="en-GB"/>
        </w:rPr>
        <w:t xml:space="preserve"> for the drying of the finished tissues</w:t>
      </w:r>
      <w:r w:rsidR="00641D14" w:rsidRPr="00290BAB">
        <w:rPr>
          <w:lang w:val="en-GB"/>
        </w:rPr>
        <w:t>. The corresponding OERs are 270 ou</w:t>
      </w:r>
      <w:r w:rsidR="00641D14" w:rsidRPr="00290BAB">
        <w:rPr>
          <w:vertAlign w:val="subscript"/>
          <w:lang w:val="en-GB"/>
        </w:rPr>
        <w:t>E</w:t>
      </w:r>
      <w:r w:rsidR="00641D14" w:rsidRPr="00290BAB">
        <w:rPr>
          <w:lang w:val="en-GB"/>
        </w:rPr>
        <w:t>/s and 1600 ou</w:t>
      </w:r>
      <w:r w:rsidR="00641D14" w:rsidRPr="00290BAB">
        <w:rPr>
          <w:vertAlign w:val="subscript"/>
          <w:lang w:val="en-GB"/>
        </w:rPr>
        <w:t>E</w:t>
      </w:r>
      <w:r w:rsidR="00641D14" w:rsidRPr="00290BAB">
        <w:rPr>
          <w:lang w:val="en-GB"/>
        </w:rPr>
        <w:t>/s, respectively. However, in order to evaluate the impact of those emissions, it should be considered that the company is not operative at full load: the emissions are active a few hours a day (ca. 5) for max. 5 days a week, making that their overall impact can be considered as negligible.</w:t>
      </w:r>
    </w:p>
    <w:p w14:paraId="4A4F6EB8" w14:textId="77777777" w:rsidR="00912130" w:rsidRPr="00290BAB" w:rsidRDefault="00912130" w:rsidP="00D87C73">
      <w:pPr>
        <w:pStyle w:val="CETBodytext"/>
        <w:rPr>
          <w:lang w:val="en-GB"/>
        </w:rPr>
      </w:pPr>
    </w:p>
    <w:p w14:paraId="645762C1" w14:textId="4E53FAF2" w:rsidR="00B64A90" w:rsidRPr="00290BAB" w:rsidRDefault="00B64A90" w:rsidP="00B64A90">
      <w:pPr>
        <w:pStyle w:val="CETBodytext"/>
        <w:rPr>
          <w:i/>
          <w:lang w:val="en-GB"/>
        </w:rPr>
      </w:pPr>
      <w:r w:rsidRPr="00290BAB">
        <w:rPr>
          <w:i/>
          <w:lang w:val="en-GB"/>
        </w:rPr>
        <w:t>Industrial WWTP connected to the dy</w:t>
      </w:r>
      <w:r w:rsidR="00DC2623">
        <w:rPr>
          <w:i/>
          <w:lang w:val="en-GB"/>
        </w:rPr>
        <w:t>e</w:t>
      </w:r>
      <w:r w:rsidRPr="00290BAB">
        <w:rPr>
          <w:i/>
          <w:lang w:val="en-GB"/>
        </w:rPr>
        <w:t>ing industry</w:t>
      </w:r>
    </w:p>
    <w:p w14:paraId="0774851F" w14:textId="77777777" w:rsidR="007535D9" w:rsidRPr="00290BAB" w:rsidRDefault="007535D9" w:rsidP="00B64A90">
      <w:pPr>
        <w:pStyle w:val="CETBodytext"/>
        <w:rPr>
          <w:lang w:val="en-GB"/>
        </w:rPr>
      </w:pPr>
      <w:r w:rsidRPr="00290BAB">
        <w:rPr>
          <w:lang w:val="en-GB"/>
        </w:rPr>
        <w:t>The industrial WWTP is located close to the textile industry and treats about 1000 m</w:t>
      </w:r>
      <w:r w:rsidRPr="00290BAB">
        <w:rPr>
          <w:vertAlign w:val="superscript"/>
          <w:lang w:val="en-GB"/>
        </w:rPr>
        <w:t>3</w:t>
      </w:r>
      <w:r w:rsidRPr="00290BAB">
        <w:rPr>
          <w:lang w:val="en-GB"/>
        </w:rPr>
        <w:t>/day of its wastewaters. Moreover, it is authorize</w:t>
      </w:r>
      <w:r w:rsidR="00E36262">
        <w:rPr>
          <w:lang w:val="en-GB"/>
        </w:rPr>
        <w:t>d</w:t>
      </w:r>
      <w:r w:rsidRPr="00290BAB">
        <w:rPr>
          <w:lang w:val="en-GB"/>
        </w:rPr>
        <w:t xml:space="preserve"> to treat a maximum of extra 90 m</w:t>
      </w:r>
      <w:r w:rsidRPr="00290BAB">
        <w:rPr>
          <w:vertAlign w:val="superscript"/>
          <w:lang w:val="en-GB"/>
        </w:rPr>
        <w:t>3</w:t>
      </w:r>
      <w:r w:rsidRPr="00290BAB">
        <w:rPr>
          <w:lang w:val="en-GB"/>
        </w:rPr>
        <w:t>/day industrial wastewaters coming from other activities (e.g., landfill leachates, wastewaters of galvanic industry). The treatment tanks are all open, except for the small chemical-physical pre-treatment tanks for the industrial wastewaters, which are opened but located under a shed, closed on 2 sides.</w:t>
      </w:r>
      <w:r w:rsidR="00F3628B" w:rsidRPr="00290BAB">
        <w:rPr>
          <w:lang w:val="en-GB"/>
        </w:rPr>
        <w:t xml:space="preserve"> The only non-negligible odour emissions are the ones from the homogenization tank (with an odour concentration ranging from 130 ou</w:t>
      </w:r>
      <w:r w:rsidR="00F3628B" w:rsidRPr="00290BAB">
        <w:rPr>
          <w:vertAlign w:val="subscript"/>
          <w:lang w:val="en-GB"/>
        </w:rPr>
        <w:t>E</w:t>
      </w:r>
      <w:r w:rsidR="00F3628B" w:rsidRPr="00290BAB">
        <w:rPr>
          <w:lang w:val="en-GB"/>
        </w:rPr>
        <w:t>/m</w:t>
      </w:r>
      <w:r w:rsidR="00F3628B" w:rsidRPr="00290BAB">
        <w:rPr>
          <w:vertAlign w:val="superscript"/>
          <w:lang w:val="en-GB"/>
        </w:rPr>
        <w:t>3</w:t>
      </w:r>
      <w:r w:rsidR="00F3628B" w:rsidRPr="00290BAB">
        <w:rPr>
          <w:lang w:val="en-GB"/>
        </w:rPr>
        <w:t xml:space="preserve"> in winter to 1200 ou</w:t>
      </w:r>
      <w:r w:rsidR="00F3628B" w:rsidRPr="00290BAB">
        <w:rPr>
          <w:vertAlign w:val="subscript"/>
          <w:lang w:val="en-GB"/>
        </w:rPr>
        <w:t>E</w:t>
      </w:r>
      <w:r w:rsidR="00F3628B" w:rsidRPr="00290BAB">
        <w:rPr>
          <w:lang w:val="en-GB"/>
        </w:rPr>
        <w:t>/m</w:t>
      </w:r>
      <w:r w:rsidR="00F3628B" w:rsidRPr="00290BAB">
        <w:rPr>
          <w:vertAlign w:val="superscript"/>
          <w:lang w:val="en-GB"/>
        </w:rPr>
        <w:t>3</w:t>
      </w:r>
      <w:r w:rsidR="00F3628B" w:rsidRPr="00290BAB">
        <w:rPr>
          <w:lang w:val="en-GB"/>
        </w:rPr>
        <w:t xml:space="preserve"> in summer) and those from the chemical-physical reaction tank (ca. 20</w:t>
      </w:r>
      <w:r w:rsidR="00DF1A5D">
        <w:rPr>
          <w:lang w:val="en-GB"/>
        </w:rPr>
        <w:t>’</w:t>
      </w:r>
      <w:r w:rsidR="00F3628B" w:rsidRPr="00290BAB">
        <w:rPr>
          <w:lang w:val="en-GB"/>
        </w:rPr>
        <w:t>000 ou</w:t>
      </w:r>
      <w:r w:rsidR="00F3628B" w:rsidRPr="00290BAB">
        <w:rPr>
          <w:vertAlign w:val="subscript"/>
          <w:lang w:val="en-GB"/>
        </w:rPr>
        <w:t>E</w:t>
      </w:r>
      <w:r w:rsidR="00F3628B" w:rsidRPr="00290BAB">
        <w:rPr>
          <w:lang w:val="en-GB"/>
        </w:rPr>
        <w:t>/m</w:t>
      </w:r>
      <w:r w:rsidR="00F3628B" w:rsidRPr="00290BAB">
        <w:rPr>
          <w:vertAlign w:val="superscript"/>
          <w:lang w:val="en-GB"/>
        </w:rPr>
        <w:t>3</w:t>
      </w:r>
      <w:r w:rsidR="00F3628B" w:rsidRPr="00290BAB">
        <w:rPr>
          <w:lang w:val="en-GB"/>
        </w:rPr>
        <w:t xml:space="preserve"> in both seasons). However, due to its small surface of 3.5 m</w:t>
      </w:r>
      <w:r w:rsidR="00F3628B" w:rsidRPr="00290BAB">
        <w:rPr>
          <w:vertAlign w:val="superscript"/>
          <w:lang w:val="en-GB"/>
        </w:rPr>
        <w:t>2</w:t>
      </w:r>
      <w:r w:rsidR="00F3628B" w:rsidRPr="00290BAB">
        <w:rPr>
          <w:lang w:val="en-GB"/>
        </w:rPr>
        <w:t>, the OER of the latter is just close to 500 ou</w:t>
      </w:r>
      <w:r w:rsidR="00F3628B" w:rsidRPr="00290BAB">
        <w:rPr>
          <w:vertAlign w:val="subscript"/>
          <w:lang w:val="en-GB"/>
        </w:rPr>
        <w:t>E</w:t>
      </w:r>
      <w:r w:rsidR="00F3628B" w:rsidRPr="00290BAB">
        <w:rPr>
          <w:lang w:val="en-GB"/>
        </w:rPr>
        <w:t>/s.</w:t>
      </w:r>
    </w:p>
    <w:p w14:paraId="1C23A52B" w14:textId="77777777" w:rsidR="00B64A90" w:rsidRPr="00290BAB" w:rsidRDefault="00B64A90" w:rsidP="00D87C73">
      <w:pPr>
        <w:pStyle w:val="CETBodytext"/>
        <w:rPr>
          <w:lang w:val="en-GB"/>
        </w:rPr>
      </w:pPr>
    </w:p>
    <w:p w14:paraId="1E843139" w14:textId="77777777" w:rsidR="00511389" w:rsidRPr="00290BAB" w:rsidRDefault="00511389" w:rsidP="00511389">
      <w:pPr>
        <w:pStyle w:val="CETBodytext"/>
        <w:rPr>
          <w:i/>
          <w:lang w:val="en-GB"/>
        </w:rPr>
      </w:pPr>
      <w:r w:rsidRPr="00290BAB">
        <w:rPr>
          <w:i/>
          <w:lang w:val="en-GB"/>
        </w:rPr>
        <w:t>Chemical plant</w:t>
      </w:r>
    </w:p>
    <w:p w14:paraId="50611FF0" w14:textId="77777777" w:rsidR="00511389" w:rsidRPr="00290BAB" w:rsidRDefault="00511389" w:rsidP="00511389">
      <w:pPr>
        <w:pStyle w:val="CETBodytext"/>
        <w:rPr>
          <w:lang w:val="en-GB"/>
        </w:rPr>
      </w:pPr>
      <w:r w:rsidRPr="00290BAB">
        <w:rPr>
          <w:lang w:val="en-GB"/>
        </w:rPr>
        <w:t xml:space="preserve">The chemical plant produces 2 different products. One of them is produced discontinuously, and its production has been suspected for some time to be related to the presence of malodours on the surrounding area. For this </w:t>
      </w:r>
      <w:r w:rsidRPr="00290BAB">
        <w:rPr>
          <w:lang w:val="en-GB"/>
        </w:rPr>
        <w:lastRenderedPageBreak/>
        <w:t>reason, the olfactometric survey was planned when this specific production was active, in order to get an overview of the worst-case scenario.</w:t>
      </w:r>
    </w:p>
    <w:p w14:paraId="391317EC" w14:textId="3468600F" w:rsidR="00511389" w:rsidRPr="00290BAB" w:rsidRDefault="00511389" w:rsidP="00511389">
      <w:pPr>
        <w:pStyle w:val="CETBodytext"/>
        <w:rPr>
          <w:lang w:val="en-GB"/>
        </w:rPr>
      </w:pPr>
      <w:r w:rsidRPr="00290BAB">
        <w:rPr>
          <w:lang w:val="en-GB"/>
        </w:rPr>
        <w:t>The odour concentration measured in correspondence of the main emission of the plant, which is a chimney conveying all the emissions from the plant process units, is equal to 510 ou</w:t>
      </w:r>
      <w:r w:rsidRPr="00290BAB">
        <w:rPr>
          <w:vertAlign w:val="subscript"/>
          <w:lang w:val="en-GB"/>
        </w:rPr>
        <w:t>E</w:t>
      </w:r>
      <w:r w:rsidRPr="00290BAB">
        <w:rPr>
          <w:lang w:val="en-GB"/>
        </w:rPr>
        <w:t>/m</w:t>
      </w:r>
      <w:r w:rsidRPr="00290BAB">
        <w:rPr>
          <w:vertAlign w:val="superscript"/>
          <w:lang w:val="en-GB"/>
        </w:rPr>
        <w:t>3</w:t>
      </w:r>
      <w:r w:rsidRPr="00290BAB">
        <w:rPr>
          <w:lang w:val="en-GB"/>
        </w:rPr>
        <w:t>, which coupled with an airflow of 12</w:t>
      </w:r>
      <w:r w:rsidR="00DF1A5D">
        <w:rPr>
          <w:lang w:val="en-GB"/>
        </w:rPr>
        <w:t>’</w:t>
      </w:r>
      <w:r w:rsidRPr="00290BAB">
        <w:rPr>
          <w:lang w:val="en-GB"/>
        </w:rPr>
        <w:t>000 Nm</w:t>
      </w:r>
      <w:r w:rsidRPr="00290BAB">
        <w:rPr>
          <w:vertAlign w:val="superscript"/>
          <w:lang w:val="en-GB"/>
        </w:rPr>
        <w:t>3</w:t>
      </w:r>
      <w:r w:rsidRPr="00290BAB">
        <w:rPr>
          <w:lang w:val="en-GB"/>
        </w:rPr>
        <w:t>/h results in an OER of ca. 1800 ou</w:t>
      </w:r>
      <w:r w:rsidRPr="00290BAB">
        <w:rPr>
          <w:vertAlign w:val="subscript"/>
          <w:lang w:val="en-GB"/>
        </w:rPr>
        <w:t>E</w:t>
      </w:r>
      <w:r w:rsidRPr="00290BAB">
        <w:rPr>
          <w:lang w:val="en-GB"/>
        </w:rPr>
        <w:t>/s, and is thus not negligible. Also, the concentration measured a</w:t>
      </w:r>
      <w:r w:rsidR="000A7D13">
        <w:rPr>
          <w:lang w:val="en-GB"/>
        </w:rPr>
        <w:t>t</w:t>
      </w:r>
      <w:r w:rsidRPr="00290BAB">
        <w:rPr>
          <w:lang w:val="en-GB"/>
        </w:rPr>
        <w:t xml:space="preserve"> the vent of the wastewater equalization tank, at the outlet of an activated carb</w:t>
      </w:r>
      <w:r w:rsidR="00312909" w:rsidRPr="00290BAB">
        <w:rPr>
          <w:lang w:val="en-GB"/>
        </w:rPr>
        <w:t>on filter, which is equal to 650</w:t>
      </w:r>
      <w:r w:rsidRPr="00290BAB">
        <w:rPr>
          <w:lang w:val="en-GB"/>
        </w:rPr>
        <w:t xml:space="preserve"> ou</w:t>
      </w:r>
      <w:r w:rsidRPr="00290BAB">
        <w:rPr>
          <w:vertAlign w:val="subscript"/>
          <w:lang w:val="en-GB"/>
        </w:rPr>
        <w:t>E</w:t>
      </w:r>
      <w:r w:rsidRPr="00290BAB">
        <w:rPr>
          <w:lang w:val="en-GB"/>
        </w:rPr>
        <w:t>/m</w:t>
      </w:r>
      <w:r w:rsidRPr="00290BAB">
        <w:rPr>
          <w:vertAlign w:val="superscript"/>
          <w:lang w:val="en-GB"/>
        </w:rPr>
        <w:t>3</w:t>
      </w:r>
      <w:r w:rsidRPr="00290BAB">
        <w:rPr>
          <w:lang w:val="en-GB"/>
        </w:rPr>
        <w:t xml:space="preserve"> requires deeper investigation.</w:t>
      </w:r>
    </w:p>
    <w:p w14:paraId="2C899B7E" w14:textId="77777777" w:rsidR="00511389" w:rsidRPr="00290BAB" w:rsidRDefault="00511389" w:rsidP="00D87C73">
      <w:pPr>
        <w:pStyle w:val="CETBodytext"/>
        <w:rPr>
          <w:lang w:val="en-GB"/>
        </w:rPr>
      </w:pPr>
    </w:p>
    <w:p w14:paraId="361EF3AF" w14:textId="77777777" w:rsidR="00B64A90" w:rsidRPr="00290BAB" w:rsidRDefault="00B64A90" w:rsidP="00B64A90">
      <w:pPr>
        <w:pStyle w:val="CETBodytext"/>
        <w:rPr>
          <w:i/>
          <w:lang w:val="en-GB"/>
        </w:rPr>
      </w:pPr>
      <w:r w:rsidRPr="00290BAB">
        <w:rPr>
          <w:i/>
          <w:lang w:val="en-GB"/>
        </w:rPr>
        <w:t>Municipal WWTP</w:t>
      </w:r>
    </w:p>
    <w:p w14:paraId="5C776248" w14:textId="090AC97A" w:rsidR="00B64A90" w:rsidRPr="00290BAB" w:rsidRDefault="006E7C30" w:rsidP="00B64A90">
      <w:pPr>
        <w:pStyle w:val="CETBodytext"/>
        <w:rPr>
          <w:lang w:val="en-GB"/>
        </w:rPr>
      </w:pPr>
      <w:r w:rsidRPr="00290BAB">
        <w:rPr>
          <w:lang w:val="en-GB"/>
        </w:rPr>
        <w:t>The municipal WWTP treats ca. 22</w:t>
      </w:r>
      <w:r w:rsidR="00AD685D">
        <w:rPr>
          <w:lang w:val="en-GB"/>
        </w:rPr>
        <w:t>’</w:t>
      </w:r>
      <w:r w:rsidRPr="00290BAB">
        <w:rPr>
          <w:lang w:val="en-GB"/>
        </w:rPr>
        <w:t>000 m</w:t>
      </w:r>
      <w:r w:rsidRPr="00290BAB">
        <w:rPr>
          <w:vertAlign w:val="superscript"/>
          <w:lang w:val="en-GB"/>
        </w:rPr>
        <w:t>3</w:t>
      </w:r>
      <w:r w:rsidRPr="00290BAB">
        <w:rPr>
          <w:lang w:val="en-GB"/>
        </w:rPr>
        <w:t>/day of wastewaters, out of which 30-40% have an industrial proven</w:t>
      </w:r>
      <w:r w:rsidR="00290BAB">
        <w:rPr>
          <w:lang w:val="en-GB"/>
        </w:rPr>
        <w:t>a</w:t>
      </w:r>
      <w:r w:rsidRPr="00290BAB">
        <w:rPr>
          <w:lang w:val="en-GB"/>
        </w:rPr>
        <w:t>nce, and the rest (60-70%) are civil wastewaters.</w:t>
      </w:r>
      <w:r w:rsidR="00290BAB">
        <w:rPr>
          <w:lang w:val="en-GB"/>
        </w:rPr>
        <w:t xml:space="preserve"> 1000 </w:t>
      </w:r>
      <w:r w:rsidR="00290BAB" w:rsidRPr="00290BAB">
        <w:rPr>
          <w:lang w:val="en-GB"/>
        </w:rPr>
        <w:t>m</w:t>
      </w:r>
      <w:r w:rsidR="00290BAB" w:rsidRPr="00290BAB">
        <w:rPr>
          <w:vertAlign w:val="superscript"/>
          <w:lang w:val="en-GB"/>
        </w:rPr>
        <w:t>3</w:t>
      </w:r>
      <w:r w:rsidR="00290BAB" w:rsidRPr="00290BAB">
        <w:rPr>
          <w:lang w:val="en-GB"/>
        </w:rPr>
        <w:t>/day</w:t>
      </w:r>
      <w:r w:rsidR="00290BAB">
        <w:rPr>
          <w:lang w:val="en-GB"/>
        </w:rPr>
        <w:t xml:space="preserve"> (i.e. ca. 4.5% of the total) are coming from the chemical plant under investigation. </w:t>
      </w:r>
      <w:r w:rsidR="00AC7B4B">
        <w:rPr>
          <w:lang w:val="en-GB"/>
        </w:rPr>
        <w:t xml:space="preserve">Most of the wastewater treatment tanks are closed into sheds or covered, except for the secondary sedimentators and the final </w:t>
      </w:r>
      <w:r w:rsidR="002F3732">
        <w:rPr>
          <w:lang w:val="en-GB"/>
        </w:rPr>
        <w:t>disinfection tank, which however contain the depurated water, which is typically non-odorous.</w:t>
      </w:r>
      <w:r w:rsidR="00893F44">
        <w:rPr>
          <w:lang w:val="en-GB"/>
        </w:rPr>
        <w:t xml:space="preserve"> However, the air from the sheds and the covers is currently not sucked and treated in dedicated abatement system, thus originating potential diffuse odour emissions from the </w:t>
      </w:r>
      <w:r w:rsidR="00387921">
        <w:rPr>
          <w:lang w:val="en-GB"/>
        </w:rPr>
        <w:t xml:space="preserve">shed </w:t>
      </w:r>
      <w:r w:rsidR="00893F44">
        <w:rPr>
          <w:lang w:val="en-GB"/>
        </w:rPr>
        <w:t>openings</w:t>
      </w:r>
      <w:r w:rsidR="00387921">
        <w:rPr>
          <w:lang w:val="en-GB"/>
        </w:rPr>
        <w:t>.</w:t>
      </w:r>
    </w:p>
    <w:p w14:paraId="6B023899" w14:textId="77777777" w:rsidR="00912130" w:rsidRDefault="00113E4F" w:rsidP="00D87C73">
      <w:pPr>
        <w:pStyle w:val="CETBodytext"/>
        <w:rPr>
          <w:lang w:val="en-GB"/>
        </w:rPr>
      </w:pPr>
      <w:r>
        <w:rPr>
          <w:lang w:val="en-GB"/>
        </w:rPr>
        <w:t xml:space="preserve">Table 1 reports the results of the olfactometric analyses carried out on the plant main odour sources, which correspond to the wastewater arrival and the first treatment phases. Two different conditions are clearly distinguished: a) a first condition of low odour emissions, with odour concentration values in the range of dozens or hundreds of odour units (July and December 2020), and b) a second condition with </w:t>
      </w:r>
      <w:r w:rsidR="009722A7">
        <w:rPr>
          <w:lang w:val="en-GB"/>
        </w:rPr>
        <w:t>measured</w:t>
      </w:r>
      <w:r>
        <w:rPr>
          <w:lang w:val="en-GB"/>
        </w:rPr>
        <w:t xml:space="preserve"> odour concentration values being at least one order of m</w:t>
      </w:r>
      <w:r w:rsidR="006E1C59">
        <w:rPr>
          <w:lang w:val="en-GB"/>
        </w:rPr>
        <w:t xml:space="preserve">agnitude higher (September 2020). </w:t>
      </w:r>
      <w:r w:rsidR="009722A7">
        <w:rPr>
          <w:lang w:val="en-GB"/>
        </w:rPr>
        <w:t xml:space="preserve">This variability cannot be explained by the meteorological conditions, since </w:t>
      </w:r>
      <w:r w:rsidR="006F29E5">
        <w:rPr>
          <w:lang w:val="en-GB"/>
        </w:rPr>
        <w:t>the campaigns of July and September, which were both characterized by high temperatures (&gt; 30°C), produced very different results. Also, the common belief regarding a correlation between a specific production by the chemical plant and the increase of odour emissions at the WWTP is not supported by these results, since the “incriminated” production was active during all the olfactometric campaigns.</w:t>
      </w:r>
    </w:p>
    <w:p w14:paraId="4F423A9F" w14:textId="77777777" w:rsidR="00044797" w:rsidRPr="009A37DC" w:rsidRDefault="00044797" w:rsidP="00044797">
      <w:pPr>
        <w:pStyle w:val="CETTabletitle"/>
      </w:pPr>
      <w:r w:rsidRPr="009A37DC">
        <w:t xml:space="preserve">Table 1: </w:t>
      </w:r>
      <w:r w:rsidR="0024590A" w:rsidRPr="009A37DC">
        <w:t>Summary of the olfactometric results on the main odour sources</w:t>
      </w:r>
    </w:p>
    <w:tbl>
      <w:tblPr>
        <w:tblW w:w="8647" w:type="dxa"/>
        <w:tblBorders>
          <w:top w:val="single" w:sz="12" w:space="0" w:color="008000"/>
          <w:bottom w:val="single" w:sz="12" w:space="0" w:color="008000"/>
        </w:tblBorders>
        <w:shd w:val="clear" w:color="auto" w:fill="FFFFFF"/>
        <w:tblLayout w:type="fixed"/>
        <w:tblCellMar>
          <w:left w:w="0" w:type="dxa"/>
          <w:right w:w="0" w:type="dxa"/>
        </w:tblCellMar>
        <w:tblLook w:val="00A0" w:firstRow="1" w:lastRow="0" w:firstColumn="1" w:lastColumn="0" w:noHBand="0" w:noVBand="0"/>
      </w:tblPr>
      <w:tblGrid>
        <w:gridCol w:w="491"/>
        <w:gridCol w:w="3263"/>
        <w:gridCol w:w="1467"/>
        <w:gridCol w:w="1795"/>
        <w:gridCol w:w="1631"/>
      </w:tblGrid>
      <w:tr w:rsidR="00E82939" w:rsidRPr="009A37DC" w14:paraId="24188895" w14:textId="77777777" w:rsidTr="00D778AD">
        <w:tc>
          <w:tcPr>
            <w:tcW w:w="426" w:type="dxa"/>
            <w:tcBorders>
              <w:top w:val="single" w:sz="12" w:space="0" w:color="008000"/>
              <w:bottom w:val="single" w:sz="6" w:space="0" w:color="008000"/>
            </w:tcBorders>
            <w:shd w:val="clear" w:color="auto" w:fill="FFFFFF"/>
          </w:tcPr>
          <w:p w14:paraId="3ACFB51D" w14:textId="77777777" w:rsidR="00E82939" w:rsidRPr="009A37DC" w:rsidRDefault="00E82939" w:rsidP="00E82939">
            <w:pPr>
              <w:pStyle w:val="CETBodytext"/>
              <w:rPr>
                <w:lang w:val="en-GB"/>
              </w:rPr>
            </w:pPr>
            <w:r w:rsidRPr="009A37DC">
              <w:rPr>
                <w:lang w:val="en-GB"/>
              </w:rPr>
              <w:t>No.</w:t>
            </w:r>
          </w:p>
        </w:tc>
        <w:tc>
          <w:tcPr>
            <w:tcW w:w="2835" w:type="dxa"/>
            <w:tcBorders>
              <w:top w:val="single" w:sz="12" w:space="0" w:color="008000"/>
              <w:bottom w:val="single" w:sz="6" w:space="0" w:color="008000"/>
            </w:tcBorders>
            <w:shd w:val="clear" w:color="auto" w:fill="FFFFFF"/>
          </w:tcPr>
          <w:p w14:paraId="4D63DAB9" w14:textId="77777777" w:rsidR="00E82939" w:rsidRPr="009A37DC" w:rsidRDefault="00E82939" w:rsidP="00E82939">
            <w:pPr>
              <w:pStyle w:val="CETBodytext"/>
              <w:rPr>
                <w:lang w:val="en-GB"/>
              </w:rPr>
            </w:pPr>
            <w:r w:rsidRPr="009A37DC">
              <w:rPr>
                <w:lang w:val="en-GB"/>
              </w:rPr>
              <w:t>Source</w:t>
            </w:r>
          </w:p>
        </w:tc>
        <w:tc>
          <w:tcPr>
            <w:tcW w:w="1275" w:type="dxa"/>
            <w:tcBorders>
              <w:top w:val="single" w:sz="12" w:space="0" w:color="008000"/>
              <w:bottom w:val="single" w:sz="6" w:space="0" w:color="008000"/>
            </w:tcBorders>
            <w:shd w:val="clear" w:color="auto" w:fill="FFFFFF"/>
          </w:tcPr>
          <w:p w14:paraId="0ACAC619" w14:textId="77777777" w:rsidR="00E82939" w:rsidRPr="009A37DC" w:rsidRDefault="00E82939" w:rsidP="00E82939">
            <w:pPr>
              <w:pStyle w:val="CETBodytext"/>
              <w:rPr>
                <w:lang w:val="en-GB"/>
              </w:rPr>
            </w:pPr>
            <w:r w:rsidRPr="009A37DC">
              <w:rPr>
                <w:lang w:val="en-GB"/>
              </w:rPr>
              <w:t>c</w:t>
            </w:r>
            <w:r w:rsidRPr="009A37DC">
              <w:rPr>
                <w:vertAlign w:val="subscript"/>
                <w:lang w:val="en-GB"/>
              </w:rPr>
              <w:t>od</w:t>
            </w:r>
            <w:r w:rsidRPr="009A37DC">
              <w:rPr>
                <w:lang w:val="en-GB"/>
              </w:rPr>
              <w:t xml:space="preserve"> [ou</w:t>
            </w:r>
            <w:r w:rsidRPr="009A37DC">
              <w:rPr>
                <w:vertAlign w:val="subscript"/>
                <w:lang w:val="en-GB"/>
              </w:rPr>
              <w:t>E</w:t>
            </w:r>
            <w:r w:rsidRPr="009A37DC">
              <w:rPr>
                <w:lang w:val="en-GB"/>
              </w:rPr>
              <w:t>/m</w:t>
            </w:r>
            <w:r w:rsidRPr="009A37DC">
              <w:rPr>
                <w:vertAlign w:val="superscript"/>
                <w:lang w:val="en-GB"/>
              </w:rPr>
              <w:t>3</w:t>
            </w:r>
            <w:r w:rsidRPr="009A37DC">
              <w:rPr>
                <w:lang w:val="en-GB"/>
              </w:rPr>
              <w:t>]</w:t>
            </w:r>
          </w:p>
          <w:p w14:paraId="201E6D39" w14:textId="77777777" w:rsidR="00E82939" w:rsidRPr="009A37DC" w:rsidRDefault="00E82939" w:rsidP="00E82939">
            <w:pPr>
              <w:pStyle w:val="CETBodytext"/>
              <w:rPr>
                <w:lang w:val="en-GB"/>
              </w:rPr>
            </w:pPr>
            <w:r w:rsidRPr="009A37DC">
              <w:rPr>
                <w:lang w:val="en-GB"/>
              </w:rPr>
              <w:t>July 2020</w:t>
            </w:r>
          </w:p>
        </w:tc>
        <w:tc>
          <w:tcPr>
            <w:tcW w:w="1560" w:type="dxa"/>
            <w:tcBorders>
              <w:top w:val="single" w:sz="12" w:space="0" w:color="008000"/>
              <w:bottom w:val="single" w:sz="6" w:space="0" w:color="008000"/>
            </w:tcBorders>
            <w:shd w:val="clear" w:color="auto" w:fill="FFFFFF"/>
          </w:tcPr>
          <w:p w14:paraId="4A50E9C4" w14:textId="77777777" w:rsidR="00E82939" w:rsidRPr="009A37DC" w:rsidRDefault="00E82939" w:rsidP="00E82939">
            <w:pPr>
              <w:pStyle w:val="CETBodytext"/>
              <w:rPr>
                <w:lang w:val="en-GB"/>
              </w:rPr>
            </w:pPr>
            <w:r w:rsidRPr="009A37DC">
              <w:rPr>
                <w:lang w:val="en-GB"/>
              </w:rPr>
              <w:t>c</w:t>
            </w:r>
            <w:r w:rsidRPr="009A37DC">
              <w:rPr>
                <w:vertAlign w:val="subscript"/>
                <w:lang w:val="en-GB"/>
              </w:rPr>
              <w:t>od</w:t>
            </w:r>
            <w:r w:rsidRPr="009A37DC">
              <w:rPr>
                <w:lang w:val="en-GB"/>
              </w:rPr>
              <w:t xml:space="preserve"> [ou</w:t>
            </w:r>
            <w:r w:rsidRPr="009A37DC">
              <w:rPr>
                <w:vertAlign w:val="subscript"/>
                <w:lang w:val="en-GB"/>
              </w:rPr>
              <w:t>E</w:t>
            </w:r>
            <w:r w:rsidRPr="009A37DC">
              <w:rPr>
                <w:lang w:val="en-GB"/>
              </w:rPr>
              <w:t>/m</w:t>
            </w:r>
            <w:r w:rsidRPr="009A37DC">
              <w:rPr>
                <w:vertAlign w:val="superscript"/>
                <w:lang w:val="en-GB"/>
              </w:rPr>
              <w:t>3</w:t>
            </w:r>
            <w:r w:rsidRPr="009A37DC">
              <w:rPr>
                <w:lang w:val="en-GB"/>
              </w:rPr>
              <w:t>]</w:t>
            </w:r>
          </w:p>
          <w:p w14:paraId="1D24D7AD" w14:textId="77777777" w:rsidR="00E82939" w:rsidRPr="009A37DC" w:rsidRDefault="00E82939" w:rsidP="00E82939">
            <w:pPr>
              <w:pStyle w:val="CETBodytext"/>
              <w:rPr>
                <w:lang w:val="en-GB"/>
              </w:rPr>
            </w:pPr>
            <w:r w:rsidRPr="009A37DC">
              <w:rPr>
                <w:lang w:val="en-GB"/>
              </w:rPr>
              <w:t>September 2020</w:t>
            </w:r>
          </w:p>
        </w:tc>
        <w:tc>
          <w:tcPr>
            <w:tcW w:w="1417" w:type="dxa"/>
            <w:tcBorders>
              <w:top w:val="single" w:sz="12" w:space="0" w:color="008000"/>
              <w:bottom w:val="single" w:sz="6" w:space="0" w:color="008000"/>
            </w:tcBorders>
            <w:shd w:val="clear" w:color="auto" w:fill="FFFFFF"/>
          </w:tcPr>
          <w:p w14:paraId="2972C8AA" w14:textId="77777777" w:rsidR="00E82939" w:rsidRPr="009A37DC" w:rsidRDefault="00E82939" w:rsidP="00E82939">
            <w:pPr>
              <w:pStyle w:val="CETBodytext"/>
              <w:rPr>
                <w:lang w:val="en-GB"/>
              </w:rPr>
            </w:pPr>
            <w:r w:rsidRPr="009A37DC">
              <w:rPr>
                <w:lang w:val="en-GB"/>
              </w:rPr>
              <w:t>c</w:t>
            </w:r>
            <w:r w:rsidRPr="009A37DC">
              <w:rPr>
                <w:vertAlign w:val="subscript"/>
                <w:lang w:val="en-GB"/>
              </w:rPr>
              <w:t>od</w:t>
            </w:r>
            <w:r w:rsidRPr="009A37DC">
              <w:rPr>
                <w:lang w:val="en-GB"/>
              </w:rPr>
              <w:t xml:space="preserve"> [ou</w:t>
            </w:r>
            <w:r w:rsidRPr="009A37DC">
              <w:rPr>
                <w:vertAlign w:val="subscript"/>
                <w:lang w:val="en-GB"/>
              </w:rPr>
              <w:t>E</w:t>
            </w:r>
            <w:r w:rsidRPr="009A37DC">
              <w:rPr>
                <w:lang w:val="en-GB"/>
              </w:rPr>
              <w:t>/m</w:t>
            </w:r>
            <w:r w:rsidRPr="009A37DC">
              <w:rPr>
                <w:vertAlign w:val="superscript"/>
                <w:lang w:val="en-GB"/>
              </w:rPr>
              <w:t>3</w:t>
            </w:r>
            <w:r w:rsidRPr="009A37DC">
              <w:rPr>
                <w:lang w:val="en-GB"/>
              </w:rPr>
              <w:t>]</w:t>
            </w:r>
          </w:p>
          <w:p w14:paraId="3388D9CE" w14:textId="77777777" w:rsidR="00E82939" w:rsidRPr="009A37DC" w:rsidRDefault="00E82939" w:rsidP="00E82939">
            <w:pPr>
              <w:pStyle w:val="CETBodytext"/>
              <w:ind w:right="-1"/>
              <w:rPr>
                <w:rFonts w:cs="Arial"/>
                <w:szCs w:val="18"/>
                <w:lang w:val="en-GB"/>
              </w:rPr>
            </w:pPr>
            <w:r w:rsidRPr="009A37DC">
              <w:rPr>
                <w:lang w:val="en-GB"/>
              </w:rPr>
              <w:t>December 2020</w:t>
            </w:r>
          </w:p>
        </w:tc>
      </w:tr>
      <w:tr w:rsidR="00E82939" w:rsidRPr="009A37DC" w14:paraId="6AB363C9" w14:textId="77777777" w:rsidTr="00D778AD">
        <w:tc>
          <w:tcPr>
            <w:tcW w:w="426" w:type="dxa"/>
            <w:shd w:val="clear" w:color="auto" w:fill="FFFFFF"/>
          </w:tcPr>
          <w:p w14:paraId="5C3C8050" w14:textId="77777777" w:rsidR="00E82939" w:rsidRPr="009A37DC" w:rsidRDefault="00E82939" w:rsidP="00E82939">
            <w:pPr>
              <w:pStyle w:val="CETBodytext"/>
              <w:rPr>
                <w:lang w:val="en-GB"/>
              </w:rPr>
            </w:pPr>
            <w:r w:rsidRPr="009A37DC">
              <w:rPr>
                <w:lang w:val="en-GB"/>
              </w:rPr>
              <w:t>1</w:t>
            </w:r>
          </w:p>
        </w:tc>
        <w:tc>
          <w:tcPr>
            <w:tcW w:w="2835" w:type="dxa"/>
            <w:shd w:val="clear" w:color="auto" w:fill="FFFFFF"/>
          </w:tcPr>
          <w:p w14:paraId="18136225" w14:textId="77777777" w:rsidR="00E82939" w:rsidRPr="009A37DC" w:rsidRDefault="00E82939" w:rsidP="00E82939">
            <w:pPr>
              <w:pStyle w:val="CETBodytext"/>
              <w:rPr>
                <w:lang w:val="en-GB"/>
              </w:rPr>
            </w:pPr>
            <w:r w:rsidRPr="009A37DC">
              <w:rPr>
                <w:lang w:val="en-GB"/>
              </w:rPr>
              <w:t>Wastewater arrival</w:t>
            </w:r>
          </w:p>
        </w:tc>
        <w:tc>
          <w:tcPr>
            <w:tcW w:w="1275" w:type="dxa"/>
            <w:shd w:val="clear" w:color="auto" w:fill="FFFFFF"/>
          </w:tcPr>
          <w:p w14:paraId="3AA8DA31" w14:textId="77777777" w:rsidR="00E82939" w:rsidRPr="009A37DC" w:rsidRDefault="00194E4D" w:rsidP="00E82939">
            <w:pPr>
              <w:pStyle w:val="CETBodytext"/>
              <w:rPr>
                <w:lang w:val="en-GB"/>
              </w:rPr>
            </w:pPr>
            <w:r w:rsidRPr="009A37DC">
              <w:rPr>
                <w:lang w:val="en-GB"/>
              </w:rPr>
              <w:t>45</w:t>
            </w:r>
          </w:p>
        </w:tc>
        <w:tc>
          <w:tcPr>
            <w:tcW w:w="1560" w:type="dxa"/>
            <w:shd w:val="clear" w:color="auto" w:fill="FFFFFF"/>
          </w:tcPr>
          <w:p w14:paraId="7AC75ED7" w14:textId="77777777" w:rsidR="00E82939" w:rsidRPr="009A37DC" w:rsidRDefault="00E82939" w:rsidP="00E82939">
            <w:pPr>
              <w:pStyle w:val="CETBodytext"/>
              <w:rPr>
                <w:color w:val="C00000"/>
                <w:lang w:val="en-GB"/>
              </w:rPr>
            </w:pPr>
            <w:r w:rsidRPr="009A37DC">
              <w:rPr>
                <w:color w:val="C00000"/>
                <w:lang w:val="en-GB"/>
              </w:rPr>
              <w:t>18000</w:t>
            </w:r>
          </w:p>
        </w:tc>
        <w:tc>
          <w:tcPr>
            <w:tcW w:w="1417" w:type="dxa"/>
            <w:shd w:val="clear" w:color="auto" w:fill="FFFFFF"/>
          </w:tcPr>
          <w:p w14:paraId="4D8E6487" w14:textId="77777777" w:rsidR="00E82939" w:rsidRPr="009A37DC" w:rsidRDefault="00E82939" w:rsidP="00E82939">
            <w:pPr>
              <w:pStyle w:val="CETBodytext"/>
              <w:ind w:right="-1"/>
              <w:rPr>
                <w:rFonts w:cs="Arial"/>
                <w:szCs w:val="18"/>
                <w:lang w:val="en-GB"/>
              </w:rPr>
            </w:pPr>
            <w:r w:rsidRPr="009A37DC">
              <w:rPr>
                <w:rFonts w:cs="Arial"/>
                <w:szCs w:val="18"/>
                <w:lang w:val="en-GB"/>
              </w:rPr>
              <w:t>64</w:t>
            </w:r>
          </w:p>
        </w:tc>
      </w:tr>
      <w:tr w:rsidR="00E82939" w:rsidRPr="009A37DC" w14:paraId="320995E8" w14:textId="77777777" w:rsidTr="00D778AD">
        <w:tc>
          <w:tcPr>
            <w:tcW w:w="426" w:type="dxa"/>
            <w:shd w:val="clear" w:color="auto" w:fill="FFFFFF"/>
          </w:tcPr>
          <w:p w14:paraId="7F080090" w14:textId="77777777" w:rsidR="00E82939" w:rsidRPr="009A37DC" w:rsidRDefault="00E82939" w:rsidP="00E82939">
            <w:pPr>
              <w:pStyle w:val="CETBodytext"/>
              <w:ind w:right="-1"/>
              <w:rPr>
                <w:rFonts w:cs="Arial"/>
                <w:szCs w:val="18"/>
                <w:lang w:val="en-GB"/>
              </w:rPr>
            </w:pPr>
            <w:r w:rsidRPr="009A37DC">
              <w:rPr>
                <w:rFonts w:cs="Arial"/>
                <w:szCs w:val="18"/>
                <w:lang w:val="en-GB"/>
              </w:rPr>
              <w:t>2</w:t>
            </w:r>
          </w:p>
        </w:tc>
        <w:tc>
          <w:tcPr>
            <w:tcW w:w="2835" w:type="dxa"/>
            <w:shd w:val="clear" w:color="auto" w:fill="FFFFFF"/>
          </w:tcPr>
          <w:p w14:paraId="710A9FC0" w14:textId="77777777" w:rsidR="00E82939" w:rsidRPr="009A37DC" w:rsidRDefault="00E82939" w:rsidP="00E82939">
            <w:pPr>
              <w:pStyle w:val="CETBodytext"/>
              <w:ind w:right="-1"/>
              <w:rPr>
                <w:rFonts w:cs="Arial"/>
                <w:szCs w:val="18"/>
                <w:lang w:val="en-GB"/>
              </w:rPr>
            </w:pPr>
            <w:r w:rsidRPr="009A37DC">
              <w:rPr>
                <w:rFonts w:cs="Arial"/>
                <w:szCs w:val="18"/>
                <w:lang w:val="en-GB"/>
              </w:rPr>
              <w:t>Wastewater fine screening</w:t>
            </w:r>
          </w:p>
        </w:tc>
        <w:tc>
          <w:tcPr>
            <w:tcW w:w="1275" w:type="dxa"/>
            <w:shd w:val="clear" w:color="auto" w:fill="FFFFFF"/>
          </w:tcPr>
          <w:p w14:paraId="3F9F8A4D" w14:textId="77777777" w:rsidR="00E82939" w:rsidRPr="009A37DC" w:rsidRDefault="00E82939" w:rsidP="00E82939">
            <w:pPr>
              <w:pStyle w:val="CETBodytext"/>
              <w:ind w:right="-1"/>
              <w:rPr>
                <w:rFonts w:cs="Arial"/>
                <w:szCs w:val="18"/>
                <w:lang w:val="en-GB"/>
              </w:rPr>
            </w:pPr>
            <w:r w:rsidRPr="009A37DC">
              <w:rPr>
                <w:rFonts w:cs="Arial"/>
                <w:szCs w:val="18"/>
                <w:lang w:val="en-GB"/>
              </w:rPr>
              <w:t>380</w:t>
            </w:r>
          </w:p>
        </w:tc>
        <w:tc>
          <w:tcPr>
            <w:tcW w:w="1560" w:type="dxa"/>
            <w:shd w:val="clear" w:color="auto" w:fill="FFFFFF"/>
          </w:tcPr>
          <w:p w14:paraId="6689880F" w14:textId="77777777" w:rsidR="00E82939" w:rsidRPr="009A37DC" w:rsidRDefault="00E82939" w:rsidP="00E82939">
            <w:pPr>
              <w:pStyle w:val="CETBodytext"/>
              <w:ind w:right="-1"/>
              <w:rPr>
                <w:rFonts w:cs="Arial"/>
                <w:color w:val="C00000"/>
                <w:szCs w:val="18"/>
                <w:lang w:val="en-GB"/>
              </w:rPr>
            </w:pPr>
            <w:r w:rsidRPr="009A37DC">
              <w:rPr>
                <w:rFonts w:cs="Arial"/>
                <w:color w:val="C00000"/>
                <w:szCs w:val="18"/>
                <w:lang w:val="en-GB"/>
              </w:rPr>
              <w:t>37000</w:t>
            </w:r>
          </w:p>
        </w:tc>
        <w:tc>
          <w:tcPr>
            <w:tcW w:w="1417" w:type="dxa"/>
            <w:shd w:val="clear" w:color="auto" w:fill="FFFFFF"/>
          </w:tcPr>
          <w:p w14:paraId="45358A5B" w14:textId="77777777" w:rsidR="00E82939" w:rsidRPr="009A37DC" w:rsidRDefault="00E82939" w:rsidP="00E82939">
            <w:pPr>
              <w:pStyle w:val="CETBodytext"/>
              <w:ind w:right="-1"/>
              <w:rPr>
                <w:rFonts w:cs="Arial"/>
                <w:szCs w:val="18"/>
                <w:lang w:val="en-GB"/>
              </w:rPr>
            </w:pPr>
            <w:r w:rsidRPr="009A37DC">
              <w:rPr>
                <w:rFonts w:cs="Arial"/>
                <w:szCs w:val="18"/>
                <w:lang w:val="en-GB"/>
              </w:rPr>
              <w:t>3100</w:t>
            </w:r>
          </w:p>
        </w:tc>
      </w:tr>
      <w:tr w:rsidR="00E82939" w:rsidRPr="009A37DC" w14:paraId="03A25A2D" w14:textId="77777777" w:rsidTr="00D778AD">
        <w:tc>
          <w:tcPr>
            <w:tcW w:w="426" w:type="dxa"/>
            <w:shd w:val="clear" w:color="auto" w:fill="FFFFFF"/>
          </w:tcPr>
          <w:p w14:paraId="34C8BEBF" w14:textId="77777777" w:rsidR="00E82939" w:rsidRPr="009A37DC" w:rsidRDefault="00E82939" w:rsidP="00E82939">
            <w:pPr>
              <w:pStyle w:val="CETBodytext"/>
              <w:ind w:right="-1"/>
              <w:rPr>
                <w:rFonts w:cs="Arial"/>
                <w:szCs w:val="18"/>
                <w:lang w:val="en-GB"/>
              </w:rPr>
            </w:pPr>
            <w:r w:rsidRPr="009A37DC">
              <w:rPr>
                <w:rFonts w:cs="Arial"/>
                <w:szCs w:val="18"/>
                <w:lang w:val="en-GB"/>
              </w:rPr>
              <w:t>3</w:t>
            </w:r>
          </w:p>
        </w:tc>
        <w:tc>
          <w:tcPr>
            <w:tcW w:w="2835" w:type="dxa"/>
            <w:shd w:val="clear" w:color="auto" w:fill="FFFFFF"/>
          </w:tcPr>
          <w:p w14:paraId="144A7A95" w14:textId="77777777" w:rsidR="00E82939" w:rsidRPr="009A37DC" w:rsidRDefault="00E82939" w:rsidP="00E82939">
            <w:pPr>
              <w:pStyle w:val="CETBodytext"/>
              <w:ind w:right="-1"/>
              <w:rPr>
                <w:rFonts w:cs="Arial"/>
                <w:szCs w:val="18"/>
                <w:lang w:val="en-GB"/>
              </w:rPr>
            </w:pPr>
            <w:r w:rsidRPr="009A37DC">
              <w:rPr>
                <w:rFonts w:cs="Arial"/>
                <w:szCs w:val="18"/>
                <w:lang w:val="en-GB"/>
              </w:rPr>
              <w:t>Sand removal</w:t>
            </w:r>
          </w:p>
        </w:tc>
        <w:tc>
          <w:tcPr>
            <w:tcW w:w="1275" w:type="dxa"/>
            <w:shd w:val="clear" w:color="auto" w:fill="FFFFFF"/>
          </w:tcPr>
          <w:p w14:paraId="084D6DC4" w14:textId="77777777" w:rsidR="00E82939" w:rsidRPr="009A37DC" w:rsidRDefault="00194E4D" w:rsidP="00E82939">
            <w:pPr>
              <w:pStyle w:val="CETBodytext"/>
              <w:ind w:right="-1"/>
              <w:rPr>
                <w:rFonts w:cs="Arial"/>
                <w:szCs w:val="18"/>
                <w:lang w:val="en-GB"/>
              </w:rPr>
            </w:pPr>
            <w:r w:rsidRPr="009A37DC">
              <w:rPr>
                <w:rFonts w:cs="Arial"/>
                <w:szCs w:val="18"/>
                <w:lang w:val="en-GB"/>
              </w:rPr>
              <w:t>20</w:t>
            </w:r>
          </w:p>
        </w:tc>
        <w:tc>
          <w:tcPr>
            <w:tcW w:w="1560" w:type="dxa"/>
            <w:shd w:val="clear" w:color="auto" w:fill="FFFFFF"/>
          </w:tcPr>
          <w:p w14:paraId="1D789E32" w14:textId="77777777" w:rsidR="00E82939" w:rsidRPr="009A37DC" w:rsidRDefault="00E82939" w:rsidP="00E82939">
            <w:pPr>
              <w:pStyle w:val="CETBodytext"/>
              <w:ind w:right="-1"/>
              <w:rPr>
                <w:rFonts w:cs="Arial"/>
                <w:szCs w:val="18"/>
                <w:lang w:val="en-GB"/>
              </w:rPr>
            </w:pPr>
            <w:r w:rsidRPr="009A37DC">
              <w:rPr>
                <w:rFonts w:cs="Arial"/>
                <w:color w:val="C00000"/>
                <w:szCs w:val="18"/>
                <w:lang w:val="en-GB"/>
              </w:rPr>
              <w:t>6500</w:t>
            </w:r>
          </w:p>
        </w:tc>
        <w:tc>
          <w:tcPr>
            <w:tcW w:w="1417" w:type="dxa"/>
            <w:shd w:val="clear" w:color="auto" w:fill="FFFFFF"/>
          </w:tcPr>
          <w:p w14:paraId="37599B2A" w14:textId="77777777" w:rsidR="00E82939" w:rsidRPr="009A37DC" w:rsidRDefault="00E82939" w:rsidP="00E82939">
            <w:pPr>
              <w:pStyle w:val="CETBodytext"/>
              <w:ind w:right="-1"/>
              <w:rPr>
                <w:rFonts w:cs="Arial"/>
                <w:szCs w:val="18"/>
                <w:lang w:val="en-GB"/>
              </w:rPr>
            </w:pPr>
            <w:r w:rsidRPr="009A37DC">
              <w:rPr>
                <w:rFonts w:cs="Arial"/>
                <w:szCs w:val="18"/>
                <w:lang w:val="en-GB"/>
              </w:rPr>
              <w:t>860</w:t>
            </w:r>
          </w:p>
        </w:tc>
      </w:tr>
    </w:tbl>
    <w:p w14:paraId="066A2181" w14:textId="77777777" w:rsidR="00044797" w:rsidRPr="009A37DC" w:rsidRDefault="00044797" w:rsidP="00D87C73">
      <w:pPr>
        <w:pStyle w:val="CETBodytext"/>
        <w:rPr>
          <w:lang w:val="en-GB"/>
        </w:rPr>
      </w:pPr>
    </w:p>
    <w:p w14:paraId="30940B56" w14:textId="77777777" w:rsidR="00912130" w:rsidRPr="00290BAB" w:rsidRDefault="00912130" w:rsidP="00912130">
      <w:pPr>
        <w:pStyle w:val="CETheadingx"/>
        <w:rPr>
          <w:lang w:val="en-GB"/>
        </w:rPr>
      </w:pPr>
      <w:r w:rsidRPr="00290BAB">
        <w:rPr>
          <w:lang w:val="en-GB"/>
        </w:rPr>
        <w:t>Preliminary analysis of the odour observations collected until 30</w:t>
      </w:r>
      <w:r w:rsidRPr="00290BAB">
        <w:rPr>
          <w:vertAlign w:val="superscript"/>
          <w:lang w:val="en-GB"/>
        </w:rPr>
        <w:t>th</w:t>
      </w:r>
      <w:r w:rsidRPr="00290BAB">
        <w:rPr>
          <w:lang w:val="en-GB"/>
        </w:rPr>
        <w:t xml:space="preserve"> September 2020</w:t>
      </w:r>
    </w:p>
    <w:p w14:paraId="3A83A1EF" w14:textId="77777777" w:rsidR="00912130" w:rsidRPr="00290BAB" w:rsidRDefault="00277498" w:rsidP="00912130">
      <w:pPr>
        <w:pStyle w:val="CETBodytext"/>
        <w:rPr>
          <w:lang w:val="en-GB"/>
        </w:rPr>
      </w:pPr>
      <w:r>
        <w:rPr>
          <w:lang w:val="en-GB"/>
        </w:rPr>
        <w:t xml:space="preserve">The total number of observations registered during the evaluation period (14 May – 30 September 2020) is 358. </w:t>
      </w:r>
    </w:p>
    <w:p w14:paraId="66E8106F" w14:textId="77777777" w:rsidR="000166FB" w:rsidRDefault="00277498" w:rsidP="000166FB">
      <w:pPr>
        <w:pStyle w:val="CETBodytext"/>
        <w:rPr>
          <w:lang w:val="en-GB"/>
        </w:rPr>
      </w:pPr>
      <w:r>
        <w:rPr>
          <w:lang w:val="en-GB"/>
        </w:rPr>
        <w:t>Following the answers provided by the citizens during the first training, a first evaluation was performed in order to verify if the observations were more concentrated in specific days of the week or in specific times of the day (Figure 2)</w:t>
      </w:r>
      <w:r w:rsidR="000166FB">
        <w:rPr>
          <w:lang w:val="en-GB"/>
        </w:rPr>
        <w:t>. It is possible to observe that almost the half (48%) of the observations were registered in the evening hours, between 6 PM and 10 PM</w:t>
      </w:r>
      <w:r w:rsidR="0050356C">
        <w:rPr>
          <w:lang w:val="en-GB"/>
        </w:rPr>
        <w:t xml:space="preserve"> (time slot </w:t>
      </w:r>
      <w:r w:rsidR="00E23C9A">
        <w:rPr>
          <w:lang w:val="en-GB"/>
        </w:rPr>
        <w:t xml:space="preserve">TS </w:t>
      </w:r>
      <w:r w:rsidR="0050356C">
        <w:rPr>
          <w:lang w:val="en-GB"/>
        </w:rPr>
        <w:t>IV)</w:t>
      </w:r>
      <w:r w:rsidR="000166FB">
        <w:rPr>
          <w:lang w:val="en-GB"/>
        </w:rPr>
        <w:t>.</w:t>
      </w:r>
      <w:r w:rsidR="00102CC7">
        <w:rPr>
          <w:lang w:val="en-GB"/>
        </w:rPr>
        <w:t xml:space="preserve"> Moreover, a preliminary analysis of the wind directions shows that about 60% of the odour observations are compatible with the location of the municipal WWTP.</w:t>
      </w:r>
    </w:p>
    <w:p w14:paraId="6FCB5E85" w14:textId="77777777" w:rsidR="007D7EF7" w:rsidRPr="00290BAB" w:rsidRDefault="007D7EF7" w:rsidP="000166FB">
      <w:pPr>
        <w:pStyle w:val="CETBodytext"/>
        <w:rPr>
          <w:lang w:val="en-GB"/>
        </w:rPr>
      </w:pPr>
    </w:p>
    <w:p w14:paraId="67F5F93E" w14:textId="77777777" w:rsidR="00912130" w:rsidRPr="00290BAB" w:rsidRDefault="007D7EF7" w:rsidP="00D87C73">
      <w:pPr>
        <w:pStyle w:val="CETBodytext"/>
        <w:rPr>
          <w:lang w:val="en-GB"/>
        </w:rPr>
      </w:pPr>
      <w:r w:rsidRPr="007D7EF7">
        <w:rPr>
          <w:noProof/>
          <w:lang w:val="it-IT" w:eastAsia="it-IT"/>
        </w:rPr>
        <w:drawing>
          <wp:inline distT="0" distB="0" distL="0" distR="0" wp14:anchorId="4EB05BAE" wp14:editId="5EBA062A">
            <wp:extent cx="2682875" cy="1936789"/>
            <wp:effectExtent l="0" t="0" r="3175" b="635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a:extLst>
                        <a:ext uri="{28A0092B-C50C-407E-A947-70E740481C1C}">
                          <a14:useLocalDpi xmlns:a14="http://schemas.microsoft.com/office/drawing/2010/main" val="0"/>
                        </a:ext>
                      </a:extLst>
                    </a:blip>
                    <a:srcRect l="9900" t="1777" r="6546" b="2949"/>
                    <a:stretch/>
                  </pic:blipFill>
                  <pic:spPr bwMode="auto">
                    <a:xfrm>
                      <a:off x="0" y="0"/>
                      <a:ext cx="2695646" cy="1946008"/>
                    </a:xfrm>
                    <a:prstGeom prst="rect">
                      <a:avLst/>
                    </a:prstGeom>
                    <a:noFill/>
                    <a:ln>
                      <a:noFill/>
                    </a:ln>
                    <a:extLst>
                      <a:ext uri="{53640926-AAD7-44D8-BBD7-CCE9431645EC}">
                        <a14:shadowObscured xmlns:a14="http://schemas.microsoft.com/office/drawing/2010/main"/>
                      </a:ext>
                    </a:extLst>
                  </pic:spPr>
                </pic:pic>
              </a:graphicData>
            </a:graphic>
          </wp:inline>
        </w:drawing>
      </w:r>
      <w:r w:rsidR="00277498">
        <w:rPr>
          <w:lang w:val="en-GB"/>
        </w:rPr>
        <w:t xml:space="preserve"> </w:t>
      </w:r>
      <w:r w:rsidR="007A786E" w:rsidRPr="007A786E">
        <w:rPr>
          <w:noProof/>
          <w:lang w:val="it-IT" w:eastAsia="it-IT"/>
        </w:rPr>
        <w:drawing>
          <wp:inline distT="0" distB="0" distL="0" distR="0" wp14:anchorId="218B5EF0" wp14:editId="7AC5E351">
            <wp:extent cx="2746375" cy="1899264"/>
            <wp:effectExtent l="0" t="0" r="0" b="635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l="9753" t="2913" r="5467" b="3525"/>
                    <a:stretch/>
                  </pic:blipFill>
                  <pic:spPr bwMode="auto">
                    <a:xfrm>
                      <a:off x="0" y="0"/>
                      <a:ext cx="2755701" cy="1905713"/>
                    </a:xfrm>
                    <a:prstGeom prst="rect">
                      <a:avLst/>
                    </a:prstGeom>
                    <a:noFill/>
                    <a:ln>
                      <a:noFill/>
                    </a:ln>
                    <a:extLst>
                      <a:ext uri="{53640926-AAD7-44D8-BBD7-CCE9431645EC}">
                        <a14:shadowObscured xmlns:a14="http://schemas.microsoft.com/office/drawing/2010/main"/>
                      </a:ext>
                    </a:extLst>
                  </pic:spPr>
                </pic:pic>
              </a:graphicData>
            </a:graphic>
          </wp:inline>
        </w:drawing>
      </w:r>
    </w:p>
    <w:p w14:paraId="6267B323" w14:textId="77777777" w:rsidR="00912130" w:rsidRDefault="00D87E13" w:rsidP="00675FFA">
      <w:pPr>
        <w:pStyle w:val="CETCaption"/>
      </w:pPr>
      <w:r>
        <w:t>Figure 2. Distribution of the odour observations among days of the week (left) and times of the day (right)</w:t>
      </w:r>
    </w:p>
    <w:p w14:paraId="3F5029F8" w14:textId="2DBB61CF" w:rsidR="000166FB" w:rsidRDefault="00675FFA" w:rsidP="00D87C73">
      <w:pPr>
        <w:pStyle w:val="CETBodytext"/>
        <w:rPr>
          <w:lang w:val="en-GB"/>
        </w:rPr>
      </w:pPr>
      <w:r>
        <w:rPr>
          <w:lang w:val="en-GB"/>
        </w:rPr>
        <w:lastRenderedPageBreak/>
        <w:t>In order to deepen this preliminary analysis, it was decided to apply the chi-square</w:t>
      </w:r>
      <w:r w:rsidR="003C5CC0">
        <w:rPr>
          <w:lang w:val="en-GB"/>
        </w:rPr>
        <w:t>d</w:t>
      </w:r>
      <w:r>
        <w:rPr>
          <w:lang w:val="en-GB"/>
        </w:rPr>
        <w:t xml:space="preserve"> test. To evaluate the difference between the collected data, it is possible to refer to an empirical rule: the difference is statistically significant if, with p&lt;0.05, the calculated residuals are &gt;1.96 (absolute value).</w:t>
      </w:r>
    </w:p>
    <w:p w14:paraId="0166EA49" w14:textId="11C0D54B" w:rsidR="005021BC" w:rsidRDefault="005021BC" w:rsidP="00D87C73">
      <w:pPr>
        <w:pStyle w:val="CETBodytext"/>
        <w:rPr>
          <w:lang w:val="en-GB"/>
        </w:rPr>
      </w:pPr>
      <w:r>
        <w:rPr>
          <w:lang w:val="en-GB"/>
        </w:rPr>
        <w:t>As an example, this test was applied in order to evaluate the distribution of the odour observation</w:t>
      </w:r>
      <w:r w:rsidR="0051534F">
        <w:rPr>
          <w:lang w:val="en-GB"/>
        </w:rPr>
        <w:t>s</w:t>
      </w:r>
      <w:r>
        <w:rPr>
          <w:lang w:val="en-GB"/>
        </w:rPr>
        <w:t xml:space="preserve"> between the different times of the day compared to the reported intensity, obtaining a p-value of 0.037, thus indicating the existence of a statistically significant differen</w:t>
      </w:r>
      <w:r w:rsidR="0051534F">
        <w:rPr>
          <w:lang w:val="en-GB"/>
        </w:rPr>
        <w:t>ce</w:t>
      </w:r>
      <w:r>
        <w:rPr>
          <w:lang w:val="en-GB"/>
        </w:rPr>
        <w:t xml:space="preserve"> between those categories. The analysis of the standardized residuals </w:t>
      </w:r>
      <w:r w:rsidR="00A66FD1">
        <w:rPr>
          <w:lang w:val="en-GB"/>
        </w:rPr>
        <w:t>(Table 2)</w:t>
      </w:r>
      <w:r w:rsidR="0050356C">
        <w:rPr>
          <w:lang w:val="en-GB"/>
        </w:rPr>
        <w:t xml:space="preserve"> shows that there is a statistically significant increase of observations having intensity 5 in the evening hours (</w:t>
      </w:r>
      <w:r w:rsidR="0067750A">
        <w:rPr>
          <w:lang w:val="en-GB"/>
        </w:rPr>
        <w:t>TS</w:t>
      </w:r>
      <w:r w:rsidR="0050356C">
        <w:rPr>
          <w:lang w:val="en-GB"/>
        </w:rPr>
        <w:t xml:space="preserve"> IV), whereas there is a statistically significant low</w:t>
      </w:r>
      <w:r w:rsidR="0067750A">
        <w:rPr>
          <w:lang w:val="en-GB"/>
        </w:rPr>
        <w:t>er</w:t>
      </w:r>
      <w:r w:rsidR="0050356C">
        <w:rPr>
          <w:lang w:val="en-GB"/>
        </w:rPr>
        <w:t xml:space="preserve"> number of observations of intensity 6 dur</w:t>
      </w:r>
      <w:r w:rsidR="0067750A">
        <w:rPr>
          <w:lang w:val="en-GB"/>
        </w:rPr>
        <w:t>ing the morning hours (TS</w:t>
      </w:r>
      <w:r w:rsidR="0050356C">
        <w:rPr>
          <w:lang w:val="en-GB"/>
        </w:rPr>
        <w:t xml:space="preserve"> II).</w:t>
      </w:r>
    </w:p>
    <w:p w14:paraId="6436A82B" w14:textId="77777777" w:rsidR="00E768E5" w:rsidRPr="00290BAB" w:rsidRDefault="00E768E5" w:rsidP="00E768E5">
      <w:pPr>
        <w:pStyle w:val="CETTabletitle"/>
      </w:pPr>
      <w:r w:rsidRPr="00290BAB">
        <w:t xml:space="preserve">Table </w:t>
      </w:r>
      <w:r>
        <w:t>2</w:t>
      </w:r>
      <w:r w:rsidRPr="00290BAB">
        <w:t xml:space="preserve">: </w:t>
      </w:r>
      <w:r w:rsidR="0050356C">
        <w:t>Calculation of the standardized residuals for the extended chi-square test comparing time of the day vs. intensity of the odour observation</w:t>
      </w:r>
    </w:p>
    <w:tbl>
      <w:tblPr>
        <w:tblW w:w="8789"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2353"/>
        <w:gridCol w:w="1072"/>
        <w:gridCol w:w="1072"/>
        <w:gridCol w:w="1073"/>
        <w:gridCol w:w="1073"/>
        <w:gridCol w:w="1073"/>
        <w:gridCol w:w="1073"/>
      </w:tblGrid>
      <w:tr w:rsidR="00BD31D0" w:rsidRPr="00E40418" w14:paraId="790C3190" w14:textId="77777777" w:rsidTr="00BD31D0">
        <w:tc>
          <w:tcPr>
            <w:tcW w:w="2552" w:type="dxa"/>
            <w:tcBorders>
              <w:top w:val="single" w:sz="12" w:space="0" w:color="008000"/>
              <w:bottom w:val="single" w:sz="6" w:space="0" w:color="008000"/>
            </w:tcBorders>
            <w:shd w:val="clear" w:color="auto" w:fill="FFFFFF"/>
          </w:tcPr>
          <w:p w14:paraId="1FDE5590" w14:textId="77777777" w:rsidR="00A66FD1" w:rsidRPr="00E40418" w:rsidRDefault="003357C6" w:rsidP="003357C6">
            <w:pPr>
              <w:pStyle w:val="CETBodytext"/>
              <w:jc w:val="left"/>
              <w:rPr>
                <w:rFonts w:cs="Arial"/>
                <w:lang w:val="en-GB"/>
              </w:rPr>
            </w:pPr>
            <w:r>
              <w:rPr>
                <w:rFonts w:cs="Arial"/>
                <w:lang w:val="en-GB"/>
              </w:rPr>
              <w:t>Intensity</w:t>
            </w:r>
          </w:p>
        </w:tc>
        <w:tc>
          <w:tcPr>
            <w:tcW w:w="1134" w:type="dxa"/>
            <w:tcBorders>
              <w:top w:val="single" w:sz="12" w:space="0" w:color="008000"/>
              <w:bottom w:val="single" w:sz="6" w:space="0" w:color="008000"/>
            </w:tcBorders>
            <w:shd w:val="clear" w:color="auto" w:fill="FFFFFF"/>
          </w:tcPr>
          <w:p w14:paraId="2F852F62" w14:textId="77777777" w:rsidR="00A66FD1" w:rsidRPr="00E40418" w:rsidRDefault="005720EF" w:rsidP="003357C6">
            <w:pPr>
              <w:pStyle w:val="CETBodytext"/>
              <w:jc w:val="left"/>
              <w:rPr>
                <w:rFonts w:cs="Arial"/>
                <w:lang w:val="en-GB"/>
              </w:rPr>
            </w:pPr>
            <w:r w:rsidRPr="00E40418">
              <w:rPr>
                <w:rFonts w:cs="Arial"/>
                <w:lang w:val="en-GB"/>
              </w:rPr>
              <w:t>1</w:t>
            </w:r>
          </w:p>
        </w:tc>
        <w:tc>
          <w:tcPr>
            <w:tcW w:w="1134" w:type="dxa"/>
            <w:tcBorders>
              <w:top w:val="single" w:sz="12" w:space="0" w:color="008000"/>
              <w:bottom w:val="single" w:sz="6" w:space="0" w:color="008000"/>
            </w:tcBorders>
            <w:shd w:val="clear" w:color="auto" w:fill="FFFFFF"/>
          </w:tcPr>
          <w:p w14:paraId="237793AD" w14:textId="77777777" w:rsidR="00A66FD1" w:rsidRPr="00E40418" w:rsidRDefault="005720EF" w:rsidP="003357C6">
            <w:pPr>
              <w:pStyle w:val="CETBodytext"/>
              <w:jc w:val="left"/>
              <w:rPr>
                <w:rFonts w:cs="Arial"/>
                <w:lang w:val="en-GB"/>
              </w:rPr>
            </w:pPr>
            <w:r w:rsidRPr="00E40418">
              <w:rPr>
                <w:rFonts w:cs="Arial"/>
                <w:lang w:val="en-GB"/>
              </w:rPr>
              <w:t>2</w:t>
            </w:r>
          </w:p>
        </w:tc>
        <w:tc>
          <w:tcPr>
            <w:tcW w:w="1134" w:type="dxa"/>
            <w:tcBorders>
              <w:top w:val="single" w:sz="12" w:space="0" w:color="008000"/>
              <w:bottom w:val="single" w:sz="6" w:space="0" w:color="008000"/>
            </w:tcBorders>
            <w:shd w:val="clear" w:color="auto" w:fill="FFFFFF"/>
          </w:tcPr>
          <w:p w14:paraId="3D691BDB" w14:textId="77777777" w:rsidR="00A66FD1" w:rsidRPr="00E40418" w:rsidRDefault="005720EF" w:rsidP="003357C6">
            <w:pPr>
              <w:pStyle w:val="CETBodytext"/>
              <w:ind w:right="-1"/>
              <w:jc w:val="left"/>
              <w:rPr>
                <w:rFonts w:cs="Arial"/>
                <w:szCs w:val="18"/>
                <w:lang w:val="en-GB"/>
              </w:rPr>
            </w:pPr>
            <w:r w:rsidRPr="00E40418">
              <w:rPr>
                <w:rFonts w:cs="Arial"/>
                <w:szCs w:val="18"/>
                <w:lang w:val="en-GB"/>
              </w:rPr>
              <w:t>3</w:t>
            </w:r>
          </w:p>
        </w:tc>
        <w:tc>
          <w:tcPr>
            <w:tcW w:w="1134" w:type="dxa"/>
            <w:tcBorders>
              <w:top w:val="single" w:sz="12" w:space="0" w:color="008000"/>
              <w:bottom w:val="single" w:sz="6" w:space="0" w:color="008000"/>
            </w:tcBorders>
            <w:shd w:val="clear" w:color="auto" w:fill="FFFFFF"/>
          </w:tcPr>
          <w:p w14:paraId="045E6965" w14:textId="77777777" w:rsidR="00A66FD1" w:rsidRPr="00E40418" w:rsidRDefault="005720EF" w:rsidP="003357C6">
            <w:pPr>
              <w:pStyle w:val="CETBodytext"/>
              <w:ind w:right="-1"/>
              <w:jc w:val="left"/>
              <w:rPr>
                <w:rFonts w:cs="Arial"/>
                <w:szCs w:val="18"/>
                <w:lang w:val="en-GB"/>
              </w:rPr>
            </w:pPr>
            <w:r w:rsidRPr="00E40418">
              <w:rPr>
                <w:rFonts w:cs="Arial"/>
                <w:szCs w:val="18"/>
                <w:lang w:val="en-GB"/>
              </w:rPr>
              <w:t>4</w:t>
            </w:r>
          </w:p>
        </w:tc>
        <w:tc>
          <w:tcPr>
            <w:tcW w:w="1134" w:type="dxa"/>
            <w:tcBorders>
              <w:top w:val="single" w:sz="12" w:space="0" w:color="008000"/>
              <w:bottom w:val="single" w:sz="6" w:space="0" w:color="008000"/>
            </w:tcBorders>
            <w:shd w:val="clear" w:color="auto" w:fill="FFFFFF"/>
          </w:tcPr>
          <w:p w14:paraId="34FDEA16" w14:textId="77777777" w:rsidR="00A66FD1" w:rsidRPr="00E40418" w:rsidRDefault="005720EF" w:rsidP="003357C6">
            <w:pPr>
              <w:pStyle w:val="CETBodytext"/>
              <w:ind w:right="-1"/>
              <w:jc w:val="left"/>
              <w:rPr>
                <w:rFonts w:cs="Arial"/>
                <w:szCs w:val="18"/>
                <w:lang w:val="en-GB"/>
              </w:rPr>
            </w:pPr>
            <w:r w:rsidRPr="00E40418">
              <w:rPr>
                <w:rFonts w:cs="Arial"/>
                <w:szCs w:val="18"/>
                <w:lang w:val="en-GB"/>
              </w:rPr>
              <w:t>5</w:t>
            </w:r>
          </w:p>
        </w:tc>
        <w:tc>
          <w:tcPr>
            <w:tcW w:w="1134" w:type="dxa"/>
            <w:tcBorders>
              <w:top w:val="single" w:sz="12" w:space="0" w:color="008000"/>
              <w:bottom w:val="single" w:sz="6" w:space="0" w:color="008000"/>
            </w:tcBorders>
            <w:shd w:val="clear" w:color="auto" w:fill="FFFFFF"/>
          </w:tcPr>
          <w:p w14:paraId="0C0A0FC8" w14:textId="77777777" w:rsidR="00A66FD1" w:rsidRPr="00E40418" w:rsidRDefault="005720EF" w:rsidP="003357C6">
            <w:pPr>
              <w:pStyle w:val="CETBodytext"/>
              <w:ind w:right="-1"/>
              <w:jc w:val="left"/>
              <w:rPr>
                <w:rFonts w:cs="Arial"/>
                <w:szCs w:val="18"/>
                <w:lang w:val="en-GB"/>
              </w:rPr>
            </w:pPr>
            <w:r w:rsidRPr="00E40418">
              <w:rPr>
                <w:rFonts w:cs="Arial"/>
                <w:szCs w:val="18"/>
                <w:lang w:val="en-GB"/>
              </w:rPr>
              <w:t>6</w:t>
            </w:r>
          </w:p>
        </w:tc>
      </w:tr>
      <w:tr w:rsidR="00BD31D0" w:rsidRPr="00E40418" w14:paraId="2305DB13" w14:textId="77777777" w:rsidTr="00BD31D0">
        <w:tc>
          <w:tcPr>
            <w:tcW w:w="2552" w:type="dxa"/>
            <w:shd w:val="clear" w:color="auto" w:fill="FFFFFF"/>
          </w:tcPr>
          <w:p w14:paraId="63D64D35" w14:textId="77777777" w:rsidR="003357C6" w:rsidRPr="00E40418" w:rsidRDefault="00E23C9A" w:rsidP="003357C6">
            <w:pPr>
              <w:pStyle w:val="CETBodytext"/>
              <w:jc w:val="left"/>
              <w:rPr>
                <w:rFonts w:cs="Arial"/>
                <w:lang w:val="en-GB"/>
              </w:rPr>
            </w:pPr>
            <w:r>
              <w:rPr>
                <w:rFonts w:cs="Arial"/>
                <w:lang w:val="en-GB"/>
              </w:rPr>
              <w:t xml:space="preserve">TS </w:t>
            </w:r>
            <w:r w:rsidR="003357C6" w:rsidRPr="00E40418">
              <w:rPr>
                <w:rFonts w:cs="Arial"/>
                <w:lang w:val="en-GB"/>
              </w:rPr>
              <w:t>I</w:t>
            </w:r>
            <w:r w:rsidR="002C735D">
              <w:rPr>
                <w:rFonts w:cs="Arial"/>
                <w:lang w:val="en-GB"/>
              </w:rPr>
              <w:t>:</w:t>
            </w:r>
            <w:r w:rsidR="003357C6" w:rsidRPr="00E40418">
              <w:rPr>
                <w:rFonts w:cs="Arial"/>
                <w:lang w:val="en-GB"/>
              </w:rPr>
              <w:t xml:space="preserve"> </w:t>
            </w:r>
            <w:r w:rsidR="002C735D">
              <w:rPr>
                <w:rFonts w:cs="Arial"/>
                <w:lang w:val="en-GB"/>
              </w:rPr>
              <w:t>22:00 – 06:00</w:t>
            </w:r>
          </w:p>
        </w:tc>
        <w:tc>
          <w:tcPr>
            <w:tcW w:w="1134" w:type="dxa"/>
            <w:shd w:val="clear" w:color="auto" w:fill="FFFFFF"/>
            <w:vAlign w:val="bottom"/>
          </w:tcPr>
          <w:p w14:paraId="2F5CD9AC" w14:textId="77777777" w:rsidR="003357C6" w:rsidRPr="00E40418" w:rsidRDefault="003357C6" w:rsidP="003357C6">
            <w:pPr>
              <w:jc w:val="left"/>
              <w:rPr>
                <w:rFonts w:cs="Arial"/>
                <w:color w:val="000000"/>
                <w:szCs w:val="18"/>
                <w:lang w:eastAsia="it-IT"/>
              </w:rPr>
            </w:pPr>
            <w:r w:rsidRPr="00E40418">
              <w:rPr>
                <w:rFonts w:cs="Arial"/>
                <w:color w:val="000000"/>
                <w:szCs w:val="18"/>
                <w:lang w:eastAsia="it-IT"/>
              </w:rPr>
              <w:t>-1,0275</w:t>
            </w:r>
          </w:p>
        </w:tc>
        <w:tc>
          <w:tcPr>
            <w:tcW w:w="1134" w:type="dxa"/>
            <w:shd w:val="clear" w:color="auto" w:fill="FFFFFF"/>
            <w:vAlign w:val="bottom"/>
          </w:tcPr>
          <w:p w14:paraId="18177926" w14:textId="77777777" w:rsidR="003357C6" w:rsidRPr="00E40418" w:rsidRDefault="003357C6" w:rsidP="003357C6">
            <w:pPr>
              <w:jc w:val="left"/>
              <w:rPr>
                <w:rFonts w:cs="Arial"/>
                <w:color w:val="000000"/>
                <w:szCs w:val="18"/>
                <w:lang w:eastAsia="it-IT"/>
              </w:rPr>
            </w:pPr>
            <w:r w:rsidRPr="00E40418">
              <w:rPr>
                <w:rFonts w:cs="Arial"/>
                <w:color w:val="000000"/>
                <w:szCs w:val="18"/>
                <w:lang w:eastAsia="it-IT"/>
              </w:rPr>
              <w:t>-0,7438</w:t>
            </w:r>
          </w:p>
        </w:tc>
        <w:tc>
          <w:tcPr>
            <w:tcW w:w="1134" w:type="dxa"/>
            <w:shd w:val="clear" w:color="auto" w:fill="FFFFFF"/>
            <w:vAlign w:val="bottom"/>
          </w:tcPr>
          <w:p w14:paraId="578F5C3A" w14:textId="77777777" w:rsidR="003357C6" w:rsidRPr="00E40418" w:rsidRDefault="003357C6" w:rsidP="003357C6">
            <w:pPr>
              <w:jc w:val="left"/>
              <w:rPr>
                <w:rFonts w:cs="Arial"/>
                <w:color w:val="000000"/>
                <w:szCs w:val="18"/>
                <w:lang w:eastAsia="it-IT"/>
              </w:rPr>
            </w:pPr>
            <w:r w:rsidRPr="00E40418">
              <w:rPr>
                <w:rFonts w:cs="Arial"/>
                <w:color w:val="000000"/>
                <w:szCs w:val="18"/>
                <w:lang w:eastAsia="it-IT"/>
              </w:rPr>
              <w:t>0,8179</w:t>
            </w:r>
          </w:p>
        </w:tc>
        <w:tc>
          <w:tcPr>
            <w:tcW w:w="1134" w:type="dxa"/>
            <w:shd w:val="clear" w:color="auto" w:fill="FFFFFF"/>
            <w:vAlign w:val="bottom"/>
          </w:tcPr>
          <w:p w14:paraId="31D20A78" w14:textId="77777777" w:rsidR="003357C6" w:rsidRPr="00E40418" w:rsidRDefault="003357C6" w:rsidP="003357C6">
            <w:pPr>
              <w:jc w:val="left"/>
              <w:rPr>
                <w:rFonts w:cs="Arial"/>
                <w:color w:val="000000"/>
                <w:szCs w:val="18"/>
                <w:lang w:eastAsia="it-IT"/>
              </w:rPr>
            </w:pPr>
            <w:r w:rsidRPr="00E40418">
              <w:rPr>
                <w:rFonts w:cs="Arial"/>
                <w:color w:val="000000"/>
                <w:szCs w:val="18"/>
                <w:lang w:eastAsia="it-IT"/>
              </w:rPr>
              <w:t>0,8391</w:t>
            </w:r>
          </w:p>
        </w:tc>
        <w:tc>
          <w:tcPr>
            <w:tcW w:w="1134" w:type="dxa"/>
            <w:shd w:val="clear" w:color="auto" w:fill="FFFFFF"/>
            <w:vAlign w:val="bottom"/>
          </w:tcPr>
          <w:p w14:paraId="61E85890" w14:textId="77777777" w:rsidR="003357C6" w:rsidRPr="003357C6" w:rsidRDefault="003357C6" w:rsidP="003357C6">
            <w:pPr>
              <w:jc w:val="left"/>
              <w:rPr>
                <w:rFonts w:cs="Arial"/>
                <w:color w:val="000000"/>
                <w:szCs w:val="18"/>
                <w:lang w:eastAsia="it-IT"/>
              </w:rPr>
            </w:pPr>
            <w:r w:rsidRPr="003357C6">
              <w:rPr>
                <w:rFonts w:cs="Arial"/>
                <w:color w:val="000000"/>
                <w:szCs w:val="18"/>
                <w:lang w:eastAsia="it-IT"/>
              </w:rPr>
              <w:t>-0,8726</w:t>
            </w:r>
          </w:p>
        </w:tc>
        <w:tc>
          <w:tcPr>
            <w:tcW w:w="1134" w:type="dxa"/>
            <w:shd w:val="clear" w:color="auto" w:fill="FFFFFF"/>
            <w:vAlign w:val="bottom"/>
          </w:tcPr>
          <w:p w14:paraId="299A6448" w14:textId="77777777" w:rsidR="003357C6" w:rsidRPr="003357C6" w:rsidRDefault="003357C6" w:rsidP="003357C6">
            <w:pPr>
              <w:jc w:val="left"/>
              <w:rPr>
                <w:rFonts w:cs="Arial"/>
                <w:color w:val="000000"/>
                <w:szCs w:val="18"/>
                <w:lang w:eastAsia="it-IT"/>
              </w:rPr>
            </w:pPr>
            <w:r w:rsidRPr="003357C6">
              <w:rPr>
                <w:rFonts w:cs="Arial"/>
                <w:color w:val="000000"/>
                <w:szCs w:val="18"/>
                <w:lang w:eastAsia="it-IT"/>
              </w:rPr>
              <w:t>-0,2428</w:t>
            </w:r>
          </w:p>
        </w:tc>
      </w:tr>
      <w:tr w:rsidR="00BD31D0" w:rsidRPr="00E40418" w14:paraId="67E11492" w14:textId="77777777" w:rsidTr="00BD31D0">
        <w:tc>
          <w:tcPr>
            <w:tcW w:w="2552" w:type="dxa"/>
            <w:shd w:val="clear" w:color="auto" w:fill="FFFFFF"/>
          </w:tcPr>
          <w:p w14:paraId="32B2353B" w14:textId="77777777" w:rsidR="003357C6" w:rsidRPr="00E40418" w:rsidRDefault="00E23C9A" w:rsidP="003357C6">
            <w:pPr>
              <w:pStyle w:val="CETBodytext"/>
              <w:ind w:right="-1"/>
              <w:jc w:val="left"/>
              <w:rPr>
                <w:rFonts w:cs="Arial"/>
                <w:szCs w:val="18"/>
                <w:lang w:val="it-IT"/>
              </w:rPr>
            </w:pPr>
            <w:r>
              <w:rPr>
                <w:rFonts w:cs="Arial"/>
                <w:szCs w:val="18"/>
                <w:lang w:val="it-IT"/>
              </w:rPr>
              <w:t xml:space="preserve">TS </w:t>
            </w:r>
            <w:r w:rsidR="003357C6" w:rsidRPr="00E40418">
              <w:rPr>
                <w:rFonts w:cs="Arial"/>
                <w:szCs w:val="18"/>
                <w:lang w:val="it-IT"/>
              </w:rPr>
              <w:t>II</w:t>
            </w:r>
            <w:r w:rsidR="002C735D">
              <w:rPr>
                <w:rFonts w:cs="Arial"/>
                <w:szCs w:val="18"/>
                <w:lang w:val="it-IT"/>
              </w:rPr>
              <w:t>:</w:t>
            </w:r>
            <w:r w:rsidR="003357C6" w:rsidRPr="00E40418">
              <w:rPr>
                <w:rFonts w:cs="Arial"/>
                <w:szCs w:val="18"/>
                <w:lang w:val="it-IT"/>
              </w:rPr>
              <w:t xml:space="preserve"> </w:t>
            </w:r>
            <w:r w:rsidR="002C735D">
              <w:rPr>
                <w:rFonts w:cs="Arial"/>
                <w:szCs w:val="18"/>
                <w:lang w:val="it-IT"/>
              </w:rPr>
              <w:t>06:00 – 10:00</w:t>
            </w:r>
            <w:r w:rsidR="003357C6" w:rsidRPr="00E40418">
              <w:rPr>
                <w:rFonts w:cs="Arial"/>
                <w:szCs w:val="18"/>
                <w:lang w:val="it-IT"/>
              </w:rPr>
              <w:t xml:space="preserve"> </w:t>
            </w:r>
          </w:p>
        </w:tc>
        <w:tc>
          <w:tcPr>
            <w:tcW w:w="1134" w:type="dxa"/>
            <w:shd w:val="clear" w:color="auto" w:fill="FFFFFF"/>
            <w:vAlign w:val="bottom"/>
          </w:tcPr>
          <w:p w14:paraId="79B0DD4A" w14:textId="77777777" w:rsidR="003357C6" w:rsidRPr="00E40418" w:rsidRDefault="003357C6" w:rsidP="003357C6">
            <w:pPr>
              <w:jc w:val="left"/>
              <w:rPr>
                <w:rFonts w:cs="Arial"/>
                <w:color w:val="000000"/>
                <w:szCs w:val="18"/>
                <w:lang w:eastAsia="it-IT"/>
              </w:rPr>
            </w:pPr>
            <w:r w:rsidRPr="00E40418">
              <w:rPr>
                <w:rFonts w:cs="Arial"/>
                <w:color w:val="000000"/>
                <w:szCs w:val="18"/>
                <w:lang w:eastAsia="it-IT"/>
              </w:rPr>
              <w:t>1,2314</w:t>
            </w:r>
          </w:p>
        </w:tc>
        <w:tc>
          <w:tcPr>
            <w:tcW w:w="1134" w:type="dxa"/>
            <w:shd w:val="clear" w:color="auto" w:fill="FFFFFF"/>
            <w:vAlign w:val="bottom"/>
          </w:tcPr>
          <w:p w14:paraId="11265D51" w14:textId="77777777" w:rsidR="003357C6" w:rsidRPr="00E40418" w:rsidRDefault="003357C6" w:rsidP="003357C6">
            <w:pPr>
              <w:jc w:val="left"/>
              <w:rPr>
                <w:rFonts w:cs="Arial"/>
                <w:color w:val="000000"/>
                <w:szCs w:val="18"/>
                <w:lang w:eastAsia="it-IT"/>
              </w:rPr>
            </w:pPr>
            <w:r w:rsidRPr="00E40418">
              <w:rPr>
                <w:rFonts w:cs="Arial"/>
                <w:color w:val="000000"/>
                <w:szCs w:val="18"/>
                <w:lang w:eastAsia="it-IT"/>
              </w:rPr>
              <w:t>1,0250</w:t>
            </w:r>
          </w:p>
        </w:tc>
        <w:tc>
          <w:tcPr>
            <w:tcW w:w="1134" w:type="dxa"/>
            <w:shd w:val="clear" w:color="auto" w:fill="FFFFFF"/>
            <w:vAlign w:val="bottom"/>
          </w:tcPr>
          <w:p w14:paraId="07D6A29A" w14:textId="77777777" w:rsidR="003357C6" w:rsidRPr="00E40418" w:rsidRDefault="003357C6" w:rsidP="003357C6">
            <w:pPr>
              <w:jc w:val="left"/>
              <w:rPr>
                <w:rFonts w:cs="Arial"/>
                <w:color w:val="000000"/>
                <w:szCs w:val="18"/>
                <w:lang w:eastAsia="it-IT"/>
              </w:rPr>
            </w:pPr>
            <w:r w:rsidRPr="00E40418">
              <w:rPr>
                <w:rFonts w:cs="Arial"/>
                <w:color w:val="000000"/>
                <w:szCs w:val="18"/>
                <w:lang w:eastAsia="it-IT"/>
              </w:rPr>
              <w:t>-0,0736</w:t>
            </w:r>
          </w:p>
        </w:tc>
        <w:tc>
          <w:tcPr>
            <w:tcW w:w="1134" w:type="dxa"/>
            <w:shd w:val="clear" w:color="auto" w:fill="FFFFFF"/>
            <w:vAlign w:val="bottom"/>
          </w:tcPr>
          <w:p w14:paraId="5028ADEF" w14:textId="77777777" w:rsidR="003357C6" w:rsidRPr="00E40418" w:rsidRDefault="003357C6" w:rsidP="003357C6">
            <w:pPr>
              <w:jc w:val="left"/>
              <w:rPr>
                <w:rFonts w:cs="Arial"/>
                <w:color w:val="000000"/>
                <w:szCs w:val="18"/>
                <w:lang w:eastAsia="it-IT"/>
              </w:rPr>
            </w:pPr>
            <w:r w:rsidRPr="00E40418">
              <w:rPr>
                <w:rFonts w:cs="Arial"/>
                <w:color w:val="000000"/>
                <w:szCs w:val="18"/>
                <w:lang w:eastAsia="it-IT"/>
              </w:rPr>
              <w:t>0,7354</w:t>
            </w:r>
          </w:p>
        </w:tc>
        <w:tc>
          <w:tcPr>
            <w:tcW w:w="1134" w:type="dxa"/>
            <w:shd w:val="clear" w:color="auto" w:fill="FFFFFF"/>
            <w:vAlign w:val="bottom"/>
          </w:tcPr>
          <w:p w14:paraId="43A5884F" w14:textId="77777777" w:rsidR="003357C6" w:rsidRPr="003357C6" w:rsidRDefault="003357C6" w:rsidP="003357C6">
            <w:pPr>
              <w:jc w:val="left"/>
              <w:rPr>
                <w:rFonts w:cs="Arial"/>
                <w:color w:val="000000"/>
                <w:szCs w:val="18"/>
                <w:lang w:eastAsia="it-IT"/>
              </w:rPr>
            </w:pPr>
            <w:r w:rsidRPr="003357C6">
              <w:rPr>
                <w:rFonts w:cs="Arial"/>
                <w:color w:val="000000"/>
                <w:szCs w:val="18"/>
                <w:lang w:eastAsia="it-IT"/>
              </w:rPr>
              <w:t>-0,5589</w:t>
            </w:r>
          </w:p>
        </w:tc>
        <w:tc>
          <w:tcPr>
            <w:tcW w:w="1134" w:type="dxa"/>
            <w:shd w:val="clear" w:color="auto" w:fill="FFFFFF"/>
            <w:vAlign w:val="bottom"/>
          </w:tcPr>
          <w:p w14:paraId="406B1A69" w14:textId="77777777" w:rsidR="003357C6" w:rsidRPr="003357C6" w:rsidRDefault="003357C6" w:rsidP="003357C6">
            <w:pPr>
              <w:jc w:val="left"/>
              <w:rPr>
                <w:rFonts w:cs="Arial"/>
                <w:color w:val="000000"/>
                <w:szCs w:val="18"/>
                <w:lang w:eastAsia="it-IT"/>
              </w:rPr>
            </w:pPr>
            <w:r w:rsidRPr="00E768E5">
              <w:rPr>
                <w:rFonts w:cs="Arial"/>
                <w:color w:val="C00000"/>
                <w:szCs w:val="18"/>
                <w:lang w:eastAsia="it-IT"/>
              </w:rPr>
              <w:t>-2,3397</w:t>
            </w:r>
          </w:p>
        </w:tc>
      </w:tr>
      <w:tr w:rsidR="00BD31D0" w:rsidRPr="00E40418" w14:paraId="456D0BBA" w14:textId="77777777" w:rsidTr="00BD31D0">
        <w:tc>
          <w:tcPr>
            <w:tcW w:w="2552" w:type="dxa"/>
            <w:shd w:val="clear" w:color="auto" w:fill="FFFFFF"/>
          </w:tcPr>
          <w:p w14:paraId="40DF0A7E" w14:textId="77777777" w:rsidR="003357C6" w:rsidRPr="00E40418" w:rsidRDefault="00E23C9A" w:rsidP="003357C6">
            <w:pPr>
              <w:pStyle w:val="CETBodytext"/>
              <w:ind w:right="-1"/>
              <w:jc w:val="left"/>
              <w:rPr>
                <w:rFonts w:cs="Arial"/>
                <w:szCs w:val="18"/>
                <w:lang w:val="it-IT"/>
              </w:rPr>
            </w:pPr>
            <w:r>
              <w:rPr>
                <w:rFonts w:cs="Arial"/>
                <w:szCs w:val="18"/>
                <w:lang w:val="it-IT"/>
              </w:rPr>
              <w:t xml:space="preserve">TS </w:t>
            </w:r>
            <w:r w:rsidR="003357C6" w:rsidRPr="00E40418">
              <w:rPr>
                <w:rFonts w:cs="Arial"/>
                <w:szCs w:val="18"/>
                <w:lang w:val="it-IT"/>
              </w:rPr>
              <w:t>III</w:t>
            </w:r>
            <w:r w:rsidR="002C735D">
              <w:rPr>
                <w:rFonts w:cs="Arial"/>
                <w:szCs w:val="18"/>
                <w:lang w:val="it-IT"/>
              </w:rPr>
              <w:t>:</w:t>
            </w:r>
            <w:r w:rsidR="003357C6" w:rsidRPr="00E40418">
              <w:rPr>
                <w:rFonts w:cs="Arial"/>
                <w:szCs w:val="18"/>
                <w:lang w:val="it-IT"/>
              </w:rPr>
              <w:t xml:space="preserve"> </w:t>
            </w:r>
            <w:r w:rsidR="002C735D">
              <w:rPr>
                <w:rFonts w:cs="Arial"/>
                <w:szCs w:val="18"/>
                <w:lang w:val="it-IT"/>
              </w:rPr>
              <w:t>10:00 – 18:00</w:t>
            </w:r>
          </w:p>
        </w:tc>
        <w:tc>
          <w:tcPr>
            <w:tcW w:w="1134" w:type="dxa"/>
            <w:shd w:val="clear" w:color="auto" w:fill="FFFFFF"/>
            <w:vAlign w:val="bottom"/>
          </w:tcPr>
          <w:p w14:paraId="47A25B5D" w14:textId="77777777" w:rsidR="003357C6" w:rsidRPr="00E40418" w:rsidRDefault="003357C6" w:rsidP="003357C6">
            <w:pPr>
              <w:jc w:val="left"/>
              <w:rPr>
                <w:rFonts w:cs="Arial"/>
                <w:color w:val="000000"/>
                <w:szCs w:val="18"/>
                <w:lang w:eastAsia="it-IT"/>
              </w:rPr>
            </w:pPr>
            <w:r w:rsidRPr="00E40418">
              <w:rPr>
                <w:rFonts w:cs="Arial"/>
                <w:color w:val="000000"/>
                <w:szCs w:val="18"/>
                <w:lang w:eastAsia="it-IT"/>
              </w:rPr>
              <w:t>1,0237</w:t>
            </w:r>
          </w:p>
        </w:tc>
        <w:tc>
          <w:tcPr>
            <w:tcW w:w="1134" w:type="dxa"/>
            <w:shd w:val="clear" w:color="auto" w:fill="FFFFFF"/>
            <w:vAlign w:val="bottom"/>
          </w:tcPr>
          <w:p w14:paraId="3A97E596" w14:textId="77777777" w:rsidR="003357C6" w:rsidRPr="00E40418" w:rsidRDefault="003357C6" w:rsidP="003357C6">
            <w:pPr>
              <w:jc w:val="left"/>
              <w:rPr>
                <w:rFonts w:cs="Arial"/>
                <w:color w:val="000000"/>
                <w:szCs w:val="18"/>
                <w:lang w:eastAsia="it-IT"/>
              </w:rPr>
            </w:pPr>
            <w:r w:rsidRPr="00E40418">
              <w:rPr>
                <w:rFonts w:cs="Arial"/>
                <w:color w:val="000000"/>
                <w:szCs w:val="18"/>
                <w:lang w:eastAsia="it-IT"/>
              </w:rPr>
              <w:t>1,0751</w:t>
            </w:r>
          </w:p>
        </w:tc>
        <w:tc>
          <w:tcPr>
            <w:tcW w:w="1134" w:type="dxa"/>
            <w:shd w:val="clear" w:color="auto" w:fill="FFFFFF"/>
            <w:vAlign w:val="bottom"/>
          </w:tcPr>
          <w:p w14:paraId="704F8D6C" w14:textId="77777777" w:rsidR="003357C6" w:rsidRPr="00E40418" w:rsidRDefault="003357C6" w:rsidP="003357C6">
            <w:pPr>
              <w:jc w:val="left"/>
              <w:rPr>
                <w:rFonts w:cs="Arial"/>
                <w:color w:val="000000"/>
                <w:szCs w:val="18"/>
                <w:lang w:eastAsia="it-IT"/>
              </w:rPr>
            </w:pPr>
            <w:r w:rsidRPr="00E40418">
              <w:rPr>
                <w:rFonts w:cs="Arial"/>
                <w:color w:val="000000"/>
                <w:szCs w:val="18"/>
                <w:lang w:eastAsia="it-IT"/>
              </w:rPr>
              <w:t>0,8179</w:t>
            </w:r>
          </w:p>
        </w:tc>
        <w:tc>
          <w:tcPr>
            <w:tcW w:w="1134" w:type="dxa"/>
            <w:shd w:val="clear" w:color="auto" w:fill="FFFFFF"/>
            <w:vAlign w:val="bottom"/>
          </w:tcPr>
          <w:p w14:paraId="36F15196" w14:textId="77777777" w:rsidR="003357C6" w:rsidRPr="00E40418" w:rsidRDefault="003357C6" w:rsidP="003357C6">
            <w:pPr>
              <w:jc w:val="left"/>
              <w:rPr>
                <w:rFonts w:cs="Arial"/>
                <w:color w:val="000000"/>
                <w:szCs w:val="18"/>
                <w:lang w:eastAsia="it-IT"/>
              </w:rPr>
            </w:pPr>
            <w:r w:rsidRPr="00E40418">
              <w:rPr>
                <w:rFonts w:cs="Arial"/>
                <w:color w:val="000000"/>
                <w:szCs w:val="18"/>
                <w:lang w:eastAsia="it-IT"/>
              </w:rPr>
              <w:t>-0,8650</w:t>
            </w:r>
          </w:p>
        </w:tc>
        <w:tc>
          <w:tcPr>
            <w:tcW w:w="1134" w:type="dxa"/>
            <w:shd w:val="clear" w:color="auto" w:fill="FFFFFF"/>
            <w:vAlign w:val="bottom"/>
          </w:tcPr>
          <w:p w14:paraId="62D3A9F4" w14:textId="77777777" w:rsidR="003357C6" w:rsidRPr="003357C6" w:rsidRDefault="003357C6" w:rsidP="003357C6">
            <w:pPr>
              <w:jc w:val="left"/>
              <w:rPr>
                <w:rFonts w:cs="Arial"/>
                <w:color w:val="000000"/>
                <w:szCs w:val="18"/>
                <w:lang w:eastAsia="it-IT"/>
              </w:rPr>
            </w:pPr>
            <w:r w:rsidRPr="003357C6">
              <w:rPr>
                <w:rFonts w:cs="Arial"/>
                <w:color w:val="000000"/>
                <w:szCs w:val="18"/>
                <w:lang w:eastAsia="it-IT"/>
              </w:rPr>
              <w:t>-1,6832</w:t>
            </w:r>
          </w:p>
        </w:tc>
        <w:tc>
          <w:tcPr>
            <w:tcW w:w="1134" w:type="dxa"/>
            <w:shd w:val="clear" w:color="auto" w:fill="FFFFFF"/>
            <w:vAlign w:val="bottom"/>
          </w:tcPr>
          <w:p w14:paraId="6D2BD3E6" w14:textId="77777777" w:rsidR="003357C6" w:rsidRPr="003357C6" w:rsidRDefault="003357C6" w:rsidP="003357C6">
            <w:pPr>
              <w:jc w:val="left"/>
              <w:rPr>
                <w:rFonts w:cs="Arial"/>
                <w:color w:val="000000"/>
                <w:szCs w:val="18"/>
                <w:lang w:eastAsia="it-IT"/>
              </w:rPr>
            </w:pPr>
            <w:r w:rsidRPr="003357C6">
              <w:rPr>
                <w:rFonts w:cs="Arial"/>
                <w:color w:val="000000"/>
                <w:szCs w:val="18"/>
                <w:lang w:eastAsia="it-IT"/>
              </w:rPr>
              <w:t>0,6532</w:t>
            </w:r>
          </w:p>
        </w:tc>
      </w:tr>
      <w:tr w:rsidR="00BD31D0" w:rsidRPr="00E40418" w14:paraId="77F478B4" w14:textId="77777777" w:rsidTr="00BD31D0">
        <w:tc>
          <w:tcPr>
            <w:tcW w:w="2552" w:type="dxa"/>
            <w:shd w:val="clear" w:color="auto" w:fill="FFFFFF"/>
          </w:tcPr>
          <w:p w14:paraId="0367AB13" w14:textId="77777777" w:rsidR="003357C6" w:rsidRPr="00E40418" w:rsidRDefault="00E23C9A" w:rsidP="003357C6">
            <w:pPr>
              <w:pStyle w:val="CETBodytext"/>
              <w:ind w:right="-1"/>
              <w:jc w:val="left"/>
              <w:rPr>
                <w:rFonts w:cs="Arial"/>
                <w:szCs w:val="18"/>
                <w:lang w:val="it-IT"/>
              </w:rPr>
            </w:pPr>
            <w:r>
              <w:rPr>
                <w:rFonts w:cs="Arial"/>
                <w:szCs w:val="18"/>
                <w:lang w:val="it-IT"/>
              </w:rPr>
              <w:t xml:space="preserve">TS </w:t>
            </w:r>
            <w:r w:rsidR="003357C6" w:rsidRPr="00E40418">
              <w:rPr>
                <w:rFonts w:cs="Arial"/>
                <w:szCs w:val="18"/>
                <w:lang w:val="it-IT"/>
              </w:rPr>
              <w:t>IV</w:t>
            </w:r>
            <w:r w:rsidR="002C735D">
              <w:rPr>
                <w:rFonts w:cs="Arial"/>
                <w:szCs w:val="18"/>
                <w:lang w:val="it-IT"/>
              </w:rPr>
              <w:t>:</w:t>
            </w:r>
            <w:r w:rsidR="003357C6" w:rsidRPr="00E40418">
              <w:rPr>
                <w:rFonts w:cs="Arial"/>
                <w:szCs w:val="18"/>
                <w:lang w:val="it-IT"/>
              </w:rPr>
              <w:t xml:space="preserve"> </w:t>
            </w:r>
            <w:r w:rsidR="002C735D">
              <w:rPr>
                <w:rFonts w:cs="Arial"/>
                <w:szCs w:val="18"/>
                <w:lang w:val="it-IT"/>
              </w:rPr>
              <w:t>18:00 – 22:00</w:t>
            </w:r>
          </w:p>
        </w:tc>
        <w:tc>
          <w:tcPr>
            <w:tcW w:w="1134" w:type="dxa"/>
            <w:shd w:val="clear" w:color="auto" w:fill="FFFFFF"/>
            <w:vAlign w:val="bottom"/>
          </w:tcPr>
          <w:p w14:paraId="3B1ABCD6" w14:textId="77777777" w:rsidR="003357C6" w:rsidRPr="00E40418" w:rsidRDefault="003357C6" w:rsidP="003357C6">
            <w:pPr>
              <w:jc w:val="left"/>
              <w:rPr>
                <w:rFonts w:cs="Arial"/>
                <w:color w:val="000000"/>
                <w:szCs w:val="18"/>
                <w:lang w:eastAsia="it-IT"/>
              </w:rPr>
            </w:pPr>
            <w:r w:rsidRPr="00E40418">
              <w:rPr>
                <w:rFonts w:cs="Arial"/>
                <w:color w:val="000000"/>
                <w:szCs w:val="18"/>
                <w:lang w:eastAsia="it-IT"/>
              </w:rPr>
              <w:t>-0,9052</w:t>
            </w:r>
          </w:p>
        </w:tc>
        <w:tc>
          <w:tcPr>
            <w:tcW w:w="1134" w:type="dxa"/>
            <w:shd w:val="clear" w:color="auto" w:fill="FFFFFF"/>
            <w:vAlign w:val="bottom"/>
          </w:tcPr>
          <w:p w14:paraId="0BCB3BC8" w14:textId="77777777" w:rsidR="003357C6" w:rsidRPr="00E40418" w:rsidRDefault="003357C6" w:rsidP="003357C6">
            <w:pPr>
              <w:jc w:val="left"/>
              <w:rPr>
                <w:rFonts w:cs="Arial"/>
                <w:color w:val="000000"/>
                <w:szCs w:val="18"/>
                <w:lang w:eastAsia="it-IT"/>
              </w:rPr>
            </w:pPr>
            <w:r w:rsidRPr="00E40418">
              <w:rPr>
                <w:rFonts w:cs="Arial"/>
                <w:color w:val="000000"/>
                <w:szCs w:val="18"/>
                <w:lang w:eastAsia="it-IT"/>
              </w:rPr>
              <w:t>-1,0010</w:t>
            </w:r>
          </w:p>
        </w:tc>
        <w:tc>
          <w:tcPr>
            <w:tcW w:w="1134" w:type="dxa"/>
            <w:shd w:val="clear" w:color="auto" w:fill="FFFFFF"/>
            <w:vAlign w:val="bottom"/>
          </w:tcPr>
          <w:p w14:paraId="0EC11990" w14:textId="77777777" w:rsidR="003357C6" w:rsidRPr="00E40418" w:rsidRDefault="003357C6" w:rsidP="003357C6">
            <w:pPr>
              <w:jc w:val="left"/>
              <w:rPr>
                <w:rFonts w:cs="Arial"/>
                <w:color w:val="000000"/>
                <w:szCs w:val="18"/>
                <w:lang w:eastAsia="it-IT"/>
              </w:rPr>
            </w:pPr>
            <w:r w:rsidRPr="00E40418">
              <w:rPr>
                <w:rFonts w:cs="Arial"/>
                <w:color w:val="000000"/>
                <w:szCs w:val="18"/>
                <w:lang w:eastAsia="it-IT"/>
              </w:rPr>
              <w:t>-1,2002</w:t>
            </w:r>
          </w:p>
        </w:tc>
        <w:tc>
          <w:tcPr>
            <w:tcW w:w="1134" w:type="dxa"/>
            <w:shd w:val="clear" w:color="auto" w:fill="FFFFFF"/>
            <w:vAlign w:val="bottom"/>
          </w:tcPr>
          <w:p w14:paraId="20FE5BBE" w14:textId="77777777" w:rsidR="003357C6" w:rsidRPr="00E40418" w:rsidRDefault="003357C6" w:rsidP="003357C6">
            <w:pPr>
              <w:jc w:val="left"/>
              <w:rPr>
                <w:rFonts w:cs="Arial"/>
                <w:color w:val="000000"/>
                <w:szCs w:val="18"/>
                <w:lang w:eastAsia="it-IT"/>
              </w:rPr>
            </w:pPr>
            <w:r w:rsidRPr="00E40418">
              <w:rPr>
                <w:rFonts w:cs="Arial"/>
                <w:color w:val="000000"/>
                <w:szCs w:val="18"/>
                <w:lang w:eastAsia="it-IT"/>
              </w:rPr>
              <w:t>-0,5226</w:t>
            </w:r>
          </w:p>
        </w:tc>
        <w:tc>
          <w:tcPr>
            <w:tcW w:w="1134" w:type="dxa"/>
            <w:shd w:val="clear" w:color="auto" w:fill="FFFFFF"/>
            <w:vAlign w:val="bottom"/>
          </w:tcPr>
          <w:p w14:paraId="591244DD" w14:textId="77777777" w:rsidR="003357C6" w:rsidRPr="003357C6" w:rsidRDefault="003357C6" w:rsidP="003357C6">
            <w:pPr>
              <w:jc w:val="left"/>
              <w:rPr>
                <w:rFonts w:cs="Arial"/>
                <w:color w:val="000000"/>
                <w:szCs w:val="18"/>
                <w:lang w:eastAsia="it-IT"/>
              </w:rPr>
            </w:pPr>
            <w:r w:rsidRPr="00E768E5">
              <w:rPr>
                <w:rFonts w:cs="Arial"/>
                <w:color w:val="C00000"/>
                <w:szCs w:val="18"/>
                <w:lang w:eastAsia="it-IT"/>
              </w:rPr>
              <w:t>2,3722</w:t>
            </w:r>
          </w:p>
        </w:tc>
        <w:tc>
          <w:tcPr>
            <w:tcW w:w="1134" w:type="dxa"/>
            <w:shd w:val="clear" w:color="auto" w:fill="FFFFFF"/>
            <w:vAlign w:val="bottom"/>
          </w:tcPr>
          <w:p w14:paraId="2CE8BF02" w14:textId="77777777" w:rsidR="003357C6" w:rsidRPr="003357C6" w:rsidRDefault="003357C6" w:rsidP="003357C6">
            <w:pPr>
              <w:jc w:val="left"/>
              <w:rPr>
                <w:rFonts w:cs="Arial"/>
                <w:color w:val="000000"/>
                <w:szCs w:val="18"/>
                <w:lang w:eastAsia="it-IT"/>
              </w:rPr>
            </w:pPr>
            <w:r w:rsidRPr="003357C6">
              <w:rPr>
                <w:rFonts w:cs="Arial"/>
                <w:color w:val="000000"/>
                <w:szCs w:val="18"/>
                <w:lang w:eastAsia="it-IT"/>
              </w:rPr>
              <w:t>1,4107</w:t>
            </w:r>
          </w:p>
        </w:tc>
      </w:tr>
    </w:tbl>
    <w:p w14:paraId="78C78E71" w14:textId="77777777" w:rsidR="00675FFA" w:rsidRPr="00E40418" w:rsidRDefault="00675FFA" w:rsidP="003357C6">
      <w:pPr>
        <w:pStyle w:val="CETBodytext"/>
        <w:jc w:val="left"/>
        <w:rPr>
          <w:rFonts w:cs="Arial"/>
          <w:lang w:val="it-IT"/>
        </w:rPr>
      </w:pPr>
    </w:p>
    <w:p w14:paraId="1AB08B66" w14:textId="37A788F3" w:rsidR="000166FB" w:rsidRDefault="00C36D5B" w:rsidP="00D87C73">
      <w:pPr>
        <w:pStyle w:val="CETBodytext"/>
        <w:rPr>
          <w:lang w:val="en-GB"/>
        </w:rPr>
      </w:pPr>
      <w:r w:rsidRPr="00C36D5B">
        <w:rPr>
          <w:lang w:val="en-GB"/>
        </w:rPr>
        <w:t>A further evaluation was carried out in order to verify the existence of a correlation between the productions of the chemical plant and the occurrence of odour episodes</w:t>
      </w:r>
      <w:r>
        <w:rPr>
          <w:lang w:val="en-GB"/>
        </w:rPr>
        <w:t>. To do</w:t>
      </w:r>
      <w:r w:rsidR="00ED6CC8">
        <w:rPr>
          <w:lang w:val="en-GB"/>
        </w:rPr>
        <w:t xml:space="preserve"> this,</w:t>
      </w:r>
      <w:r>
        <w:rPr>
          <w:lang w:val="en-GB"/>
        </w:rPr>
        <w:t xml:space="preserve"> </w:t>
      </w:r>
      <w:r w:rsidR="00ED6CC8">
        <w:rPr>
          <w:lang w:val="en-GB"/>
        </w:rPr>
        <w:t>t</w:t>
      </w:r>
      <w:r>
        <w:rPr>
          <w:lang w:val="en-GB"/>
        </w:rPr>
        <w:t>he number of observations was plotted against the concentration of aldehydes in the wastewater of the chemical plant</w:t>
      </w:r>
      <w:r w:rsidR="006218EA">
        <w:rPr>
          <w:lang w:val="en-GB"/>
        </w:rPr>
        <w:t xml:space="preserve"> (Figure 3)</w:t>
      </w:r>
      <w:r>
        <w:rPr>
          <w:lang w:val="en-GB"/>
        </w:rPr>
        <w:t>, which are measured continuously</w:t>
      </w:r>
      <w:r w:rsidR="006218EA">
        <w:rPr>
          <w:lang w:val="en-GB"/>
        </w:rPr>
        <w:t>, because</w:t>
      </w:r>
      <w:r>
        <w:rPr>
          <w:lang w:val="en-GB"/>
        </w:rPr>
        <w:t xml:space="preserve"> </w:t>
      </w:r>
      <w:r w:rsidR="006218EA">
        <w:rPr>
          <w:lang w:val="en-GB"/>
        </w:rPr>
        <w:t>t</w:t>
      </w:r>
      <w:r>
        <w:rPr>
          <w:lang w:val="en-GB"/>
        </w:rPr>
        <w:t xml:space="preserve">he presence of aldehydes in the wastewaters of the chemical plant is related to the specific production </w:t>
      </w:r>
      <w:r w:rsidR="006218EA">
        <w:rPr>
          <w:lang w:val="en-GB"/>
        </w:rPr>
        <w:t>suspected to cause odour problems.</w:t>
      </w:r>
    </w:p>
    <w:p w14:paraId="01E095C2" w14:textId="77777777" w:rsidR="002C735D" w:rsidRPr="00C36D5B" w:rsidRDefault="002C735D" w:rsidP="00D87C73">
      <w:pPr>
        <w:pStyle w:val="CETBodytext"/>
        <w:rPr>
          <w:lang w:val="en-GB"/>
        </w:rPr>
      </w:pPr>
    </w:p>
    <w:p w14:paraId="1FDDF4D1" w14:textId="77777777" w:rsidR="00496548" w:rsidRDefault="002B3817" w:rsidP="00D87C73">
      <w:pPr>
        <w:pStyle w:val="CETBodytext"/>
        <w:rPr>
          <w:lang w:val="en-GB"/>
        </w:rPr>
      </w:pPr>
      <w:r w:rsidRPr="002B3817">
        <w:rPr>
          <w:noProof/>
          <w:lang w:val="it-IT" w:eastAsia="it-IT"/>
        </w:rPr>
        <w:drawing>
          <wp:inline distT="0" distB="0" distL="0" distR="0" wp14:anchorId="14AE9B3B" wp14:editId="0985E334">
            <wp:extent cx="3932331" cy="1987550"/>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57028" cy="2000033"/>
                    </a:xfrm>
                    <a:prstGeom prst="rect">
                      <a:avLst/>
                    </a:prstGeom>
                    <a:noFill/>
                    <a:ln>
                      <a:noFill/>
                    </a:ln>
                  </pic:spPr>
                </pic:pic>
              </a:graphicData>
            </a:graphic>
          </wp:inline>
        </w:drawing>
      </w:r>
    </w:p>
    <w:p w14:paraId="2105B864" w14:textId="77777777" w:rsidR="009054F8" w:rsidRDefault="009054F8" w:rsidP="009054F8">
      <w:pPr>
        <w:pStyle w:val="CETCaption"/>
      </w:pPr>
      <w:r>
        <w:t xml:space="preserve">Figure 3. Analysis of the correlation between the number </w:t>
      </w:r>
      <w:r w:rsidR="00213336">
        <w:t xml:space="preserve">of odour observations </w:t>
      </w:r>
      <w:r w:rsidR="00E61D60">
        <w:t>and the concentration of aldehydes in the wastewaters of the chemical plant</w:t>
      </w:r>
      <w:r w:rsidR="00AB253A">
        <w:t xml:space="preserve"> on a daily basis</w:t>
      </w:r>
    </w:p>
    <w:p w14:paraId="737FA33A" w14:textId="77777777" w:rsidR="000A48D0" w:rsidRDefault="00903C26" w:rsidP="00D87C73">
      <w:pPr>
        <w:pStyle w:val="CETBodytext"/>
        <w:rPr>
          <w:lang w:val="en-GB"/>
        </w:rPr>
      </w:pPr>
      <w:r w:rsidRPr="00903C26">
        <w:rPr>
          <w:noProof/>
          <w:lang w:val="it-IT" w:eastAsia="it-IT"/>
        </w:rPr>
        <w:drawing>
          <wp:inline distT="0" distB="0" distL="0" distR="0" wp14:anchorId="706A0147" wp14:editId="2DBFF442">
            <wp:extent cx="3921125" cy="2147851"/>
            <wp:effectExtent l="0" t="0" r="3175" b="508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52416" cy="2164991"/>
                    </a:xfrm>
                    <a:prstGeom prst="rect">
                      <a:avLst/>
                    </a:prstGeom>
                    <a:noFill/>
                    <a:ln>
                      <a:noFill/>
                    </a:ln>
                  </pic:spPr>
                </pic:pic>
              </a:graphicData>
            </a:graphic>
          </wp:inline>
        </w:drawing>
      </w:r>
    </w:p>
    <w:p w14:paraId="02A5CC2E" w14:textId="77777777" w:rsidR="004D1A64" w:rsidRDefault="004D1A64" w:rsidP="004D1A64">
      <w:pPr>
        <w:pStyle w:val="CETCaption"/>
      </w:pPr>
      <w:r>
        <w:t xml:space="preserve">Figure 4. </w:t>
      </w:r>
      <w:r w:rsidR="00AB253A">
        <w:t>N</w:t>
      </w:r>
      <w:r w:rsidRPr="00AB253A">
        <w:t xml:space="preserve">umber of odour observations and </w:t>
      </w:r>
      <w:r w:rsidR="00AB253A">
        <w:t xml:space="preserve">average </w:t>
      </w:r>
      <w:r w:rsidRPr="00AB253A">
        <w:t>concentration of aldehydes</w:t>
      </w:r>
      <w:r w:rsidR="00AB253A">
        <w:t xml:space="preserve"> (mg/l)</w:t>
      </w:r>
      <w:r w:rsidRPr="00AB253A">
        <w:t xml:space="preserve"> in the wastewaters of the chemical plant</w:t>
      </w:r>
      <w:r w:rsidR="00AB253A" w:rsidRPr="00AB253A">
        <w:t xml:space="preserve"> on a weekly basis</w:t>
      </w:r>
    </w:p>
    <w:p w14:paraId="2D96A79A" w14:textId="77777777" w:rsidR="002B3817" w:rsidRDefault="002B3817" w:rsidP="002B3817">
      <w:pPr>
        <w:pStyle w:val="CETBodytext"/>
        <w:rPr>
          <w:lang w:val="en-GB"/>
        </w:rPr>
      </w:pPr>
      <w:r>
        <w:rPr>
          <w:lang w:val="en-GB"/>
        </w:rPr>
        <w:lastRenderedPageBreak/>
        <w:t>As can be seen from the trend line and the value of the correlation coefficient R</w:t>
      </w:r>
      <w:r w:rsidRPr="00FA51C7">
        <w:rPr>
          <w:vertAlign w:val="superscript"/>
          <w:lang w:val="en-GB"/>
        </w:rPr>
        <w:t>2</w:t>
      </w:r>
      <w:r>
        <w:rPr>
          <w:lang w:val="en-GB"/>
        </w:rPr>
        <w:t xml:space="preserve"> reported in Figure 3, there is no correlation between the two investigated quantities, meaning that there is no two-way correlation between the activities of the chemical plant and the presence of malodours on the territory. Indeed, there are several situations in which the production at the chemical plant was active, but no odours were reported by the citizens, as it was for instance the case during the first lockdown period in March and April 2020. However, if the same analysis is carried out on a weekly basis (Figure 4), a certain correlation can be observed: during the weeks with a higher number of odour observations, the production at the chemical plant was active.</w:t>
      </w:r>
    </w:p>
    <w:p w14:paraId="07A87CD8" w14:textId="77777777" w:rsidR="002B3817" w:rsidRDefault="002B3817" w:rsidP="002B3817">
      <w:pPr>
        <w:pStyle w:val="CETBodytext"/>
        <w:rPr>
          <w:lang w:val="en-GB"/>
        </w:rPr>
      </w:pPr>
      <w:r>
        <w:rPr>
          <w:lang w:val="en-GB"/>
        </w:rPr>
        <w:t>This unexpected behaviour could be explained by the presence of another contributing factor, which has not been identified yet, which, together with the wastewaters of the chemical plant, causes the generation of intense and unpleasant odours at the municipal WWTP.</w:t>
      </w:r>
    </w:p>
    <w:p w14:paraId="65CA0FEE" w14:textId="77777777" w:rsidR="009054F8" w:rsidRDefault="009054F8" w:rsidP="00D87C73">
      <w:pPr>
        <w:pStyle w:val="CETBodytext"/>
        <w:rPr>
          <w:lang w:val="en-GB"/>
        </w:rPr>
      </w:pPr>
    </w:p>
    <w:p w14:paraId="13D216C6" w14:textId="77777777" w:rsidR="00912130" w:rsidRPr="00290BAB" w:rsidRDefault="00912130" w:rsidP="00912130">
      <w:pPr>
        <w:pStyle w:val="CETHeading1"/>
        <w:rPr>
          <w:lang w:val="en-GB"/>
        </w:rPr>
      </w:pPr>
      <w:r w:rsidRPr="00290BAB">
        <w:rPr>
          <w:lang w:val="en-GB"/>
        </w:rPr>
        <w:t>Conclusions</w:t>
      </w:r>
    </w:p>
    <w:p w14:paraId="7DC06053" w14:textId="77777777" w:rsidR="00912130" w:rsidRDefault="002B5A4B" w:rsidP="00912130">
      <w:r>
        <w:t xml:space="preserve">This study, carried out on 4 plants located close to the city of Castellanza, in Northern Italy, involved </w:t>
      </w:r>
      <w:r w:rsidR="00AB253A">
        <w:t>the execution of olfactometric analyses for the quantification of odour emissions and the collection of odour observations by trained citizen, with the aim to answer the following research question: “</w:t>
      </w:r>
      <w:r w:rsidR="00274C74" w:rsidRPr="00290BAB">
        <w:t>What</w:t>
      </w:r>
      <w:r w:rsidR="00274C74">
        <w:t xml:space="preserve"> is causing the odour problem?”.</w:t>
      </w:r>
    </w:p>
    <w:p w14:paraId="583C4B69" w14:textId="77777777" w:rsidR="00D92F08" w:rsidRPr="00290BAB" w:rsidRDefault="00D92F08" w:rsidP="00912130">
      <w:r>
        <w:t xml:space="preserve">The results of the </w:t>
      </w:r>
      <w:r w:rsidR="00DC7B24">
        <w:t>olfactometric surveys carried out in different seasons</w:t>
      </w:r>
      <w:r>
        <w:t xml:space="preserve"> have allowed to identify </w:t>
      </w:r>
      <w:r w:rsidR="00DC7B24">
        <w:t xml:space="preserve">and quantify </w:t>
      </w:r>
      <w:r>
        <w:t>the major odour emissions of the plants under investigation, and the preliminary analysis of the odour observations collected in the period between the 14</w:t>
      </w:r>
      <w:r w:rsidRPr="00D92F08">
        <w:rPr>
          <w:vertAlign w:val="superscript"/>
        </w:rPr>
        <w:t>th</w:t>
      </w:r>
      <w:r>
        <w:t xml:space="preserve"> May and the 30</w:t>
      </w:r>
      <w:r w:rsidRPr="00D92F08">
        <w:rPr>
          <w:vertAlign w:val="superscript"/>
        </w:rPr>
        <w:t>th</w:t>
      </w:r>
      <w:r>
        <w:t xml:space="preserve"> September 2020 has allowed to draw some important conclusions regarding the causes of the odour nuisance.</w:t>
      </w:r>
    </w:p>
    <w:p w14:paraId="1C25CD58" w14:textId="77777777" w:rsidR="00AB59B2" w:rsidRPr="00290BAB" w:rsidRDefault="00D92F08" w:rsidP="00CF105C">
      <w:pPr>
        <w:pStyle w:val="CETBodytext"/>
        <w:rPr>
          <w:lang w:val="en-GB"/>
        </w:rPr>
      </w:pPr>
      <w:r>
        <w:rPr>
          <w:lang w:val="en-GB"/>
        </w:rPr>
        <w:t>Considering the meteorological conditions, it was observed that about 60% of the odour observations are compatible with the location of the municipal WWTP.</w:t>
      </w:r>
    </w:p>
    <w:p w14:paraId="71436668" w14:textId="26F80173" w:rsidR="000A48D0" w:rsidRDefault="00D92F08" w:rsidP="000A48D0">
      <w:pPr>
        <w:pStyle w:val="CETBodytext"/>
        <w:rPr>
          <w:lang w:val="en-GB"/>
        </w:rPr>
      </w:pPr>
      <w:r>
        <w:rPr>
          <w:lang w:val="en-GB"/>
        </w:rPr>
        <w:t>Moreover</w:t>
      </w:r>
      <w:r w:rsidR="008E175A">
        <w:rPr>
          <w:lang w:val="en-GB"/>
        </w:rPr>
        <w:t xml:space="preserve">, it was possible to </w:t>
      </w:r>
      <w:r w:rsidR="00546209">
        <w:rPr>
          <w:lang w:val="en-GB"/>
        </w:rPr>
        <w:t xml:space="preserve">disprove </w:t>
      </w:r>
      <w:r w:rsidR="00777815">
        <w:rPr>
          <w:lang w:val="en-GB"/>
        </w:rPr>
        <w:t>the</w:t>
      </w:r>
      <w:r w:rsidR="00546209">
        <w:rPr>
          <w:lang w:val="en-GB"/>
        </w:rPr>
        <w:t xml:space="preserve"> common belief </w:t>
      </w:r>
      <w:r w:rsidR="00777815" w:rsidRPr="00290BAB">
        <w:rPr>
          <w:lang w:val="en-GB"/>
        </w:rPr>
        <w:t>that a particular product of the chemical plant cause</w:t>
      </w:r>
      <w:r w:rsidR="0051534F">
        <w:rPr>
          <w:lang w:val="en-GB"/>
        </w:rPr>
        <w:t>s</w:t>
      </w:r>
      <w:r w:rsidR="00777815" w:rsidRPr="00290BAB">
        <w:rPr>
          <w:lang w:val="en-GB"/>
        </w:rPr>
        <w:t xml:space="preserve"> the release of odorous chemical </w:t>
      </w:r>
      <w:r w:rsidR="00777815">
        <w:rPr>
          <w:lang w:val="en-GB"/>
        </w:rPr>
        <w:t xml:space="preserve">substances (i.e. aldehydes) generating </w:t>
      </w:r>
      <w:r w:rsidR="00777815" w:rsidRPr="00290BAB">
        <w:rPr>
          <w:lang w:val="en-GB"/>
        </w:rPr>
        <w:t>malodours at the municipal WWTP</w:t>
      </w:r>
      <w:r w:rsidR="00777815">
        <w:rPr>
          <w:lang w:val="en-GB"/>
        </w:rPr>
        <w:t>.</w:t>
      </w:r>
    </w:p>
    <w:p w14:paraId="41BCA1E3" w14:textId="77777777" w:rsidR="00777815" w:rsidRDefault="00777815" w:rsidP="00777815">
      <w:pPr>
        <w:pStyle w:val="CETBodytext"/>
        <w:rPr>
          <w:lang w:val="en-GB"/>
        </w:rPr>
      </w:pPr>
      <w:r>
        <w:rPr>
          <w:lang w:val="en-GB"/>
        </w:rPr>
        <w:t>Therefore, the reason for the odour nuisance on the studied area could be related to another not yet identified contributing factor, which, when getting in contact with the wastewaters of the chemical plants, causes the generation of intense and unpleasant odours at the municipal WWTP.</w:t>
      </w:r>
    </w:p>
    <w:p w14:paraId="7C9B4FE9" w14:textId="77777777" w:rsidR="00005BCF" w:rsidRDefault="00777815" w:rsidP="000A48D0">
      <w:pPr>
        <w:pStyle w:val="CETBodytext"/>
        <w:rPr>
          <w:lang w:val="en-GB"/>
        </w:rPr>
      </w:pPr>
      <w:r>
        <w:rPr>
          <w:lang w:val="en-GB"/>
        </w:rPr>
        <w:t xml:space="preserve">Future work should focus on the </w:t>
      </w:r>
      <w:r w:rsidR="002C735D">
        <w:rPr>
          <w:lang w:val="en-GB"/>
        </w:rPr>
        <w:t>simulation of the dispersion of the odour emissions</w:t>
      </w:r>
      <w:r w:rsidR="002B3817">
        <w:rPr>
          <w:lang w:val="en-GB"/>
        </w:rPr>
        <w:t xml:space="preserve"> </w:t>
      </w:r>
      <w:r w:rsidR="00005BCF">
        <w:rPr>
          <w:lang w:val="en-GB"/>
        </w:rPr>
        <w:t xml:space="preserve">from the 4 plants </w:t>
      </w:r>
      <w:r w:rsidR="002C735D">
        <w:rPr>
          <w:lang w:val="en-GB"/>
        </w:rPr>
        <w:t xml:space="preserve">and on the comparison of </w:t>
      </w:r>
      <w:r w:rsidR="00005BCF" w:rsidRPr="00290BAB">
        <w:rPr>
          <w:lang w:val="en-GB"/>
        </w:rPr>
        <w:t xml:space="preserve">the </w:t>
      </w:r>
      <w:r w:rsidR="00005BCF">
        <w:rPr>
          <w:lang w:val="en-GB"/>
        </w:rPr>
        <w:t>outcomes</w:t>
      </w:r>
      <w:r w:rsidR="00005BCF" w:rsidRPr="00290BAB">
        <w:rPr>
          <w:lang w:val="en-GB"/>
        </w:rPr>
        <w:t xml:space="preserve"> of the dispersion modelling studies with the odour observations by the citizens, in order to identify the odour provenance</w:t>
      </w:r>
      <w:r w:rsidR="00005BCF">
        <w:rPr>
          <w:lang w:val="en-GB"/>
        </w:rPr>
        <w:t xml:space="preserve">. Further studies are also needed in order to identify the unknown factors causing the </w:t>
      </w:r>
      <w:r w:rsidR="00311F35">
        <w:rPr>
          <w:lang w:val="en-GB"/>
        </w:rPr>
        <w:t xml:space="preserve">increase of the odour emissions at the municipal WWTP entrance, which has been verified both by olfactometric analyses and by the </w:t>
      </w:r>
      <w:r w:rsidR="0017567E">
        <w:rPr>
          <w:lang w:val="en-GB"/>
        </w:rPr>
        <w:t xml:space="preserve">preliminary </w:t>
      </w:r>
      <w:r w:rsidR="00311F35">
        <w:rPr>
          <w:lang w:val="en-GB"/>
        </w:rPr>
        <w:t xml:space="preserve">analysis of the citizens’ </w:t>
      </w:r>
      <w:r w:rsidR="0017567E">
        <w:rPr>
          <w:lang w:val="en-GB"/>
        </w:rPr>
        <w:t xml:space="preserve">odour </w:t>
      </w:r>
      <w:r w:rsidR="00311F35">
        <w:rPr>
          <w:lang w:val="en-GB"/>
        </w:rPr>
        <w:t>observations.</w:t>
      </w:r>
    </w:p>
    <w:p w14:paraId="6D55A4AA" w14:textId="77777777" w:rsidR="00E5028E" w:rsidRPr="00290BAB" w:rsidRDefault="00E5028E" w:rsidP="00CF105C">
      <w:pPr>
        <w:pStyle w:val="CETBodytext"/>
        <w:rPr>
          <w:lang w:val="en-GB"/>
        </w:rPr>
      </w:pPr>
    </w:p>
    <w:p w14:paraId="099AF3E4" w14:textId="77777777" w:rsidR="00E5028E" w:rsidRPr="00290BAB" w:rsidRDefault="002B5A4B" w:rsidP="00E5028E">
      <w:pPr>
        <w:pStyle w:val="CETAcknowledgementstitle"/>
      </w:pPr>
      <w:r>
        <w:t>Funding</w:t>
      </w:r>
    </w:p>
    <w:p w14:paraId="188B151F" w14:textId="77777777" w:rsidR="00E5028E" w:rsidRDefault="002B5A4B" w:rsidP="00E5028E">
      <w:pPr>
        <w:pStyle w:val="CETBodytext"/>
        <w:rPr>
          <w:lang w:val="en-GB"/>
        </w:rPr>
      </w:pPr>
      <w:r w:rsidRPr="002B5A4B">
        <w:rPr>
          <w:lang w:val="en-GB"/>
        </w:rPr>
        <w:t>This project has received funding from the European Union’s HORIZON 2020 research and innovation programme under grant agreement No 789315</w:t>
      </w:r>
      <w:r>
        <w:rPr>
          <w:lang w:val="en-GB"/>
        </w:rPr>
        <w:t>.</w:t>
      </w:r>
    </w:p>
    <w:p w14:paraId="2AB60EF2" w14:textId="77777777" w:rsidR="0058017B" w:rsidRPr="00290BAB" w:rsidRDefault="0058017B" w:rsidP="00E5028E">
      <w:pPr>
        <w:pStyle w:val="CETBodytext"/>
        <w:rPr>
          <w:lang w:val="en-GB"/>
        </w:rPr>
      </w:pPr>
    </w:p>
    <w:p w14:paraId="256814BC" w14:textId="77777777" w:rsidR="00E5028E" w:rsidRPr="00290BAB" w:rsidRDefault="00E5028E" w:rsidP="00E5028E">
      <w:pPr>
        <w:pStyle w:val="CETReference"/>
      </w:pPr>
      <w:r w:rsidRPr="00290BAB">
        <w:t>References</w:t>
      </w:r>
    </w:p>
    <w:p w14:paraId="24F03A54" w14:textId="77777777" w:rsidR="00DA2A08" w:rsidRDefault="006930AE" w:rsidP="009A0582">
      <w:pPr>
        <w:pStyle w:val="CETReference-text"/>
      </w:pPr>
      <w:r w:rsidRPr="006930AE">
        <w:t>Bokowa A.</w:t>
      </w:r>
      <w:r>
        <w:t>,</w:t>
      </w:r>
      <w:r w:rsidRPr="006930AE">
        <w:t xml:space="preserve"> Diaz C.</w:t>
      </w:r>
      <w:r>
        <w:t>,</w:t>
      </w:r>
      <w:r w:rsidRPr="006930AE">
        <w:t xml:space="preserve"> Koziel J.A.</w:t>
      </w:r>
      <w:r>
        <w:t>,</w:t>
      </w:r>
      <w:r w:rsidRPr="006930AE">
        <w:t xml:space="preserve"> McGinley M.</w:t>
      </w:r>
      <w:r w:rsidR="00864F93">
        <w:t>,</w:t>
      </w:r>
      <w:r w:rsidRPr="006930AE">
        <w:t xml:space="preserve"> Barclay J.</w:t>
      </w:r>
      <w:r w:rsidR="00864F93">
        <w:t>,</w:t>
      </w:r>
      <w:r w:rsidRPr="006930AE">
        <w:t xml:space="preserve"> Schauberger G.</w:t>
      </w:r>
      <w:r w:rsidR="00864F93">
        <w:t>,</w:t>
      </w:r>
      <w:r w:rsidRPr="006930AE">
        <w:t xml:space="preserve"> Guillot J.-M.</w:t>
      </w:r>
      <w:r w:rsidR="00864F93">
        <w:t>,</w:t>
      </w:r>
      <w:r w:rsidRPr="006930AE">
        <w:t xml:space="preserve"> Sneath R.</w:t>
      </w:r>
      <w:r w:rsidR="00864F93">
        <w:t>,</w:t>
      </w:r>
      <w:r w:rsidRPr="006930AE">
        <w:t xml:space="preserve"> Capelli L.</w:t>
      </w:r>
      <w:r w:rsidR="00864F93">
        <w:t>,</w:t>
      </w:r>
      <w:r w:rsidRPr="006930AE">
        <w:t xml:space="preserve"> Zorich V.</w:t>
      </w:r>
      <w:r w:rsidR="00864F93">
        <w:t>,</w:t>
      </w:r>
      <w:r w:rsidRPr="006930AE">
        <w:t xml:space="preserve"> Izquierdo C.</w:t>
      </w:r>
      <w:r w:rsidR="00864F93">
        <w:t>,</w:t>
      </w:r>
      <w:r w:rsidRPr="006930AE">
        <w:t xml:space="preserve"> Bilsen I.</w:t>
      </w:r>
      <w:r w:rsidR="0058017B">
        <w:t>,</w:t>
      </w:r>
      <w:r w:rsidRPr="006930AE">
        <w:t xml:space="preserve"> Romain A.-C.</w:t>
      </w:r>
      <w:r w:rsidR="0058017B">
        <w:t>,</w:t>
      </w:r>
      <w:r w:rsidRPr="006930AE">
        <w:t xml:space="preserve"> del Carmen Cabeza M.</w:t>
      </w:r>
      <w:r w:rsidR="0058017B">
        <w:t>,</w:t>
      </w:r>
      <w:r w:rsidRPr="006930AE">
        <w:t xml:space="preserve"> Liu D.</w:t>
      </w:r>
      <w:r w:rsidR="0058017B">
        <w:t>,</w:t>
      </w:r>
      <w:r w:rsidRPr="006930AE">
        <w:t xml:space="preserve"> Both R.</w:t>
      </w:r>
      <w:r w:rsidR="0058017B">
        <w:t>,</w:t>
      </w:r>
      <w:r w:rsidRPr="006930AE">
        <w:t xml:space="preserve"> Van Belois H.</w:t>
      </w:r>
      <w:r w:rsidR="0058017B">
        <w:t>,</w:t>
      </w:r>
      <w:r w:rsidRPr="006930AE">
        <w:t xml:space="preserve"> Higuchi T.</w:t>
      </w:r>
      <w:r w:rsidR="0058017B">
        <w:t>,</w:t>
      </w:r>
      <w:r w:rsidRPr="006930AE">
        <w:t xml:space="preserve"> Wahe L.</w:t>
      </w:r>
      <w:r w:rsidR="0058017B">
        <w:t>,</w:t>
      </w:r>
      <w:r w:rsidRPr="006930AE">
        <w:t xml:space="preserve"> </w:t>
      </w:r>
      <w:r w:rsidR="0058017B">
        <w:t xml:space="preserve">2021, </w:t>
      </w:r>
      <w:r w:rsidRPr="006930AE">
        <w:t>Summary and Overview of the Odour Regulations Worldwide</w:t>
      </w:r>
      <w:r w:rsidR="0058017B">
        <w:t>,</w:t>
      </w:r>
      <w:r w:rsidRPr="006930AE">
        <w:t xml:space="preserve"> Atmosphere 12, 206.</w:t>
      </w:r>
    </w:p>
    <w:p w14:paraId="2EFA6DAD" w14:textId="77777777" w:rsidR="009A0582" w:rsidRPr="00A44C86" w:rsidRDefault="009A0582" w:rsidP="009A0582">
      <w:pPr>
        <w:pStyle w:val="CETReference-text"/>
      </w:pPr>
      <w:r w:rsidRPr="00A44C86">
        <w:t xml:space="preserve">Capelli L., Sironi S., Del Rosso R., Céntola P., Rossi A., Austeri C., 2011, Olfactometric approach for the evaluation of citizens’ exposure to industrial emissions in the city of Terni, Italy, </w:t>
      </w:r>
      <w:r>
        <w:t>Science of the Total Environment</w:t>
      </w:r>
      <w:r w:rsidRPr="00A44C86">
        <w:t xml:space="preserve"> 409, 595-603.</w:t>
      </w:r>
    </w:p>
    <w:p w14:paraId="584E526C" w14:textId="77777777" w:rsidR="00E5028E" w:rsidRPr="00290BAB" w:rsidRDefault="008920EC" w:rsidP="009A0582">
      <w:pPr>
        <w:pStyle w:val="CETReferencetext"/>
      </w:pPr>
      <w:r w:rsidRPr="008920EC">
        <w:t>Cusano G., Licotti C., Sironi S., Capelli L., Rossi A.N., Il Grande M., 2010</w:t>
      </w:r>
      <w:r>
        <w:t>,</w:t>
      </w:r>
      <w:r w:rsidRPr="008920EC">
        <w:t xml:space="preserve"> Odour regulation in Italy: the regional guidelines on odour emissions in Lombardia, </w:t>
      </w:r>
      <w:r>
        <w:t xml:space="preserve">Chemical Engineering Transactions 23, </w:t>
      </w:r>
      <w:r w:rsidRPr="008920EC">
        <w:t>19-24.</w:t>
      </w:r>
    </w:p>
    <w:p w14:paraId="4FBCEB80" w14:textId="77777777" w:rsidR="00E5028E" w:rsidRPr="00290BAB" w:rsidRDefault="00903C26" w:rsidP="009A0582">
      <w:pPr>
        <w:pStyle w:val="CETReferencetext"/>
      </w:pPr>
      <w:r w:rsidRPr="00DA2A08">
        <w:t>Franke T.M., Ho T., Christie C.A.</w:t>
      </w:r>
      <w:r w:rsidR="00DA2A08" w:rsidRPr="00DA2A08">
        <w:t>,</w:t>
      </w:r>
      <w:r w:rsidRPr="00DA2A08">
        <w:t xml:space="preserve"> 2012</w:t>
      </w:r>
      <w:r w:rsidR="00DA2A08" w:rsidRPr="00DA2A08">
        <w:t>,</w:t>
      </w:r>
      <w:r w:rsidRPr="00DA2A08">
        <w:t xml:space="preserve"> The chi-square test: Often used and more often misinterpreted</w:t>
      </w:r>
      <w:r w:rsidR="00DA2A08" w:rsidRPr="00DA2A08">
        <w:t>,</w:t>
      </w:r>
      <w:r w:rsidRPr="00DA2A08">
        <w:t xml:space="preserve"> American Journal of Evaluation, 33, 448-458.</w:t>
      </w:r>
    </w:p>
    <w:p w14:paraId="1DA3676B" w14:textId="77777777" w:rsidR="00E5028E" w:rsidRPr="005F19B4" w:rsidRDefault="009A0582" w:rsidP="009A0582">
      <w:pPr>
        <w:pStyle w:val="CETReferencetext"/>
        <w:rPr>
          <w:lang w:val="it-IT"/>
        </w:rPr>
      </w:pPr>
      <w:r w:rsidRPr="005F19B4">
        <w:rPr>
          <w:lang w:val="it-IT"/>
        </w:rPr>
        <w:t>Regione Lombardia, 2012, D.G.R. 15 febbraio 2012 – n. IX/3018, Determinazioni generali in merito alla caratterizzazione delle emissioni gassose in atmosfera derivanti da attività a forte impatto odorigeno, Bollettino Ufficiale 20 febbraio 2012</w:t>
      </w:r>
      <w:r w:rsidR="00742260" w:rsidRPr="005F19B4">
        <w:rPr>
          <w:lang w:val="it-IT"/>
        </w:rPr>
        <w:t>.</w:t>
      </w:r>
    </w:p>
    <w:p w14:paraId="20C32626" w14:textId="77777777" w:rsidR="00E5028E" w:rsidRPr="005F19B4" w:rsidRDefault="00E5028E" w:rsidP="009A0582">
      <w:pPr>
        <w:pStyle w:val="CETReferencetext"/>
        <w:rPr>
          <w:lang w:val="it-IT"/>
        </w:rPr>
      </w:pPr>
    </w:p>
    <w:sectPr w:rsidR="00E5028E" w:rsidRPr="005F19B4" w:rsidSect="0077098D">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78F452" w14:textId="77777777" w:rsidR="00CD36DB" w:rsidRDefault="00CD36DB" w:rsidP="004F5E36">
      <w:r>
        <w:separator/>
      </w:r>
    </w:p>
  </w:endnote>
  <w:endnote w:type="continuationSeparator" w:id="0">
    <w:p w14:paraId="48CDE615" w14:textId="77777777" w:rsidR="00CD36DB" w:rsidRDefault="00CD36DB"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2C2D4" w14:textId="77777777" w:rsidR="00CD36DB" w:rsidRDefault="00CD36DB" w:rsidP="004F5E36">
      <w:r>
        <w:separator/>
      </w:r>
    </w:p>
  </w:footnote>
  <w:footnote w:type="continuationSeparator" w:id="0">
    <w:p w14:paraId="2C17829B" w14:textId="77777777" w:rsidR="00CD36DB" w:rsidRDefault="00CD36DB" w:rsidP="004F5E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F556EC3"/>
    <w:multiLevelType w:val="hybridMultilevel"/>
    <w:tmpl w:val="9452A5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2B2A21C9"/>
    <w:multiLevelType w:val="hybridMultilevel"/>
    <w:tmpl w:val="C38414E4"/>
    <w:lvl w:ilvl="0" w:tplc="8C8E9836">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9"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E325DE9"/>
    <w:multiLevelType w:val="hybridMultilevel"/>
    <w:tmpl w:val="172C62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6172131"/>
    <w:multiLevelType w:val="hybridMultilevel"/>
    <w:tmpl w:val="09A2D476"/>
    <w:lvl w:ilvl="0" w:tplc="93440EB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8"/>
  </w:num>
  <w:num w:numId="13">
    <w:abstractNumId w:val="14"/>
  </w:num>
  <w:num w:numId="14">
    <w:abstractNumId w:val="19"/>
  </w:num>
  <w:num w:numId="15">
    <w:abstractNumId w:val="22"/>
  </w:num>
  <w:num w:numId="16">
    <w:abstractNumId w:val="21"/>
  </w:num>
  <w:num w:numId="17">
    <w:abstractNumId w:val="13"/>
  </w:num>
  <w:num w:numId="18">
    <w:abstractNumId w:val="14"/>
    <w:lvlOverride w:ilvl="0">
      <w:startOverride w:val="1"/>
    </w:lvlOverride>
  </w:num>
  <w:num w:numId="19">
    <w:abstractNumId w:val="17"/>
  </w:num>
  <w:num w:numId="20">
    <w:abstractNumId w:val="16"/>
  </w:num>
  <w:num w:numId="21">
    <w:abstractNumId w:val="15"/>
  </w:num>
  <w:num w:numId="22">
    <w:abstractNumId w:val="20"/>
  </w:num>
  <w:num w:numId="23">
    <w:abstractNumId w:val="10"/>
  </w:num>
  <w:num w:numId="24">
    <w:abstractNumId w:val="12"/>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GB" w:vendorID="64" w:dllVersion="6" w:nlCheck="1" w:checkStyle="1"/>
  <w:activeWritingStyle w:appName="MSWord" w:lang="fr-FR" w:vendorID="64" w:dllVersion="6" w:nlCheck="1" w:checkStyle="0"/>
  <w:activeWritingStyle w:appName="MSWord" w:lang="en-GB" w:vendorID="64" w:dllVersion="4096" w:nlCheck="1" w:checkStyle="0"/>
  <w:activeWritingStyle w:appName="MSWord" w:lang="it-IT"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it-IT" w:vendorID="64" w:dllVersion="0" w:nlCheck="1" w:checkStyle="0"/>
  <w:activeWritingStyle w:appName="MSWord" w:lang="en-GB" w:vendorID="64" w:dllVersion="131078" w:nlCheck="1" w:checkStyle="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BCF"/>
    <w:rsid w:val="000117CB"/>
    <w:rsid w:val="000166FB"/>
    <w:rsid w:val="00017A12"/>
    <w:rsid w:val="0003148D"/>
    <w:rsid w:val="000357CE"/>
    <w:rsid w:val="00036627"/>
    <w:rsid w:val="00044797"/>
    <w:rsid w:val="000471CE"/>
    <w:rsid w:val="00051566"/>
    <w:rsid w:val="00062A9A"/>
    <w:rsid w:val="00065058"/>
    <w:rsid w:val="0008600F"/>
    <w:rsid w:val="00086C39"/>
    <w:rsid w:val="00092870"/>
    <w:rsid w:val="000A03B2"/>
    <w:rsid w:val="000A48D0"/>
    <w:rsid w:val="000A7D13"/>
    <w:rsid w:val="000B7846"/>
    <w:rsid w:val="000C3EFB"/>
    <w:rsid w:val="000D1A91"/>
    <w:rsid w:val="000D34BE"/>
    <w:rsid w:val="000E102F"/>
    <w:rsid w:val="000E36F1"/>
    <w:rsid w:val="000E3A73"/>
    <w:rsid w:val="000E414A"/>
    <w:rsid w:val="000E7658"/>
    <w:rsid w:val="000F093C"/>
    <w:rsid w:val="000F787B"/>
    <w:rsid w:val="00102CC7"/>
    <w:rsid w:val="00106A0C"/>
    <w:rsid w:val="0011108A"/>
    <w:rsid w:val="00113E4F"/>
    <w:rsid w:val="0012091F"/>
    <w:rsid w:val="00126BC2"/>
    <w:rsid w:val="001308B6"/>
    <w:rsid w:val="0013121F"/>
    <w:rsid w:val="00131FE6"/>
    <w:rsid w:val="0013263F"/>
    <w:rsid w:val="00134DE4"/>
    <w:rsid w:val="0014034D"/>
    <w:rsid w:val="0014464F"/>
    <w:rsid w:val="00150E59"/>
    <w:rsid w:val="00152DE3"/>
    <w:rsid w:val="001534D7"/>
    <w:rsid w:val="00162A7F"/>
    <w:rsid w:val="00164CF9"/>
    <w:rsid w:val="001738A9"/>
    <w:rsid w:val="0017567E"/>
    <w:rsid w:val="00180860"/>
    <w:rsid w:val="00184AD6"/>
    <w:rsid w:val="00194E4D"/>
    <w:rsid w:val="001A5B78"/>
    <w:rsid w:val="001B0349"/>
    <w:rsid w:val="001B65C1"/>
    <w:rsid w:val="001C3E77"/>
    <w:rsid w:val="001C684B"/>
    <w:rsid w:val="001D53FC"/>
    <w:rsid w:val="001D73EA"/>
    <w:rsid w:val="001F42A5"/>
    <w:rsid w:val="001F7B9D"/>
    <w:rsid w:val="00202DFF"/>
    <w:rsid w:val="002121A6"/>
    <w:rsid w:val="002132F4"/>
    <w:rsid w:val="00213336"/>
    <w:rsid w:val="002224B4"/>
    <w:rsid w:val="002225EB"/>
    <w:rsid w:val="00231DA5"/>
    <w:rsid w:val="00243961"/>
    <w:rsid w:val="002447EF"/>
    <w:rsid w:val="0024590A"/>
    <w:rsid w:val="002471E6"/>
    <w:rsid w:val="00251550"/>
    <w:rsid w:val="00263968"/>
    <w:rsid w:val="00263B05"/>
    <w:rsid w:val="0027221A"/>
    <w:rsid w:val="00274C74"/>
    <w:rsid w:val="00275B61"/>
    <w:rsid w:val="00277498"/>
    <w:rsid w:val="002778EC"/>
    <w:rsid w:val="00282656"/>
    <w:rsid w:val="00286454"/>
    <w:rsid w:val="002903CB"/>
    <w:rsid w:val="00290BAB"/>
    <w:rsid w:val="00296B83"/>
    <w:rsid w:val="002B3817"/>
    <w:rsid w:val="002B5A4B"/>
    <w:rsid w:val="002B78CE"/>
    <w:rsid w:val="002C2FB6"/>
    <w:rsid w:val="002C390F"/>
    <w:rsid w:val="002C735D"/>
    <w:rsid w:val="002F3732"/>
    <w:rsid w:val="003009B7"/>
    <w:rsid w:val="00300E56"/>
    <w:rsid w:val="003022D9"/>
    <w:rsid w:val="0030469C"/>
    <w:rsid w:val="00311F35"/>
    <w:rsid w:val="00312909"/>
    <w:rsid w:val="00312BD9"/>
    <w:rsid w:val="00321CA6"/>
    <w:rsid w:val="00334C09"/>
    <w:rsid w:val="003357C6"/>
    <w:rsid w:val="003723D4"/>
    <w:rsid w:val="00383F4B"/>
    <w:rsid w:val="00384CC8"/>
    <w:rsid w:val="003871FD"/>
    <w:rsid w:val="00387921"/>
    <w:rsid w:val="0039399F"/>
    <w:rsid w:val="003A1E30"/>
    <w:rsid w:val="003A7D1C"/>
    <w:rsid w:val="003B304B"/>
    <w:rsid w:val="003B3146"/>
    <w:rsid w:val="003B7855"/>
    <w:rsid w:val="003C4B86"/>
    <w:rsid w:val="003C5CC0"/>
    <w:rsid w:val="003E0194"/>
    <w:rsid w:val="003E4407"/>
    <w:rsid w:val="003F015E"/>
    <w:rsid w:val="00400414"/>
    <w:rsid w:val="00406F5D"/>
    <w:rsid w:val="0041446B"/>
    <w:rsid w:val="0044329C"/>
    <w:rsid w:val="004577FE"/>
    <w:rsid w:val="00457B9C"/>
    <w:rsid w:val="0046164A"/>
    <w:rsid w:val="004628D2"/>
    <w:rsid w:val="00462DCD"/>
    <w:rsid w:val="00464070"/>
    <w:rsid w:val="004648AD"/>
    <w:rsid w:val="00465B2E"/>
    <w:rsid w:val="004703A9"/>
    <w:rsid w:val="00475C92"/>
    <w:rsid w:val="004760DE"/>
    <w:rsid w:val="00482649"/>
    <w:rsid w:val="0048428A"/>
    <w:rsid w:val="00495A2C"/>
    <w:rsid w:val="00496548"/>
    <w:rsid w:val="004A004E"/>
    <w:rsid w:val="004A24CF"/>
    <w:rsid w:val="004A40D3"/>
    <w:rsid w:val="004C3D1D"/>
    <w:rsid w:val="004C44C9"/>
    <w:rsid w:val="004C7913"/>
    <w:rsid w:val="004D1A64"/>
    <w:rsid w:val="004E4DD6"/>
    <w:rsid w:val="004F5E36"/>
    <w:rsid w:val="005021BC"/>
    <w:rsid w:val="0050356C"/>
    <w:rsid w:val="00507B47"/>
    <w:rsid w:val="00507CC9"/>
    <w:rsid w:val="00511389"/>
    <w:rsid w:val="0051144E"/>
    <w:rsid w:val="005119A5"/>
    <w:rsid w:val="0051522D"/>
    <w:rsid w:val="0051534F"/>
    <w:rsid w:val="0051547A"/>
    <w:rsid w:val="00516D93"/>
    <w:rsid w:val="005278B7"/>
    <w:rsid w:val="00532016"/>
    <w:rsid w:val="005346C8"/>
    <w:rsid w:val="00535722"/>
    <w:rsid w:val="0054242A"/>
    <w:rsid w:val="00543E7D"/>
    <w:rsid w:val="00544790"/>
    <w:rsid w:val="00546209"/>
    <w:rsid w:val="00547A68"/>
    <w:rsid w:val="005531C9"/>
    <w:rsid w:val="005720EF"/>
    <w:rsid w:val="0058017B"/>
    <w:rsid w:val="00584CD8"/>
    <w:rsid w:val="00592B50"/>
    <w:rsid w:val="00595E4F"/>
    <w:rsid w:val="005A3AC4"/>
    <w:rsid w:val="005A3E9C"/>
    <w:rsid w:val="005B2110"/>
    <w:rsid w:val="005B61E6"/>
    <w:rsid w:val="005C77E1"/>
    <w:rsid w:val="005D6A2F"/>
    <w:rsid w:val="005E1A82"/>
    <w:rsid w:val="005E794C"/>
    <w:rsid w:val="005F0A28"/>
    <w:rsid w:val="005F0E5E"/>
    <w:rsid w:val="005F19B4"/>
    <w:rsid w:val="005F738C"/>
    <w:rsid w:val="00600535"/>
    <w:rsid w:val="00610CD6"/>
    <w:rsid w:val="00620C11"/>
    <w:rsid w:val="00620DEE"/>
    <w:rsid w:val="006218EA"/>
    <w:rsid w:val="00621F92"/>
    <w:rsid w:val="00625639"/>
    <w:rsid w:val="006270DC"/>
    <w:rsid w:val="00631B33"/>
    <w:rsid w:val="0064184D"/>
    <w:rsid w:val="00641D14"/>
    <w:rsid w:val="0064342B"/>
    <w:rsid w:val="00660E3E"/>
    <w:rsid w:val="00662E74"/>
    <w:rsid w:val="00670AF6"/>
    <w:rsid w:val="00675FFA"/>
    <w:rsid w:val="0067750A"/>
    <w:rsid w:val="00680C23"/>
    <w:rsid w:val="006930AE"/>
    <w:rsid w:val="00693766"/>
    <w:rsid w:val="006A07DB"/>
    <w:rsid w:val="006A3281"/>
    <w:rsid w:val="006B4888"/>
    <w:rsid w:val="006C2E45"/>
    <w:rsid w:val="006C359C"/>
    <w:rsid w:val="006C5579"/>
    <w:rsid w:val="006E13EF"/>
    <w:rsid w:val="006E1C59"/>
    <w:rsid w:val="006E737D"/>
    <w:rsid w:val="006E7C30"/>
    <w:rsid w:val="006E7EA3"/>
    <w:rsid w:val="006F29E5"/>
    <w:rsid w:val="00720A24"/>
    <w:rsid w:val="00732386"/>
    <w:rsid w:val="00742260"/>
    <w:rsid w:val="00744743"/>
    <w:rsid w:val="007447F3"/>
    <w:rsid w:val="00746BAC"/>
    <w:rsid w:val="007525B0"/>
    <w:rsid w:val="007535D9"/>
    <w:rsid w:val="0075499F"/>
    <w:rsid w:val="007661C8"/>
    <w:rsid w:val="0077098D"/>
    <w:rsid w:val="00777815"/>
    <w:rsid w:val="007A202B"/>
    <w:rsid w:val="007A786E"/>
    <w:rsid w:val="007A7BBA"/>
    <w:rsid w:val="007B0C50"/>
    <w:rsid w:val="007C1A43"/>
    <w:rsid w:val="007C1B69"/>
    <w:rsid w:val="007C2F5A"/>
    <w:rsid w:val="007D7EF7"/>
    <w:rsid w:val="007F122A"/>
    <w:rsid w:val="007F5D0A"/>
    <w:rsid w:val="00801A3D"/>
    <w:rsid w:val="00813288"/>
    <w:rsid w:val="008168FC"/>
    <w:rsid w:val="00830996"/>
    <w:rsid w:val="008345F1"/>
    <w:rsid w:val="00844758"/>
    <w:rsid w:val="00864F93"/>
    <w:rsid w:val="00865B07"/>
    <w:rsid w:val="008667EA"/>
    <w:rsid w:val="00873D70"/>
    <w:rsid w:val="0087637F"/>
    <w:rsid w:val="008920EC"/>
    <w:rsid w:val="00892AD5"/>
    <w:rsid w:val="00893F44"/>
    <w:rsid w:val="008A1512"/>
    <w:rsid w:val="008A7C2B"/>
    <w:rsid w:val="008B2650"/>
    <w:rsid w:val="008D433B"/>
    <w:rsid w:val="008E175A"/>
    <w:rsid w:val="008E566E"/>
    <w:rsid w:val="0090161A"/>
    <w:rsid w:val="00901EB6"/>
    <w:rsid w:val="0090346D"/>
    <w:rsid w:val="00903C26"/>
    <w:rsid w:val="00904C62"/>
    <w:rsid w:val="009054F8"/>
    <w:rsid w:val="00912130"/>
    <w:rsid w:val="00924DAC"/>
    <w:rsid w:val="00927058"/>
    <w:rsid w:val="009450CE"/>
    <w:rsid w:val="00947179"/>
    <w:rsid w:val="0095164B"/>
    <w:rsid w:val="00954090"/>
    <w:rsid w:val="009573E7"/>
    <w:rsid w:val="009626E9"/>
    <w:rsid w:val="00963E05"/>
    <w:rsid w:val="00967D54"/>
    <w:rsid w:val="009722A7"/>
    <w:rsid w:val="009958D5"/>
    <w:rsid w:val="00996483"/>
    <w:rsid w:val="00996F5A"/>
    <w:rsid w:val="009A0582"/>
    <w:rsid w:val="009A1DB6"/>
    <w:rsid w:val="009A37DC"/>
    <w:rsid w:val="009A593B"/>
    <w:rsid w:val="009B041A"/>
    <w:rsid w:val="009B3A6D"/>
    <w:rsid w:val="009C2779"/>
    <w:rsid w:val="009C7C86"/>
    <w:rsid w:val="009D2FF7"/>
    <w:rsid w:val="009E71E2"/>
    <w:rsid w:val="009E7884"/>
    <w:rsid w:val="009E788A"/>
    <w:rsid w:val="009F0E08"/>
    <w:rsid w:val="009F7F64"/>
    <w:rsid w:val="00A1763D"/>
    <w:rsid w:val="00A17CEC"/>
    <w:rsid w:val="00A27EF0"/>
    <w:rsid w:val="00A50B20"/>
    <w:rsid w:val="00A51390"/>
    <w:rsid w:val="00A55D7B"/>
    <w:rsid w:val="00A60D13"/>
    <w:rsid w:val="00A66FD1"/>
    <w:rsid w:val="00A71177"/>
    <w:rsid w:val="00A72745"/>
    <w:rsid w:val="00A76EFC"/>
    <w:rsid w:val="00A91010"/>
    <w:rsid w:val="00A97F29"/>
    <w:rsid w:val="00AA702E"/>
    <w:rsid w:val="00AB0964"/>
    <w:rsid w:val="00AB253A"/>
    <w:rsid w:val="00AB5011"/>
    <w:rsid w:val="00AB59B2"/>
    <w:rsid w:val="00AC7368"/>
    <w:rsid w:val="00AC7B4B"/>
    <w:rsid w:val="00AD0C74"/>
    <w:rsid w:val="00AD16B9"/>
    <w:rsid w:val="00AD685D"/>
    <w:rsid w:val="00AE377D"/>
    <w:rsid w:val="00B00D77"/>
    <w:rsid w:val="00B108A7"/>
    <w:rsid w:val="00B134BE"/>
    <w:rsid w:val="00B179EF"/>
    <w:rsid w:val="00B17FBD"/>
    <w:rsid w:val="00B238E1"/>
    <w:rsid w:val="00B315A6"/>
    <w:rsid w:val="00B31813"/>
    <w:rsid w:val="00B33365"/>
    <w:rsid w:val="00B57B36"/>
    <w:rsid w:val="00B64A90"/>
    <w:rsid w:val="00B718D2"/>
    <w:rsid w:val="00B8686D"/>
    <w:rsid w:val="00B86DCD"/>
    <w:rsid w:val="00B928CB"/>
    <w:rsid w:val="00B96A9F"/>
    <w:rsid w:val="00BB093C"/>
    <w:rsid w:val="00BC30C9"/>
    <w:rsid w:val="00BD31D0"/>
    <w:rsid w:val="00BE3E58"/>
    <w:rsid w:val="00BF2E07"/>
    <w:rsid w:val="00BF39A3"/>
    <w:rsid w:val="00C01616"/>
    <w:rsid w:val="00C0162B"/>
    <w:rsid w:val="00C345B1"/>
    <w:rsid w:val="00C36D5B"/>
    <w:rsid w:val="00C40142"/>
    <w:rsid w:val="00C57182"/>
    <w:rsid w:val="00C57863"/>
    <w:rsid w:val="00C655FD"/>
    <w:rsid w:val="00C65945"/>
    <w:rsid w:val="00C71FB5"/>
    <w:rsid w:val="00C82771"/>
    <w:rsid w:val="00C85B25"/>
    <w:rsid w:val="00C870A8"/>
    <w:rsid w:val="00C94434"/>
    <w:rsid w:val="00CA0D75"/>
    <w:rsid w:val="00CA1C95"/>
    <w:rsid w:val="00CA5A9C"/>
    <w:rsid w:val="00CD36DB"/>
    <w:rsid w:val="00CD5FE2"/>
    <w:rsid w:val="00CE7C68"/>
    <w:rsid w:val="00CF105C"/>
    <w:rsid w:val="00D02B4C"/>
    <w:rsid w:val="00D040C4"/>
    <w:rsid w:val="00D20AD5"/>
    <w:rsid w:val="00D40FC9"/>
    <w:rsid w:val="00D41DCE"/>
    <w:rsid w:val="00D52C06"/>
    <w:rsid w:val="00D57C84"/>
    <w:rsid w:val="00D6057D"/>
    <w:rsid w:val="00D62E85"/>
    <w:rsid w:val="00D75FE7"/>
    <w:rsid w:val="00D778AD"/>
    <w:rsid w:val="00D77B10"/>
    <w:rsid w:val="00D84576"/>
    <w:rsid w:val="00D87C73"/>
    <w:rsid w:val="00D87E13"/>
    <w:rsid w:val="00D92F08"/>
    <w:rsid w:val="00D945D3"/>
    <w:rsid w:val="00DA1399"/>
    <w:rsid w:val="00DA1789"/>
    <w:rsid w:val="00DA24C6"/>
    <w:rsid w:val="00DA2A08"/>
    <w:rsid w:val="00DA4D7B"/>
    <w:rsid w:val="00DA65A9"/>
    <w:rsid w:val="00DC14CF"/>
    <w:rsid w:val="00DC2623"/>
    <w:rsid w:val="00DC7B24"/>
    <w:rsid w:val="00DD661D"/>
    <w:rsid w:val="00DE264A"/>
    <w:rsid w:val="00DF1A5D"/>
    <w:rsid w:val="00DF417D"/>
    <w:rsid w:val="00E02D18"/>
    <w:rsid w:val="00E041E7"/>
    <w:rsid w:val="00E23C9A"/>
    <w:rsid w:val="00E23CA1"/>
    <w:rsid w:val="00E306CA"/>
    <w:rsid w:val="00E36262"/>
    <w:rsid w:val="00E40418"/>
    <w:rsid w:val="00E409A8"/>
    <w:rsid w:val="00E476DB"/>
    <w:rsid w:val="00E5028E"/>
    <w:rsid w:val="00E50C12"/>
    <w:rsid w:val="00E55156"/>
    <w:rsid w:val="00E61D60"/>
    <w:rsid w:val="00E65B91"/>
    <w:rsid w:val="00E7209D"/>
    <w:rsid w:val="00E768E5"/>
    <w:rsid w:val="00E77223"/>
    <w:rsid w:val="00E80E81"/>
    <w:rsid w:val="00E82939"/>
    <w:rsid w:val="00E8528B"/>
    <w:rsid w:val="00E85B94"/>
    <w:rsid w:val="00E94C79"/>
    <w:rsid w:val="00E978D0"/>
    <w:rsid w:val="00EA4613"/>
    <w:rsid w:val="00EA7F91"/>
    <w:rsid w:val="00EB1523"/>
    <w:rsid w:val="00EB5D35"/>
    <w:rsid w:val="00EC0E49"/>
    <w:rsid w:val="00EC6199"/>
    <w:rsid w:val="00ED6CC8"/>
    <w:rsid w:val="00EE0131"/>
    <w:rsid w:val="00EF2394"/>
    <w:rsid w:val="00F166E7"/>
    <w:rsid w:val="00F30C64"/>
    <w:rsid w:val="00F32CDB"/>
    <w:rsid w:val="00F3628B"/>
    <w:rsid w:val="00F47B42"/>
    <w:rsid w:val="00F63A70"/>
    <w:rsid w:val="00F7085A"/>
    <w:rsid w:val="00F717FF"/>
    <w:rsid w:val="00FA21D0"/>
    <w:rsid w:val="00FA51C7"/>
    <w:rsid w:val="00FA5F5F"/>
    <w:rsid w:val="00FB6532"/>
    <w:rsid w:val="00FB730C"/>
    <w:rsid w:val="00FC2695"/>
    <w:rsid w:val="00FC3E03"/>
    <w:rsid w:val="00FC3FC1"/>
    <w:rsid w:val="00FD6725"/>
    <w:rsid w:val="00FD7C0A"/>
    <w:rsid w:val="00FE480D"/>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C73589"/>
  <w14:defaultImageDpi w14:val="330"/>
  <w15:docId w15:val="{644D529A-A370-4276-8C2C-9FA86E5F7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D87E13"/>
    <w:pPr>
      <w:spacing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D87E13"/>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character" w:customStyle="1" w:styleId="Menzionenonrisolta1">
    <w:name w:val="Menzione non risolta1"/>
    <w:basedOn w:val="Carpredefinitoparagrafo"/>
    <w:uiPriority w:val="99"/>
    <w:semiHidden/>
    <w:unhideWhenUsed/>
    <w:rsid w:val="0039399F"/>
    <w:rPr>
      <w:color w:val="605E5C"/>
      <w:shd w:val="clear" w:color="auto" w:fill="E1DFDD"/>
    </w:rPr>
  </w:style>
  <w:style w:type="paragraph" w:customStyle="1" w:styleId="CETReference-text">
    <w:name w:val="CET Reference-text"/>
    <w:basedOn w:val="Normale"/>
    <w:rsid w:val="009A0582"/>
    <w:pPr>
      <w:tabs>
        <w:tab w:val="clear" w:pos="7100"/>
      </w:tabs>
      <w:ind w:left="284"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dourcollect.eu/" TargetMode="External"/><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15215-EE63-4B3D-B1A1-5C0DDD260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3371</Words>
  <Characters>19221</Characters>
  <Application>Microsoft Office Word</Application>
  <DocSecurity>0</DocSecurity>
  <Lines>160</Lines>
  <Paragraphs>45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22547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raffaella</dc:creator>
  <cp:lastModifiedBy>manuela</cp:lastModifiedBy>
  <cp:revision>2</cp:revision>
  <cp:lastPrinted>2015-05-12T18:31:00Z</cp:lastPrinted>
  <dcterms:created xsi:type="dcterms:W3CDTF">2021-03-30T08:51:00Z</dcterms:created>
  <dcterms:modified xsi:type="dcterms:W3CDTF">2021-03-30T08:51:00Z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