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5A1AA9A" w14:textId="77777777" w:rsidTr="00DE264A">
        <w:trPr>
          <w:trHeight w:val="852"/>
          <w:jc w:val="center"/>
        </w:trPr>
        <w:tc>
          <w:tcPr>
            <w:tcW w:w="6946" w:type="dxa"/>
            <w:vMerge w:val="restart"/>
            <w:tcBorders>
              <w:right w:val="single" w:sz="4" w:space="0" w:color="auto"/>
            </w:tcBorders>
          </w:tcPr>
          <w:p w14:paraId="46FCB2B0"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C3F824D" wp14:editId="7B767D7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675FF708" w14:textId="77777777" w:rsidR="000A03B2" w:rsidRPr="00B57B36" w:rsidRDefault="00A76EFC" w:rsidP="006E08C4">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p>
        </w:tc>
        <w:tc>
          <w:tcPr>
            <w:tcW w:w="1843" w:type="dxa"/>
            <w:tcBorders>
              <w:left w:val="single" w:sz="4" w:space="0" w:color="auto"/>
              <w:bottom w:val="nil"/>
              <w:right w:val="single" w:sz="4" w:space="0" w:color="auto"/>
            </w:tcBorders>
          </w:tcPr>
          <w:p w14:paraId="6794D9BA"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4719D05" w14:textId="77777777" w:rsidR="000A03B2" w:rsidRPr="00B57B36" w:rsidRDefault="000A03B2" w:rsidP="00CD5FE2">
            <w:pPr>
              <w:jc w:val="right"/>
            </w:pPr>
            <w:r w:rsidRPr="00B57B36">
              <w:rPr>
                <w:noProof/>
                <w:lang w:val="it-IT" w:eastAsia="it-IT"/>
              </w:rPr>
              <w:drawing>
                <wp:inline distT="0" distB="0" distL="0" distR="0" wp14:anchorId="0BB73E1B" wp14:editId="0FD65493">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17FAB5A0" w14:textId="77777777" w:rsidTr="00DE264A">
        <w:trPr>
          <w:trHeight w:val="567"/>
          <w:jc w:val="center"/>
        </w:trPr>
        <w:tc>
          <w:tcPr>
            <w:tcW w:w="6946" w:type="dxa"/>
            <w:vMerge/>
            <w:tcBorders>
              <w:right w:val="single" w:sz="4" w:space="0" w:color="auto"/>
            </w:tcBorders>
          </w:tcPr>
          <w:p w14:paraId="461A8AFF"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03532332"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2779DE60"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0954DEF9" w14:textId="77777777"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14:paraId="695324E6" w14:textId="77777777" w:rsidTr="00DE264A">
        <w:trPr>
          <w:trHeight w:val="68"/>
          <w:jc w:val="center"/>
        </w:trPr>
        <w:tc>
          <w:tcPr>
            <w:tcW w:w="8789" w:type="dxa"/>
            <w:gridSpan w:val="2"/>
          </w:tcPr>
          <w:p w14:paraId="08167353" w14:textId="77777777" w:rsidR="00300E56" w:rsidRPr="00620C11" w:rsidRDefault="00300E56" w:rsidP="00EC0E49">
            <w:pPr>
              <w:tabs>
                <w:tab w:val="left" w:pos="-108"/>
              </w:tabs>
              <w:spacing w:line="140" w:lineRule="atLeast"/>
              <w:ind w:left="-108"/>
              <w:jc w:val="left"/>
              <w:rPr>
                <w:rFonts w:ascii="Tahoma" w:hAnsi="Tahoma" w:cs="Tahoma"/>
                <w:iCs/>
                <w:color w:val="333333"/>
                <w:sz w:val="14"/>
                <w:szCs w:val="14"/>
                <w:lang w:val="it-IT" w:eastAsia="it-IT"/>
              </w:rPr>
            </w:pPr>
            <w:r w:rsidRPr="00620C11">
              <w:rPr>
                <w:rFonts w:ascii="Tahoma" w:hAnsi="Tahoma" w:cs="Tahoma"/>
                <w:iCs/>
                <w:color w:val="333333"/>
                <w:sz w:val="14"/>
                <w:szCs w:val="14"/>
                <w:lang w:val="it-IT" w:eastAsia="it-IT"/>
              </w:rPr>
              <w:t>Guest Editors:</w:t>
            </w:r>
            <w:r w:rsidR="00904C62" w:rsidRPr="00620C11">
              <w:rPr>
                <w:rFonts w:ascii="Tahoma" w:hAnsi="Tahoma" w:cs="Tahoma"/>
                <w:iCs/>
                <w:color w:val="333333"/>
                <w:sz w:val="14"/>
                <w:szCs w:val="14"/>
                <w:lang w:val="it-IT" w:eastAsia="it-IT"/>
              </w:rPr>
              <w:t xml:space="preserve"> </w:t>
            </w:r>
            <w:r w:rsidR="00C16B0A">
              <w:rPr>
                <w:rFonts w:ascii="Tahoma" w:hAnsi="Tahoma" w:cs="Tahoma"/>
                <w:bCs/>
                <w:color w:val="0D0D0D" w:themeColor="text1" w:themeTint="F2"/>
                <w:sz w:val="14"/>
                <w:szCs w:val="14"/>
                <w:lang w:val="it-IT"/>
              </w:rPr>
              <w:t>Selena Sironi, Laura Capelli</w:t>
            </w:r>
          </w:p>
          <w:p w14:paraId="6052F378" w14:textId="77777777" w:rsidR="000A03B2" w:rsidRPr="00B57B36" w:rsidRDefault="006E08C4" w:rsidP="006E08C4">
            <w:pPr>
              <w:tabs>
                <w:tab w:val="left" w:pos="-108"/>
              </w:tabs>
              <w:spacing w:line="140" w:lineRule="atLeast"/>
              <w:ind w:left="-108"/>
              <w:jc w:val="left"/>
            </w:pPr>
            <w:r>
              <w:rPr>
                <w:rFonts w:ascii="Tahoma" w:hAnsi="Tahoma" w:cs="Tahoma"/>
                <w:iCs/>
                <w:color w:val="333333"/>
                <w:sz w:val="14"/>
                <w:szCs w:val="14"/>
                <w:lang w:eastAsia="it-IT"/>
              </w:rPr>
              <w:t>Copyright © 2021</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73D70">
              <w:rPr>
                <w:rFonts w:ascii="Tahoma" w:hAnsi="Tahoma" w:cs="Tahoma"/>
                <w:sz w:val="14"/>
                <w:szCs w:val="14"/>
              </w:rPr>
              <w:t>978-88-95608</w:t>
            </w:r>
            <w:r>
              <w:rPr>
                <w:rFonts w:ascii="Tahoma" w:hAnsi="Tahoma" w:cs="Tahoma"/>
                <w:sz w:val="14"/>
                <w:szCs w:val="14"/>
              </w:rPr>
              <w:t>-xx</w:t>
            </w:r>
            <w:r w:rsidR="009A2577" w:rsidRPr="009A2577">
              <w:rPr>
                <w:rFonts w:ascii="Tahoma" w:hAnsi="Tahoma" w:cs="Tahoma"/>
                <w:sz w:val="14"/>
                <w:szCs w:val="14"/>
              </w:rPr>
              <w:t>-</w:t>
            </w:r>
            <w:r>
              <w:rPr>
                <w:rFonts w:ascii="Tahoma" w:hAnsi="Tahoma" w:cs="Tahoma"/>
                <w:sz w:val="14"/>
                <w:szCs w:val="14"/>
              </w:rPr>
              <w:t>x</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35BB7162"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72F990AB" w14:textId="39EF9C71" w:rsidR="00E978D0" w:rsidRPr="00A34CF3" w:rsidRDefault="007F4C0F" w:rsidP="00E978D0">
      <w:pPr>
        <w:pStyle w:val="CETTitle"/>
      </w:pPr>
      <w:bookmarkStart w:id="0" w:name="_GoBack"/>
      <w:r>
        <w:t xml:space="preserve">Real-time monitoring of odour concentration at a landfill fenceline: </w:t>
      </w:r>
      <w:r w:rsidR="001A4CCC">
        <w:t>performance verification in the field</w:t>
      </w:r>
    </w:p>
    <w:bookmarkEnd w:id="0"/>
    <w:p w14:paraId="6B2FE8AE" w14:textId="77777777" w:rsidR="00E978D0" w:rsidRPr="001A4CCC" w:rsidRDefault="00597738" w:rsidP="00AB5011">
      <w:pPr>
        <w:pStyle w:val="CETAuthors"/>
        <w:rPr>
          <w:lang w:val="it-IT"/>
        </w:rPr>
      </w:pPr>
      <w:r w:rsidRPr="001A4CCC">
        <w:rPr>
          <w:lang w:val="it-IT"/>
        </w:rPr>
        <w:t>Carmen Bax</w:t>
      </w:r>
      <w:r w:rsidRPr="001A4CCC">
        <w:rPr>
          <w:vertAlign w:val="superscript"/>
          <w:lang w:val="it-IT"/>
        </w:rPr>
        <w:t>*</w:t>
      </w:r>
      <w:r w:rsidR="00600535" w:rsidRPr="001A4CCC">
        <w:rPr>
          <w:lang w:val="it-IT"/>
        </w:rPr>
        <w:t xml:space="preserve">, </w:t>
      </w:r>
      <w:r w:rsidR="009B36F1" w:rsidRPr="001A4CCC">
        <w:rPr>
          <w:lang w:val="it-IT"/>
        </w:rPr>
        <w:t xml:space="preserve">Beatrice Julia Lotesoriere, </w:t>
      </w:r>
      <w:r w:rsidRPr="001A4CCC">
        <w:rPr>
          <w:lang w:val="it-IT"/>
        </w:rPr>
        <w:t xml:space="preserve">Laura Capelli </w:t>
      </w:r>
    </w:p>
    <w:p w14:paraId="27FE3F18" w14:textId="77777777" w:rsidR="00E978D0" w:rsidRPr="005D726D" w:rsidRDefault="00597738" w:rsidP="00E978D0">
      <w:pPr>
        <w:pStyle w:val="CETAddress"/>
        <w:rPr>
          <w:lang w:val="it-IT"/>
        </w:rPr>
      </w:pPr>
      <w:r w:rsidRPr="005D726D">
        <w:rPr>
          <w:lang w:val="it-IT"/>
        </w:rPr>
        <w:t>Politecnico di Milano, Department of Chemistry, Materials and Chemical engineering “Giulio Natta”, piazza Leonardo da Vinci 32, Milan 20133, Italy;</w:t>
      </w:r>
    </w:p>
    <w:p w14:paraId="5FC73423" w14:textId="17CF26FB" w:rsidR="00E978D0" w:rsidRPr="006B522E" w:rsidRDefault="00B50F70" w:rsidP="00E978D0">
      <w:pPr>
        <w:pStyle w:val="CETemail"/>
        <w:rPr>
          <w:lang w:val="en-US"/>
        </w:rPr>
      </w:pPr>
      <w:hyperlink r:id="rId13" w:history="1">
        <w:r w:rsidR="00597738" w:rsidRPr="006B522E">
          <w:rPr>
            <w:rStyle w:val="Collegamentoipertestuale"/>
            <w:lang w:val="en-US"/>
          </w:rPr>
          <w:t>carmen.bax@polimi.it</w:t>
        </w:r>
      </w:hyperlink>
    </w:p>
    <w:p w14:paraId="78281A4C" w14:textId="47187D27" w:rsidR="00110567" w:rsidRDefault="00110567" w:rsidP="00110567">
      <w:pPr>
        <w:pStyle w:val="CETBodytext"/>
      </w:pPr>
      <w:r>
        <w:rPr>
          <w:rStyle w:val="normaltextrun"/>
          <w:rFonts w:cs="Arial"/>
          <w:szCs w:val="18"/>
        </w:rPr>
        <w:t>An emerging application of</w:t>
      </w:r>
      <w:r w:rsidR="009B44DA">
        <w:rPr>
          <w:rStyle w:val="normaltextrun"/>
          <w:rFonts w:cs="Arial"/>
          <w:szCs w:val="18"/>
        </w:rPr>
        <w:t xml:space="preserve"> </w:t>
      </w:r>
      <w:r w:rsidR="00DB6348">
        <w:rPr>
          <w:rStyle w:val="normaltextrun"/>
          <w:rFonts w:cs="Arial"/>
          <w:szCs w:val="18"/>
        </w:rPr>
        <w:t>electronic noses</w:t>
      </w:r>
      <w:r w:rsidR="009B44DA">
        <w:rPr>
          <w:rStyle w:val="normaltextrun"/>
          <w:rFonts w:cs="Arial"/>
          <w:szCs w:val="18"/>
        </w:rPr>
        <w:t xml:space="preserve"> </w:t>
      </w:r>
      <w:r>
        <w:rPr>
          <w:rStyle w:val="normaltextrun"/>
          <w:rFonts w:cs="Arial"/>
          <w:szCs w:val="18"/>
        </w:rPr>
        <w:t>in the environmental field</w:t>
      </w:r>
      <w:r w:rsidR="009B44DA">
        <w:rPr>
          <w:rStyle w:val="normaltextrun"/>
          <w:rFonts w:cs="Arial"/>
          <w:szCs w:val="18"/>
        </w:rPr>
        <w:t xml:space="preserve"> </w:t>
      </w:r>
      <w:r>
        <w:rPr>
          <w:rStyle w:val="normaltextrun"/>
          <w:rFonts w:cs="Arial"/>
          <w:szCs w:val="18"/>
        </w:rPr>
        <w:t>concerns the real-time</w:t>
      </w:r>
      <w:r w:rsidR="009B44DA">
        <w:rPr>
          <w:rStyle w:val="normaltextrun"/>
          <w:rFonts w:cs="Arial"/>
          <w:szCs w:val="18"/>
        </w:rPr>
        <w:t xml:space="preserve"> measurement</w:t>
      </w:r>
      <w:r>
        <w:rPr>
          <w:rStyle w:val="normaltextrun"/>
          <w:rFonts w:cs="Arial"/>
          <w:szCs w:val="18"/>
        </w:rPr>
        <w:t xml:space="preserve"> of odour concentration at plant</w:t>
      </w:r>
      <w:r w:rsidR="009B44DA">
        <w:rPr>
          <w:rStyle w:val="normaltextrun"/>
          <w:rFonts w:cs="Arial"/>
          <w:szCs w:val="18"/>
        </w:rPr>
        <w:t xml:space="preserve">s </w:t>
      </w:r>
      <w:r>
        <w:rPr>
          <w:rStyle w:val="normaltextrun"/>
          <w:rFonts w:cs="Arial"/>
          <w:szCs w:val="18"/>
        </w:rPr>
        <w:t>fenceline</w:t>
      </w:r>
      <w:r w:rsidR="009B44DA">
        <w:rPr>
          <w:rStyle w:val="normaltextrun"/>
          <w:rFonts w:cs="Arial"/>
          <w:szCs w:val="18"/>
        </w:rPr>
        <w:t>s</w:t>
      </w:r>
      <w:r>
        <w:rPr>
          <w:rStyle w:val="normaltextrun"/>
          <w:rFonts w:cs="Arial"/>
          <w:szCs w:val="18"/>
        </w:rPr>
        <w:t xml:space="preserve">. </w:t>
      </w:r>
      <w:r w:rsidR="00B9769C">
        <w:rPr>
          <w:rStyle w:val="normaltextrun"/>
          <w:rFonts w:cs="Arial"/>
          <w:szCs w:val="18"/>
        </w:rPr>
        <w:t xml:space="preserve">One advantage related to the </w:t>
      </w:r>
      <w:r>
        <w:rPr>
          <w:rStyle w:val="normaltextrun"/>
          <w:rFonts w:cs="Arial"/>
          <w:szCs w:val="18"/>
        </w:rPr>
        <w:t xml:space="preserve">continuous monitoring </w:t>
      </w:r>
      <w:r w:rsidR="00B9769C">
        <w:rPr>
          <w:rStyle w:val="normaltextrun"/>
          <w:rFonts w:cs="Arial"/>
          <w:szCs w:val="18"/>
        </w:rPr>
        <w:t>of</w:t>
      </w:r>
      <w:r>
        <w:rPr>
          <w:rStyle w:val="normaltextrun"/>
          <w:rFonts w:cs="Arial"/>
          <w:szCs w:val="18"/>
        </w:rPr>
        <w:t xml:space="preserve"> odo</w:t>
      </w:r>
      <w:r w:rsidR="00B9769C">
        <w:rPr>
          <w:rStyle w:val="normaltextrun"/>
          <w:rFonts w:cs="Arial"/>
          <w:szCs w:val="18"/>
        </w:rPr>
        <w:t>ur</w:t>
      </w:r>
      <w:r>
        <w:rPr>
          <w:rStyle w:val="normaltextrun"/>
          <w:rFonts w:cs="Arial"/>
          <w:szCs w:val="18"/>
        </w:rPr>
        <w:t xml:space="preserve"> emissions from the plant, </w:t>
      </w:r>
      <w:r w:rsidR="00B9769C">
        <w:rPr>
          <w:rStyle w:val="normaltextrun"/>
          <w:rFonts w:cs="Arial"/>
          <w:szCs w:val="18"/>
        </w:rPr>
        <w:t xml:space="preserve">is that </w:t>
      </w:r>
      <w:r>
        <w:rPr>
          <w:rStyle w:val="normaltextrun"/>
          <w:rFonts w:cs="Arial"/>
          <w:szCs w:val="18"/>
        </w:rPr>
        <w:t xml:space="preserve">the setting of “warning” thresholds for the odour concentration offers </w:t>
      </w:r>
      <w:r w:rsidR="00B9769C">
        <w:rPr>
          <w:rStyle w:val="normaltextrun"/>
          <w:rFonts w:cs="Arial"/>
          <w:szCs w:val="18"/>
        </w:rPr>
        <w:t>useful indications for the plant management</w:t>
      </w:r>
      <w:r w:rsidR="00BC1326">
        <w:rPr>
          <w:rStyle w:val="normaltextrun"/>
          <w:rFonts w:cs="Arial"/>
          <w:szCs w:val="18"/>
        </w:rPr>
        <w:t xml:space="preserve">: </w:t>
      </w:r>
      <w:r>
        <w:rPr>
          <w:rStyle w:val="normaltextrun"/>
          <w:rFonts w:cs="Arial"/>
          <w:szCs w:val="18"/>
        </w:rPr>
        <w:t xml:space="preserve">the real-time </w:t>
      </w:r>
      <w:r w:rsidR="00534D84">
        <w:rPr>
          <w:rStyle w:val="normaltextrun"/>
          <w:rFonts w:cs="Arial"/>
          <w:szCs w:val="18"/>
        </w:rPr>
        <w:t xml:space="preserve">signaling </w:t>
      </w:r>
      <w:r>
        <w:rPr>
          <w:rStyle w:val="normaltextrun"/>
          <w:rFonts w:cs="Arial"/>
          <w:szCs w:val="18"/>
        </w:rPr>
        <w:t xml:space="preserve">of the threshold </w:t>
      </w:r>
      <w:r w:rsidR="00534D84">
        <w:rPr>
          <w:rStyle w:val="normaltextrun"/>
          <w:rFonts w:cs="Arial"/>
          <w:szCs w:val="18"/>
        </w:rPr>
        <w:t>exceedance</w:t>
      </w:r>
      <w:r>
        <w:rPr>
          <w:rStyle w:val="normaltextrun"/>
          <w:rFonts w:cs="Arial"/>
          <w:szCs w:val="18"/>
        </w:rPr>
        <w:t xml:space="preserve"> enables the </w:t>
      </w:r>
      <w:r w:rsidR="00534D84">
        <w:rPr>
          <w:rStyle w:val="normaltextrun"/>
          <w:rFonts w:cs="Arial"/>
          <w:szCs w:val="18"/>
        </w:rPr>
        <w:t>instantaneous</w:t>
      </w:r>
      <w:r>
        <w:rPr>
          <w:rStyle w:val="normaltextrun"/>
          <w:rFonts w:cs="Arial"/>
          <w:szCs w:val="18"/>
        </w:rPr>
        <w:t xml:space="preserve"> identification of plant malfunctions, thereby </w:t>
      </w:r>
      <w:r w:rsidR="00534D84">
        <w:rPr>
          <w:rStyle w:val="normaltextrun"/>
          <w:rFonts w:cs="Arial"/>
          <w:szCs w:val="18"/>
        </w:rPr>
        <w:t xml:space="preserve">allowing rapid intervention and </w:t>
      </w:r>
      <w:r w:rsidR="00DB6348">
        <w:rPr>
          <w:rStyle w:val="normaltextrun"/>
          <w:rFonts w:cs="Arial"/>
          <w:szCs w:val="18"/>
        </w:rPr>
        <w:t xml:space="preserve">thus </w:t>
      </w:r>
      <w:r>
        <w:rPr>
          <w:rStyle w:val="normaltextrun"/>
          <w:rFonts w:cs="Arial"/>
          <w:szCs w:val="18"/>
        </w:rPr>
        <w:t>preventing odour</w:t>
      </w:r>
      <w:r w:rsidR="00534D84">
        <w:rPr>
          <w:rStyle w:val="normaltextrun"/>
          <w:rFonts w:cs="Arial"/>
          <w:szCs w:val="18"/>
        </w:rPr>
        <w:t xml:space="preserve"> </w:t>
      </w:r>
      <w:r>
        <w:rPr>
          <w:rStyle w:val="normaltextrun"/>
          <w:rFonts w:cs="Arial"/>
          <w:szCs w:val="18"/>
        </w:rPr>
        <w:t>events at receptors.</w:t>
      </w:r>
      <w:r w:rsidR="00DB6348">
        <w:rPr>
          <w:rStyle w:val="eop"/>
          <w:rFonts w:cs="Arial"/>
          <w:szCs w:val="18"/>
        </w:rPr>
        <w:t xml:space="preserve"> </w:t>
      </w:r>
      <w:r>
        <w:t>In Italy, t</w:t>
      </w:r>
      <w:r w:rsidRPr="00281EB6">
        <w:t>here is an increasing</w:t>
      </w:r>
      <w:r>
        <w:t xml:space="preserve"> number of</w:t>
      </w:r>
      <w:r w:rsidR="00DB6348">
        <w:t xml:space="preserve"> new and existing</w:t>
      </w:r>
      <w:r>
        <w:t xml:space="preserve"> </w:t>
      </w:r>
      <w:r w:rsidR="00DB6348">
        <w:t xml:space="preserve">plants </w:t>
      </w:r>
      <w:r>
        <w:t xml:space="preserve">for which the IOMS installation at plant fenceline </w:t>
      </w:r>
      <w:r w:rsidRPr="00281EB6">
        <w:t>is prescribed in the permits</w:t>
      </w:r>
      <w:r>
        <w:t xml:space="preserve">. Thus, the need arises to have specific quality programs capable to ensure the reliability of IOMS outcomes. </w:t>
      </w:r>
      <w:r w:rsidR="00BC1326">
        <w:t>In this context, t</w:t>
      </w:r>
      <w:r>
        <w:t xml:space="preserve">his paper </w:t>
      </w:r>
      <w:r w:rsidR="00DB6348">
        <w:t>presents a case study</w:t>
      </w:r>
      <w:r w:rsidR="00BF7264">
        <w:t>,</w:t>
      </w:r>
      <w:r w:rsidR="00DB6348">
        <w:t xml:space="preserve"> in which a</w:t>
      </w:r>
      <w:r>
        <w:t xml:space="preserve"> procedure for the verification of IOMS </w:t>
      </w:r>
      <w:r w:rsidR="00BC1326">
        <w:t xml:space="preserve">quantification </w:t>
      </w:r>
      <w:r>
        <w:t xml:space="preserve">capability </w:t>
      </w:r>
      <w:r w:rsidR="00DB6348">
        <w:t xml:space="preserve">was applied </w:t>
      </w:r>
      <w:r w:rsidR="00BC1326">
        <w:t>in the field</w:t>
      </w:r>
      <w:r>
        <w:t xml:space="preserve">. </w:t>
      </w:r>
    </w:p>
    <w:p w14:paraId="3585D1EB" w14:textId="77777777" w:rsidR="00600535" w:rsidRPr="00B57B36" w:rsidRDefault="00600535" w:rsidP="00600535">
      <w:pPr>
        <w:pStyle w:val="CETHeading1"/>
        <w:rPr>
          <w:lang w:val="en-GB"/>
        </w:rPr>
      </w:pPr>
      <w:r w:rsidRPr="00B57B36">
        <w:rPr>
          <w:lang w:val="en-GB"/>
        </w:rPr>
        <w:t>Introduction</w:t>
      </w:r>
    </w:p>
    <w:p w14:paraId="69D2E508" w14:textId="1B0F94BC" w:rsidR="00A7504C" w:rsidRDefault="00051321" w:rsidP="00483B5D">
      <w:pPr>
        <w:pStyle w:val="CETBodytext"/>
      </w:pPr>
      <w:r>
        <w:t>Nowadays</w:t>
      </w:r>
      <w:r w:rsidR="00DB6348">
        <w:t>,</w:t>
      </w:r>
      <w:r>
        <w:t xml:space="preserve"> e</w:t>
      </w:r>
      <w:r w:rsidR="009E239C">
        <w:t>lectronic noses</w:t>
      </w:r>
      <w:r w:rsidR="00DB6348">
        <w:t xml:space="preserve"> or, more generically, Instrumental Odour Monitoring Systems (IOMS)</w:t>
      </w:r>
      <w:r w:rsidR="00CC0F9B">
        <w:t>,</w:t>
      </w:r>
      <w:r w:rsidR="00691A59">
        <w:t xml:space="preserve"> </w:t>
      </w:r>
      <w:r w:rsidR="00CC0F9B">
        <w:t xml:space="preserve">are increasingly </w:t>
      </w:r>
      <w:r w:rsidR="00DB6348">
        <w:t xml:space="preserve">applied </w:t>
      </w:r>
      <w:r w:rsidR="00F45945">
        <w:t>as air quality monitoring tools</w:t>
      </w:r>
      <w:r w:rsidR="00D431CD">
        <w:t xml:space="preserve"> </w:t>
      </w:r>
      <w:r w:rsidR="007C79D8">
        <w:rPr>
          <w:noProof/>
        </w:rPr>
        <w:t>(Sohn</w:t>
      </w:r>
      <w:r w:rsidR="007C79D8" w:rsidRPr="007C79D8">
        <w:rPr>
          <w:i/>
          <w:noProof/>
        </w:rPr>
        <w:t xml:space="preserve"> et al.</w:t>
      </w:r>
      <w:r w:rsidR="007C79D8">
        <w:rPr>
          <w:noProof/>
        </w:rPr>
        <w:t>, 2008; Pan and Yang, 2009; Laor</w:t>
      </w:r>
      <w:r w:rsidR="007C79D8" w:rsidRPr="007C79D8">
        <w:rPr>
          <w:i/>
          <w:noProof/>
        </w:rPr>
        <w:t xml:space="preserve"> et al.</w:t>
      </w:r>
      <w:r w:rsidR="007C79D8">
        <w:rPr>
          <w:noProof/>
        </w:rPr>
        <w:t>, 2014; Deshmukh</w:t>
      </w:r>
      <w:r w:rsidR="007C79D8" w:rsidRPr="007C79D8">
        <w:rPr>
          <w:i/>
          <w:noProof/>
        </w:rPr>
        <w:t xml:space="preserve"> et al.</w:t>
      </w:r>
      <w:r w:rsidR="007C79D8">
        <w:rPr>
          <w:noProof/>
        </w:rPr>
        <w:t>, 2015; Licen</w:t>
      </w:r>
      <w:r w:rsidR="007C79D8" w:rsidRPr="007C79D8">
        <w:rPr>
          <w:i/>
          <w:noProof/>
        </w:rPr>
        <w:t xml:space="preserve"> et al.</w:t>
      </w:r>
      <w:r w:rsidR="007C79D8">
        <w:rPr>
          <w:noProof/>
        </w:rPr>
        <w:t>, 2018; Bax</w:t>
      </w:r>
      <w:r w:rsidR="007C79D8" w:rsidRPr="007C79D8">
        <w:rPr>
          <w:i/>
          <w:noProof/>
        </w:rPr>
        <w:t xml:space="preserve"> et al.</w:t>
      </w:r>
      <w:r w:rsidR="007C79D8">
        <w:rPr>
          <w:noProof/>
        </w:rPr>
        <w:t>, 2020a; b)</w:t>
      </w:r>
      <w:r w:rsidR="009755E9">
        <w:t>.</w:t>
      </w:r>
      <w:r w:rsidR="004B5EE6">
        <w:t xml:space="preserve"> </w:t>
      </w:r>
      <w:r w:rsidR="00DB6348">
        <w:t>A very common application implies the use of IOMS</w:t>
      </w:r>
      <w:r w:rsidR="00D431CD" w:rsidRPr="00734C6E">
        <w:t xml:space="preserve"> </w:t>
      </w:r>
      <w:r w:rsidR="00F45945">
        <w:t xml:space="preserve">for a direct assessment of the odour impact </w:t>
      </w:r>
      <w:r w:rsidR="00DB6348">
        <w:t>at receptors, i.e. directly where the odour nuisance is lamented</w:t>
      </w:r>
      <w:r w:rsidR="00F45945">
        <w:t>. To do this, the IOMS</w:t>
      </w:r>
      <w:r w:rsidR="00CC0F9B">
        <w:t>,</w:t>
      </w:r>
      <w:r w:rsidR="00F45945">
        <w:t xml:space="preserve"> </w:t>
      </w:r>
      <w:r w:rsidR="002909F3">
        <w:t>installed at the receptor</w:t>
      </w:r>
      <w:r w:rsidR="00CC0F9B">
        <w:t>,</w:t>
      </w:r>
      <w:r w:rsidR="002909F3">
        <w:t xml:space="preserve"> </w:t>
      </w:r>
      <w:r w:rsidR="00D431CD">
        <w:t>provide</w:t>
      </w:r>
      <w:r w:rsidR="002E6351">
        <w:t>s</w:t>
      </w:r>
      <w:r w:rsidR="00D431CD">
        <w:t xml:space="preserve"> </w:t>
      </w:r>
      <w:r w:rsidR="00DB6348">
        <w:t xml:space="preserve">a real-time detection and classification </w:t>
      </w:r>
      <w:r w:rsidR="00CC0F9B">
        <w:t xml:space="preserve">of </w:t>
      </w:r>
      <w:r w:rsidR="00DB6348">
        <w:t>odours in</w:t>
      </w:r>
      <w:r w:rsidR="00D431CD" w:rsidRPr="00734C6E">
        <w:t xml:space="preserve"> ambient air</w:t>
      </w:r>
      <w:r w:rsidR="002909F3">
        <w:t xml:space="preserve">. Then, </w:t>
      </w:r>
      <w:r w:rsidR="003217DC">
        <w:t xml:space="preserve">the odour impact of the plant is usually assessed in terms of the </w:t>
      </w:r>
      <w:r w:rsidR="00D431CD" w:rsidRPr="00734C6E">
        <w:t>frequency of odour</w:t>
      </w:r>
      <w:r w:rsidR="003217DC">
        <w:t xml:space="preserve"> episodes during the monitoring period</w:t>
      </w:r>
      <w:r w:rsidR="00C40AB9">
        <w:t xml:space="preserve"> </w:t>
      </w:r>
      <w:r w:rsidR="007C79D8">
        <w:rPr>
          <w:noProof/>
        </w:rPr>
        <w:t>(Bax</w:t>
      </w:r>
      <w:r w:rsidR="007C79D8" w:rsidRPr="007C79D8">
        <w:rPr>
          <w:i/>
          <w:noProof/>
        </w:rPr>
        <w:t xml:space="preserve"> et al.</w:t>
      </w:r>
      <w:r w:rsidR="007C79D8">
        <w:rPr>
          <w:noProof/>
        </w:rPr>
        <w:t>, 2020a; b)</w:t>
      </w:r>
      <w:r w:rsidR="00D431CD" w:rsidRPr="00734C6E">
        <w:t>.</w:t>
      </w:r>
      <w:r w:rsidR="00D431CD">
        <w:t xml:space="preserve"> </w:t>
      </w:r>
    </w:p>
    <w:p w14:paraId="2E0B0803" w14:textId="35BF330D" w:rsidR="007C4725" w:rsidRDefault="00483B5D" w:rsidP="00483B5D">
      <w:pPr>
        <w:pStyle w:val="CETBodytext"/>
      </w:pPr>
      <w:r>
        <w:rPr>
          <w:rStyle w:val="normaltextrun"/>
          <w:rFonts w:cs="Arial"/>
          <w:szCs w:val="18"/>
        </w:rPr>
        <w:t>An emerging application of IOMS</w:t>
      </w:r>
      <w:r w:rsidR="003217DC">
        <w:rPr>
          <w:rStyle w:val="normaltextrun"/>
          <w:rFonts w:cs="Arial"/>
          <w:szCs w:val="18"/>
        </w:rPr>
        <w:t xml:space="preserve"> </w:t>
      </w:r>
      <w:r>
        <w:rPr>
          <w:rStyle w:val="normaltextrun"/>
          <w:rFonts w:cs="Arial"/>
          <w:szCs w:val="18"/>
        </w:rPr>
        <w:t>in the environmental</w:t>
      </w:r>
      <w:r w:rsidR="003A240C">
        <w:rPr>
          <w:rStyle w:val="normaltextrun"/>
          <w:rFonts w:cs="Arial"/>
          <w:szCs w:val="18"/>
        </w:rPr>
        <w:t xml:space="preserve"> </w:t>
      </w:r>
      <w:r>
        <w:rPr>
          <w:rStyle w:val="normaltextrun"/>
          <w:rFonts w:cs="Arial"/>
          <w:szCs w:val="18"/>
        </w:rPr>
        <w:t>field</w:t>
      </w:r>
      <w:r w:rsidR="003217DC">
        <w:rPr>
          <w:rStyle w:val="normaltextrun"/>
          <w:rFonts w:cs="Arial"/>
          <w:szCs w:val="18"/>
        </w:rPr>
        <w:t xml:space="preserve"> </w:t>
      </w:r>
      <w:r>
        <w:rPr>
          <w:rStyle w:val="normaltextrun"/>
          <w:rFonts w:cs="Arial"/>
          <w:szCs w:val="18"/>
        </w:rPr>
        <w:t>concerns the real-time</w:t>
      </w:r>
      <w:r w:rsidR="003217DC">
        <w:rPr>
          <w:rStyle w:val="normaltextrun"/>
          <w:rFonts w:cs="Arial"/>
          <w:szCs w:val="18"/>
        </w:rPr>
        <w:t xml:space="preserve"> measurement</w:t>
      </w:r>
      <w:r w:rsidR="001923B6">
        <w:rPr>
          <w:rStyle w:val="normaltextrun"/>
          <w:rFonts w:cs="Arial"/>
          <w:szCs w:val="18"/>
        </w:rPr>
        <w:t xml:space="preserve"> of odour concentration</w:t>
      </w:r>
      <w:r w:rsidR="003A240C">
        <w:rPr>
          <w:rStyle w:val="normaltextrun"/>
          <w:rFonts w:cs="Arial"/>
          <w:szCs w:val="18"/>
        </w:rPr>
        <w:t xml:space="preserve"> </w:t>
      </w:r>
      <w:r>
        <w:rPr>
          <w:rStyle w:val="normaltextrun"/>
          <w:rFonts w:cs="Arial"/>
          <w:szCs w:val="18"/>
        </w:rPr>
        <w:t>at</w:t>
      </w:r>
      <w:r w:rsidR="00B7124E">
        <w:rPr>
          <w:rStyle w:val="normaltextrun"/>
          <w:rFonts w:cs="Arial"/>
          <w:szCs w:val="18"/>
        </w:rPr>
        <w:t xml:space="preserve"> the</w:t>
      </w:r>
      <w:r>
        <w:rPr>
          <w:rStyle w:val="normaltextrun"/>
          <w:rFonts w:cs="Arial"/>
          <w:szCs w:val="18"/>
        </w:rPr>
        <w:t xml:space="preserve"> plant</w:t>
      </w:r>
      <w:r w:rsidR="003217DC">
        <w:rPr>
          <w:rStyle w:val="normaltextrun"/>
          <w:rFonts w:cs="Arial"/>
          <w:szCs w:val="18"/>
        </w:rPr>
        <w:t xml:space="preserve"> </w:t>
      </w:r>
      <w:r>
        <w:rPr>
          <w:rStyle w:val="normaltextrun"/>
          <w:rFonts w:cs="Arial"/>
          <w:szCs w:val="18"/>
        </w:rPr>
        <w:t>fenceline</w:t>
      </w:r>
      <w:r w:rsidR="001923B6">
        <w:rPr>
          <w:rStyle w:val="normaltextrun"/>
          <w:rFonts w:cs="Arial"/>
          <w:szCs w:val="18"/>
        </w:rPr>
        <w:t xml:space="preserve">. </w:t>
      </w:r>
      <w:r w:rsidR="003217DC">
        <w:rPr>
          <w:rStyle w:val="normaltextrun"/>
          <w:rFonts w:cs="Arial"/>
          <w:szCs w:val="18"/>
        </w:rPr>
        <w:t>One advantage related to the continuous monitoring of odour emissions from the plant, is that the setting of “warning” thresholds for the odour concentration offers useful indications for the plant management: the real-time signaling of the threshold exceedance enables the instantaneous identification of plant malfunctions, thereby allowing rapid intervention and thus preventing odour events at receptors.</w:t>
      </w:r>
      <w:r w:rsidR="00D20377">
        <w:t xml:space="preserve"> </w:t>
      </w:r>
      <w:r w:rsidR="002E6351">
        <w:t>In Italy, this approach is gaining a</w:t>
      </w:r>
      <w:r w:rsidR="007C4725">
        <w:t>cceptability and</w:t>
      </w:r>
      <w:r w:rsidR="00EF4B3B">
        <w:t xml:space="preserve"> </w:t>
      </w:r>
      <w:r w:rsidR="00EF4B3B" w:rsidRPr="00281EB6">
        <w:t>there is an increasing</w:t>
      </w:r>
      <w:r w:rsidR="00E33C12">
        <w:t xml:space="preserve"> number of</w:t>
      </w:r>
      <w:r w:rsidR="003217DC">
        <w:t xml:space="preserve"> new or exi</w:t>
      </w:r>
      <w:r w:rsidR="0070227E">
        <w:t>s</w:t>
      </w:r>
      <w:r w:rsidR="003217DC">
        <w:t>ting</w:t>
      </w:r>
      <w:r w:rsidR="00E33C12">
        <w:t xml:space="preserve"> </w:t>
      </w:r>
      <w:r w:rsidR="003217DC">
        <w:t xml:space="preserve">plants </w:t>
      </w:r>
      <w:r w:rsidR="00E33C12">
        <w:t>for which</w:t>
      </w:r>
      <w:r w:rsidR="00EF4B3B">
        <w:t xml:space="preserve"> the IOMS installation at plant fenceline </w:t>
      </w:r>
      <w:r w:rsidR="00EF4B3B" w:rsidRPr="00281EB6">
        <w:t xml:space="preserve">is prescribed in the permits </w:t>
      </w:r>
      <w:r w:rsidR="007C79D8">
        <w:rPr>
          <w:noProof/>
        </w:rPr>
        <w:t>(Cangialosi</w:t>
      </w:r>
      <w:r w:rsidR="007C79D8" w:rsidRPr="007C79D8">
        <w:rPr>
          <w:i/>
          <w:noProof/>
        </w:rPr>
        <w:t xml:space="preserve"> et al.</w:t>
      </w:r>
      <w:r w:rsidR="007C79D8">
        <w:rPr>
          <w:noProof/>
        </w:rPr>
        <w:t>, 2018)</w:t>
      </w:r>
      <w:r w:rsidR="00EF4B3B">
        <w:t>.</w:t>
      </w:r>
      <w:r w:rsidR="007C4725">
        <w:t xml:space="preserve"> </w:t>
      </w:r>
    </w:p>
    <w:p w14:paraId="783F1E86" w14:textId="7AAD352D" w:rsidR="00E33C12" w:rsidRDefault="003217DC" w:rsidP="00483B5D">
      <w:pPr>
        <w:pStyle w:val="CETBodytext"/>
      </w:pPr>
      <w:r>
        <w:t>In such cases, the data produced by the IOMS gain a</w:t>
      </w:r>
      <w:r w:rsidR="003E67F7">
        <w:t xml:space="preserve"> legal</w:t>
      </w:r>
      <w:r>
        <w:t xml:space="preserve"> value. For this reason,</w:t>
      </w:r>
      <w:r w:rsidR="003E67F7">
        <w:t xml:space="preserve"> need arises to have specific quality programs capable to ensure the reliability of IOMS outcomes </w:t>
      </w:r>
      <w:r w:rsidR="007C79D8">
        <w:rPr>
          <w:noProof/>
        </w:rPr>
        <w:t>(Bax</w:t>
      </w:r>
      <w:r w:rsidR="007C79D8" w:rsidRPr="007C79D8">
        <w:rPr>
          <w:i/>
          <w:noProof/>
        </w:rPr>
        <w:t xml:space="preserve"> et al.</w:t>
      </w:r>
      <w:r w:rsidR="007C79D8">
        <w:rPr>
          <w:noProof/>
        </w:rPr>
        <w:t>, 2020a)</w:t>
      </w:r>
      <w:r w:rsidR="003E67F7">
        <w:t>.</w:t>
      </w:r>
      <w:r w:rsidR="00A7504C">
        <w:t xml:space="preserve"> </w:t>
      </w:r>
      <w:r w:rsidR="0052117E">
        <w:t>I</w:t>
      </w:r>
      <w:r w:rsidR="00B0646F">
        <w:t xml:space="preserve">n recent years, </w:t>
      </w:r>
      <w:r w:rsidR="00B74F16">
        <w:t xml:space="preserve">a specific working group (WG41) was established within the CEN TC/264 to draft </w:t>
      </w:r>
      <w:r w:rsidR="009D1FAF">
        <w:t>a</w:t>
      </w:r>
      <w:r w:rsidR="00B74F16">
        <w:t xml:space="preserve"> E</w:t>
      </w:r>
      <w:r w:rsidR="00A7504C">
        <w:t xml:space="preserve">uropean </w:t>
      </w:r>
      <w:r w:rsidR="00B74F16">
        <w:t xml:space="preserve">standard related to IOMS, and </w:t>
      </w:r>
      <w:r w:rsidR="00A9766C">
        <w:t xml:space="preserve">a </w:t>
      </w:r>
      <w:r w:rsidR="00B74F16">
        <w:t xml:space="preserve">national technical norm regarding IOMS qualification </w:t>
      </w:r>
      <w:r w:rsidR="00B0646F">
        <w:t>ha</w:t>
      </w:r>
      <w:r w:rsidR="00A9766C">
        <w:t>s</w:t>
      </w:r>
      <w:r w:rsidR="00B0646F">
        <w:t xml:space="preserve"> been</w:t>
      </w:r>
      <w:r w:rsidR="00B74F16">
        <w:t xml:space="preserve"> published</w:t>
      </w:r>
      <w:r>
        <w:t xml:space="preserve"> in Italy</w:t>
      </w:r>
      <w:r w:rsidR="00A9766C">
        <w:t xml:space="preserve"> </w:t>
      </w:r>
      <w:r w:rsidR="007C79D8">
        <w:rPr>
          <w:noProof/>
        </w:rPr>
        <w:t>(Uni11761, 2019)</w:t>
      </w:r>
      <w:r w:rsidR="00B74F16">
        <w:t>.</w:t>
      </w:r>
      <w:r w:rsidR="009D1FAF">
        <w:t xml:space="preserve"> </w:t>
      </w:r>
    </w:p>
    <w:p w14:paraId="2882E6CE" w14:textId="3701C648" w:rsidR="003A0ED9" w:rsidRDefault="009D1FAF" w:rsidP="00483B5D">
      <w:pPr>
        <w:pStyle w:val="CETBodytext"/>
      </w:pPr>
      <w:r>
        <w:t>B</w:t>
      </w:r>
      <w:r w:rsidR="00866896">
        <w:t xml:space="preserve">ecause of the huge variability of IOMS technologies available on the market, </w:t>
      </w:r>
      <w:r>
        <w:t xml:space="preserve">all </w:t>
      </w:r>
      <w:r w:rsidR="00B74F16">
        <w:t>standards</w:t>
      </w:r>
      <w:r>
        <w:t xml:space="preserve"> </w:t>
      </w:r>
      <w:r w:rsidR="00624304">
        <w:t xml:space="preserve">under discussion or </w:t>
      </w:r>
      <w:r w:rsidR="0052117E">
        <w:t>already published</w:t>
      </w:r>
      <w:r>
        <w:t xml:space="preserve"> </w:t>
      </w:r>
      <w:r w:rsidR="00B74F16">
        <w:t>focus on the</w:t>
      </w:r>
      <w:r w:rsidR="0052117E">
        <w:t xml:space="preserve"> verification of IOMS performance claims</w:t>
      </w:r>
      <w:r w:rsidR="0088346F">
        <w:t xml:space="preserve"> (i.e., detection</w:t>
      </w:r>
      <w:r w:rsidR="00B74F16">
        <w:t>,</w:t>
      </w:r>
      <w:r w:rsidR="0088346F">
        <w:t xml:space="preserve"> cla</w:t>
      </w:r>
      <w:r w:rsidR="000F7999">
        <w:t>ssification and quantification)</w:t>
      </w:r>
      <w:r w:rsidR="00B74F16">
        <w:t xml:space="preserve"> rather than on hardware requisites of instruments.</w:t>
      </w:r>
      <w:r w:rsidR="00C35BAB">
        <w:t xml:space="preserve"> According to the same principle, our </w:t>
      </w:r>
      <w:r w:rsidR="003217DC">
        <w:t xml:space="preserve">research </w:t>
      </w:r>
      <w:r w:rsidR="00C35BAB">
        <w:t xml:space="preserve">group </w:t>
      </w:r>
      <w:r w:rsidR="003217DC">
        <w:t xml:space="preserve">has studied and applied </w:t>
      </w:r>
      <w:r w:rsidR="00A9766C">
        <w:t>an experimental protocol</w:t>
      </w:r>
      <w:r w:rsidR="00356F67">
        <w:t xml:space="preserve"> that can be applied in the field</w:t>
      </w:r>
      <w:r w:rsidR="00C35BAB" w:rsidRPr="00C35BAB">
        <w:t xml:space="preserve"> </w:t>
      </w:r>
      <w:r w:rsidR="00A9766C">
        <w:t xml:space="preserve">to </w:t>
      </w:r>
      <w:r w:rsidR="00C35BAB" w:rsidRPr="00C35BAB">
        <w:t xml:space="preserve">verify </w:t>
      </w:r>
      <w:r w:rsidR="00C35BAB">
        <w:t>if</w:t>
      </w:r>
      <w:r w:rsidR="00C35BAB" w:rsidRPr="00C35BAB">
        <w:t xml:space="preserve"> the IOMS is “fit-for-purpose” related to </w:t>
      </w:r>
      <w:r w:rsidR="003217DC">
        <w:t>its capability of odour detection and classification</w:t>
      </w:r>
      <w:r w:rsidR="00C35BAB" w:rsidRPr="00C35BAB">
        <w:t xml:space="preserve">, </w:t>
      </w:r>
      <w:r w:rsidR="003217DC">
        <w:t>which has the advantage of enabling the performance comparison</w:t>
      </w:r>
      <w:r w:rsidR="00C35BAB" w:rsidRPr="00C35BAB">
        <w:t xml:space="preserve"> of different instruments available on the market</w:t>
      </w:r>
      <w:r w:rsidR="00685714">
        <w:t xml:space="preserve"> </w:t>
      </w:r>
      <w:r w:rsidR="007C79D8">
        <w:rPr>
          <w:noProof/>
        </w:rPr>
        <w:t>(Bax</w:t>
      </w:r>
      <w:r w:rsidR="007C79D8" w:rsidRPr="007C79D8">
        <w:rPr>
          <w:i/>
          <w:noProof/>
        </w:rPr>
        <w:t xml:space="preserve"> et al.</w:t>
      </w:r>
      <w:r w:rsidR="007C79D8">
        <w:rPr>
          <w:noProof/>
        </w:rPr>
        <w:t>, 2019; Bax</w:t>
      </w:r>
      <w:r w:rsidR="007C79D8" w:rsidRPr="007C79D8">
        <w:rPr>
          <w:i/>
          <w:noProof/>
        </w:rPr>
        <w:t xml:space="preserve"> et al.</w:t>
      </w:r>
      <w:r w:rsidR="007C79D8">
        <w:rPr>
          <w:noProof/>
        </w:rPr>
        <w:t>, 2020a)</w:t>
      </w:r>
      <w:r w:rsidR="00C35BAB">
        <w:t>.</w:t>
      </w:r>
      <w:r w:rsidR="00A9766C" w:rsidRPr="00A9766C">
        <w:t xml:space="preserve"> </w:t>
      </w:r>
      <w:r w:rsidR="00A9766C">
        <w:t xml:space="preserve">The proposed experimental protocol </w:t>
      </w:r>
      <w:r w:rsidR="004D79B1">
        <w:t xml:space="preserve">foresees the execution of specific field tests at the monitoring </w:t>
      </w:r>
      <w:r w:rsidR="004D79B1">
        <w:lastRenderedPageBreak/>
        <w:t>site after the IOMS training and installation</w:t>
      </w:r>
      <w:r w:rsidR="00B45A5B">
        <w:t>, and the assessment of</w:t>
      </w:r>
      <w:r w:rsidR="00A9766C">
        <w:t xml:space="preserve"> IOMS detection and classification capability </w:t>
      </w:r>
      <w:r w:rsidR="00B14FC8">
        <w:t>in terms of Lower Detection Limit (LDL) and Accuracy Indexes (AI), respectively</w:t>
      </w:r>
      <w:r w:rsidR="005B0EC4">
        <w:t xml:space="preserve"> </w:t>
      </w:r>
      <w:r w:rsidR="007C79D8">
        <w:rPr>
          <w:noProof/>
        </w:rPr>
        <w:t>(Bax</w:t>
      </w:r>
      <w:r w:rsidR="007C79D8" w:rsidRPr="007C79D8">
        <w:rPr>
          <w:i/>
          <w:noProof/>
        </w:rPr>
        <w:t xml:space="preserve"> et al.</w:t>
      </w:r>
      <w:r w:rsidR="007C79D8">
        <w:rPr>
          <w:noProof/>
        </w:rPr>
        <w:t>, 2019; Bax</w:t>
      </w:r>
      <w:r w:rsidR="007C79D8" w:rsidRPr="007C79D8">
        <w:rPr>
          <w:i/>
          <w:noProof/>
        </w:rPr>
        <w:t xml:space="preserve"> et al.</w:t>
      </w:r>
      <w:r w:rsidR="007C79D8">
        <w:rPr>
          <w:noProof/>
        </w:rPr>
        <w:t>, 2020b)</w:t>
      </w:r>
      <w:r w:rsidR="004D79B1">
        <w:t xml:space="preserve">. </w:t>
      </w:r>
    </w:p>
    <w:p w14:paraId="40DD2482" w14:textId="301A6376" w:rsidR="00E25FB0" w:rsidRDefault="008B3BC8" w:rsidP="00483B5D">
      <w:pPr>
        <w:pStyle w:val="CETBodytext"/>
      </w:pPr>
      <w:r>
        <w:t>In this paper, we describe a case study regarding the real-time monitoring of odour concentration at the fenceline of a MSW landfill, in which a specific procedure was applied f</w:t>
      </w:r>
      <w:r w:rsidR="004D79B1">
        <w:t xml:space="preserve">or the verification of </w:t>
      </w:r>
      <w:r>
        <w:t xml:space="preserve">the </w:t>
      </w:r>
      <w:r w:rsidR="004D79B1">
        <w:t>IOMS capability to provide a reliable estimation of the odour concentration</w:t>
      </w:r>
      <w:r w:rsidR="00D31F74">
        <w:t xml:space="preserve"> in the field. This evaluation </w:t>
      </w:r>
      <w:r>
        <w:t xml:space="preserve">involves the comparison of </w:t>
      </w:r>
      <w:r w:rsidR="00047495">
        <w:t xml:space="preserve">the odour concentration </w:t>
      </w:r>
      <w:r>
        <w:t xml:space="preserve">estimated </w:t>
      </w:r>
      <w:r w:rsidR="00047495">
        <w:t xml:space="preserve">by the IOMS with the one measured by the reference method, i.e. dynamic olfactometry </w:t>
      </w:r>
      <w:r w:rsidR="007C79D8">
        <w:rPr>
          <w:noProof/>
        </w:rPr>
        <w:t>(En13725, 2003)</w:t>
      </w:r>
      <w:r w:rsidR="0025428A">
        <w:t xml:space="preserve"> by means of Bland &amp; Altman analysis</w:t>
      </w:r>
      <w:r w:rsidR="00047495">
        <w:t>.</w:t>
      </w:r>
      <w:r w:rsidR="00B0646F">
        <w:t xml:space="preserve"> </w:t>
      </w:r>
    </w:p>
    <w:p w14:paraId="7ECE677D" w14:textId="77777777" w:rsidR="00AC1CC6" w:rsidRPr="00B57B36" w:rsidRDefault="00AC1CC6" w:rsidP="00AC1CC6">
      <w:pPr>
        <w:pStyle w:val="CETHeading1"/>
        <w:rPr>
          <w:lang w:val="en-GB"/>
        </w:rPr>
      </w:pPr>
      <w:r>
        <w:rPr>
          <w:lang w:val="en-GB"/>
        </w:rPr>
        <w:t>Materials and methods</w:t>
      </w:r>
    </w:p>
    <w:p w14:paraId="4F652590" w14:textId="77777777" w:rsidR="00600535" w:rsidRPr="00B57B36" w:rsidRDefault="008B6F24" w:rsidP="00FA5F5F">
      <w:pPr>
        <w:pStyle w:val="CETheadingx"/>
      </w:pPr>
      <w:r>
        <w:t xml:space="preserve">The IOMS used for the study </w:t>
      </w:r>
    </w:p>
    <w:p w14:paraId="765EE897" w14:textId="59EC3A7B" w:rsidR="000E102F" w:rsidRDefault="00844E64" w:rsidP="00844E64">
      <w:pPr>
        <w:pStyle w:val="CETBodytext"/>
      </w:pPr>
      <w:r>
        <w:t>The WT1</w:t>
      </w:r>
      <w:r w:rsidR="00036919">
        <w:t xml:space="preserve"> (</w:t>
      </w:r>
      <w:r w:rsidR="00C86557">
        <w:fldChar w:fldCharType="begin"/>
      </w:r>
      <w:r w:rsidR="00C86557">
        <w:instrText xml:space="preserve"> REF _Ref63248383 \h  \* MERGEFORMAT </w:instrText>
      </w:r>
      <w:r w:rsidR="00C86557">
        <w:fldChar w:fldCharType="separate"/>
      </w:r>
      <w:r w:rsidR="00C26E88" w:rsidRPr="00C26E88">
        <w:t>Figure 1</w:t>
      </w:r>
      <w:r w:rsidR="00C86557">
        <w:fldChar w:fldCharType="end"/>
      </w:r>
      <w:r w:rsidR="00036919">
        <w:t>)</w:t>
      </w:r>
      <w:r>
        <w:t xml:space="preserve"> </w:t>
      </w:r>
      <w:r w:rsidR="00460612">
        <w:t xml:space="preserve">used </w:t>
      </w:r>
      <w:r>
        <w:t xml:space="preserve">for the study is an outdoor </w:t>
      </w:r>
      <w:r w:rsidR="007465F7">
        <w:t>electronic nose</w:t>
      </w:r>
      <w:r>
        <w:t xml:space="preserve"> for </w:t>
      </w:r>
      <w:r w:rsidR="006A12E9">
        <w:t xml:space="preserve">real-time </w:t>
      </w:r>
      <w:r>
        <w:t>monitoring of odours and air pollutants, commercialized by RubiX S&amp;I SAS. It is equipped with six commercial sensors: 4 MOS sensors for odours and 2 electrochemical cells specific for H</w:t>
      </w:r>
      <w:r w:rsidRPr="007465F7">
        <w:rPr>
          <w:vertAlign w:val="subscript"/>
        </w:rPr>
        <w:t>2</w:t>
      </w:r>
      <w:r>
        <w:t>S and NH</w:t>
      </w:r>
      <w:r w:rsidRPr="007465F7">
        <w:rPr>
          <w:vertAlign w:val="subscript"/>
        </w:rPr>
        <w:t>3</w:t>
      </w:r>
      <w:r>
        <w:t>, respectively. This instrument is characterized by a fast response time, and it is capable to supply real</w:t>
      </w:r>
      <w:r w:rsidR="00460612">
        <w:t>-</w:t>
      </w:r>
      <w:r>
        <w:t>time alerts, based on the combination of the sensors outpu</w:t>
      </w:r>
      <w:r w:rsidR="006A12E9">
        <w:t>t</w:t>
      </w:r>
      <w:r w:rsidR="00036919">
        <w:t xml:space="preserve">s. </w:t>
      </w:r>
      <w:r>
        <w:t xml:space="preserve">For this specific case study, the WT1 was </w:t>
      </w:r>
      <w:r w:rsidR="006A12E9">
        <w:t>installed</w:t>
      </w:r>
      <w:r>
        <w:t xml:space="preserve"> at the plant fenceline</w:t>
      </w:r>
      <w:r w:rsidR="000B5E38">
        <w:t>, close to the landfill entrance,</w:t>
      </w:r>
      <w:r>
        <w:t xml:space="preserve"> </w:t>
      </w:r>
      <w:r w:rsidR="00043DCD">
        <w:t xml:space="preserve">along the prevalent wind direction (i.e., from North to South) </w:t>
      </w:r>
      <w:r w:rsidR="007E5499">
        <w:t>to</w:t>
      </w:r>
      <w:r w:rsidR="007465F7">
        <w:t xml:space="preserve"> detect</w:t>
      </w:r>
      <w:r>
        <w:t xml:space="preserve">, </w:t>
      </w:r>
      <w:r w:rsidR="007E5499">
        <w:t>classify</w:t>
      </w:r>
      <w:r w:rsidR="006A12E9">
        <w:t xml:space="preserve"> </w:t>
      </w:r>
      <w:r w:rsidR="007465F7">
        <w:t>and quantify odours from the landfill that might generate odour events at the receptor, located at about 2</w:t>
      </w:r>
      <w:r w:rsidR="00460612">
        <w:t xml:space="preserve"> </w:t>
      </w:r>
      <w:r w:rsidR="007465F7">
        <w:t xml:space="preserve">km south the landfill, where the presence of odour attributable to waste disposal </w:t>
      </w:r>
      <w:r w:rsidR="00460612">
        <w:t>is</w:t>
      </w:r>
      <w:r w:rsidR="007465F7">
        <w:t xml:space="preserve"> lamented</w:t>
      </w:r>
      <w:r w:rsidR="00043DCD">
        <w:t xml:space="preserve"> (</w:t>
      </w:r>
      <w:r w:rsidR="00043DCD">
        <w:fldChar w:fldCharType="begin"/>
      </w:r>
      <w:r w:rsidR="00043DCD">
        <w:instrText xml:space="preserve"> REF _Ref63084741 \h  \* MERGEFORMAT </w:instrText>
      </w:r>
      <w:r w:rsidR="00043DCD">
        <w:fldChar w:fldCharType="separate"/>
      </w:r>
      <w:r w:rsidR="00C26E88" w:rsidRPr="00C26E88">
        <w:t>Figure 2</w:t>
      </w:r>
      <w:r w:rsidR="00043DCD">
        <w:fldChar w:fldCharType="end"/>
      </w:r>
      <w:r w:rsidR="00043DCD">
        <w:t>)</w:t>
      </w:r>
      <w:r w:rsidR="006A12E9">
        <w:t>.</w:t>
      </w:r>
    </w:p>
    <w:p w14:paraId="320DDC8C" w14:textId="77777777" w:rsidR="00043DCD" w:rsidRDefault="00043DCD" w:rsidP="00844E64">
      <w:pPr>
        <w:pStyle w:val="CETBodytext"/>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043DCD" w14:paraId="67E01683" w14:textId="77777777" w:rsidTr="00043DCD">
        <w:tc>
          <w:tcPr>
            <w:tcW w:w="4388" w:type="dxa"/>
            <w:vAlign w:val="center"/>
          </w:tcPr>
          <w:p w14:paraId="58D2ABB8" w14:textId="77777777" w:rsidR="00043DCD" w:rsidRDefault="00043DCD" w:rsidP="00043DCD">
            <w:pPr>
              <w:pStyle w:val="CETBodytext"/>
              <w:keepNext/>
              <w:jc w:val="center"/>
            </w:pPr>
            <w:r>
              <w:rPr>
                <w:noProof/>
                <w:lang w:val="it-IT" w:eastAsia="it-IT"/>
              </w:rPr>
              <w:drawing>
                <wp:inline distT="0" distB="0" distL="0" distR="0" wp14:anchorId="2C7738CF" wp14:editId="74CB39E2">
                  <wp:extent cx="2558517" cy="14325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11-16 at 11.18.59.jpeg"/>
                          <pic:cNvPicPr/>
                        </pic:nvPicPr>
                        <pic:blipFill rotWithShape="1">
                          <a:blip r:embed="rId14">
                            <a:extLst>
                              <a:ext uri="{28A0092B-C50C-407E-A947-70E740481C1C}">
                                <a14:useLocalDpi xmlns:a14="http://schemas.microsoft.com/office/drawing/2010/main" val="0"/>
                              </a:ext>
                            </a:extLst>
                          </a:blip>
                          <a:srcRect t="22840" b="35166"/>
                          <a:stretch/>
                        </pic:blipFill>
                        <pic:spPr bwMode="auto">
                          <a:xfrm>
                            <a:off x="0" y="0"/>
                            <a:ext cx="2565166" cy="1436283"/>
                          </a:xfrm>
                          <a:prstGeom prst="rect">
                            <a:avLst/>
                          </a:prstGeom>
                          <a:ln>
                            <a:noFill/>
                          </a:ln>
                          <a:extLst>
                            <a:ext uri="{53640926-AAD7-44D8-BBD7-CCE9431645EC}">
                              <a14:shadowObscured xmlns:a14="http://schemas.microsoft.com/office/drawing/2010/main"/>
                            </a:ext>
                          </a:extLst>
                        </pic:spPr>
                      </pic:pic>
                    </a:graphicData>
                  </a:graphic>
                </wp:inline>
              </w:drawing>
            </w:r>
          </w:p>
          <w:p w14:paraId="251288EA" w14:textId="349651D8" w:rsidR="00043DCD" w:rsidRPr="00043DCD" w:rsidRDefault="00043DCD" w:rsidP="00043DCD">
            <w:pPr>
              <w:pStyle w:val="Didascalia"/>
              <w:jc w:val="center"/>
            </w:pPr>
            <w:bookmarkStart w:id="1" w:name="_Ref63248383"/>
            <w:r w:rsidRPr="00043DCD">
              <w:rPr>
                <w:b w:val="0"/>
                <w:bCs w:val="0"/>
                <w:i/>
                <w:color w:val="auto"/>
                <w:szCs w:val="20"/>
              </w:rPr>
              <w:t xml:space="preserve">Figure </w:t>
            </w:r>
            <w:r w:rsidRPr="00043DCD">
              <w:rPr>
                <w:b w:val="0"/>
                <w:bCs w:val="0"/>
                <w:i/>
                <w:color w:val="auto"/>
                <w:szCs w:val="20"/>
              </w:rPr>
              <w:fldChar w:fldCharType="begin"/>
            </w:r>
            <w:r w:rsidRPr="00043DCD">
              <w:rPr>
                <w:b w:val="0"/>
                <w:bCs w:val="0"/>
                <w:i/>
                <w:color w:val="auto"/>
                <w:szCs w:val="20"/>
              </w:rPr>
              <w:instrText xml:space="preserve"> SEQ Figure \* ARABIC </w:instrText>
            </w:r>
            <w:r w:rsidRPr="00043DCD">
              <w:rPr>
                <w:b w:val="0"/>
                <w:bCs w:val="0"/>
                <w:i/>
                <w:color w:val="auto"/>
                <w:szCs w:val="20"/>
              </w:rPr>
              <w:fldChar w:fldCharType="separate"/>
            </w:r>
            <w:r w:rsidR="00C26E88">
              <w:rPr>
                <w:b w:val="0"/>
                <w:bCs w:val="0"/>
                <w:i/>
                <w:noProof/>
                <w:color w:val="auto"/>
                <w:szCs w:val="20"/>
              </w:rPr>
              <w:t>1</w:t>
            </w:r>
            <w:r w:rsidRPr="00043DCD">
              <w:rPr>
                <w:b w:val="0"/>
                <w:bCs w:val="0"/>
                <w:i/>
                <w:color w:val="auto"/>
                <w:szCs w:val="20"/>
              </w:rPr>
              <w:fldChar w:fldCharType="end"/>
            </w:r>
            <w:bookmarkEnd w:id="1"/>
            <w:r w:rsidRPr="00043DCD">
              <w:rPr>
                <w:b w:val="0"/>
                <w:bCs w:val="0"/>
                <w:i/>
                <w:color w:val="auto"/>
                <w:szCs w:val="20"/>
              </w:rPr>
              <w:t xml:space="preserve">. RubiX WT1 </w:t>
            </w:r>
            <w:r w:rsidR="00460612">
              <w:rPr>
                <w:b w:val="0"/>
                <w:bCs w:val="0"/>
                <w:i/>
                <w:color w:val="auto"/>
                <w:szCs w:val="20"/>
              </w:rPr>
              <w:t>us</w:t>
            </w:r>
            <w:r w:rsidR="00460612" w:rsidRPr="00043DCD">
              <w:rPr>
                <w:b w:val="0"/>
                <w:bCs w:val="0"/>
                <w:i/>
                <w:color w:val="auto"/>
                <w:szCs w:val="20"/>
              </w:rPr>
              <w:t xml:space="preserve">ed </w:t>
            </w:r>
            <w:r w:rsidRPr="00043DCD">
              <w:rPr>
                <w:b w:val="0"/>
                <w:bCs w:val="0"/>
                <w:i/>
                <w:color w:val="auto"/>
                <w:szCs w:val="20"/>
              </w:rPr>
              <w:t>for the study</w:t>
            </w:r>
          </w:p>
        </w:tc>
        <w:tc>
          <w:tcPr>
            <w:tcW w:w="4389" w:type="dxa"/>
            <w:vAlign w:val="center"/>
          </w:tcPr>
          <w:p w14:paraId="531B2F08" w14:textId="77777777" w:rsidR="00043DCD" w:rsidRPr="00043DCD" w:rsidRDefault="00043DCD" w:rsidP="00043DCD">
            <w:pPr>
              <w:pStyle w:val="CETBodytext"/>
              <w:keepNext/>
              <w:jc w:val="center"/>
              <w:rPr>
                <w:i/>
                <w:lang w:val="en-GB"/>
              </w:rPr>
            </w:pPr>
            <w:r w:rsidRPr="00043DCD">
              <w:rPr>
                <w:i/>
                <w:noProof/>
                <w:lang w:val="it-IT" w:eastAsia="it-IT"/>
              </w:rPr>
              <w:drawing>
                <wp:inline distT="0" distB="0" distL="0" distR="0" wp14:anchorId="33788764" wp14:editId="31EEDD92">
                  <wp:extent cx="2364585" cy="143256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ndfill map.png"/>
                          <pic:cNvPicPr/>
                        </pic:nvPicPr>
                        <pic:blipFill rotWithShape="1">
                          <a:blip r:embed="rId15">
                            <a:extLst>
                              <a:ext uri="{28A0092B-C50C-407E-A947-70E740481C1C}">
                                <a14:useLocalDpi xmlns:a14="http://schemas.microsoft.com/office/drawing/2010/main" val="0"/>
                              </a:ext>
                            </a:extLst>
                          </a:blip>
                          <a:srcRect l="48496" b="74787"/>
                          <a:stretch/>
                        </pic:blipFill>
                        <pic:spPr bwMode="auto">
                          <a:xfrm>
                            <a:off x="0" y="0"/>
                            <a:ext cx="2376872" cy="1440004"/>
                          </a:xfrm>
                          <a:prstGeom prst="rect">
                            <a:avLst/>
                          </a:prstGeom>
                          <a:ln>
                            <a:noFill/>
                          </a:ln>
                          <a:extLst>
                            <a:ext uri="{53640926-AAD7-44D8-BBD7-CCE9431645EC}">
                              <a14:shadowObscured xmlns:a14="http://schemas.microsoft.com/office/drawing/2010/main"/>
                            </a:ext>
                          </a:extLst>
                        </pic:spPr>
                      </pic:pic>
                    </a:graphicData>
                  </a:graphic>
                </wp:inline>
              </w:drawing>
            </w:r>
          </w:p>
          <w:p w14:paraId="54E81E52" w14:textId="4B0B84FC" w:rsidR="00043DCD" w:rsidRPr="00043DCD" w:rsidRDefault="00043DCD" w:rsidP="00043DCD">
            <w:pPr>
              <w:pStyle w:val="Didascalia"/>
              <w:jc w:val="center"/>
              <w:rPr>
                <w:b w:val="0"/>
                <w:bCs w:val="0"/>
                <w:i/>
                <w:color w:val="auto"/>
                <w:szCs w:val="20"/>
              </w:rPr>
            </w:pPr>
            <w:bookmarkStart w:id="2" w:name="_Ref63084741"/>
            <w:r w:rsidRPr="00043DCD">
              <w:rPr>
                <w:b w:val="0"/>
                <w:bCs w:val="0"/>
                <w:i/>
                <w:color w:val="auto"/>
                <w:szCs w:val="20"/>
              </w:rPr>
              <w:t xml:space="preserve">Figure </w:t>
            </w:r>
            <w:r w:rsidRPr="00043DCD">
              <w:rPr>
                <w:b w:val="0"/>
                <w:bCs w:val="0"/>
                <w:i/>
                <w:color w:val="auto"/>
                <w:szCs w:val="20"/>
              </w:rPr>
              <w:fldChar w:fldCharType="begin"/>
            </w:r>
            <w:r w:rsidRPr="00043DCD">
              <w:rPr>
                <w:b w:val="0"/>
                <w:bCs w:val="0"/>
                <w:i/>
                <w:color w:val="auto"/>
                <w:szCs w:val="20"/>
              </w:rPr>
              <w:instrText xml:space="preserve"> SEQ Figure \* ARABIC </w:instrText>
            </w:r>
            <w:r w:rsidRPr="00043DCD">
              <w:rPr>
                <w:b w:val="0"/>
                <w:bCs w:val="0"/>
                <w:i/>
                <w:color w:val="auto"/>
                <w:szCs w:val="20"/>
              </w:rPr>
              <w:fldChar w:fldCharType="separate"/>
            </w:r>
            <w:r w:rsidR="00C26E88">
              <w:rPr>
                <w:b w:val="0"/>
                <w:bCs w:val="0"/>
                <w:i/>
                <w:noProof/>
                <w:color w:val="auto"/>
                <w:szCs w:val="20"/>
              </w:rPr>
              <w:t>2</w:t>
            </w:r>
            <w:r w:rsidRPr="00043DCD">
              <w:rPr>
                <w:b w:val="0"/>
                <w:bCs w:val="0"/>
                <w:i/>
                <w:color w:val="auto"/>
                <w:szCs w:val="20"/>
              </w:rPr>
              <w:fldChar w:fldCharType="end"/>
            </w:r>
            <w:bookmarkEnd w:id="2"/>
            <w:r>
              <w:rPr>
                <w:b w:val="0"/>
                <w:bCs w:val="0"/>
                <w:i/>
                <w:color w:val="auto"/>
                <w:szCs w:val="20"/>
              </w:rPr>
              <w:t xml:space="preserve">. </w:t>
            </w:r>
            <w:r w:rsidR="00D20377">
              <w:rPr>
                <w:b w:val="0"/>
                <w:bCs w:val="0"/>
                <w:i/>
                <w:color w:val="auto"/>
                <w:szCs w:val="20"/>
              </w:rPr>
              <w:t xml:space="preserve">Location of the </w:t>
            </w:r>
            <w:r>
              <w:rPr>
                <w:b w:val="0"/>
                <w:bCs w:val="0"/>
                <w:i/>
                <w:color w:val="auto"/>
                <w:szCs w:val="20"/>
              </w:rPr>
              <w:t>WT1</w:t>
            </w:r>
          </w:p>
        </w:tc>
      </w:tr>
    </w:tbl>
    <w:p w14:paraId="1ACCA0EB" w14:textId="77777777" w:rsidR="0063034E" w:rsidRPr="00B57B36" w:rsidRDefault="0063034E" w:rsidP="0063034E">
      <w:pPr>
        <w:pStyle w:val="CETBodytext"/>
      </w:pPr>
    </w:p>
    <w:p w14:paraId="37461E7B" w14:textId="77777777" w:rsidR="0063034E" w:rsidRDefault="0063034E" w:rsidP="0063034E">
      <w:pPr>
        <w:pStyle w:val="CETheadingx"/>
      </w:pPr>
      <w:r>
        <w:t>IOMS training</w:t>
      </w:r>
    </w:p>
    <w:p w14:paraId="180C16A0" w14:textId="219C62A1" w:rsidR="00A6371A" w:rsidRDefault="006A12E9" w:rsidP="006A12E9">
      <w:pPr>
        <w:pStyle w:val="CETBodytext"/>
      </w:pPr>
      <w:r>
        <w:t xml:space="preserve">The IOMS training consists in the creation of </w:t>
      </w:r>
      <w:r w:rsidR="00F7390D">
        <w:t>a</w:t>
      </w:r>
      <w:r>
        <w:t xml:space="preserve"> reference dataset, which the instrument will </w:t>
      </w:r>
      <w:r w:rsidR="00D20377">
        <w:t>use</w:t>
      </w:r>
      <w:r>
        <w:t xml:space="preserve"> during the monitoring to provide a characterization of the </w:t>
      </w:r>
      <w:r w:rsidR="00D20377">
        <w:t>analysed air</w:t>
      </w:r>
      <w:r w:rsidR="000365D6">
        <w:t>.</w:t>
      </w:r>
      <w:r w:rsidR="00043DCD">
        <w:t xml:space="preserve"> </w:t>
      </w:r>
    </w:p>
    <w:p w14:paraId="22CCA59C" w14:textId="77777777" w:rsidR="000365D6" w:rsidRDefault="00043DCD" w:rsidP="006A12E9">
      <w:pPr>
        <w:pStyle w:val="CETBodytext"/>
      </w:pPr>
      <w:r>
        <w:t xml:space="preserve">The first step of the training phase involved the </w:t>
      </w:r>
      <w:r w:rsidR="00866D9B">
        <w:t>identification</w:t>
      </w:r>
      <w:r>
        <w:t xml:space="preserve"> and the olfactometric characterization of emission sources potentially responsible of the odour presence at receptors</w:t>
      </w:r>
      <w:r w:rsidR="000365D6">
        <w:t>. F</w:t>
      </w:r>
      <w:r w:rsidR="00866D9B" w:rsidRPr="0006178D">
        <w:rPr>
          <w:lang w:val="en-GB"/>
        </w:rPr>
        <w:t>resh waste disposal and pre</w:t>
      </w:r>
      <w:r w:rsidR="00866D9B">
        <w:rPr>
          <w:lang w:val="en-GB"/>
        </w:rPr>
        <w:t>-</w:t>
      </w:r>
      <w:r w:rsidR="00866D9B" w:rsidRPr="0006178D">
        <w:rPr>
          <w:lang w:val="en-GB"/>
        </w:rPr>
        <w:t xml:space="preserve">treatment </w:t>
      </w:r>
      <w:r w:rsidR="00866D9B">
        <w:rPr>
          <w:lang w:val="en-GB"/>
        </w:rPr>
        <w:t>sections</w:t>
      </w:r>
      <w:r w:rsidR="00866D9B" w:rsidRPr="0006178D">
        <w:rPr>
          <w:lang w:val="en-GB"/>
        </w:rPr>
        <w:t xml:space="preserve">, landfill gas </w:t>
      </w:r>
      <w:r w:rsidR="00866D9B">
        <w:rPr>
          <w:lang w:val="en-GB"/>
        </w:rPr>
        <w:t>emitted</w:t>
      </w:r>
      <w:r w:rsidR="00866D9B" w:rsidRPr="0006178D">
        <w:rPr>
          <w:lang w:val="en-GB"/>
        </w:rPr>
        <w:t xml:space="preserve"> from </w:t>
      </w:r>
      <w:r w:rsidR="00866D9B">
        <w:rPr>
          <w:lang w:val="en-GB"/>
        </w:rPr>
        <w:t xml:space="preserve">the </w:t>
      </w:r>
      <w:r w:rsidR="00866D9B" w:rsidRPr="0006178D">
        <w:rPr>
          <w:lang w:val="en-GB"/>
        </w:rPr>
        <w:t>landfill surface</w:t>
      </w:r>
      <w:r w:rsidR="00866D9B">
        <w:rPr>
          <w:lang w:val="en-GB"/>
        </w:rPr>
        <w:t>,</w:t>
      </w:r>
      <w:r w:rsidR="00866D9B" w:rsidRPr="0006178D">
        <w:rPr>
          <w:lang w:val="en-GB"/>
        </w:rPr>
        <w:t xml:space="preserve"> and</w:t>
      </w:r>
      <w:r w:rsidR="00866D9B">
        <w:rPr>
          <w:lang w:val="en-GB"/>
        </w:rPr>
        <w:t xml:space="preserve"> </w:t>
      </w:r>
      <w:r w:rsidR="00866D9B" w:rsidRPr="0006178D">
        <w:rPr>
          <w:lang w:val="en-GB"/>
        </w:rPr>
        <w:t xml:space="preserve">leachate </w:t>
      </w:r>
      <w:r w:rsidR="00866D9B">
        <w:rPr>
          <w:lang w:val="en-GB"/>
        </w:rPr>
        <w:t xml:space="preserve">collection </w:t>
      </w:r>
      <w:r w:rsidR="00866D9B" w:rsidRPr="0006178D">
        <w:rPr>
          <w:lang w:val="en-GB"/>
        </w:rPr>
        <w:t>tanks</w:t>
      </w:r>
      <w:r w:rsidR="000365D6">
        <w:t xml:space="preserve"> were considered to train the WT1 for the specific monitoring.</w:t>
      </w:r>
      <w:r w:rsidR="00A6371A">
        <w:t xml:space="preserve"> Two olfactometric campaigns were carried out on different days</w:t>
      </w:r>
      <w:r w:rsidR="000365D6">
        <w:t>,</w:t>
      </w:r>
      <w:r w:rsidR="00A6371A">
        <w:t xml:space="preserve"> </w:t>
      </w:r>
      <w:r w:rsidR="000365D6">
        <w:t xml:space="preserve">characterized by different meteorological conditions (i.e., sunny and foggy), </w:t>
      </w:r>
      <w:r w:rsidR="00A6371A">
        <w:t xml:space="preserve">with the purpose of including in the training set the intrinsic variability of landfill </w:t>
      </w:r>
      <w:r w:rsidR="000365D6">
        <w:t xml:space="preserve">emission </w:t>
      </w:r>
      <w:r w:rsidR="00A6371A">
        <w:t xml:space="preserve">sources. </w:t>
      </w:r>
    </w:p>
    <w:p w14:paraId="1FFA0EF7" w14:textId="08293E89" w:rsidR="006A12E9" w:rsidRPr="006A12E9" w:rsidRDefault="00F60FE7" w:rsidP="006A12E9">
      <w:pPr>
        <w:pStyle w:val="CETBodytext"/>
      </w:pPr>
      <w:r>
        <w:t>To build the Training Set (TS), based on their odour concentration assessed by dynamic olfactometry (EN13725)</w:t>
      </w:r>
      <w:r w:rsidR="00A6371A">
        <w:t xml:space="preserve">, </w:t>
      </w:r>
      <w:r w:rsidR="000365D6">
        <w:t xml:space="preserve">the </w:t>
      </w:r>
      <w:r w:rsidR="00A6371A">
        <w:t xml:space="preserve">odour samples were presented to the WT1 pure or diluted with odourless ambient air. </w:t>
      </w:r>
      <w:r w:rsidR="00E918E7">
        <w:t>T</w:t>
      </w:r>
      <w:r w:rsidR="00A6371A">
        <w:t>he odour concentration range of training samples should be representative of the concentration level that the WT1 will be exposed in the field.</w:t>
      </w:r>
      <w:r w:rsidR="00820179">
        <w:t xml:space="preserve"> </w:t>
      </w:r>
      <w:r w:rsidR="00F369CA">
        <w:t>Based on this principle, s</w:t>
      </w:r>
      <w:r w:rsidR="00BF7ED7">
        <w:t>amples with an odour concentration ranging from 80 to 8000 ou</w:t>
      </w:r>
      <w:r w:rsidR="00BF7ED7" w:rsidRPr="00BF7ED7">
        <w:rPr>
          <w:vertAlign w:val="subscript"/>
        </w:rPr>
        <w:t>E</w:t>
      </w:r>
      <w:r w:rsidR="00BF7ED7">
        <w:t>/m</w:t>
      </w:r>
      <w:r w:rsidR="00BF7ED7" w:rsidRPr="00BF7ED7">
        <w:rPr>
          <w:vertAlign w:val="superscript"/>
        </w:rPr>
        <w:t>3</w:t>
      </w:r>
      <w:r w:rsidR="00BF7ED7">
        <w:t xml:space="preserve"> were used to train the instrument</w:t>
      </w:r>
      <w:r w:rsidR="00CB2C0C">
        <w:t>, which correspond to odour concentration values that would be expected at a landfill fenceline</w:t>
      </w:r>
      <w:r w:rsidR="00883546">
        <w:t>.</w:t>
      </w:r>
    </w:p>
    <w:p w14:paraId="0A51D564" w14:textId="75532B37" w:rsidR="004766BD" w:rsidRDefault="004766BD" w:rsidP="004766BD">
      <w:bookmarkStart w:id="3" w:name="_Ref52436421"/>
      <w:r w:rsidRPr="004766BD">
        <w:rPr>
          <w:lang w:val="en-US"/>
        </w:rPr>
        <w:t>During the training, also non-odorous ambient air samples</w:t>
      </w:r>
      <w:r w:rsidR="00B3085F">
        <w:rPr>
          <w:lang w:val="en-US"/>
        </w:rPr>
        <w:t>,</w:t>
      </w:r>
      <w:r w:rsidRPr="004766BD">
        <w:rPr>
          <w:lang w:val="en-US"/>
        </w:rPr>
        <w:t xml:space="preserve"> c</w:t>
      </w:r>
      <w:r w:rsidR="00B3085F">
        <w:rPr>
          <w:lang w:val="en-US"/>
        </w:rPr>
        <w:t>ollected at the monitoring site</w:t>
      </w:r>
      <w:r w:rsidRPr="004766BD">
        <w:rPr>
          <w:lang w:val="en-US"/>
        </w:rPr>
        <w:t xml:space="preserve"> when no odour could be perceivable by opera</w:t>
      </w:r>
      <w:r w:rsidR="009315E1">
        <w:rPr>
          <w:lang w:val="en-US"/>
        </w:rPr>
        <w:t xml:space="preserve">tors, </w:t>
      </w:r>
      <w:r w:rsidR="00CB2C0C">
        <w:rPr>
          <w:lang w:val="en-US"/>
        </w:rPr>
        <w:t>w</w:t>
      </w:r>
      <w:r w:rsidR="009315E1">
        <w:rPr>
          <w:lang w:val="en-US"/>
        </w:rPr>
        <w:t>ere analysed</w:t>
      </w:r>
      <w:r w:rsidR="00CB2C0C">
        <w:rPr>
          <w:lang w:val="en-US"/>
        </w:rPr>
        <w:t xml:space="preserve">, to create an olfactory class “Air” as a reference. </w:t>
      </w:r>
      <w:r w:rsidR="00C53825">
        <w:rPr>
          <w:lang w:val="en-US"/>
        </w:rPr>
        <w:t>Thus, the TS included four classes: “Air”, “Fresh Waste”, “Landfill Gas” and “Leachate”.</w:t>
      </w:r>
      <w:r w:rsidR="007C662C">
        <w:rPr>
          <w:lang w:val="en-US"/>
        </w:rPr>
        <w:t xml:space="preserve"> </w:t>
      </w:r>
      <w:r w:rsidR="002F0280">
        <w:t>The PCA score plot</w:t>
      </w:r>
      <w:r w:rsidR="009315E1">
        <w:t xml:space="preserve"> relevant to the WT1 training set</w:t>
      </w:r>
      <w:r w:rsidR="002F0280">
        <w:t xml:space="preserve">, reported in </w:t>
      </w:r>
      <w:r w:rsidR="007B17BA">
        <w:fldChar w:fldCharType="begin"/>
      </w:r>
      <w:r w:rsidR="007B17BA">
        <w:instrText xml:space="preserve"> REF _Ref63085787 \h  \* MERGEFORMAT </w:instrText>
      </w:r>
      <w:r w:rsidR="007B17BA">
        <w:fldChar w:fldCharType="separate"/>
      </w:r>
      <w:r w:rsidR="00C26E88" w:rsidRPr="00C26E88">
        <w:t>Figure 3</w:t>
      </w:r>
      <w:r w:rsidR="007B17BA">
        <w:fldChar w:fldCharType="end"/>
      </w:r>
      <w:r w:rsidR="002F0280">
        <w:t xml:space="preserve">, pointed out the potentialities of the WT1 to differentiate </w:t>
      </w:r>
      <w:r w:rsidR="00C86C62">
        <w:t xml:space="preserve">the different </w:t>
      </w:r>
      <w:r w:rsidR="002F0280">
        <w:t>landfill odour sources: samples representative of different classes cluster in different regions of the plot</w:t>
      </w:r>
      <w:r w:rsidRPr="004766BD">
        <w:t>.</w:t>
      </w:r>
      <w:r w:rsidR="00976E66">
        <w:t xml:space="preserve"> However, some </w:t>
      </w:r>
      <w:r w:rsidR="00C60005">
        <w:t>samples belonging to the “L</w:t>
      </w:r>
      <w:r w:rsidR="00976E66">
        <w:t xml:space="preserve">andfill </w:t>
      </w:r>
      <w:r w:rsidR="00C60005">
        <w:t>G</w:t>
      </w:r>
      <w:r w:rsidR="00976E66">
        <w:t>as</w:t>
      </w:r>
      <w:r w:rsidR="00C60005">
        <w:t>” class, which were</w:t>
      </w:r>
      <w:r w:rsidR="00976E66">
        <w:t xml:space="preserve"> sampled </w:t>
      </w:r>
      <w:r w:rsidR="00FF23E2">
        <w:t>at well</w:t>
      </w:r>
      <w:r w:rsidR="00C86C62">
        <w:t>s</w:t>
      </w:r>
      <w:r w:rsidR="00FF23E2">
        <w:t xml:space="preserve"> collecting </w:t>
      </w:r>
      <w:r w:rsidR="00C86C62">
        <w:t>the landfill gas produced in an area of the landfill still</w:t>
      </w:r>
      <w:r w:rsidR="0081688A">
        <w:t xml:space="preserve"> in cultivation</w:t>
      </w:r>
      <w:r w:rsidR="00C60005">
        <w:t xml:space="preserve">, </w:t>
      </w:r>
      <w:r w:rsidR="00976E66">
        <w:t>fall very close to the “Fresh Waste”</w:t>
      </w:r>
      <w:r w:rsidR="00C60005">
        <w:t xml:space="preserve"> cluster. </w:t>
      </w:r>
      <w:r w:rsidR="0081688A">
        <w:t>Probably</w:t>
      </w:r>
      <w:r w:rsidR="009315E1">
        <w:t>, because the process of waste biological degradation was not over,</w:t>
      </w:r>
      <w:r w:rsidR="0081688A">
        <w:t xml:space="preserve"> their chemical composition and, thus, </w:t>
      </w:r>
      <w:r w:rsidR="009315E1">
        <w:t xml:space="preserve">their odour fingerprint </w:t>
      </w:r>
      <w:r w:rsidR="00C86C62">
        <w:t xml:space="preserve">resulted </w:t>
      </w:r>
      <w:r w:rsidR="0081688A">
        <w:t xml:space="preserve">somewhere in </w:t>
      </w:r>
      <w:r w:rsidR="00C60005">
        <w:t xml:space="preserve">between </w:t>
      </w:r>
      <w:r w:rsidR="00C86C62">
        <w:t>the</w:t>
      </w:r>
      <w:r w:rsidR="00C60005">
        <w:t xml:space="preserve"> </w:t>
      </w:r>
      <w:r w:rsidR="0081688A">
        <w:t xml:space="preserve">fresh waste and </w:t>
      </w:r>
      <w:r w:rsidR="00C86C62">
        <w:t xml:space="preserve">the </w:t>
      </w:r>
      <w:r w:rsidR="0081688A">
        <w:t>landfill</w:t>
      </w:r>
      <w:r w:rsidR="00C86C62">
        <w:t xml:space="preserve"> gas classes</w:t>
      </w:r>
      <w:r w:rsidR="009315E1">
        <w:t>.</w:t>
      </w:r>
    </w:p>
    <w:p w14:paraId="4237861E" w14:textId="3A0196A2" w:rsidR="00C86C62" w:rsidRDefault="00C86C62" w:rsidP="00C86C62">
      <w:r>
        <w:lastRenderedPageBreak/>
        <w:t xml:space="preserve">A </w:t>
      </w:r>
      <w:r w:rsidR="004B532A">
        <w:t>two-</w:t>
      </w:r>
      <w:r>
        <w:t>step decisional model was built on the training data. The proposed model involves as first step a 5-NN classifier to provide a classification of the odours detected at the landfill fenceline</w:t>
      </w:r>
      <w:r w:rsidR="00EF2CAD">
        <w:t>,</w:t>
      </w:r>
      <w:r>
        <w:t xml:space="preserve"> and 3 </w:t>
      </w:r>
      <w:r w:rsidRPr="00550D09">
        <w:t>Partial Least Squares</w:t>
      </w:r>
      <w:r w:rsidR="00EF2CAD">
        <w:t xml:space="preserve"> </w:t>
      </w:r>
      <w:r w:rsidR="00EF2CAD" w:rsidRPr="00550D09">
        <w:t>(PLS)</w:t>
      </w:r>
      <w:r w:rsidRPr="00550D09">
        <w:t xml:space="preserve"> regression </w:t>
      </w:r>
      <w:r>
        <w:t>models</w:t>
      </w:r>
      <w:r w:rsidRPr="00550D09">
        <w:t xml:space="preserve"> </w:t>
      </w:r>
      <w:r>
        <w:t>(</w:t>
      </w:r>
      <w:r w:rsidRPr="00550D09">
        <w:t>i.e.</w:t>
      </w:r>
      <w:r>
        <w:t>,</w:t>
      </w:r>
      <w:r w:rsidRPr="00550D09">
        <w:t xml:space="preserve"> one for each landfill odour class</w:t>
      </w:r>
      <w:r>
        <w:t>) to provide an estimation of the odour concentration. The model was implemented considering the responses of both 4 MOS sensors and specific H</w:t>
      </w:r>
      <w:r w:rsidRPr="007366FF">
        <w:rPr>
          <w:vertAlign w:val="subscript"/>
        </w:rPr>
        <w:t>2</w:t>
      </w:r>
      <w:r>
        <w:t>S and NH</w:t>
      </w:r>
      <w:r w:rsidRPr="007366FF">
        <w:rPr>
          <w:vertAlign w:val="subscript"/>
        </w:rPr>
        <w:t>3</w:t>
      </w:r>
      <w:r>
        <w:t xml:space="preserve"> sensors relevant to the analysis of</w:t>
      </w:r>
      <w:r w:rsidR="00EF2CAD">
        <w:t xml:space="preserve"> the</w:t>
      </w:r>
      <w:r>
        <w:t xml:space="preserve"> training samples.</w:t>
      </w:r>
    </w:p>
    <w:p w14:paraId="00740FE9" w14:textId="77777777" w:rsidR="009D613A" w:rsidRDefault="009D613A" w:rsidP="004766BD"/>
    <w:p w14:paraId="7F93020E" w14:textId="77777777" w:rsidR="007B17BA" w:rsidRDefault="007B17BA" w:rsidP="007B17BA">
      <w:pPr>
        <w:keepNext/>
      </w:pPr>
      <w:r>
        <w:rPr>
          <w:noProof/>
          <w:lang w:val="it-IT" w:eastAsia="it-IT"/>
        </w:rPr>
        <w:drawing>
          <wp:inline distT="0" distB="0" distL="0" distR="0" wp14:anchorId="33B70680" wp14:editId="0F813BE3">
            <wp:extent cx="5530850" cy="2605160"/>
            <wp:effectExtent l="19050" t="19050" r="12700" b="2413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ca landfill.png"/>
                    <pic:cNvPicPr/>
                  </pic:nvPicPr>
                  <pic:blipFill rotWithShape="1">
                    <a:blip r:embed="rId16">
                      <a:extLst>
                        <a:ext uri="{28A0092B-C50C-407E-A947-70E740481C1C}">
                          <a14:useLocalDpi xmlns:a14="http://schemas.microsoft.com/office/drawing/2010/main" val="0"/>
                        </a:ext>
                      </a:extLst>
                    </a:blip>
                    <a:srcRect t="5999"/>
                    <a:stretch/>
                  </pic:blipFill>
                  <pic:spPr bwMode="auto">
                    <a:xfrm>
                      <a:off x="0" y="0"/>
                      <a:ext cx="5593126" cy="263449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5C2DDEE" w14:textId="0E539110" w:rsidR="007B17BA" w:rsidRDefault="007B17BA" w:rsidP="007B17BA">
      <w:pPr>
        <w:pStyle w:val="Didascalia"/>
        <w:rPr>
          <w:b w:val="0"/>
          <w:bCs w:val="0"/>
          <w:i/>
          <w:color w:val="auto"/>
          <w:szCs w:val="20"/>
        </w:rPr>
      </w:pPr>
      <w:bookmarkStart w:id="4" w:name="_Ref63085787"/>
      <w:r w:rsidRPr="007B17BA">
        <w:rPr>
          <w:b w:val="0"/>
          <w:bCs w:val="0"/>
          <w:i/>
          <w:color w:val="auto"/>
          <w:szCs w:val="20"/>
        </w:rPr>
        <w:t xml:space="preserve">Figure </w:t>
      </w:r>
      <w:r w:rsidRPr="007B17BA">
        <w:rPr>
          <w:b w:val="0"/>
          <w:bCs w:val="0"/>
          <w:i/>
          <w:color w:val="auto"/>
          <w:szCs w:val="20"/>
        </w:rPr>
        <w:fldChar w:fldCharType="begin"/>
      </w:r>
      <w:r w:rsidRPr="007B17BA">
        <w:rPr>
          <w:b w:val="0"/>
          <w:bCs w:val="0"/>
          <w:i/>
          <w:color w:val="auto"/>
          <w:szCs w:val="20"/>
        </w:rPr>
        <w:instrText xml:space="preserve"> SEQ Figure \* ARABIC </w:instrText>
      </w:r>
      <w:r w:rsidRPr="007B17BA">
        <w:rPr>
          <w:b w:val="0"/>
          <w:bCs w:val="0"/>
          <w:i/>
          <w:color w:val="auto"/>
          <w:szCs w:val="20"/>
        </w:rPr>
        <w:fldChar w:fldCharType="separate"/>
      </w:r>
      <w:r w:rsidR="00C26E88">
        <w:rPr>
          <w:b w:val="0"/>
          <w:bCs w:val="0"/>
          <w:i/>
          <w:noProof/>
          <w:color w:val="auto"/>
          <w:szCs w:val="20"/>
        </w:rPr>
        <w:t>3</w:t>
      </w:r>
      <w:r w:rsidRPr="007B17BA">
        <w:rPr>
          <w:b w:val="0"/>
          <w:bCs w:val="0"/>
          <w:i/>
          <w:color w:val="auto"/>
          <w:szCs w:val="20"/>
        </w:rPr>
        <w:fldChar w:fldCharType="end"/>
      </w:r>
      <w:bookmarkEnd w:id="4"/>
      <w:r w:rsidRPr="007B17BA">
        <w:rPr>
          <w:b w:val="0"/>
          <w:bCs w:val="0"/>
          <w:i/>
          <w:color w:val="auto"/>
          <w:szCs w:val="20"/>
        </w:rPr>
        <w:t>. PCA score plot relevant to the WT1 training set</w:t>
      </w:r>
    </w:p>
    <w:p w14:paraId="5FC8C8CD" w14:textId="77777777" w:rsidR="002F0280" w:rsidRDefault="002F0280" w:rsidP="002F0280"/>
    <w:bookmarkEnd w:id="3"/>
    <w:p w14:paraId="221199F1" w14:textId="77777777" w:rsidR="0063034E" w:rsidRPr="00CE4166" w:rsidRDefault="00F200D6" w:rsidP="0063034E">
      <w:pPr>
        <w:pStyle w:val="CETheadingx"/>
        <w:rPr>
          <w:lang w:val="en-GB"/>
        </w:rPr>
      </w:pPr>
      <w:r>
        <w:rPr>
          <w:lang w:val="en-GB"/>
        </w:rPr>
        <w:t>T</w:t>
      </w:r>
      <w:r w:rsidR="00CE4166" w:rsidRPr="00CE4166">
        <w:rPr>
          <w:lang w:val="en-GB"/>
        </w:rPr>
        <w:t>esting</w:t>
      </w:r>
      <w:r>
        <w:rPr>
          <w:lang w:val="en-GB"/>
        </w:rPr>
        <w:t xml:space="preserve"> of the IOMS quantification performance</w:t>
      </w:r>
      <w:r w:rsidR="00CE4166" w:rsidRPr="00CE4166">
        <w:rPr>
          <w:lang w:val="en-GB"/>
        </w:rPr>
        <w:t xml:space="preserve"> in t</w:t>
      </w:r>
      <w:r w:rsidR="00CE4166">
        <w:rPr>
          <w:lang w:val="en-GB"/>
        </w:rPr>
        <w:t>he field</w:t>
      </w:r>
    </w:p>
    <w:p w14:paraId="184B6B6D" w14:textId="1B2F8991" w:rsidR="00D82BDE" w:rsidRDefault="008A2C63" w:rsidP="002F0280">
      <w:pPr>
        <w:pStyle w:val="CETBodytext"/>
      </w:pPr>
      <w:r>
        <w:t xml:space="preserve">This paper </w:t>
      </w:r>
      <w:r w:rsidR="00EF2CAD">
        <w:t>describes the application of an experimental</w:t>
      </w:r>
      <w:r>
        <w:t xml:space="preserve"> protocol for the IOMS performance verification in the field, aiming to </w:t>
      </w:r>
      <w:r w:rsidR="00EB6147">
        <w:t>assess</w:t>
      </w:r>
      <w:r>
        <w:t xml:space="preserve"> </w:t>
      </w:r>
      <w:r w:rsidR="00EE5E52">
        <w:t xml:space="preserve">the reliability of </w:t>
      </w:r>
      <w:r w:rsidR="00EF2CAD">
        <w:t xml:space="preserve">the </w:t>
      </w:r>
      <w:r w:rsidR="00E35C13">
        <w:t>odour concentration</w:t>
      </w:r>
      <w:r w:rsidR="00EF2CAD">
        <w:t xml:space="preserve"> values measured by the IOMS</w:t>
      </w:r>
      <w:r w:rsidR="00E35C13">
        <w:t xml:space="preserve"> at </w:t>
      </w:r>
      <w:r w:rsidR="00EF2CAD">
        <w:t xml:space="preserve">the plant </w:t>
      </w:r>
      <w:r w:rsidR="00E35C13">
        <w:t>fenceline</w:t>
      </w:r>
      <w:r w:rsidR="00D82BDE">
        <w:t xml:space="preserve">. </w:t>
      </w:r>
      <w:r w:rsidR="00E35C13">
        <w:t xml:space="preserve">To do this, this paper </w:t>
      </w:r>
      <w:r w:rsidR="00EF2CAD">
        <w:t>describes the</w:t>
      </w:r>
      <w:r w:rsidR="00E35C13">
        <w:t xml:space="preserve"> integration of the</w:t>
      </w:r>
      <w:r w:rsidR="00D82BDE">
        <w:t xml:space="preserve"> </w:t>
      </w:r>
      <w:r w:rsidR="00BF33BA">
        <w:t xml:space="preserve">qualification </w:t>
      </w:r>
      <w:r w:rsidR="00E35C13">
        <w:t xml:space="preserve">protocol </w:t>
      </w:r>
      <w:r w:rsidR="00D82BDE">
        <w:t xml:space="preserve">described in our previous publication </w:t>
      </w:r>
      <w:r w:rsidR="007C79D8">
        <w:rPr>
          <w:noProof/>
        </w:rPr>
        <w:t>(Bax</w:t>
      </w:r>
      <w:r w:rsidR="007C79D8" w:rsidRPr="007C79D8">
        <w:rPr>
          <w:i/>
          <w:noProof/>
        </w:rPr>
        <w:t xml:space="preserve"> et al.</w:t>
      </w:r>
      <w:r w:rsidR="007C79D8">
        <w:rPr>
          <w:noProof/>
        </w:rPr>
        <w:t>, 2020a)</w:t>
      </w:r>
      <w:r w:rsidR="00E35C13">
        <w:t>,</w:t>
      </w:r>
      <w:r w:rsidR="00E35C13" w:rsidRPr="00E35C13">
        <w:t xml:space="preserve"> </w:t>
      </w:r>
      <w:r w:rsidR="00E35C13">
        <w:t xml:space="preserve">concerning the </w:t>
      </w:r>
      <w:r w:rsidR="00D2723C">
        <w:t xml:space="preserve">evaluation </w:t>
      </w:r>
      <w:r w:rsidR="00E35C13">
        <w:t xml:space="preserve">of </w:t>
      </w:r>
      <w:r w:rsidR="00D2723C">
        <w:t xml:space="preserve">the </w:t>
      </w:r>
      <w:r w:rsidR="00E35C13">
        <w:t>IOMS detection and classification capability,</w:t>
      </w:r>
      <w:r w:rsidR="00D82BDE">
        <w:t xml:space="preserve"> with a specific procedure to verify the IOMS capability to quantify odour</w:t>
      </w:r>
      <w:r w:rsidR="00BF33BA">
        <w:t>s</w:t>
      </w:r>
      <w:r>
        <w:t xml:space="preserve">. </w:t>
      </w:r>
    </w:p>
    <w:p w14:paraId="2064E2E8" w14:textId="3A3232E9" w:rsidR="006B7A96" w:rsidRDefault="006B7A96" w:rsidP="006B7A96">
      <w:pPr>
        <w:pStyle w:val="CETBodytext"/>
      </w:pPr>
      <w:r>
        <w:t>Because of the uncertainty associated with the reference method for odour quantification</w:t>
      </w:r>
      <w:r w:rsidR="002B31E4">
        <w:t xml:space="preserve"> (</w:t>
      </w:r>
      <w:r>
        <w:t>i.e., dynamic olfactometry</w:t>
      </w:r>
      <w:r w:rsidR="002B31E4">
        <w:t>)</w:t>
      </w:r>
      <w:r>
        <w:t xml:space="preserve"> t</w:t>
      </w:r>
      <w:r w:rsidR="006E1344">
        <w:t xml:space="preserve">he evaluation of the precision of the IOMS estimation </w:t>
      </w:r>
      <w:r w:rsidR="009E2E76">
        <w:t xml:space="preserve">of the odour concentration is very challenging. In particular, the choice of </w:t>
      </w:r>
      <w:r>
        <w:t>the correct sta</w:t>
      </w:r>
      <w:r w:rsidR="009E2E76">
        <w:t>tistical approach to assess the</w:t>
      </w:r>
      <w:r>
        <w:t xml:space="preserve"> degree of agreement </w:t>
      </w:r>
      <w:r w:rsidR="009E2E76">
        <w:t xml:space="preserve"> between two imprecise measurements </w:t>
      </w:r>
      <w:r>
        <w:t xml:space="preserve">is not obvious </w:t>
      </w:r>
      <w:r w:rsidR="007C79D8">
        <w:rPr>
          <w:noProof/>
        </w:rPr>
        <w:t>(Giavarina, 2015)</w:t>
      </w:r>
      <w:r>
        <w:t xml:space="preserve">. </w:t>
      </w:r>
    </w:p>
    <w:p w14:paraId="59619B7F" w14:textId="2CF45B0F" w:rsidR="006E1344" w:rsidRDefault="006B7A96" w:rsidP="00495A72">
      <w:pPr>
        <w:pStyle w:val="CETBodytext"/>
      </w:pPr>
      <w:r>
        <w:t>Correlation and regression studies are frequently proposed in the scientific literature</w:t>
      </w:r>
      <w:r w:rsidR="00173190">
        <w:t xml:space="preserve"> </w:t>
      </w:r>
      <w:r w:rsidR="007C79D8">
        <w:rPr>
          <w:noProof/>
        </w:rPr>
        <w:t>(Liu</w:t>
      </w:r>
      <w:r w:rsidR="007C79D8" w:rsidRPr="007C79D8">
        <w:rPr>
          <w:i/>
          <w:noProof/>
        </w:rPr>
        <w:t xml:space="preserve"> et al.</w:t>
      </w:r>
      <w:r w:rsidR="007C79D8">
        <w:rPr>
          <w:noProof/>
        </w:rPr>
        <w:t>, 2016)</w:t>
      </w:r>
      <w:r>
        <w:t xml:space="preserve">. However, </w:t>
      </w:r>
      <w:r w:rsidR="003023FD">
        <w:t>those</w:t>
      </w:r>
      <w:r>
        <w:t xml:space="preserve"> techniques are not suitable for the scope, since they study the relationship between one variable and another, by assuming the precision of reference method, and </w:t>
      </w:r>
      <w:r w:rsidR="00D2723C">
        <w:t>this</w:t>
      </w:r>
      <w:r>
        <w:t xml:space="preserve"> is not the case of dynamic olfactometry.</w:t>
      </w:r>
      <w:r w:rsidR="00173190">
        <w:t xml:space="preserve"> </w:t>
      </w:r>
      <w:r w:rsidR="00105071">
        <w:t>Based on these observations</w:t>
      </w:r>
      <w:r w:rsidR="008330FB">
        <w:t xml:space="preserve">, </w:t>
      </w:r>
      <w:r w:rsidR="00105071">
        <w:t>in this paper we tried to apply the Bland-Altman (B&amp;A) analysis for</w:t>
      </w:r>
      <w:r w:rsidR="003023FD">
        <w:t xml:space="preserve"> the evaluation of the agreement between</w:t>
      </w:r>
      <w:r w:rsidR="00105071">
        <w:t xml:space="preserve"> the</w:t>
      </w:r>
      <w:r w:rsidR="003023FD">
        <w:t xml:space="preserve"> IOMS </w:t>
      </w:r>
      <w:r w:rsidR="00105071">
        <w:t>measurements and the odour concentration values determined by dynamic olfactometry</w:t>
      </w:r>
      <w:r w:rsidR="003023FD">
        <w:t xml:space="preserve">. </w:t>
      </w:r>
      <w:r w:rsidR="00FD0EA3">
        <w:t>This</w:t>
      </w:r>
      <w:r w:rsidR="003023FD">
        <w:t xml:space="preserve"> method</w:t>
      </w:r>
      <w:r w:rsidR="00FD0EA3">
        <w:t xml:space="preserve"> has the advantage that it allows to evaluate </w:t>
      </w:r>
      <w:r w:rsidR="003023FD">
        <w:t xml:space="preserve">the agreement between two </w:t>
      </w:r>
      <w:r w:rsidR="008330FB">
        <w:t xml:space="preserve">uncertain </w:t>
      </w:r>
      <w:r w:rsidR="003023FD">
        <w:t>quantitative measurements</w:t>
      </w:r>
      <w:r w:rsidR="008330FB">
        <w:t xml:space="preserve"> </w:t>
      </w:r>
      <w:r w:rsidR="003023FD">
        <w:t xml:space="preserve">by studying the mean difference </w:t>
      </w:r>
      <w:r w:rsidR="00495A72">
        <w:t xml:space="preserve">(i.e., bias) </w:t>
      </w:r>
      <w:r w:rsidR="003023FD">
        <w:t>and constructing limits of agreement</w:t>
      </w:r>
      <w:r w:rsidR="003023FD" w:rsidRPr="003023FD">
        <w:t xml:space="preserve"> </w:t>
      </w:r>
      <w:r w:rsidR="007C79D8">
        <w:rPr>
          <w:noProof/>
        </w:rPr>
        <w:t>(Giavarina, 2015)</w:t>
      </w:r>
      <w:r w:rsidR="003023FD">
        <w:t xml:space="preserve">. </w:t>
      </w:r>
      <w:r w:rsidR="00495A72">
        <w:t xml:space="preserve">It is expected that the 95% limits include 95% of differences between the two measurement methods </w:t>
      </w:r>
      <w:r w:rsidR="007C79D8">
        <w:rPr>
          <w:noProof/>
        </w:rPr>
        <w:t>(Bland and Altman, 1995; Bland and Altman, 1999)</w:t>
      </w:r>
      <w:r w:rsidR="00495A72">
        <w:t xml:space="preserve">. </w:t>
      </w:r>
    </w:p>
    <w:p w14:paraId="10974057" w14:textId="7CE458B1" w:rsidR="00010D52" w:rsidRDefault="00980207" w:rsidP="002F0280">
      <w:pPr>
        <w:pStyle w:val="CETBodytext"/>
        <w:rPr>
          <w:lang w:val="en-GB"/>
        </w:rPr>
      </w:pPr>
      <w:r w:rsidRPr="00980207">
        <w:rPr>
          <w:lang w:val="en-GB"/>
        </w:rPr>
        <w:t>Given n samples</w:t>
      </w:r>
      <w:r>
        <w:rPr>
          <w:lang w:val="en-GB"/>
        </w:rPr>
        <w:t xml:space="preserve">, with n ranging from 1 to i, and naming </w:t>
      </w:r>
      <w:r w:rsidRPr="00980207">
        <w:rPr>
          <w:lang w:val="en-GB"/>
        </w:rPr>
        <w:t>X</w:t>
      </w:r>
      <w:r w:rsidRPr="00980207">
        <w:rPr>
          <w:vertAlign w:val="subscript"/>
          <w:lang w:val="en-GB"/>
        </w:rPr>
        <w:t>1,i</w:t>
      </w:r>
      <w:r w:rsidRPr="00980207">
        <w:rPr>
          <w:lang w:val="en-GB"/>
        </w:rPr>
        <w:t xml:space="preserve"> the odor concentration of the i-th sample obt</w:t>
      </w:r>
      <w:r>
        <w:rPr>
          <w:lang w:val="en-GB"/>
        </w:rPr>
        <w:t xml:space="preserve">ained by dynamic olfactometry, and </w:t>
      </w:r>
      <w:r w:rsidRPr="00980207">
        <w:rPr>
          <w:lang w:val="en-GB"/>
        </w:rPr>
        <w:t>X</w:t>
      </w:r>
      <w:r w:rsidRPr="00980207">
        <w:rPr>
          <w:vertAlign w:val="subscript"/>
          <w:lang w:val="en-GB"/>
        </w:rPr>
        <w:t>2,i</w:t>
      </w:r>
      <w:r w:rsidRPr="00980207">
        <w:rPr>
          <w:lang w:val="en-GB"/>
        </w:rPr>
        <w:t xml:space="preserve"> the odor concentration of the i-th sample obtained </w:t>
      </w:r>
      <w:r>
        <w:rPr>
          <w:lang w:val="en-GB"/>
        </w:rPr>
        <w:t>by IOMS, t</w:t>
      </w:r>
      <w:r>
        <w:t>he procedure to be adopted to perform the B&amp;A analysis foresees t</w:t>
      </w:r>
      <w:r>
        <w:rPr>
          <w:lang w:val="en-GB"/>
        </w:rPr>
        <w:t>he evaluation of t</w:t>
      </w:r>
      <w:r w:rsidRPr="00980207">
        <w:rPr>
          <w:lang w:val="en-GB"/>
        </w:rPr>
        <w:t xml:space="preserve">he arithmetic mean </w:t>
      </w:r>
      <w:r>
        <w:rPr>
          <w:lang w:val="en-GB"/>
        </w:rPr>
        <w:t>and the difference</w:t>
      </w:r>
      <w:r w:rsidRPr="00980207">
        <w:rPr>
          <w:lang w:val="en-GB"/>
        </w:rPr>
        <w:t xml:space="preserve"> of each pair of measu</w:t>
      </w:r>
      <w:r>
        <w:rPr>
          <w:lang w:val="en-GB"/>
        </w:rPr>
        <w:t xml:space="preserve">res for each i-th sample, </w:t>
      </w:r>
      <w:r w:rsidRPr="00980207">
        <w:rPr>
          <w:u w:val="single"/>
          <w:lang w:val="en-GB"/>
        </w:rPr>
        <w:t>X</w:t>
      </w:r>
      <w:r w:rsidRPr="00980207">
        <w:rPr>
          <w:u w:val="single"/>
          <w:vertAlign w:val="subscript"/>
          <w:lang w:val="en-GB"/>
        </w:rPr>
        <w:t>i</w:t>
      </w:r>
      <w:r>
        <w:rPr>
          <w:u w:val="single"/>
          <w:vertAlign w:val="subscript"/>
          <w:lang w:val="en-GB"/>
        </w:rPr>
        <w:t xml:space="preserve"> </w:t>
      </w:r>
      <w:r>
        <w:rPr>
          <w:lang w:val="en-GB"/>
        </w:rPr>
        <w:t>and d</w:t>
      </w:r>
      <w:r w:rsidRPr="00980207">
        <w:rPr>
          <w:vertAlign w:val="subscript"/>
          <w:lang w:val="en-GB"/>
        </w:rPr>
        <w:t>i</w:t>
      </w:r>
      <w:r>
        <w:rPr>
          <w:lang w:val="en-GB"/>
        </w:rPr>
        <w:t xml:space="preserve">, respectively.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8B5365" w14:paraId="018EBA0E" w14:textId="77777777" w:rsidTr="008B5365">
        <w:tc>
          <w:tcPr>
            <w:tcW w:w="4388" w:type="dxa"/>
            <w:vAlign w:val="center"/>
          </w:tcPr>
          <w:p w14:paraId="158BFDFC" w14:textId="77777777" w:rsidR="008B5365" w:rsidRPr="008B5365" w:rsidRDefault="00B50F70" w:rsidP="007B2CC6">
            <w:pPr>
              <w:pStyle w:val="CETEquation"/>
              <w:rPr>
                <w:rFonts w:eastAsiaTheme="minorEastAsia"/>
              </w:rPr>
            </w:pPr>
            <m:oMathPara>
              <m:oMath>
                <m:acc>
                  <m:accPr>
                    <m:chr m:val="̅"/>
                    <m:ctrlPr>
                      <w:rPr>
                        <w:rFonts w:ascii="Cambria Math" w:hAnsi="Cambria Math"/>
                      </w:rPr>
                    </m:ctrlPr>
                  </m:accPr>
                  <m:e>
                    <m:sSub>
                      <m:sSubPr>
                        <m:ctrlPr>
                          <w:rPr>
                            <w:rFonts w:ascii="Cambria Math" w:hAnsi="Cambria Math"/>
                          </w:rPr>
                        </m:ctrlPr>
                      </m:sSubPr>
                      <m:e>
                        <m:r>
                          <w:rPr>
                            <w:rFonts w:ascii="Cambria Math" w:hAnsi="Cambria Math"/>
                          </w:rPr>
                          <m:t>X</m:t>
                        </m:r>
                      </m:e>
                      <m:sub>
                        <m:r>
                          <w:rPr>
                            <w:rFonts w:ascii="Cambria Math" w:hAnsi="Cambria Math"/>
                          </w:rPr>
                          <m:t>i</m:t>
                        </m:r>
                      </m:sub>
                    </m:sSub>
                  </m:e>
                </m:acc>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X</m:t>
                        </m:r>
                        <m:r>
                          <m:rPr>
                            <m:sty m:val="p"/>
                          </m:rPr>
                          <w:rPr>
                            <w:rFonts w:ascii="Cambria Math" w:hAnsi="Cambria Math"/>
                          </w:rPr>
                          <m:t>1</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r>
                          <m:rPr>
                            <m:sty m:val="p"/>
                          </m:rPr>
                          <w:rPr>
                            <w:rFonts w:ascii="Cambria Math" w:hAnsi="Cambria Math"/>
                          </w:rPr>
                          <m:t>2</m:t>
                        </m:r>
                      </m:e>
                      <m:sub>
                        <m:r>
                          <w:rPr>
                            <w:rFonts w:ascii="Cambria Math" w:hAnsi="Cambria Math"/>
                          </w:rPr>
                          <m:t>i</m:t>
                        </m:r>
                      </m:sub>
                    </m:sSub>
                  </m:num>
                  <m:den>
                    <m:r>
                      <m:rPr>
                        <m:sty m:val="p"/>
                      </m:rPr>
                      <w:rPr>
                        <w:rFonts w:ascii="Cambria Math" w:hAnsi="Cambria Math"/>
                      </w:rPr>
                      <m:t>2</m:t>
                    </m:r>
                  </m:den>
                </m:f>
              </m:oMath>
            </m:oMathPara>
          </w:p>
        </w:tc>
        <w:tc>
          <w:tcPr>
            <w:tcW w:w="4389" w:type="dxa"/>
            <w:vAlign w:val="center"/>
          </w:tcPr>
          <w:p w14:paraId="369B5EC0" w14:textId="77777777" w:rsidR="008B5365" w:rsidRPr="008B5365" w:rsidRDefault="00B50F70" w:rsidP="007B2CC6">
            <w:pPr>
              <w:pStyle w:val="CETEquation"/>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i</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X</m:t>
                    </m:r>
                    <m:r>
                      <m:rPr>
                        <m:sty m:val="p"/>
                      </m:rPr>
                      <w:rPr>
                        <w:rFonts w:ascii="Cambria Math" w:eastAsiaTheme="minorEastAsia" w:hAnsi="Cambria Math"/>
                      </w:rPr>
                      <m:t>1</m:t>
                    </m:r>
                  </m:e>
                  <m:sub>
                    <m:r>
                      <w:rPr>
                        <w:rFonts w:ascii="Cambria Math" w:eastAsiaTheme="minorEastAsia" w:hAnsi="Cambria Math"/>
                      </w:rPr>
                      <m:t>i</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X</m:t>
                    </m:r>
                    <m:r>
                      <m:rPr>
                        <m:sty m:val="p"/>
                      </m:rPr>
                      <w:rPr>
                        <w:rFonts w:ascii="Cambria Math" w:eastAsiaTheme="minorEastAsia" w:hAnsi="Cambria Math"/>
                      </w:rPr>
                      <m:t>2</m:t>
                    </m:r>
                  </m:e>
                  <m:sub>
                    <m:r>
                      <w:rPr>
                        <w:rFonts w:ascii="Cambria Math" w:eastAsiaTheme="minorEastAsia" w:hAnsi="Cambria Math"/>
                      </w:rPr>
                      <m:t>i</m:t>
                    </m:r>
                  </m:sub>
                </m:sSub>
              </m:oMath>
            </m:oMathPara>
          </w:p>
        </w:tc>
      </w:tr>
    </w:tbl>
    <w:p w14:paraId="5B845771" w14:textId="55BB2074" w:rsidR="00980207" w:rsidRDefault="00980207" w:rsidP="00980207">
      <w:pPr>
        <w:rPr>
          <w:rFonts w:eastAsiaTheme="minorEastAsia"/>
          <w:color w:val="000000" w:themeColor="text1"/>
        </w:rPr>
      </w:pPr>
      <w:r>
        <w:rPr>
          <w:rFonts w:eastAsiaTheme="minorEastAsia"/>
          <w:color w:val="000000" w:themeColor="text1"/>
        </w:rPr>
        <w:t>Then, the limits of agreeme</w:t>
      </w:r>
      <w:r w:rsidR="00F86245">
        <w:rPr>
          <w:rFonts w:eastAsiaTheme="minorEastAsia"/>
          <w:color w:val="000000" w:themeColor="text1"/>
        </w:rPr>
        <w:t>n</w:t>
      </w:r>
      <w:r>
        <w:rPr>
          <w:rFonts w:eastAsiaTheme="minorEastAsia"/>
          <w:color w:val="000000" w:themeColor="text1"/>
        </w:rPr>
        <w:t>t are calculated as follows</w:t>
      </w:r>
      <w:r w:rsidR="00B530A8">
        <w:rPr>
          <w:rFonts w:eastAsiaTheme="minorEastAsia"/>
          <w:color w:val="000000" w:themeColor="text1"/>
        </w:rPr>
        <w:t xml:space="preserve">, where </w:t>
      </w:r>
      <m:oMath>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d</m:t>
            </m:r>
          </m:e>
        </m:acc>
      </m:oMath>
      <w:r w:rsidR="00B530A8">
        <w:rPr>
          <w:rFonts w:eastAsiaTheme="minorEastAsia"/>
          <w:color w:val="000000" w:themeColor="text1"/>
        </w:rPr>
        <w:t xml:space="preserve"> and </w:t>
      </w:r>
      <m:oMath>
        <m:r>
          <w:rPr>
            <w:rFonts w:ascii="Cambria Math" w:eastAsiaTheme="minorEastAsia" w:hAnsi="Cambria Math"/>
            <w:color w:val="000000" w:themeColor="text1"/>
          </w:rPr>
          <m:t>s</m:t>
        </m:r>
      </m:oMath>
      <w:r w:rsidR="00B530A8">
        <w:rPr>
          <w:rFonts w:eastAsiaTheme="minorEastAsia"/>
          <w:color w:val="000000" w:themeColor="text1"/>
        </w:rPr>
        <w:t xml:space="preserve"> represents the arithmetic mean of differences previously evaluated and their standard deviation</w:t>
      </w:r>
      <w:r w:rsidR="008C2E4A">
        <w:rPr>
          <w:rFonts w:eastAsiaTheme="minorEastAsia"/>
          <w:color w:val="000000" w:themeColor="text1"/>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857393" w14:paraId="02B99D71" w14:textId="77777777" w:rsidTr="00693E70">
        <w:tc>
          <w:tcPr>
            <w:tcW w:w="4388" w:type="dxa"/>
            <w:vAlign w:val="center"/>
          </w:tcPr>
          <w:p w14:paraId="7F1B7845" w14:textId="77777777" w:rsidR="00857393" w:rsidRDefault="00B50F70" w:rsidP="007B2CC6">
            <w:pPr>
              <w:pStyle w:val="CETEquation"/>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LoA</m:t>
                    </m:r>
                  </m:e>
                  <m:sub>
                    <m:r>
                      <w:rPr>
                        <w:rFonts w:ascii="Cambria Math" w:eastAsiaTheme="minorEastAsia" w:hAnsi="Cambria Math"/>
                      </w:rPr>
                      <m:t>U</m:t>
                    </m:r>
                  </m:sub>
                </m:sSub>
                <m:r>
                  <m:rPr>
                    <m:sty m:val="p"/>
                  </m:rPr>
                  <w:rPr>
                    <w:rFonts w:ascii="Cambria Math" w:eastAsiaTheme="minorEastAsia" w:hAnsi="Cambria Math"/>
                  </w:rPr>
                  <m:t>=</m:t>
                </m:r>
                <m:acc>
                  <m:accPr>
                    <m:chr m:val="̅"/>
                    <m:ctrlPr>
                      <w:rPr>
                        <w:rFonts w:ascii="Cambria Math" w:eastAsiaTheme="minorEastAsia" w:hAnsi="Cambria Math"/>
                      </w:rPr>
                    </m:ctrlPr>
                  </m:accPr>
                  <m:e>
                    <m:r>
                      <w:rPr>
                        <w:rFonts w:ascii="Cambria Math" w:eastAsiaTheme="minorEastAsia" w:hAnsi="Cambria Math"/>
                      </w:rPr>
                      <m:t>d</m:t>
                    </m:r>
                  </m:e>
                </m:acc>
                <m:r>
                  <m:rPr>
                    <m:sty m:val="p"/>
                  </m:rPr>
                  <w:rPr>
                    <w:rFonts w:ascii="Cambria Math" w:eastAsiaTheme="minorEastAsia" w:hAnsi="Cambria Math"/>
                  </w:rPr>
                  <m:t>+1.96*</m:t>
                </m:r>
                <m:r>
                  <w:rPr>
                    <w:rFonts w:ascii="Cambria Math" w:eastAsiaTheme="minorEastAsia" w:hAnsi="Cambria Math"/>
                  </w:rPr>
                  <m:t>s</m:t>
                </m:r>
              </m:oMath>
            </m:oMathPara>
          </w:p>
        </w:tc>
        <w:tc>
          <w:tcPr>
            <w:tcW w:w="4389" w:type="dxa"/>
            <w:vAlign w:val="center"/>
          </w:tcPr>
          <w:p w14:paraId="5BE1DBC9" w14:textId="77777777" w:rsidR="00857393" w:rsidRDefault="00B50F70" w:rsidP="007B2CC6">
            <w:pPr>
              <w:pStyle w:val="CETEquation"/>
              <w:rPr>
                <w:rFonts w:eastAsiaTheme="minorEastAsia"/>
              </w:rPr>
            </w:pPr>
            <m:oMathPara>
              <m:oMath>
                <m:acc>
                  <m:accPr>
                    <m:chr m:val="̅"/>
                    <m:ctrlPr>
                      <w:rPr>
                        <w:rFonts w:ascii="Cambria Math" w:eastAsiaTheme="minorEastAsia" w:hAnsi="Cambria Math"/>
                      </w:rPr>
                    </m:ctrlPr>
                  </m:accPr>
                  <m:e>
                    <m:r>
                      <w:rPr>
                        <w:rFonts w:ascii="Cambria Math" w:eastAsiaTheme="minorEastAsia" w:hAnsi="Cambria Math"/>
                      </w:rPr>
                      <m:t>d</m:t>
                    </m:r>
                  </m:e>
                </m:acc>
                <m:r>
                  <m:rPr>
                    <m:sty m:val="p"/>
                  </m:rPr>
                  <w:rPr>
                    <w:rFonts w:ascii="Cambria Math" w:eastAsiaTheme="minorEastAsia" w:hAnsi="Cambria Math"/>
                  </w:rPr>
                  <m:t xml:space="preserve">= </m:t>
                </m:r>
                <m:f>
                  <m:fPr>
                    <m:ctrlPr>
                      <w:rPr>
                        <w:rFonts w:ascii="Cambria Math" w:eastAsiaTheme="minorEastAsia" w:hAnsi="Cambria Math"/>
                      </w:rPr>
                    </m:ctrlPr>
                  </m:fPr>
                  <m:num>
                    <m:nary>
                      <m:naryPr>
                        <m:chr m:val="∑"/>
                        <m:limLoc m:val="undOvr"/>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=1</m:t>
                        </m:r>
                      </m:sub>
                      <m:sup>
                        <m:r>
                          <w:rPr>
                            <w:rFonts w:ascii="Cambria Math" w:eastAsiaTheme="minorEastAsia" w:hAnsi="Cambria Math"/>
                          </w:rPr>
                          <m:t>n</m:t>
                        </m:r>
                      </m:sup>
                      <m:e>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i</m:t>
                            </m:r>
                          </m:sub>
                        </m:sSub>
                      </m:e>
                    </m:nary>
                  </m:num>
                  <m:den>
                    <m:r>
                      <w:rPr>
                        <w:rFonts w:ascii="Cambria Math" w:eastAsiaTheme="minorEastAsia" w:hAnsi="Cambria Math"/>
                      </w:rPr>
                      <m:t>n</m:t>
                    </m:r>
                  </m:den>
                </m:f>
              </m:oMath>
            </m:oMathPara>
          </w:p>
        </w:tc>
      </w:tr>
      <w:tr w:rsidR="00857393" w14:paraId="561F144C" w14:textId="77777777" w:rsidTr="00693E70">
        <w:tc>
          <w:tcPr>
            <w:tcW w:w="4388" w:type="dxa"/>
            <w:vAlign w:val="center"/>
          </w:tcPr>
          <w:p w14:paraId="25D9AF5A" w14:textId="77777777" w:rsidR="00857393" w:rsidRDefault="00B50F70" w:rsidP="007B2CC6">
            <w:pPr>
              <w:pStyle w:val="CETEquation"/>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LoA</m:t>
                    </m:r>
                  </m:e>
                  <m:sub>
                    <m:r>
                      <w:rPr>
                        <w:rFonts w:ascii="Cambria Math" w:eastAsiaTheme="minorEastAsia" w:hAnsi="Cambria Math"/>
                      </w:rPr>
                      <m:t>I</m:t>
                    </m:r>
                  </m:sub>
                </m:sSub>
                <m:r>
                  <m:rPr>
                    <m:sty m:val="p"/>
                  </m:rPr>
                  <w:rPr>
                    <w:rFonts w:ascii="Cambria Math" w:eastAsiaTheme="minorEastAsia" w:hAnsi="Cambria Math"/>
                  </w:rPr>
                  <m:t>=</m:t>
                </m:r>
                <m:acc>
                  <m:accPr>
                    <m:chr m:val="̅"/>
                    <m:ctrlPr>
                      <w:rPr>
                        <w:rFonts w:ascii="Cambria Math" w:eastAsiaTheme="minorEastAsia" w:hAnsi="Cambria Math"/>
                      </w:rPr>
                    </m:ctrlPr>
                  </m:accPr>
                  <m:e>
                    <m:r>
                      <w:rPr>
                        <w:rFonts w:ascii="Cambria Math" w:eastAsiaTheme="minorEastAsia" w:hAnsi="Cambria Math"/>
                      </w:rPr>
                      <m:t>d</m:t>
                    </m:r>
                  </m:e>
                </m:acc>
                <m:r>
                  <m:rPr>
                    <m:sty m:val="p"/>
                  </m:rPr>
                  <w:rPr>
                    <w:rFonts w:ascii="Cambria Math" w:eastAsiaTheme="minorEastAsia" w:hAnsi="Cambria Math"/>
                  </w:rPr>
                  <m:t>-1.96*</m:t>
                </m:r>
                <m:r>
                  <w:rPr>
                    <w:rFonts w:ascii="Cambria Math" w:eastAsiaTheme="minorEastAsia" w:hAnsi="Cambria Math"/>
                  </w:rPr>
                  <m:t>s</m:t>
                </m:r>
              </m:oMath>
            </m:oMathPara>
          </w:p>
        </w:tc>
        <w:tc>
          <w:tcPr>
            <w:tcW w:w="4389" w:type="dxa"/>
            <w:vAlign w:val="center"/>
          </w:tcPr>
          <w:p w14:paraId="2B28C520" w14:textId="77777777" w:rsidR="00857393" w:rsidRDefault="00857393" w:rsidP="007B2CC6">
            <w:pPr>
              <w:pStyle w:val="CETEquation"/>
              <w:rPr>
                <w:rFonts w:eastAsiaTheme="minorEastAsia"/>
              </w:rPr>
            </w:pPr>
            <m:oMathPara>
              <m:oMath>
                <m:r>
                  <w:rPr>
                    <w:rFonts w:ascii="Cambria Math" w:hAnsi="Cambria Math"/>
                  </w:rPr>
                  <m:t>s</m:t>
                </m:r>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d</m:t>
                                        </m:r>
                                      </m:e>
                                    </m:acc>
                                  </m:e>
                                </m:d>
                              </m:e>
                              <m:sup>
                                <m:r>
                                  <m:rPr>
                                    <m:sty m:val="p"/>
                                  </m:rPr>
                                  <w:rPr>
                                    <w:rFonts w:ascii="Cambria Math" w:hAnsi="Cambria Math"/>
                                  </w:rPr>
                                  <m:t>2</m:t>
                                </m:r>
                              </m:sup>
                            </m:sSup>
                          </m:e>
                        </m:nary>
                      </m:e>
                    </m:rad>
                  </m:num>
                  <m:den>
                    <m:r>
                      <w:rPr>
                        <w:rFonts w:ascii="Cambria Math" w:hAnsi="Cambria Math"/>
                      </w:rPr>
                      <m:t>n</m:t>
                    </m:r>
                    <m:r>
                      <m:rPr>
                        <m:sty m:val="p"/>
                      </m:rPr>
                      <w:rPr>
                        <w:rFonts w:ascii="Cambria Math" w:hAnsi="Cambria Math"/>
                      </w:rPr>
                      <m:t>-1</m:t>
                    </m:r>
                  </m:den>
                </m:f>
              </m:oMath>
            </m:oMathPara>
          </w:p>
        </w:tc>
      </w:tr>
    </w:tbl>
    <w:p w14:paraId="015A7FE1" w14:textId="523B1A7C" w:rsidR="00693E70" w:rsidRDefault="002D39D6" w:rsidP="00693E70">
      <w:pPr>
        <w:rPr>
          <w:rFonts w:eastAsiaTheme="minorEastAsia"/>
          <w:color w:val="000000" w:themeColor="text1"/>
        </w:rPr>
      </w:pPr>
      <w:r>
        <w:rPr>
          <w:rFonts w:eastAsiaTheme="minorEastAsia"/>
          <w:color w:val="000000" w:themeColor="text1"/>
        </w:rPr>
        <w:t>Finally, for each limit of agreement</w:t>
      </w:r>
      <w:r w:rsidR="008C2E4A">
        <w:rPr>
          <w:rFonts w:eastAsiaTheme="minorEastAsia"/>
          <w:color w:val="000000" w:themeColor="text1"/>
        </w:rPr>
        <w:t>, a confidence interval (</w:t>
      </w:r>
      <w:r w:rsidRPr="002D39D6">
        <w:rPr>
          <w:rFonts w:eastAsiaTheme="minorEastAsia"/>
          <w:color w:val="000000" w:themeColor="text1"/>
        </w:rPr>
        <w:t>CI</w:t>
      </w:r>
      <w:r w:rsidR="008C2E4A">
        <w:rPr>
          <w:rFonts w:eastAsiaTheme="minorEastAsia"/>
          <w:color w:val="000000" w:themeColor="text1"/>
        </w:rPr>
        <w:t>)</w:t>
      </w:r>
      <w:r w:rsidRPr="002D39D6">
        <w:rPr>
          <w:rFonts w:eastAsiaTheme="minorEastAsia"/>
          <w:color w:val="000000" w:themeColor="text1"/>
        </w:rPr>
        <w:t xml:space="preserve"> is calculated </w:t>
      </w:r>
      <w:r>
        <w:rPr>
          <w:rFonts w:eastAsiaTheme="minorEastAsia"/>
          <w:color w:val="000000" w:themeColor="text1"/>
        </w:rPr>
        <w:t>by appl</w:t>
      </w:r>
      <w:r w:rsidR="004B4796">
        <w:rPr>
          <w:rFonts w:eastAsiaTheme="minorEastAsia"/>
          <w:color w:val="000000" w:themeColor="text1"/>
        </w:rPr>
        <w:t>y</w:t>
      </w:r>
      <w:r w:rsidR="00D54E6B">
        <w:rPr>
          <w:rFonts w:eastAsiaTheme="minorEastAsia"/>
          <w:color w:val="000000" w:themeColor="text1"/>
        </w:rPr>
        <w:t xml:space="preserve">ing </w:t>
      </w:r>
      <w:r>
        <w:rPr>
          <w:rFonts w:eastAsiaTheme="minorEastAsia"/>
          <w:color w:val="000000" w:themeColor="text1"/>
        </w:rPr>
        <w:t>the t-Student distribution, as follows</w:t>
      </w:r>
      <w:r w:rsidR="00693E70">
        <w:rPr>
          <w:rFonts w:eastAsiaTheme="minorEastAsia"/>
          <w:color w:val="000000" w:themeColor="text1"/>
        </w:rPr>
        <w:t xml:space="preserve">, where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e</m:t>
            </m:r>
          </m:e>
          <m:sub>
            <m:r>
              <w:rPr>
                <w:rFonts w:ascii="Cambria Math" w:eastAsiaTheme="minorEastAsia" w:hAnsi="Cambria Math"/>
                <w:color w:val="000000" w:themeColor="text1"/>
              </w:rPr>
              <m:t>s</m:t>
            </m:r>
          </m:sub>
        </m:sSub>
      </m:oMath>
      <w:r w:rsidR="00693E70">
        <w:rPr>
          <w:rFonts w:eastAsiaTheme="minorEastAsia"/>
          <w:color w:val="000000" w:themeColor="text1"/>
        </w:rPr>
        <w:t xml:space="preserve"> is the standard error.</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693E70" w14:paraId="73399174" w14:textId="77777777" w:rsidTr="00693E70">
        <w:tc>
          <w:tcPr>
            <w:tcW w:w="4388" w:type="dxa"/>
            <w:vAlign w:val="center"/>
          </w:tcPr>
          <w:p w14:paraId="7F7C6776" w14:textId="77777777" w:rsidR="00693E70" w:rsidRPr="00435594" w:rsidRDefault="00693E70" w:rsidP="007B2CC6">
            <w:pPr>
              <w:pStyle w:val="CETEquation"/>
              <w:rPr>
                <w:rFonts w:eastAsiaTheme="minorEastAsia"/>
              </w:rPr>
            </w:pPr>
            <m:oMathPara>
              <m:oMath>
                <m:r>
                  <w:rPr>
                    <w:rFonts w:ascii="Cambria Math" w:eastAsiaTheme="minorEastAsia" w:hAnsi="Cambria Math"/>
                  </w:rPr>
                  <m:t>IC</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LOA</m:t>
                    </m:r>
                  </m:e>
                  <m:sub>
                    <m:r>
                      <w:rPr>
                        <w:rFonts w:ascii="Cambria Math" w:eastAsiaTheme="minorEastAsia" w:hAnsi="Cambria Math"/>
                      </w:rPr>
                      <m:t>U</m:t>
                    </m:r>
                  </m:sub>
                </m:sSub>
                <m:r>
                  <m:rPr>
                    <m:sty m:val="p"/>
                  </m:rPr>
                  <w:rPr>
                    <w:rFonts w:ascii="Cambria Math" w:eastAsiaTheme="minorEastAsia" w:hAnsi="Cambria Math"/>
                  </w:rPr>
                  <m:t>±</m:t>
                </m:r>
                <m:r>
                  <w:rPr>
                    <w:rFonts w:ascii="Cambria Math" w:eastAsiaTheme="minorEastAsia" w:hAnsi="Cambria Math"/>
                  </w:rPr>
                  <m:t>t</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s</m:t>
                    </m:r>
                  </m:sub>
                </m:sSub>
              </m:oMath>
            </m:oMathPara>
          </w:p>
          <w:p w14:paraId="629A1216" w14:textId="77777777" w:rsidR="00693E70" w:rsidRDefault="00693E70" w:rsidP="007B2CC6">
            <w:pPr>
              <w:pStyle w:val="CETEquation"/>
              <w:rPr>
                <w:rFonts w:eastAsiaTheme="minorEastAsia"/>
              </w:rPr>
            </w:pPr>
            <m:oMathPara>
              <m:oMath>
                <m:r>
                  <w:rPr>
                    <w:rFonts w:ascii="Cambria Math" w:eastAsiaTheme="minorEastAsia" w:hAnsi="Cambria Math"/>
                  </w:rPr>
                  <m:t>IC</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LOA</m:t>
                    </m:r>
                  </m:e>
                  <m:sub>
                    <m:r>
                      <w:rPr>
                        <w:rFonts w:ascii="Cambria Math" w:eastAsiaTheme="minorEastAsia" w:hAnsi="Cambria Math"/>
                      </w:rPr>
                      <m:t>I</m:t>
                    </m:r>
                  </m:sub>
                </m:sSub>
                <m:r>
                  <m:rPr>
                    <m:sty m:val="p"/>
                  </m:rPr>
                  <w:rPr>
                    <w:rFonts w:ascii="Cambria Math" w:eastAsiaTheme="minorEastAsia" w:hAnsi="Cambria Math"/>
                  </w:rPr>
                  <m:t>±</m:t>
                </m:r>
                <m:r>
                  <w:rPr>
                    <w:rFonts w:ascii="Cambria Math" w:eastAsiaTheme="minorEastAsia" w:hAnsi="Cambria Math"/>
                  </w:rPr>
                  <m:t>t</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s</m:t>
                    </m:r>
                  </m:sub>
                </m:sSub>
              </m:oMath>
            </m:oMathPara>
          </w:p>
        </w:tc>
        <w:tc>
          <w:tcPr>
            <w:tcW w:w="4389" w:type="dxa"/>
            <w:vAlign w:val="center"/>
          </w:tcPr>
          <w:p w14:paraId="4BB4D419" w14:textId="77777777" w:rsidR="00693E70" w:rsidRDefault="00B50F70" w:rsidP="007B2CC6">
            <w:pPr>
              <w:pStyle w:val="CETEquation"/>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s</m:t>
                    </m:r>
                  </m:sub>
                </m:sSub>
                <m:r>
                  <m:rPr>
                    <m:sty m:val="p"/>
                  </m:rPr>
                  <w:rPr>
                    <w:rFonts w:ascii="Cambria Math" w:eastAsiaTheme="minorEastAsia" w:hAnsi="Cambria Math"/>
                  </w:rPr>
                  <m:t>=</m:t>
                </m:r>
                <m:rad>
                  <m:radPr>
                    <m:degHide m:val="1"/>
                    <m:ctrlPr>
                      <w:rPr>
                        <w:rFonts w:ascii="Cambria Math" w:eastAsiaTheme="minorEastAsia" w:hAnsi="Cambria Math"/>
                      </w:rPr>
                    </m:ctrlPr>
                  </m:radPr>
                  <m:deg/>
                  <m:e>
                    <m:f>
                      <m:fPr>
                        <m:ctrlPr>
                          <w:rPr>
                            <w:rFonts w:ascii="Cambria Math" w:eastAsiaTheme="minorEastAsia" w:hAnsi="Cambria Math"/>
                          </w:rPr>
                        </m:ctrlPr>
                      </m:fPr>
                      <m:num>
                        <m:r>
                          <m:rPr>
                            <m:sty m:val="p"/>
                          </m:rPr>
                          <w:rPr>
                            <w:rFonts w:ascii="Cambria Math" w:eastAsiaTheme="minorEastAsia" w:hAnsi="Cambria Math"/>
                          </w:rPr>
                          <m:t>3*</m:t>
                        </m:r>
                        <m:sSup>
                          <m:sSupPr>
                            <m:ctrlPr>
                              <w:rPr>
                                <w:rFonts w:ascii="Cambria Math" w:eastAsiaTheme="minorEastAsia" w:hAnsi="Cambria Math"/>
                              </w:rPr>
                            </m:ctrlPr>
                          </m:sSupPr>
                          <m:e>
                            <m:r>
                              <w:rPr>
                                <w:rFonts w:ascii="Cambria Math" w:eastAsiaTheme="minorEastAsia" w:hAnsi="Cambria Math"/>
                              </w:rPr>
                              <m:t>s</m:t>
                            </m:r>
                          </m:e>
                          <m:sup>
                            <m:r>
                              <m:rPr>
                                <m:sty m:val="p"/>
                              </m:rPr>
                              <w:rPr>
                                <w:rFonts w:ascii="Cambria Math" w:eastAsiaTheme="minorEastAsia" w:hAnsi="Cambria Math"/>
                              </w:rPr>
                              <m:t>2</m:t>
                            </m:r>
                          </m:sup>
                        </m:sSup>
                      </m:num>
                      <m:den>
                        <m:r>
                          <w:rPr>
                            <w:rFonts w:ascii="Cambria Math" w:eastAsiaTheme="minorEastAsia" w:hAnsi="Cambria Math"/>
                          </w:rPr>
                          <m:t>n</m:t>
                        </m:r>
                      </m:den>
                    </m:f>
                  </m:e>
                </m:rad>
              </m:oMath>
            </m:oMathPara>
          </w:p>
        </w:tc>
      </w:tr>
    </w:tbl>
    <w:p w14:paraId="028E0F32" w14:textId="77777777" w:rsidR="00954FCC" w:rsidRPr="00954FCC" w:rsidRDefault="0063034E" w:rsidP="00954FCC">
      <w:pPr>
        <w:pStyle w:val="CETHeading1"/>
        <w:tabs>
          <w:tab w:val="clear" w:pos="360"/>
          <w:tab w:val="right" w:pos="7100"/>
        </w:tabs>
        <w:jc w:val="both"/>
        <w:rPr>
          <w:lang w:val="en-GB"/>
        </w:rPr>
      </w:pPr>
      <w:r>
        <w:rPr>
          <w:lang w:val="en-GB"/>
        </w:rPr>
        <w:t>Results</w:t>
      </w:r>
    </w:p>
    <w:p w14:paraId="1EE9B4FA" w14:textId="4073FBA3" w:rsidR="00600535" w:rsidRDefault="00AA7768" w:rsidP="00FA5F5F">
      <w:pPr>
        <w:pStyle w:val="CETheadingx"/>
      </w:pPr>
      <w:r>
        <w:t>Field tests</w:t>
      </w:r>
    </w:p>
    <w:p w14:paraId="06D09D10" w14:textId="430A0AF0" w:rsidR="00E96ACF" w:rsidRDefault="00E96ACF" w:rsidP="00E96ACF">
      <w:pPr>
        <w:pStyle w:val="CETBodytext"/>
      </w:pPr>
      <w:r>
        <w:t xml:space="preserve">According to the experimental protocol described in </w:t>
      </w:r>
      <w:r w:rsidR="007C79D8">
        <w:rPr>
          <w:noProof/>
        </w:rPr>
        <w:t>(Bax</w:t>
      </w:r>
      <w:r w:rsidR="007C79D8" w:rsidRPr="007C79D8">
        <w:rPr>
          <w:i/>
          <w:noProof/>
        </w:rPr>
        <w:t xml:space="preserve"> et al.</w:t>
      </w:r>
      <w:r w:rsidR="007C79D8">
        <w:rPr>
          <w:noProof/>
        </w:rPr>
        <w:t>, 2020a)</w:t>
      </w:r>
      <w:r>
        <w:t xml:space="preserve">, specific field tests were carried out after IOMS training and installation at the monitoring site. Field tests involved the </w:t>
      </w:r>
      <w:r w:rsidR="00C911EC">
        <w:t>collection of independent odour samples</w:t>
      </w:r>
      <w:r w:rsidR="0092635E">
        <w:t>, different from the samples used for the instrument training,</w:t>
      </w:r>
      <w:r w:rsidR="00C911EC">
        <w:t xml:space="preserve"> </w:t>
      </w:r>
      <w:r>
        <w:t>at</w:t>
      </w:r>
      <w:r w:rsidR="00C911EC">
        <w:t xml:space="preserve"> the</w:t>
      </w:r>
      <w:r>
        <w:t xml:space="preserve"> landfill odour sources</w:t>
      </w:r>
      <w:r w:rsidR="0092635E">
        <w:t>,</w:t>
      </w:r>
      <w:r>
        <w:t xml:space="preserve"> </w:t>
      </w:r>
      <w:r w:rsidR="00586C69">
        <w:t xml:space="preserve">and </w:t>
      </w:r>
      <w:r>
        <w:t xml:space="preserve">their characterization by dynamic olfactormetry </w:t>
      </w:r>
      <w:r w:rsidR="00586C69">
        <w:t xml:space="preserve">to assess their odour concentration. </w:t>
      </w:r>
      <w:r w:rsidR="0092635E">
        <w:t>These samples</w:t>
      </w:r>
      <w:r w:rsidR="00586C69">
        <w:t xml:space="preserve"> were </w:t>
      </w:r>
      <w:r w:rsidR="0092635E">
        <w:t>analysed with the</w:t>
      </w:r>
      <w:r>
        <w:t xml:space="preserve"> IOMS </w:t>
      </w:r>
      <w:r w:rsidR="00586C69">
        <w:t>at different concentration levels within the TS concentration range</w:t>
      </w:r>
      <w:r>
        <w:t xml:space="preserve">. </w:t>
      </w:r>
      <w:r w:rsidRPr="00BF33BA">
        <w:t>The analysis</w:t>
      </w:r>
      <w:r w:rsidR="0092635E">
        <w:t xml:space="preserve"> protocol</w:t>
      </w:r>
      <w:r w:rsidRPr="00BF33BA">
        <w:t xml:space="preserve"> in the field involve</w:t>
      </w:r>
      <w:r>
        <w:t>d</w:t>
      </w:r>
      <w:r w:rsidRPr="00BF33BA">
        <w:t xml:space="preserve"> the alternation of odo</w:t>
      </w:r>
      <w:r w:rsidR="0092635E">
        <w:t>u</w:t>
      </w:r>
      <w:r w:rsidRPr="00BF33BA">
        <w:t xml:space="preserve">r samples </w:t>
      </w:r>
      <w:r w:rsidR="0092635E">
        <w:t xml:space="preserve">diluted </w:t>
      </w:r>
      <w:r w:rsidRPr="00BF33BA">
        <w:t xml:space="preserve">at different concentrations to </w:t>
      </w:r>
      <w:r w:rsidR="0092635E">
        <w:t xml:space="preserve">samples of </w:t>
      </w:r>
      <w:r w:rsidRPr="00BF33BA">
        <w:t>odo</w:t>
      </w:r>
      <w:r w:rsidR="0092635E">
        <w:t>u</w:t>
      </w:r>
      <w:r w:rsidRPr="00BF33BA">
        <w:t xml:space="preserve">rless </w:t>
      </w:r>
      <w:r w:rsidR="00E422BC">
        <w:t xml:space="preserve">ambient </w:t>
      </w:r>
      <w:r w:rsidRPr="00BF33BA">
        <w:t xml:space="preserve">air, </w:t>
      </w:r>
      <w:r w:rsidR="0092635E">
        <w:t xml:space="preserve">in order </w:t>
      </w:r>
      <w:r w:rsidRPr="00BF33BA">
        <w:t>to simulate the odor events that might</w:t>
      </w:r>
      <w:r>
        <w:t xml:space="preserve"> occur during the monitoring at the</w:t>
      </w:r>
      <w:r w:rsidRPr="00BF33BA">
        <w:t xml:space="preserve"> </w:t>
      </w:r>
      <w:r w:rsidR="00E422BC">
        <w:t>landfill</w:t>
      </w:r>
      <w:r w:rsidRPr="00BF33BA">
        <w:t xml:space="preserve"> fenceline.</w:t>
      </w:r>
    </w:p>
    <w:p w14:paraId="0C2628CF" w14:textId="4F7CD9E2" w:rsidR="000C557E" w:rsidRDefault="000C557E" w:rsidP="00E96ACF">
      <w:pPr>
        <w:pStyle w:val="CETBodytext"/>
      </w:pPr>
      <w:r>
        <w:t xml:space="preserve">Data relevant to the field tests were processed </w:t>
      </w:r>
      <w:r w:rsidR="0092635E">
        <w:t>in the same way as the monitoring data, with the purpose to</w:t>
      </w:r>
      <w:r>
        <w:t xml:space="preserve"> assess </w:t>
      </w:r>
      <w:r w:rsidR="0092635E">
        <w:t>the instrument</w:t>
      </w:r>
      <w:r>
        <w:t xml:space="preserve"> detection, classification</w:t>
      </w:r>
      <w:r w:rsidR="00B57A7F">
        <w:t xml:space="preserve"> and quantification capability (</w:t>
      </w:r>
      <w:r w:rsidR="00B57A7F">
        <w:fldChar w:fldCharType="begin"/>
      </w:r>
      <w:r w:rsidR="00B57A7F">
        <w:instrText xml:space="preserve"> REF _Ref63272170 \h  \* MERGEFORMAT </w:instrText>
      </w:r>
      <w:r w:rsidR="00B57A7F">
        <w:fldChar w:fldCharType="separate"/>
      </w:r>
      <w:r w:rsidR="00C26E88" w:rsidRPr="00C26E88">
        <w:t>Figure 4</w:t>
      </w:r>
      <w:r w:rsidR="00B57A7F">
        <w:fldChar w:fldCharType="end"/>
      </w:r>
      <w:r w:rsidR="00B57A7F">
        <w:t>).</w:t>
      </w:r>
    </w:p>
    <w:p w14:paraId="2EF8574E" w14:textId="77777777" w:rsidR="00624922" w:rsidRDefault="00624922" w:rsidP="00E96ACF">
      <w:pPr>
        <w:pStyle w:val="CETBodytext"/>
      </w:pPr>
    </w:p>
    <w:p w14:paraId="083A1778" w14:textId="7E240420" w:rsidR="000C557E" w:rsidRPr="000C557E" w:rsidRDefault="000C557E" w:rsidP="000C557E">
      <w:pPr>
        <w:pStyle w:val="CETBodytext"/>
        <w:keepNext/>
        <w:rPr>
          <w:i/>
          <w:lang w:val="en-GB"/>
        </w:rPr>
      </w:pPr>
      <w:r w:rsidRPr="000C557E">
        <w:rPr>
          <w:i/>
          <w:noProof/>
          <w:lang w:val="it-IT" w:eastAsia="it-IT"/>
        </w:rPr>
        <w:drawing>
          <wp:inline distT="0" distB="0" distL="0" distR="0" wp14:anchorId="6BE32FB4" wp14:editId="5BBD0E34">
            <wp:extent cx="5664200" cy="2632512"/>
            <wp:effectExtent l="19050" t="19050" r="12700" b="1587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jection.emf"/>
                    <pic:cNvPicPr/>
                  </pic:nvPicPr>
                  <pic:blipFill rotWithShape="1">
                    <a:blip r:embed="rId17">
                      <a:extLst>
                        <a:ext uri="{28A0092B-C50C-407E-A947-70E740481C1C}">
                          <a14:useLocalDpi xmlns:a14="http://schemas.microsoft.com/office/drawing/2010/main" val="0"/>
                        </a:ext>
                      </a:extLst>
                    </a:blip>
                    <a:srcRect t="7479"/>
                    <a:stretch/>
                  </pic:blipFill>
                  <pic:spPr bwMode="auto">
                    <a:xfrm>
                      <a:off x="0" y="0"/>
                      <a:ext cx="5689510" cy="264427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7A2F8B0" w14:textId="1269CB83" w:rsidR="000C557E" w:rsidRPr="000C557E" w:rsidRDefault="000C557E" w:rsidP="000C557E">
      <w:pPr>
        <w:pStyle w:val="Didascalia"/>
        <w:rPr>
          <w:b w:val="0"/>
          <w:bCs w:val="0"/>
          <w:i/>
          <w:color w:val="auto"/>
          <w:szCs w:val="20"/>
        </w:rPr>
      </w:pPr>
      <w:bookmarkStart w:id="5" w:name="_Ref63272170"/>
      <w:r w:rsidRPr="000C557E">
        <w:rPr>
          <w:b w:val="0"/>
          <w:bCs w:val="0"/>
          <w:i/>
          <w:color w:val="auto"/>
          <w:szCs w:val="20"/>
        </w:rPr>
        <w:t xml:space="preserve">Figure </w:t>
      </w:r>
      <w:r w:rsidRPr="000C557E">
        <w:rPr>
          <w:b w:val="0"/>
          <w:bCs w:val="0"/>
          <w:i/>
          <w:color w:val="auto"/>
          <w:szCs w:val="20"/>
        </w:rPr>
        <w:fldChar w:fldCharType="begin"/>
      </w:r>
      <w:r w:rsidRPr="000C557E">
        <w:rPr>
          <w:b w:val="0"/>
          <w:bCs w:val="0"/>
          <w:i/>
          <w:color w:val="auto"/>
          <w:szCs w:val="20"/>
        </w:rPr>
        <w:instrText xml:space="preserve"> SEQ Figure \* ARABIC </w:instrText>
      </w:r>
      <w:r w:rsidRPr="000C557E">
        <w:rPr>
          <w:b w:val="0"/>
          <w:bCs w:val="0"/>
          <w:i/>
          <w:color w:val="auto"/>
          <w:szCs w:val="20"/>
        </w:rPr>
        <w:fldChar w:fldCharType="separate"/>
      </w:r>
      <w:r w:rsidR="00C26E88">
        <w:rPr>
          <w:b w:val="0"/>
          <w:bCs w:val="0"/>
          <w:i/>
          <w:noProof/>
          <w:color w:val="auto"/>
          <w:szCs w:val="20"/>
        </w:rPr>
        <w:t>4</w:t>
      </w:r>
      <w:r w:rsidRPr="000C557E">
        <w:rPr>
          <w:b w:val="0"/>
          <w:bCs w:val="0"/>
          <w:i/>
          <w:color w:val="auto"/>
          <w:szCs w:val="20"/>
        </w:rPr>
        <w:fldChar w:fldCharType="end"/>
      </w:r>
      <w:bookmarkEnd w:id="5"/>
      <w:r w:rsidRPr="000C557E">
        <w:rPr>
          <w:b w:val="0"/>
          <w:bCs w:val="0"/>
          <w:i/>
          <w:color w:val="auto"/>
          <w:szCs w:val="20"/>
        </w:rPr>
        <w:t>. Projection of data relevant to field tests on</w:t>
      </w:r>
      <w:r w:rsidR="0092635E">
        <w:rPr>
          <w:b w:val="0"/>
          <w:bCs w:val="0"/>
          <w:i/>
          <w:color w:val="auto"/>
          <w:szCs w:val="20"/>
        </w:rPr>
        <w:t xml:space="preserve"> the</w:t>
      </w:r>
      <w:r w:rsidRPr="000C557E">
        <w:rPr>
          <w:b w:val="0"/>
          <w:bCs w:val="0"/>
          <w:i/>
          <w:color w:val="auto"/>
          <w:szCs w:val="20"/>
        </w:rPr>
        <w:t xml:space="preserve"> training</w:t>
      </w:r>
      <w:r w:rsidR="0092635E">
        <w:rPr>
          <w:b w:val="0"/>
          <w:bCs w:val="0"/>
          <w:i/>
          <w:color w:val="auto"/>
          <w:szCs w:val="20"/>
        </w:rPr>
        <w:t xml:space="preserve"> dataset</w:t>
      </w:r>
    </w:p>
    <w:p w14:paraId="022B4438" w14:textId="77777777" w:rsidR="000C557E" w:rsidRDefault="000C557E" w:rsidP="00E96ACF">
      <w:pPr>
        <w:pStyle w:val="CETBodytext"/>
      </w:pPr>
    </w:p>
    <w:p w14:paraId="50E4C85F" w14:textId="3C83EBAE" w:rsidR="00E96ACF" w:rsidRDefault="00E96ACF" w:rsidP="00280F89">
      <w:pPr>
        <w:pStyle w:val="CETBodytext"/>
        <w:rPr>
          <w:lang w:val="en-GB"/>
        </w:rPr>
      </w:pPr>
      <w:r>
        <w:rPr>
          <w:lang w:val="en-GB"/>
        </w:rPr>
        <w:t xml:space="preserve">The </w:t>
      </w:r>
      <w:r w:rsidR="00586C69">
        <w:rPr>
          <w:lang w:val="en-GB"/>
        </w:rPr>
        <w:t xml:space="preserve">WT1 </w:t>
      </w:r>
      <w:r>
        <w:rPr>
          <w:lang w:val="en-GB"/>
        </w:rPr>
        <w:t xml:space="preserve">detection and classification capability was assessed in terms of accuracy indexes, defined in </w:t>
      </w:r>
      <w:r w:rsidR="007C79D8">
        <w:rPr>
          <w:noProof/>
          <w:lang w:val="en-GB"/>
        </w:rPr>
        <w:t>(Bax</w:t>
      </w:r>
      <w:r w:rsidR="007C79D8" w:rsidRPr="007C79D8">
        <w:rPr>
          <w:i/>
          <w:noProof/>
          <w:lang w:val="en-GB"/>
        </w:rPr>
        <w:t xml:space="preserve"> et al.</w:t>
      </w:r>
      <w:r w:rsidR="007C79D8">
        <w:rPr>
          <w:noProof/>
          <w:lang w:val="en-GB"/>
        </w:rPr>
        <w:t>, 2020a)</w:t>
      </w:r>
      <w:r w:rsidR="00A62ECA">
        <w:rPr>
          <w:lang w:val="en-GB"/>
        </w:rPr>
        <w:t>. The WT1 proved capable to detect and correctly classify landfill odours with accuracy indexes above 90%</w:t>
      </w:r>
      <w:r w:rsidR="00586C69">
        <w:rPr>
          <w:lang w:val="en-GB"/>
        </w:rPr>
        <w:t xml:space="preserve"> for both </w:t>
      </w:r>
      <w:r w:rsidR="005F027F">
        <w:rPr>
          <w:lang w:val="en-GB"/>
        </w:rPr>
        <w:t xml:space="preserve">the </w:t>
      </w:r>
      <w:r w:rsidR="00586C69">
        <w:rPr>
          <w:lang w:val="en-GB"/>
        </w:rPr>
        <w:t xml:space="preserve">detection and </w:t>
      </w:r>
      <w:r w:rsidR="005F027F">
        <w:rPr>
          <w:lang w:val="en-GB"/>
        </w:rPr>
        <w:t xml:space="preserve">the </w:t>
      </w:r>
      <w:r w:rsidR="00586C69">
        <w:rPr>
          <w:lang w:val="en-GB"/>
        </w:rPr>
        <w:t>classification of landfill odours</w:t>
      </w:r>
      <w:r w:rsidR="00A62ECA">
        <w:rPr>
          <w:lang w:val="en-GB"/>
        </w:rPr>
        <w:t xml:space="preserve"> (</w:t>
      </w:r>
      <w:r w:rsidR="00A62ECA">
        <w:rPr>
          <w:lang w:val="en-GB"/>
        </w:rPr>
        <w:fldChar w:fldCharType="begin"/>
      </w:r>
      <w:r w:rsidR="00A62ECA">
        <w:rPr>
          <w:lang w:val="en-GB"/>
        </w:rPr>
        <w:instrText xml:space="preserve"> REF _Ref63112493 \h  \* MERGEFORMAT </w:instrText>
      </w:r>
      <w:r w:rsidR="00A62ECA">
        <w:rPr>
          <w:lang w:val="en-GB"/>
        </w:rPr>
      </w:r>
      <w:r w:rsidR="00A62ECA">
        <w:rPr>
          <w:lang w:val="en-GB"/>
        </w:rPr>
        <w:fldChar w:fldCharType="separate"/>
      </w:r>
      <w:r w:rsidR="00C26E88" w:rsidRPr="00C26E88">
        <w:rPr>
          <w:lang w:val="en-GB"/>
        </w:rPr>
        <w:t>Table 1</w:t>
      </w:r>
      <w:r w:rsidR="00A62ECA">
        <w:rPr>
          <w:lang w:val="en-GB"/>
        </w:rPr>
        <w:fldChar w:fldCharType="end"/>
      </w:r>
      <w:r w:rsidR="00A62ECA">
        <w:rPr>
          <w:lang w:val="en-GB"/>
        </w:rPr>
        <w:t>).</w:t>
      </w:r>
    </w:p>
    <w:p w14:paraId="73E7CEE9" w14:textId="5C7EA24D" w:rsidR="00A62ECA" w:rsidRDefault="00A62ECA" w:rsidP="00280F89">
      <w:pPr>
        <w:pStyle w:val="CETBodytext"/>
        <w:rPr>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524"/>
      </w:tblGrid>
      <w:tr w:rsidR="00B333A0" w14:paraId="1508AA4C" w14:textId="77777777" w:rsidTr="00B333A0">
        <w:trPr>
          <w:trHeight w:val="1134"/>
        </w:trPr>
        <w:tc>
          <w:tcPr>
            <w:tcW w:w="4253" w:type="dxa"/>
          </w:tcPr>
          <w:p w14:paraId="35A4A98D" w14:textId="7D554135" w:rsidR="00B333A0" w:rsidRPr="00463B11" w:rsidRDefault="00B333A0" w:rsidP="00B333A0">
            <w:pPr>
              <w:pStyle w:val="Didascalia"/>
              <w:keepNext/>
              <w:rPr>
                <w:b w:val="0"/>
                <w:bCs w:val="0"/>
                <w:i/>
                <w:color w:val="auto"/>
                <w:szCs w:val="20"/>
              </w:rPr>
            </w:pPr>
            <w:bookmarkStart w:id="6" w:name="_Ref63112493"/>
            <w:r w:rsidRPr="00463B11">
              <w:rPr>
                <w:b w:val="0"/>
                <w:bCs w:val="0"/>
                <w:i/>
                <w:color w:val="auto"/>
                <w:szCs w:val="20"/>
              </w:rPr>
              <w:t xml:space="preserve">Table </w:t>
            </w:r>
            <w:r w:rsidRPr="00463B11">
              <w:rPr>
                <w:b w:val="0"/>
                <w:bCs w:val="0"/>
                <w:i/>
                <w:color w:val="auto"/>
                <w:szCs w:val="20"/>
              </w:rPr>
              <w:fldChar w:fldCharType="begin"/>
            </w:r>
            <w:r w:rsidRPr="00463B11">
              <w:rPr>
                <w:b w:val="0"/>
                <w:bCs w:val="0"/>
                <w:i/>
                <w:color w:val="auto"/>
                <w:szCs w:val="20"/>
              </w:rPr>
              <w:instrText xml:space="preserve"> SEQ Table \* ARABIC </w:instrText>
            </w:r>
            <w:r w:rsidRPr="00463B11">
              <w:rPr>
                <w:b w:val="0"/>
                <w:bCs w:val="0"/>
                <w:i/>
                <w:color w:val="auto"/>
                <w:szCs w:val="20"/>
              </w:rPr>
              <w:fldChar w:fldCharType="separate"/>
            </w:r>
            <w:r w:rsidR="00C26E88">
              <w:rPr>
                <w:b w:val="0"/>
                <w:bCs w:val="0"/>
                <w:i/>
                <w:noProof/>
                <w:color w:val="auto"/>
                <w:szCs w:val="20"/>
              </w:rPr>
              <w:t>1</w:t>
            </w:r>
            <w:r w:rsidRPr="00463B11">
              <w:rPr>
                <w:b w:val="0"/>
                <w:bCs w:val="0"/>
                <w:i/>
                <w:color w:val="auto"/>
                <w:szCs w:val="20"/>
              </w:rPr>
              <w:fldChar w:fldCharType="end"/>
            </w:r>
            <w:bookmarkEnd w:id="6"/>
            <w:r w:rsidRPr="00463B11">
              <w:rPr>
                <w:b w:val="0"/>
                <w:bCs w:val="0"/>
                <w:i/>
                <w:color w:val="auto"/>
                <w:szCs w:val="20"/>
              </w:rPr>
              <w:t>. Test characteristics relevant to IOMS detection and classification capability</w:t>
            </w:r>
          </w:p>
          <w:tbl>
            <w:tblPr>
              <w:tblStyle w:val="Grigliatabella"/>
              <w:tblW w:w="0" w:type="auto"/>
              <w:tblLook w:val="04A0" w:firstRow="1" w:lastRow="0" w:firstColumn="1" w:lastColumn="0" w:noHBand="0" w:noVBand="1"/>
            </w:tblPr>
            <w:tblGrid>
              <w:gridCol w:w="2177"/>
              <w:gridCol w:w="1147"/>
            </w:tblGrid>
            <w:tr w:rsidR="00B333A0" w:rsidRPr="00CD3EBC" w14:paraId="7960D88C" w14:textId="77777777" w:rsidTr="000666C8">
              <w:tc>
                <w:tcPr>
                  <w:tcW w:w="0" w:type="auto"/>
                  <w:vAlign w:val="center"/>
                </w:tcPr>
                <w:p w14:paraId="090964C9" w14:textId="77777777" w:rsidR="00B333A0" w:rsidRPr="00CD3EBC" w:rsidRDefault="00B333A0" w:rsidP="00B333A0">
                  <w:pPr>
                    <w:jc w:val="left"/>
                    <w:rPr>
                      <w:iCs/>
                    </w:rPr>
                  </w:pPr>
                  <w:r w:rsidRPr="00CD3EBC">
                    <w:rPr>
                      <w:iCs/>
                    </w:rPr>
                    <w:t>Test characteristics</w:t>
                  </w:r>
                </w:p>
              </w:tc>
              <w:tc>
                <w:tcPr>
                  <w:tcW w:w="0" w:type="auto"/>
                  <w:vAlign w:val="center"/>
                </w:tcPr>
                <w:p w14:paraId="486C2F56" w14:textId="77777777" w:rsidR="00B333A0" w:rsidRPr="00CD3EBC" w:rsidRDefault="00B333A0" w:rsidP="00B333A0">
                  <w:pPr>
                    <w:jc w:val="left"/>
                    <w:rPr>
                      <w:iCs/>
                    </w:rPr>
                  </w:pPr>
                  <w:r w:rsidRPr="00CD3EBC">
                    <w:rPr>
                      <w:iCs/>
                    </w:rPr>
                    <w:t>% (CI95%)</w:t>
                  </w:r>
                </w:p>
              </w:tc>
            </w:tr>
            <w:tr w:rsidR="00B333A0" w:rsidRPr="00CD3EBC" w14:paraId="49A2FACB" w14:textId="77777777" w:rsidTr="000666C8">
              <w:tc>
                <w:tcPr>
                  <w:tcW w:w="0" w:type="auto"/>
                  <w:vAlign w:val="center"/>
                </w:tcPr>
                <w:p w14:paraId="136058B1" w14:textId="326178C9" w:rsidR="00B333A0" w:rsidRPr="00CD3EBC" w:rsidRDefault="00B333A0" w:rsidP="00B333A0">
                  <w:pPr>
                    <w:jc w:val="left"/>
                    <w:rPr>
                      <w:iCs/>
                    </w:rPr>
                  </w:pPr>
                  <w:r w:rsidRPr="00CD3EBC">
                    <w:rPr>
                      <w:iCs/>
                    </w:rPr>
                    <w:t>A</w:t>
                  </w:r>
                  <w:r w:rsidR="00EE623A">
                    <w:rPr>
                      <w:iCs/>
                    </w:rPr>
                    <w:t xml:space="preserve">ccuracy </w:t>
                  </w:r>
                  <w:r w:rsidRPr="00CD3EBC">
                    <w:rPr>
                      <w:iCs/>
                    </w:rPr>
                    <w:t>I</w:t>
                  </w:r>
                  <w:r w:rsidR="00EE623A">
                    <w:rPr>
                      <w:iCs/>
                    </w:rPr>
                    <w:t xml:space="preserve">ndex </w:t>
                  </w:r>
                  <w:r w:rsidRPr="00CD3EBC">
                    <w:rPr>
                      <w:iCs/>
                      <w:vertAlign w:val="subscript"/>
                    </w:rPr>
                    <w:t>detection</w:t>
                  </w:r>
                </w:p>
              </w:tc>
              <w:tc>
                <w:tcPr>
                  <w:tcW w:w="0" w:type="auto"/>
                  <w:vAlign w:val="center"/>
                </w:tcPr>
                <w:p w14:paraId="72372C14" w14:textId="19B6AB6B" w:rsidR="00B333A0" w:rsidRPr="00CD3EBC" w:rsidRDefault="007F4845" w:rsidP="007F4845">
                  <w:pPr>
                    <w:jc w:val="left"/>
                  </w:pPr>
                  <w:r>
                    <w:t>96</w:t>
                  </w:r>
                  <w:r w:rsidR="00B333A0" w:rsidRPr="00CD3EBC">
                    <w:t xml:space="preserve"> (87-100)</w:t>
                  </w:r>
                </w:p>
              </w:tc>
            </w:tr>
            <w:tr w:rsidR="00B333A0" w:rsidRPr="00CD3EBC" w14:paraId="3D97E6E7" w14:textId="77777777" w:rsidTr="000666C8">
              <w:tc>
                <w:tcPr>
                  <w:tcW w:w="0" w:type="auto"/>
                  <w:vAlign w:val="center"/>
                </w:tcPr>
                <w:p w14:paraId="0C7C1D95" w14:textId="78348A02" w:rsidR="00B333A0" w:rsidRPr="00CD3EBC" w:rsidRDefault="00B333A0" w:rsidP="00B333A0">
                  <w:pPr>
                    <w:jc w:val="left"/>
                    <w:rPr>
                      <w:iCs/>
                    </w:rPr>
                  </w:pPr>
                  <w:r w:rsidRPr="00CD3EBC">
                    <w:rPr>
                      <w:iCs/>
                    </w:rPr>
                    <w:t>A</w:t>
                  </w:r>
                  <w:r w:rsidR="00EE623A">
                    <w:rPr>
                      <w:iCs/>
                    </w:rPr>
                    <w:t xml:space="preserve">ccuracy </w:t>
                  </w:r>
                  <w:r w:rsidRPr="00CD3EBC">
                    <w:rPr>
                      <w:iCs/>
                    </w:rPr>
                    <w:t>I</w:t>
                  </w:r>
                  <w:r w:rsidR="00EE623A">
                    <w:rPr>
                      <w:iCs/>
                    </w:rPr>
                    <w:t xml:space="preserve">ndex </w:t>
                  </w:r>
                  <w:r w:rsidRPr="00CD3EBC">
                    <w:rPr>
                      <w:iCs/>
                      <w:vertAlign w:val="subscript"/>
                    </w:rPr>
                    <w:t>classification</w:t>
                  </w:r>
                </w:p>
              </w:tc>
              <w:tc>
                <w:tcPr>
                  <w:tcW w:w="0" w:type="auto"/>
                  <w:vAlign w:val="center"/>
                </w:tcPr>
                <w:p w14:paraId="10879CD2" w14:textId="77777777" w:rsidR="00B333A0" w:rsidRPr="00CD3EBC" w:rsidRDefault="00B333A0" w:rsidP="00B333A0">
                  <w:pPr>
                    <w:jc w:val="left"/>
                  </w:pPr>
                  <w:r w:rsidRPr="00CD3EBC">
                    <w:t>92 (75-99)</w:t>
                  </w:r>
                </w:p>
              </w:tc>
            </w:tr>
          </w:tbl>
          <w:p w14:paraId="17C806DC" w14:textId="77777777" w:rsidR="00B333A0" w:rsidRDefault="00B333A0" w:rsidP="00280F89">
            <w:pPr>
              <w:pStyle w:val="CETBodytext"/>
              <w:rPr>
                <w:lang w:val="en-GB"/>
              </w:rPr>
            </w:pPr>
          </w:p>
        </w:tc>
        <w:tc>
          <w:tcPr>
            <w:tcW w:w="4524" w:type="dxa"/>
          </w:tcPr>
          <w:p w14:paraId="7795E27E" w14:textId="2392C27C" w:rsidR="00B333A0" w:rsidRPr="00DD642F" w:rsidRDefault="00B333A0" w:rsidP="00B333A0">
            <w:pPr>
              <w:pStyle w:val="Didascalia"/>
              <w:keepNext/>
              <w:rPr>
                <w:b w:val="0"/>
                <w:bCs w:val="0"/>
                <w:i/>
                <w:color w:val="auto"/>
                <w:szCs w:val="20"/>
              </w:rPr>
            </w:pPr>
            <w:bookmarkStart w:id="7" w:name="_Ref63265946"/>
            <w:r w:rsidRPr="00DD642F">
              <w:rPr>
                <w:b w:val="0"/>
                <w:bCs w:val="0"/>
                <w:i/>
                <w:color w:val="auto"/>
                <w:szCs w:val="20"/>
              </w:rPr>
              <w:t xml:space="preserve">Table </w:t>
            </w:r>
            <w:r w:rsidRPr="00DD642F">
              <w:rPr>
                <w:b w:val="0"/>
                <w:bCs w:val="0"/>
                <w:i/>
                <w:color w:val="auto"/>
                <w:szCs w:val="20"/>
              </w:rPr>
              <w:fldChar w:fldCharType="begin"/>
            </w:r>
            <w:r w:rsidRPr="00DD642F">
              <w:rPr>
                <w:b w:val="0"/>
                <w:bCs w:val="0"/>
                <w:i/>
                <w:color w:val="auto"/>
                <w:szCs w:val="20"/>
              </w:rPr>
              <w:instrText xml:space="preserve"> SEQ Table \* ARABIC </w:instrText>
            </w:r>
            <w:r w:rsidRPr="00DD642F">
              <w:rPr>
                <w:b w:val="0"/>
                <w:bCs w:val="0"/>
                <w:i/>
                <w:color w:val="auto"/>
                <w:szCs w:val="20"/>
              </w:rPr>
              <w:fldChar w:fldCharType="separate"/>
            </w:r>
            <w:r w:rsidR="00C26E88">
              <w:rPr>
                <w:b w:val="0"/>
                <w:bCs w:val="0"/>
                <w:i/>
                <w:noProof/>
                <w:color w:val="auto"/>
                <w:szCs w:val="20"/>
              </w:rPr>
              <w:t>2</w:t>
            </w:r>
            <w:r w:rsidRPr="00DD642F">
              <w:rPr>
                <w:b w:val="0"/>
                <w:bCs w:val="0"/>
                <w:i/>
                <w:color w:val="auto"/>
                <w:szCs w:val="20"/>
              </w:rPr>
              <w:fldChar w:fldCharType="end"/>
            </w:r>
            <w:bookmarkEnd w:id="7"/>
            <w:r w:rsidRPr="00DD642F">
              <w:rPr>
                <w:b w:val="0"/>
                <w:bCs w:val="0"/>
                <w:i/>
                <w:color w:val="auto"/>
                <w:szCs w:val="20"/>
              </w:rPr>
              <w:t xml:space="preserve">. </w:t>
            </w:r>
            <w:r>
              <w:rPr>
                <w:b w:val="0"/>
                <w:bCs w:val="0"/>
                <w:i/>
                <w:color w:val="auto"/>
                <w:szCs w:val="20"/>
              </w:rPr>
              <w:t>Limits of agreement assessed by B&amp;A analysis</w:t>
            </w:r>
          </w:p>
          <w:tbl>
            <w:tblPr>
              <w:tblStyle w:val="Grigliatabella"/>
              <w:tblW w:w="2867" w:type="dxa"/>
              <w:tblLook w:val="0480" w:firstRow="0" w:lastRow="0" w:firstColumn="1" w:lastColumn="0" w:noHBand="0" w:noVBand="1"/>
            </w:tblPr>
            <w:tblGrid>
              <w:gridCol w:w="1517"/>
              <w:gridCol w:w="1350"/>
            </w:tblGrid>
            <w:tr w:rsidR="00B333A0" w14:paraId="090EADC4" w14:textId="77777777" w:rsidTr="000666C8">
              <w:trPr>
                <w:trHeight w:val="271"/>
              </w:trPr>
              <w:tc>
                <w:tcPr>
                  <w:tcW w:w="0" w:type="auto"/>
                </w:tcPr>
                <w:p w14:paraId="4C1EFAB4" w14:textId="77777777" w:rsidR="00B333A0" w:rsidRDefault="00B333A0" w:rsidP="00B333A0">
                  <w:r>
                    <w:t xml:space="preserve">LoAu </w:t>
                  </w:r>
                </w:p>
              </w:tc>
              <w:tc>
                <w:tcPr>
                  <w:tcW w:w="0" w:type="auto"/>
                </w:tcPr>
                <w:p w14:paraId="5B8499D7" w14:textId="77777777" w:rsidR="00B333A0" w:rsidRDefault="00B333A0" w:rsidP="00B333A0">
                  <w:pPr>
                    <w:keepNext/>
                  </w:pPr>
                  <w:r>
                    <w:t>3.24</w:t>
                  </w:r>
                </w:p>
              </w:tc>
            </w:tr>
            <w:tr w:rsidR="00B333A0" w14:paraId="137A10C8" w14:textId="77777777" w:rsidTr="000666C8">
              <w:trPr>
                <w:trHeight w:val="271"/>
              </w:trPr>
              <w:tc>
                <w:tcPr>
                  <w:tcW w:w="0" w:type="auto"/>
                </w:tcPr>
                <w:p w14:paraId="132CF7D2" w14:textId="77777777" w:rsidR="00B333A0" w:rsidRDefault="00B333A0" w:rsidP="00B333A0">
                  <w:r>
                    <w:t>LoAl</w:t>
                  </w:r>
                </w:p>
              </w:tc>
              <w:tc>
                <w:tcPr>
                  <w:tcW w:w="0" w:type="auto"/>
                </w:tcPr>
                <w:p w14:paraId="3F2BEEEF" w14:textId="77777777" w:rsidR="00B333A0" w:rsidRDefault="00B333A0" w:rsidP="00B333A0">
                  <w:pPr>
                    <w:keepNext/>
                  </w:pPr>
                  <w:r>
                    <w:t>0.17</w:t>
                  </w:r>
                </w:p>
              </w:tc>
            </w:tr>
          </w:tbl>
          <w:p w14:paraId="6FBBDC8B" w14:textId="77777777" w:rsidR="00B333A0" w:rsidRDefault="00B333A0" w:rsidP="00280F89">
            <w:pPr>
              <w:pStyle w:val="CETBodytext"/>
              <w:rPr>
                <w:lang w:val="en-GB"/>
              </w:rPr>
            </w:pPr>
          </w:p>
        </w:tc>
      </w:tr>
    </w:tbl>
    <w:p w14:paraId="012553C5" w14:textId="6CF9C793" w:rsidR="00B333A0" w:rsidRDefault="00B333A0" w:rsidP="00280F89">
      <w:pPr>
        <w:pStyle w:val="CETBodytext"/>
        <w:rPr>
          <w:lang w:val="en-GB"/>
        </w:rPr>
      </w:pPr>
    </w:p>
    <w:p w14:paraId="699A2F99" w14:textId="139BFCF7" w:rsidR="00B333A0" w:rsidRDefault="00092466" w:rsidP="00E552C0">
      <w:pPr>
        <w:pStyle w:val="CETBodytext"/>
      </w:pPr>
      <w:r>
        <w:t>In</w:t>
      </w:r>
      <w:r w:rsidR="00B906A8">
        <w:t xml:space="preserve"> </w:t>
      </w:r>
      <w:r>
        <w:t xml:space="preserve">order to evaluate the IOMS </w:t>
      </w:r>
      <w:r w:rsidR="005F027F">
        <w:t>p</w:t>
      </w:r>
      <w:r>
        <w:t>erformance</w:t>
      </w:r>
      <w:r w:rsidR="005F027F">
        <w:t xml:space="preserve"> in terms of odour quantification capabilities</w:t>
      </w:r>
      <w:r>
        <w:t xml:space="preserve">, </w:t>
      </w:r>
      <w:r w:rsidR="00586C69">
        <w:t xml:space="preserve">the </w:t>
      </w:r>
      <w:r w:rsidR="005F027F">
        <w:t>odour concentration values measured</w:t>
      </w:r>
      <w:r w:rsidR="00586C69">
        <w:t xml:space="preserve"> by </w:t>
      </w:r>
      <w:r w:rsidR="005F027F">
        <w:t xml:space="preserve">the </w:t>
      </w:r>
      <w:r w:rsidR="00586C69">
        <w:t xml:space="preserve">WT1 </w:t>
      </w:r>
      <w:r w:rsidR="005F027F">
        <w:t>were</w:t>
      </w:r>
      <w:r w:rsidR="00586C69">
        <w:t xml:space="preserve"> compared with the </w:t>
      </w:r>
      <w:r w:rsidR="005F027F">
        <w:t>values measured</w:t>
      </w:r>
      <w:r w:rsidR="00586C69">
        <w:t xml:space="preserve"> by olfactometry</w:t>
      </w:r>
      <w:r>
        <w:t xml:space="preserve"> </w:t>
      </w:r>
      <w:r w:rsidR="00586C69">
        <w:t xml:space="preserve">by </w:t>
      </w:r>
      <w:r w:rsidR="005F027F">
        <w:t>applying the</w:t>
      </w:r>
      <w:r w:rsidR="00586C69">
        <w:t xml:space="preserve"> B&amp;A analysis.</w:t>
      </w:r>
      <w:r w:rsidR="006855B7">
        <w:t xml:space="preserve"> To do this, the logarithms of </w:t>
      </w:r>
      <w:r w:rsidR="005F027F">
        <w:t xml:space="preserve">the </w:t>
      </w:r>
      <w:r w:rsidR="006855B7">
        <w:t>odour concentrations</w:t>
      </w:r>
      <w:r w:rsidR="005F027F">
        <w:t xml:space="preserve"> values</w:t>
      </w:r>
      <w:r w:rsidR="006855B7">
        <w:t xml:space="preserve"> were considered.</w:t>
      </w:r>
      <w:r w:rsidR="00FB3278">
        <w:t xml:space="preserve"> </w:t>
      </w:r>
      <w:r w:rsidR="00E552C0">
        <w:fldChar w:fldCharType="begin"/>
      </w:r>
      <w:r w:rsidR="00E552C0">
        <w:instrText xml:space="preserve"> REF _Ref63265946 \h </w:instrText>
      </w:r>
      <w:r w:rsidR="00C52A6C">
        <w:instrText xml:space="preserve"> \* MERGEFORMAT </w:instrText>
      </w:r>
      <w:r w:rsidR="00E552C0">
        <w:fldChar w:fldCharType="separate"/>
      </w:r>
      <w:r w:rsidR="00C26E88" w:rsidRPr="00C26E88">
        <w:t>Table 2</w:t>
      </w:r>
      <w:r w:rsidR="00E552C0">
        <w:fldChar w:fldCharType="end"/>
      </w:r>
      <w:r w:rsidR="00E552C0">
        <w:t xml:space="preserve"> reports the </w:t>
      </w:r>
      <w:r w:rsidR="00C52A6C">
        <w:t xml:space="preserve">the limits of agreement </w:t>
      </w:r>
      <w:r w:rsidR="00D34085">
        <w:t>determined by B&amp;A method</w:t>
      </w:r>
      <w:r w:rsidR="00E552C0">
        <w:t>.</w:t>
      </w:r>
    </w:p>
    <w:p w14:paraId="0E8AD9BD" w14:textId="12C1ADE2" w:rsidR="001F2569" w:rsidRDefault="00E552C0" w:rsidP="00E552C0">
      <w:pPr>
        <w:pStyle w:val="CETBodytext"/>
      </w:pPr>
      <w:r>
        <w:lastRenderedPageBreak/>
        <w:t>The B&amp;A plot</w:t>
      </w:r>
      <w:r w:rsidR="004C48D2">
        <w:t>,</w:t>
      </w:r>
      <w:r>
        <w:t xml:space="preserve"> reported in </w:t>
      </w:r>
      <w:r>
        <w:fldChar w:fldCharType="begin"/>
      </w:r>
      <w:r>
        <w:instrText xml:space="preserve"> REF _Ref63264528 \h  \* MERGEFORMAT </w:instrText>
      </w:r>
      <w:r>
        <w:fldChar w:fldCharType="separate"/>
      </w:r>
      <w:r w:rsidR="00C26E88" w:rsidRPr="00C26E88">
        <w:t>Figure 5</w:t>
      </w:r>
      <w:r>
        <w:fldChar w:fldCharType="end"/>
      </w:r>
      <w:r w:rsidR="004C48D2">
        <w:t>,</w:t>
      </w:r>
      <w:r>
        <w:t xml:space="preserve"> points out a good agreement between IOMS estimations and odour concentrations by dynamic olfactometry. In fact, the IOMS estimations fall within the limits of agreement, except for one</w:t>
      </w:r>
      <w:r w:rsidR="00084DD8">
        <w:t xml:space="preserve"> </w:t>
      </w:r>
      <w:r w:rsidR="004C48D2">
        <w:t>sample, i.e.,</w:t>
      </w:r>
      <w:r w:rsidR="00084DD8">
        <w:t xml:space="preserve"> a L</w:t>
      </w:r>
      <w:r>
        <w:t>andfill Gas samples</w:t>
      </w:r>
      <w:r w:rsidR="00084DD8">
        <w:t>,</w:t>
      </w:r>
      <w:r>
        <w:t xml:space="preserve"> misclassified as Fresh Waste</w:t>
      </w:r>
      <w:r w:rsidR="00084DD8">
        <w:t>, whose</w:t>
      </w:r>
      <w:r>
        <w:t xml:space="preserve"> estimated odour concentration</w:t>
      </w:r>
      <w:r w:rsidR="00084DD8">
        <w:t xml:space="preserve"> resulted slightly overestimated, even though it was</w:t>
      </w:r>
      <w:r>
        <w:t xml:space="preserve"> within the confidence interval of the </w:t>
      </w:r>
      <w:r w:rsidR="00084DD8">
        <w:t>upper LoA</w:t>
      </w:r>
      <w:r>
        <w:t xml:space="preserve">. </w:t>
      </w:r>
    </w:p>
    <w:p w14:paraId="7FCFE6AC" w14:textId="25BE4632" w:rsidR="00A168A8" w:rsidRDefault="004C48D2" w:rsidP="00E552C0">
      <w:pPr>
        <w:pStyle w:val="CETBodytext"/>
      </w:pPr>
      <w:r>
        <w:t>Based on the</w:t>
      </w:r>
      <w:r w:rsidR="00951C69">
        <w:t>se</w:t>
      </w:r>
      <w:r>
        <w:t xml:space="preserve"> results</w:t>
      </w:r>
      <w:r w:rsidR="00E552C0">
        <w:t xml:space="preserve">, </w:t>
      </w:r>
      <w:r w:rsidR="00951C69">
        <w:t xml:space="preserve">it is possible to state that </w:t>
      </w:r>
      <w:r w:rsidR="00E552C0">
        <w:t xml:space="preserve">the </w:t>
      </w:r>
      <w:r>
        <w:t>WT1</w:t>
      </w:r>
      <w:r w:rsidR="00951C69">
        <w:t xml:space="preserve"> and the developed two-step decisional model</w:t>
      </w:r>
      <w:r>
        <w:t xml:space="preserve"> </w:t>
      </w:r>
      <w:r w:rsidR="00E552C0">
        <w:t xml:space="preserve">proved </w:t>
      </w:r>
      <w:r w:rsidR="00951C69">
        <w:t xml:space="preserve">effective </w:t>
      </w:r>
      <w:r w:rsidR="00E552C0">
        <w:t xml:space="preserve">to provide reliable real-time </w:t>
      </w:r>
      <w:r w:rsidR="00951C69">
        <w:t>o</w:t>
      </w:r>
      <w:r w:rsidR="00E552C0">
        <w:t>dour concentration</w:t>
      </w:r>
      <w:r w:rsidR="00A168A8">
        <w:t xml:space="preserve"> </w:t>
      </w:r>
      <w:r w:rsidR="00951C69">
        <w:t xml:space="preserve">measurements </w:t>
      </w:r>
      <w:r w:rsidR="00A168A8">
        <w:t xml:space="preserve">at the </w:t>
      </w:r>
      <w:r w:rsidR="00951C69">
        <w:t>landfill</w:t>
      </w:r>
      <w:r w:rsidR="00A168A8">
        <w:t xml:space="preserve"> fenceline</w:t>
      </w:r>
      <w:r w:rsidR="004E170B">
        <w:t>.</w:t>
      </w:r>
    </w:p>
    <w:p w14:paraId="0F97C569" w14:textId="77777777" w:rsidR="00B333A0" w:rsidRDefault="00B333A0" w:rsidP="00E552C0">
      <w:pPr>
        <w:pStyle w:val="CETBodytext"/>
      </w:pPr>
    </w:p>
    <w:p w14:paraId="29492585" w14:textId="1B5037C0" w:rsidR="00E552C0" w:rsidRDefault="00E552C0" w:rsidP="00E552C0">
      <w:pPr>
        <w:pStyle w:val="CETBodytext"/>
        <w:keepNext/>
      </w:pPr>
      <w:r>
        <w:rPr>
          <w:noProof/>
          <w:lang w:val="it-IT" w:eastAsia="it-IT"/>
        </w:rPr>
        <w:drawing>
          <wp:inline distT="0" distB="0" distL="0" distR="0" wp14:anchorId="67EB7260" wp14:editId="31C2735E">
            <wp:extent cx="4464050" cy="2120514"/>
            <wp:effectExtent l="19050" t="19050" r="12700" b="133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mp;A plot.png"/>
                    <pic:cNvPicPr/>
                  </pic:nvPicPr>
                  <pic:blipFill>
                    <a:blip r:embed="rId18">
                      <a:extLst>
                        <a:ext uri="{28A0092B-C50C-407E-A947-70E740481C1C}">
                          <a14:useLocalDpi xmlns:a14="http://schemas.microsoft.com/office/drawing/2010/main" val="0"/>
                        </a:ext>
                      </a:extLst>
                    </a:blip>
                    <a:stretch>
                      <a:fillRect/>
                    </a:stretch>
                  </pic:blipFill>
                  <pic:spPr>
                    <a:xfrm>
                      <a:off x="0" y="0"/>
                      <a:ext cx="4614394" cy="2191930"/>
                    </a:xfrm>
                    <a:prstGeom prst="rect">
                      <a:avLst/>
                    </a:prstGeom>
                    <a:ln w="3175">
                      <a:solidFill>
                        <a:schemeClr val="tx1"/>
                      </a:solidFill>
                    </a:ln>
                  </pic:spPr>
                </pic:pic>
              </a:graphicData>
            </a:graphic>
          </wp:inline>
        </w:drawing>
      </w:r>
    </w:p>
    <w:p w14:paraId="76311A82" w14:textId="688B09BD" w:rsidR="00E552C0" w:rsidRDefault="00E552C0" w:rsidP="00E552C0">
      <w:pPr>
        <w:pStyle w:val="Didascalia"/>
        <w:rPr>
          <w:b w:val="0"/>
          <w:bCs w:val="0"/>
          <w:i/>
          <w:color w:val="auto"/>
          <w:szCs w:val="20"/>
        </w:rPr>
      </w:pPr>
      <w:bookmarkStart w:id="8" w:name="_Ref63264528"/>
      <w:r w:rsidRPr="005C7B1E">
        <w:rPr>
          <w:b w:val="0"/>
          <w:bCs w:val="0"/>
          <w:i/>
          <w:color w:val="auto"/>
          <w:szCs w:val="20"/>
        </w:rPr>
        <w:t xml:space="preserve">Figure </w:t>
      </w:r>
      <w:r w:rsidRPr="005C7B1E">
        <w:rPr>
          <w:b w:val="0"/>
          <w:bCs w:val="0"/>
          <w:i/>
          <w:color w:val="auto"/>
          <w:szCs w:val="20"/>
        </w:rPr>
        <w:fldChar w:fldCharType="begin"/>
      </w:r>
      <w:r w:rsidRPr="005C7B1E">
        <w:rPr>
          <w:b w:val="0"/>
          <w:bCs w:val="0"/>
          <w:i/>
          <w:color w:val="auto"/>
          <w:szCs w:val="20"/>
        </w:rPr>
        <w:instrText xml:space="preserve"> SEQ Figure \* ARABIC </w:instrText>
      </w:r>
      <w:r w:rsidRPr="005C7B1E">
        <w:rPr>
          <w:b w:val="0"/>
          <w:bCs w:val="0"/>
          <w:i/>
          <w:color w:val="auto"/>
          <w:szCs w:val="20"/>
        </w:rPr>
        <w:fldChar w:fldCharType="separate"/>
      </w:r>
      <w:r w:rsidR="00C26E88">
        <w:rPr>
          <w:b w:val="0"/>
          <w:bCs w:val="0"/>
          <w:i/>
          <w:noProof/>
          <w:color w:val="auto"/>
          <w:szCs w:val="20"/>
        </w:rPr>
        <w:t>5</w:t>
      </w:r>
      <w:r w:rsidRPr="005C7B1E">
        <w:rPr>
          <w:b w:val="0"/>
          <w:bCs w:val="0"/>
          <w:i/>
          <w:color w:val="auto"/>
          <w:szCs w:val="20"/>
        </w:rPr>
        <w:fldChar w:fldCharType="end"/>
      </w:r>
      <w:bookmarkEnd w:id="8"/>
      <w:r>
        <w:rPr>
          <w:b w:val="0"/>
          <w:bCs w:val="0"/>
          <w:i/>
          <w:color w:val="auto"/>
          <w:szCs w:val="20"/>
        </w:rPr>
        <w:t>.</w:t>
      </w:r>
      <w:r w:rsidRPr="00D47FB1">
        <w:rPr>
          <w:b w:val="0"/>
          <w:bCs w:val="0"/>
          <w:i/>
          <w:color w:val="auto"/>
          <w:szCs w:val="20"/>
        </w:rPr>
        <w:t>B&amp;A plot relevant to field tests</w:t>
      </w:r>
    </w:p>
    <w:p w14:paraId="54D2DA19" w14:textId="77777777" w:rsidR="007F0FC2" w:rsidRPr="007F0FC2" w:rsidRDefault="007F0FC2" w:rsidP="007F0FC2"/>
    <w:p w14:paraId="3805C813" w14:textId="77777777" w:rsidR="00AA7768" w:rsidRDefault="004C48D2" w:rsidP="00FA5F5F">
      <w:pPr>
        <w:pStyle w:val="CETheadingx"/>
      </w:pPr>
      <w:r>
        <w:t>Fenceline monitoring</w:t>
      </w:r>
    </w:p>
    <w:p w14:paraId="23EAE06F" w14:textId="7172C5AB" w:rsidR="000B5E38" w:rsidRDefault="004E170B" w:rsidP="00BF3AFC">
      <w:pPr>
        <w:pStyle w:val="CETBodytext"/>
      </w:pPr>
      <w:r>
        <w:t xml:space="preserve">WT1 data </w:t>
      </w:r>
      <w:r w:rsidR="005F20CD">
        <w:t>relevant to</w:t>
      </w:r>
      <w:r w:rsidR="00BA735F">
        <w:t xml:space="preserve"> the fenceline monitoring period</w:t>
      </w:r>
      <w:r w:rsidR="004C48D2">
        <w:t>, which lasted about 30 days,</w:t>
      </w:r>
      <w:r>
        <w:t xml:space="preserve"> were processed by th</w:t>
      </w:r>
      <w:r w:rsidR="00C963CC">
        <w:t xml:space="preserve">e </w:t>
      </w:r>
      <w:r w:rsidR="00BA735F">
        <w:t>two</w:t>
      </w:r>
      <w:r w:rsidR="00C963CC">
        <w:t xml:space="preserve">-step decisional model, </w:t>
      </w:r>
      <w:r w:rsidR="00BA735F">
        <w:t xml:space="preserve">in order </w:t>
      </w:r>
      <w:r w:rsidR="00C963CC">
        <w:t>determin</w:t>
      </w:r>
      <w:r w:rsidR="007E27E6">
        <w:t>e</w:t>
      </w:r>
      <w:r w:rsidR="00C963CC">
        <w:t xml:space="preserve"> </w:t>
      </w:r>
      <w:r w:rsidR="00BA735F">
        <w:t>odour</w:t>
      </w:r>
      <w:r w:rsidR="00C963CC">
        <w:t xml:space="preserve"> provenance and estimat</w:t>
      </w:r>
      <w:r w:rsidR="007E27E6">
        <w:t>e</w:t>
      </w:r>
      <w:r w:rsidR="00C963CC">
        <w:t xml:space="preserve"> odour concentration.</w:t>
      </w:r>
      <w:r w:rsidR="00B333A0">
        <w:t xml:space="preserve"> </w:t>
      </w:r>
      <w:r w:rsidR="00C963CC">
        <w:t xml:space="preserve">The WT1 </w:t>
      </w:r>
      <w:r w:rsidR="00BA735F">
        <w:t xml:space="preserve">detected </w:t>
      </w:r>
      <w:r w:rsidR="00F10231">
        <w:t>odours attributable to landfill sources for about the 83% of the monitoring period. In detail, the WT1 detected odours attributable to</w:t>
      </w:r>
      <w:r w:rsidR="00C963CC">
        <w:t xml:space="preserve"> Fresh Waste, Landfill gas and Leachate sources for the 47%, 24% and 12</w:t>
      </w:r>
      <w:r w:rsidR="00F10231">
        <w:t>%</w:t>
      </w:r>
      <w:r w:rsidR="00BA735F">
        <w:t xml:space="preserve"> of the monitoring time</w:t>
      </w:r>
      <w:r w:rsidR="00C963CC">
        <w:t xml:space="preserve">, respectively. </w:t>
      </w:r>
      <w:r w:rsidR="0065779A">
        <w:fldChar w:fldCharType="begin"/>
      </w:r>
      <w:r w:rsidR="0065779A">
        <w:instrText xml:space="preserve"> REF _Ref63267122 \h  \* MERGEFORMAT </w:instrText>
      </w:r>
      <w:r w:rsidR="0065779A">
        <w:fldChar w:fldCharType="separate"/>
      </w:r>
      <w:r w:rsidR="00C26E88" w:rsidRPr="00C26E88">
        <w:t>Figure 6</w:t>
      </w:r>
      <w:r w:rsidR="0065779A">
        <w:fldChar w:fldCharType="end"/>
      </w:r>
      <w:r w:rsidR="0065779A">
        <w:t xml:space="preserve"> reports the odour concentration estimated by the IOMS at the fenceline during the monitoring period</w:t>
      </w:r>
      <w:r w:rsidR="00F10231">
        <w:t>.</w:t>
      </w:r>
      <w:r w:rsidR="00C33946">
        <w:t xml:space="preserve"> </w:t>
      </w:r>
      <w:r w:rsidR="00C33946" w:rsidRPr="00C33946">
        <w:t>In general, the odour concentrations estimated</w:t>
      </w:r>
      <w:r w:rsidR="00C33946">
        <w:t>,</w:t>
      </w:r>
      <w:r w:rsidR="00A81D1A">
        <w:t xml:space="preserve"> when L</w:t>
      </w:r>
      <w:r w:rsidR="00C33946" w:rsidRPr="00C33946">
        <w:t>eachate odour events occurred, turned out to be lower than 50 ou</w:t>
      </w:r>
      <w:r w:rsidR="00C33946" w:rsidRPr="00C33946">
        <w:rPr>
          <w:vertAlign w:val="subscript"/>
        </w:rPr>
        <w:t>E</w:t>
      </w:r>
      <w:r w:rsidR="00C33946" w:rsidRPr="00C33946">
        <w:t>/m</w:t>
      </w:r>
      <w:r w:rsidR="00C33946" w:rsidRPr="00C33946">
        <w:rPr>
          <w:vertAlign w:val="superscript"/>
        </w:rPr>
        <w:t>3</w:t>
      </w:r>
      <w:r w:rsidR="00C33946">
        <w:t xml:space="preserve">. </w:t>
      </w:r>
      <w:r w:rsidR="001B31A1">
        <w:t>Conversely</w:t>
      </w:r>
      <w:r w:rsidR="00C33946" w:rsidRPr="00C33946">
        <w:t>, o</w:t>
      </w:r>
      <w:r w:rsidR="00A81D1A">
        <w:t>dours attributed to Landfill G</w:t>
      </w:r>
      <w:r w:rsidR="00C33946" w:rsidRPr="00C33946">
        <w:t xml:space="preserve">as and </w:t>
      </w:r>
      <w:r w:rsidR="00A81D1A">
        <w:t>F</w:t>
      </w:r>
      <w:r w:rsidR="00C33946" w:rsidRPr="00C33946">
        <w:t xml:space="preserve">resh </w:t>
      </w:r>
      <w:r w:rsidR="00A81D1A">
        <w:t>W</w:t>
      </w:r>
      <w:r w:rsidR="00C33946" w:rsidRPr="00C33946">
        <w:t xml:space="preserve">aste </w:t>
      </w:r>
      <w:r w:rsidR="000B5E38">
        <w:t xml:space="preserve">reached </w:t>
      </w:r>
      <w:r w:rsidR="00C33946" w:rsidRPr="00C33946">
        <w:t>concentrations up to 6</w:t>
      </w:r>
      <w:r w:rsidR="00A81D1A">
        <w:t>’</w:t>
      </w:r>
      <w:r w:rsidR="00142077">
        <w:t>00</w:t>
      </w:r>
      <w:r w:rsidR="00C33946" w:rsidRPr="00C33946">
        <w:t xml:space="preserve"> </w:t>
      </w:r>
      <w:r w:rsidR="00D10CCE" w:rsidRPr="00C33946">
        <w:t>ou</w:t>
      </w:r>
      <w:r w:rsidR="00D10CCE" w:rsidRPr="00C33946">
        <w:rPr>
          <w:vertAlign w:val="subscript"/>
        </w:rPr>
        <w:t>E</w:t>
      </w:r>
      <w:r w:rsidR="00D10CCE" w:rsidRPr="00C33946">
        <w:t>/m</w:t>
      </w:r>
      <w:r w:rsidR="00D10CCE" w:rsidRPr="00C33946">
        <w:rPr>
          <w:vertAlign w:val="superscript"/>
        </w:rPr>
        <w:t>3</w:t>
      </w:r>
      <w:r w:rsidR="00C33946" w:rsidRPr="00C33946">
        <w:t xml:space="preserve"> and 10</w:t>
      </w:r>
      <w:r w:rsidR="00A81D1A">
        <w:t>’</w:t>
      </w:r>
      <w:r w:rsidR="00C33946" w:rsidRPr="00C33946">
        <w:t>00 ou</w:t>
      </w:r>
      <w:r w:rsidR="00C33946" w:rsidRPr="00D10CCE">
        <w:rPr>
          <w:vertAlign w:val="subscript"/>
        </w:rPr>
        <w:t>E</w:t>
      </w:r>
      <w:r w:rsidR="00C33946" w:rsidRPr="00C33946">
        <w:t>/m</w:t>
      </w:r>
      <w:r w:rsidR="00C33946" w:rsidRPr="00D10CCE">
        <w:rPr>
          <w:vertAlign w:val="superscript"/>
        </w:rPr>
        <w:t>3</w:t>
      </w:r>
      <w:r w:rsidR="00C33946" w:rsidRPr="00C33946">
        <w:t>, respectively.</w:t>
      </w:r>
      <w:r w:rsidR="00E351F7">
        <w:t xml:space="preserve"> </w:t>
      </w:r>
      <w:r w:rsidR="00142077" w:rsidRPr="00C33946">
        <w:t xml:space="preserve">The high concentrations </w:t>
      </w:r>
      <w:r w:rsidR="00142077">
        <w:t>related to</w:t>
      </w:r>
      <w:r w:rsidR="00142077" w:rsidRPr="00C33946">
        <w:t xml:space="preserve"> landfill gas </w:t>
      </w:r>
      <w:r w:rsidR="00142077">
        <w:t xml:space="preserve">detection </w:t>
      </w:r>
      <w:r w:rsidR="00142077" w:rsidRPr="00C33946">
        <w:t>could be related to the proxi</w:t>
      </w:r>
      <w:r w:rsidR="00142077">
        <w:t>mity of the WT1 location to the l</w:t>
      </w:r>
      <w:r w:rsidR="00142077" w:rsidRPr="00C33946">
        <w:t xml:space="preserve">andfill gas </w:t>
      </w:r>
      <w:r w:rsidR="00142077">
        <w:t>pumping station. Instead, t</w:t>
      </w:r>
      <w:r w:rsidR="00142077" w:rsidRPr="00142077">
        <w:rPr>
          <w:lang w:val="en-GB"/>
        </w:rPr>
        <w:t xml:space="preserve">he high concentration levels associated with the recognition of the “fresh waste” class could be explained considering that, because of its location, the </w:t>
      </w:r>
      <w:r w:rsidR="00142077">
        <w:rPr>
          <w:lang w:val="en-GB"/>
        </w:rPr>
        <w:t>WT1</w:t>
      </w:r>
      <w:r w:rsidR="00142077" w:rsidRPr="00142077">
        <w:rPr>
          <w:lang w:val="en-GB"/>
        </w:rPr>
        <w:t xml:space="preserve"> analyses could have been affected by the odour caused by the trucks transporting the waste to the landfill.</w:t>
      </w:r>
      <w:r w:rsidR="00142077" w:rsidRPr="00142077">
        <w:t>The analysis of results highlighted that when the odour concentration at fenceline was above 600 ouE/m3 and the meteorological condition were favourable (wind blew from north to south) an odour event at receptor occurred.</w:t>
      </w:r>
    </w:p>
    <w:p w14:paraId="5B161EF7" w14:textId="77777777" w:rsidR="00142077" w:rsidRDefault="00142077" w:rsidP="00BF3AFC">
      <w:pPr>
        <w:pStyle w:val="CETBodytext"/>
      </w:pPr>
    </w:p>
    <w:p w14:paraId="2953F559" w14:textId="45B85BA1" w:rsidR="00C0528F" w:rsidRDefault="00353263" w:rsidP="00142077">
      <w:pPr>
        <w:pStyle w:val="CETBodytext"/>
        <w:keepNext/>
        <w:jc w:val="center"/>
      </w:pPr>
      <w:r>
        <w:rPr>
          <w:noProof/>
          <w:lang w:val="it-IT" w:eastAsia="it-IT"/>
        </w:rPr>
        <w:drawing>
          <wp:inline distT="0" distB="0" distL="0" distR="0" wp14:anchorId="7DDAE883" wp14:editId="45D72FFC">
            <wp:extent cx="5137700" cy="2361235"/>
            <wp:effectExtent l="19050" t="19050" r="25400" b="2032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45730" cy="236492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14F8330C" w14:textId="5B22E119" w:rsidR="00C0528F" w:rsidRPr="00C0528F" w:rsidRDefault="00C0528F" w:rsidP="00C0528F">
      <w:pPr>
        <w:pStyle w:val="Didascalia"/>
        <w:rPr>
          <w:b w:val="0"/>
          <w:bCs w:val="0"/>
          <w:i/>
          <w:color w:val="auto"/>
          <w:szCs w:val="20"/>
        </w:rPr>
      </w:pPr>
      <w:bookmarkStart w:id="9" w:name="_Ref63267122"/>
      <w:r w:rsidRPr="00C0528F">
        <w:rPr>
          <w:b w:val="0"/>
          <w:bCs w:val="0"/>
          <w:i/>
          <w:color w:val="auto"/>
          <w:szCs w:val="20"/>
        </w:rPr>
        <w:t xml:space="preserve">Figure </w:t>
      </w:r>
      <w:r w:rsidRPr="00C0528F">
        <w:rPr>
          <w:b w:val="0"/>
          <w:bCs w:val="0"/>
          <w:i/>
          <w:color w:val="auto"/>
          <w:szCs w:val="20"/>
        </w:rPr>
        <w:fldChar w:fldCharType="begin"/>
      </w:r>
      <w:r w:rsidRPr="00C0528F">
        <w:rPr>
          <w:b w:val="0"/>
          <w:bCs w:val="0"/>
          <w:i/>
          <w:color w:val="auto"/>
          <w:szCs w:val="20"/>
        </w:rPr>
        <w:instrText xml:space="preserve"> SEQ Figure \* ARABIC </w:instrText>
      </w:r>
      <w:r w:rsidRPr="00C0528F">
        <w:rPr>
          <w:b w:val="0"/>
          <w:bCs w:val="0"/>
          <w:i/>
          <w:color w:val="auto"/>
          <w:szCs w:val="20"/>
        </w:rPr>
        <w:fldChar w:fldCharType="separate"/>
      </w:r>
      <w:r w:rsidR="00C26E88">
        <w:rPr>
          <w:b w:val="0"/>
          <w:bCs w:val="0"/>
          <w:i/>
          <w:noProof/>
          <w:color w:val="auto"/>
          <w:szCs w:val="20"/>
        </w:rPr>
        <w:t>6</w:t>
      </w:r>
      <w:r w:rsidRPr="00C0528F">
        <w:rPr>
          <w:b w:val="0"/>
          <w:bCs w:val="0"/>
          <w:i/>
          <w:color w:val="auto"/>
          <w:szCs w:val="20"/>
        </w:rPr>
        <w:fldChar w:fldCharType="end"/>
      </w:r>
      <w:bookmarkEnd w:id="9"/>
      <w:r w:rsidRPr="00C0528F">
        <w:rPr>
          <w:b w:val="0"/>
          <w:bCs w:val="0"/>
          <w:i/>
          <w:color w:val="auto"/>
          <w:szCs w:val="20"/>
        </w:rPr>
        <w:t xml:space="preserve">. Odour concentrations </w:t>
      </w:r>
      <w:r w:rsidR="000B5E38">
        <w:rPr>
          <w:b w:val="0"/>
          <w:bCs w:val="0"/>
          <w:i/>
          <w:color w:val="auto"/>
          <w:szCs w:val="20"/>
        </w:rPr>
        <w:t>measured by the IOMS</w:t>
      </w:r>
      <w:r w:rsidR="000B5E38" w:rsidRPr="00C0528F">
        <w:rPr>
          <w:b w:val="0"/>
          <w:bCs w:val="0"/>
          <w:i/>
          <w:color w:val="auto"/>
          <w:szCs w:val="20"/>
        </w:rPr>
        <w:t xml:space="preserve"> </w:t>
      </w:r>
      <w:r w:rsidRPr="00C0528F">
        <w:rPr>
          <w:b w:val="0"/>
          <w:bCs w:val="0"/>
          <w:i/>
          <w:color w:val="auto"/>
          <w:szCs w:val="20"/>
        </w:rPr>
        <w:t xml:space="preserve">at the </w:t>
      </w:r>
      <w:r w:rsidR="000B5E38">
        <w:rPr>
          <w:b w:val="0"/>
          <w:bCs w:val="0"/>
          <w:i/>
          <w:color w:val="auto"/>
          <w:szCs w:val="20"/>
        </w:rPr>
        <w:t xml:space="preserve">landfill </w:t>
      </w:r>
      <w:r w:rsidRPr="00C0528F">
        <w:rPr>
          <w:b w:val="0"/>
          <w:bCs w:val="0"/>
          <w:i/>
          <w:color w:val="auto"/>
          <w:szCs w:val="20"/>
        </w:rPr>
        <w:t>fenceline during the monitoring period</w:t>
      </w:r>
    </w:p>
    <w:p w14:paraId="10CB136D" w14:textId="77777777" w:rsidR="00600535" w:rsidRPr="00B57B36" w:rsidRDefault="00600535" w:rsidP="00600535">
      <w:pPr>
        <w:pStyle w:val="CETHeading1"/>
        <w:rPr>
          <w:lang w:val="en-GB"/>
        </w:rPr>
      </w:pPr>
      <w:r w:rsidRPr="00B57B36">
        <w:rPr>
          <w:lang w:val="en-GB"/>
        </w:rPr>
        <w:lastRenderedPageBreak/>
        <w:t>Conclusions</w:t>
      </w:r>
    </w:p>
    <w:p w14:paraId="59B4FBB0" w14:textId="481F07D3" w:rsidR="00624547" w:rsidRDefault="009C0761" w:rsidP="009C0761">
      <w:pPr>
        <w:pStyle w:val="CETBodytext"/>
      </w:pPr>
      <w:r>
        <w:t>This paper</w:t>
      </w:r>
      <w:r w:rsidR="009C798E">
        <w:t xml:space="preserve"> </w:t>
      </w:r>
      <w:r w:rsidR="004C48D2">
        <w:t>describe</w:t>
      </w:r>
      <w:r w:rsidR="000B5E38">
        <w:t>s</w:t>
      </w:r>
      <w:r w:rsidR="004C48D2">
        <w:t xml:space="preserve"> the monitoring of odorous emissions at the fenceline </w:t>
      </w:r>
      <w:r w:rsidR="00C753A2">
        <w:t xml:space="preserve">of a </w:t>
      </w:r>
      <w:r w:rsidR="000B5E38">
        <w:t xml:space="preserve">MSW </w:t>
      </w:r>
      <w:r w:rsidR="00C753A2">
        <w:t xml:space="preserve">landfill </w:t>
      </w:r>
      <w:r w:rsidR="00110567">
        <w:t>by an IOMS, which</w:t>
      </w:r>
      <w:r w:rsidR="000B5E38">
        <w:t xml:space="preserve"> proved capable to</w:t>
      </w:r>
      <w:r w:rsidR="00DA1C56">
        <w:t xml:space="preserve"> provide</w:t>
      </w:r>
      <w:r w:rsidR="00110567">
        <w:t xml:space="preserve"> a real-time qualitative and quantitative characterization of the </w:t>
      </w:r>
      <w:r w:rsidR="000B5E38">
        <w:t xml:space="preserve">odours in </w:t>
      </w:r>
      <w:r w:rsidR="00110567">
        <w:t xml:space="preserve">ambient air. </w:t>
      </w:r>
      <w:r w:rsidR="00C753A2">
        <w:t xml:space="preserve">In order to assess </w:t>
      </w:r>
      <w:r w:rsidR="00110567">
        <w:t xml:space="preserve">the </w:t>
      </w:r>
      <w:r>
        <w:t xml:space="preserve">IOMS </w:t>
      </w:r>
      <w:r w:rsidR="000B5E38">
        <w:t xml:space="preserve">odour </w:t>
      </w:r>
      <w:r>
        <w:t>quantification capability</w:t>
      </w:r>
      <w:r w:rsidR="00110567">
        <w:t xml:space="preserve">, this paper </w:t>
      </w:r>
      <w:r w:rsidR="000B5E38">
        <w:t xml:space="preserve">applies </w:t>
      </w:r>
      <w:r w:rsidR="00C753A2">
        <w:t>a</w:t>
      </w:r>
      <w:r w:rsidR="00110567">
        <w:t xml:space="preserve"> specific procedure </w:t>
      </w:r>
      <w:r w:rsidR="00CA73A6">
        <w:t>based on the adoption of the</w:t>
      </w:r>
      <w:r w:rsidR="002B31E4">
        <w:t xml:space="preserve"> Bland</w:t>
      </w:r>
      <w:r w:rsidR="000B5E38">
        <w:t>-</w:t>
      </w:r>
      <w:r w:rsidR="002B31E4">
        <w:t>Altman method</w:t>
      </w:r>
      <w:r w:rsidR="00CA73A6">
        <w:t>.</w:t>
      </w:r>
      <w:r w:rsidR="004C48D2">
        <w:t xml:space="preserve"> The B&amp;A approach </w:t>
      </w:r>
      <w:r w:rsidR="00A161D3">
        <w:t xml:space="preserve">allows </w:t>
      </w:r>
      <w:r w:rsidR="004C48D2">
        <w:t>evaluat</w:t>
      </w:r>
      <w:r w:rsidR="00A161D3">
        <w:t>ing</w:t>
      </w:r>
      <w:r w:rsidR="004C48D2">
        <w:t xml:space="preserve"> </w:t>
      </w:r>
      <w:r w:rsidR="002B31E4">
        <w:t>the agreement</w:t>
      </w:r>
      <w:r>
        <w:t xml:space="preserve"> </w:t>
      </w:r>
      <w:r w:rsidR="00A161D3">
        <w:t xml:space="preserve">between two uncertain </w:t>
      </w:r>
      <w:r w:rsidR="000B5E38">
        <w:t xml:space="preserve">measurement </w:t>
      </w:r>
      <w:r w:rsidR="00A161D3">
        <w:t>methods</w:t>
      </w:r>
      <w:r w:rsidR="00110567">
        <w:t xml:space="preserve">, as it is the case </w:t>
      </w:r>
      <w:r w:rsidR="000B5E38">
        <w:t>for</w:t>
      </w:r>
      <w:r w:rsidR="00110567">
        <w:t xml:space="preserve"> </w:t>
      </w:r>
      <w:r w:rsidR="00CA73A6">
        <w:t xml:space="preserve">IOMS and </w:t>
      </w:r>
      <w:r w:rsidR="00110567">
        <w:t>dynamic olfactometry,</w:t>
      </w:r>
      <w:r w:rsidR="00A161D3">
        <w:t xml:space="preserve"> by studying the mean difference (i.e., bias) and constructing </w:t>
      </w:r>
      <w:r w:rsidR="00CA73A6">
        <w:t xml:space="preserve">the </w:t>
      </w:r>
      <w:r w:rsidR="00A161D3">
        <w:t xml:space="preserve">limits of agreement. </w:t>
      </w:r>
    </w:p>
    <w:p w14:paraId="0F286688" w14:textId="05850E34" w:rsidR="00110567" w:rsidRDefault="00110567" w:rsidP="009C0761">
      <w:pPr>
        <w:pStyle w:val="CETBodytext"/>
      </w:pPr>
      <w:r>
        <w:t xml:space="preserve">The results achieved proved the </w:t>
      </w:r>
      <w:r w:rsidR="000B5E38">
        <w:t xml:space="preserve">effectiveness </w:t>
      </w:r>
      <w:r w:rsidR="00F32EE3">
        <w:t xml:space="preserve">of the IOMS </w:t>
      </w:r>
      <w:r w:rsidR="000B5E38">
        <w:t>us</w:t>
      </w:r>
      <w:r w:rsidR="00F32EE3">
        <w:t>ed for the study</w:t>
      </w:r>
      <w:r w:rsidR="000B5E38">
        <w:t xml:space="preserve"> and the specifically developed two-step decisional model</w:t>
      </w:r>
      <w:r w:rsidR="00F32EE3">
        <w:t xml:space="preserve"> to provide reliable estimations of the odour concentration at the plant fenceline</w:t>
      </w:r>
      <w:r w:rsidR="000B5E38">
        <w:t>. These results could be used to</w:t>
      </w:r>
      <w:r w:rsidR="00F32EE3">
        <w:t xml:space="preserve"> set “war</w:t>
      </w:r>
      <w:r w:rsidR="000B5E38">
        <w:t>n</w:t>
      </w:r>
      <w:r w:rsidR="00F32EE3">
        <w:t>ing” thresholds</w:t>
      </w:r>
      <w:r w:rsidR="000B5E38">
        <w:t xml:space="preserve"> at the plant fenceline, with the aim </w:t>
      </w:r>
      <w:r w:rsidR="00F32EE3">
        <w:t>to provide real-time information</w:t>
      </w:r>
      <w:r w:rsidR="000B5E38">
        <w:t xml:space="preserve"> about the occurrence of odour episodes</w:t>
      </w:r>
      <w:r w:rsidR="00B333A0">
        <w:t>,</w:t>
      </w:r>
      <w:r w:rsidR="000B5E38">
        <w:t xml:space="preserve"> which might cause the perception of odours outside the plants, and thus allow rapid interventions to prevent them</w:t>
      </w:r>
      <w:r w:rsidR="00F32EE3">
        <w:t>.</w:t>
      </w:r>
    </w:p>
    <w:p w14:paraId="1BF22FD9" w14:textId="77777777" w:rsidR="0070697A" w:rsidRDefault="00600535" w:rsidP="00600535">
      <w:pPr>
        <w:pStyle w:val="CETReference"/>
      </w:pPr>
      <w:r w:rsidRPr="00B57B36">
        <w:t>References</w:t>
      </w:r>
    </w:p>
    <w:p w14:paraId="4C7EC5D8" w14:textId="0DD98526" w:rsidR="007C79D8" w:rsidRPr="007C79D8" w:rsidRDefault="007C79D8" w:rsidP="007C79D8">
      <w:pPr>
        <w:pStyle w:val="CETReferencetext"/>
        <w:rPr>
          <w:noProof/>
        </w:rPr>
      </w:pPr>
      <w:r>
        <w:rPr>
          <w:noProof/>
        </w:rPr>
        <w:t>Bax</w:t>
      </w:r>
      <w:r w:rsidRPr="007C79D8">
        <w:rPr>
          <w:noProof/>
        </w:rPr>
        <w:t>, C.</w:t>
      </w:r>
      <w:r>
        <w:rPr>
          <w:noProof/>
        </w:rPr>
        <w:t>; Sironi, S.; Capelli, L</w:t>
      </w:r>
      <w:r w:rsidRPr="007C79D8">
        <w:rPr>
          <w:noProof/>
        </w:rPr>
        <w:t xml:space="preserve">. Application and performance verification of electronic noses for landfill odour </w:t>
      </w:r>
      <w:r w:rsidR="00C90E10">
        <w:rPr>
          <w:noProof/>
        </w:rPr>
        <w:t>m</w:t>
      </w:r>
      <w:r w:rsidRPr="007C79D8">
        <w:rPr>
          <w:noProof/>
        </w:rPr>
        <w:t>onitoring. In: CISA, Sardinia2019 17</w:t>
      </w:r>
      <w:r w:rsidRPr="00C90E10">
        <w:rPr>
          <w:noProof/>
          <w:vertAlign w:val="superscript"/>
        </w:rPr>
        <w:t>th</w:t>
      </w:r>
      <w:r w:rsidRPr="007C79D8">
        <w:rPr>
          <w:noProof/>
        </w:rPr>
        <w:t xml:space="preserve"> International Waste Management and Landfill Symposium, 2019.</w:t>
      </w:r>
    </w:p>
    <w:p w14:paraId="33EBDBDF" w14:textId="161AF085" w:rsidR="007C79D8" w:rsidRPr="007C79D8" w:rsidRDefault="007C79D8" w:rsidP="007C79D8">
      <w:pPr>
        <w:pStyle w:val="CETReferencetext"/>
        <w:rPr>
          <w:noProof/>
        </w:rPr>
      </w:pPr>
      <w:r w:rsidRPr="007C79D8">
        <w:rPr>
          <w:noProof/>
        </w:rPr>
        <w:t>B</w:t>
      </w:r>
      <w:r w:rsidR="00C90E10">
        <w:rPr>
          <w:noProof/>
        </w:rPr>
        <w:t>ax</w:t>
      </w:r>
      <w:r w:rsidRPr="007C79D8">
        <w:rPr>
          <w:noProof/>
        </w:rPr>
        <w:t>, C.; S</w:t>
      </w:r>
      <w:r w:rsidR="00C90E10">
        <w:rPr>
          <w:noProof/>
        </w:rPr>
        <w:t>ironi, S.; Capelli</w:t>
      </w:r>
      <w:r w:rsidRPr="007C79D8">
        <w:rPr>
          <w:noProof/>
        </w:rPr>
        <w:t xml:space="preserve">, L. Definition and Application of a Protocol for Electronic Nose Field Performance Testing: Example of Odor Monitoring from a Tire Storage Area. </w:t>
      </w:r>
      <w:r w:rsidRPr="00C90E10">
        <w:rPr>
          <w:noProof/>
        </w:rPr>
        <w:t>Atmosphere</w:t>
      </w:r>
      <w:r w:rsidRPr="007C79D8">
        <w:rPr>
          <w:b/>
          <w:noProof/>
        </w:rPr>
        <w:t xml:space="preserve">, </w:t>
      </w:r>
      <w:r w:rsidRPr="007C79D8">
        <w:rPr>
          <w:noProof/>
        </w:rPr>
        <w:t xml:space="preserve">v. 11, n. 4, </w:t>
      </w:r>
      <w:r w:rsidR="00C90E10">
        <w:rPr>
          <w:noProof/>
        </w:rPr>
        <w:t>p. 426,  2020a.</w:t>
      </w:r>
    </w:p>
    <w:p w14:paraId="4D9D6943" w14:textId="3B0C2245" w:rsidR="007C79D8" w:rsidRPr="007C79D8" w:rsidRDefault="00C90E10" w:rsidP="007C79D8">
      <w:pPr>
        <w:pStyle w:val="CETReferencetext"/>
        <w:rPr>
          <w:noProof/>
        </w:rPr>
      </w:pPr>
      <w:r w:rsidRPr="007C79D8">
        <w:rPr>
          <w:noProof/>
        </w:rPr>
        <w:t>B</w:t>
      </w:r>
      <w:r>
        <w:rPr>
          <w:noProof/>
        </w:rPr>
        <w:t>ax</w:t>
      </w:r>
      <w:r w:rsidRPr="007C79D8">
        <w:rPr>
          <w:noProof/>
        </w:rPr>
        <w:t>, C.; S</w:t>
      </w:r>
      <w:r>
        <w:rPr>
          <w:noProof/>
        </w:rPr>
        <w:t>ironi, S.; Capelli</w:t>
      </w:r>
      <w:r w:rsidRPr="007C79D8">
        <w:rPr>
          <w:noProof/>
        </w:rPr>
        <w:t>, L.</w:t>
      </w:r>
      <w:r w:rsidR="007C79D8" w:rsidRPr="007C79D8">
        <w:rPr>
          <w:noProof/>
        </w:rPr>
        <w:t xml:space="preserve"> How Can Odors Be Measured? An Overview of Methods and Their Applications. </w:t>
      </w:r>
      <w:r w:rsidR="007C79D8" w:rsidRPr="00C90E10">
        <w:rPr>
          <w:noProof/>
        </w:rPr>
        <w:t>Atmosphere</w:t>
      </w:r>
      <w:r w:rsidR="007C79D8" w:rsidRPr="007C79D8">
        <w:rPr>
          <w:b/>
          <w:noProof/>
        </w:rPr>
        <w:t xml:space="preserve">, </w:t>
      </w:r>
      <w:r w:rsidR="007C79D8" w:rsidRPr="007C79D8">
        <w:rPr>
          <w:noProof/>
        </w:rPr>
        <w:t xml:space="preserve">v. 11, n. 1, p. 92,  2020b. </w:t>
      </w:r>
    </w:p>
    <w:p w14:paraId="06843B10" w14:textId="0F851284" w:rsidR="007C79D8" w:rsidRPr="007C79D8" w:rsidRDefault="007C79D8" w:rsidP="007C79D8">
      <w:pPr>
        <w:pStyle w:val="CETReferencetext"/>
        <w:rPr>
          <w:noProof/>
        </w:rPr>
      </w:pPr>
      <w:r w:rsidRPr="007C79D8">
        <w:rPr>
          <w:noProof/>
        </w:rPr>
        <w:t>B</w:t>
      </w:r>
      <w:r w:rsidR="00C90E10">
        <w:rPr>
          <w:noProof/>
        </w:rPr>
        <w:t>land</w:t>
      </w:r>
      <w:r w:rsidRPr="007C79D8">
        <w:rPr>
          <w:noProof/>
        </w:rPr>
        <w:t>, J.M.; A</w:t>
      </w:r>
      <w:r w:rsidR="00C90E10">
        <w:rPr>
          <w:noProof/>
        </w:rPr>
        <w:t>ltman</w:t>
      </w:r>
      <w:r w:rsidRPr="007C79D8">
        <w:rPr>
          <w:noProof/>
        </w:rPr>
        <w:t xml:space="preserve">, D.G. Comparing methods of measurement: why plotting difference against standard method is misleading. </w:t>
      </w:r>
      <w:r w:rsidRPr="00C90E10">
        <w:rPr>
          <w:noProof/>
        </w:rPr>
        <w:t>Lancet</w:t>
      </w:r>
      <w:r w:rsidRPr="007C79D8">
        <w:rPr>
          <w:b/>
          <w:noProof/>
        </w:rPr>
        <w:t xml:space="preserve">, </w:t>
      </w:r>
      <w:r w:rsidR="00C90E10">
        <w:rPr>
          <w:noProof/>
        </w:rPr>
        <w:t>v. 346, n. 8982, p. 1085-7</w:t>
      </w:r>
      <w:r w:rsidRPr="007C79D8">
        <w:rPr>
          <w:noProof/>
        </w:rPr>
        <w:t xml:space="preserve">.  </w:t>
      </w:r>
    </w:p>
    <w:p w14:paraId="67064642" w14:textId="0BEB22FA" w:rsidR="007C79D8" w:rsidRPr="007C79D8" w:rsidRDefault="007C79D8" w:rsidP="007C79D8">
      <w:pPr>
        <w:pStyle w:val="CETReferencetext"/>
        <w:rPr>
          <w:noProof/>
        </w:rPr>
      </w:pPr>
      <w:r w:rsidRPr="007C79D8">
        <w:rPr>
          <w:noProof/>
        </w:rPr>
        <w:t>B</w:t>
      </w:r>
      <w:r w:rsidR="00C90E10">
        <w:rPr>
          <w:noProof/>
        </w:rPr>
        <w:t>land</w:t>
      </w:r>
      <w:r w:rsidRPr="007C79D8">
        <w:rPr>
          <w:noProof/>
        </w:rPr>
        <w:t>, J.M.; A</w:t>
      </w:r>
      <w:r w:rsidR="00C90E10">
        <w:rPr>
          <w:noProof/>
        </w:rPr>
        <w:t>ltman,</w:t>
      </w:r>
      <w:r w:rsidRPr="007C79D8">
        <w:rPr>
          <w:noProof/>
        </w:rPr>
        <w:t xml:space="preserve"> D.G. Measuring agreement in method comparison studies. </w:t>
      </w:r>
      <w:r w:rsidRPr="00C90E10">
        <w:rPr>
          <w:noProof/>
        </w:rPr>
        <w:t>Stat Methods Med Res,</w:t>
      </w:r>
      <w:r w:rsidRPr="007C79D8">
        <w:rPr>
          <w:b/>
          <w:noProof/>
        </w:rPr>
        <w:t xml:space="preserve"> </w:t>
      </w:r>
      <w:r w:rsidRPr="007C79D8">
        <w:rPr>
          <w:noProof/>
        </w:rPr>
        <w:t xml:space="preserve">v. 8, n. 2, p. 135-60, 1999. </w:t>
      </w:r>
    </w:p>
    <w:p w14:paraId="188EF478" w14:textId="0A80E576" w:rsidR="007C79D8" w:rsidRPr="007C79D8" w:rsidRDefault="007C79D8" w:rsidP="007C79D8">
      <w:pPr>
        <w:pStyle w:val="CETReferencetext"/>
        <w:rPr>
          <w:noProof/>
        </w:rPr>
      </w:pPr>
      <w:r w:rsidRPr="007C79D8">
        <w:rPr>
          <w:noProof/>
        </w:rPr>
        <w:t>C</w:t>
      </w:r>
      <w:r w:rsidR="00C90E10">
        <w:rPr>
          <w:noProof/>
        </w:rPr>
        <w:t>angialosi, F.; Intini</w:t>
      </w:r>
      <w:r w:rsidRPr="007C79D8">
        <w:rPr>
          <w:noProof/>
        </w:rPr>
        <w:t>, G.; C</w:t>
      </w:r>
      <w:r w:rsidR="00C90E10">
        <w:rPr>
          <w:noProof/>
        </w:rPr>
        <w:t>olucci</w:t>
      </w:r>
      <w:r w:rsidRPr="007C79D8">
        <w:rPr>
          <w:noProof/>
        </w:rPr>
        <w:t xml:space="preserve">, D. On line monitoring of odour nuisance at a sanitary landfill for non-hazardous waste. </w:t>
      </w:r>
      <w:r w:rsidRPr="00C90E10">
        <w:rPr>
          <w:noProof/>
        </w:rPr>
        <w:t>Chemical Engineering Transactions,</w:t>
      </w:r>
      <w:r w:rsidRPr="007C79D8">
        <w:rPr>
          <w:b/>
          <w:noProof/>
        </w:rPr>
        <w:t xml:space="preserve"> </w:t>
      </w:r>
      <w:r w:rsidRPr="007C79D8">
        <w:rPr>
          <w:noProof/>
        </w:rPr>
        <w:t xml:space="preserve">v. 68, p. 127-132,  2018.  </w:t>
      </w:r>
    </w:p>
    <w:p w14:paraId="34E1949C" w14:textId="63D7193E" w:rsidR="007C79D8" w:rsidRPr="007C79D8" w:rsidRDefault="007C79D8" w:rsidP="00C90E10">
      <w:pPr>
        <w:tabs>
          <w:tab w:val="clear" w:pos="7100"/>
        </w:tabs>
        <w:autoSpaceDE w:val="0"/>
        <w:autoSpaceDN w:val="0"/>
        <w:adjustRightInd w:val="0"/>
        <w:spacing w:line="240" w:lineRule="auto"/>
        <w:jc w:val="left"/>
        <w:rPr>
          <w:noProof/>
        </w:rPr>
      </w:pPr>
      <w:r w:rsidRPr="007C79D8">
        <w:rPr>
          <w:noProof/>
        </w:rPr>
        <w:t>D</w:t>
      </w:r>
      <w:r w:rsidR="00C90E10">
        <w:rPr>
          <w:noProof/>
        </w:rPr>
        <w:t xml:space="preserve">eshmukh, S. </w:t>
      </w:r>
      <w:r w:rsidR="00C90E10" w:rsidRPr="00C90E10">
        <w:rPr>
          <w:noProof/>
        </w:rPr>
        <w:t>Bandyopadhyay, R.; Bhattacharyya, N.; Pandey, R. A.; Jana, A</w:t>
      </w:r>
      <w:r w:rsidRPr="007C79D8">
        <w:rPr>
          <w:noProof/>
        </w:rPr>
        <w:t xml:space="preserve">. Application of electronic nose for industrial odors and gaseous emissions measurement and monitoring – An overview. </w:t>
      </w:r>
      <w:r w:rsidRPr="00C90E10">
        <w:rPr>
          <w:noProof/>
        </w:rPr>
        <w:t xml:space="preserve">Talanta, </w:t>
      </w:r>
      <w:r w:rsidR="00C90E10">
        <w:rPr>
          <w:noProof/>
        </w:rPr>
        <w:t>v. 144, p. 329-340, 2015</w:t>
      </w:r>
      <w:r w:rsidRPr="007C79D8">
        <w:rPr>
          <w:noProof/>
        </w:rPr>
        <w:t xml:space="preserve">. </w:t>
      </w:r>
    </w:p>
    <w:p w14:paraId="195D196E" w14:textId="520A118C" w:rsidR="007C79D8" w:rsidRPr="006B522E" w:rsidRDefault="00C90E10" w:rsidP="007C79D8">
      <w:pPr>
        <w:pStyle w:val="CETReferencetext"/>
        <w:rPr>
          <w:noProof/>
          <w:lang w:val="de-DE"/>
        </w:rPr>
      </w:pPr>
      <w:r>
        <w:rPr>
          <w:noProof/>
        </w:rPr>
        <w:t>EN13725:</w:t>
      </w:r>
      <w:r w:rsidR="007C79D8" w:rsidRPr="007C79D8">
        <w:rPr>
          <w:noProof/>
        </w:rPr>
        <w:t xml:space="preserve"> </w:t>
      </w:r>
      <w:r w:rsidR="007C79D8" w:rsidRPr="00C90E10">
        <w:rPr>
          <w:noProof/>
        </w:rPr>
        <w:t>Air Quality-Determination of Odour Concen</w:t>
      </w:r>
      <w:r>
        <w:rPr>
          <w:noProof/>
        </w:rPr>
        <w:t>tration by Dynamic Olfactometry</w:t>
      </w:r>
      <w:r w:rsidR="007C79D8" w:rsidRPr="00C90E10">
        <w:rPr>
          <w:noProof/>
        </w:rPr>
        <w:t>.</w:t>
      </w:r>
      <w:r>
        <w:rPr>
          <w:noProof/>
        </w:rPr>
        <w:t xml:space="preserve"> </w:t>
      </w:r>
      <w:r w:rsidRPr="006B522E">
        <w:rPr>
          <w:noProof/>
          <w:lang w:val="de-DE"/>
        </w:rPr>
        <w:t xml:space="preserve">Brussels, Belgium, </w:t>
      </w:r>
      <w:r w:rsidR="007C79D8" w:rsidRPr="006B522E">
        <w:rPr>
          <w:noProof/>
          <w:lang w:val="de-DE"/>
        </w:rPr>
        <w:t>2003.</w:t>
      </w:r>
    </w:p>
    <w:p w14:paraId="4F4D0F01" w14:textId="03892F8A" w:rsidR="007C79D8" w:rsidRPr="006B522E" w:rsidRDefault="007C79D8" w:rsidP="007C79D8">
      <w:pPr>
        <w:pStyle w:val="CETReferencetext"/>
        <w:rPr>
          <w:noProof/>
          <w:lang w:val="de-DE"/>
        </w:rPr>
      </w:pPr>
      <w:r w:rsidRPr="006B522E">
        <w:rPr>
          <w:noProof/>
          <w:lang w:val="de-DE"/>
        </w:rPr>
        <w:t>G</w:t>
      </w:r>
      <w:r w:rsidR="00C90E10" w:rsidRPr="006B522E">
        <w:rPr>
          <w:noProof/>
          <w:lang w:val="de-DE"/>
        </w:rPr>
        <w:t>iavarina</w:t>
      </w:r>
      <w:r w:rsidRPr="006B522E">
        <w:rPr>
          <w:noProof/>
          <w:lang w:val="de-DE"/>
        </w:rPr>
        <w:t xml:space="preserve">, D. Understanding Bland Altman analysis. Biochemia medica, v. 25, n. 2, p. 141-151,  2015. </w:t>
      </w:r>
    </w:p>
    <w:p w14:paraId="348CAD22" w14:textId="27CD8914" w:rsidR="007C79D8" w:rsidRPr="007C79D8" w:rsidRDefault="007C79D8" w:rsidP="007C79D8">
      <w:pPr>
        <w:pStyle w:val="CETReferencetext"/>
        <w:rPr>
          <w:noProof/>
        </w:rPr>
      </w:pPr>
      <w:r w:rsidRPr="007C79D8">
        <w:rPr>
          <w:noProof/>
        </w:rPr>
        <w:t>L</w:t>
      </w:r>
      <w:r w:rsidR="00C90E10">
        <w:rPr>
          <w:noProof/>
        </w:rPr>
        <w:t>aor</w:t>
      </w:r>
      <w:r w:rsidRPr="007C79D8">
        <w:rPr>
          <w:noProof/>
        </w:rPr>
        <w:t>, Y.; P</w:t>
      </w:r>
      <w:r w:rsidR="00C90E10">
        <w:rPr>
          <w:noProof/>
        </w:rPr>
        <w:t>arker</w:t>
      </w:r>
      <w:r w:rsidRPr="007C79D8">
        <w:rPr>
          <w:noProof/>
        </w:rPr>
        <w:t>, D.; P</w:t>
      </w:r>
      <w:r w:rsidR="00C90E10">
        <w:rPr>
          <w:noProof/>
        </w:rPr>
        <w:t>age</w:t>
      </w:r>
      <w:r w:rsidRPr="007C79D8">
        <w:rPr>
          <w:noProof/>
        </w:rPr>
        <w:t xml:space="preserve">, T. Measurement, prediction, and monitoring of odors in the environment: A critical review. </w:t>
      </w:r>
      <w:r w:rsidRPr="00C90E10">
        <w:rPr>
          <w:noProof/>
        </w:rPr>
        <w:t xml:space="preserve">Reviews in Chemical Engineering, </w:t>
      </w:r>
      <w:r w:rsidRPr="007C79D8">
        <w:rPr>
          <w:noProof/>
        </w:rPr>
        <w:t xml:space="preserve">v. 30, p. 139-166, 2014.   </w:t>
      </w:r>
    </w:p>
    <w:p w14:paraId="6BA7B05C" w14:textId="5862795C" w:rsidR="007C79D8" w:rsidRPr="007C79D8" w:rsidRDefault="007C79D8" w:rsidP="00C90E10">
      <w:pPr>
        <w:pStyle w:val="CETReferencetext"/>
        <w:rPr>
          <w:noProof/>
        </w:rPr>
      </w:pPr>
      <w:r w:rsidRPr="00EE623A">
        <w:rPr>
          <w:noProof/>
        </w:rPr>
        <w:t>L</w:t>
      </w:r>
      <w:r w:rsidR="00C90E10" w:rsidRPr="00EE623A">
        <w:rPr>
          <w:noProof/>
        </w:rPr>
        <w:t>icen</w:t>
      </w:r>
      <w:r w:rsidRPr="00EE623A">
        <w:rPr>
          <w:noProof/>
        </w:rPr>
        <w:t>, S.</w:t>
      </w:r>
      <w:r w:rsidR="00C90E10" w:rsidRPr="00EE623A">
        <w:rPr>
          <w:noProof/>
        </w:rPr>
        <w:t>;</w:t>
      </w:r>
      <w:r w:rsidR="00C90E10" w:rsidRPr="00EE623A">
        <w:t xml:space="preserve"> </w:t>
      </w:r>
      <w:r w:rsidR="00C90E10" w:rsidRPr="00EE623A">
        <w:rPr>
          <w:noProof/>
        </w:rPr>
        <w:t xml:space="preserve">Barbieri, G.; Fabbris, A.: Briguglio, S.C.; Pillon, A.; Stel, F.; </w:t>
      </w:r>
      <w:r w:rsidR="00C90E10">
        <w:rPr>
          <w:noProof/>
        </w:rPr>
        <w:t>Barbieri, P.</w:t>
      </w:r>
      <w:r w:rsidRPr="007C79D8">
        <w:rPr>
          <w:noProof/>
        </w:rPr>
        <w:t xml:space="preserve"> Odor control map: Self organizing map built from electronic nose signals and integrated by different instrumental and sensorial data to obtain an assessment tool for real environmental scenarios. </w:t>
      </w:r>
      <w:r w:rsidRPr="00C90E10">
        <w:rPr>
          <w:noProof/>
        </w:rPr>
        <w:t xml:space="preserve">Sensors and Actuators B: Chemical, v. </w:t>
      </w:r>
      <w:r w:rsidRPr="007C79D8">
        <w:rPr>
          <w:noProof/>
        </w:rPr>
        <w:t xml:space="preserve">263, </w:t>
      </w:r>
      <w:r w:rsidR="00C90E10">
        <w:rPr>
          <w:noProof/>
        </w:rPr>
        <w:t>p. 476-485, 2018.</w:t>
      </w:r>
      <w:r w:rsidRPr="007C79D8">
        <w:rPr>
          <w:noProof/>
        </w:rPr>
        <w:t xml:space="preserve"> </w:t>
      </w:r>
    </w:p>
    <w:p w14:paraId="6C20CDE3" w14:textId="1012361F" w:rsidR="007C79D8" w:rsidRPr="007C79D8" w:rsidRDefault="00C90E10" w:rsidP="00C90E10">
      <w:pPr>
        <w:pStyle w:val="CETReferencetext"/>
        <w:rPr>
          <w:noProof/>
        </w:rPr>
      </w:pPr>
      <w:r>
        <w:rPr>
          <w:noProof/>
        </w:rPr>
        <w:t>Liu</w:t>
      </w:r>
      <w:r w:rsidR="007C79D8" w:rsidRPr="007C79D8">
        <w:rPr>
          <w:noProof/>
        </w:rPr>
        <w:t>, J.</w:t>
      </w:r>
      <w:r>
        <w:rPr>
          <w:noProof/>
        </w:rPr>
        <w:t xml:space="preserve">; Tang, W.; Chen, G.; Lu, Y.; Feng, C.; </w:t>
      </w:r>
      <w:r w:rsidRPr="00EE623A">
        <w:rPr>
          <w:noProof/>
        </w:rPr>
        <w:t xml:space="preserve">Tu, X.M. </w:t>
      </w:r>
      <w:r w:rsidR="007C79D8" w:rsidRPr="007C79D8">
        <w:rPr>
          <w:noProof/>
        </w:rPr>
        <w:t xml:space="preserve">Correlation and agreement: overview and clarification of competing concepts and measures. </w:t>
      </w:r>
      <w:r w:rsidR="007C79D8" w:rsidRPr="00C90E10">
        <w:rPr>
          <w:noProof/>
        </w:rPr>
        <w:t xml:space="preserve">Shanghai archives of psychiatry, v. </w:t>
      </w:r>
      <w:r w:rsidR="007C79D8" w:rsidRPr="007C79D8">
        <w:rPr>
          <w:noProof/>
        </w:rPr>
        <w:t xml:space="preserve">28, n. 2, p. </w:t>
      </w:r>
      <w:r>
        <w:rPr>
          <w:noProof/>
        </w:rPr>
        <w:t>115-120,  2016.</w:t>
      </w:r>
    </w:p>
    <w:p w14:paraId="3E0D0F57" w14:textId="5814F8DC" w:rsidR="007C79D8" w:rsidRPr="007C79D8" w:rsidRDefault="007C79D8" w:rsidP="007C79D8">
      <w:pPr>
        <w:pStyle w:val="CETReferencetext"/>
        <w:rPr>
          <w:noProof/>
        </w:rPr>
      </w:pPr>
      <w:r w:rsidRPr="007C79D8">
        <w:rPr>
          <w:noProof/>
        </w:rPr>
        <w:t>P</w:t>
      </w:r>
      <w:r w:rsidR="00C90E10">
        <w:rPr>
          <w:noProof/>
        </w:rPr>
        <w:t>an</w:t>
      </w:r>
      <w:r w:rsidRPr="007C79D8">
        <w:rPr>
          <w:noProof/>
        </w:rPr>
        <w:t xml:space="preserve">, L.; </w:t>
      </w:r>
      <w:r w:rsidRPr="00C90E10">
        <w:rPr>
          <w:noProof/>
        </w:rPr>
        <w:t>Y</w:t>
      </w:r>
      <w:r w:rsidR="00C90E10" w:rsidRPr="00C90E10">
        <w:rPr>
          <w:noProof/>
        </w:rPr>
        <w:t>ang</w:t>
      </w:r>
      <w:r w:rsidRPr="00C90E10">
        <w:rPr>
          <w:noProof/>
        </w:rPr>
        <w:t>, S. An Electronic Nose Network System for Online Monitoring of Livestock Farm Odors. Mechatronics, IEEE/ASME Transactions on,</w:t>
      </w:r>
      <w:r w:rsidRPr="007C79D8">
        <w:rPr>
          <w:b/>
          <w:noProof/>
        </w:rPr>
        <w:t xml:space="preserve"> </w:t>
      </w:r>
      <w:r w:rsidRPr="007C79D8">
        <w:rPr>
          <w:noProof/>
        </w:rPr>
        <w:t xml:space="preserve">v. 14, p. 371-376, 2009.   </w:t>
      </w:r>
    </w:p>
    <w:p w14:paraId="32231505" w14:textId="729C21A6" w:rsidR="007C79D8" w:rsidRPr="00EE623A" w:rsidRDefault="007C79D8" w:rsidP="00C90E10">
      <w:pPr>
        <w:pStyle w:val="CETReferencetext"/>
        <w:rPr>
          <w:noProof/>
          <w:lang w:val="it-IT"/>
        </w:rPr>
      </w:pPr>
      <w:r w:rsidRPr="007C79D8">
        <w:rPr>
          <w:noProof/>
        </w:rPr>
        <w:t>S</w:t>
      </w:r>
      <w:r w:rsidR="00C90E10">
        <w:rPr>
          <w:noProof/>
        </w:rPr>
        <w:t>ohn, J.</w:t>
      </w:r>
      <w:r w:rsidRPr="007C79D8">
        <w:rPr>
          <w:noProof/>
        </w:rPr>
        <w:t>H.</w:t>
      </w:r>
      <w:r w:rsidR="00C90E10">
        <w:rPr>
          <w:noProof/>
        </w:rPr>
        <w:t>;</w:t>
      </w:r>
      <w:r w:rsidR="00C90E10" w:rsidRPr="00C90E10">
        <w:t xml:space="preserve"> </w:t>
      </w:r>
      <w:r w:rsidR="00C90E10">
        <w:rPr>
          <w:noProof/>
        </w:rPr>
        <w:t>Hudson, N.; Gallagher, E.; Dunlop, M.; Zeller, L.; Atzeni, M</w:t>
      </w:r>
      <w:r w:rsidRPr="007C79D8">
        <w:rPr>
          <w:noProof/>
        </w:rPr>
        <w:t>. Implementation of an electronic nose for continuous odour monitoring in a poultry she</w:t>
      </w:r>
      <w:r w:rsidRPr="00C90E10">
        <w:rPr>
          <w:noProof/>
        </w:rPr>
        <w:t xml:space="preserve">d. </w:t>
      </w:r>
      <w:r w:rsidRPr="00EE623A">
        <w:rPr>
          <w:noProof/>
          <w:lang w:val="it-IT"/>
        </w:rPr>
        <w:t xml:space="preserve">Sensors and Actuators B: Chemical, v. 133, n. 1, p. 60-69, 2008. </w:t>
      </w:r>
    </w:p>
    <w:p w14:paraId="2B1F18C6" w14:textId="4BF534C5" w:rsidR="007C79D8" w:rsidRPr="007C79D8" w:rsidRDefault="00C90E10" w:rsidP="007C79D8">
      <w:pPr>
        <w:pStyle w:val="CETReferencetext"/>
        <w:rPr>
          <w:noProof/>
        </w:rPr>
      </w:pPr>
      <w:r w:rsidRPr="00C90E10">
        <w:rPr>
          <w:noProof/>
          <w:lang w:val="it-IT"/>
        </w:rPr>
        <w:t>UNI11761:</w:t>
      </w:r>
      <w:r w:rsidR="007C79D8" w:rsidRPr="00C90E10">
        <w:rPr>
          <w:noProof/>
          <w:lang w:val="it-IT"/>
        </w:rPr>
        <w:t xml:space="preserve"> Emissioni e qualità dell’aria – Determinazione degli odori tramite IOMS (Instrumental Odour Monitoring Systems). </w:t>
      </w:r>
      <w:r w:rsidR="007C79D8" w:rsidRPr="00C90E10">
        <w:rPr>
          <w:noProof/>
        </w:rPr>
        <w:t>Milan</w:t>
      </w:r>
      <w:r>
        <w:rPr>
          <w:noProof/>
        </w:rPr>
        <w:t xml:space="preserve">o. </w:t>
      </w:r>
      <w:r w:rsidR="007C79D8" w:rsidRPr="007C79D8">
        <w:rPr>
          <w:noProof/>
        </w:rPr>
        <w:t>2019.</w:t>
      </w:r>
    </w:p>
    <w:p w14:paraId="7D7D39C7" w14:textId="77777777" w:rsidR="007C79D8" w:rsidRPr="007C79D8" w:rsidRDefault="007C79D8" w:rsidP="007C79D8">
      <w:pPr>
        <w:pStyle w:val="EndNoteBibliography"/>
      </w:pPr>
    </w:p>
    <w:p w14:paraId="04B41969" w14:textId="464BBC09" w:rsidR="00600535" w:rsidRPr="00B57B36" w:rsidRDefault="00483B5D" w:rsidP="00C32981">
      <w:pPr>
        <w:pStyle w:val="CETReferencetext"/>
      </w:pPr>
      <w:r>
        <w:fldChar w:fldCharType="begin"/>
      </w:r>
      <w:r>
        <w:instrText xml:space="preserve"> ADDIN </w:instrText>
      </w:r>
      <w:r>
        <w:fldChar w:fldCharType="end"/>
      </w:r>
    </w:p>
    <w:sectPr w:rsidR="00600535" w:rsidRPr="00B57B36" w:rsidSect="0077098D">
      <w:type w:val="continuous"/>
      <w:pgSz w:w="11906" w:h="16838" w:code="9"/>
      <w:pgMar w:top="1701" w:right="1418" w:bottom="1701" w:left="1701" w:header="1701" w:footer="0" w:gutter="0"/>
      <w:cols w:space="708"/>
      <w:formProt w:val="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14607E" w16cid:durableId="23C5AB64"/>
  <w16cid:commentId w16cid:paraId="66EF3689" w16cid:durableId="23C5B1B3"/>
  <w16cid:commentId w16cid:paraId="69945AF9" w16cid:durableId="23C5B2E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1DDF9" w14:textId="77777777" w:rsidR="00B50F70" w:rsidRDefault="00B50F70" w:rsidP="004F5E36">
      <w:r>
        <w:separator/>
      </w:r>
    </w:p>
  </w:endnote>
  <w:endnote w:type="continuationSeparator" w:id="0">
    <w:p w14:paraId="507EFA19" w14:textId="77777777" w:rsidR="00B50F70" w:rsidRDefault="00B50F7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FAAAC6" w14:textId="77777777" w:rsidR="00B50F70" w:rsidRDefault="00B50F70" w:rsidP="004F5E36">
      <w:r>
        <w:separator/>
      </w:r>
    </w:p>
  </w:footnote>
  <w:footnote w:type="continuationSeparator" w:id="0">
    <w:p w14:paraId="5769572C" w14:textId="77777777" w:rsidR="00B50F70" w:rsidRDefault="00B50F70"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6341B10"/>
    <w:multiLevelType w:val="hybridMultilevel"/>
    <w:tmpl w:val="BD9CB4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BFA7ACB"/>
    <w:multiLevelType w:val="hybridMultilevel"/>
    <w:tmpl w:val="42D665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2"/>
  </w:num>
  <w:num w:numId="14">
    <w:abstractNumId w:val="19"/>
  </w:num>
  <w:num w:numId="15">
    <w:abstractNumId w:val="21"/>
  </w:num>
  <w:num w:numId="16">
    <w:abstractNumId w:val="20"/>
  </w:num>
  <w:num w:numId="17">
    <w:abstractNumId w:val="11"/>
  </w:num>
  <w:num w:numId="18">
    <w:abstractNumId w:val="12"/>
    <w:lvlOverride w:ilvl="0">
      <w:startOverride w:val="1"/>
    </w:lvlOverride>
  </w:num>
  <w:num w:numId="19">
    <w:abstractNumId w:val="17"/>
  </w:num>
  <w:num w:numId="20">
    <w:abstractNumId w:val="16"/>
  </w:num>
  <w:num w:numId="21">
    <w:abstractNumId w:val="14"/>
  </w:num>
  <w:num w:numId="22">
    <w:abstractNumId w:val="1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1&lt;/Enabled&gt;&lt;ScanUnformatted&gt;1&lt;/ScanUnformatted&gt;&lt;ScanChanges&gt;1&lt;/ScanChanges&gt;&lt;Suspended&gt;1&lt;/Suspended&gt;&lt;/ENInstantFormat&gt;"/>
    <w:docVar w:name="EN.Layout" w:val="&lt;ENLayout&gt;&lt;Style&gt;ABNT (Author-Date) English&lt;/Style&gt;&lt;LeftDelim&gt;{&lt;/LeftDelim&gt;&lt;RightDelim&gt;}&lt;/RightDelim&gt;&lt;FontName&gt;Arial&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5vrd2d4xzzfxesdx6pzvdnva0wdwzffsrw&quot;&gt;NOSE2021&lt;record-ids&gt;&lt;item&gt;1&lt;/item&gt;&lt;item&gt;2&lt;/item&gt;&lt;item&gt;8&lt;/item&gt;&lt;item&gt;9&lt;/item&gt;&lt;item&gt;10&lt;/item&gt;&lt;item&gt;11&lt;/item&gt;&lt;item&gt;13&lt;/item&gt;&lt;item&gt;14&lt;/item&gt;&lt;item&gt;15&lt;/item&gt;&lt;item&gt;16&lt;/item&gt;&lt;item&gt;17&lt;/item&gt;&lt;item&gt;18&lt;/item&gt;&lt;item&gt;19&lt;/item&gt;&lt;item&gt;20&lt;/item&gt;&lt;item&gt;21&lt;/item&gt;&lt;/record-ids&gt;&lt;/item&gt;&lt;/Libraries&gt;"/>
  </w:docVars>
  <w:rsids>
    <w:rsidRoot w:val="000E414A"/>
    <w:rsid w:val="000027C0"/>
    <w:rsid w:val="000052FB"/>
    <w:rsid w:val="00010D52"/>
    <w:rsid w:val="000117CB"/>
    <w:rsid w:val="00016BE5"/>
    <w:rsid w:val="00023EC5"/>
    <w:rsid w:val="00030A72"/>
    <w:rsid w:val="0003148D"/>
    <w:rsid w:val="000365D6"/>
    <w:rsid w:val="00036919"/>
    <w:rsid w:val="000438E1"/>
    <w:rsid w:val="00043DCD"/>
    <w:rsid w:val="00047495"/>
    <w:rsid w:val="00051321"/>
    <w:rsid w:val="00051566"/>
    <w:rsid w:val="00054499"/>
    <w:rsid w:val="00062A9A"/>
    <w:rsid w:val="00065058"/>
    <w:rsid w:val="000666C8"/>
    <w:rsid w:val="0007264A"/>
    <w:rsid w:val="00074A63"/>
    <w:rsid w:val="00084DD8"/>
    <w:rsid w:val="00086C39"/>
    <w:rsid w:val="00092466"/>
    <w:rsid w:val="000A03B2"/>
    <w:rsid w:val="000A3627"/>
    <w:rsid w:val="000B5E38"/>
    <w:rsid w:val="000B723D"/>
    <w:rsid w:val="000C557E"/>
    <w:rsid w:val="000D34BE"/>
    <w:rsid w:val="000D3B4E"/>
    <w:rsid w:val="000E102F"/>
    <w:rsid w:val="000E36F1"/>
    <w:rsid w:val="000E3A73"/>
    <w:rsid w:val="000E414A"/>
    <w:rsid w:val="000F0079"/>
    <w:rsid w:val="000F093C"/>
    <w:rsid w:val="000F787B"/>
    <w:rsid w:val="000F7999"/>
    <w:rsid w:val="0010208D"/>
    <w:rsid w:val="00105071"/>
    <w:rsid w:val="00110567"/>
    <w:rsid w:val="0012091F"/>
    <w:rsid w:val="0012413F"/>
    <w:rsid w:val="00126BC2"/>
    <w:rsid w:val="001308B6"/>
    <w:rsid w:val="0013121F"/>
    <w:rsid w:val="00131FE6"/>
    <w:rsid w:val="0013263F"/>
    <w:rsid w:val="00134DE4"/>
    <w:rsid w:val="001363DA"/>
    <w:rsid w:val="0014034D"/>
    <w:rsid w:val="00140DA7"/>
    <w:rsid w:val="00142077"/>
    <w:rsid w:val="00142AE3"/>
    <w:rsid w:val="00143252"/>
    <w:rsid w:val="0014524A"/>
    <w:rsid w:val="00150E59"/>
    <w:rsid w:val="00152DE3"/>
    <w:rsid w:val="00164CF9"/>
    <w:rsid w:val="00164D4B"/>
    <w:rsid w:val="00167D01"/>
    <w:rsid w:val="00171247"/>
    <w:rsid w:val="00173190"/>
    <w:rsid w:val="00184AD6"/>
    <w:rsid w:val="001923B6"/>
    <w:rsid w:val="001A4CCC"/>
    <w:rsid w:val="001B0349"/>
    <w:rsid w:val="001B31A1"/>
    <w:rsid w:val="001B65C1"/>
    <w:rsid w:val="001C684B"/>
    <w:rsid w:val="001D5058"/>
    <w:rsid w:val="001D53FC"/>
    <w:rsid w:val="001E79B3"/>
    <w:rsid w:val="001F2569"/>
    <w:rsid w:val="001F42A5"/>
    <w:rsid w:val="001F7B9D"/>
    <w:rsid w:val="00214FA7"/>
    <w:rsid w:val="002211F6"/>
    <w:rsid w:val="002224B4"/>
    <w:rsid w:val="002447EF"/>
    <w:rsid w:val="00246AF9"/>
    <w:rsid w:val="00251550"/>
    <w:rsid w:val="0025428A"/>
    <w:rsid w:val="002624C9"/>
    <w:rsid w:val="00263B05"/>
    <w:rsid w:val="002701F6"/>
    <w:rsid w:val="0027221A"/>
    <w:rsid w:val="00275B61"/>
    <w:rsid w:val="00276F0F"/>
    <w:rsid w:val="00280F89"/>
    <w:rsid w:val="00281EB6"/>
    <w:rsid w:val="00282656"/>
    <w:rsid w:val="002909F3"/>
    <w:rsid w:val="00296B83"/>
    <w:rsid w:val="002A40D8"/>
    <w:rsid w:val="002A4E21"/>
    <w:rsid w:val="002B31E4"/>
    <w:rsid w:val="002B78CE"/>
    <w:rsid w:val="002C0316"/>
    <w:rsid w:val="002C2FB6"/>
    <w:rsid w:val="002D39D6"/>
    <w:rsid w:val="002E6351"/>
    <w:rsid w:val="002F0280"/>
    <w:rsid w:val="002F14D1"/>
    <w:rsid w:val="002F7AA8"/>
    <w:rsid w:val="003009B7"/>
    <w:rsid w:val="00300E20"/>
    <w:rsid w:val="00300E56"/>
    <w:rsid w:val="003023FD"/>
    <w:rsid w:val="0030469C"/>
    <w:rsid w:val="003217DC"/>
    <w:rsid w:val="00321CA6"/>
    <w:rsid w:val="00323CA1"/>
    <w:rsid w:val="00332E2D"/>
    <w:rsid w:val="00334C09"/>
    <w:rsid w:val="0035236D"/>
    <w:rsid w:val="00353263"/>
    <w:rsid w:val="0035602A"/>
    <w:rsid w:val="00356F67"/>
    <w:rsid w:val="003723D4"/>
    <w:rsid w:val="00383F4B"/>
    <w:rsid w:val="00384CC8"/>
    <w:rsid w:val="003865E4"/>
    <w:rsid w:val="003871FD"/>
    <w:rsid w:val="003A0ED9"/>
    <w:rsid w:val="003A1E30"/>
    <w:rsid w:val="003A240C"/>
    <w:rsid w:val="003A66B3"/>
    <w:rsid w:val="003A7D1C"/>
    <w:rsid w:val="003B304B"/>
    <w:rsid w:val="003B3146"/>
    <w:rsid w:val="003C0E78"/>
    <w:rsid w:val="003C7A8B"/>
    <w:rsid w:val="003D3B03"/>
    <w:rsid w:val="003D3B74"/>
    <w:rsid w:val="003E67F7"/>
    <w:rsid w:val="003F015E"/>
    <w:rsid w:val="00400414"/>
    <w:rsid w:val="0041446B"/>
    <w:rsid w:val="00417B2B"/>
    <w:rsid w:val="0044329C"/>
    <w:rsid w:val="00450FBC"/>
    <w:rsid w:val="00453C36"/>
    <w:rsid w:val="004577FE"/>
    <w:rsid w:val="00457B9C"/>
    <w:rsid w:val="00460612"/>
    <w:rsid w:val="0046164A"/>
    <w:rsid w:val="004628D2"/>
    <w:rsid w:val="00462DCD"/>
    <w:rsid w:val="00463B11"/>
    <w:rsid w:val="004648AD"/>
    <w:rsid w:val="0046559B"/>
    <w:rsid w:val="004703A9"/>
    <w:rsid w:val="004727A4"/>
    <w:rsid w:val="004760DE"/>
    <w:rsid w:val="004766BD"/>
    <w:rsid w:val="00477016"/>
    <w:rsid w:val="00483018"/>
    <w:rsid w:val="00483B5D"/>
    <w:rsid w:val="00486B9F"/>
    <w:rsid w:val="00495A72"/>
    <w:rsid w:val="004A004E"/>
    <w:rsid w:val="004A1B4C"/>
    <w:rsid w:val="004A24CF"/>
    <w:rsid w:val="004B4796"/>
    <w:rsid w:val="004B532A"/>
    <w:rsid w:val="004B5EE6"/>
    <w:rsid w:val="004C1314"/>
    <w:rsid w:val="004C3D1D"/>
    <w:rsid w:val="004C48D2"/>
    <w:rsid w:val="004C677C"/>
    <w:rsid w:val="004C7913"/>
    <w:rsid w:val="004D79B1"/>
    <w:rsid w:val="004E170B"/>
    <w:rsid w:val="004E4DD6"/>
    <w:rsid w:val="004F5E36"/>
    <w:rsid w:val="00502AF9"/>
    <w:rsid w:val="00507B47"/>
    <w:rsid w:val="00507CC9"/>
    <w:rsid w:val="005119A5"/>
    <w:rsid w:val="0052117E"/>
    <w:rsid w:val="005278B7"/>
    <w:rsid w:val="00532016"/>
    <w:rsid w:val="005346C8"/>
    <w:rsid w:val="00534D84"/>
    <w:rsid w:val="00540387"/>
    <w:rsid w:val="00543E7D"/>
    <w:rsid w:val="00547A68"/>
    <w:rsid w:val="005531C9"/>
    <w:rsid w:val="00553383"/>
    <w:rsid w:val="005601FC"/>
    <w:rsid w:val="0058038E"/>
    <w:rsid w:val="00586C69"/>
    <w:rsid w:val="00590834"/>
    <w:rsid w:val="00591319"/>
    <w:rsid w:val="00597738"/>
    <w:rsid w:val="005A286F"/>
    <w:rsid w:val="005B0EC4"/>
    <w:rsid w:val="005B14BC"/>
    <w:rsid w:val="005B2110"/>
    <w:rsid w:val="005B61E6"/>
    <w:rsid w:val="005C6936"/>
    <w:rsid w:val="005C77E1"/>
    <w:rsid w:val="005C7B1E"/>
    <w:rsid w:val="005D2BAA"/>
    <w:rsid w:val="005D6A2F"/>
    <w:rsid w:val="005D726D"/>
    <w:rsid w:val="005E1A82"/>
    <w:rsid w:val="005E794C"/>
    <w:rsid w:val="005F027F"/>
    <w:rsid w:val="005F0A28"/>
    <w:rsid w:val="005F0A40"/>
    <w:rsid w:val="005F0E5E"/>
    <w:rsid w:val="005F20CD"/>
    <w:rsid w:val="00600535"/>
    <w:rsid w:val="006033AB"/>
    <w:rsid w:val="00610CD6"/>
    <w:rsid w:val="00620C11"/>
    <w:rsid w:val="00620DEE"/>
    <w:rsid w:val="00621F92"/>
    <w:rsid w:val="00624304"/>
    <w:rsid w:val="00624547"/>
    <w:rsid w:val="00624922"/>
    <w:rsid w:val="00625639"/>
    <w:rsid w:val="0063034E"/>
    <w:rsid w:val="00631B33"/>
    <w:rsid w:val="0064184D"/>
    <w:rsid w:val="006432E1"/>
    <w:rsid w:val="0065779A"/>
    <w:rsid w:val="00660E3E"/>
    <w:rsid w:val="00662E74"/>
    <w:rsid w:val="00680C23"/>
    <w:rsid w:val="0068177A"/>
    <w:rsid w:val="006855B7"/>
    <w:rsid w:val="00685714"/>
    <w:rsid w:val="00691753"/>
    <w:rsid w:val="00691A59"/>
    <w:rsid w:val="00693766"/>
    <w:rsid w:val="00693E70"/>
    <w:rsid w:val="0069693E"/>
    <w:rsid w:val="00697F50"/>
    <w:rsid w:val="006A12E9"/>
    <w:rsid w:val="006A3281"/>
    <w:rsid w:val="006A5924"/>
    <w:rsid w:val="006B4888"/>
    <w:rsid w:val="006B522E"/>
    <w:rsid w:val="006B7A96"/>
    <w:rsid w:val="006C2E45"/>
    <w:rsid w:val="006C359C"/>
    <w:rsid w:val="006C5579"/>
    <w:rsid w:val="006C6D99"/>
    <w:rsid w:val="006D0996"/>
    <w:rsid w:val="006D3BD9"/>
    <w:rsid w:val="006D55BB"/>
    <w:rsid w:val="006E08C4"/>
    <w:rsid w:val="006E1344"/>
    <w:rsid w:val="006E23CF"/>
    <w:rsid w:val="006E737D"/>
    <w:rsid w:val="0070227E"/>
    <w:rsid w:val="00703BA7"/>
    <w:rsid w:val="0070697A"/>
    <w:rsid w:val="00720A24"/>
    <w:rsid w:val="00732386"/>
    <w:rsid w:val="00734C6E"/>
    <w:rsid w:val="007447F3"/>
    <w:rsid w:val="007465F7"/>
    <w:rsid w:val="0075499F"/>
    <w:rsid w:val="007660E6"/>
    <w:rsid w:val="007661C8"/>
    <w:rsid w:val="0077098D"/>
    <w:rsid w:val="007744FF"/>
    <w:rsid w:val="007841B1"/>
    <w:rsid w:val="007A0018"/>
    <w:rsid w:val="007A29B9"/>
    <w:rsid w:val="007A7BBA"/>
    <w:rsid w:val="007B0C50"/>
    <w:rsid w:val="007B128D"/>
    <w:rsid w:val="007B17BA"/>
    <w:rsid w:val="007B2CC6"/>
    <w:rsid w:val="007C1A43"/>
    <w:rsid w:val="007C4725"/>
    <w:rsid w:val="007C662C"/>
    <w:rsid w:val="007C79D8"/>
    <w:rsid w:val="007D5FBC"/>
    <w:rsid w:val="007E27E6"/>
    <w:rsid w:val="007E2946"/>
    <w:rsid w:val="007E5499"/>
    <w:rsid w:val="007E76F8"/>
    <w:rsid w:val="007F0FC2"/>
    <w:rsid w:val="007F4845"/>
    <w:rsid w:val="007F4C0F"/>
    <w:rsid w:val="00812AF6"/>
    <w:rsid w:val="00813288"/>
    <w:rsid w:val="0081688A"/>
    <w:rsid w:val="008168FC"/>
    <w:rsid w:val="00820179"/>
    <w:rsid w:val="00830996"/>
    <w:rsid w:val="008330FB"/>
    <w:rsid w:val="008345F1"/>
    <w:rsid w:val="00844E64"/>
    <w:rsid w:val="00857393"/>
    <w:rsid w:val="00865B07"/>
    <w:rsid w:val="008667EA"/>
    <w:rsid w:val="00866896"/>
    <w:rsid w:val="00866D9B"/>
    <w:rsid w:val="00873D70"/>
    <w:rsid w:val="0087637F"/>
    <w:rsid w:val="0088346F"/>
    <w:rsid w:val="00883546"/>
    <w:rsid w:val="00892AD5"/>
    <w:rsid w:val="008A1512"/>
    <w:rsid w:val="008A1E6B"/>
    <w:rsid w:val="008A2C63"/>
    <w:rsid w:val="008B1241"/>
    <w:rsid w:val="008B3BC8"/>
    <w:rsid w:val="008B5365"/>
    <w:rsid w:val="008B5636"/>
    <w:rsid w:val="008B5DEA"/>
    <w:rsid w:val="008B5F98"/>
    <w:rsid w:val="008B6F24"/>
    <w:rsid w:val="008C2E4A"/>
    <w:rsid w:val="008C385C"/>
    <w:rsid w:val="008D433B"/>
    <w:rsid w:val="008E17B1"/>
    <w:rsid w:val="008E5144"/>
    <w:rsid w:val="008E566E"/>
    <w:rsid w:val="0090161A"/>
    <w:rsid w:val="00901EB6"/>
    <w:rsid w:val="00904C62"/>
    <w:rsid w:val="00922772"/>
    <w:rsid w:val="00924DAC"/>
    <w:rsid w:val="0092635E"/>
    <w:rsid w:val="00927058"/>
    <w:rsid w:val="009315E1"/>
    <w:rsid w:val="009351ED"/>
    <w:rsid w:val="00942B01"/>
    <w:rsid w:val="009450CE"/>
    <w:rsid w:val="00947179"/>
    <w:rsid w:val="0095164B"/>
    <w:rsid w:val="00951C69"/>
    <w:rsid w:val="00954090"/>
    <w:rsid w:val="00954FCC"/>
    <w:rsid w:val="009573E7"/>
    <w:rsid w:val="00963E05"/>
    <w:rsid w:val="00967D54"/>
    <w:rsid w:val="009755E9"/>
    <w:rsid w:val="00976E66"/>
    <w:rsid w:val="00980207"/>
    <w:rsid w:val="00984E24"/>
    <w:rsid w:val="009955BA"/>
    <w:rsid w:val="00996483"/>
    <w:rsid w:val="00996F5A"/>
    <w:rsid w:val="009A2577"/>
    <w:rsid w:val="009A5B81"/>
    <w:rsid w:val="009B041A"/>
    <w:rsid w:val="009B36F1"/>
    <w:rsid w:val="009B44DA"/>
    <w:rsid w:val="009C0761"/>
    <w:rsid w:val="009C798E"/>
    <w:rsid w:val="009C7C86"/>
    <w:rsid w:val="009D1FAF"/>
    <w:rsid w:val="009D2FF7"/>
    <w:rsid w:val="009D58A2"/>
    <w:rsid w:val="009D613A"/>
    <w:rsid w:val="009E1E9C"/>
    <w:rsid w:val="009E239C"/>
    <w:rsid w:val="009E2E76"/>
    <w:rsid w:val="009E7884"/>
    <w:rsid w:val="009E788A"/>
    <w:rsid w:val="009F0E08"/>
    <w:rsid w:val="009F2CAD"/>
    <w:rsid w:val="00A127F4"/>
    <w:rsid w:val="00A161D3"/>
    <w:rsid w:val="00A168A8"/>
    <w:rsid w:val="00A1763D"/>
    <w:rsid w:val="00A17CEC"/>
    <w:rsid w:val="00A27EF0"/>
    <w:rsid w:val="00A3130F"/>
    <w:rsid w:val="00A34CF3"/>
    <w:rsid w:val="00A419D7"/>
    <w:rsid w:val="00A43C56"/>
    <w:rsid w:val="00A50B20"/>
    <w:rsid w:val="00A51390"/>
    <w:rsid w:val="00A55E73"/>
    <w:rsid w:val="00A60D13"/>
    <w:rsid w:val="00A626D1"/>
    <w:rsid w:val="00A62ECA"/>
    <w:rsid w:val="00A6371A"/>
    <w:rsid w:val="00A64462"/>
    <w:rsid w:val="00A72745"/>
    <w:rsid w:val="00A7504C"/>
    <w:rsid w:val="00A76EFC"/>
    <w:rsid w:val="00A81D1A"/>
    <w:rsid w:val="00A91010"/>
    <w:rsid w:val="00A9766C"/>
    <w:rsid w:val="00A97F29"/>
    <w:rsid w:val="00AA4839"/>
    <w:rsid w:val="00AA50E0"/>
    <w:rsid w:val="00AA702E"/>
    <w:rsid w:val="00AA7768"/>
    <w:rsid w:val="00AB0964"/>
    <w:rsid w:val="00AB5011"/>
    <w:rsid w:val="00AC1CC6"/>
    <w:rsid w:val="00AC7368"/>
    <w:rsid w:val="00AD104E"/>
    <w:rsid w:val="00AD1432"/>
    <w:rsid w:val="00AD16B9"/>
    <w:rsid w:val="00AE377D"/>
    <w:rsid w:val="00B0646F"/>
    <w:rsid w:val="00B06C10"/>
    <w:rsid w:val="00B14FC8"/>
    <w:rsid w:val="00B162FD"/>
    <w:rsid w:val="00B17FBD"/>
    <w:rsid w:val="00B2055C"/>
    <w:rsid w:val="00B250CB"/>
    <w:rsid w:val="00B3085F"/>
    <w:rsid w:val="00B315A6"/>
    <w:rsid w:val="00B31813"/>
    <w:rsid w:val="00B33365"/>
    <w:rsid w:val="00B333A0"/>
    <w:rsid w:val="00B45A5B"/>
    <w:rsid w:val="00B47637"/>
    <w:rsid w:val="00B50F70"/>
    <w:rsid w:val="00B530A8"/>
    <w:rsid w:val="00B57A7F"/>
    <w:rsid w:val="00B57B36"/>
    <w:rsid w:val="00B7124E"/>
    <w:rsid w:val="00B74F16"/>
    <w:rsid w:val="00B77BF5"/>
    <w:rsid w:val="00B8686D"/>
    <w:rsid w:val="00B906A8"/>
    <w:rsid w:val="00B9769C"/>
    <w:rsid w:val="00BA1924"/>
    <w:rsid w:val="00BA735F"/>
    <w:rsid w:val="00BC1326"/>
    <w:rsid w:val="00BC2196"/>
    <w:rsid w:val="00BC30C9"/>
    <w:rsid w:val="00BE35A6"/>
    <w:rsid w:val="00BE3E58"/>
    <w:rsid w:val="00BE5396"/>
    <w:rsid w:val="00BE6D88"/>
    <w:rsid w:val="00BF33BA"/>
    <w:rsid w:val="00BF3AFC"/>
    <w:rsid w:val="00BF7264"/>
    <w:rsid w:val="00BF7ED7"/>
    <w:rsid w:val="00C01616"/>
    <w:rsid w:val="00C0162B"/>
    <w:rsid w:val="00C0528F"/>
    <w:rsid w:val="00C16B0A"/>
    <w:rsid w:val="00C26E88"/>
    <w:rsid w:val="00C32981"/>
    <w:rsid w:val="00C33946"/>
    <w:rsid w:val="00C345B1"/>
    <w:rsid w:val="00C35BAB"/>
    <w:rsid w:val="00C40142"/>
    <w:rsid w:val="00C40AB9"/>
    <w:rsid w:val="00C52A6C"/>
    <w:rsid w:val="00C53825"/>
    <w:rsid w:val="00C57182"/>
    <w:rsid w:val="00C57863"/>
    <w:rsid w:val="00C60005"/>
    <w:rsid w:val="00C655FD"/>
    <w:rsid w:val="00C753A2"/>
    <w:rsid w:val="00C86557"/>
    <w:rsid w:val="00C86C62"/>
    <w:rsid w:val="00C870A8"/>
    <w:rsid w:val="00C90E10"/>
    <w:rsid w:val="00C911EC"/>
    <w:rsid w:val="00C94434"/>
    <w:rsid w:val="00C963CC"/>
    <w:rsid w:val="00CA0D75"/>
    <w:rsid w:val="00CA1C95"/>
    <w:rsid w:val="00CA397F"/>
    <w:rsid w:val="00CA5A9C"/>
    <w:rsid w:val="00CA73A6"/>
    <w:rsid w:val="00CB2C0C"/>
    <w:rsid w:val="00CC0F9B"/>
    <w:rsid w:val="00CD3EBC"/>
    <w:rsid w:val="00CD5FE2"/>
    <w:rsid w:val="00CE4166"/>
    <w:rsid w:val="00CE7C68"/>
    <w:rsid w:val="00CF4A64"/>
    <w:rsid w:val="00D02B4C"/>
    <w:rsid w:val="00D02FEE"/>
    <w:rsid w:val="00D040C4"/>
    <w:rsid w:val="00D10CCE"/>
    <w:rsid w:val="00D20377"/>
    <w:rsid w:val="00D23D34"/>
    <w:rsid w:val="00D23D4D"/>
    <w:rsid w:val="00D2723C"/>
    <w:rsid w:val="00D31F74"/>
    <w:rsid w:val="00D34085"/>
    <w:rsid w:val="00D3482D"/>
    <w:rsid w:val="00D431CD"/>
    <w:rsid w:val="00D47FB1"/>
    <w:rsid w:val="00D54E6B"/>
    <w:rsid w:val="00D5701A"/>
    <w:rsid w:val="00D57C84"/>
    <w:rsid w:val="00D6057D"/>
    <w:rsid w:val="00D61773"/>
    <w:rsid w:val="00D7753B"/>
    <w:rsid w:val="00D82BDE"/>
    <w:rsid w:val="00D84576"/>
    <w:rsid w:val="00D964B5"/>
    <w:rsid w:val="00DA1399"/>
    <w:rsid w:val="00DA1C56"/>
    <w:rsid w:val="00DA24C6"/>
    <w:rsid w:val="00DA4D7B"/>
    <w:rsid w:val="00DB6348"/>
    <w:rsid w:val="00DC67F0"/>
    <w:rsid w:val="00DD642F"/>
    <w:rsid w:val="00DE264A"/>
    <w:rsid w:val="00E02D18"/>
    <w:rsid w:val="00E04130"/>
    <w:rsid w:val="00E041E7"/>
    <w:rsid w:val="00E10D4D"/>
    <w:rsid w:val="00E23CA1"/>
    <w:rsid w:val="00E23D9C"/>
    <w:rsid w:val="00E25FB0"/>
    <w:rsid w:val="00E2737F"/>
    <w:rsid w:val="00E31AAF"/>
    <w:rsid w:val="00E33C12"/>
    <w:rsid w:val="00E351F7"/>
    <w:rsid w:val="00E35C13"/>
    <w:rsid w:val="00E409A8"/>
    <w:rsid w:val="00E422BC"/>
    <w:rsid w:val="00E50C12"/>
    <w:rsid w:val="00E552C0"/>
    <w:rsid w:val="00E65B91"/>
    <w:rsid w:val="00E71356"/>
    <w:rsid w:val="00E7209D"/>
    <w:rsid w:val="00E77223"/>
    <w:rsid w:val="00E8528B"/>
    <w:rsid w:val="00E85B94"/>
    <w:rsid w:val="00E918E7"/>
    <w:rsid w:val="00E96ACF"/>
    <w:rsid w:val="00E978D0"/>
    <w:rsid w:val="00EA353F"/>
    <w:rsid w:val="00EA4613"/>
    <w:rsid w:val="00EA7F91"/>
    <w:rsid w:val="00EB1523"/>
    <w:rsid w:val="00EB6147"/>
    <w:rsid w:val="00EC0E49"/>
    <w:rsid w:val="00ED2FDB"/>
    <w:rsid w:val="00EE0131"/>
    <w:rsid w:val="00EE5E52"/>
    <w:rsid w:val="00EE623A"/>
    <w:rsid w:val="00EF2394"/>
    <w:rsid w:val="00EF2CAD"/>
    <w:rsid w:val="00EF4B3B"/>
    <w:rsid w:val="00F06E67"/>
    <w:rsid w:val="00F10231"/>
    <w:rsid w:val="00F200D6"/>
    <w:rsid w:val="00F24A1E"/>
    <w:rsid w:val="00F30C64"/>
    <w:rsid w:val="00F32CDB"/>
    <w:rsid w:val="00F32EE3"/>
    <w:rsid w:val="00F369CA"/>
    <w:rsid w:val="00F45945"/>
    <w:rsid w:val="00F47764"/>
    <w:rsid w:val="00F5257B"/>
    <w:rsid w:val="00F60FE7"/>
    <w:rsid w:val="00F63A70"/>
    <w:rsid w:val="00F7390D"/>
    <w:rsid w:val="00F80207"/>
    <w:rsid w:val="00F86245"/>
    <w:rsid w:val="00FA21D0"/>
    <w:rsid w:val="00FA2C20"/>
    <w:rsid w:val="00FA5F5F"/>
    <w:rsid w:val="00FB3278"/>
    <w:rsid w:val="00FB730C"/>
    <w:rsid w:val="00FC2695"/>
    <w:rsid w:val="00FC38E3"/>
    <w:rsid w:val="00FC3E03"/>
    <w:rsid w:val="00FC3FC1"/>
    <w:rsid w:val="00FD0EA3"/>
    <w:rsid w:val="00FE353C"/>
    <w:rsid w:val="00FE69E1"/>
    <w:rsid w:val="00FF23E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8BF6E2"/>
  <w14:defaultImageDpi w14:val="330"/>
  <w15:docId w15:val="{3A211FD0-A11F-4743-90CB-2891A1ACD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540387"/>
    <w:pPr>
      <w:numPr>
        <w:ilvl w:val="0"/>
        <w:numId w:val="0"/>
      </w:numPr>
    </w:pPr>
    <w:rPr>
      <w:i/>
    </w:rPr>
  </w:style>
  <w:style w:type="character" w:customStyle="1" w:styleId="CETHeadingxxChar">
    <w:name w:val="CET Headingxx Char"/>
    <w:basedOn w:val="CETheadingxCarattere"/>
    <w:link w:val="CETHeadingxx"/>
    <w:rsid w:val="00540387"/>
    <w:rPr>
      <w:rFonts w:ascii="Arial" w:eastAsia="Times New Roman" w:hAnsi="Arial" w:cs="Times New Roman"/>
      <w:b/>
      <w:i/>
      <w:sz w:val="18"/>
      <w:szCs w:val="20"/>
      <w:lang w:val="en-US"/>
    </w:rPr>
  </w:style>
  <w:style w:type="table" w:styleId="Tabellasemplice5">
    <w:name w:val="Plain Table 5"/>
    <w:basedOn w:val="Tabellanormale"/>
    <w:uiPriority w:val="45"/>
    <w:rsid w:val="006A5924"/>
    <w:pPr>
      <w:spacing w:after="0" w:line="240" w:lineRule="auto"/>
      <w:jc w:val="both"/>
    </w:pPr>
    <w:rPr>
      <w:rFonts w:ascii="Times New Roman" w:hAnsi="Times New Roman" w:cs="Times New Roman"/>
      <w:sz w:val="24"/>
      <w:szCs w:val="24"/>
      <w:lang w:val="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aragrafoelenco">
    <w:name w:val="List Paragraph"/>
    <w:basedOn w:val="Normale"/>
    <w:uiPriority w:val="34"/>
    <w:qFormat/>
    <w:rsid w:val="006A5924"/>
    <w:pPr>
      <w:ind w:left="720"/>
      <w:contextualSpacing/>
    </w:pPr>
  </w:style>
  <w:style w:type="paragraph" w:customStyle="1" w:styleId="EndNoteBibliographyTitle">
    <w:name w:val="EndNote Bibliography Title"/>
    <w:basedOn w:val="Normale"/>
    <w:link w:val="EndNoteBibliographyTitleCarattere"/>
    <w:rsid w:val="0070697A"/>
    <w:pPr>
      <w:jc w:val="center"/>
    </w:pPr>
    <w:rPr>
      <w:rFonts w:cs="Arial"/>
      <w:noProof/>
      <w:lang w:val="en-US"/>
    </w:rPr>
  </w:style>
  <w:style w:type="character" w:customStyle="1" w:styleId="EndNoteBibliographyTitleCarattere">
    <w:name w:val="EndNote Bibliography Title Carattere"/>
    <w:basedOn w:val="CETBodytextCarattere"/>
    <w:link w:val="EndNoteBibliographyTitle"/>
    <w:rsid w:val="0070697A"/>
    <w:rPr>
      <w:rFonts w:ascii="Arial" w:eastAsia="Times New Roman" w:hAnsi="Arial" w:cs="Arial"/>
      <w:noProof/>
      <w:sz w:val="18"/>
      <w:szCs w:val="20"/>
      <w:lang w:val="en-US"/>
    </w:rPr>
  </w:style>
  <w:style w:type="paragraph" w:customStyle="1" w:styleId="EndNoteBibliography">
    <w:name w:val="EndNote Bibliography"/>
    <w:basedOn w:val="Normale"/>
    <w:link w:val="EndNoteBibliographyCarattere"/>
    <w:rsid w:val="0070697A"/>
    <w:pPr>
      <w:spacing w:line="240" w:lineRule="auto"/>
      <w:jc w:val="left"/>
    </w:pPr>
    <w:rPr>
      <w:rFonts w:cs="Arial"/>
      <w:noProof/>
      <w:lang w:val="en-US"/>
    </w:rPr>
  </w:style>
  <w:style w:type="character" w:customStyle="1" w:styleId="EndNoteBibliographyCarattere">
    <w:name w:val="EndNote Bibliography Carattere"/>
    <w:basedOn w:val="CETBodytextCarattere"/>
    <w:link w:val="EndNoteBibliography"/>
    <w:rsid w:val="0070697A"/>
    <w:rPr>
      <w:rFonts w:ascii="Arial" w:eastAsia="Times New Roman" w:hAnsi="Arial" w:cs="Arial"/>
      <w:noProof/>
      <w:sz w:val="18"/>
      <w:szCs w:val="20"/>
      <w:lang w:val="en-US"/>
    </w:rPr>
  </w:style>
  <w:style w:type="character" w:customStyle="1" w:styleId="Menzionenonrisolta1">
    <w:name w:val="Menzione non risolta1"/>
    <w:basedOn w:val="Carpredefinitoparagrafo"/>
    <w:uiPriority w:val="99"/>
    <w:semiHidden/>
    <w:unhideWhenUsed/>
    <w:rsid w:val="008E17B1"/>
    <w:rPr>
      <w:color w:val="605E5C"/>
      <w:shd w:val="clear" w:color="auto" w:fill="E1DFDD"/>
    </w:rPr>
  </w:style>
  <w:style w:type="paragraph" w:customStyle="1" w:styleId="paragraph">
    <w:name w:val="paragraph"/>
    <w:basedOn w:val="Normale"/>
    <w:rsid w:val="00483B5D"/>
    <w:pPr>
      <w:tabs>
        <w:tab w:val="clear" w:pos="7100"/>
      </w:tabs>
      <w:spacing w:before="100" w:beforeAutospacing="1" w:after="100" w:afterAutospacing="1" w:line="240" w:lineRule="auto"/>
      <w:jc w:val="left"/>
    </w:pPr>
    <w:rPr>
      <w:rFonts w:ascii="Times New Roman" w:hAnsi="Times New Roman"/>
      <w:sz w:val="24"/>
      <w:szCs w:val="24"/>
      <w:lang w:eastAsia="en-GB"/>
    </w:rPr>
  </w:style>
  <w:style w:type="character" w:customStyle="1" w:styleId="normaltextrun">
    <w:name w:val="normaltextrun"/>
    <w:basedOn w:val="Carpredefinitoparagrafo"/>
    <w:rsid w:val="00483B5D"/>
  </w:style>
  <w:style w:type="character" w:customStyle="1" w:styleId="eop">
    <w:name w:val="eop"/>
    <w:basedOn w:val="Carpredefinitoparagrafo"/>
    <w:rsid w:val="00483B5D"/>
  </w:style>
  <w:style w:type="table" w:styleId="Tabellasemplice-1">
    <w:name w:val="Plain Table 1"/>
    <w:basedOn w:val="Tabellanormale"/>
    <w:uiPriority w:val="41"/>
    <w:rsid w:val="007B128D"/>
    <w:pPr>
      <w:spacing w:after="0" w:line="240" w:lineRule="auto"/>
      <w:jc w:val="both"/>
    </w:pPr>
    <w:rPr>
      <w:rFonts w:ascii="Times New Roman" w:hAnsi="Times New Roman"/>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11351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3280">
      <w:bodyDiv w:val="1"/>
      <w:marLeft w:val="0"/>
      <w:marRight w:val="0"/>
      <w:marTop w:val="0"/>
      <w:marBottom w:val="0"/>
      <w:divBdr>
        <w:top w:val="none" w:sz="0" w:space="0" w:color="auto"/>
        <w:left w:val="none" w:sz="0" w:space="0" w:color="auto"/>
        <w:bottom w:val="none" w:sz="0" w:space="0" w:color="auto"/>
        <w:right w:val="none" w:sz="0" w:space="0" w:color="auto"/>
      </w:divBdr>
    </w:div>
    <w:div w:id="1538732840">
      <w:bodyDiv w:val="1"/>
      <w:marLeft w:val="0"/>
      <w:marRight w:val="0"/>
      <w:marTop w:val="0"/>
      <w:marBottom w:val="0"/>
      <w:divBdr>
        <w:top w:val="none" w:sz="0" w:space="0" w:color="auto"/>
        <w:left w:val="none" w:sz="0" w:space="0" w:color="auto"/>
        <w:bottom w:val="none" w:sz="0" w:space="0" w:color="auto"/>
        <w:right w:val="none" w:sz="0" w:space="0" w:color="auto"/>
      </w:divBdr>
      <w:divsChild>
        <w:div w:id="866407574">
          <w:marLeft w:val="0"/>
          <w:marRight w:val="0"/>
          <w:marTop w:val="0"/>
          <w:marBottom w:val="0"/>
          <w:divBdr>
            <w:top w:val="none" w:sz="0" w:space="0" w:color="auto"/>
            <w:left w:val="none" w:sz="0" w:space="0" w:color="auto"/>
            <w:bottom w:val="none" w:sz="0" w:space="0" w:color="auto"/>
            <w:right w:val="none" w:sz="0" w:space="0" w:color="auto"/>
          </w:divBdr>
        </w:div>
        <w:div w:id="259720078">
          <w:marLeft w:val="0"/>
          <w:marRight w:val="0"/>
          <w:marTop w:val="0"/>
          <w:marBottom w:val="0"/>
          <w:divBdr>
            <w:top w:val="none" w:sz="0" w:space="0" w:color="auto"/>
            <w:left w:val="none" w:sz="0" w:space="0" w:color="auto"/>
            <w:bottom w:val="none" w:sz="0" w:space="0" w:color="auto"/>
            <w:right w:val="none" w:sz="0" w:space="0" w:color="auto"/>
          </w:divBdr>
        </w:div>
      </w:divsChild>
    </w:div>
    <w:div w:id="1586528092">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armen.bax@polimi.it" TargetMode="Externa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microsoft.com/office/2016/09/relationships/commentsIds" Target="commentsId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1779FE2BDCDDA4D94AE592305E7523B" ma:contentTypeVersion="13" ma:contentTypeDescription="Creare un nuovo documento." ma:contentTypeScope="" ma:versionID="6fd9d05635974151c913de91b0e492d9">
  <xsd:schema xmlns:xsd="http://www.w3.org/2001/XMLSchema" xmlns:xs="http://www.w3.org/2001/XMLSchema" xmlns:p="http://schemas.microsoft.com/office/2006/metadata/properties" xmlns:ns3="c90a94e7-32fa-4b13-bd4a-7b95f743c4f4" xmlns:ns4="ffdebc79-3ad8-47a1-a38e-13174cbe2c6d" targetNamespace="http://schemas.microsoft.com/office/2006/metadata/properties" ma:root="true" ma:fieldsID="c06adfa74b0ffb7100dc30e09b758008" ns3:_="" ns4:_="">
    <xsd:import namespace="c90a94e7-32fa-4b13-bd4a-7b95f743c4f4"/>
    <xsd:import namespace="ffdebc79-3ad8-47a1-a38e-13174cbe2c6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a94e7-32fa-4b13-bd4a-7b95f743c4f4"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element name="SharingHintHash" ma:index="10" nillable="true" ma:displayName="Hash suggerimento condivisione"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debc79-3ad8-47a1-a38e-13174cbe2c6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71FD1-788B-42F6-B8B2-D5EDB266B0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a94e7-32fa-4b13-bd4a-7b95f743c4f4"/>
    <ds:schemaRef ds:uri="ffdebc79-3ad8-47a1-a38e-13174cbe2c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EEEB08-3C2C-4E72-896E-BCC5040672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299165-DFB5-43FE-BC22-A467989FC6EB}">
  <ds:schemaRefs>
    <ds:schemaRef ds:uri="http://schemas.microsoft.com/sharepoint/v3/contenttype/forms"/>
  </ds:schemaRefs>
</ds:datastoreItem>
</file>

<file path=customXml/itemProps4.xml><?xml version="1.0" encoding="utf-8"?>
<ds:datastoreItem xmlns:ds="http://schemas.openxmlformats.org/officeDocument/2006/customXml" ds:itemID="{3EF823CB-BD49-4C0A-92FF-39235C30F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3081</Words>
  <Characters>17562</Characters>
  <Application>Microsoft Office Word</Application>
  <DocSecurity>0</DocSecurity>
  <Lines>146</Lines>
  <Paragraphs>41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20602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manuela</cp:lastModifiedBy>
  <cp:revision>2</cp:revision>
  <cp:lastPrinted>2015-05-12T18:31:00Z</cp:lastPrinted>
  <dcterms:created xsi:type="dcterms:W3CDTF">2021-04-13T10:07:00Z</dcterms:created>
  <dcterms:modified xsi:type="dcterms:W3CDTF">2021-04-13T10:07:00Z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0x01010061779FE2BDCDDA4D94AE592305E7523B</vt:lpwstr>
  </property>
</Properties>
</file>