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85848" w14:paraId="2A131A54" w14:textId="77777777" w:rsidTr="00684AE7">
        <w:trPr>
          <w:trHeight w:val="852"/>
          <w:jc w:val="center"/>
        </w:trPr>
        <w:tc>
          <w:tcPr>
            <w:tcW w:w="6940" w:type="dxa"/>
            <w:vMerge w:val="restart"/>
            <w:tcBorders>
              <w:right w:val="single" w:sz="4" w:space="0" w:color="auto"/>
            </w:tcBorders>
          </w:tcPr>
          <w:p w14:paraId="38C3D2BA" w14:textId="77777777" w:rsidR="000A03B2" w:rsidRPr="00D85848" w:rsidRDefault="000A03B2" w:rsidP="00DE264A">
            <w:pPr>
              <w:tabs>
                <w:tab w:val="left" w:pos="-108"/>
              </w:tabs>
              <w:ind w:left="-108"/>
              <w:jc w:val="left"/>
              <w:rPr>
                <w:rFonts w:cs="Arial"/>
                <w:b/>
                <w:bCs/>
                <w:i/>
                <w:iCs/>
                <w:color w:val="000066"/>
                <w:sz w:val="12"/>
                <w:szCs w:val="12"/>
                <w:lang w:eastAsia="it-IT"/>
              </w:rPr>
            </w:pPr>
            <w:bookmarkStart w:id="0" w:name="_GoBack"/>
            <w:bookmarkEnd w:id="0"/>
            <w:r w:rsidRPr="00D85848">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85848">
              <w:rPr>
                <w:rFonts w:ascii="AdvP6960" w:hAnsi="AdvP6960" w:cs="AdvP6960"/>
                <w:color w:val="241F20"/>
                <w:szCs w:val="18"/>
                <w:lang w:eastAsia="it-IT"/>
              </w:rPr>
              <w:t xml:space="preserve"> </w:t>
            </w:r>
            <w:r w:rsidRPr="00D85848">
              <w:rPr>
                <w:rFonts w:cs="Arial"/>
                <w:b/>
                <w:bCs/>
                <w:i/>
                <w:iCs/>
                <w:color w:val="000066"/>
                <w:sz w:val="24"/>
                <w:szCs w:val="24"/>
                <w:lang w:eastAsia="it-IT"/>
              </w:rPr>
              <w:t>CHEMICAL ENGINEERING</w:t>
            </w:r>
            <w:r w:rsidRPr="00D85848">
              <w:rPr>
                <w:rFonts w:cs="Arial"/>
                <w:b/>
                <w:bCs/>
                <w:i/>
                <w:iCs/>
                <w:color w:val="0033FF"/>
                <w:sz w:val="24"/>
                <w:szCs w:val="24"/>
                <w:lang w:eastAsia="it-IT"/>
              </w:rPr>
              <w:t xml:space="preserve"> </w:t>
            </w:r>
            <w:r w:rsidRPr="00D85848">
              <w:rPr>
                <w:rFonts w:cs="Arial"/>
                <w:b/>
                <w:bCs/>
                <w:i/>
                <w:iCs/>
                <w:color w:val="666666"/>
                <w:sz w:val="24"/>
                <w:szCs w:val="24"/>
                <w:lang w:eastAsia="it-IT"/>
              </w:rPr>
              <w:t>TRANSACTIONS</w:t>
            </w:r>
            <w:r w:rsidRPr="00D85848">
              <w:rPr>
                <w:color w:val="333333"/>
                <w:sz w:val="24"/>
                <w:szCs w:val="24"/>
                <w:lang w:eastAsia="it-IT"/>
              </w:rPr>
              <w:t xml:space="preserve"> </w:t>
            </w:r>
            <w:r w:rsidRPr="00D85848">
              <w:rPr>
                <w:rFonts w:cs="Arial"/>
                <w:b/>
                <w:bCs/>
                <w:i/>
                <w:iCs/>
                <w:color w:val="000066"/>
                <w:sz w:val="27"/>
                <w:szCs w:val="27"/>
                <w:lang w:eastAsia="it-IT"/>
              </w:rPr>
              <w:br/>
            </w:r>
          </w:p>
          <w:p w14:paraId="4B780582" w14:textId="02EDD557" w:rsidR="000A03B2" w:rsidRPr="00D85848" w:rsidRDefault="00A76EFC" w:rsidP="004C3D1D">
            <w:pPr>
              <w:tabs>
                <w:tab w:val="left" w:pos="-108"/>
              </w:tabs>
              <w:ind w:left="-108"/>
              <w:rPr>
                <w:rFonts w:cs="Arial"/>
                <w:b/>
                <w:bCs/>
                <w:i/>
                <w:iCs/>
                <w:color w:val="000066"/>
                <w:sz w:val="22"/>
                <w:szCs w:val="22"/>
                <w:lang w:eastAsia="it-IT"/>
              </w:rPr>
            </w:pPr>
            <w:r w:rsidRPr="00D85848">
              <w:rPr>
                <w:rFonts w:cs="Arial"/>
                <w:b/>
                <w:bCs/>
                <w:i/>
                <w:iCs/>
                <w:color w:val="000066"/>
                <w:sz w:val="22"/>
                <w:szCs w:val="22"/>
                <w:lang w:eastAsia="it-IT"/>
              </w:rPr>
              <w:t xml:space="preserve">VOL. </w:t>
            </w:r>
            <w:r w:rsidR="00C949A8">
              <w:rPr>
                <w:rFonts w:cs="Arial"/>
                <w:b/>
                <w:bCs/>
                <w:i/>
                <w:iCs/>
                <w:color w:val="000066"/>
                <w:sz w:val="22"/>
                <w:szCs w:val="22"/>
                <w:lang w:eastAsia="it-IT"/>
              </w:rPr>
              <w:t>82,2020</w:t>
            </w:r>
          </w:p>
        </w:tc>
        <w:tc>
          <w:tcPr>
            <w:tcW w:w="1842" w:type="dxa"/>
            <w:tcBorders>
              <w:left w:val="single" w:sz="4" w:space="0" w:color="auto"/>
              <w:bottom w:val="nil"/>
              <w:right w:val="single" w:sz="4" w:space="0" w:color="auto"/>
            </w:tcBorders>
          </w:tcPr>
          <w:p w14:paraId="56782132" w14:textId="77777777" w:rsidR="000A03B2" w:rsidRPr="00D85848" w:rsidRDefault="000A03B2" w:rsidP="00CD5FE2">
            <w:pPr>
              <w:spacing w:line="140" w:lineRule="atLeast"/>
              <w:jc w:val="right"/>
              <w:rPr>
                <w:rFonts w:cs="Arial"/>
                <w:sz w:val="14"/>
                <w:szCs w:val="14"/>
              </w:rPr>
            </w:pPr>
            <w:r w:rsidRPr="00D85848">
              <w:rPr>
                <w:rFonts w:cs="Arial"/>
                <w:sz w:val="14"/>
                <w:szCs w:val="14"/>
              </w:rPr>
              <w:t>A publication of</w:t>
            </w:r>
          </w:p>
          <w:p w14:paraId="599E5441" w14:textId="77777777" w:rsidR="000A03B2" w:rsidRPr="00D85848" w:rsidRDefault="000A03B2" w:rsidP="00CD5FE2">
            <w:pPr>
              <w:jc w:val="right"/>
            </w:pPr>
            <w:r w:rsidRPr="00D85848">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85848" w14:paraId="380FA3CD" w14:textId="77777777" w:rsidTr="00684AE7">
        <w:trPr>
          <w:trHeight w:val="567"/>
          <w:jc w:val="center"/>
        </w:trPr>
        <w:tc>
          <w:tcPr>
            <w:tcW w:w="6940" w:type="dxa"/>
            <w:vMerge/>
            <w:tcBorders>
              <w:right w:val="single" w:sz="4" w:space="0" w:color="auto"/>
            </w:tcBorders>
          </w:tcPr>
          <w:p w14:paraId="39E5E4C1" w14:textId="77777777" w:rsidR="000A03B2" w:rsidRPr="00D8584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85848" w:rsidRDefault="000A03B2" w:rsidP="00CD5FE2">
            <w:pPr>
              <w:spacing w:line="140" w:lineRule="atLeast"/>
              <w:jc w:val="right"/>
              <w:rPr>
                <w:rFonts w:cs="Arial"/>
                <w:sz w:val="14"/>
                <w:szCs w:val="14"/>
              </w:rPr>
            </w:pPr>
            <w:r w:rsidRPr="00D85848">
              <w:rPr>
                <w:rFonts w:cs="Arial"/>
                <w:sz w:val="14"/>
                <w:szCs w:val="14"/>
              </w:rPr>
              <w:t>The Italian Association</w:t>
            </w:r>
          </w:p>
          <w:p w14:paraId="7522B1D2" w14:textId="77777777" w:rsidR="000A03B2" w:rsidRPr="00D85848" w:rsidRDefault="000A03B2" w:rsidP="00CD5FE2">
            <w:pPr>
              <w:spacing w:line="140" w:lineRule="atLeast"/>
              <w:jc w:val="right"/>
              <w:rPr>
                <w:rFonts w:cs="Arial"/>
                <w:sz w:val="14"/>
                <w:szCs w:val="14"/>
              </w:rPr>
            </w:pPr>
            <w:r w:rsidRPr="00D85848">
              <w:rPr>
                <w:rFonts w:cs="Arial"/>
                <w:sz w:val="14"/>
                <w:szCs w:val="14"/>
              </w:rPr>
              <w:t>of Chemical Engineering</w:t>
            </w:r>
          </w:p>
          <w:p w14:paraId="4F0CC5DE" w14:textId="35204533" w:rsidR="000A03B2" w:rsidRPr="00D85848" w:rsidRDefault="005A3E9C" w:rsidP="00CD5FE2">
            <w:pPr>
              <w:spacing w:line="140" w:lineRule="atLeast"/>
              <w:jc w:val="right"/>
              <w:rPr>
                <w:rFonts w:cs="Arial"/>
                <w:sz w:val="14"/>
                <w:szCs w:val="14"/>
              </w:rPr>
            </w:pPr>
            <w:r w:rsidRPr="00D85848">
              <w:rPr>
                <w:rFonts w:cs="Arial"/>
                <w:sz w:val="13"/>
                <w:szCs w:val="13"/>
              </w:rPr>
              <w:t>Online at www.cetjournal.it</w:t>
            </w:r>
          </w:p>
        </w:tc>
      </w:tr>
      <w:tr w:rsidR="000A03B2" w:rsidRPr="00D85848" w14:paraId="2D1B7169" w14:textId="77777777" w:rsidTr="00684AE7">
        <w:trPr>
          <w:trHeight w:val="68"/>
          <w:jc w:val="center"/>
        </w:trPr>
        <w:tc>
          <w:tcPr>
            <w:tcW w:w="8782" w:type="dxa"/>
            <w:gridSpan w:val="2"/>
          </w:tcPr>
          <w:p w14:paraId="203FDB24" w14:textId="77777777" w:rsidR="00C949A8" w:rsidRPr="00FE5F89" w:rsidRDefault="00C949A8" w:rsidP="00C949A8">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 Selena Sironi, Laura Capelli</w:t>
            </w:r>
          </w:p>
          <w:p w14:paraId="1B0F1814" w14:textId="4CC6A7B4" w:rsidR="000A03B2" w:rsidRPr="00D85848" w:rsidRDefault="00C949A8" w:rsidP="00C949A8">
            <w:pPr>
              <w:tabs>
                <w:tab w:val="left" w:pos="-108"/>
              </w:tabs>
              <w:spacing w:line="140" w:lineRule="atLeast"/>
              <w:ind w:left="-108"/>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2CAB01C" w:rsidR="00E978D0" w:rsidRPr="00D85848" w:rsidRDefault="00684AE7" w:rsidP="00F40295">
      <w:pPr>
        <w:pStyle w:val="CETTitle"/>
      </w:pPr>
      <w:r>
        <w:t>O</w:t>
      </w:r>
      <w:r w:rsidRPr="00684AE7">
        <w:t xml:space="preserve">ccupational </w:t>
      </w:r>
      <w:r w:rsidR="00186DA2">
        <w:t>S</w:t>
      </w:r>
      <w:r w:rsidRPr="00684AE7">
        <w:t xml:space="preserve">afety </w:t>
      </w:r>
      <w:r w:rsidR="00186DA2">
        <w:t>for P</w:t>
      </w:r>
      <w:r w:rsidRPr="00684AE7">
        <w:t xml:space="preserve">anellists </w:t>
      </w:r>
      <w:r w:rsidR="00186DA2">
        <w:t>I</w:t>
      </w:r>
      <w:r w:rsidRPr="00684AE7">
        <w:t xml:space="preserve">nvolved in </w:t>
      </w:r>
      <w:r w:rsidR="00186DA2">
        <w:t>D</w:t>
      </w:r>
      <w:r w:rsidRPr="00684AE7">
        <w:t xml:space="preserve">ynamic </w:t>
      </w:r>
      <w:r w:rsidR="00186DA2">
        <w:t>Olfactometry: a Comparison of A</w:t>
      </w:r>
      <w:r w:rsidRPr="00684AE7">
        <w:t xml:space="preserve">vailable </w:t>
      </w:r>
      <w:r w:rsidR="00186DA2">
        <w:t>Risk A</w:t>
      </w:r>
      <w:r w:rsidRPr="00684AE7">
        <w:t xml:space="preserve">ssessment </w:t>
      </w:r>
      <w:r w:rsidR="00186DA2">
        <w:t>M</w:t>
      </w:r>
      <w:r w:rsidRPr="00684AE7">
        <w:t>odels</w:t>
      </w:r>
    </w:p>
    <w:p w14:paraId="2B3CA35C" w14:textId="359F278B" w:rsidR="00E978D0" w:rsidRPr="00684AE7" w:rsidRDefault="00671C8B" w:rsidP="00AB5011">
      <w:pPr>
        <w:pStyle w:val="CETAuthors"/>
        <w:rPr>
          <w:lang w:val="it-IT"/>
        </w:rPr>
      </w:pPr>
      <w:r w:rsidRPr="00684AE7">
        <w:rPr>
          <w:lang w:val="it-IT"/>
        </w:rPr>
        <w:t>Elisa Polvara</w:t>
      </w:r>
      <w:r w:rsidR="00600535" w:rsidRPr="00684AE7">
        <w:rPr>
          <w:vertAlign w:val="superscript"/>
          <w:lang w:val="it-IT"/>
        </w:rPr>
        <w:t>a</w:t>
      </w:r>
      <w:r w:rsidRPr="00684AE7">
        <w:rPr>
          <w:vertAlign w:val="superscript"/>
          <w:lang w:val="it-IT"/>
        </w:rPr>
        <w:t>,</w:t>
      </w:r>
      <w:r w:rsidRPr="00684AE7">
        <w:rPr>
          <w:lang w:val="it-IT"/>
        </w:rPr>
        <w:t>*</w:t>
      </w:r>
      <w:r w:rsidR="00600535" w:rsidRPr="00684AE7">
        <w:rPr>
          <w:lang w:val="it-IT"/>
        </w:rPr>
        <w:t xml:space="preserve">, </w:t>
      </w:r>
      <w:r w:rsidRPr="00684AE7">
        <w:rPr>
          <w:lang w:val="it-IT"/>
        </w:rPr>
        <w:t>Marzio Invernizzi</w:t>
      </w:r>
      <w:r w:rsidRPr="00684AE7">
        <w:rPr>
          <w:vertAlign w:val="superscript"/>
          <w:lang w:val="it-IT"/>
        </w:rPr>
        <w:t>a</w:t>
      </w:r>
      <w:r w:rsidR="00600535" w:rsidRPr="00684AE7">
        <w:rPr>
          <w:lang w:val="it-IT"/>
        </w:rPr>
        <w:t xml:space="preserve">, </w:t>
      </w:r>
      <w:r w:rsidRPr="00684AE7">
        <w:rPr>
          <w:lang w:val="it-IT"/>
        </w:rPr>
        <w:t>Selena Sironi</w:t>
      </w:r>
      <w:r w:rsidRPr="00684AE7">
        <w:rPr>
          <w:vertAlign w:val="superscript"/>
          <w:lang w:val="it-IT"/>
        </w:rPr>
        <w:t>a</w:t>
      </w:r>
    </w:p>
    <w:p w14:paraId="35835499" w14:textId="7AB41A64" w:rsidR="00671C8B" w:rsidRPr="00671C8B" w:rsidRDefault="00E978D0" w:rsidP="00E978D0">
      <w:pPr>
        <w:pStyle w:val="CETAddress"/>
        <w:rPr>
          <w:vertAlign w:val="superscript"/>
          <w:lang w:val="it-IT"/>
        </w:rPr>
      </w:pPr>
      <w:r w:rsidRPr="00671C8B">
        <w:rPr>
          <w:vertAlign w:val="superscript"/>
          <w:lang w:val="it-IT"/>
        </w:rPr>
        <w:t>a</w:t>
      </w:r>
      <w:r w:rsidR="00671C8B">
        <w:rPr>
          <w:vertAlign w:val="superscript"/>
          <w:lang w:val="it-IT"/>
        </w:rPr>
        <w:t xml:space="preserve"> </w:t>
      </w:r>
      <w:r w:rsidR="00671C8B" w:rsidRPr="00671C8B">
        <w:rPr>
          <w:lang w:val="it-IT"/>
        </w:rPr>
        <w:t>Politecnico di Milano, Dep</w:t>
      </w:r>
      <w:r w:rsidR="00CD2B88">
        <w:rPr>
          <w:lang w:val="it-IT"/>
        </w:rPr>
        <w:t xml:space="preserve">artment of Chemistry, Materials and Chemical Engineering “Giulio Natta”, </w:t>
      </w:r>
      <w:r w:rsidR="00671C8B" w:rsidRPr="00671C8B">
        <w:rPr>
          <w:lang w:val="it-IT"/>
        </w:rPr>
        <w:t>Piazza Leonardo da Vinci 32, 20133 Milano</w:t>
      </w:r>
      <w:r w:rsidR="00CD2B88">
        <w:rPr>
          <w:lang w:val="it-IT"/>
        </w:rPr>
        <w:t>, Italy</w:t>
      </w:r>
    </w:p>
    <w:p w14:paraId="0127A28D" w14:textId="6AA277BD" w:rsidR="00E978D0" w:rsidRPr="00671C8B" w:rsidRDefault="00671C8B" w:rsidP="00E978D0">
      <w:pPr>
        <w:pStyle w:val="CETemail"/>
      </w:pPr>
      <w:r>
        <w:t>elisa.polvara@polimi.it</w:t>
      </w:r>
    </w:p>
    <w:p w14:paraId="2ABE47EB" w14:textId="7FFE5A87" w:rsidR="008E37B1" w:rsidRPr="00D85848" w:rsidRDefault="003174DA" w:rsidP="00AC3EE1">
      <w:pPr>
        <w:pStyle w:val="CETListbullets"/>
        <w:ind w:left="0" w:firstLine="0"/>
      </w:pPr>
      <w:r w:rsidRPr="00B3052C">
        <w:rPr>
          <w:rStyle w:val="CETBodytextCarattere"/>
        </w:rPr>
        <w:t>Dynamic</w:t>
      </w:r>
      <w:r w:rsidR="0052620A" w:rsidRPr="00B3052C">
        <w:rPr>
          <w:rStyle w:val="CETBodytextCarattere"/>
        </w:rPr>
        <w:t xml:space="preserve"> olfactometry is nowadays </w:t>
      </w:r>
      <w:r w:rsidR="0034273E" w:rsidRPr="0034273E">
        <w:rPr>
          <w:rStyle w:val="CETBodytextCarattere"/>
        </w:rPr>
        <w:t>the most diffused technique</w:t>
      </w:r>
      <w:r w:rsidR="00704E52" w:rsidRPr="00B3052C">
        <w:rPr>
          <w:rStyle w:val="CETBodytextCarattere"/>
        </w:rPr>
        <w:t xml:space="preserve"> </w:t>
      </w:r>
      <w:r w:rsidR="0052620A" w:rsidRPr="00B3052C">
        <w:rPr>
          <w:rStyle w:val="CETBodytextCarattere"/>
        </w:rPr>
        <w:t xml:space="preserve">to quantify odour emitted from industrial plants. </w:t>
      </w:r>
      <w:r w:rsidR="006148CA" w:rsidRPr="00B3052C">
        <w:rPr>
          <w:rStyle w:val="CETBodytextCarattere"/>
        </w:rPr>
        <w:t>The methodology</w:t>
      </w:r>
      <w:r w:rsidR="002155B0" w:rsidRPr="00B3052C">
        <w:rPr>
          <w:rStyle w:val="CETBodytextCarattere"/>
        </w:rPr>
        <w:t xml:space="preserve">, </w:t>
      </w:r>
      <w:r w:rsidRPr="00B3052C">
        <w:rPr>
          <w:rStyle w:val="CETBodytextCarattere"/>
        </w:rPr>
        <w:t>standardized</w:t>
      </w:r>
      <w:r w:rsidR="002155B0" w:rsidRPr="00B3052C">
        <w:rPr>
          <w:rStyle w:val="CETBodytextCarattere"/>
        </w:rPr>
        <w:t xml:space="preserve"> by EN 13725:2003, involves</w:t>
      </w:r>
      <w:r w:rsidR="0052620A" w:rsidRPr="00B3052C">
        <w:rPr>
          <w:rStyle w:val="CETBodytextCarattere"/>
        </w:rPr>
        <w:t xml:space="preserve"> human assessors</w:t>
      </w:r>
      <w:r w:rsidR="002155B0" w:rsidRPr="00B3052C">
        <w:rPr>
          <w:rStyle w:val="CETBodytextCarattere"/>
        </w:rPr>
        <w:t xml:space="preserve">, who are </w:t>
      </w:r>
      <w:r w:rsidR="0052620A" w:rsidRPr="00B3052C">
        <w:rPr>
          <w:rStyle w:val="CETBodytextCarattere"/>
        </w:rPr>
        <w:t>potentially exposed to hazardous pollutant present in</w:t>
      </w:r>
      <w:r w:rsidR="002155B0" w:rsidRPr="00B3052C">
        <w:rPr>
          <w:rStyle w:val="CETBodytextCarattere"/>
        </w:rPr>
        <w:t xml:space="preserve"> odorous samples. A standardized method to evaluate the exposure risk for panellist during olfactometric analysis is not yet available. However, </w:t>
      </w:r>
      <w:r w:rsidR="008E37B1" w:rsidRPr="00B3052C">
        <w:rPr>
          <w:rStyle w:val="CETBodytextCarattere"/>
        </w:rPr>
        <w:t>two</w:t>
      </w:r>
      <w:r w:rsidR="002155B0" w:rsidRPr="00B3052C">
        <w:rPr>
          <w:rStyle w:val="CETBodytextCarattere"/>
        </w:rPr>
        <w:t xml:space="preserve"> different models </w:t>
      </w:r>
      <w:r w:rsidR="00AD047A">
        <w:rPr>
          <w:rStyle w:val="CETBodytextCarattere"/>
        </w:rPr>
        <w:t>to evaluate</w:t>
      </w:r>
      <w:r w:rsidR="008E37B1" w:rsidRPr="00B3052C">
        <w:rPr>
          <w:rStyle w:val="CETBodytextCarattere"/>
        </w:rPr>
        <w:t xml:space="preserve"> the</w:t>
      </w:r>
      <w:r w:rsidR="00AD047A">
        <w:rPr>
          <w:rStyle w:val="CETBodytextCarattere"/>
        </w:rPr>
        <w:t xml:space="preserve"> occupation risk for panellists </w:t>
      </w:r>
      <w:r w:rsidR="00AD047A" w:rsidRPr="00B3052C">
        <w:rPr>
          <w:rStyle w:val="CETBodytextCarattere"/>
        </w:rPr>
        <w:t>have been proposed within the scientific literature</w:t>
      </w:r>
      <w:r w:rsidR="008E37B1" w:rsidRPr="00B3052C">
        <w:rPr>
          <w:rStyle w:val="CETBodytextCarattere"/>
        </w:rPr>
        <w:t>. Therefore, t</w:t>
      </w:r>
      <w:r w:rsidR="002155B0" w:rsidRPr="00B3052C">
        <w:rPr>
          <w:rStyle w:val="CETBodytextCarattere"/>
        </w:rPr>
        <w:t>h</w:t>
      </w:r>
      <w:r w:rsidR="00EB3592" w:rsidRPr="00B3052C">
        <w:rPr>
          <w:rStyle w:val="CETBodytextCarattere"/>
        </w:rPr>
        <w:t xml:space="preserve">is paper </w:t>
      </w:r>
      <w:r w:rsidR="00AC3EE1" w:rsidRPr="00B3052C">
        <w:rPr>
          <w:rStyle w:val="CETBodytextCarattere"/>
        </w:rPr>
        <w:t>review</w:t>
      </w:r>
      <w:r w:rsidR="008E37B1" w:rsidRPr="00B3052C">
        <w:rPr>
          <w:rStyle w:val="CETBodytextCarattere"/>
        </w:rPr>
        <w:t>s</w:t>
      </w:r>
      <w:r w:rsidR="00AC3EE1" w:rsidRPr="00B3052C">
        <w:rPr>
          <w:rStyle w:val="CETBodytextCarattere"/>
        </w:rPr>
        <w:t xml:space="preserve"> the</w:t>
      </w:r>
      <w:r w:rsidR="00E35C8A">
        <w:rPr>
          <w:rStyle w:val="CETBodytextCarattere"/>
        </w:rPr>
        <w:t xml:space="preserve"> </w:t>
      </w:r>
      <w:r w:rsidR="00AC3EE1" w:rsidRPr="00B3052C">
        <w:rPr>
          <w:rStyle w:val="CETBodytextCarattere"/>
        </w:rPr>
        <w:t xml:space="preserve">available </w:t>
      </w:r>
      <w:r w:rsidR="006614CA">
        <w:rPr>
          <w:rStyle w:val="CETBodytextCarattere"/>
        </w:rPr>
        <w:t>models</w:t>
      </w:r>
      <w:r w:rsidR="00ED0720" w:rsidRPr="00B3052C">
        <w:rPr>
          <w:rStyle w:val="CETBodytextCarattere"/>
        </w:rPr>
        <w:t xml:space="preserve"> </w:t>
      </w:r>
      <w:r w:rsidR="008E37B1" w:rsidRPr="00B3052C">
        <w:rPr>
          <w:rStyle w:val="CETBodytextCarattere"/>
        </w:rPr>
        <w:t>and discusses their application to a real sample to estimate the occupation exposure risk for workers involved in olfactometric analyses</w:t>
      </w:r>
      <w:r w:rsidR="002C41BF" w:rsidRPr="00B3052C">
        <w:rPr>
          <w:rStyle w:val="CETBodytextCarattere"/>
        </w:rPr>
        <w:t xml:space="preserve">. After a </w:t>
      </w:r>
      <w:r w:rsidR="006614CA">
        <w:rPr>
          <w:rStyle w:val="CETBodytextCarattere"/>
        </w:rPr>
        <w:t xml:space="preserve">brief </w:t>
      </w:r>
      <w:r w:rsidR="008E37B1" w:rsidRPr="00B3052C">
        <w:rPr>
          <w:rStyle w:val="CETBodytextCarattere"/>
        </w:rPr>
        <w:t>models</w:t>
      </w:r>
      <w:r w:rsidR="006614CA">
        <w:rPr>
          <w:rStyle w:val="CETBodytextCarattere"/>
        </w:rPr>
        <w:t>’</w:t>
      </w:r>
      <w:r w:rsidR="008E37B1" w:rsidRPr="00B3052C">
        <w:rPr>
          <w:rStyle w:val="CETBodytextCarattere"/>
        </w:rPr>
        <w:t xml:space="preserve"> </w:t>
      </w:r>
      <w:r w:rsidR="002C41BF" w:rsidRPr="00B3052C">
        <w:rPr>
          <w:rStyle w:val="CETBodytextCarattere"/>
        </w:rPr>
        <w:t xml:space="preserve">description, </w:t>
      </w:r>
      <w:r w:rsidR="00AD047A">
        <w:rPr>
          <w:rStyle w:val="CETBodytextCarattere"/>
        </w:rPr>
        <w:t xml:space="preserve">these are both applied </w:t>
      </w:r>
      <w:r w:rsidR="002C41BF" w:rsidRPr="00B3052C">
        <w:rPr>
          <w:rStyle w:val="CETBodytextCarattere"/>
        </w:rPr>
        <w:t>to a real odour sample</w:t>
      </w:r>
      <w:r w:rsidR="008E37B1" w:rsidRPr="00B3052C">
        <w:rPr>
          <w:rStyle w:val="CETBodytextCarattere"/>
        </w:rPr>
        <w:t xml:space="preserve">, highlighting the differences between </w:t>
      </w:r>
      <w:r w:rsidR="00AD047A">
        <w:rPr>
          <w:rStyle w:val="CETBodytextCarattere"/>
        </w:rPr>
        <w:t>them</w:t>
      </w:r>
      <w:r w:rsidR="008E37B1" w:rsidRPr="00B3052C">
        <w:rPr>
          <w:rStyle w:val="CETBodytextCarattere"/>
        </w:rPr>
        <w:t xml:space="preserve"> and the most critical aspects of applying </w:t>
      </w:r>
      <w:r w:rsidR="00AD047A">
        <w:rPr>
          <w:rStyle w:val="CETBodytextCarattere"/>
        </w:rPr>
        <w:t>the suggested</w:t>
      </w:r>
      <w:r w:rsidR="00AD047A" w:rsidRPr="00B3052C">
        <w:rPr>
          <w:rStyle w:val="CETBodytextCarattere"/>
        </w:rPr>
        <w:t xml:space="preserve"> </w:t>
      </w:r>
      <w:r w:rsidR="00AD047A">
        <w:rPr>
          <w:rStyle w:val="CETBodytextCarattere"/>
        </w:rPr>
        <w:t>procedure</w:t>
      </w:r>
      <w:r w:rsidR="00704E52">
        <w:rPr>
          <w:rStyle w:val="CETBodytextCarattere"/>
        </w:rPr>
        <w:t>s</w:t>
      </w:r>
      <w:r w:rsidR="00AD047A">
        <w:rPr>
          <w:rStyle w:val="CETBodytextCarattere"/>
        </w:rPr>
        <w:t xml:space="preserve"> </w:t>
      </w:r>
      <w:r w:rsidR="00704E52">
        <w:rPr>
          <w:rStyle w:val="CETBodytextCarattere"/>
        </w:rPr>
        <w:t>for</w:t>
      </w:r>
      <w:r w:rsidR="008E37B1" w:rsidRPr="00B3052C">
        <w:rPr>
          <w:rStyle w:val="CETBodytextCarattere"/>
        </w:rPr>
        <w:t xml:space="preserve"> </w:t>
      </w:r>
      <w:r w:rsidR="00704E52">
        <w:rPr>
          <w:rStyle w:val="CETBodytextCarattere"/>
        </w:rPr>
        <w:t xml:space="preserve">the </w:t>
      </w:r>
      <w:r w:rsidR="008E37B1" w:rsidRPr="00B3052C">
        <w:rPr>
          <w:rStyle w:val="CETBodytextCarattere"/>
        </w:rPr>
        <w:t xml:space="preserve">toxicological assessment of the exposure risk for panellists. This discussion </w:t>
      </w:r>
      <w:r w:rsidR="00AD047A">
        <w:rPr>
          <w:rStyle w:val="CETBodytextCarattere"/>
        </w:rPr>
        <w:t xml:space="preserve">highlights that the absence of </w:t>
      </w:r>
      <w:r w:rsidR="006614CA">
        <w:rPr>
          <w:rStyle w:val="CETBodytextCarattere"/>
        </w:rPr>
        <w:t>a unique</w:t>
      </w:r>
      <w:r w:rsidR="006614CA" w:rsidRPr="00B3052C">
        <w:rPr>
          <w:rStyle w:val="CETBodytextCarattere"/>
        </w:rPr>
        <w:t xml:space="preserve"> </w:t>
      </w:r>
      <w:r w:rsidR="008E37B1" w:rsidRPr="00B3052C">
        <w:rPr>
          <w:rStyle w:val="CETBodytextCarattere"/>
        </w:rPr>
        <w:t>standardised assessment method</w:t>
      </w:r>
      <w:r w:rsidR="00AD047A">
        <w:rPr>
          <w:rStyle w:val="CETBodytextCarattere"/>
        </w:rPr>
        <w:t xml:space="preserve"> and uniform reference concentrations</w:t>
      </w:r>
      <w:r w:rsidR="008E37B1" w:rsidRPr="00B3052C">
        <w:rPr>
          <w:rStyle w:val="CETBodytextCarattere"/>
        </w:rPr>
        <w:t xml:space="preserve"> </w:t>
      </w:r>
      <w:r w:rsidR="00704E52">
        <w:rPr>
          <w:rStyle w:val="CETBodytextCarattere"/>
        </w:rPr>
        <w:t xml:space="preserve">can </w:t>
      </w:r>
      <w:r w:rsidR="008E37B1" w:rsidRPr="00B3052C">
        <w:rPr>
          <w:rStyle w:val="CETBodytextCarattere"/>
        </w:rPr>
        <w:t xml:space="preserve">lead to significant differences </w:t>
      </w:r>
      <w:r w:rsidR="006614CA">
        <w:rPr>
          <w:rStyle w:val="CETBodytextCarattere"/>
        </w:rPr>
        <w:t>in toxicological evaluations</w:t>
      </w:r>
      <w:r w:rsidR="00AD047A">
        <w:rPr>
          <w:rStyle w:val="CETBodytextCarattere"/>
        </w:rPr>
        <w:t xml:space="preserve">. In addition, </w:t>
      </w:r>
      <w:r w:rsidR="00AD047A" w:rsidRPr="00B3052C">
        <w:rPr>
          <w:rStyle w:val="CETBodytextCarattere"/>
        </w:rPr>
        <w:t>the presence of compounds for which no toxicity threshold is available</w:t>
      </w:r>
      <w:r w:rsidR="008E37B1" w:rsidRPr="00B3052C">
        <w:rPr>
          <w:rStyle w:val="CETBodytextCarattere"/>
        </w:rPr>
        <w:t xml:space="preserve"> </w:t>
      </w:r>
      <w:r w:rsidR="00AD047A">
        <w:rPr>
          <w:rStyle w:val="CETBodytextCarattere"/>
        </w:rPr>
        <w:t xml:space="preserve">can </w:t>
      </w:r>
      <w:r w:rsidR="00460B8F">
        <w:rPr>
          <w:rStyle w:val="CETBodytextCarattere"/>
        </w:rPr>
        <w:t>cause</w:t>
      </w:r>
      <w:r w:rsidR="008E37B1" w:rsidRPr="00B3052C">
        <w:rPr>
          <w:rStyle w:val="CETBodytextCarattere"/>
        </w:rPr>
        <w:t xml:space="preserve"> an underestimation of the minimum dilution value to be adopted to protect the health of panellists</w:t>
      </w:r>
      <w:r w:rsidR="008E37B1" w:rsidRPr="008E37B1">
        <w:t>.</w:t>
      </w:r>
    </w:p>
    <w:p w14:paraId="476B2F2E" w14:textId="77777777" w:rsidR="00600535" w:rsidRPr="00D85848" w:rsidRDefault="00600535" w:rsidP="00600535">
      <w:pPr>
        <w:pStyle w:val="CETHeading1"/>
        <w:rPr>
          <w:lang w:val="en-GB"/>
        </w:rPr>
      </w:pPr>
      <w:r w:rsidRPr="00D85848">
        <w:rPr>
          <w:lang w:val="en-GB"/>
        </w:rPr>
        <w:t>Introduction</w:t>
      </w:r>
    </w:p>
    <w:p w14:paraId="63EE180F" w14:textId="75547C2E" w:rsidR="000029D2" w:rsidRPr="00B3052C" w:rsidRDefault="00F446FD" w:rsidP="00B3052C">
      <w:pPr>
        <w:pStyle w:val="CETBodytext"/>
      </w:pPr>
      <w:r w:rsidRPr="00B3052C">
        <w:t>In the last year</w:t>
      </w:r>
      <w:r w:rsidR="00C23D4F" w:rsidRPr="00B3052C">
        <w:t>s</w:t>
      </w:r>
      <w:r w:rsidRPr="00B3052C">
        <w:t>, odour</w:t>
      </w:r>
      <w:r w:rsidR="00DE33F5" w:rsidRPr="00B3052C">
        <w:t xml:space="preserve"> emitted from </w:t>
      </w:r>
      <w:r w:rsidR="0011702A" w:rsidRPr="00B3052C">
        <w:t xml:space="preserve">different types of industrial </w:t>
      </w:r>
      <w:r w:rsidR="00DE6942">
        <w:t xml:space="preserve">facilities </w:t>
      </w:r>
      <w:r w:rsidR="00DE6942" w:rsidRPr="00B3052C">
        <w:t xml:space="preserve">has become </w:t>
      </w:r>
      <w:r w:rsidR="003E3531">
        <w:t xml:space="preserve">a </w:t>
      </w:r>
      <w:r w:rsidR="00F86949">
        <w:t>pollutant to be monitored</w:t>
      </w:r>
      <w:r w:rsidR="00F86949" w:rsidRPr="00B3052C">
        <w:t xml:space="preserve"> </w:t>
      </w:r>
      <w:r w:rsidR="003A6C77" w:rsidRPr="00B3052C">
        <w:fldChar w:fldCharType="begin" w:fldLock="1"/>
      </w:r>
      <w:r w:rsidR="00FB22F8">
        <w:instrText>ADDIN CSL_CITATION {"citationItems":[{"id":"ITEM-1","itemData":{"DOI":"10.1016/j.atmosenv.2008.06.009","ISSN":"13522310","abstract":"This paper discusses the application of three different odour characterization techniques, i.e. chemical analyses, dynamic olfactometry and electronic noses, for the assessment of odour emissions from a landfill site. The results of the chemical analyses, which are useful to determine the chemical composition of odours, show no correlation with the odour concentration values measured by dynamic olfactometry. Olfactometric analyses enabled to measure odour concentration and thereby to quantify the sensory impact of odours. Finally, the continuous ambient air monitoring by electronic noses allowed to quantify the time percentage in which odours are detected at the landfill boundaries and at a receptor, which always turned out to be lower than 15%. This study represents a critical review of employing three different odour characterization methods for differing reasons on the same site, showing that, whilst the results don't necessarily correlate, they do have an intrinsic value, and therefore demonstrating the complexity of environmental odour measurement. © 2008 Elsevier Ltd. All rights reserved.","author":[{"dropping-particle":"","family":"Capelli","given":"Laura","non-dropping-particle":"","parse-names":false,"suffix":""},{"dropping-particle":"","family":"Sironi","given":"Selena","non-dropping-particle":"","parse-names":false,"suffix":""},{"dropping-particle":"","family":"Rosso","given":"Renato","non-dropping-particle":"Del","parse-names":false,"suffix":""},{"dropping-particle":"","family":"Céntola","given":"Paolo","non-dropping-particle":"","parse-names":false,"suffix":""},{"dropping-particle":"","family":"Grande","given":"Massimiliano","non-dropping-particle":"Il","parse-names":false,"suffix":""}],"container-title":"Atmospheric Environment","id":"ITEM-1","issue":"30","issued":{"date-parts":[["2008","9"]]},"page":"7050-7058","title":"A comparative and critical evaluation of odour assessment methods on a landfill site","type":"article-journal","volume":"42"},"uris":["http://www.mendeley.com/documents/?uuid=8f41134c-9c5c-3f54-8f10-cc9466137c92"]},{"id":"ITEM-2","itemData":{"DOI":"10.1016/j.wasman.2005.07.008","ISSN":"0956053X","abstract":"In the last decades, large-scale agricultural operations and food industries have increased. These operations generate numerous types of odors. The reduction of land areas available for isolation of agricultural and food processing industrial operations from the public area and the increase in sensitivity and demand of the general public for a clean and pleasant environment have forced all of these industries to control odor emissions and toxic air pollutants. To develop environmentally sound, sustainable agricultural and food industrial operations, it is necessary to integrate research that focuses on modern analytical techniques and latest sensory technology of measurement and evaluation of odor and pollution, together with a fundamental knowledge of factors that are the basic units contributing to the production of odor and pollutants. Without a clear understanding of what odor is, how to measure it, and where it originates, it will be difficult to control the odor. The present paper reviews the available information regarding odor emissions from agricultural operations and food industries by giving an overview about odor problems, odor detection and quantification, and identifying the sources and the mechanisms that contribute to the odor emissions. Finally, ways of reducing or controlling the odor problem are discussed. © 2005 Elsevier Ltd. All rights reserved.","author":[{"dropping-particle":"","family":"Rappert","given":"S.","non-dropping-particle":"","parse-names":false,"suffix":""},{"dropping-particle":"","family":"Müller","given":"R.","non-dropping-particle":"","parse-names":false,"suffix":""}],"container-title":"Waste Management","id":"ITEM-2","issue":"9","issued":{"date-parts":[["2005"]]},"page":"887-907","publisher":"Elsevier Ltd","title":"Odor compounds in waste gas emissions from agricultural operations and food industries","type":"article-journal","volume":"25"},"uris":["http://www.mendeley.com/documents/?uuid=2dafac79-32ba-318e-8276-577cfd35c9f8"]}],"mendeley":{"formattedCitation":"(Capelli et al., 2008; Rappert &amp; Müller, 2005)","manualFormatting":"(Capelli et al., 2008; Rappert et al., 2005)","plainTextFormattedCitation":"(Capelli et al., 2008; Rappert &amp; Müller, 2005)","previouslyFormattedCitation":"(Capelli et al., 2008; Rappert &amp; Müller, 2005)"},"properties":{"noteIndex":0},"schema":"https://github.com/citation-style-language/schema/raw/master/csl-citation.json"}</w:instrText>
      </w:r>
      <w:r w:rsidR="003A6C77" w:rsidRPr="00B3052C">
        <w:fldChar w:fldCharType="separate"/>
      </w:r>
      <w:r w:rsidR="00FB22F8" w:rsidRPr="00FB22F8">
        <w:rPr>
          <w:noProof/>
        </w:rPr>
        <w:t xml:space="preserve">(Capelli et al., 2008; Rappert </w:t>
      </w:r>
      <w:r w:rsidR="00FB22F8">
        <w:rPr>
          <w:noProof/>
        </w:rPr>
        <w:t>et al.</w:t>
      </w:r>
      <w:r w:rsidR="00FB22F8" w:rsidRPr="00FB22F8">
        <w:rPr>
          <w:noProof/>
        </w:rPr>
        <w:t>, 2005)</w:t>
      </w:r>
      <w:r w:rsidR="003A6C77" w:rsidRPr="00B3052C">
        <w:fldChar w:fldCharType="end"/>
      </w:r>
      <w:r w:rsidR="003A6C77" w:rsidRPr="00B3052C">
        <w:t>.</w:t>
      </w:r>
      <w:r w:rsidRPr="00B3052C">
        <w:t xml:space="preserve"> Indeed, due to </w:t>
      </w:r>
      <w:r w:rsidR="00EB3592" w:rsidRPr="00B3052C">
        <w:t xml:space="preserve">the </w:t>
      </w:r>
      <w:r w:rsidRPr="00B3052C">
        <w:t xml:space="preserve">common belief that odour may be related to toxicological health effects, this pollutant </w:t>
      </w:r>
      <w:r w:rsidR="00217CF3" w:rsidRPr="00B3052C">
        <w:t xml:space="preserve">is causing an increasing number of </w:t>
      </w:r>
      <w:r w:rsidR="00AD047A">
        <w:t>complaints</w:t>
      </w:r>
      <w:r w:rsidR="00217CF3" w:rsidRPr="00B3052C">
        <w:t xml:space="preserve"> from citizens</w:t>
      </w:r>
      <w:r w:rsidR="008D7510" w:rsidRPr="00B3052C">
        <w:t xml:space="preserve"> </w:t>
      </w:r>
      <w:r w:rsidR="008D7510" w:rsidRPr="00B3052C">
        <w:fldChar w:fldCharType="begin" w:fldLock="1"/>
      </w:r>
      <w:r w:rsidR="00FB22F8">
        <w:instrText>ADDIN CSL_CITATION {"citationItems":[{"id":"ITEM-1","itemData":{"DOI":"10.1016/j.scitotenv.2014.09.003","ISSN":"18791026","abstract":"Malodours remain the biggest source of complaints regarding environmental issues. This factor is likely to increase, as the urban development steadily encroaches into areas that have malodourous emitting industries (such as wastewater and waste management operations and intensive livestock practices), and has the potential to be both time and fiscally expensive. Despite the enormous amount of research involved in odour detection and abatement, as well as the creation of several distinct methodologies, there has yet been no definitive procedure to evaluate odour impact on communities, as well as community response. This paper is a review of the current methods that explore this problem, as well as a précis of this research field's goals and challenges. The first aim of this review is to illustrate the dichotomy between regulatory-established procedures, such as panellist testing, and methods that are centred around producing a more comprehensive explanation of factors that influence an odour's impact on a community or individual. In that regard, we have addressed several predominant paradigms of inquiry for this field: analytical methods, panellist testing, qualitative research, and survey methods, with associated variants. Secondly, the challenges of measuring and monitoring community impact are discussed. While the quantification of odorants is crucial to appreciating impact, individual-based modifiers of perception have an enormous scope for which to shape the effect of those odours. Perceptual differences are also likely the most dominant variables that influence the elicited behaviour of individuals who have experienced malodour exposure. •This review covers aspects from both analytical odour sampling as well as a community assessment paradigms.•The dose-response relationship is discussed as a complex system that has varying degrees of influence dependent upon the olfactory quality assessed.•Combined approaches are discussed and are found to be advantageous compared to single type methodologies.","author":[{"dropping-particle":"","family":"Hayes","given":"J. E.","non-dropping-particle":"","parse-names":false,"suffix":""},{"dropping-particle":"","family":"Stevenson","given":"R. J.","non-dropping-particle":"","parse-names":false,"suffix":""},{"dropping-particle":"","family":"Stuetz","given":"R. M.","non-dropping-particle":"","parse-names":false,"suffix":""}],"container-title":"Science of the Total Environment","id":"ITEM-1","issued":{"date-parts":[["2014","12","1"]]},"page":"395-407","publisher":"Elsevier","title":"The impact of malodour on communities: A review of assessment techniques","type":"article-journal","volume":"500-501"},"uris":["http://www.mendeley.com/documents/?uuid=490e7c8e-dff2-3a22-8883-8dd8cf25c8b3"]}],"mendeley":{"formattedCitation":"(Hayes et al., 2014)","plainTextFormattedCitation":"(Hayes et al., 2014)","previouslyFormattedCitation":"(Hayes et al., 2014)"},"properties":{"noteIndex":0},"schema":"https://github.com/citation-style-language/schema/raw/master/csl-citation.json"}</w:instrText>
      </w:r>
      <w:r w:rsidR="008D7510" w:rsidRPr="00B3052C">
        <w:fldChar w:fldCharType="separate"/>
      </w:r>
      <w:r w:rsidR="00FB22F8" w:rsidRPr="00FB22F8">
        <w:rPr>
          <w:noProof/>
        </w:rPr>
        <w:t>(Hayes et al., 2014)</w:t>
      </w:r>
      <w:r w:rsidR="008D7510" w:rsidRPr="00B3052C">
        <w:fldChar w:fldCharType="end"/>
      </w:r>
      <w:r w:rsidR="00217CF3" w:rsidRPr="00B3052C">
        <w:t>.</w:t>
      </w:r>
      <w:r w:rsidR="0011702A" w:rsidRPr="00B3052C">
        <w:t xml:space="preserve"> Consequently, </w:t>
      </w:r>
      <w:r w:rsidR="00AD047A">
        <w:t xml:space="preserve">the </w:t>
      </w:r>
      <w:r w:rsidRPr="00B3052C">
        <w:t xml:space="preserve">control agencies </w:t>
      </w:r>
      <w:r w:rsidR="00AD047A" w:rsidRPr="00AD047A">
        <w:t xml:space="preserve">increasingly </w:t>
      </w:r>
      <w:r w:rsidRPr="00B3052C">
        <w:t>require industrial plants to conduct frequent olfactometric monitoring to assess their odour impact</w:t>
      </w:r>
      <w:r w:rsidR="00357D73" w:rsidRPr="00B3052C">
        <w:t xml:space="preserve"> </w:t>
      </w:r>
      <w:r w:rsidR="00357D73" w:rsidRPr="00B3052C">
        <w:fldChar w:fldCharType="begin" w:fldLock="1"/>
      </w:r>
      <w:r w:rsidR="00FB22F8">
        <w:instrText>ADDIN CSL_CITATION {"citationItems":[{"id":"ITEM-1","itemData":{"DOI":"10.3303/CET1654035","ISBN":"978-88-95608-45-7","ISSN":"22839216","abstract":"This paper analyzes the state of the art of the methods and models used for the characterization of odour annoyance and it preliminary advances proposals for the evaluation of the olfactory nuisance. The use of a sensorial technique, such as dynamic olfactometry, is proposed for the analysis of odour concentrations, odour emission rates and odour dispersions. Secondly a simple model for the quantification of environmental odour nuisance, based on the use of FIDOL factors, i.e. frequency, intensity, duration, hedonic tone and location, is developed.","author":[{"dropping-particle":"","family":"Invernizzi","given":"Marzio","non-dropping-particle":"","parse-names":false,"suffix":""},{"dropping-particle":"","family":"Capelli","given":"Laura","non-dropping-particle":"","parse-names":false,"suffix":""},{"dropping-particle":"","family":"Sironi","given":"Selena","non-dropping-particle":"","parse-names":false,"suffix":""}],"container-title":"Chemical Engineering Transactions","id":"ITEM-1","issued":{"date-parts":[["2016"]]},"page":"205-210","title":"Quantification of odour annoyance-nuisance","type":"article-journal","volume":"54"},"uris":["http://www.mendeley.com/documents/?uuid=52f6ac25-c5b7-34b2-abad-853d08151029"]}],"mendeley":{"formattedCitation":"(Invernizzi et al., 2016)","plainTextFormattedCitation":"(Invernizzi et al., 2016)","previouslyFormattedCitation":"(Invernizzi et al., 2016)"},"properties":{"noteIndex":0},"schema":"https://github.com/citation-style-language/schema/raw/master/csl-citation.json"}</w:instrText>
      </w:r>
      <w:r w:rsidR="00357D73" w:rsidRPr="00B3052C">
        <w:fldChar w:fldCharType="separate"/>
      </w:r>
      <w:r w:rsidR="00FB22F8" w:rsidRPr="00FB22F8">
        <w:rPr>
          <w:noProof/>
        </w:rPr>
        <w:t>(Invernizzi et al., 2016)</w:t>
      </w:r>
      <w:r w:rsidR="00357D73" w:rsidRPr="00B3052C">
        <w:fldChar w:fldCharType="end"/>
      </w:r>
      <w:r w:rsidRPr="00B3052C">
        <w:t xml:space="preserve">. Nowadays, the </w:t>
      </w:r>
      <w:r w:rsidR="0034273E">
        <w:t xml:space="preserve">most diffuse </w:t>
      </w:r>
      <w:r w:rsidRPr="00B3052C">
        <w:t xml:space="preserve">technique to quantify odour is dynamic olfactometry. This technique is standardised by EN 13725:2003 and </w:t>
      </w:r>
      <w:r w:rsidR="0011702A" w:rsidRPr="00B3052C">
        <w:t>leverages the human nose as a sensor able to be stimulate</w:t>
      </w:r>
      <w:r w:rsidR="00EB3592" w:rsidRPr="00B3052C">
        <w:t>d</w:t>
      </w:r>
      <w:r w:rsidR="0011702A" w:rsidRPr="00B3052C">
        <w:t xml:space="preserve"> by an odorant </w:t>
      </w:r>
      <w:r w:rsidR="0011702A" w:rsidRPr="00B3052C">
        <w:fldChar w:fldCharType="begin" w:fldLock="1"/>
      </w:r>
      <w:r w:rsidR="00FB22F8">
        <w:instrText>ADDIN CSL_CITATION {"citationItems":[{"id":"ITEM-1","itemData":{"DOI":"10.1080/09593338909384736","ISSN":"0143-2060","author":[{"dropping-particle":"","family":"Hangartner","given":"M","non-dropping-particle":"","parse-names":false,"suffix":""},{"dropping-particle":"","family":"Hartung","given":"J","non-dropping-particle":"","parse-names":false,"suffix":""},{"dropping-particle":"","family":"Paduch","given":"M","non-dropping-particle":"","parse-names":false,"suffix":""}],"container-title":"Environmental Technology","id":"ITEM-1","issue":"2","issued":{"date-parts":[["2008"]]},"page":"231-236","title":"Voorburg (1989) Improved recommendations on olfactometric measurements","type":"article-journal","volume":"10"},"uris":["http://www.mendeley.com/documents/?uuid=470adbaf-3674-350e-9c8d-14e3db4eedd1"]},{"id":"ITEM-2","itemData":{"DOI":"10.1016/j.atmosenv.2005.05.023","ISSN":"13522310","abstract":"Among the human activities that may generate problems related to unpleasant odour emissions, landfills represent one of the major causes of odour complaints. In this study, the results of odour concentration measurements sampled from the principal odour sources of seven different and dimensionally representative Italian Municipal Solid Waste (MSW) landfills are presented. Experimental data are then used to estimate an Odour Emission Factor (OEF). The average OEF is calculated to be 5.5±3.4 ouE s-1 m-2. This value is consistent with the OEFs that can be calculated based on existing literature data, such as surface flux rates relevant to the Landfill Gas (LFG) emissions through the landfill surface. © 2005 Elsevier Ltd. All rights reserved.","author":[{"dropping-particle":"","family":"Sironi","given":"Selena","non-dropping-particle":"","parse-names":false,"suffix":""},{"dropping-particle":"","family":"Capelli","given":"Laura","non-dropping-particle":"","parse-names":false,"suffix":""},{"dropping-particle":"","family":"Céntola","given":"Paolo","non-dropping-particle":"","parse-names":false,"suffix":""},{"dropping-particle":"","family":"Rosso","given":"Renato","non-dropping-particle":"Del","parse-names":false,"suffix":""},{"dropping-particle":"","family":"Grande","given":"Massimiliano","non-dropping-particle":"Il","parse-names":false,"suffix":""}],"container-title":"Atmospheric Environment","id":"ITEM-2","issue":"29","issued":{"date-parts":[["2005","9"]]},"page":"5387-5394","title":"Odour emission factors for assessment and prediction of Italian MSW landfills odour impact","type":"article-journal","volume":"39"},"uris":["http://www.mendeley.com/documents/?uuid=f8946672-34c7-317a-ae88-60fd4e399b4e"]}],"mendeley":{"formattedCitation":"(Hangartner et al., 2008; Sironi et al., 2005)","plainTextFormattedCitation":"(Hangartner et al., 2008; Sironi et al., 2005)","previouslyFormattedCitation":"(Hangartner et al., 2008; Sironi et al., 2005)"},"properties":{"noteIndex":0},"schema":"https://github.com/citation-style-language/schema/raw/master/csl-citation.json"}</w:instrText>
      </w:r>
      <w:r w:rsidR="0011702A" w:rsidRPr="00B3052C">
        <w:fldChar w:fldCharType="separate"/>
      </w:r>
      <w:r w:rsidR="00FB22F8" w:rsidRPr="00FB22F8">
        <w:rPr>
          <w:noProof/>
        </w:rPr>
        <w:t>(Hangartner et al., 2008; Sironi et al., 2005)</w:t>
      </w:r>
      <w:r w:rsidR="0011702A" w:rsidRPr="00B3052C">
        <w:fldChar w:fldCharType="end"/>
      </w:r>
      <w:r w:rsidR="0011702A" w:rsidRPr="00B3052C">
        <w:t xml:space="preserve">. As a result, dynamic olfactometry </w:t>
      </w:r>
      <w:r w:rsidRPr="00B3052C">
        <w:t>involve</w:t>
      </w:r>
      <w:r w:rsidR="003C7CF4" w:rsidRPr="00B3052C">
        <w:t>s</w:t>
      </w:r>
      <w:r w:rsidRPr="00B3052C">
        <w:t xml:space="preserve"> directly hum</w:t>
      </w:r>
      <w:r w:rsidR="003C7CF4" w:rsidRPr="00B3052C">
        <w:t>an examiners, called panellists</w:t>
      </w:r>
      <w:r w:rsidR="0011702A" w:rsidRPr="00B3052C">
        <w:t>, to</w:t>
      </w:r>
      <w:r w:rsidR="00DE33F5" w:rsidRPr="00B3052C">
        <w:t xml:space="preserve"> determin</w:t>
      </w:r>
      <w:r w:rsidR="00704E52">
        <w:t>e</w:t>
      </w:r>
      <w:r w:rsidR="00DE33F5" w:rsidRPr="00B3052C">
        <w:t xml:space="preserve"> odour concentrat</w:t>
      </w:r>
      <w:r w:rsidR="004F5732" w:rsidRPr="00B3052C">
        <w:t>ion</w:t>
      </w:r>
      <w:r w:rsidR="00DE6942">
        <w:t>: t</w:t>
      </w:r>
      <w:r w:rsidR="00357D73" w:rsidRPr="00B3052C">
        <w:t>he odour concentration is defined as the number of dilutions required for the sample to reach the odour threshold level. Indeed, during the olfactometric analysis, the odorous sample is presented to</w:t>
      </w:r>
      <w:r w:rsidR="00DE6942">
        <w:t xml:space="preserve"> the</w:t>
      </w:r>
      <w:r w:rsidR="00357D73" w:rsidRPr="00B3052C">
        <w:t xml:space="preserve"> panellists at increasing concentrations by olfactometer, </w:t>
      </w:r>
      <w:r w:rsidR="00DE6942">
        <w:t>the specific</w:t>
      </w:r>
      <w:r w:rsidR="00357D73" w:rsidRPr="00B3052C">
        <w:t xml:space="preserve"> equipment that dilutes odour samples according to defined ratios with reference air </w:t>
      </w:r>
      <w:r w:rsidR="00357D73" w:rsidRPr="00B3052C">
        <w:fldChar w:fldCharType="begin" w:fldLock="1"/>
      </w:r>
      <w:r w:rsidR="00FB22F8">
        <w:instrText>ADDIN CSL_CITATION {"citationItems":[{"id":"ITEM-1","itemData":{"DOI":"10.3390/atmos11010092","ISSN":"2073-4433","abstract":"&lt;p&gt;In recent years, citizens’ attention towards air quality and pollution has increased significantly, and nowadays, odor pollution related to different industrial activities is recognized as a well-known environmental issue. For this reason, odors are subjected to control and regulation in many countries, and specific methods for odor measurement have been developed and standardized over the years. This paper, conceived within the H2020 D-NOSES project, summarizes odor measurement techniques, highlighting their applicability, advantages, and limits, with the aim of providing experienced as well as non-experienced users a useful tool that can be consulted in the management of specific odor problems for evaluating and identifying the most suitable approach. The paper also presents relevant examples of the application of the different methods discussed, thereby mainly referring to scientific articles published over the last 10 years.&lt;/p&gt;","author":[{"dropping-particle":"","family":"Bax","given":"Carmen","non-dropping-particle":"","parse-names":false,"suffix":""},{"dropping-particle":"","family":"Sironi","given":"Selena","non-dropping-particle":"","parse-names":false,"suffix":""},{"dropping-particle":"","family":"Capelli","given":"Laura","non-dropping-particle":"","parse-names":false,"suffix":""}],"container-title":"Atmosphere","id":"ITEM-1","issue":"1","issued":{"date-parts":[["2020","1","13"]]},"page":"92","title":"How Can Odors Be Measured? An Overview of Methods and Their Applications","type":"article-journal","volume":"11"},"uris":["http://www.mendeley.com/documents/?uuid=a783f85e-0ee2-3355-931d-f6c60491bed9"]}],"mendeley":{"formattedCitation":"(Bax et al., 2020)","plainTextFormattedCitation":"(Bax et al., 2020)","previouslyFormattedCitation":"(Bax et al., 2020)"},"properties":{"noteIndex":0},"schema":"https://github.com/citation-style-language/schema/raw/master/csl-citation.json"}</w:instrText>
      </w:r>
      <w:r w:rsidR="00357D73" w:rsidRPr="00B3052C">
        <w:fldChar w:fldCharType="separate"/>
      </w:r>
      <w:r w:rsidR="00FB22F8" w:rsidRPr="00FB22F8">
        <w:rPr>
          <w:noProof/>
        </w:rPr>
        <w:t>(Bax et al., 2020)</w:t>
      </w:r>
      <w:r w:rsidR="00357D73" w:rsidRPr="00B3052C">
        <w:fldChar w:fldCharType="end"/>
      </w:r>
      <w:r w:rsidR="00357D73" w:rsidRPr="00B3052C">
        <w:t>.</w:t>
      </w:r>
      <w:r w:rsidR="003C2176">
        <w:t xml:space="preserve"> </w:t>
      </w:r>
      <w:r w:rsidRPr="00B3052C">
        <w:t xml:space="preserve">Therefore, </w:t>
      </w:r>
      <w:r w:rsidR="00860C29" w:rsidRPr="00B3052C">
        <w:t>during</w:t>
      </w:r>
      <w:r w:rsidR="00095DD9" w:rsidRPr="00B3052C">
        <w:t xml:space="preserve"> olfactometric measurements</w:t>
      </w:r>
      <w:r w:rsidR="007159FC" w:rsidRPr="00B3052C">
        <w:t>,</w:t>
      </w:r>
      <w:r w:rsidR="00095DD9" w:rsidRPr="00B3052C">
        <w:t xml:space="preserve"> </w:t>
      </w:r>
      <w:r w:rsidRPr="00B3052C">
        <w:t>panellists are exposed, at increasing concentration, to</w:t>
      </w:r>
      <w:r w:rsidR="004F5732" w:rsidRPr="00B3052C">
        <w:t xml:space="preserve"> the diluted</w:t>
      </w:r>
      <w:r w:rsidRPr="00B3052C">
        <w:t xml:space="preserve"> emission</w:t>
      </w:r>
      <w:r w:rsidR="004F5732" w:rsidRPr="00B3052C">
        <w:t>’ sample, which may contain</w:t>
      </w:r>
      <w:r w:rsidR="00357D73" w:rsidRPr="00B3052C">
        <w:t xml:space="preserve"> </w:t>
      </w:r>
      <w:r w:rsidRPr="00B3052C">
        <w:t>potentially hazardous pollutants</w:t>
      </w:r>
      <w:r w:rsidR="004F5732" w:rsidRPr="00B3052C">
        <w:t>: by this</w:t>
      </w:r>
      <w:r w:rsidR="00357D73" w:rsidRPr="00B3052C">
        <w:t xml:space="preserve">, </w:t>
      </w:r>
      <w:r w:rsidR="00DE33F5" w:rsidRPr="00B3052C">
        <w:t>they are</w:t>
      </w:r>
      <w:r w:rsidR="00006531" w:rsidRPr="00B3052C">
        <w:t xml:space="preserve"> exposed to a</w:t>
      </w:r>
      <w:r w:rsidR="004F5732" w:rsidRPr="00B3052C">
        <w:t>n unknown</w:t>
      </w:r>
      <w:r w:rsidR="00006531" w:rsidRPr="00B3052C">
        <w:t xml:space="preserve"> occupational risk</w:t>
      </w:r>
      <w:r w:rsidR="0068241D" w:rsidRPr="00B3052C">
        <w:t>. The evaluation</w:t>
      </w:r>
      <w:r w:rsidR="00704E52">
        <w:t xml:space="preserve"> of</w:t>
      </w:r>
      <w:r w:rsidR="00704E52" w:rsidRPr="00704E52">
        <w:t xml:space="preserve"> </w:t>
      </w:r>
      <w:r w:rsidR="00704E52" w:rsidRPr="00B3052C">
        <w:t>toxicological</w:t>
      </w:r>
      <w:r w:rsidR="0068241D" w:rsidRPr="00B3052C">
        <w:t xml:space="preserve"> risk </w:t>
      </w:r>
      <w:r w:rsidR="00737B80" w:rsidRPr="00B3052C">
        <w:t>appears</w:t>
      </w:r>
      <w:r w:rsidR="0068241D" w:rsidRPr="00B3052C">
        <w:t xml:space="preserve"> fundamental to conduct odour measurement in safety condition</w:t>
      </w:r>
      <w:r w:rsidR="006340E0" w:rsidRPr="00B3052C">
        <w:t xml:space="preserve"> and guarantee the protection of panellists' health</w:t>
      </w:r>
      <w:r w:rsidR="0068241D" w:rsidRPr="00B3052C">
        <w:t xml:space="preserve">. </w:t>
      </w:r>
      <w:r w:rsidR="002A3920" w:rsidRPr="00B3052C">
        <w:t xml:space="preserve">As </w:t>
      </w:r>
      <w:r w:rsidR="00737B80" w:rsidRPr="00B3052C">
        <w:t xml:space="preserve">the </w:t>
      </w:r>
      <w:r w:rsidR="00357D73" w:rsidRPr="00B3052C">
        <w:t>examiners</w:t>
      </w:r>
      <w:r w:rsidR="00737B80" w:rsidRPr="00B3052C">
        <w:t xml:space="preserve"> </w:t>
      </w:r>
      <w:r w:rsidR="002A3920" w:rsidRPr="00B3052C">
        <w:t xml:space="preserve">are exposed to increasing concentrations of odorous emissions, the definition of a minimum dilution </w:t>
      </w:r>
      <w:r w:rsidR="00860C29" w:rsidRPr="00B3052C">
        <w:t>value</w:t>
      </w:r>
      <w:r w:rsidR="00737B80" w:rsidRPr="00B3052C">
        <w:t>,</w:t>
      </w:r>
      <w:r w:rsidR="00860C29" w:rsidRPr="00B3052C">
        <w:t xml:space="preserve"> not to be </w:t>
      </w:r>
      <w:r w:rsidR="00AD047A">
        <w:t>overtaken</w:t>
      </w:r>
      <w:r w:rsidR="00860C29" w:rsidRPr="00B3052C">
        <w:t xml:space="preserve"> during analyses</w:t>
      </w:r>
      <w:r w:rsidR="00737B80" w:rsidRPr="00B3052C">
        <w:t>,</w:t>
      </w:r>
      <w:r w:rsidR="002A3920" w:rsidRPr="00B3052C">
        <w:t xml:space="preserve"> </w:t>
      </w:r>
      <w:r w:rsidR="00737B80" w:rsidRPr="00B3052C">
        <w:t xml:space="preserve">arises as an </w:t>
      </w:r>
      <w:r w:rsidR="002A3920" w:rsidRPr="00B3052C">
        <w:t xml:space="preserve">essential </w:t>
      </w:r>
      <w:r w:rsidR="00737B80" w:rsidRPr="00B3052C">
        <w:t xml:space="preserve">tool </w:t>
      </w:r>
      <w:r w:rsidR="002A3920" w:rsidRPr="00B3052C">
        <w:t>to ensure their safety.</w:t>
      </w:r>
      <w:r w:rsidR="0055749C" w:rsidRPr="00B3052C">
        <w:t xml:space="preserve"> The importance of this topic </w:t>
      </w:r>
      <w:r w:rsidR="00357D73" w:rsidRPr="00B3052C">
        <w:t>was already</w:t>
      </w:r>
      <w:r w:rsidR="0055749C" w:rsidRPr="00B3052C">
        <w:t xml:space="preserve"> emphasize</w:t>
      </w:r>
      <w:r w:rsidR="00737B80" w:rsidRPr="00B3052C">
        <w:t>d</w:t>
      </w:r>
      <w:r w:rsidR="0055749C" w:rsidRPr="00B3052C">
        <w:t xml:space="preserve"> in EN 13725:2003</w:t>
      </w:r>
      <w:r w:rsidR="00DE6942">
        <w:t xml:space="preserve">. </w:t>
      </w:r>
      <w:r w:rsidR="00357D73" w:rsidRPr="00B3052C">
        <w:t xml:space="preserve"> </w:t>
      </w:r>
      <w:r w:rsidR="00DE6942">
        <w:t>H</w:t>
      </w:r>
      <w:r w:rsidR="00AD047A">
        <w:t>owever,</w:t>
      </w:r>
      <w:r w:rsidR="00357D73" w:rsidRPr="00B3052C">
        <w:t xml:space="preserve"> occupational safety has become so </w:t>
      </w:r>
      <w:r w:rsidR="00AD047A">
        <w:t>crucial</w:t>
      </w:r>
      <w:r w:rsidR="00357D73" w:rsidRPr="00B3052C">
        <w:t xml:space="preserve"> that it </w:t>
      </w:r>
      <w:r w:rsidR="00AD047A">
        <w:t>has required</w:t>
      </w:r>
      <w:r w:rsidR="00357D73" w:rsidRPr="00B3052C">
        <w:t xml:space="preserve"> further </w:t>
      </w:r>
      <w:r w:rsidR="00AD047A">
        <w:t>investigation</w:t>
      </w:r>
      <w:r w:rsidR="00357D73" w:rsidRPr="00B3052C">
        <w:t xml:space="preserve"> in the current revision of the standard. Indeed</w:t>
      </w:r>
      <w:r w:rsidR="00737B80" w:rsidRPr="00B3052C">
        <w:t xml:space="preserve">, </w:t>
      </w:r>
      <w:r w:rsidR="00357D73" w:rsidRPr="00B3052C">
        <w:t>EN 13725:2003</w:t>
      </w:r>
      <w:r w:rsidR="00BD3A7E" w:rsidRPr="00B3052C">
        <w:t xml:space="preserve"> does not provide a</w:t>
      </w:r>
      <w:r w:rsidR="00737B80" w:rsidRPr="00B3052C">
        <w:t>ny</w:t>
      </w:r>
      <w:r w:rsidR="00357D73" w:rsidRPr="00B3052C">
        <w:t xml:space="preserve"> detailed </w:t>
      </w:r>
      <w:r w:rsidR="003E3531">
        <w:t>discussion. The standard</w:t>
      </w:r>
      <w:r w:rsidR="00357D73" w:rsidRPr="00B3052C">
        <w:t xml:space="preserve"> p</w:t>
      </w:r>
      <w:r w:rsidR="00BD3A7E" w:rsidRPr="00B3052C">
        <w:t>rescribes</w:t>
      </w:r>
      <w:r w:rsidR="00357D73" w:rsidRPr="00B3052C">
        <w:t xml:space="preserve"> only</w:t>
      </w:r>
      <w:r w:rsidR="00BD3A7E" w:rsidRPr="00B3052C">
        <w:t xml:space="preserve"> </w:t>
      </w:r>
      <w:r w:rsidR="007D77DB" w:rsidRPr="00B3052C">
        <w:t xml:space="preserve">to inform the employees involved of the potential exposure risk correlated with olfactometric </w:t>
      </w:r>
      <w:r w:rsidR="007D77DB" w:rsidRPr="00B44DFA">
        <w:t>analysis and</w:t>
      </w:r>
      <w:r w:rsidR="00BD3A7E" w:rsidRPr="00B44DFA">
        <w:t xml:space="preserve"> it</w:t>
      </w:r>
      <w:r w:rsidR="007D77DB" w:rsidRPr="00B44DFA">
        <w:t xml:space="preserve"> requires</w:t>
      </w:r>
      <w:r w:rsidR="00BB3096" w:rsidRPr="00B44DFA">
        <w:t xml:space="preserve"> </w:t>
      </w:r>
      <w:r w:rsidR="007D77DB" w:rsidRPr="00B44DFA">
        <w:lastRenderedPageBreak/>
        <w:t>to minimise it</w:t>
      </w:r>
      <w:r w:rsidR="00357D73" w:rsidRPr="00B44DFA">
        <w:t xml:space="preserve"> (Section 8.6 of EN 13725:2003). </w:t>
      </w:r>
      <w:r w:rsidR="00AD047A" w:rsidRPr="00B44DFA">
        <w:t>For these reasons, t</w:t>
      </w:r>
      <w:r w:rsidR="00357D73" w:rsidRPr="00B44DFA">
        <w:t xml:space="preserve">he EN 13725 revision should introduce guidance on risk assessment for </w:t>
      </w:r>
      <w:r w:rsidR="00AD047A" w:rsidRPr="00B44DFA">
        <w:t xml:space="preserve">panel members, </w:t>
      </w:r>
      <w:r w:rsidR="00357D73" w:rsidRPr="00B44DFA">
        <w:t>prescribing</w:t>
      </w:r>
      <w:r w:rsidR="00AD047A" w:rsidRPr="00B44DFA">
        <w:t xml:space="preserve"> </w:t>
      </w:r>
      <w:r w:rsidR="00357D73" w:rsidRPr="00B44DFA">
        <w:t xml:space="preserve">the use of </w:t>
      </w:r>
      <w:r w:rsidR="003B6A71">
        <w:t xml:space="preserve">current </w:t>
      </w:r>
      <w:r w:rsidR="002535AC" w:rsidRPr="002535AC">
        <w:t>occupational exposure limits</w:t>
      </w:r>
      <w:r w:rsidR="00AD047A" w:rsidRPr="00B44DFA">
        <w:t xml:space="preserve">. However, this approach may still be too generic. A method for conducting </w:t>
      </w:r>
      <w:r w:rsidR="00AF6A2A" w:rsidRPr="00B44DFA">
        <w:t xml:space="preserve">the </w:t>
      </w:r>
      <w:r w:rsidR="00AD047A" w:rsidRPr="00B44DFA">
        <w:t>exposure risk assessment for panellists has</w:t>
      </w:r>
      <w:r w:rsidR="00AD047A" w:rsidRPr="00AD047A">
        <w:t xml:space="preserve"> been described in two </w:t>
      </w:r>
      <w:r w:rsidR="00816797" w:rsidRPr="00B3052C">
        <w:t xml:space="preserve">scientific </w:t>
      </w:r>
      <w:r w:rsidR="00F83D33" w:rsidRPr="00B3052C">
        <w:t>papers</w:t>
      </w:r>
      <w:r w:rsidR="00AD047A">
        <w:t>, which</w:t>
      </w:r>
      <w:r w:rsidR="00816797" w:rsidRPr="00B3052C">
        <w:t xml:space="preserve"> have propose</w:t>
      </w:r>
      <w:r w:rsidR="00F83D33" w:rsidRPr="00B3052C">
        <w:t>d</w:t>
      </w:r>
      <w:r w:rsidR="00816797" w:rsidRPr="00B3052C">
        <w:t xml:space="preserve"> guidelines to determine a minimum dilution level to be applied to odorous samples to protect </w:t>
      </w:r>
      <w:r w:rsidR="000029D2" w:rsidRPr="00B3052C">
        <w:t xml:space="preserve">the </w:t>
      </w:r>
      <w:r w:rsidR="00816797" w:rsidRPr="00B3052C">
        <w:t>health of examiners involved</w:t>
      </w:r>
      <w:r w:rsidR="00F86949">
        <w:t xml:space="preserve"> </w:t>
      </w:r>
      <w:r w:rsidR="00F86949">
        <w:fldChar w:fldCharType="begin" w:fldLock="1"/>
      </w:r>
      <w:r w:rsidR="00FB22F8">
        <w:instrText>ADDIN CSL_CITATION {"citationItems":[{"id":"ITEM-1","itemData":{"DOI":"10.3303/CET1230002","ISBN":"978-88-95608-21-1","ISSN":"1974-9791","abstract":"The study reported in this paper examined occupational exposure to potential toxic compounds (PTC) for employees working in dynamic olfactometry, following EN 13725:2003 standard procedures. Potential exposure pathways is limited to inhalation of chemicals in air, through the olfactometer, and for this study it was assumed that no chemical transformations or abatements are induced during the dilution steps or by the different sample lines components. Since the possibility of the dilution apparatus malfunctioning cannot be detected in real time, the exposure scenario assessment was based on an upper bound estimate of exposure, using published values of PTC present in emissions of different activities. The non-carcinogenic toxicity assessment was based on short term, acute toxicity effects, while for carcinogenic effects, EPA slope factors were used. The dose was based on individual PTC maximum concentration observed multiplied by the forced inspiratory nasal volumes and corrected by the average number of sample presentations. Different risk scenarios have been calculated for different sample type, both for carcinogenic and non-carcinogenic PTC. Since samples are presented to assessors in an ascending concentration series, i.e. with a lower and lower dilution factor, assessors' exposure is limited to acceptable levels by defining a minimum dilution value, based on specific sample type potential risk, as a guideline for the olfactometric laboratory standard procedures.","author":[{"dropping-particle":"","family":"Davoli","given":"Enrico","non-dropping-particle":"","parse-names":false,"suffix":""},{"dropping-particle":"","family":"Zuccato","given":"Ettore","non-dropping-particle":"","parse-names":false,"suffix":""},{"dropping-particle":"","family":"Bianchi","given":"Giancarlo","non-dropping-particle":"","parse-names":false,"suffix":""},{"dropping-particle":"","family":"Palmiotto","given":"Marinella","non-dropping-particle":"","parse-names":false,"suffix":""},{"dropping-particle":"","family":"Grande","given":"Massimiliano","non-dropping-particle":"Il","parse-names":false,"suffix":""},{"dropping-particle":"","family":"Bonati","given":"Simone","non-dropping-particle":"","parse-names":false,"suffix":""},{"dropping-particle":"","family":"Rossi","given":"Andrea N","non-dropping-particle":"","parse-names":false,"suffix":""}],"container-title":"Chemical Engineering Transactions","id":"ITEM-1","issued":{"date-parts":[["2012"]]},"title":"Dynamic Olfactometry and Potential Sample Toxicity. Guidelines for a Safe Occupational Health Approach","type":"article-journal","volume":"30"},"uris":["http://www.mendeley.com/documents/?uuid=166152a0-d7fb-322d-aa5a-5df7ff6e9b06"]},{"id":"ITEM-2","itemData":{"DOI":"10.3303/CET1654003","ISSN":"22839216","abstract":"The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author":[{"dropping-particle":"","family":"Davoli","given":"Enrico","non-dropping-particle":"","parse-names":false,"suffix":""},{"dropping-particle":"","family":"Zuccato","given":"Ettore","non-dropping-particle":"","parse-names":false,"suffix":""},{"dropping-particle":"","family":"Bianchi","given":"Giancarlo","non-dropping-particle":"","parse-names":false,"suffix":""},{"dropping-particle":"","family":"Grande","given":"Massimiliano","non-dropping-particle":"Il","parse-names":false,"suffix":""},{"dropping-particle":"","family":"Bonati","given":"Simone","non-dropping-particle":"","parse-names":false,"suffix":""},{"dropping-particle":"","family":"Rossi","given":"Andrea N.","non-dropping-particle":"","parse-names":false,"suffix":""},{"dropping-particle":"","family":"Porporato","given":"Clemente","non-dropping-particle":"","parse-names":false,"suffix":""},{"dropping-particle":"","family":"Pereno","given":"Massimiliano","non-dropping-particle":"","parse-names":false,"suffix":""},{"dropping-particle":"","family":"Soldati","given":"Simona","non-dropping-particle":"","parse-names":false,"suffix":""}],"container-title":"Chemical Engineering Transactions","id":"ITEM-2","issued":{"date-parts":[["2016"]]},"page":"13-18","publisher":"Italian Association of Chemical Engineering - AIDIC","title":"Dynamic olfactometry and sample toxicity. a case study for a MSW incinerator odour assessment project","type":"article-journal","volume":"54"},"uris":["http://www.mendeley.com/documents/?uuid=c27407bf-581e-3017-b3e5-96732036febb"]}],"mendeley":{"formattedCitation":"(Davoli et al., 2012, 2016)","manualFormatting":"(Davoli et al., 2012, Davoli et al.,2016)","plainTextFormattedCitation":"(Davoli et al., 2012, 2016)","previouslyFormattedCitation":"(Davoli et al., 2012, 2016)"},"properties":{"noteIndex":0},"schema":"https://github.com/citation-style-language/schema/raw/master/csl-citation.json"}</w:instrText>
      </w:r>
      <w:r w:rsidR="00F86949">
        <w:fldChar w:fldCharType="separate"/>
      </w:r>
      <w:r w:rsidR="00FB22F8" w:rsidRPr="00FB22F8">
        <w:rPr>
          <w:noProof/>
        </w:rPr>
        <w:t xml:space="preserve">(Davoli et al., 2012, </w:t>
      </w:r>
      <w:r w:rsidR="00FB22F8">
        <w:rPr>
          <w:noProof/>
        </w:rPr>
        <w:t>Davoli et al.,</w:t>
      </w:r>
      <w:r w:rsidR="00FB22F8" w:rsidRPr="00FB22F8">
        <w:rPr>
          <w:noProof/>
        </w:rPr>
        <w:t>2016)</w:t>
      </w:r>
      <w:r w:rsidR="00F86949">
        <w:fldChar w:fldCharType="end"/>
      </w:r>
      <w:r w:rsidR="00F86949">
        <w:t>.</w:t>
      </w:r>
      <w:r w:rsidR="005843F6">
        <w:t xml:space="preserve"> </w:t>
      </w:r>
      <w:r w:rsidR="00AF6A2A">
        <w:t>Therefore</w:t>
      </w:r>
      <w:r w:rsidR="000029D2" w:rsidRPr="00B3052C">
        <w:t xml:space="preserve">, the proposed models differ in </w:t>
      </w:r>
      <w:r w:rsidR="0006327C">
        <w:t>two main</w:t>
      </w:r>
      <w:r w:rsidR="0006327C" w:rsidRPr="00B3052C">
        <w:t xml:space="preserve"> </w:t>
      </w:r>
      <w:r w:rsidR="000029D2" w:rsidRPr="00B3052C">
        <w:t>aspects</w:t>
      </w:r>
      <w:r w:rsidR="0006327C">
        <w:t xml:space="preserve">: </w:t>
      </w:r>
      <w:r w:rsidR="000029D2" w:rsidRPr="00B3052C">
        <w:t xml:space="preserve"> the source of the</w:t>
      </w:r>
      <w:r w:rsidR="0006327C">
        <w:t xml:space="preserve"> sample concentration</w:t>
      </w:r>
      <w:r w:rsidR="000029D2" w:rsidRPr="00B3052C">
        <w:t xml:space="preserve"> data and the toxicological parameters used. The aim of this work is the discussion and comparison of these two different approaches applied to the toxicological evaluation of a real sample, </w:t>
      </w:r>
      <w:r w:rsidR="004E5247">
        <w:t xml:space="preserve">in order </w:t>
      </w:r>
      <w:r w:rsidR="000029D2" w:rsidRPr="00B3052C">
        <w:t xml:space="preserve">to </w:t>
      </w:r>
      <w:r w:rsidR="0006327C">
        <w:t xml:space="preserve">investigate them and eventually </w:t>
      </w:r>
      <w:r w:rsidR="000029D2" w:rsidRPr="00B3052C">
        <w:t>evidence the critical points of</w:t>
      </w:r>
      <w:r w:rsidR="0006327C">
        <w:t xml:space="preserve"> the </w:t>
      </w:r>
      <w:r w:rsidR="0006327C" w:rsidRPr="00B3052C">
        <w:t>proposed</w:t>
      </w:r>
      <w:r w:rsidR="000029D2" w:rsidRPr="00B3052C">
        <w:t xml:space="preserve"> risk assessment</w:t>
      </w:r>
      <w:r w:rsidR="0006327C">
        <w:t>s</w:t>
      </w:r>
      <w:r w:rsidR="000029D2" w:rsidRPr="00B3052C">
        <w:t xml:space="preserve">. </w:t>
      </w:r>
    </w:p>
    <w:p w14:paraId="739BC909" w14:textId="26AB495D" w:rsidR="000B2466" w:rsidRPr="00D85848" w:rsidRDefault="00057907" w:rsidP="000B2466">
      <w:pPr>
        <w:pStyle w:val="CETHeading1"/>
        <w:rPr>
          <w:lang w:val="en-GB"/>
        </w:rPr>
      </w:pPr>
      <w:r>
        <w:rPr>
          <w:lang w:val="en-GB"/>
        </w:rPr>
        <w:t>State of the art</w:t>
      </w:r>
    </w:p>
    <w:p w14:paraId="28542F0A" w14:textId="32DEE91F" w:rsidR="0025419C" w:rsidRDefault="00DD7C68" w:rsidP="00B3052C">
      <w:pPr>
        <w:pStyle w:val="CETBodytext"/>
      </w:pPr>
      <w:r>
        <w:t>D</w:t>
      </w:r>
      <w:r w:rsidRPr="00D85848">
        <w:t xml:space="preserve">uring their working activity, examiners are exposed </w:t>
      </w:r>
      <w:r w:rsidRPr="000029D2">
        <w:t xml:space="preserve">to </w:t>
      </w:r>
      <w:r w:rsidR="00704E52">
        <w:t>gaseous mixtures</w:t>
      </w:r>
      <w:r w:rsidRPr="000029D2">
        <w:t xml:space="preserve"> </w:t>
      </w:r>
      <w:r>
        <w:t>collected</w:t>
      </w:r>
      <w:r w:rsidRPr="000029D2">
        <w:t xml:space="preserve"> directly at the odour source, </w:t>
      </w:r>
      <w:r>
        <w:t>following</w:t>
      </w:r>
      <w:r w:rsidRPr="000029D2">
        <w:t xml:space="preserve"> the sampling </w:t>
      </w:r>
      <w:r>
        <w:t xml:space="preserve">requirement of </w:t>
      </w:r>
      <w:r w:rsidRPr="00D85848">
        <w:t>EN 13725:2003</w:t>
      </w:r>
      <w:r>
        <w:t xml:space="preserve">. </w:t>
      </w:r>
      <w:r w:rsidRPr="00D85848">
        <w:t xml:space="preserve">Therefore, </w:t>
      </w:r>
      <w:r w:rsidR="00704E52">
        <w:t xml:space="preserve">the considered </w:t>
      </w:r>
      <w:r w:rsidR="0025419C">
        <w:t>odorous</w:t>
      </w:r>
      <w:r w:rsidRPr="00D85848">
        <w:t xml:space="preserve"> </w:t>
      </w:r>
      <w:r w:rsidR="0025419C">
        <w:t xml:space="preserve">samples </w:t>
      </w:r>
      <w:r w:rsidRPr="00D85848">
        <w:t>are not diluted in ambient air</w:t>
      </w:r>
      <w:r>
        <w:t>, due to atmospheric dispersion,</w:t>
      </w:r>
      <w:r w:rsidRPr="00D85848">
        <w:t xml:space="preserve"> but directly by olfactomet</w:t>
      </w:r>
      <w:r w:rsidR="0025419C">
        <w:t>er: as mentioned, this instrument dilutes the sample and send it to the sniffers, at increasing concentration</w:t>
      </w:r>
      <w:r w:rsidR="003E3531">
        <w:t>,</w:t>
      </w:r>
      <w:r w:rsidR="0025419C">
        <w:t xml:space="preserve"> until the assessor distinguish an odour sensation</w:t>
      </w:r>
      <w:r w:rsidRPr="00D85848">
        <w:t>. As a result, panellist</w:t>
      </w:r>
      <w:r>
        <w:t>s can be potentially exposed to</w:t>
      </w:r>
      <w:r w:rsidRPr="00AF6A2A">
        <w:t xml:space="preserve"> </w:t>
      </w:r>
      <w:r w:rsidR="00E35C8A">
        <w:t xml:space="preserve">a </w:t>
      </w:r>
      <w:r w:rsidR="0025419C">
        <w:t>relevant</w:t>
      </w:r>
      <w:r w:rsidRPr="00AF6A2A">
        <w:t xml:space="preserve"> concentration</w:t>
      </w:r>
      <w:r w:rsidR="003C2176">
        <w:t xml:space="preserve"> of hazardous pollutants. </w:t>
      </w:r>
      <w:r w:rsidR="001F2626" w:rsidRPr="00D85848">
        <w:t xml:space="preserve">To conduct </w:t>
      </w:r>
      <w:r>
        <w:t xml:space="preserve">a </w:t>
      </w:r>
      <w:r w:rsidR="001F2626" w:rsidRPr="00D85848">
        <w:t xml:space="preserve">toxicological evaluation for </w:t>
      </w:r>
      <w:r w:rsidR="00F86949">
        <w:t>pane</w:t>
      </w:r>
      <w:r w:rsidR="00E35C8A">
        <w:t>l</w:t>
      </w:r>
      <w:r w:rsidR="00F86949">
        <w:t xml:space="preserve">lists </w:t>
      </w:r>
      <w:r w:rsidR="009C55A0" w:rsidRPr="00D85848">
        <w:t xml:space="preserve">and </w:t>
      </w:r>
      <w:r>
        <w:t>assess</w:t>
      </w:r>
      <w:r w:rsidRPr="00D85848">
        <w:t xml:space="preserve"> </w:t>
      </w:r>
      <w:r w:rsidR="009C55A0" w:rsidRPr="00D85848">
        <w:t>the minimum dilution values useful to guarantee their safety</w:t>
      </w:r>
      <w:r w:rsidR="001F2626" w:rsidRPr="00D85848">
        <w:t xml:space="preserve">, a preliminary consideration about their exposition </w:t>
      </w:r>
      <w:r>
        <w:t>sh</w:t>
      </w:r>
      <w:r w:rsidR="0025419C">
        <w:t>o</w:t>
      </w:r>
      <w:r>
        <w:t>uld be made</w:t>
      </w:r>
      <w:r w:rsidR="001F2626" w:rsidRPr="00D85848">
        <w:t>.</w:t>
      </w:r>
      <w:r w:rsidR="002436CA" w:rsidRPr="00D85848">
        <w:t xml:space="preserve"> </w:t>
      </w:r>
    </w:p>
    <w:p w14:paraId="3BF78C6D" w14:textId="1A5D128C" w:rsidR="003E3531" w:rsidRDefault="004F31C2" w:rsidP="00B3052C">
      <w:pPr>
        <w:pStyle w:val="CETBodytext"/>
      </w:pPr>
      <w:r w:rsidRPr="00D85848">
        <w:t xml:space="preserve">Firstly, it is </w:t>
      </w:r>
      <w:r w:rsidR="000029D2">
        <w:t>necessary</w:t>
      </w:r>
      <w:r w:rsidRPr="00D85848">
        <w:t xml:space="preserve"> </w:t>
      </w:r>
      <w:r w:rsidR="000029D2">
        <w:t xml:space="preserve">to </w:t>
      </w:r>
      <w:r w:rsidRPr="00D85848">
        <w:t xml:space="preserve">define the type of exposure: due to their activity, </w:t>
      </w:r>
      <w:r w:rsidR="00341BD1" w:rsidRPr="00D85848">
        <w:t>panellists</w:t>
      </w:r>
      <w:r w:rsidRPr="00D85848">
        <w:t xml:space="preserve"> have to be considered </w:t>
      </w:r>
      <w:r w:rsidR="008B2DE9" w:rsidRPr="00D85848">
        <w:t xml:space="preserve">workers and, as such, their exposure risk has to be estimated by assessing the reference concentrations for this category. Despite this assumption, the particular exposure of </w:t>
      </w:r>
      <w:r w:rsidR="00341BD1" w:rsidRPr="00D85848">
        <w:t>panellists</w:t>
      </w:r>
      <w:r w:rsidR="008B2DE9" w:rsidRPr="00D85848">
        <w:t xml:space="preserve"> during olfactometric analyses must be considered</w:t>
      </w:r>
      <w:r w:rsidR="0025419C">
        <w:rPr>
          <w:lang w:val="en-GB"/>
        </w:rPr>
        <w:t xml:space="preserve">: </w:t>
      </w:r>
      <w:r w:rsidR="00341BD1" w:rsidRPr="00D85848">
        <w:t xml:space="preserve">according </w:t>
      </w:r>
      <w:r w:rsidR="000029D2">
        <w:t>to</w:t>
      </w:r>
      <w:r w:rsidR="00341BD1" w:rsidRPr="00D85848">
        <w:t xml:space="preserve"> EN 13725:2003, panellist</w:t>
      </w:r>
      <w:r w:rsidR="000029D2">
        <w:t xml:space="preserve">s usually work in sessions of </w:t>
      </w:r>
      <w:r w:rsidR="00341BD1" w:rsidRPr="00D85848">
        <w:t xml:space="preserve">1 or 2 hours to avoid nose fatigue. </w:t>
      </w:r>
      <w:r w:rsidR="00DD7C68">
        <w:t>In addition</w:t>
      </w:r>
      <w:r w:rsidR="00341BD1" w:rsidRPr="00D85848">
        <w:t xml:space="preserve">, </w:t>
      </w:r>
      <w:r w:rsidR="00677C33">
        <w:t xml:space="preserve">each presentation of </w:t>
      </w:r>
      <w:r w:rsidR="003E3531">
        <w:t xml:space="preserve">the odorous </w:t>
      </w:r>
      <w:r w:rsidR="00E14AA2">
        <w:t>diluted sample</w:t>
      </w:r>
      <w:r w:rsidR="003E3531">
        <w:t xml:space="preserve"> </w:t>
      </w:r>
      <w:r w:rsidR="00E14AA2">
        <w:t>lasts</w:t>
      </w:r>
      <w:r w:rsidR="003E3531">
        <w:t xml:space="preserve"> for a maximum of 15 seconds.</w:t>
      </w:r>
      <w:r w:rsidR="00341BD1" w:rsidRPr="00D85848">
        <w:t xml:space="preserve"> For this reason, </w:t>
      </w:r>
      <w:r w:rsidR="007A3603" w:rsidRPr="00D85848">
        <w:t>a panellist</w:t>
      </w:r>
      <w:r w:rsidR="00341BD1" w:rsidRPr="00D85848">
        <w:t xml:space="preserve"> involved in dynamic olfactometry will never be exposed for the same length of time as a </w:t>
      </w:r>
      <w:r w:rsidR="000029D2">
        <w:t>general</w:t>
      </w:r>
      <w:r w:rsidR="00E35C8A">
        <w:t xml:space="preserve"> </w:t>
      </w:r>
      <w:r w:rsidR="00341BD1" w:rsidRPr="00D85848">
        <w:t>worker</w:t>
      </w:r>
      <w:r w:rsidR="006F125C" w:rsidRPr="00D85848">
        <w:t xml:space="preserve"> (8h/day, 40h/week)</w:t>
      </w:r>
      <w:r w:rsidR="00926A19" w:rsidRPr="00D85848">
        <w:t xml:space="preserve">. </w:t>
      </w:r>
      <w:r w:rsidR="007A3603" w:rsidRPr="00D85848">
        <w:t xml:space="preserve">However, </w:t>
      </w:r>
      <w:r w:rsidR="00FB4B3E" w:rsidRPr="00D85848">
        <w:t xml:space="preserve">it is </w:t>
      </w:r>
      <w:r w:rsidR="0025419C">
        <w:t xml:space="preserve">still </w:t>
      </w:r>
      <w:r w:rsidR="00FB4B3E" w:rsidRPr="00D85848">
        <w:t>essential to assess the concentration levels to which panellists are exposed during dynamic olfactometry.</w:t>
      </w:r>
      <w:r w:rsidR="00980FD5" w:rsidRPr="00D85848">
        <w:t xml:space="preserve"> </w:t>
      </w:r>
    </w:p>
    <w:p w14:paraId="27E4B825" w14:textId="637F422E" w:rsidR="00180860" w:rsidRPr="00D85848" w:rsidRDefault="000029D2" w:rsidP="00B3052C">
      <w:pPr>
        <w:pStyle w:val="CETBodytext"/>
      </w:pPr>
      <w:r>
        <w:t>T</w:t>
      </w:r>
      <w:r w:rsidR="00E6173D" w:rsidRPr="00D85848">
        <w:t xml:space="preserve">o </w:t>
      </w:r>
      <w:r w:rsidR="00F21505" w:rsidRPr="00D85848">
        <w:t>evaluate the exposure risk for panellists</w:t>
      </w:r>
      <w:r w:rsidR="00062D69" w:rsidRPr="00D85848">
        <w:t>,</w:t>
      </w:r>
      <w:r w:rsidR="00F21505" w:rsidRPr="00D85848">
        <w:t xml:space="preserve"> in </w:t>
      </w:r>
      <w:r>
        <w:t xml:space="preserve">the scientific </w:t>
      </w:r>
      <w:r w:rsidR="00F21505" w:rsidRPr="00D85848">
        <w:t>literature two a</w:t>
      </w:r>
      <w:r w:rsidR="006F125C" w:rsidRPr="00D85848">
        <w:t>pproach</w:t>
      </w:r>
      <w:r>
        <w:t>es</w:t>
      </w:r>
      <w:r w:rsidR="006F125C" w:rsidRPr="00D85848">
        <w:t xml:space="preserve"> </w:t>
      </w:r>
      <w:r w:rsidR="00AA63E6">
        <w:t>were described</w:t>
      </w:r>
      <w:r w:rsidR="006F125C" w:rsidRPr="00D85848">
        <w:t>, using different reference databases</w:t>
      </w:r>
      <w:r w:rsidR="00CC5F3D" w:rsidRPr="00D85848">
        <w:t xml:space="preserve"> to estimate the non-carcinogenic and carcinogenic risk for panellists activity</w:t>
      </w:r>
      <w:r w:rsidR="006F125C" w:rsidRPr="00D85848">
        <w:t>.</w:t>
      </w:r>
    </w:p>
    <w:p w14:paraId="00D7652A" w14:textId="3202EC9D" w:rsidR="00B3052C" w:rsidRDefault="006F125C" w:rsidP="00B3052C">
      <w:pPr>
        <w:pStyle w:val="CETBodytext"/>
      </w:pPr>
      <w:r w:rsidRPr="003E3531">
        <w:rPr>
          <w:lang w:val="en-GB"/>
        </w:rPr>
        <w:t xml:space="preserve">In </w:t>
      </w:r>
      <w:r w:rsidR="00FB22F8" w:rsidRPr="003E3531">
        <w:rPr>
          <w:lang w:val="en-GB"/>
        </w:rPr>
        <w:t xml:space="preserve">Davoli et al. </w:t>
      </w:r>
      <w:r w:rsidR="00FB22F8" w:rsidRPr="00FB22F8">
        <w:rPr>
          <w:lang w:val="en-GB"/>
        </w:rPr>
        <w:t>(2012)</w:t>
      </w:r>
      <w:r w:rsidR="002A15B0" w:rsidRPr="00FB22F8">
        <w:rPr>
          <w:lang w:val="en-GB"/>
        </w:rPr>
        <w:t xml:space="preserve"> (</w:t>
      </w:r>
      <w:r w:rsidR="0025419C" w:rsidRPr="00FB22F8">
        <w:rPr>
          <w:lang w:val="en-GB"/>
        </w:rPr>
        <w:t xml:space="preserve">defined in this paper as </w:t>
      </w:r>
      <w:r w:rsidR="002A15B0" w:rsidRPr="00FB22F8">
        <w:rPr>
          <w:lang w:val="en-GB"/>
        </w:rPr>
        <w:t>Approach A)</w:t>
      </w:r>
      <w:r w:rsidR="000029D2" w:rsidRPr="00FB22F8">
        <w:rPr>
          <w:lang w:val="en-GB"/>
        </w:rPr>
        <w:t>,</w:t>
      </w:r>
      <w:r w:rsidRPr="00FB22F8">
        <w:rPr>
          <w:lang w:val="en-GB"/>
        </w:rPr>
        <w:t xml:space="preserve"> </w:t>
      </w:r>
      <w:r w:rsidR="00CC5F3D" w:rsidRPr="00FB22F8">
        <w:rPr>
          <w:lang w:val="en-GB"/>
        </w:rPr>
        <w:t xml:space="preserve">the toxicological evaluation was conducted using </w:t>
      </w:r>
      <w:r w:rsidR="007329E9" w:rsidRPr="00FB22F8">
        <w:rPr>
          <w:lang w:val="en-GB"/>
        </w:rPr>
        <w:t xml:space="preserve">emission data available in </w:t>
      </w:r>
      <w:r w:rsidR="000029D2" w:rsidRPr="00FB22F8">
        <w:rPr>
          <w:lang w:val="en-GB"/>
        </w:rPr>
        <w:t xml:space="preserve">the </w:t>
      </w:r>
      <w:r w:rsidR="007329E9" w:rsidRPr="00FB22F8">
        <w:rPr>
          <w:lang w:val="en-GB"/>
        </w:rPr>
        <w:t xml:space="preserve">scientific literature for different industrial categories. </w:t>
      </w:r>
      <w:r w:rsidR="007329E9" w:rsidRPr="00D85848">
        <w:t xml:space="preserve">In particular, </w:t>
      </w:r>
      <w:r w:rsidR="00CC5F3D" w:rsidRPr="00D85848">
        <w:t xml:space="preserve">the maximum </w:t>
      </w:r>
      <w:r w:rsidR="007329E9" w:rsidRPr="00D85848">
        <w:t>c</w:t>
      </w:r>
      <w:r w:rsidR="00CC5F3D" w:rsidRPr="00D85848">
        <w:t>oncentration</w:t>
      </w:r>
      <w:r w:rsidR="007329E9" w:rsidRPr="00D85848">
        <w:t xml:space="preserve"> of pollutants observed in literature was used to establish the minimum dilution level to be adopted for the odorous samples</w:t>
      </w:r>
      <w:r w:rsidR="000029D2">
        <w:t xml:space="preserve"> collected in the </w:t>
      </w:r>
      <w:r w:rsidR="000029D2" w:rsidRPr="00D85848">
        <w:t>different industrial</w:t>
      </w:r>
      <w:r w:rsidR="000029D2">
        <w:t xml:space="preserve"> categories considered. </w:t>
      </w:r>
      <w:r w:rsidR="00B45287" w:rsidRPr="00D85848">
        <w:t xml:space="preserve">In this evaluation, the exposure pathway considered is the inhalation </w:t>
      </w:r>
      <w:r w:rsidR="000029D2">
        <w:t>and</w:t>
      </w:r>
      <w:r w:rsidR="00C77769" w:rsidRPr="00D85848">
        <w:t xml:space="preserve"> </w:t>
      </w:r>
      <w:r w:rsidR="00BB6944" w:rsidRPr="00D85848">
        <w:t xml:space="preserve">the study assumes that no chemical reactions or </w:t>
      </w:r>
      <w:r w:rsidR="000029D2">
        <w:t>losses</w:t>
      </w:r>
      <w:r w:rsidR="00BB6944" w:rsidRPr="00D85848">
        <w:t xml:space="preserve"> occurred during the analysis and samples transportation.</w:t>
      </w:r>
      <w:r w:rsidR="00B3052C">
        <w:t xml:space="preserve"> </w:t>
      </w:r>
      <w:r w:rsidR="00704E52">
        <w:t>To estimate</w:t>
      </w:r>
      <w:r w:rsidR="00CC5F3D" w:rsidRPr="00D85848">
        <w:t xml:space="preserve"> the non-carcinogenic effects</w:t>
      </w:r>
      <w:r w:rsidR="00370B87" w:rsidRPr="00D85848">
        <w:t xml:space="preserve"> correlated to </w:t>
      </w:r>
      <w:r w:rsidR="000029D2">
        <w:t xml:space="preserve">the pollutants exposition, </w:t>
      </w:r>
      <w:r w:rsidR="00370B87" w:rsidRPr="00D85848">
        <w:t>the maximum concentration of substances</w:t>
      </w:r>
      <w:r w:rsidR="00E14AA2">
        <w:t xml:space="preserve"> i,</w:t>
      </w:r>
      <w:r w:rsidR="003E3531">
        <w:t xml:space="preserve"> (C</w:t>
      </w:r>
      <w:r w:rsidR="003E3531" w:rsidRPr="00F86949">
        <w:rPr>
          <w:vertAlign w:val="subscript"/>
        </w:rPr>
        <w:t>MAX</w:t>
      </w:r>
      <w:r w:rsidR="003E3531">
        <w:rPr>
          <w:vertAlign w:val="subscript"/>
        </w:rPr>
        <w:t>,i</w:t>
      </w:r>
      <w:r w:rsidR="003E3531">
        <w:t>)</w:t>
      </w:r>
      <w:r w:rsidR="009113B1">
        <w:t>,</w:t>
      </w:r>
      <w:r w:rsidR="00370B87" w:rsidRPr="00D85848">
        <w:t xml:space="preserve"> observed</w:t>
      </w:r>
      <w:r w:rsidR="009113B1">
        <w:t xml:space="preserve"> in the available literature</w:t>
      </w:r>
      <w:r w:rsidR="003E3531">
        <w:t>,</w:t>
      </w:r>
      <w:r w:rsidR="009113B1">
        <w:t xml:space="preserve"> </w:t>
      </w:r>
      <w:r w:rsidR="00704E52" w:rsidRPr="00704E52">
        <w:t>was considered</w:t>
      </w:r>
      <w:r w:rsidR="00A33329">
        <w:t>. As reference concentration (C</w:t>
      </w:r>
      <w:r w:rsidR="003E3531">
        <w:rPr>
          <w:vertAlign w:val="subscript"/>
        </w:rPr>
        <w:t>REF</w:t>
      </w:r>
      <w:r w:rsidR="00A33329">
        <w:rPr>
          <w:vertAlign w:val="subscript"/>
        </w:rPr>
        <w:t>,i</w:t>
      </w:r>
      <w:r w:rsidR="00A33329">
        <w:t>)</w:t>
      </w:r>
      <w:r w:rsidR="00704E52">
        <w:t>,</w:t>
      </w:r>
      <w:r w:rsidR="00370B87" w:rsidRPr="00D85848">
        <w:t xml:space="preserve"> Threshold Limit Value - Short Term Exposure Limit (TLV-STEL)</w:t>
      </w:r>
      <w:r w:rsidR="00A33329">
        <w:t xml:space="preserve"> was considered</w:t>
      </w:r>
      <w:r w:rsidR="00370B87" w:rsidRPr="00D85848">
        <w:t xml:space="preserve">. </w:t>
      </w:r>
      <w:r w:rsidR="009113B1">
        <w:t>I</w:t>
      </w:r>
      <w:r w:rsidR="000029D2" w:rsidRPr="000029D2">
        <w:t xml:space="preserve">f this value is </w:t>
      </w:r>
      <w:r w:rsidR="000029D2">
        <w:t>not defined</w:t>
      </w:r>
      <w:r w:rsidR="00370B87" w:rsidRPr="00D85848">
        <w:t>, either the TLV-TWA (Threshold Limit Value - Time Weighted Average) or the IDLH (Immediately Dangerous to Life or Health) were adopted.</w:t>
      </w:r>
      <w:r w:rsidR="003E3531" w:rsidRPr="003E3531">
        <w:t xml:space="preserve"> IDLH was used divided by a factor of 10</w:t>
      </w:r>
      <w:r w:rsidR="003E3531">
        <w:t xml:space="preserve">. </w:t>
      </w:r>
      <w:r w:rsidR="00A2094C" w:rsidRPr="00D85848">
        <w:t>Non-carcinogenic risk (R</w:t>
      </w:r>
      <w:r w:rsidR="00E8497C" w:rsidRPr="00D85848">
        <w:rPr>
          <w:vertAlign w:val="subscript"/>
        </w:rPr>
        <w:t>NC</w:t>
      </w:r>
      <w:r w:rsidR="00B3052C">
        <w:t>) was calculated as:</w:t>
      </w:r>
    </w:p>
    <w:tbl>
      <w:tblPr>
        <w:tblW w:w="5000" w:type="pct"/>
        <w:tblLook w:val="04A0" w:firstRow="1" w:lastRow="0" w:firstColumn="1" w:lastColumn="0" w:noHBand="0" w:noVBand="1"/>
      </w:tblPr>
      <w:tblGrid>
        <w:gridCol w:w="7983"/>
        <w:gridCol w:w="804"/>
      </w:tblGrid>
      <w:tr w:rsidR="003700AE" w:rsidRPr="00F6005F" w14:paraId="6225BFBE" w14:textId="77777777" w:rsidTr="005843F6">
        <w:tc>
          <w:tcPr>
            <w:tcW w:w="7983" w:type="dxa"/>
            <w:shd w:val="clear" w:color="auto" w:fill="auto"/>
            <w:vAlign w:val="center"/>
          </w:tcPr>
          <w:p w14:paraId="2AB3C803" w14:textId="3779347B" w:rsidR="003700AE" w:rsidRPr="00F6005F" w:rsidRDefault="000B5A22" w:rsidP="003E3531">
            <w:pPr>
              <w:pStyle w:val="CETEquation"/>
              <w:rPr>
                <w:rFonts w:ascii="Arial" w:hAnsi="Arial"/>
              </w:rPr>
            </w:pPr>
            <m:oMathPara>
              <m:oMathParaPr>
                <m:jc m:val="left"/>
              </m:oMathParaPr>
              <m:oMath>
                <m:sSub>
                  <m:sSubPr>
                    <m:ctrlPr/>
                  </m:sSubPr>
                  <m:e>
                    <m:r>
                      <m:t>R</m:t>
                    </m:r>
                  </m:e>
                  <m:sub>
                    <m:r>
                      <m:t>NC</m:t>
                    </m:r>
                  </m:sub>
                </m:sSub>
                <m:r>
                  <m:t>=</m:t>
                </m:r>
                <m:nary>
                  <m:naryPr>
                    <m:chr m:val="∑"/>
                    <m:limLoc m:val="undOvr"/>
                    <m:ctrlPr/>
                  </m:naryPr>
                  <m:sub>
                    <m:r>
                      <m:t>i=1</m:t>
                    </m:r>
                  </m:sub>
                  <m:sup>
                    <m:r>
                      <m:t>n</m:t>
                    </m:r>
                  </m:sup>
                  <m:e>
                    <m:f>
                      <m:fPr>
                        <m:ctrlPr/>
                      </m:fPr>
                      <m:num>
                        <m:sSub>
                          <m:sSubPr>
                            <m:ctrlPr/>
                          </m:sSubPr>
                          <m:e>
                            <m:sSub>
                              <m:sSubPr>
                                <m:ctrlPr/>
                              </m:sSubPr>
                              <m:e>
                                <m:r>
                                  <m:t>C</m:t>
                                </m:r>
                              </m:e>
                              <m:sub>
                                <m:r>
                                  <m:t>MAX</m:t>
                                </m:r>
                              </m:sub>
                            </m:sSub>
                          </m:e>
                          <m:sub>
                            <m:r>
                              <m:t>i</m:t>
                            </m:r>
                          </m:sub>
                        </m:sSub>
                      </m:num>
                      <m:den>
                        <m:sSub>
                          <m:sSubPr>
                            <m:ctrlPr/>
                          </m:sSubPr>
                          <m:e>
                            <m:r>
                              <m:t>C</m:t>
                            </m:r>
                          </m:e>
                          <m:sub>
                            <m:sSub>
                              <m:sSubPr>
                                <m:ctrlPr/>
                              </m:sSubPr>
                              <m:e>
                                <m:r>
                                  <m:t>REF</m:t>
                                </m:r>
                              </m:e>
                              <m:sub>
                                <m:r>
                                  <m:t>i</m:t>
                                </m:r>
                              </m:sub>
                            </m:sSub>
                          </m:sub>
                        </m:sSub>
                      </m:den>
                    </m:f>
                  </m:e>
                </m:nary>
              </m:oMath>
            </m:oMathPara>
          </w:p>
        </w:tc>
        <w:tc>
          <w:tcPr>
            <w:tcW w:w="804" w:type="dxa"/>
            <w:shd w:val="clear" w:color="auto" w:fill="auto"/>
            <w:vAlign w:val="center"/>
          </w:tcPr>
          <w:p w14:paraId="4E0CF527" w14:textId="77777777" w:rsidR="003700AE" w:rsidRPr="00F6005F" w:rsidRDefault="003700AE" w:rsidP="00D5729B">
            <w:pPr>
              <w:pStyle w:val="CETEquation"/>
              <w:rPr>
                <w:rFonts w:ascii="Arial" w:hAnsi="Arial"/>
                <w:i w:val="0"/>
              </w:rPr>
            </w:pPr>
            <w:r w:rsidRPr="00F6005F">
              <w:rPr>
                <w:rFonts w:ascii="Arial" w:hAnsi="Arial"/>
                <w:i w:val="0"/>
              </w:rPr>
              <w:t>(1)</w:t>
            </w:r>
          </w:p>
        </w:tc>
      </w:tr>
    </w:tbl>
    <w:p w14:paraId="2E5285C9" w14:textId="2ED1C10E" w:rsidR="00B3052C" w:rsidRDefault="00E8497C" w:rsidP="00B3052C">
      <w:pPr>
        <w:pStyle w:val="CETBodytext"/>
      </w:pPr>
      <w:r w:rsidRPr="00D85848">
        <w:t>For carcinogenic effects, the excess lifetime cancer risk</w:t>
      </w:r>
      <w:r w:rsidR="00BE0962" w:rsidRPr="00D85848">
        <w:t xml:space="preserve"> (R</w:t>
      </w:r>
      <w:r w:rsidR="00BE0962" w:rsidRPr="00D85848">
        <w:rPr>
          <w:vertAlign w:val="subscript"/>
        </w:rPr>
        <w:t>C</w:t>
      </w:r>
      <w:r w:rsidR="00BE0962" w:rsidRPr="00D85848">
        <w:t>)</w:t>
      </w:r>
      <w:r w:rsidR="00E14006" w:rsidRPr="00D85848">
        <w:t xml:space="preserve"> for every substance</w:t>
      </w:r>
      <w:r w:rsidR="00BE0962" w:rsidRPr="00D85848">
        <w:t xml:space="preserve"> was calculated using EPA </w:t>
      </w:r>
      <w:r w:rsidR="00A77BAF" w:rsidRPr="00D85848">
        <w:t>Slope F</w:t>
      </w:r>
      <w:r w:rsidR="00BE0962" w:rsidRPr="00D85848">
        <w:t>actors and considering that there is no toxicity threshold for these substances</w:t>
      </w:r>
      <w:r w:rsidR="00A77BAF" w:rsidRPr="00D85848">
        <w:t>. The R</w:t>
      </w:r>
      <w:r w:rsidR="00A77BAF" w:rsidRPr="00D85848">
        <w:rPr>
          <w:vertAlign w:val="subscript"/>
        </w:rPr>
        <w:t xml:space="preserve">C </w:t>
      </w:r>
      <w:r w:rsidR="00B3052C">
        <w:t>was calculated using Eq(2)</w:t>
      </w:r>
      <w:r w:rsidR="00726CC2">
        <w:t>, assuming a linear dose-response relationship</w:t>
      </w:r>
      <w:r w:rsidR="00B3052C">
        <w:t>:</w:t>
      </w:r>
    </w:p>
    <w:tbl>
      <w:tblPr>
        <w:tblW w:w="5000" w:type="pct"/>
        <w:tblLook w:val="04A0" w:firstRow="1" w:lastRow="0" w:firstColumn="1" w:lastColumn="0" w:noHBand="0" w:noVBand="1"/>
      </w:tblPr>
      <w:tblGrid>
        <w:gridCol w:w="7982"/>
        <w:gridCol w:w="805"/>
      </w:tblGrid>
      <w:tr w:rsidR="00A77BAF" w:rsidRPr="00F6005F" w14:paraId="65817131" w14:textId="77777777" w:rsidTr="00701F87">
        <w:tc>
          <w:tcPr>
            <w:tcW w:w="7982" w:type="dxa"/>
            <w:shd w:val="clear" w:color="auto" w:fill="auto"/>
            <w:vAlign w:val="center"/>
          </w:tcPr>
          <w:p w14:paraId="5D32841A" w14:textId="2295BD28" w:rsidR="00A77BAF" w:rsidRPr="00F6005F" w:rsidRDefault="000B5A22" w:rsidP="009875F7">
            <w:pPr>
              <w:pStyle w:val="CETEquation"/>
              <w:rPr>
                <w:rFonts w:ascii="Arial" w:hAnsi="Arial"/>
              </w:rPr>
            </w:pPr>
            <m:oMathPara>
              <m:oMathParaPr>
                <m:jc m:val="left"/>
              </m:oMathParaPr>
              <m:oMath>
                <m:sSub>
                  <m:sSubPr>
                    <m:ctrlPr/>
                  </m:sSubPr>
                  <m:e>
                    <m:sSub>
                      <m:sSubPr>
                        <m:ctrlPr/>
                      </m:sSubPr>
                      <m:e>
                        <m:r>
                          <m:t>R</m:t>
                        </m:r>
                      </m:e>
                      <m:sub>
                        <m:r>
                          <m:t>C</m:t>
                        </m:r>
                      </m:sub>
                    </m:sSub>
                  </m:e>
                  <m:sub>
                    <m:r>
                      <m:t>i</m:t>
                    </m:r>
                  </m:sub>
                </m:sSub>
                <m:r>
                  <m:t>=CD</m:t>
                </m:r>
                <m:sSub>
                  <m:sSubPr>
                    <m:ctrlPr/>
                  </m:sSubPr>
                  <m:e>
                    <m:r>
                      <m:t>I</m:t>
                    </m:r>
                  </m:e>
                  <m:sub>
                    <m:r>
                      <m:t>i</m:t>
                    </m:r>
                  </m:sub>
                </m:sSub>
                <m:r>
                  <m:t>∙S</m:t>
                </m:r>
                <m:sSub>
                  <m:sSubPr>
                    <m:ctrlPr/>
                  </m:sSubPr>
                  <m:e>
                    <m:r>
                      <m:t>F</m:t>
                    </m:r>
                  </m:e>
                  <m:sub>
                    <m:r>
                      <m:t>i</m:t>
                    </m:r>
                  </m:sub>
                </m:sSub>
              </m:oMath>
            </m:oMathPara>
          </w:p>
        </w:tc>
        <w:tc>
          <w:tcPr>
            <w:tcW w:w="805" w:type="dxa"/>
            <w:shd w:val="clear" w:color="auto" w:fill="auto"/>
            <w:vAlign w:val="center"/>
          </w:tcPr>
          <w:p w14:paraId="7602D3BA" w14:textId="51DE2FD1" w:rsidR="00A77BAF" w:rsidRPr="00F6005F" w:rsidRDefault="00A77BAF" w:rsidP="00D5729B">
            <w:pPr>
              <w:pStyle w:val="CETEquation"/>
              <w:rPr>
                <w:rFonts w:ascii="Arial" w:hAnsi="Arial"/>
                <w:i w:val="0"/>
              </w:rPr>
            </w:pPr>
            <w:r w:rsidRPr="00F6005F">
              <w:rPr>
                <w:rFonts w:ascii="Arial" w:hAnsi="Arial"/>
                <w:i w:val="0"/>
              </w:rPr>
              <w:t>(2)</w:t>
            </w:r>
          </w:p>
        </w:tc>
      </w:tr>
    </w:tbl>
    <w:p w14:paraId="22B6E316" w14:textId="5A99A78F" w:rsidR="00A77BAF" w:rsidRDefault="00A77BAF" w:rsidP="00B3052C">
      <w:pPr>
        <w:pStyle w:val="CETBodytext"/>
      </w:pPr>
      <w:r w:rsidRPr="00D85848">
        <w:t>where SF</w:t>
      </w:r>
      <w:r w:rsidR="00A35F75" w:rsidRPr="00A35F75">
        <w:rPr>
          <w:vertAlign w:val="subscript"/>
        </w:rPr>
        <w:t>i</w:t>
      </w:r>
      <w:r w:rsidRPr="00D85848">
        <w:t xml:space="preserve"> is EPA Slope Factor, expressed </w:t>
      </w:r>
      <w:r w:rsidR="00433DAA">
        <w:t>(</w:t>
      </w:r>
      <w:r w:rsidR="00D5729B" w:rsidRPr="00D85848">
        <w:t>mg/kg-day</w:t>
      </w:r>
      <w:r w:rsidR="00433DAA">
        <w:t>)</w:t>
      </w:r>
      <w:r w:rsidR="00433DAA">
        <w:rPr>
          <w:vertAlign w:val="superscript"/>
        </w:rPr>
        <w:t>-1</w:t>
      </w:r>
      <w:r w:rsidR="00D5729B" w:rsidRPr="00D85848">
        <w:t>, and CDI</w:t>
      </w:r>
      <w:r w:rsidR="00A33329" w:rsidRPr="00433DAA">
        <w:rPr>
          <w:vertAlign w:val="subscript"/>
        </w:rPr>
        <w:t>i</w:t>
      </w:r>
      <w:r w:rsidR="00D5729B" w:rsidRPr="00D85848">
        <w:t xml:space="preserve"> is Chronic Daily Intake</w:t>
      </w:r>
      <w:r w:rsidR="00A33329">
        <w:t xml:space="preserve"> for each considered compound</w:t>
      </w:r>
      <w:r w:rsidR="00D5729B" w:rsidRPr="00D85848">
        <w:t xml:space="preserve">, calculated </w:t>
      </w:r>
      <w:r w:rsidR="00F86949">
        <w:t>according to</w:t>
      </w:r>
      <w:r w:rsidR="006E2DEC" w:rsidRPr="00D85848">
        <w:t xml:space="preserve"> panellists characteristics and exposure time </w:t>
      </w:r>
      <w:r w:rsidR="00D5729B" w:rsidRPr="00D85848">
        <w:t>as:</w:t>
      </w:r>
    </w:p>
    <w:tbl>
      <w:tblPr>
        <w:tblW w:w="5000" w:type="pct"/>
        <w:tblLook w:val="04A0" w:firstRow="1" w:lastRow="0" w:firstColumn="1" w:lastColumn="0" w:noHBand="0" w:noVBand="1"/>
      </w:tblPr>
      <w:tblGrid>
        <w:gridCol w:w="7983"/>
        <w:gridCol w:w="804"/>
      </w:tblGrid>
      <w:tr w:rsidR="00D5729B" w:rsidRPr="00D85848" w14:paraId="5CA471D0" w14:textId="77777777" w:rsidTr="00701F87">
        <w:tc>
          <w:tcPr>
            <w:tcW w:w="7983" w:type="dxa"/>
            <w:shd w:val="clear" w:color="auto" w:fill="auto"/>
            <w:vAlign w:val="center"/>
          </w:tcPr>
          <w:p w14:paraId="38BD92B6" w14:textId="29D1594A" w:rsidR="00D5729B" w:rsidRPr="00D85848" w:rsidRDefault="00A33329" w:rsidP="00D5729B">
            <w:pPr>
              <w:pStyle w:val="CETEquation"/>
              <w:rPr>
                <w:rFonts w:ascii="Arial" w:hAnsi="Arial"/>
              </w:rPr>
            </w:pPr>
            <m:oMathPara>
              <m:oMathParaPr>
                <m:jc m:val="left"/>
              </m:oMathParaPr>
              <m:oMath>
                <m:r>
                  <m:t>CD</m:t>
                </m:r>
                <m:sSub>
                  <m:sSubPr>
                    <m:ctrlPr/>
                  </m:sSubPr>
                  <m:e>
                    <m:r>
                      <m:t>I</m:t>
                    </m:r>
                  </m:e>
                  <m:sub>
                    <m:r>
                      <m:t>i</m:t>
                    </m:r>
                  </m:sub>
                </m:sSub>
                <m:r>
                  <m:t>=</m:t>
                </m:r>
                <m:f>
                  <m:fPr>
                    <m:ctrlPr/>
                  </m:fPr>
                  <m:num>
                    <m:sSub>
                      <m:sSubPr>
                        <m:ctrlPr/>
                      </m:sSubPr>
                      <m:e>
                        <m:sSub>
                          <m:sSubPr>
                            <m:ctrlPr/>
                          </m:sSubPr>
                          <m:e>
                            <m:r>
                              <m:t>C</m:t>
                            </m:r>
                          </m:e>
                          <m:sub>
                            <m:r>
                              <m:t>MAX</m:t>
                            </m:r>
                          </m:sub>
                        </m:sSub>
                      </m:e>
                      <m:sub>
                        <m:r>
                          <m:t>i</m:t>
                        </m:r>
                      </m:sub>
                    </m:sSub>
                    <m:r>
                      <m:t>∙IR∙EF∙ED</m:t>
                    </m:r>
                  </m:num>
                  <m:den>
                    <m:r>
                      <m:t>BW∙LT</m:t>
                    </m:r>
                  </m:den>
                </m:f>
              </m:oMath>
            </m:oMathPara>
          </w:p>
        </w:tc>
        <w:tc>
          <w:tcPr>
            <w:tcW w:w="804" w:type="dxa"/>
            <w:shd w:val="clear" w:color="auto" w:fill="auto"/>
            <w:vAlign w:val="center"/>
          </w:tcPr>
          <w:p w14:paraId="5BB2278F" w14:textId="40394C31" w:rsidR="00D5729B" w:rsidRPr="00F6005F" w:rsidRDefault="00D5729B" w:rsidP="00D5729B">
            <w:pPr>
              <w:pStyle w:val="CETEquation"/>
              <w:rPr>
                <w:rFonts w:ascii="Arial" w:hAnsi="Arial"/>
                <w:i w:val="0"/>
              </w:rPr>
            </w:pPr>
            <w:r w:rsidRPr="00F6005F">
              <w:rPr>
                <w:rFonts w:ascii="Arial" w:hAnsi="Arial"/>
                <w:i w:val="0"/>
              </w:rPr>
              <w:t>(3)</w:t>
            </w:r>
          </w:p>
        </w:tc>
      </w:tr>
    </w:tbl>
    <w:p w14:paraId="1799077E" w14:textId="7A7378A9" w:rsidR="000D32D0" w:rsidRDefault="006E2DEC" w:rsidP="00B3052C">
      <w:pPr>
        <w:pStyle w:val="CETBodytext"/>
      </w:pPr>
      <w:r w:rsidRPr="00D85848">
        <w:t>To calculate CDI</w:t>
      </w:r>
      <w:r w:rsidR="003E3531">
        <w:rPr>
          <w:vertAlign w:val="subscript"/>
        </w:rPr>
        <w:t>i</w:t>
      </w:r>
      <w:r w:rsidRPr="00D85848">
        <w:t xml:space="preserve">, the </w:t>
      </w:r>
      <w:r w:rsidR="00E14006" w:rsidRPr="00D85848">
        <w:t xml:space="preserve">maximum </w:t>
      </w:r>
      <w:r w:rsidRPr="00D85848">
        <w:t>pollutant concentration</w:t>
      </w:r>
      <w:r w:rsidR="00E14006" w:rsidRPr="00D85848">
        <w:t xml:space="preserve"> observed</w:t>
      </w:r>
      <w:r w:rsidRPr="00D85848">
        <w:t xml:space="preserve"> (C</w:t>
      </w:r>
      <w:r w:rsidR="00E14006" w:rsidRPr="00D85848">
        <w:rPr>
          <w:vertAlign w:val="subscript"/>
        </w:rPr>
        <w:t>MAX</w:t>
      </w:r>
      <w:r w:rsidR="003E3531">
        <w:rPr>
          <w:vertAlign w:val="subscript"/>
        </w:rPr>
        <w:t>,</w:t>
      </w:r>
      <w:r w:rsidR="009113B1">
        <w:rPr>
          <w:vertAlign w:val="subscript"/>
        </w:rPr>
        <w:t>i</w:t>
      </w:r>
      <w:r w:rsidRPr="00D85848">
        <w:t>) is adjusted for panellists exposition</w:t>
      </w:r>
      <w:r w:rsidR="002A323A">
        <w:t xml:space="preserve">, </w:t>
      </w:r>
      <w:r w:rsidR="00E14AA2">
        <w:t>by using</w:t>
      </w:r>
      <w:r w:rsidR="003E3531">
        <w:t xml:space="preserve"> panellist</w:t>
      </w:r>
      <w:r w:rsidR="002A323A">
        <w:t xml:space="preserve"> </w:t>
      </w:r>
      <w:r w:rsidR="009113B1">
        <w:t>body-</w:t>
      </w:r>
      <w:r w:rsidR="003E3531">
        <w:t xml:space="preserve">weight (BW), </w:t>
      </w:r>
      <w:r w:rsidRPr="00D85848">
        <w:t>lifetime (LT)</w:t>
      </w:r>
      <w:r w:rsidR="009F3B53">
        <w:t xml:space="preserve">, the exposure frequency (EF), </w:t>
      </w:r>
      <w:r w:rsidRPr="00D85848">
        <w:t xml:space="preserve">the inhalation rate (IR) </w:t>
      </w:r>
      <w:r w:rsidR="009F3B53">
        <w:t>and the exposure duration (ED).</w:t>
      </w:r>
      <w:r w:rsidR="002A323A">
        <w:t xml:space="preserve"> </w:t>
      </w:r>
      <w:r w:rsidR="00E14006" w:rsidRPr="00D85848">
        <w:t xml:space="preserve">The </w:t>
      </w:r>
      <w:r w:rsidR="000D32D0" w:rsidRPr="00D85848">
        <w:t>global carcinogenic risk (R</w:t>
      </w:r>
      <w:r w:rsidR="000D32D0" w:rsidRPr="00D85848">
        <w:rPr>
          <w:vertAlign w:val="subscript"/>
        </w:rPr>
        <w:t>C</w:t>
      </w:r>
      <w:r w:rsidR="000D32D0" w:rsidRPr="00D85848">
        <w:t>)</w:t>
      </w:r>
      <w:r w:rsidR="00B3052C">
        <w:t xml:space="preserve"> for a </w:t>
      </w:r>
      <w:r w:rsidR="00EF1678">
        <w:t>category sample</w:t>
      </w:r>
      <w:r w:rsidR="000D32D0" w:rsidRPr="00D85848">
        <w:t xml:space="preserve"> is evaluated summing the single carcinogenic contribute (R</w:t>
      </w:r>
      <w:r w:rsidR="000D32D0" w:rsidRPr="00D85848">
        <w:rPr>
          <w:vertAlign w:val="subscript"/>
        </w:rPr>
        <w:t>Ci</w:t>
      </w:r>
      <w:r w:rsidR="000D32D0" w:rsidRPr="00D85848">
        <w:t>) of different pollutants observed for the class.</w:t>
      </w:r>
      <w:r w:rsidR="00B3052C">
        <w:t xml:space="preserve"> </w:t>
      </w:r>
      <w:r w:rsidR="00C30EE1" w:rsidRPr="00D85848">
        <w:t>I</w:t>
      </w:r>
      <w:r w:rsidR="002449C6" w:rsidRPr="00D85848">
        <w:t>f R</w:t>
      </w:r>
      <w:r w:rsidR="002449C6" w:rsidRPr="00D85848">
        <w:rPr>
          <w:vertAlign w:val="subscript"/>
        </w:rPr>
        <w:t>NC</w:t>
      </w:r>
      <w:r w:rsidR="002449C6" w:rsidRPr="00D85848">
        <w:t xml:space="preserve"> or R</w:t>
      </w:r>
      <w:r w:rsidR="002449C6" w:rsidRPr="00D85848">
        <w:rPr>
          <w:vertAlign w:val="subscript"/>
        </w:rPr>
        <w:t>C</w:t>
      </w:r>
      <w:r w:rsidR="00A6573F" w:rsidRPr="00D85848">
        <w:rPr>
          <w:vertAlign w:val="subscript"/>
        </w:rPr>
        <w:t xml:space="preserve"> </w:t>
      </w:r>
      <w:r w:rsidR="00A6573F" w:rsidRPr="00D85848">
        <w:t>are higher than accep</w:t>
      </w:r>
      <w:r w:rsidR="00925D0E" w:rsidRPr="00D85848">
        <w:t>tability</w:t>
      </w:r>
      <w:r w:rsidR="00A35F75">
        <w:t xml:space="preserve"> criteria</w:t>
      </w:r>
      <w:r w:rsidR="00EF1678">
        <w:t xml:space="preserve">, reported in </w:t>
      </w:r>
      <w:r w:rsidR="00EF1678">
        <w:fldChar w:fldCharType="begin"/>
      </w:r>
      <w:r w:rsidR="00EF1678">
        <w:instrText xml:space="preserve"> REF _Ref61774473 \h </w:instrText>
      </w:r>
      <w:r w:rsidR="00B3052C">
        <w:instrText xml:space="preserve"> \* MERGEFORMAT </w:instrText>
      </w:r>
      <w:r w:rsidR="00EF1678">
        <w:fldChar w:fldCharType="separate"/>
      </w:r>
      <w:r w:rsidR="00EF1678" w:rsidRPr="00D85848">
        <w:t xml:space="preserve">Table </w:t>
      </w:r>
      <w:r w:rsidR="00EF1678" w:rsidRPr="00D85848">
        <w:rPr>
          <w:noProof/>
        </w:rPr>
        <w:t>1</w:t>
      </w:r>
      <w:r w:rsidR="00EF1678">
        <w:fldChar w:fldCharType="end"/>
      </w:r>
      <w:r w:rsidR="00925D0E" w:rsidRPr="00D85848">
        <w:t>, a minimum dilution value must be set to protect panellists health.</w:t>
      </w:r>
      <w:r w:rsidR="004E3CAD" w:rsidRPr="00D85848">
        <w:t xml:space="preserve"> </w:t>
      </w:r>
    </w:p>
    <w:p w14:paraId="1429E535" w14:textId="4EEF836B" w:rsidR="00EF1678" w:rsidRPr="00D85848" w:rsidRDefault="00EF1678" w:rsidP="00EF1678">
      <w:pPr>
        <w:pStyle w:val="CETTabletitle"/>
      </w:pPr>
      <w:bookmarkStart w:id="1" w:name="_Ref61774473"/>
      <w:r w:rsidRPr="00D85848">
        <w:lastRenderedPageBreak/>
        <w:t xml:space="preserve">Table </w:t>
      </w:r>
      <w:r w:rsidRPr="00D85848">
        <w:fldChar w:fldCharType="begin"/>
      </w:r>
      <w:r w:rsidRPr="00D85848">
        <w:instrText xml:space="preserve"> SEQ Table \* ARABIC </w:instrText>
      </w:r>
      <w:r w:rsidRPr="00D85848">
        <w:fldChar w:fldCharType="separate"/>
      </w:r>
      <w:r w:rsidRPr="00D85848">
        <w:rPr>
          <w:noProof/>
        </w:rPr>
        <w:t>1</w:t>
      </w:r>
      <w:r w:rsidRPr="00D85848">
        <w:fldChar w:fldCharType="end"/>
      </w:r>
      <w:bookmarkEnd w:id="1"/>
      <w:r w:rsidRPr="00D85848">
        <w:t xml:space="preserve">: Risk acceptability criteria </w:t>
      </w:r>
    </w:p>
    <w:tbl>
      <w:tblPr>
        <w:tblW w:w="5004"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092"/>
        <w:gridCol w:w="3702"/>
      </w:tblGrid>
      <w:tr w:rsidR="00EF1678" w:rsidRPr="00D85848" w14:paraId="2A72283A" w14:textId="77777777" w:rsidTr="003C2176">
        <w:trPr>
          <w:trHeight w:val="190"/>
        </w:trPr>
        <w:tc>
          <w:tcPr>
            <w:tcW w:w="2895" w:type="pct"/>
            <w:tcBorders>
              <w:top w:val="single" w:sz="12" w:space="0" w:color="008000"/>
              <w:bottom w:val="single" w:sz="6" w:space="0" w:color="008000"/>
            </w:tcBorders>
            <w:shd w:val="clear" w:color="auto" w:fill="FFFFFF"/>
            <w:vAlign w:val="center"/>
          </w:tcPr>
          <w:p w14:paraId="264ACFE3" w14:textId="77777777" w:rsidR="00EF1678" w:rsidRPr="00D85848" w:rsidRDefault="00EF1678" w:rsidP="00AF6A2A">
            <w:pPr>
              <w:pStyle w:val="CETBodytext"/>
              <w:jc w:val="left"/>
              <w:rPr>
                <w:lang w:val="en-GB"/>
              </w:rPr>
            </w:pPr>
            <w:r w:rsidRPr="00D85848">
              <w:rPr>
                <w:lang w:val="en-GB"/>
              </w:rPr>
              <w:t>Risk type</w:t>
            </w:r>
          </w:p>
        </w:tc>
        <w:tc>
          <w:tcPr>
            <w:tcW w:w="2105" w:type="pct"/>
            <w:tcBorders>
              <w:top w:val="single" w:sz="12" w:space="0" w:color="008000"/>
              <w:bottom w:val="single" w:sz="6" w:space="0" w:color="008000"/>
            </w:tcBorders>
            <w:shd w:val="clear" w:color="auto" w:fill="FFFFFF"/>
            <w:vAlign w:val="center"/>
          </w:tcPr>
          <w:p w14:paraId="1F1602B2" w14:textId="3EA96FA4" w:rsidR="00EF1678" w:rsidRPr="00D85848" w:rsidRDefault="00E2360A" w:rsidP="00E2360A">
            <w:pPr>
              <w:pStyle w:val="CETBodytext"/>
              <w:jc w:val="left"/>
              <w:rPr>
                <w:lang w:val="en-GB"/>
              </w:rPr>
            </w:pPr>
            <w:r>
              <w:rPr>
                <w:lang w:val="en-GB"/>
              </w:rPr>
              <w:t>Acceptance p</w:t>
            </w:r>
            <w:r w:rsidR="00EF1678" w:rsidRPr="00D85848">
              <w:rPr>
                <w:lang w:val="en-GB"/>
              </w:rPr>
              <w:t>arameters</w:t>
            </w:r>
          </w:p>
        </w:tc>
      </w:tr>
      <w:tr w:rsidR="00EF1678" w:rsidRPr="00D85848" w14:paraId="768AC47F" w14:textId="77777777" w:rsidTr="003C2176">
        <w:trPr>
          <w:trHeight w:val="563"/>
        </w:trPr>
        <w:tc>
          <w:tcPr>
            <w:tcW w:w="2895" w:type="pct"/>
            <w:shd w:val="clear" w:color="auto" w:fill="FFFFFF"/>
            <w:vAlign w:val="center"/>
          </w:tcPr>
          <w:p w14:paraId="787E106F" w14:textId="77777777" w:rsidR="00EF1678" w:rsidRPr="00D85848" w:rsidRDefault="00EF1678" w:rsidP="00AF6A2A">
            <w:pPr>
              <w:pStyle w:val="CETBodytext"/>
              <w:jc w:val="left"/>
              <w:rPr>
                <w:lang w:val="en-GB"/>
              </w:rPr>
            </w:pPr>
            <w:r w:rsidRPr="00D85848">
              <w:rPr>
                <w:lang w:val="en-GB"/>
              </w:rPr>
              <w:t>Non-carcinogenic (NC)</w:t>
            </w:r>
          </w:p>
        </w:tc>
        <w:tc>
          <w:tcPr>
            <w:tcW w:w="2105" w:type="pct"/>
            <w:shd w:val="clear" w:color="auto" w:fill="FFFFFF"/>
            <w:vAlign w:val="center"/>
          </w:tcPr>
          <w:p w14:paraId="17496A96" w14:textId="77777777" w:rsidR="00EF1678" w:rsidRPr="00D85848" w:rsidRDefault="00EF1678" w:rsidP="00AF6A2A">
            <w:pPr>
              <w:pStyle w:val="CETBodytext"/>
              <w:jc w:val="left"/>
              <w:rPr>
                <w:lang w:val="en-GB"/>
              </w:rPr>
            </w:pPr>
            <w:r w:rsidRPr="00D85848">
              <w:rPr>
                <w:lang w:val="en-GB"/>
              </w:rPr>
              <w:t>R</w:t>
            </w:r>
            <w:r w:rsidRPr="00D85848">
              <w:rPr>
                <w:vertAlign w:val="subscript"/>
                <w:lang w:val="en-GB"/>
              </w:rPr>
              <w:t>NC</w:t>
            </w:r>
            <w:r w:rsidRPr="00D85848">
              <w:rPr>
                <w:lang w:val="en-GB"/>
              </w:rPr>
              <w:t xml:space="preserve"> &lt; 1</w:t>
            </w:r>
          </w:p>
        </w:tc>
      </w:tr>
      <w:tr w:rsidR="00EF1678" w:rsidRPr="00D85848" w14:paraId="31724301" w14:textId="77777777" w:rsidTr="003C2176">
        <w:trPr>
          <w:trHeight w:val="372"/>
        </w:trPr>
        <w:tc>
          <w:tcPr>
            <w:tcW w:w="2895" w:type="pct"/>
            <w:vMerge w:val="restart"/>
            <w:shd w:val="clear" w:color="auto" w:fill="FFFFFF"/>
            <w:vAlign w:val="center"/>
          </w:tcPr>
          <w:p w14:paraId="44A12B55" w14:textId="77777777" w:rsidR="00EF1678" w:rsidRPr="00D85848" w:rsidRDefault="00EF1678" w:rsidP="00AF6A2A">
            <w:pPr>
              <w:pStyle w:val="CETBodytext"/>
              <w:ind w:right="-1"/>
              <w:jc w:val="left"/>
              <w:rPr>
                <w:rFonts w:cs="Arial"/>
                <w:szCs w:val="18"/>
                <w:lang w:val="en-GB"/>
              </w:rPr>
            </w:pPr>
            <w:r w:rsidRPr="00D85848">
              <w:rPr>
                <w:rFonts w:cs="Arial"/>
                <w:szCs w:val="18"/>
                <w:lang w:val="en-GB"/>
              </w:rPr>
              <w:t>Carcinogenic (C)</w:t>
            </w:r>
          </w:p>
        </w:tc>
        <w:tc>
          <w:tcPr>
            <w:tcW w:w="2105" w:type="pct"/>
            <w:shd w:val="clear" w:color="auto" w:fill="FFFFFF"/>
            <w:vAlign w:val="center"/>
          </w:tcPr>
          <w:p w14:paraId="760824A2" w14:textId="77777777" w:rsidR="00EF1678" w:rsidRPr="00D85848" w:rsidRDefault="00EF1678" w:rsidP="00AF6A2A">
            <w:pPr>
              <w:pStyle w:val="CETBodytext"/>
              <w:ind w:right="-1"/>
              <w:jc w:val="left"/>
              <w:rPr>
                <w:lang w:val="en-GB"/>
              </w:rPr>
            </w:pPr>
            <w:r w:rsidRPr="00D85848">
              <w:rPr>
                <w:lang w:val="en-GB"/>
              </w:rPr>
              <w:t>R</w:t>
            </w:r>
            <w:r w:rsidRPr="00D85848">
              <w:rPr>
                <w:vertAlign w:val="subscript"/>
                <w:lang w:val="en-GB"/>
              </w:rPr>
              <w:t>C</w:t>
            </w:r>
            <w:r w:rsidRPr="00D85848">
              <w:rPr>
                <w:lang w:val="en-GB"/>
              </w:rPr>
              <w:t xml:space="preserve"> &lt; 10</w:t>
            </w:r>
            <w:r w:rsidRPr="00D85848">
              <w:rPr>
                <w:vertAlign w:val="superscript"/>
                <w:lang w:val="en-GB"/>
              </w:rPr>
              <w:t xml:space="preserve">-6 </w:t>
            </w:r>
            <w:r w:rsidRPr="00D85848">
              <w:rPr>
                <w:lang w:val="en-GB"/>
              </w:rPr>
              <w:t>for single substance</w:t>
            </w:r>
          </w:p>
        </w:tc>
      </w:tr>
      <w:tr w:rsidR="00EF1678" w:rsidRPr="00D85848" w14:paraId="12F23592" w14:textId="77777777" w:rsidTr="003C2176">
        <w:trPr>
          <w:trHeight w:val="372"/>
        </w:trPr>
        <w:tc>
          <w:tcPr>
            <w:tcW w:w="2895" w:type="pct"/>
            <w:vMerge/>
            <w:shd w:val="clear" w:color="auto" w:fill="FFFFFF"/>
            <w:vAlign w:val="center"/>
          </w:tcPr>
          <w:p w14:paraId="0781436D" w14:textId="77777777" w:rsidR="00EF1678" w:rsidRPr="00D85848" w:rsidRDefault="00EF1678" w:rsidP="00AF6A2A">
            <w:pPr>
              <w:pStyle w:val="CETBodytext"/>
              <w:ind w:right="-1"/>
              <w:jc w:val="left"/>
              <w:rPr>
                <w:rFonts w:cs="Arial"/>
                <w:szCs w:val="18"/>
                <w:lang w:val="en-GB"/>
              </w:rPr>
            </w:pPr>
          </w:p>
        </w:tc>
        <w:tc>
          <w:tcPr>
            <w:tcW w:w="2105" w:type="pct"/>
            <w:shd w:val="clear" w:color="auto" w:fill="FFFFFF"/>
            <w:vAlign w:val="center"/>
          </w:tcPr>
          <w:p w14:paraId="050459B5" w14:textId="77777777" w:rsidR="00EF1678" w:rsidRPr="00D85848" w:rsidRDefault="00EF1678" w:rsidP="00AF6A2A">
            <w:pPr>
              <w:pStyle w:val="CETBodytext"/>
              <w:ind w:right="-1"/>
              <w:jc w:val="left"/>
              <w:rPr>
                <w:lang w:val="en-GB"/>
              </w:rPr>
            </w:pPr>
            <w:r w:rsidRPr="00D85848">
              <w:rPr>
                <w:lang w:val="en-GB"/>
              </w:rPr>
              <w:t>R</w:t>
            </w:r>
            <w:r w:rsidRPr="00D85848">
              <w:rPr>
                <w:vertAlign w:val="subscript"/>
                <w:lang w:val="en-GB"/>
              </w:rPr>
              <w:t>C</w:t>
            </w:r>
            <w:r w:rsidRPr="00D85848">
              <w:rPr>
                <w:lang w:val="en-GB"/>
              </w:rPr>
              <w:t xml:space="preserve"> &lt; 10</w:t>
            </w:r>
            <w:r w:rsidRPr="00D85848">
              <w:rPr>
                <w:vertAlign w:val="superscript"/>
                <w:lang w:val="en-GB"/>
              </w:rPr>
              <w:t xml:space="preserve">-5 </w:t>
            </w:r>
            <w:r w:rsidRPr="00D85848">
              <w:rPr>
                <w:lang w:val="en-GB"/>
              </w:rPr>
              <w:t>for gaseous mixture</w:t>
            </w:r>
          </w:p>
        </w:tc>
      </w:tr>
    </w:tbl>
    <w:p w14:paraId="616C55F1" w14:textId="77777777" w:rsidR="00EF1678" w:rsidRPr="00D85848" w:rsidRDefault="00EF1678" w:rsidP="00483BA1">
      <w:pPr>
        <w:pStyle w:val="CETnumberingbullets"/>
        <w:numPr>
          <w:ilvl w:val="0"/>
          <w:numId w:val="0"/>
        </w:numPr>
      </w:pPr>
    </w:p>
    <w:p w14:paraId="3E9D4962" w14:textId="1674C962" w:rsidR="00FB22F8" w:rsidRDefault="00D81EC4" w:rsidP="00B3052C">
      <w:pPr>
        <w:pStyle w:val="CETBodytext"/>
      </w:pPr>
      <w:r>
        <w:t>The cited paper</w:t>
      </w:r>
      <w:r w:rsidR="00C30EE1" w:rsidRPr="00B3052C">
        <w:t xml:space="preserve"> shows that panellists can be exposed to a potential non-carcinogenic risk during olfactometric analysis</w:t>
      </w:r>
      <w:r>
        <w:t xml:space="preserve"> (R</w:t>
      </w:r>
      <w:r w:rsidRPr="00F86949">
        <w:rPr>
          <w:vertAlign w:val="subscript"/>
        </w:rPr>
        <w:t>NC</w:t>
      </w:r>
      <w:r>
        <w:t>&gt;1)</w:t>
      </w:r>
      <w:r w:rsidR="00C30EE1" w:rsidRPr="00B3052C">
        <w:t xml:space="preserve">, but excess lifetime cancer risk has never been observed </w:t>
      </w:r>
      <w:r w:rsidR="000D5619" w:rsidRPr="00B3052C">
        <w:t>beyond</w:t>
      </w:r>
      <w:r w:rsidR="00C30EE1" w:rsidRPr="00B3052C">
        <w:t xml:space="preserve"> accepted exposure levels</w:t>
      </w:r>
      <w:r>
        <w:t xml:space="preserve"> (R</w:t>
      </w:r>
      <w:r w:rsidRPr="00F86949">
        <w:rPr>
          <w:vertAlign w:val="subscript"/>
        </w:rPr>
        <w:t>C</w:t>
      </w:r>
      <w:r>
        <w:t>&lt;10</w:t>
      </w:r>
      <w:r w:rsidRPr="00F86949">
        <w:rPr>
          <w:vertAlign w:val="superscript"/>
        </w:rPr>
        <w:t>-5</w:t>
      </w:r>
      <w:r>
        <w:t>)</w:t>
      </w:r>
      <w:r w:rsidR="00C30EE1" w:rsidRPr="00B3052C">
        <w:t xml:space="preserve">. Therefore, for specific samples categories, a minimum dilution value </w:t>
      </w:r>
      <w:r>
        <w:t>is proposed</w:t>
      </w:r>
      <w:r w:rsidR="00C30EE1" w:rsidRPr="00B3052C">
        <w:t xml:space="preserve"> to protect examiners from potential non-carcinogenic health effects.</w:t>
      </w:r>
      <w:r w:rsidR="004E3CAD" w:rsidRPr="00B3052C">
        <w:t xml:space="preserve"> </w:t>
      </w:r>
      <w:r w:rsidR="000D32D0" w:rsidRPr="00B3052C">
        <w:t xml:space="preserve">For example, </w:t>
      </w:r>
      <w:r w:rsidR="00A74C94" w:rsidRPr="00B3052C">
        <w:t xml:space="preserve">for </w:t>
      </w:r>
      <w:r w:rsidR="00EF1678" w:rsidRPr="00B3052C">
        <w:t>landfills</w:t>
      </w:r>
      <w:r w:rsidR="000D32D0" w:rsidRPr="00B3052C">
        <w:t xml:space="preserve"> samples</w:t>
      </w:r>
      <w:r w:rsidR="00E14AA2">
        <w:t>,</w:t>
      </w:r>
      <w:r w:rsidR="000D32D0" w:rsidRPr="00B3052C">
        <w:t xml:space="preserve"> </w:t>
      </w:r>
      <w:r w:rsidR="00A74C94" w:rsidRPr="00B3052C">
        <w:t xml:space="preserve">the minimum dilution value to be not accessed, according </w:t>
      </w:r>
      <w:r w:rsidR="00E14AA2">
        <w:t>to</w:t>
      </w:r>
      <w:r w:rsidR="00A74C94" w:rsidRPr="00B3052C">
        <w:t xml:space="preserve"> this elaboration and literature data available, is </w:t>
      </w:r>
      <w:r w:rsidR="00EF1678" w:rsidRPr="00B3052C">
        <w:t>2000</w:t>
      </w:r>
      <w:r w:rsidR="00A74C94" w:rsidRPr="00B3052C">
        <w:t>.</w:t>
      </w:r>
      <w:r w:rsidR="002A323A">
        <w:t xml:space="preserve"> </w:t>
      </w:r>
    </w:p>
    <w:p w14:paraId="2A5DF3CA" w14:textId="33EEB270" w:rsidR="00433DAA" w:rsidRDefault="00A74C94" w:rsidP="00B3052C">
      <w:pPr>
        <w:pStyle w:val="CETBodytext"/>
      </w:pPr>
      <w:r w:rsidRPr="00B3052C">
        <w:t>A different</w:t>
      </w:r>
      <w:r w:rsidR="00E21B24" w:rsidRPr="00B3052C">
        <w:t xml:space="preserve"> approach is </w:t>
      </w:r>
      <w:r w:rsidRPr="00B3052C">
        <w:t xml:space="preserve">proposed in </w:t>
      </w:r>
      <w:r w:rsidR="00FB22F8">
        <w:t>Davoli et al. (2016)</w:t>
      </w:r>
      <w:r w:rsidR="00F86949">
        <w:t>.</w:t>
      </w:r>
      <w:r w:rsidRPr="00B3052C">
        <w:t xml:space="preserve"> In this study</w:t>
      </w:r>
      <w:r w:rsidR="002A15B0" w:rsidRPr="00B3052C">
        <w:t xml:space="preserve"> (</w:t>
      </w:r>
      <w:r w:rsidR="00D81EC4">
        <w:rPr>
          <w:lang w:val="en-GB"/>
        </w:rPr>
        <w:t xml:space="preserve">defined in this paper as </w:t>
      </w:r>
      <w:r w:rsidR="002A15B0" w:rsidRPr="00B3052C">
        <w:t>Approach B)</w:t>
      </w:r>
      <w:r w:rsidR="00E21B24" w:rsidRPr="00B3052C">
        <w:t>,</w:t>
      </w:r>
      <w:r w:rsidR="00EF1678" w:rsidRPr="00B3052C">
        <w:t xml:space="preserve"> the </w:t>
      </w:r>
      <w:r w:rsidR="004A55CC" w:rsidRPr="00B3052C">
        <w:t>model</w:t>
      </w:r>
      <w:r w:rsidRPr="00B3052C">
        <w:t xml:space="preserve"> developed</w:t>
      </w:r>
      <w:r w:rsidR="004A55CC" w:rsidRPr="00B3052C">
        <w:t xml:space="preserve"> by ARPA Piemonte</w:t>
      </w:r>
      <w:r w:rsidR="00F86949">
        <w:t xml:space="preserve"> </w:t>
      </w:r>
      <w:r w:rsidR="00D81EC4">
        <w:rPr>
          <w:lang w:val="en-GB"/>
        </w:rPr>
        <w:t>(the Regional Environmental Agency of Pi</w:t>
      </w:r>
      <w:r w:rsidR="00E35C8A">
        <w:rPr>
          <w:lang w:val="en-GB"/>
        </w:rPr>
        <w:t>ed</w:t>
      </w:r>
      <w:r w:rsidR="00D81EC4">
        <w:rPr>
          <w:lang w:val="en-GB"/>
        </w:rPr>
        <w:t>mont)</w:t>
      </w:r>
      <w:r w:rsidR="004A55CC" w:rsidRPr="00B3052C">
        <w:t xml:space="preserve"> was applied to establish the exposure risk correlated to samples collected at </w:t>
      </w:r>
      <w:r w:rsidR="00EF1678" w:rsidRPr="00B3052C">
        <w:t xml:space="preserve">an </w:t>
      </w:r>
      <w:r w:rsidR="004A55CC" w:rsidRPr="00B3052C">
        <w:t xml:space="preserve">Italian </w:t>
      </w:r>
      <w:r w:rsidR="0005030C" w:rsidRPr="00B3052C">
        <w:t xml:space="preserve">municipal solid waste (MSW) </w:t>
      </w:r>
      <w:r w:rsidR="004A55CC" w:rsidRPr="00B3052C">
        <w:t>incinerator. In this paper, the toxicological evaluation was conducted using</w:t>
      </w:r>
      <w:r w:rsidR="00EF1678" w:rsidRPr="00B3052C">
        <w:t xml:space="preserve"> the</w:t>
      </w:r>
      <w:r w:rsidR="004A55CC" w:rsidRPr="00B3052C">
        <w:t xml:space="preserve"> Risk Assessment Information System </w:t>
      </w:r>
      <w:r w:rsidR="00B3052C" w:rsidRPr="00B3052C">
        <w:fldChar w:fldCharType="begin" w:fldLock="1"/>
      </w:r>
      <w:r w:rsidR="00FB22F8">
        <w:instrText>ADDIN CSL_CITATION {"citationItems":[{"id":"ITEM-1","itemData":{"URL":"https://rais.ornl.gov/cgi-bin/prg/RISK_search?select=chem","accessed":{"date-parts":[["2021","1","17"]]},"author":[{"dropping-particle":"","family":"RAIS","given":"","non-dropping-particle":"","parse-names":false,"suffix":""}],"id":"ITEM-1","issued":{"date-parts":[["0"]]},"title":"RAIS Chemical Risk Calculator","type":"webpage"},"uris":["http://www.mendeley.com/documents/?uuid=fb0e1a39-999d-37b9-9888-cb13e053aeb4"]}],"mendeley":{"formattedCitation":"(RAIS, n.d.)","manualFormatting":"(RAIS)","plainTextFormattedCitation":"(RAIS, n.d.)","previouslyFormattedCitation":"(RAIS, n.d.)"},"properties":{"noteIndex":0},"schema":"https://github.com/citation-style-language/schema/raw/master/csl-citation.json"}</w:instrText>
      </w:r>
      <w:r w:rsidR="00B3052C" w:rsidRPr="00B3052C">
        <w:fldChar w:fldCharType="separate"/>
      </w:r>
      <w:r w:rsidR="00B3052C" w:rsidRPr="00B3052C">
        <w:rPr>
          <w:noProof/>
        </w:rPr>
        <w:t>(RAIS)</w:t>
      </w:r>
      <w:r w:rsidR="00B3052C" w:rsidRPr="00B3052C">
        <w:fldChar w:fldCharType="end"/>
      </w:r>
      <w:r w:rsidR="00B3052C" w:rsidRPr="00B3052C">
        <w:t xml:space="preserve"> software</w:t>
      </w:r>
      <w:r w:rsidR="00BF6458" w:rsidRPr="00B3052C">
        <w:t>. This is a free</w:t>
      </w:r>
      <w:r w:rsidR="00E14AA2">
        <w:t>ware</w:t>
      </w:r>
      <w:r w:rsidR="00BF6458" w:rsidRPr="00B3052C">
        <w:t xml:space="preserve"> software useful to calculate the non-carcinogenic and carcinogenic </w:t>
      </w:r>
      <w:r w:rsidR="00EF1678" w:rsidRPr="00B3052C">
        <w:t xml:space="preserve">riks </w:t>
      </w:r>
      <w:r w:rsidR="00BF6458" w:rsidRPr="00B3052C">
        <w:t xml:space="preserve">according to </w:t>
      </w:r>
      <w:r w:rsidR="006E0C8D" w:rsidRPr="00B3052C">
        <w:t>exposure parameters</w:t>
      </w:r>
      <w:r w:rsidR="00B0623A" w:rsidRPr="00B3052C">
        <w:t xml:space="preserve">, such as </w:t>
      </w:r>
      <w:r w:rsidR="000D5619" w:rsidRPr="00B3052C">
        <w:t xml:space="preserve">the </w:t>
      </w:r>
      <w:r w:rsidR="00B0623A" w:rsidRPr="00B3052C">
        <w:t>exposition frequency (EF)</w:t>
      </w:r>
      <w:r w:rsidR="00CC21D6" w:rsidRPr="00B3052C">
        <w:t>, duration (ED) and time (ET).</w:t>
      </w:r>
      <w:r w:rsidR="004E3CAD" w:rsidRPr="00B3052C">
        <w:t xml:space="preserve"> </w:t>
      </w:r>
      <w:r w:rsidR="00433DAA">
        <w:t xml:space="preserve">These values </w:t>
      </w:r>
      <w:r w:rsidR="00433DAA" w:rsidRPr="00433DAA">
        <w:t xml:space="preserve">were assessed for two different </w:t>
      </w:r>
      <w:r w:rsidR="00433DAA">
        <w:t>olfactometric</w:t>
      </w:r>
      <w:r w:rsidR="00433DAA" w:rsidRPr="00433DAA">
        <w:t xml:space="preserve"> laboratories: specifically</w:t>
      </w:r>
      <w:r w:rsidR="00433DAA">
        <w:t>,</w:t>
      </w:r>
      <w:r w:rsidR="00433DAA" w:rsidRPr="00433DAA">
        <w:t xml:space="preserve"> a private </w:t>
      </w:r>
      <w:r w:rsidR="00433DAA">
        <w:t>laboratory an</w:t>
      </w:r>
      <w:r w:rsidR="00E35C8A">
        <w:t>d an institutional laboratory (</w:t>
      </w:r>
      <w:r w:rsidR="003E3531">
        <w:t xml:space="preserve">the </w:t>
      </w:r>
      <w:r w:rsidR="00E35C8A">
        <w:t>ol</w:t>
      </w:r>
      <w:r w:rsidR="00433DAA">
        <w:t xml:space="preserve">factometric laboratory of ARPA Piemonte), characterized by a dissimilar frequency of analysis and so </w:t>
      </w:r>
      <w:r w:rsidR="003E3531">
        <w:t xml:space="preserve">a </w:t>
      </w:r>
      <w:r w:rsidR="00433DAA">
        <w:t xml:space="preserve">different number of samples analysed during the year. </w:t>
      </w:r>
      <w:r w:rsidR="00794C22" w:rsidRPr="00B3052C">
        <w:t xml:space="preserve">The exposure risk </w:t>
      </w:r>
      <w:r w:rsidR="0005030C" w:rsidRPr="00B3052C">
        <w:t xml:space="preserve">correlated to MSW incinerator </w:t>
      </w:r>
      <w:r w:rsidR="00794C22" w:rsidRPr="00B3052C">
        <w:t>was evaluated</w:t>
      </w:r>
      <w:r w:rsidR="0005030C" w:rsidRPr="00B3052C">
        <w:t xml:space="preserve"> using the maximum authorised </w:t>
      </w:r>
      <w:r w:rsidR="00FD1F8E">
        <w:t>concentrations</w:t>
      </w:r>
      <w:r w:rsidR="005843F6">
        <w:t xml:space="preserve"> (C</w:t>
      </w:r>
      <w:r w:rsidR="005843F6">
        <w:rPr>
          <w:vertAlign w:val="subscript"/>
        </w:rPr>
        <w:t>AIRi</w:t>
      </w:r>
      <w:r w:rsidR="005843F6">
        <w:t>)</w:t>
      </w:r>
      <w:r w:rsidR="00FD1F8E" w:rsidRPr="00B3052C">
        <w:t xml:space="preserve"> </w:t>
      </w:r>
      <w:r w:rsidR="00FD1F8E">
        <w:t>at</w:t>
      </w:r>
      <w:r w:rsidR="00FD1F8E" w:rsidRPr="00B3052C">
        <w:t xml:space="preserve"> </w:t>
      </w:r>
      <w:r w:rsidRPr="00B3052C">
        <w:t>stack emission</w:t>
      </w:r>
      <w:r w:rsidR="0005030C" w:rsidRPr="00B3052C">
        <w:t xml:space="preserve"> for chemicals of potential concern (COPs)</w:t>
      </w:r>
      <w:r w:rsidR="007A6338" w:rsidRPr="00B3052C">
        <w:t xml:space="preserve">. </w:t>
      </w:r>
      <w:r w:rsidR="00EF1678" w:rsidRPr="00B3052C">
        <w:t>So</w:t>
      </w:r>
      <w:r w:rsidR="00412A87" w:rsidRPr="00B3052C">
        <w:t xml:space="preserve">, the evaluation was </w:t>
      </w:r>
      <w:r w:rsidR="00EF1678" w:rsidRPr="00B3052C">
        <w:t>conducted by considering</w:t>
      </w:r>
      <w:r w:rsidR="00412A87" w:rsidRPr="00B3052C">
        <w:t xml:space="preserve"> the specific pollutants reported in </w:t>
      </w:r>
      <w:r w:rsidR="00BD25C7">
        <w:t xml:space="preserve">the </w:t>
      </w:r>
      <w:r w:rsidR="00412A87" w:rsidRPr="00B3052C">
        <w:t xml:space="preserve">plant permit, </w:t>
      </w:r>
      <w:r w:rsidR="00FD1F8E">
        <w:t xml:space="preserve">excluding particulate matter and </w:t>
      </w:r>
      <w:r w:rsidR="00412A87" w:rsidRPr="00B3052C">
        <w:t>including metals.</w:t>
      </w:r>
      <w:r w:rsidR="00433DAA">
        <w:t xml:space="preserve"> </w:t>
      </w:r>
      <w:r w:rsidR="00E21B24" w:rsidRPr="00B3052C">
        <w:t xml:space="preserve">The carcinogenic </w:t>
      </w:r>
      <w:r w:rsidR="00EF1678" w:rsidRPr="00B3052C">
        <w:t xml:space="preserve">risk </w:t>
      </w:r>
      <w:r w:rsidR="00E21B24" w:rsidRPr="00B3052C">
        <w:t>and non-carcinogenic risk</w:t>
      </w:r>
      <w:r w:rsidR="00EF1678" w:rsidRPr="00B3052C">
        <w:t xml:space="preserve"> </w:t>
      </w:r>
      <w:r w:rsidR="00E21B24" w:rsidRPr="00B3052C">
        <w:t xml:space="preserve">were calculated by </w:t>
      </w:r>
      <w:r w:rsidR="00EF1678" w:rsidRPr="00B3052C">
        <w:t>the</w:t>
      </w:r>
      <w:r w:rsidR="00412A87" w:rsidRPr="00B3052C">
        <w:t xml:space="preserve"> software</w:t>
      </w:r>
      <w:r w:rsidR="00EF1678" w:rsidRPr="00B3052C">
        <w:t xml:space="preserve"> for all the pollutants selected</w:t>
      </w:r>
      <w:r w:rsidR="00412A87" w:rsidRPr="00B3052C">
        <w:t xml:space="preserve">, </w:t>
      </w:r>
      <w:r w:rsidR="00E21B24" w:rsidRPr="00B3052C">
        <w:t>using indoor workers equations inputs for air</w:t>
      </w:r>
      <w:r w:rsidR="00412A87" w:rsidRPr="00B3052C">
        <w:t xml:space="preserve"> pollution</w:t>
      </w:r>
      <w:r w:rsidR="00E21B24" w:rsidRPr="00B3052C">
        <w:t>.</w:t>
      </w:r>
      <w:r w:rsidR="00EF1678" w:rsidRPr="00B3052C">
        <w:t xml:space="preserve"> </w:t>
      </w:r>
      <w:r w:rsidR="00433DAA">
        <w:t xml:space="preserve">The </w:t>
      </w:r>
      <w:r w:rsidR="003C2176">
        <w:t xml:space="preserve">inhalation </w:t>
      </w:r>
      <w:r w:rsidR="00433DAA">
        <w:t>non-carcinogenic risk for a single pollutant was evaluated as follows:</w:t>
      </w:r>
    </w:p>
    <w:tbl>
      <w:tblPr>
        <w:tblW w:w="5000" w:type="pct"/>
        <w:tblLook w:val="04A0" w:firstRow="1" w:lastRow="0" w:firstColumn="1" w:lastColumn="0" w:noHBand="0" w:noVBand="1"/>
      </w:tblPr>
      <w:tblGrid>
        <w:gridCol w:w="7983"/>
        <w:gridCol w:w="804"/>
      </w:tblGrid>
      <w:tr w:rsidR="00433DAA" w:rsidRPr="00D85848" w14:paraId="5884D4B6" w14:textId="77777777" w:rsidTr="00433DAA">
        <w:tc>
          <w:tcPr>
            <w:tcW w:w="7983" w:type="dxa"/>
            <w:shd w:val="clear" w:color="auto" w:fill="auto"/>
            <w:vAlign w:val="center"/>
          </w:tcPr>
          <w:p w14:paraId="20B80242" w14:textId="29C10788" w:rsidR="00433DAA" w:rsidRPr="00D85848" w:rsidRDefault="000B5A22" w:rsidP="00433DAA">
            <w:pPr>
              <w:pStyle w:val="CETEquation"/>
              <w:rPr>
                <w:rFonts w:ascii="Arial" w:hAnsi="Arial"/>
              </w:rPr>
            </w:pPr>
            <m:oMathPara>
              <m:oMathParaPr>
                <m:jc m:val="left"/>
              </m:oMathParaPr>
              <m:oMath>
                <m:sSub>
                  <m:sSubPr>
                    <m:ctrlPr/>
                  </m:sSubPr>
                  <m:e>
                    <m:r>
                      <m:t>HQ</m:t>
                    </m:r>
                  </m:e>
                  <m:sub>
                    <m:r>
                      <m:t>i</m:t>
                    </m:r>
                  </m:sub>
                </m:sSub>
                <m:r>
                  <m:t>=</m:t>
                </m:r>
                <m:f>
                  <m:fPr>
                    <m:ctrlPr/>
                  </m:fPr>
                  <m:num>
                    <m:sSub>
                      <m:sSubPr>
                        <m:ctrlPr/>
                      </m:sSubPr>
                      <m:e>
                        <m:r>
                          <m:t>CDI</m:t>
                        </m:r>
                      </m:e>
                      <m:sub>
                        <m:r>
                          <m:t>i NC</m:t>
                        </m:r>
                      </m:sub>
                    </m:sSub>
                  </m:num>
                  <m:den>
                    <m:sSub>
                      <m:sSubPr>
                        <m:ctrlPr/>
                      </m:sSubPr>
                      <m:e>
                        <m:r>
                          <m:t>RfC</m:t>
                        </m:r>
                      </m:e>
                      <m:sub>
                        <m:r>
                          <m:t>i</m:t>
                        </m:r>
                      </m:sub>
                    </m:sSub>
                  </m:den>
                </m:f>
              </m:oMath>
            </m:oMathPara>
          </w:p>
        </w:tc>
        <w:tc>
          <w:tcPr>
            <w:tcW w:w="804" w:type="dxa"/>
            <w:shd w:val="clear" w:color="auto" w:fill="auto"/>
            <w:vAlign w:val="center"/>
          </w:tcPr>
          <w:p w14:paraId="4E3B6B01" w14:textId="0B1F3C8F" w:rsidR="00433DAA" w:rsidRPr="00F6005F" w:rsidRDefault="00433DAA" w:rsidP="00433DAA">
            <w:pPr>
              <w:pStyle w:val="CETEquation"/>
              <w:rPr>
                <w:rFonts w:ascii="Arial" w:hAnsi="Arial"/>
                <w:i w:val="0"/>
              </w:rPr>
            </w:pPr>
            <w:r>
              <w:rPr>
                <w:rFonts w:ascii="Arial" w:hAnsi="Arial"/>
                <w:i w:val="0"/>
              </w:rPr>
              <w:t>(4</w:t>
            </w:r>
            <w:r w:rsidRPr="00F6005F">
              <w:rPr>
                <w:rFonts w:ascii="Arial" w:hAnsi="Arial"/>
                <w:i w:val="0"/>
              </w:rPr>
              <w:t>)</w:t>
            </w:r>
          </w:p>
        </w:tc>
      </w:tr>
    </w:tbl>
    <w:p w14:paraId="17A7E4B8" w14:textId="66A99A81" w:rsidR="005843F6" w:rsidRDefault="00433DAA" w:rsidP="00B3052C">
      <w:pPr>
        <w:pStyle w:val="CETBodytext"/>
      </w:pPr>
      <w:r>
        <w:t>where RfC</w:t>
      </w:r>
      <w:r w:rsidR="00A35F75" w:rsidRPr="00A35F75">
        <w:rPr>
          <w:vertAlign w:val="subscript"/>
        </w:rPr>
        <w:t>i</w:t>
      </w:r>
      <w:r>
        <w:t xml:space="preserve"> is the </w:t>
      </w:r>
      <w:r w:rsidRPr="00433DAA">
        <w:t>inha</w:t>
      </w:r>
      <w:r>
        <w:t xml:space="preserve">lation </w:t>
      </w:r>
      <w:r w:rsidR="003C2176">
        <w:t xml:space="preserve">pollutant reference concentration </w:t>
      </w:r>
      <w:r w:rsidR="005843F6">
        <w:t>and C</w:t>
      </w:r>
      <w:r>
        <w:t>D</w:t>
      </w:r>
      <w:r w:rsidR="005843F6">
        <w:t>I</w:t>
      </w:r>
      <w:r>
        <w:rPr>
          <w:vertAlign w:val="subscript"/>
        </w:rPr>
        <w:t>i</w:t>
      </w:r>
      <w:r w:rsidR="003E3531">
        <w:rPr>
          <w:vertAlign w:val="subscript"/>
        </w:rPr>
        <w:t>,NC</w:t>
      </w:r>
      <w:r>
        <w:rPr>
          <w:vertAlign w:val="subscript"/>
        </w:rPr>
        <w:t xml:space="preserve"> </w:t>
      </w:r>
      <w:r>
        <w:t>is the inhalation exposure calculated</w:t>
      </w:r>
      <w:r w:rsidR="005843F6">
        <w:t xml:space="preserve"> by software using Eq(5)</w:t>
      </w:r>
      <w:r w:rsidR="003C2176">
        <w:t xml:space="preserve">. </w:t>
      </w:r>
      <w:r w:rsidR="005843F6">
        <w:t xml:space="preserve">AT is </w:t>
      </w:r>
      <w:r w:rsidR="005843F6" w:rsidRPr="005843F6">
        <w:t>averaging time by the software equal to 365 day</w:t>
      </w:r>
      <w:r w:rsidR="00E35C8A">
        <w:t>s</w:t>
      </w:r>
      <w:r w:rsidR="005843F6" w:rsidRPr="005843F6">
        <w:t>/years</w:t>
      </w:r>
      <w:r w:rsidR="005843F6">
        <w:t xml:space="preserve"> for indoor workers:</w:t>
      </w:r>
    </w:p>
    <w:tbl>
      <w:tblPr>
        <w:tblW w:w="5000" w:type="pct"/>
        <w:tblLook w:val="04A0" w:firstRow="1" w:lastRow="0" w:firstColumn="1" w:lastColumn="0" w:noHBand="0" w:noVBand="1"/>
      </w:tblPr>
      <w:tblGrid>
        <w:gridCol w:w="7983"/>
        <w:gridCol w:w="804"/>
      </w:tblGrid>
      <w:tr w:rsidR="003C2176" w:rsidRPr="00D85848" w14:paraId="0F30E4C5" w14:textId="77777777" w:rsidTr="002A7235">
        <w:tc>
          <w:tcPr>
            <w:tcW w:w="7983" w:type="dxa"/>
            <w:shd w:val="clear" w:color="auto" w:fill="auto"/>
            <w:vAlign w:val="center"/>
          </w:tcPr>
          <w:p w14:paraId="2536BF5D" w14:textId="1924CB3A" w:rsidR="003C2176" w:rsidRPr="00D85848" w:rsidRDefault="003C2176" w:rsidP="003C2176">
            <w:pPr>
              <w:pStyle w:val="CETEquation"/>
              <w:rPr>
                <w:rFonts w:ascii="Arial" w:hAnsi="Arial"/>
              </w:rPr>
            </w:pPr>
            <m:oMathPara>
              <m:oMathParaPr>
                <m:jc m:val="left"/>
              </m:oMathParaPr>
              <m:oMath>
                <m:r>
                  <m:t>CD</m:t>
                </m:r>
                <m:sSub>
                  <m:sSubPr>
                    <m:ctrlPr/>
                  </m:sSubPr>
                  <m:e>
                    <m:r>
                      <m:t>I</m:t>
                    </m:r>
                  </m:e>
                  <m:sub>
                    <m:r>
                      <m:t>i NC</m:t>
                    </m:r>
                  </m:sub>
                </m:sSub>
                <m:r>
                  <m:t>=</m:t>
                </m:r>
                <m:f>
                  <m:fPr>
                    <m:ctrlPr/>
                  </m:fPr>
                  <m:num>
                    <m:sSub>
                      <m:sSubPr>
                        <m:ctrlPr/>
                      </m:sSubPr>
                      <m:e>
                        <m:sSub>
                          <m:sSubPr>
                            <m:ctrlPr/>
                          </m:sSubPr>
                          <m:e>
                            <m:r>
                              <m:t>C</m:t>
                            </m:r>
                          </m:e>
                          <m:sub>
                            <m:r>
                              <m:t>AIR</m:t>
                            </m:r>
                          </m:sub>
                        </m:sSub>
                      </m:e>
                      <m:sub>
                        <m:r>
                          <m:t>i</m:t>
                        </m:r>
                      </m:sub>
                    </m:sSub>
                    <m:r>
                      <m:t>∙EF∙ED∙ET</m:t>
                    </m:r>
                  </m:num>
                  <m:den>
                    <m:r>
                      <m:t>AT∙ED</m:t>
                    </m:r>
                  </m:den>
                </m:f>
              </m:oMath>
            </m:oMathPara>
          </w:p>
        </w:tc>
        <w:tc>
          <w:tcPr>
            <w:tcW w:w="804" w:type="dxa"/>
            <w:shd w:val="clear" w:color="auto" w:fill="auto"/>
            <w:vAlign w:val="center"/>
          </w:tcPr>
          <w:p w14:paraId="40581BD7" w14:textId="52F8CDEA" w:rsidR="003C2176" w:rsidRPr="00F6005F" w:rsidRDefault="00A35F75" w:rsidP="002A7235">
            <w:pPr>
              <w:pStyle w:val="CETEquation"/>
              <w:rPr>
                <w:rFonts w:ascii="Arial" w:hAnsi="Arial"/>
                <w:i w:val="0"/>
              </w:rPr>
            </w:pPr>
            <w:r>
              <w:rPr>
                <w:rFonts w:ascii="Arial" w:hAnsi="Arial"/>
                <w:i w:val="0"/>
              </w:rPr>
              <w:t>(5</w:t>
            </w:r>
            <w:r w:rsidR="003C2176" w:rsidRPr="00F6005F">
              <w:rPr>
                <w:rFonts w:ascii="Arial" w:hAnsi="Arial"/>
                <w:i w:val="0"/>
              </w:rPr>
              <w:t>)</w:t>
            </w:r>
          </w:p>
        </w:tc>
      </w:tr>
    </w:tbl>
    <w:p w14:paraId="4A375066" w14:textId="73091AA5" w:rsidR="00433DAA" w:rsidRDefault="005843F6" w:rsidP="00B3052C">
      <w:pPr>
        <w:pStyle w:val="CETBodytext"/>
      </w:pPr>
      <w:r>
        <w:t>The carcinogenic risk for every pollutant was calculated following Eq(6):</w:t>
      </w:r>
    </w:p>
    <w:tbl>
      <w:tblPr>
        <w:tblW w:w="5000" w:type="pct"/>
        <w:tblLook w:val="04A0" w:firstRow="1" w:lastRow="0" w:firstColumn="1" w:lastColumn="0" w:noHBand="0" w:noVBand="1"/>
      </w:tblPr>
      <w:tblGrid>
        <w:gridCol w:w="7983"/>
        <w:gridCol w:w="804"/>
      </w:tblGrid>
      <w:tr w:rsidR="005843F6" w:rsidRPr="00D85848" w14:paraId="5166D6AD" w14:textId="77777777" w:rsidTr="002A7235">
        <w:tc>
          <w:tcPr>
            <w:tcW w:w="7983" w:type="dxa"/>
            <w:shd w:val="clear" w:color="auto" w:fill="auto"/>
            <w:vAlign w:val="center"/>
          </w:tcPr>
          <w:p w14:paraId="6FE26E27" w14:textId="4F6D13A3" w:rsidR="005843F6" w:rsidRPr="00D85848" w:rsidRDefault="000B5A22" w:rsidP="005843F6">
            <w:pPr>
              <w:pStyle w:val="CETEquation"/>
              <w:rPr>
                <w:rFonts w:ascii="Arial" w:hAnsi="Arial"/>
              </w:rPr>
            </w:pPr>
            <m:oMathPara>
              <m:oMathParaPr>
                <m:jc m:val="left"/>
              </m:oMathParaPr>
              <m:oMath>
                <m:sSub>
                  <m:sSubPr>
                    <m:ctrlPr/>
                  </m:sSubPr>
                  <m:e>
                    <m:r>
                      <m:t>Inhalation Risk</m:t>
                    </m:r>
                  </m:e>
                  <m:sub>
                    <m:r>
                      <m:t>i</m:t>
                    </m:r>
                  </m:sub>
                </m:sSub>
                <m:r>
                  <m:t>=</m:t>
                </m:r>
                <m:sSub>
                  <m:sSubPr>
                    <m:ctrlPr/>
                  </m:sSubPr>
                  <m:e>
                    <m:r>
                      <m:t>CDI</m:t>
                    </m:r>
                  </m:e>
                  <m:sub>
                    <m:r>
                      <m:t>i C</m:t>
                    </m:r>
                  </m:sub>
                </m:sSub>
                <m:r>
                  <m:t>∙IUR</m:t>
                </m:r>
              </m:oMath>
            </m:oMathPara>
          </w:p>
        </w:tc>
        <w:tc>
          <w:tcPr>
            <w:tcW w:w="804" w:type="dxa"/>
            <w:shd w:val="clear" w:color="auto" w:fill="auto"/>
            <w:vAlign w:val="center"/>
          </w:tcPr>
          <w:p w14:paraId="5CA8C3A7" w14:textId="4A83D6BF" w:rsidR="005843F6" w:rsidRPr="00F6005F" w:rsidRDefault="005843F6" w:rsidP="002A7235">
            <w:pPr>
              <w:pStyle w:val="CETEquation"/>
              <w:rPr>
                <w:rFonts w:ascii="Arial" w:hAnsi="Arial"/>
                <w:i w:val="0"/>
              </w:rPr>
            </w:pPr>
            <w:r>
              <w:rPr>
                <w:rFonts w:ascii="Arial" w:hAnsi="Arial"/>
                <w:i w:val="0"/>
              </w:rPr>
              <w:t>(6</w:t>
            </w:r>
            <w:r w:rsidRPr="00F6005F">
              <w:rPr>
                <w:rFonts w:ascii="Arial" w:hAnsi="Arial"/>
                <w:i w:val="0"/>
              </w:rPr>
              <w:t>)</w:t>
            </w:r>
          </w:p>
        </w:tc>
      </w:tr>
    </w:tbl>
    <w:p w14:paraId="364B7EF1" w14:textId="61B43BA7" w:rsidR="005843F6" w:rsidRPr="005843F6" w:rsidRDefault="005843F6" w:rsidP="00B3052C">
      <w:pPr>
        <w:pStyle w:val="CETBodytext"/>
      </w:pPr>
      <w:r>
        <w:t>Where IUR</w:t>
      </w:r>
      <w:r w:rsidR="00B33BD3">
        <w:rPr>
          <w:vertAlign w:val="subscript"/>
        </w:rPr>
        <w:t>i</w:t>
      </w:r>
      <w:r>
        <w:t xml:space="preserve"> is EPA Inhalation unit risk for the pollutant, expressed in (</w:t>
      </w:r>
      <w:r w:rsidRPr="00433DAA">
        <w:t>mg/m</w:t>
      </w:r>
      <w:r w:rsidRPr="00433DAA">
        <w:rPr>
          <w:vertAlign w:val="superscript"/>
        </w:rPr>
        <w:t>3</w:t>
      </w:r>
      <w:r>
        <w:t>)</w:t>
      </w:r>
      <w:r>
        <w:rPr>
          <w:vertAlign w:val="superscript"/>
        </w:rPr>
        <w:t>-1</w:t>
      </w:r>
      <w:r w:rsidR="009F3B53">
        <w:t>.</w:t>
      </w:r>
      <w:r>
        <w:t xml:space="preserve"> CDI</w:t>
      </w:r>
      <w:r>
        <w:rPr>
          <w:vertAlign w:val="subscript"/>
        </w:rPr>
        <w:t>i</w:t>
      </w:r>
      <w:r w:rsidR="003E3531">
        <w:rPr>
          <w:vertAlign w:val="subscript"/>
        </w:rPr>
        <w:t>,C</w:t>
      </w:r>
      <w:r>
        <w:t xml:space="preserve"> is calculate</w:t>
      </w:r>
      <w:r w:rsidR="00E35C8A">
        <w:t>d</w:t>
      </w:r>
      <w:r w:rsidR="009F3B53">
        <w:t xml:space="preserve"> using Eq(7). Here, LT is panellist lifetime</w:t>
      </w:r>
      <w:r>
        <w:t>:</w:t>
      </w:r>
    </w:p>
    <w:tbl>
      <w:tblPr>
        <w:tblW w:w="5000" w:type="pct"/>
        <w:tblLook w:val="04A0" w:firstRow="1" w:lastRow="0" w:firstColumn="1" w:lastColumn="0" w:noHBand="0" w:noVBand="1"/>
      </w:tblPr>
      <w:tblGrid>
        <w:gridCol w:w="7983"/>
        <w:gridCol w:w="804"/>
      </w:tblGrid>
      <w:tr w:rsidR="005843F6" w:rsidRPr="00D85848" w14:paraId="2DFB7E23" w14:textId="77777777" w:rsidTr="002A7235">
        <w:tc>
          <w:tcPr>
            <w:tcW w:w="7983" w:type="dxa"/>
            <w:shd w:val="clear" w:color="auto" w:fill="auto"/>
            <w:vAlign w:val="center"/>
          </w:tcPr>
          <w:p w14:paraId="4B7508E8" w14:textId="0A0CE386" w:rsidR="005843F6" w:rsidRPr="00D85848" w:rsidRDefault="005843F6" w:rsidP="005843F6">
            <w:pPr>
              <w:pStyle w:val="CETEquation"/>
              <w:rPr>
                <w:rFonts w:ascii="Arial" w:hAnsi="Arial"/>
              </w:rPr>
            </w:pPr>
            <m:oMathPara>
              <m:oMathParaPr>
                <m:jc m:val="left"/>
              </m:oMathParaPr>
              <m:oMath>
                <m:r>
                  <m:t>CD</m:t>
                </m:r>
                <m:sSub>
                  <m:sSubPr>
                    <m:ctrlPr/>
                  </m:sSubPr>
                  <m:e>
                    <m:r>
                      <m:t>I</m:t>
                    </m:r>
                  </m:e>
                  <m:sub>
                    <m:r>
                      <m:t>i C</m:t>
                    </m:r>
                  </m:sub>
                </m:sSub>
                <m:r>
                  <m:t>=</m:t>
                </m:r>
                <m:f>
                  <m:fPr>
                    <m:ctrlPr/>
                  </m:fPr>
                  <m:num>
                    <m:sSub>
                      <m:sSubPr>
                        <m:ctrlPr/>
                      </m:sSubPr>
                      <m:e>
                        <m:sSub>
                          <m:sSubPr>
                            <m:ctrlPr/>
                          </m:sSubPr>
                          <m:e>
                            <m:r>
                              <m:t>C</m:t>
                            </m:r>
                          </m:e>
                          <m:sub>
                            <m:r>
                              <m:t>AIR</m:t>
                            </m:r>
                          </m:sub>
                        </m:sSub>
                      </m:e>
                      <m:sub>
                        <m:r>
                          <m:t>i</m:t>
                        </m:r>
                      </m:sub>
                    </m:sSub>
                    <m:r>
                      <m:t>∙EF∙ED∙ET</m:t>
                    </m:r>
                  </m:num>
                  <m:den>
                    <m:r>
                      <m:t>AT∙LT</m:t>
                    </m:r>
                  </m:den>
                </m:f>
              </m:oMath>
            </m:oMathPara>
          </w:p>
        </w:tc>
        <w:tc>
          <w:tcPr>
            <w:tcW w:w="804" w:type="dxa"/>
            <w:shd w:val="clear" w:color="auto" w:fill="auto"/>
            <w:vAlign w:val="center"/>
          </w:tcPr>
          <w:p w14:paraId="63E39C99" w14:textId="1F110133" w:rsidR="005843F6" w:rsidRPr="00F6005F" w:rsidRDefault="005843F6" w:rsidP="002A7235">
            <w:pPr>
              <w:pStyle w:val="CETEquation"/>
              <w:rPr>
                <w:rFonts w:ascii="Arial" w:hAnsi="Arial"/>
                <w:i w:val="0"/>
              </w:rPr>
            </w:pPr>
            <w:r>
              <w:rPr>
                <w:rFonts w:ascii="Arial" w:hAnsi="Arial"/>
                <w:i w:val="0"/>
              </w:rPr>
              <w:t>(7</w:t>
            </w:r>
            <w:r w:rsidRPr="00F6005F">
              <w:rPr>
                <w:rFonts w:ascii="Arial" w:hAnsi="Arial"/>
                <w:i w:val="0"/>
              </w:rPr>
              <w:t>)</w:t>
            </w:r>
          </w:p>
        </w:tc>
      </w:tr>
    </w:tbl>
    <w:p w14:paraId="43FD25F1" w14:textId="265A1FD2" w:rsidR="00D35E53" w:rsidRDefault="00EF1678" w:rsidP="00D35E53">
      <w:pPr>
        <w:pStyle w:val="CETHeading1"/>
        <w:numPr>
          <w:ilvl w:val="0"/>
          <w:numId w:val="0"/>
        </w:numPr>
      </w:pPr>
      <w:r w:rsidRPr="00D35E53">
        <w:rPr>
          <w:b w:val="0"/>
          <w:sz w:val="18"/>
        </w:rPr>
        <w:t>The risk values calculated for the individual compounds are then summed to assess the overall risk</w:t>
      </w:r>
      <w:r w:rsidR="003E3531" w:rsidRPr="00D35E53">
        <w:rPr>
          <w:b w:val="0"/>
          <w:sz w:val="18"/>
        </w:rPr>
        <w:t xml:space="preserve"> </w:t>
      </w:r>
      <w:r w:rsidRPr="00D35E53">
        <w:rPr>
          <w:b w:val="0"/>
          <w:sz w:val="18"/>
        </w:rPr>
        <w:t>for the sample.</w:t>
      </w:r>
      <w:r w:rsidR="00E21B24" w:rsidRPr="00D35E53">
        <w:rPr>
          <w:b w:val="0"/>
          <w:sz w:val="18"/>
        </w:rPr>
        <w:t xml:space="preserve"> The </w:t>
      </w:r>
      <w:r w:rsidR="009C55A0" w:rsidRPr="00D35E53">
        <w:rPr>
          <w:b w:val="0"/>
          <w:sz w:val="18"/>
        </w:rPr>
        <w:t xml:space="preserve">criteria </w:t>
      </w:r>
      <w:r w:rsidR="00BC59D9" w:rsidRPr="00D35E53">
        <w:rPr>
          <w:b w:val="0"/>
          <w:sz w:val="18"/>
        </w:rPr>
        <w:t xml:space="preserve">adopted to evaluate the risk level are </w:t>
      </w:r>
      <w:r w:rsidR="003C2176" w:rsidRPr="00D35E53">
        <w:rPr>
          <w:b w:val="0"/>
          <w:sz w:val="18"/>
        </w:rPr>
        <w:t>similar to</w:t>
      </w:r>
      <w:r w:rsidR="00FD1F8E" w:rsidRPr="00D35E53">
        <w:rPr>
          <w:b w:val="0"/>
          <w:sz w:val="18"/>
        </w:rPr>
        <w:t xml:space="preserve"> Approach A, presented </w:t>
      </w:r>
      <w:r w:rsidR="009C55A0" w:rsidRPr="00D35E53">
        <w:rPr>
          <w:b w:val="0"/>
          <w:sz w:val="18"/>
        </w:rPr>
        <w:t xml:space="preserve">in </w:t>
      </w:r>
      <w:r w:rsidR="009C55A0" w:rsidRPr="00D35E53">
        <w:rPr>
          <w:b w:val="0"/>
          <w:sz w:val="18"/>
        </w:rPr>
        <w:fldChar w:fldCharType="begin"/>
      </w:r>
      <w:r w:rsidR="009C55A0" w:rsidRPr="00D35E53">
        <w:rPr>
          <w:b w:val="0"/>
          <w:sz w:val="18"/>
        </w:rPr>
        <w:instrText xml:space="preserve"> REF _Ref61774473 \h </w:instrText>
      </w:r>
      <w:r w:rsidR="00B3052C" w:rsidRPr="00D35E53">
        <w:rPr>
          <w:b w:val="0"/>
          <w:sz w:val="18"/>
        </w:rPr>
        <w:instrText xml:space="preserve"> \* MERGEFORMAT </w:instrText>
      </w:r>
      <w:r w:rsidR="009C55A0" w:rsidRPr="00D35E53">
        <w:rPr>
          <w:b w:val="0"/>
          <w:sz w:val="18"/>
        </w:rPr>
      </w:r>
      <w:r w:rsidR="009C55A0" w:rsidRPr="00D35E53">
        <w:rPr>
          <w:b w:val="0"/>
          <w:sz w:val="18"/>
        </w:rPr>
        <w:fldChar w:fldCharType="separate"/>
      </w:r>
      <w:r w:rsidR="009C55A0" w:rsidRPr="00D35E53">
        <w:rPr>
          <w:b w:val="0"/>
          <w:sz w:val="18"/>
        </w:rPr>
        <w:t>Table 1</w:t>
      </w:r>
      <w:r w:rsidR="009C55A0" w:rsidRPr="00D35E53">
        <w:rPr>
          <w:b w:val="0"/>
          <w:sz w:val="18"/>
        </w:rPr>
        <w:fldChar w:fldCharType="end"/>
      </w:r>
      <w:r w:rsidR="009C55A0" w:rsidRPr="00D35E53">
        <w:rPr>
          <w:b w:val="0"/>
          <w:sz w:val="18"/>
        </w:rPr>
        <w:t xml:space="preserve">. </w:t>
      </w:r>
      <w:r w:rsidRPr="00D35E53">
        <w:rPr>
          <w:b w:val="0"/>
          <w:sz w:val="18"/>
        </w:rPr>
        <w:t>If the acceptability criteria are not satisfied</w:t>
      </w:r>
      <w:r w:rsidR="009C55A0" w:rsidRPr="00D35E53">
        <w:rPr>
          <w:b w:val="0"/>
          <w:sz w:val="18"/>
        </w:rPr>
        <w:t>, a minimum dilution value must be set to ensure panel safety.</w:t>
      </w:r>
      <w:r w:rsidR="004E3CAD" w:rsidRPr="00D35E53">
        <w:rPr>
          <w:b w:val="0"/>
          <w:sz w:val="18"/>
        </w:rPr>
        <w:t xml:space="preserve"> </w:t>
      </w:r>
      <w:r w:rsidR="009C55A0" w:rsidRPr="00D35E53">
        <w:rPr>
          <w:b w:val="0"/>
          <w:sz w:val="18"/>
        </w:rPr>
        <w:t>The study evidence</w:t>
      </w:r>
      <w:r w:rsidR="00C57F16" w:rsidRPr="00D35E53">
        <w:rPr>
          <w:b w:val="0"/>
          <w:sz w:val="18"/>
        </w:rPr>
        <w:t>s</w:t>
      </w:r>
      <w:r w:rsidR="009C55A0" w:rsidRPr="00D35E53">
        <w:rPr>
          <w:b w:val="0"/>
          <w:sz w:val="18"/>
        </w:rPr>
        <w:t xml:space="preserve"> that, in the case of samples collected at this particular MSW incinerator, </w:t>
      </w:r>
      <w:r w:rsidR="003468FB" w:rsidRPr="00D35E53">
        <w:rPr>
          <w:b w:val="0"/>
          <w:sz w:val="18"/>
        </w:rPr>
        <w:t xml:space="preserve">a </w:t>
      </w:r>
      <w:r w:rsidR="009C55A0" w:rsidRPr="00D35E53">
        <w:rPr>
          <w:b w:val="0"/>
          <w:sz w:val="18"/>
        </w:rPr>
        <w:t>minimum dilution value</w:t>
      </w:r>
      <w:r w:rsidR="00D141B1">
        <w:rPr>
          <w:b w:val="0"/>
          <w:sz w:val="18"/>
        </w:rPr>
        <w:t xml:space="preserve"> </w:t>
      </w:r>
      <w:r w:rsidR="009C55A0" w:rsidRPr="00D35E53">
        <w:rPr>
          <w:b w:val="0"/>
          <w:sz w:val="18"/>
        </w:rPr>
        <w:t xml:space="preserve">should be set at least to </w:t>
      </w:r>
      <w:r w:rsidR="003E3531" w:rsidRPr="00D35E53">
        <w:rPr>
          <w:b w:val="0"/>
          <w:sz w:val="18"/>
        </w:rPr>
        <w:t>24 for the institutional</w:t>
      </w:r>
      <w:r w:rsidR="00E923BC" w:rsidRPr="00D35E53">
        <w:rPr>
          <w:b w:val="0"/>
          <w:sz w:val="18"/>
        </w:rPr>
        <w:t xml:space="preserve"> laboratory and to </w:t>
      </w:r>
      <w:r w:rsidR="00677C33" w:rsidRPr="00D35E53">
        <w:rPr>
          <w:b w:val="0"/>
          <w:sz w:val="18"/>
        </w:rPr>
        <w:t>7</w:t>
      </w:r>
      <w:r w:rsidR="00E923BC" w:rsidRPr="00D35E53">
        <w:rPr>
          <w:b w:val="0"/>
          <w:sz w:val="18"/>
        </w:rPr>
        <w:t>3 for the commercial one</w:t>
      </w:r>
      <w:r w:rsidR="00D35E53">
        <w:rPr>
          <w:b w:val="0"/>
          <w:sz w:val="18"/>
        </w:rPr>
        <w:t>.</w:t>
      </w:r>
    </w:p>
    <w:p w14:paraId="3810A7EC" w14:textId="652127B5" w:rsidR="005865AC" w:rsidRPr="00D85848" w:rsidRDefault="00057907" w:rsidP="00D35E53">
      <w:pPr>
        <w:pStyle w:val="CETHeading1"/>
      </w:pPr>
      <w:r>
        <w:t>Discussion</w:t>
      </w:r>
    </w:p>
    <w:p w14:paraId="068E4172" w14:textId="46579BDD" w:rsidR="008A7AFE" w:rsidRPr="008A7AFE" w:rsidRDefault="005865AC" w:rsidP="00B3052C">
      <w:pPr>
        <w:pStyle w:val="CETBodytext"/>
      </w:pPr>
      <w:r w:rsidRPr="00D85848">
        <w:t xml:space="preserve">The two models reported in the literature can be very useful </w:t>
      </w:r>
      <w:r w:rsidR="00674537">
        <w:t xml:space="preserve">because </w:t>
      </w:r>
      <w:r w:rsidR="00725164">
        <w:t xml:space="preserve">they </w:t>
      </w:r>
      <w:r w:rsidRPr="00D85848">
        <w:t xml:space="preserve">suggest preliminary guidelines to </w:t>
      </w:r>
      <w:r w:rsidR="008F7CE8" w:rsidRPr="00D85848">
        <w:t>establish</w:t>
      </w:r>
      <w:r w:rsidRPr="00D85848">
        <w:t xml:space="preserve"> the </w:t>
      </w:r>
      <w:r w:rsidR="00993B4B" w:rsidRPr="00D85848">
        <w:t>exposure risk for workers involved in dynamic olfactometry.</w:t>
      </w:r>
      <w:r w:rsidR="00845B36" w:rsidRPr="00D85848">
        <w:t xml:space="preserve"> However, some</w:t>
      </w:r>
      <w:r w:rsidR="008F7CE8">
        <w:t xml:space="preserve"> </w:t>
      </w:r>
      <w:r w:rsidR="00FD1F8E">
        <w:t>critical</w:t>
      </w:r>
      <w:r w:rsidR="00FD1F8E" w:rsidRPr="00D85848">
        <w:t xml:space="preserve"> </w:t>
      </w:r>
      <w:r w:rsidR="00845B36" w:rsidRPr="00D85848">
        <w:t>aspects</w:t>
      </w:r>
      <w:r w:rsidR="00057907">
        <w:t xml:space="preserve"> </w:t>
      </w:r>
      <w:r w:rsidR="00FD1F8E">
        <w:t>may arise</w:t>
      </w:r>
      <w:r w:rsidR="00057907">
        <w:t xml:space="preserve">. </w:t>
      </w:r>
      <w:r w:rsidR="004C18AC">
        <w:t>Firstly</w:t>
      </w:r>
      <w:r w:rsidR="008F7CE8" w:rsidRPr="00D85848">
        <w:t xml:space="preserve">, the choice of the </w:t>
      </w:r>
      <w:r w:rsidR="008F7CE8">
        <w:t>toxicological</w:t>
      </w:r>
      <w:r w:rsidR="008F7CE8" w:rsidRPr="008F7CE8">
        <w:t xml:space="preserve"> threshold</w:t>
      </w:r>
      <w:r w:rsidR="00E35C8A">
        <w:t xml:space="preserve"> </w:t>
      </w:r>
      <w:r w:rsidR="008F7CE8" w:rsidRPr="008F7CE8">
        <w:t xml:space="preserve">drastically </w:t>
      </w:r>
      <w:r w:rsidR="008F7CE8">
        <w:t>influence</w:t>
      </w:r>
      <w:r w:rsidR="00FD1F8E">
        <w:t>s</w:t>
      </w:r>
      <w:r w:rsidR="008F7CE8" w:rsidRPr="008F7CE8">
        <w:t xml:space="preserve"> the final result</w:t>
      </w:r>
      <w:r w:rsidR="008A7AFE">
        <w:t>s</w:t>
      </w:r>
      <w:r w:rsidR="008F7CE8" w:rsidRPr="008F7CE8">
        <w:t>, in terms of</w:t>
      </w:r>
      <w:r w:rsidR="008F7CE8" w:rsidRPr="00D85848">
        <w:t xml:space="preserve"> minimum dilution value</w:t>
      </w:r>
      <w:r w:rsidR="008F7CE8">
        <w:t>.</w:t>
      </w:r>
      <w:r w:rsidR="008F7CE8" w:rsidRPr="00D85848">
        <w:t xml:space="preserve"> </w:t>
      </w:r>
      <w:r w:rsidR="008F7CE8">
        <w:t xml:space="preserve">Indeed, </w:t>
      </w:r>
      <w:r w:rsidR="004C18AC">
        <w:t xml:space="preserve">nowadays different occupation exposure limit concentrations for chemicals coexist. These </w:t>
      </w:r>
      <w:r w:rsidR="00A775D7">
        <w:t>values can</w:t>
      </w:r>
      <w:r w:rsidR="004C18AC">
        <w:t xml:space="preserve"> diverge not only </w:t>
      </w:r>
      <w:r w:rsidR="004C18AC" w:rsidRPr="004C18AC">
        <w:t xml:space="preserve">depending on the exposure </w:t>
      </w:r>
      <w:r w:rsidR="004C18AC">
        <w:t xml:space="preserve">route and exposure </w:t>
      </w:r>
      <w:r w:rsidR="004C18AC" w:rsidRPr="004C18AC">
        <w:t>time considered</w:t>
      </w:r>
      <w:r w:rsidR="00A775D7">
        <w:t xml:space="preserve"> </w:t>
      </w:r>
      <w:r w:rsidR="00A775D7">
        <w:fldChar w:fldCharType="begin" w:fldLock="1"/>
      </w:r>
      <w:r w:rsidR="00FB22F8">
        <w:instrText>ADDIN CSL_CITATION {"citationItems":[{"id":"ITEM-1","itemData":{"author":[{"dropping-particle":"","family":"U.S. Environmental Protection Agency","given":"","non-dropping-particle":"","parse-names":false,"suffix":""}],"id":"ITEM-1","issued":{"date-parts":[["1992"]]},"title":"Guidelines for Exposure Assessment","type":"report"},"uris":["http://www.mendeley.com/documents/?uuid=120c73f9-37a4-3900-b989-c48576efe8c4"]}],"mendeley":{"formattedCitation":"(U.S. Environmental Protection Agency, 1992)","manualFormatting":"(U.S. Environmental Protection Agency, 1992)","plainTextFormattedCitation":"(U.S. Environmental Protection Agency, 1992)","previouslyFormattedCitation":"(U.S. Environmental Protection Agency, 1992)"},"properties":{"noteIndex":0},"schema":"https://github.com/citation-style-language/schema/raw/master/csl-citation.json"}</w:instrText>
      </w:r>
      <w:r w:rsidR="00A775D7">
        <w:fldChar w:fldCharType="separate"/>
      </w:r>
      <w:r w:rsidR="00A775D7" w:rsidRPr="00A775D7">
        <w:rPr>
          <w:noProof/>
        </w:rPr>
        <w:t>(U.S. Environmental Protection Agency, 1992)</w:t>
      </w:r>
      <w:r w:rsidR="00A775D7">
        <w:fldChar w:fldCharType="end"/>
      </w:r>
      <w:r w:rsidR="004C18AC">
        <w:t>,</w:t>
      </w:r>
      <w:r w:rsidR="004C18AC" w:rsidRPr="004C18AC">
        <w:t xml:space="preserve"> but also on the risk assessment and management approach used</w:t>
      </w:r>
      <w:r w:rsidR="004C18AC">
        <w:t xml:space="preserve"> </w:t>
      </w:r>
      <w:r w:rsidR="004C18AC">
        <w:lastRenderedPageBreak/>
        <w:fldChar w:fldCharType="begin" w:fldLock="1"/>
      </w:r>
      <w:r w:rsidR="00FB22F8">
        <w:instrText>ADDIN CSL_CITATION {"citationItems":[{"id":"ITEM-1","itemData":{"author":[{"dropping-particle":"","family":"Cattaneo","given":"Andrea","non-dropping-particle":"","parse-names":false,"suffix":""},{"dropping-particle":"","family":"Spinazzè","given":"Andrea","non-dropping-particle":"","parse-names":false,"suffix":""},{"dropping-particle":"","family":"Cavallo","given":"Domenico Maria","non-dropping-particle":"","parse-names":false,"suffix":""}],"container-title":"Italian Journal of Occupational and Environmental Hygiene","id":"ITEM-1","issue":"October","issued":{"date-parts":[["2018"]]},"page":"93-97","title":"Occupational exposure limit values for chemical risk assessment at European level","type":"article-journal","volume":"9"},"uris":["http://www.mendeley.com/documents/?uuid=11c2de6e-d624-4f7e-92c3-9bb5ced9c3e1"]}],"mendeley":{"formattedCitation":"(Cattaneo et al., 2018)","plainTextFormattedCitation":"(Cattaneo et al., 2018)","previouslyFormattedCitation":"(Cattaneo et al., 2018)"},"properties":{"noteIndex":0},"schema":"https://github.com/citation-style-language/schema/raw/master/csl-citation.json"}</w:instrText>
      </w:r>
      <w:r w:rsidR="004C18AC">
        <w:fldChar w:fldCharType="separate"/>
      </w:r>
      <w:r w:rsidR="00FB22F8" w:rsidRPr="00FB22F8">
        <w:rPr>
          <w:noProof/>
        </w:rPr>
        <w:t>(Cattaneo et al., 2018)</w:t>
      </w:r>
      <w:r w:rsidR="004C18AC">
        <w:fldChar w:fldCharType="end"/>
      </w:r>
      <w:r w:rsidR="004C18AC" w:rsidRPr="004C18AC">
        <w:t>.</w:t>
      </w:r>
      <w:r w:rsidR="00A775D7">
        <w:t xml:space="preserve"> </w:t>
      </w:r>
      <w:r w:rsidR="009653C3">
        <w:t xml:space="preserve">For these reasons, </w:t>
      </w:r>
      <w:r w:rsidR="00A775D7" w:rsidRPr="00A775D7">
        <w:t>the absence</w:t>
      </w:r>
      <w:r w:rsidR="00A775D7">
        <w:t>, in the standard,</w:t>
      </w:r>
      <w:r w:rsidR="00A775D7" w:rsidRPr="00A775D7">
        <w:t xml:space="preserve"> </w:t>
      </w:r>
      <w:r w:rsidR="00A775D7">
        <w:t xml:space="preserve">of an </w:t>
      </w:r>
      <w:r w:rsidR="00A775D7" w:rsidRPr="00A775D7">
        <w:t>explicit recommendation</w:t>
      </w:r>
      <w:r w:rsidR="00A775D7">
        <w:t xml:space="preserve"> </w:t>
      </w:r>
      <w:r w:rsidR="00A775D7" w:rsidRPr="00A775D7">
        <w:t xml:space="preserve">on the reference concentration to be </w:t>
      </w:r>
      <w:r w:rsidR="00A775D7">
        <w:t>adopted in the toxicological evaluation</w:t>
      </w:r>
      <w:r w:rsidR="00A775D7" w:rsidRPr="00A775D7">
        <w:t xml:space="preserve"> can be misleading and lead to an </w:t>
      </w:r>
      <w:r w:rsidR="008A7AFE">
        <w:t>incorrect</w:t>
      </w:r>
      <w:r w:rsidR="00A775D7">
        <w:t xml:space="preserve"> risk</w:t>
      </w:r>
      <w:r w:rsidR="008A7AFE">
        <w:t xml:space="preserve"> assessment for panellists exposition</w:t>
      </w:r>
      <w:r w:rsidR="00A775D7">
        <w:t>. T</w:t>
      </w:r>
      <w:r w:rsidR="00057907" w:rsidRPr="00057907">
        <w:t xml:space="preserve">he problem becomes evident comparing the reference concentrations </w:t>
      </w:r>
      <w:r w:rsidR="008A7AFE">
        <w:t xml:space="preserve">adopted by the two models. </w:t>
      </w:r>
      <w:r w:rsidR="002A323A">
        <w:t xml:space="preserve">The reference </w:t>
      </w:r>
      <w:r w:rsidR="00ED387F">
        <w:t>concentration</w:t>
      </w:r>
      <w:r w:rsidR="008F68C9">
        <w:t xml:space="preserve">s </w:t>
      </w:r>
      <w:r w:rsidR="008F68C9" w:rsidRPr="008F68C9">
        <w:t>differ in definition</w:t>
      </w:r>
      <w:r w:rsidR="00C120EA">
        <w:t>:</w:t>
      </w:r>
      <w:r w:rsidR="008F68C9">
        <w:t xml:space="preserve"> </w:t>
      </w:r>
      <w:r w:rsidR="008F68C9" w:rsidRPr="008F68C9">
        <w:t xml:space="preserve">Approach A uses thresholds </w:t>
      </w:r>
      <w:r w:rsidR="008F68C9">
        <w:t xml:space="preserve">specific </w:t>
      </w:r>
      <w:r w:rsidR="008F68C9" w:rsidRPr="008F68C9">
        <w:t xml:space="preserve">for occupational exposure, whereas Approach B uses a threshold </w:t>
      </w:r>
      <w:r w:rsidR="0066760A">
        <w:t xml:space="preserve">for the exposition of </w:t>
      </w:r>
      <w:r w:rsidR="0066760A" w:rsidRPr="0066760A">
        <w:t>the entire population (including sensitive subgroups)</w:t>
      </w:r>
      <w:r w:rsidR="0066760A">
        <w:t xml:space="preserve">. </w:t>
      </w:r>
      <w:r w:rsidR="00C120EA">
        <w:t>Let’s c</w:t>
      </w:r>
      <w:r w:rsidR="008A7AFE">
        <w:t xml:space="preserve">onsider, for example, the case of a typical odorous molecule, </w:t>
      </w:r>
      <w:r w:rsidR="00A775D7">
        <w:t xml:space="preserve">hydrogen sulphide, </w:t>
      </w:r>
      <w:r w:rsidR="00A775D7" w:rsidRPr="00A775D7">
        <w:t>commonly found in different types of odour emission</w:t>
      </w:r>
      <w:r w:rsidR="00C120EA">
        <w:t>:</w:t>
      </w:r>
      <w:r w:rsidR="00A775D7">
        <w:t xml:space="preserve"> </w:t>
      </w:r>
      <w:r w:rsidR="00C120EA">
        <w:t>i</w:t>
      </w:r>
      <w:r w:rsidR="00A775D7">
        <w:t xml:space="preserve">n </w:t>
      </w:r>
      <w:r w:rsidR="008F7CE8" w:rsidRPr="00D85848">
        <w:fldChar w:fldCharType="begin"/>
      </w:r>
      <w:r w:rsidR="008F7CE8" w:rsidRPr="00D85848">
        <w:instrText xml:space="preserve"> REF _Ref61809661 \h </w:instrText>
      </w:r>
      <w:r w:rsidR="00B3052C">
        <w:instrText xml:space="preserve"> \* MERGEFORMAT </w:instrText>
      </w:r>
      <w:r w:rsidR="008F7CE8" w:rsidRPr="00D85848">
        <w:fldChar w:fldCharType="separate"/>
      </w:r>
      <w:r w:rsidR="00057907" w:rsidRPr="00D85848">
        <w:t xml:space="preserve">Table </w:t>
      </w:r>
      <w:r w:rsidR="00057907">
        <w:rPr>
          <w:noProof/>
        </w:rPr>
        <w:t>2</w:t>
      </w:r>
      <w:r w:rsidR="008F7CE8" w:rsidRPr="00D85848">
        <w:fldChar w:fldCharType="end"/>
      </w:r>
      <w:r w:rsidR="00A775D7">
        <w:t xml:space="preserve">, </w:t>
      </w:r>
      <w:r w:rsidR="008F7CE8" w:rsidRPr="00D85848">
        <w:t xml:space="preserve">the </w:t>
      </w:r>
      <w:r w:rsidR="008A7AFE" w:rsidRPr="008A7AFE">
        <w:t xml:space="preserve">reference concentrations for non-carcinogenic effects related to exposure to </w:t>
      </w:r>
      <w:r w:rsidR="008A7AFE">
        <w:t>H</w:t>
      </w:r>
      <w:r w:rsidR="008A7AFE">
        <w:rPr>
          <w:vertAlign w:val="subscript"/>
        </w:rPr>
        <w:t>2</w:t>
      </w:r>
      <w:r w:rsidR="008A7AFE">
        <w:t xml:space="preserve">S </w:t>
      </w:r>
      <w:r w:rsidR="008A7AFE" w:rsidRPr="008A7AFE">
        <w:t>to be used in the two models</w:t>
      </w:r>
      <w:r w:rsidR="008A7AFE">
        <w:t xml:space="preserve"> are reported.</w:t>
      </w:r>
    </w:p>
    <w:p w14:paraId="3886B074" w14:textId="2D7D2C75" w:rsidR="008F7CE8" w:rsidRPr="00A775D7" w:rsidRDefault="008F7CE8" w:rsidP="008F7CE8">
      <w:pPr>
        <w:pStyle w:val="CETTabletitle"/>
      </w:pPr>
      <w:bookmarkStart w:id="2" w:name="_Ref61809661"/>
      <w:r w:rsidRPr="00D85848">
        <w:t xml:space="preserve">Table </w:t>
      </w:r>
      <w:r w:rsidRPr="00D85848">
        <w:fldChar w:fldCharType="begin"/>
      </w:r>
      <w:r w:rsidRPr="00D85848">
        <w:instrText xml:space="preserve"> SEQ Table \* ARABIC </w:instrText>
      </w:r>
      <w:r w:rsidRPr="00D85848">
        <w:fldChar w:fldCharType="separate"/>
      </w:r>
      <w:r w:rsidR="00057907">
        <w:rPr>
          <w:noProof/>
        </w:rPr>
        <w:t>2</w:t>
      </w:r>
      <w:r w:rsidRPr="00D85848">
        <w:fldChar w:fldCharType="end"/>
      </w:r>
      <w:bookmarkEnd w:id="2"/>
      <w:r w:rsidRPr="00D85848">
        <w:t xml:space="preserve">: </w:t>
      </w:r>
      <w:r w:rsidR="00EB09B7">
        <w:t>R</w:t>
      </w:r>
      <w:r w:rsidR="00EB09B7" w:rsidRPr="00D85848">
        <w:t xml:space="preserve">eference concentration for </w:t>
      </w:r>
      <w:r w:rsidR="00EB09B7">
        <w:t>H</w:t>
      </w:r>
      <w:r w:rsidR="00EB09B7">
        <w:rPr>
          <w:vertAlign w:val="subscript"/>
        </w:rPr>
        <w:t>2</w:t>
      </w:r>
      <w:r w:rsidR="00EB09B7">
        <w:t>S:</w:t>
      </w:r>
      <w:r w:rsidR="00EB09B7" w:rsidRPr="00D85848">
        <w:t xml:space="preserve"> </w:t>
      </w:r>
      <w:r w:rsidR="00EB09B7">
        <w:t>c</w:t>
      </w:r>
      <w:r w:rsidRPr="00D85848">
        <w:t xml:space="preserve">omparison between two models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2"/>
        <w:gridCol w:w="3515"/>
        <w:gridCol w:w="2930"/>
      </w:tblGrid>
      <w:tr w:rsidR="008F7CE8" w:rsidRPr="00D85848" w14:paraId="4B50C603" w14:textId="77777777" w:rsidTr="002A323A">
        <w:trPr>
          <w:trHeight w:val="506"/>
        </w:trPr>
        <w:tc>
          <w:tcPr>
            <w:tcW w:w="1333" w:type="pct"/>
            <w:tcBorders>
              <w:top w:val="single" w:sz="12" w:space="0" w:color="008000"/>
              <w:bottom w:val="single" w:sz="6" w:space="0" w:color="008000"/>
            </w:tcBorders>
            <w:shd w:val="clear" w:color="auto" w:fill="FFFFFF"/>
            <w:vAlign w:val="center"/>
          </w:tcPr>
          <w:p w14:paraId="222C3114" w14:textId="77777777" w:rsidR="008F7CE8" w:rsidRPr="00D85848" w:rsidRDefault="008F7CE8" w:rsidP="00725164">
            <w:pPr>
              <w:pStyle w:val="CETBodytext"/>
              <w:jc w:val="left"/>
              <w:rPr>
                <w:lang w:val="en-GB"/>
              </w:rPr>
            </w:pPr>
            <w:r w:rsidRPr="00D85848">
              <w:rPr>
                <w:lang w:val="en-GB"/>
              </w:rPr>
              <w:t>Compound</w:t>
            </w:r>
          </w:p>
        </w:tc>
        <w:tc>
          <w:tcPr>
            <w:tcW w:w="2000" w:type="pct"/>
            <w:tcBorders>
              <w:top w:val="single" w:sz="12" w:space="0" w:color="008000"/>
              <w:bottom w:val="single" w:sz="6" w:space="0" w:color="008000"/>
            </w:tcBorders>
            <w:shd w:val="clear" w:color="auto" w:fill="FFFFFF"/>
            <w:vAlign w:val="center"/>
          </w:tcPr>
          <w:p w14:paraId="14638510" w14:textId="77777777" w:rsidR="008F7CE8" w:rsidRPr="00D85848" w:rsidRDefault="008F7CE8" w:rsidP="00725164">
            <w:pPr>
              <w:pStyle w:val="CETBodytext"/>
              <w:jc w:val="left"/>
              <w:rPr>
                <w:lang w:val="en-GB"/>
              </w:rPr>
            </w:pPr>
            <w:r w:rsidRPr="00D85848">
              <w:rPr>
                <w:lang w:val="en-GB"/>
              </w:rPr>
              <w:t>Approach A</w:t>
            </w:r>
          </w:p>
          <w:p w14:paraId="48F48483" w14:textId="5AFFF60C" w:rsidR="008F7CE8" w:rsidRPr="00D85848" w:rsidRDefault="00A775D7" w:rsidP="00A775D7">
            <w:pPr>
              <w:pStyle w:val="CETBodytext"/>
              <w:jc w:val="left"/>
              <w:rPr>
                <w:lang w:val="en-GB"/>
              </w:rPr>
            </w:pPr>
            <w:r>
              <w:rPr>
                <w:lang w:val="en-GB"/>
              </w:rPr>
              <w:t>(TLV-STEL</w:t>
            </w:r>
            <w:r w:rsidR="008F7CE8" w:rsidRPr="00D85848">
              <w:rPr>
                <w:lang w:val="en-GB"/>
              </w:rPr>
              <w:t xml:space="preserve"> value avai</w:t>
            </w:r>
            <w:r w:rsidR="008F7CE8">
              <w:rPr>
                <w:lang w:val="en-GB"/>
              </w:rPr>
              <w:t>l</w:t>
            </w:r>
            <w:r w:rsidR="008F7CE8" w:rsidRPr="00D85848">
              <w:rPr>
                <w:lang w:val="en-GB"/>
              </w:rPr>
              <w:t>able)</w:t>
            </w:r>
          </w:p>
        </w:tc>
        <w:tc>
          <w:tcPr>
            <w:tcW w:w="1667" w:type="pct"/>
            <w:tcBorders>
              <w:top w:val="single" w:sz="12" w:space="0" w:color="008000"/>
              <w:bottom w:val="single" w:sz="6" w:space="0" w:color="008000"/>
            </w:tcBorders>
            <w:shd w:val="clear" w:color="auto" w:fill="FFFFFF"/>
            <w:vAlign w:val="center"/>
          </w:tcPr>
          <w:p w14:paraId="678C7D4A" w14:textId="77777777" w:rsidR="008F7CE8" w:rsidRPr="00D85848" w:rsidRDefault="008F7CE8" w:rsidP="00725164">
            <w:pPr>
              <w:pStyle w:val="CETBodytext"/>
              <w:jc w:val="left"/>
              <w:rPr>
                <w:lang w:val="en-GB"/>
              </w:rPr>
            </w:pPr>
            <w:r w:rsidRPr="00D85848">
              <w:rPr>
                <w:lang w:val="en-GB"/>
              </w:rPr>
              <w:t>Approach B</w:t>
            </w:r>
          </w:p>
          <w:p w14:paraId="13AF68B6" w14:textId="77777777" w:rsidR="008F7CE8" w:rsidRPr="00D85848" w:rsidRDefault="008F7CE8" w:rsidP="00725164">
            <w:pPr>
              <w:pStyle w:val="CETBodytext"/>
              <w:jc w:val="left"/>
              <w:rPr>
                <w:lang w:val="en-GB"/>
              </w:rPr>
            </w:pPr>
            <w:r w:rsidRPr="00D85848">
              <w:rPr>
                <w:lang w:val="en-GB"/>
              </w:rPr>
              <w:t>(RfC value)</w:t>
            </w:r>
          </w:p>
        </w:tc>
      </w:tr>
      <w:tr w:rsidR="008F7CE8" w:rsidRPr="00D85848" w14:paraId="61382690" w14:textId="77777777" w:rsidTr="002A323A">
        <w:trPr>
          <w:trHeight w:val="241"/>
        </w:trPr>
        <w:tc>
          <w:tcPr>
            <w:tcW w:w="1333" w:type="pct"/>
            <w:shd w:val="clear" w:color="auto" w:fill="FFFFFF"/>
            <w:vAlign w:val="center"/>
          </w:tcPr>
          <w:p w14:paraId="74C94E42" w14:textId="383B139A" w:rsidR="008F7CE8" w:rsidRPr="0015641C" w:rsidRDefault="0015641C" w:rsidP="00725164">
            <w:pPr>
              <w:pStyle w:val="CETBodytext"/>
              <w:jc w:val="left"/>
              <w:rPr>
                <w:lang w:val="en-GB"/>
              </w:rPr>
            </w:pPr>
            <w:r>
              <w:rPr>
                <w:lang w:val="en-GB"/>
              </w:rPr>
              <w:t>H</w:t>
            </w:r>
            <w:r>
              <w:rPr>
                <w:vertAlign w:val="subscript"/>
                <w:lang w:val="en-GB"/>
              </w:rPr>
              <w:t>2</w:t>
            </w:r>
            <w:r>
              <w:rPr>
                <w:lang w:val="en-GB"/>
              </w:rPr>
              <w:t>S</w:t>
            </w:r>
          </w:p>
        </w:tc>
        <w:tc>
          <w:tcPr>
            <w:tcW w:w="2000" w:type="pct"/>
            <w:shd w:val="clear" w:color="auto" w:fill="FFFFFF"/>
            <w:vAlign w:val="center"/>
          </w:tcPr>
          <w:p w14:paraId="69CC2CC4" w14:textId="69F4ABE4" w:rsidR="008F7CE8" w:rsidRPr="00D85848" w:rsidRDefault="00A775D7" w:rsidP="00A775D7">
            <w:pPr>
              <w:pStyle w:val="CETBodytext"/>
              <w:jc w:val="left"/>
              <w:rPr>
                <w:lang w:val="en-GB"/>
              </w:rPr>
            </w:pPr>
            <w:r>
              <w:rPr>
                <w:lang w:val="en-GB"/>
              </w:rPr>
              <w:t>7</w:t>
            </w:r>
            <w:r w:rsidR="008F7CE8" w:rsidRPr="00D85848">
              <w:rPr>
                <w:lang w:val="en-GB"/>
              </w:rPr>
              <w:t xml:space="preserve"> mg/m</w:t>
            </w:r>
            <w:r w:rsidR="008F7CE8" w:rsidRPr="00D85848">
              <w:rPr>
                <w:vertAlign w:val="superscript"/>
                <w:lang w:val="en-GB"/>
              </w:rPr>
              <w:t xml:space="preserve">3 </w:t>
            </w:r>
            <w:r w:rsidR="008F7CE8" w:rsidRPr="00D85848">
              <w:rPr>
                <w:lang w:val="en-GB"/>
              </w:rPr>
              <w:fldChar w:fldCharType="begin" w:fldLock="1"/>
            </w:r>
            <w:r w:rsidR="00FB22F8">
              <w:rPr>
                <w:lang w:val="en-GB"/>
              </w:rPr>
              <w:instrText>ADDIN CSL_CITATION {"citationItems":[{"id":"ITEM-1","itemData":{"ISBN":"9781607260288","author":[{"dropping-particle":"","family":"ACGIH®","given":"","non-dropping-particle":"","parse-names":false,"suffix":""}],"id":"ITEM-1","issued":{"date-parts":[["2020"]]},"title":"ACGIH® Threshold Limit Values (TLVs®) and Biological Exposure Indices (BEIs®)","type":"book"},"uris":["http://www.mendeley.com/documents/?uuid=1acb72ca-a307-4124-89de-0e0c52f7c5a4"]}],"mendeley":{"formattedCitation":"(ACGIH®, 2020)","manualFormatting":"(ACGIH®, 2020)","plainTextFormattedCitation":"(ACGIH®, 2020)","previouslyFormattedCitation":"(ACGIH®, 2020)"},"properties":{"noteIndex":0},"schema":"https://github.com/citation-style-language/schema/raw/master/csl-citation.json"}</w:instrText>
            </w:r>
            <w:r w:rsidR="008F7CE8" w:rsidRPr="00D85848">
              <w:rPr>
                <w:lang w:val="en-GB"/>
              </w:rPr>
              <w:fldChar w:fldCharType="separate"/>
            </w:r>
            <w:r w:rsidR="008F7CE8" w:rsidRPr="007B78A9">
              <w:rPr>
                <w:noProof/>
                <w:lang w:val="en-GB"/>
              </w:rPr>
              <w:t>(ACGIH®, 2020)</w:t>
            </w:r>
            <w:r w:rsidR="008F7CE8" w:rsidRPr="00D85848">
              <w:rPr>
                <w:lang w:val="en-GB"/>
              </w:rPr>
              <w:fldChar w:fldCharType="end"/>
            </w:r>
          </w:p>
        </w:tc>
        <w:tc>
          <w:tcPr>
            <w:tcW w:w="1667" w:type="pct"/>
            <w:shd w:val="clear" w:color="auto" w:fill="FFFFFF"/>
            <w:vAlign w:val="center"/>
          </w:tcPr>
          <w:p w14:paraId="58DE3F88" w14:textId="45670AD0" w:rsidR="008F7CE8" w:rsidRPr="00D85848" w:rsidRDefault="00A775D7" w:rsidP="00725164">
            <w:pPr>
              <w:pStyle w:val="CETBodytext"/>
              <w:jc w:val="left"/>
              <w:rPr>
                <w:lang w:val="en-GB"/>
              </w:rPr>
            </w:pPr>
            <w:r>
              <w:rPr>
                <w:lang w:val="en-GB"/>
              </w:rPr>
              <w:t>0.002</w:t>
            </w:r>
            <w:r w:rsidR="008F7CE8" w:rsidRPr="00D85848">
              <w:rPr>
                <w:lang w:val="en-GB"/>
              </w:rPr>
              <w:t xml:space="preserve"> mg/m</w:t>
            </w:r>
            <w:r w:rsidR="008F7CE8" w:rsidRPr="00D85848">
              <w:rPr>
                <w:vertAlign w:val="superscript"/>
                <w:lang w:val="en-GB"/>
              </w:rPr>
              <w:t xml:space="preserve">3 </w:t>
            </w:r>
            <w:r w:rsidR="008F7CE8" w:rsidRPr="00D85848">
              <w:rPr>
                <w:lang w:val="en-GB"/>
              </w:rPr>
              <w:t>(RAIS</w:t>
            </w:r>
            <w:r>
              <w:rPr>
                <w:lang w:val="en-GB"/>
              </w:rPr>
              <w:t xml:space="preserve"> software</w:t>
            </w:r>
            <w:r w:rsidR="008F7CE8" w:rsidRPr="00D85848">
              <w:rPr>
                <w:lang w:val="en-GB"/>
              </w:rPr>
              <w:t xml:space="preserve">) </w:t>
            </w:r>
          </w:p>
        </w:tc>
      </w:tr>
    </w:tbl>
    <w:p w14:paraId="422C3A34" w14:textId="77777777" w:rsidR="008F7CE8" w:rsidRPr="00D85848" w:rsidRDefault="008F7CE8" w:rsidP="008F7CE8">
      <w:pPr>
        <w:pStyle w:val="CETnumberingbullets"/>
        <w:numPr>
          <w:ilvl w:val="0"/>
          <w:numId w:val="0"/>
        </w:numPr>
      </w:pPr>
    </w:p>
    <w:p w14:paraId="7FD508AA" w14:textId="77777777" w:rsidR="002A323A" w:rsidRDefault="008F7CE8" w:rsidP="00B3052C">
      <w:pPr>
        <w:pStyle w:val="CETBodytext"/>
      </w:pPr>
      <w:r w:rsidRPr="00D85848">
        <w:t xml:space="preserve">From </w:t>
      </w:r>
      <w:r w:rsidRPr="00D85848">
        <w:fldChar w:fldCharType="begin"/>
      </w:r>
      <w:r w:rsidRPr="00D85848">
        <w:instrText xml:space="preserve"> REF _Ref61809661 \h </w:instrText>
      </w:r>
      <w:r w:rsidR="00B3052C">
        <w:instrText xml:space="preserve"> \* MERGEFORMAT </w:instrText>
      </w:r>
      <w:r w:rsidRPr="00D85848">
        <w:fldChar w:fldCharType="separate"/>
      </w:r>
      <w:r w:rsidR="00057907" w:rsidRPr="00D85848">
        <w:t xml:space="preserve">Table </w:t>
      </w:r>
      <w:r w:rsidR="00057907">
        <w:rPr>
          <w:noProof/>
        </w:rPr>
        <w:t>2</w:t>
      </w:r>
      <w:r w:rsidRPr="00D85848">
        <w:fldChar w:fldCharType="end"/>
      </w:r>
      <w:r w:rsidRPr="00D85848">
        <w:t>,</w:t>
      </w:r>
      <w:r w:rsidR="00A775D7">
        <w:t xml:space="preserve"> it is possible to observe that</w:t>
      </w:r>
      <w:r w:rsidR="0066760A">
        <w:t xml:space="preserve">, </w:t>
      </w:r>
      <w:r w:rsidR="0066760A" w:rsidRPr="0066760A">
        <w:t>as they are conceptually different thresholds</w:t>
      </w:r>
      <w:r w:rsidR="0066760A">
        <w:t>, for the same pollutant</w:t>
      </w:r>
      <w:r w:rsidR="00A775D7">
        <w:t xml:space="preserve"> the </w:t>
      </w:r>
      <w:r w:rsidRPr="00D85848">
        <w:t xml:space="preserve">values </w:t>
      </w:r>
      <w:r w:rsidR="008A7AFE">
        <w:t>applied in the two models</w:t>
      </w:r>
      <w:r w:rsidR="00A775D7">
        <w:t xml:space="preserve"> are </w:t>
      </w:r>
      <w:r w:rsidR="00057907">
        <w:t>significantly</w:t>
      </w:r>
      <w:r w:rsidRPr="00D85848">
        <w:t xml:space="preserve"> different</w:t>
      </w:r>
      <w:r w:rsidR="008A7AFE">
        <w:t xml:space="preserve"> and</w:t>
      </w:r>
      <w:r w:rsidRPr="00D85848">
        <w:t xml:space="preserve"> the selection of </w:t>
      </w:r>
      <w:r w:rsidR="008A7AFE">
        <w:t>one of these two approaches</w:t>
      </w:r>
      <w:r w:rsidRPr="00D85848">
        <w:t xml:space="preserve"> can drastically </w:t>
      </w:r>
      <w:r w:rsidR="00057907">
        <w:t>modify</w:t>
      </w:r>
      <w:r w:rsidRPr="00D85848">
        <w:t xml:space="preserve"> the resul</w:t>
      </w:r>
      <w:r w:rsidR="00A775D7">
        <w:t xml:space="preserve">t of </w:t>
      </w:r>
      <w:r w:rsidR="008A7AFE">
        <w:t xml:space="preserve">the </w:t>
      </w:r>
      <w:r w:rsidR="00A775D7">
        <w:t>toxicological evaluation.</w:t>
      </w:r>
      <w:r w:rsidR="008A7AFE">
        <w:t xml:space="preserve"> </w:t>
      </w:r>
      <w:r w:rsidR="008A7AFE" w:rsidRPr="008A7AFE">
        <w:t xml:space="preserve">It is therefore essential, at </w:t>
      </w:r>
      <w:r w:rsidR="00E35C8A">
        <w:t xml:space="preserve">a </w:t>
      </w:r>
      <w:r w:rsidR="008A7AFE" w:rsidRPr="008A7AFE">
        <w:t xml:space="preserve">regulatory level, to define a </w:t>
      </w:r>
      <w:r w:rsidR="008A7AFE">
        <w:t>uniform</w:t>
      </w:r>
      <w:r w:rsidR="008A7AFE" w:rsidRPr="008A7AFE">
        <w:t xml:space="preserve"> source for the reference concentration to obtain comparable values between different laboratories and samples.</w:t>
      </w:r>
      <w:r w:rsidR="002A323A">
        <w:t xml:space="preserve"> </w:t>
      </w:r>
    </w:p>
    <w:p w14:paraId="1562B33E" w14:textId="00CCC7D0" w:rsidR="00057907" w:rsidRDefault="00057907" w:rsidP="00B3052C">
      <w:pPr>
        <w:pStyle w:val="CETBodytext"/>
      </w:pPr>
      <w:r>
        <w:t xml:space="preserve">A second critical aspect of the two models is correlated to the </w:t>
      </w:r>
      <w:r w:rsidR="005B73BD" w:rsidRPr="00D85848">
        <w:t xml:space="preserve">limited number of reference concentration </w:t>
      </w:r>
      <w:r>
        <w:t xml:space="preserve">data </w:t>
      </w:r>
      <w:r w:rsidR="005B73BD" w:rsidRPr="00D85848">
        <w:t xml:space="preserve">available in </w:t>
      </w:r>
      <w:r>
        <w:t>the suggested</w:t>
      </w:r>
      <w:r w:rsidR="00A33329">
        <w:t xml:space="preserve"> databases</w:t>
      </w:r>
      <w:r w:rsidR="00993B4B" w:rsidRPr="00D85848">
        <w:t xml:space="preserve">. Indeed, </w:t>
      </w:r>
      <w:r w:rsidR="009210C9">
        <w:t xml:space="preserve">none of </w:t>
      </w:r>
      <w:r w:rsidR="008A7AFE">
        <w:t>t</w:t>
      </w:r>
      <w:r w:rsidR="008A7AFE" w:rsidRPr="008A7AFE">
        <w:t>he two models provide</w:t>
      </w:r>
      <w:r w:rsidR="00E35C8A">
        <w:t>s</w:t>
      </w:r>
      <w:r w:rsidR="008A7AFE" w:rsidRPr="008A7AFE">
        <w:t xml:space="preserve"> information on the treatment</w:t>
      </w:r>
      <w:r w:rsidR="008A7AFE">
        <w:t>,</w:t>
      </w:r>
      <w:r w:rsidR="008A7AFE" w:rsidRPr="008A7AFE">
        <w:t xml:space="preserve"> </w:t>
      </w:r>
      <w:r w:rsidR="008A7AFE">
        <w:t>during</w:t>
      </w:r>
      <w:r w:rsidR="008A7AFE" w:rsidRPr="008A7AFE">
        <w:t xml:space="preserve"> the toxicological assessment</w:t>
      </w:r>
      <w:r w:rsidR="008A7AFE">
        <w:t>,</w:t>
      </w:r>
      <w:r w:rsidR="008A7AFE" w:rsidRPr="008A7AFE">
        <w:t xml:space="preserve"> of compounds for which no threshold is</w:t>
      </w:r>
      <w:r w:rsidR="00434498">
        <w:t xml:space="preserve"> present</w:t>
      </w:r>
      <w:r w:rsidR="008A7AFE" w:rsidRPr="008A7AFE">
        <w:t>.</w:t>
      </w:r>
      <w:r w:rsidR="008A7AFE">
        <w:t xml:space="preserve"> </w:t>
      </w:r>
      <w:r w:rsidR="008A7AFE" w:rsidRPr="00D85848">
        <w:t xml:space="preserve">This problem, </w:t>
      </w:r>
      <w:r w:rsidR="009210C9" w:rsidRPr="009210C9">
        <w:t>not explicitly addressed</w:t>
      </w:r>
      <w:r w:rsidR="008A7AFE" w:rsidRPr="00D85848">
        <w:t xml:space="preserve"> in both the approaches, can be critical to evaluate the toxicity of samples characterized by a high number of molecules.</w:t>
      </w:r>
      <w:r w:rsidR="00A775D7">
        <w:t xml:space="preserve"> </w:t>
      </w:r>
      <w:r w:rsidR="00776E69" w:rsidRPr="00D85848">
        <w:t xml:space="preserve">Indeed, </w:t>
      </w:r>
      <w:r w:rsidR="005865AC" w:rsidRPr="00D85848">
        <w:t xml:space="preserve">the absence of a reference value for </w:t>
      </w:r>
      <w:r>
        <w:t>several</w:t>
      </w:r>
      <w:r w:rsidR="005865AC" w:rsidRPr="00D85848">
        <w:t xml:space="preserve"> compounds present in a</w:t>
      </w:r>
      <w:r w:rsidR="004E3735">
        <w:t>n</w:t>
      </w:r>
      <w:r w:rsidR="005865AC" w:rsidRPr="00D85848">
        <w:t xml:space="preserve"> odorous sample may lead to an</w:t>
      </w:r>
      <w:r w:rsidR="006F6536" w:rsidRPr="00D85848">
        <w:t xml:space="preserve"> u</w:t>
      </w:r>
      <w:r w:rsidR="005865AC" w:rsidRPr="00D85848">
        <w:t>nderestimation of the real risk.</w:t>
      </w:r>
      <w:r w:rsidR="001B18D6" w:rsidRPr="00D85848">
        <w:t xml:space="preserve"> </w:t>
      </w:r>
      <w:r>
        <w:t>T</w:t>
      </w:r>
      <w:r w:rsidR="001B18D6" w:rsidRPr="00D85848">
        <w:t xml:space="preserve">o discuss </w:t>
      </w:r>
      <w:r w:rsidR="00A775D7">
        <w:t>this aspect</w:t>
      </w:r>
      <w:r w:rsidR="001B18D6" w:rsidRPr="00D85848">
        <w:t xml:space="preserve">, </w:t>
      </w:r>
      <w:r w:rsidR="00A775D7">
        <w:t>the two models are applied to a real odorous sample. The case study considered in this elaboration is a</w:t>
      </w:r>
      <w:r w:rsidR="00946691">
        <w:t>n oil</w:t>
      </w:r>
      <w:r w:rsidR="00A775D7">
        <w:t xml:space="preserve"> refinery odour sample,</w:t>
      </w:r>
      <w:r w:rsidR="0026294E">
        <w:t xml:space="preserve"> in particular, collected </w:t>
      </w:r>
      <w:r w:rsidR="00FB22F8" w:rsidRPr="00FB22F8">
        <w:t xml:space="preserve">at the </w:t>
      </w:r>
      <w:r w:rsidR="0026294E">
        <w:t>outlet</w:t>
      </w:r>
      <w:r w:rsidR="00FB22F8">
        <w:t xml:space="preserve"> of a</w:t>
      </w:r>
      <w:r w:rsidR="00A775D7">
        <w:t xml:space="preserve"> vapour recovery unit (VRU). </w:t>
      </w:r>
      <w:r w:rsidR="00701F87" w:rsidRPr="00D85848">
        <w:t xml:space="preserve">In </w:t>
      </w:r>
      <w:r w:rsidR="00701F87" w:rsidRPr="00D85848">
        <w:fldChar w:fldCharType="begin"/>
      </w:r>
      <w:r w:rsidR="00701F87" w:rsidRPr="00D85848">
        <w:instrText xml:space="preserve"> REF _Ref61800692 \h </w:instrText>
      </w:r>
      <w:r w:rsidR="00B3052C">
        <w:instrText xml:space="preserve"> \* MERGEFORMAT </w:instrText>
      </w:r>
      <w:r w:rsidR="00701F87" w:rsidRPr="00D85848">
        <w:fldChar w:fldCharType="separate"/>
      </w:r>
      <w:r w:rsidRPr="00D85848">
        <w:t xml:space="preserve">Table </w:t>
      </w:r>
      <w:r>
        <w:rPr>
          <w:noProof/>
        </w:rPr>
        <w:t>3</w:t>
      </w:r>
      <w:r w:rsidR="00701F87" w:rsidRPr="00D85848">
        <w:fldChar w:fldCharType="end"/>
      </w:r>
      <w:r w:rsidR="00701F87" w:rsidRPr="00D85848">
        <w:t xml:space="preserve">, the </w:t>
      </w:r>
      <w:r w:rsidR="00946691">
        <w:t>46</w:t>
      </w:r>
      <w:r w:rsidR="00701F87" w:rsidRPr="00D85848">
        <w:t xml:space="preserve"> observed</w:t>
      </w:r>
      <w:r w:rsidR="00946691">
        <w:t xml:space="preserve"> </w:t>
      </w:r>
      <w:r w:rsidR="00946691" w:rsidRPr="00D85848">
        <w:t>pollutants</w:t>
      </w:r>
      <w:r w:rsidR="00946691">
        <w:t>, via GC-MS</w:t>
      </w:r>
      <w:r w:rsidR="00C43074">
        <w:t>,</w:t>
      </w:r>
      <w:r w:rsidR="00701F87" w:rsidRPr="00D85848">
        <w:t xml:space="preserve"> are </w:t>
      </w:r>
      <w:r>
        <w:t>listed</w:t>
      </w:r>
      <w:r w:rsidR="00A775D7">
        <w:t>:</w:t>
      </w:r>
      <w:r w:rsidR="00F86949">
        <w:t xml:space="preserve"> </w:t>
      </w:r>
      <w:r w:rsidR="00946691" w:rsidRPr="00946691">
        <w:t>for each detected chemical compound, is reported if either model reports a reference value</w:t>
      </w:r>
      <w:r w:rsidR="00946691">
        <w:t>.</w:t>
      </w:r>
    </w:p>
    <w:p w14:paraId="460230D9" w14:textId="0C34C953" w:rsidR="005C36EE" w:rsidRDefault="005C36EE" w:rsidP="005C36EE">
      <w:pPr>
        <w:pStyle w:val="CETBodytext"/>
      </w:pPr>
      <w:r w:rsidRPr="00D85848">
        <w:t xml:space="preserve">As it is shown in </w:t>
      </w:r>
      <w:r w:rsidRPr="00D85848">
        <w:fldChar w:fldCharType="begin"/>
      </w:r>
      <w:r w:rsidRPr="00D85848">
        <w:instrText xml:space="preserve"> REF _Ref61800692 \h </w:instrText>
      </w:r>
      <w:r>
        <w:instrText xml:space="preserve"> \* MERGEFORMAT </w:instrText>
      </w:r>
      <w:r w:rsidRPr="00D85848">
        <w:fldChar w:fldCharType="separate"/>
      </w:r>
      <w:r w:rsidRPr="00D85848">
        <w:t xml:space="preserve">Table </w:t>
      </w:r>
      <w:r>
        <w:rPr>
          <w:noProof/>
        </w:rPr>
        <w:t>3</w:t>
      </w:r>
      <w:r w:rsidRPr="00D85848">
        <w:fldChar w:fldCharType="end"/>
      </w:r>
      <w:r w:rsidRPr="00D85848">
        <w:t xml:space="preserve">, </w:t>
      </w:r>
      <w:r>
        <w:t xml:space="preserve">for </w:t>
      </w:r>
      <w:r w:rsidRPr="00D85848">
        <w:t xml:space="preserve">a large number of compounds (between </w:t>
      </w:r>
      <w:r>
        <w:t>30</w:t>
      </w:r>
      <w:r w:rsidRPr="00D85848">
        <w:t xml:space="preserve"> and 75%</w:t>
      </w:r>
      <w:r>
        <w:t xml:space="preserve"> </w:t>
      </w:r>
      <w:r w:rsidRPr="000D5619">
        <w:t xml:space="preserve">depending on the </w:t>
      </w:r>
      <w:r>
        <w:t>approach</w:t>
      </w:r>
      <w:r w:rsidRPr="000D5619">
        <w:t xml:space="preserve"> applied</w:t>
      </w:r>
      <w:r w:rsidRPr="00D85848">
        <w:t>)</w:t>
      </w:r>
      <w:r>
        <w:t>, a specific</w:t>
      </w:r>
      <w:r w:rsidRPr="00D85848">
        <w:t xml:space="preserve"> </w:t>
      </w:r>
      <w:r>
        <w:t>toxicological threshold for non-carcinogenic effects is not available</w:t>
      </w:r>
      <w:r w:rsidRPr="00D85848">
        <w:t xml:space="preserve">. </w:t>
      </w:r>
      <w:r>
        <w:t>Comparing the two models, Approach A appears, in this case, the more complete, because, using Threshold Limit Values (TLVs) databases, only 14 compounds over 46 don’t present a reference concentration. However</w:t>
      </w:r>
      <w:r w:rsidRPr="00D85848">
        <w:t xml:space="preserve">, </w:t>
      </w:r>
      <w:r>
        <w:t>both the</w:t>
      </w:r>
      <w:r w:rsidRPr="00D85848">
        <w:t xml:space="preserve"> approaches</w:t>
      </w:r>
      <w:r>
        <w:t xml:space="preserve"> neglect</w:t>
      </w:r>
      <w:r w:rsidRPr="00A775D7">
        <w:t xml:space="preserve"> the contribution of these molecules within the assessment</w:t>
      </w:r>
      <w:r>
        <w:t xml:space="preserve"> of </w:t>
      </w:r>
      <w:r w:rsidRPr="00A775D7">
        <w:t>non-carcinogenic risk</w:t>
      </w:r>
      <w:r>
        <w:t xml:space="preserve">. Therefore, </w:t>
      </w:r>
      <w:r w:rsidRPr="00A775D7">
        <w:t xml:space="preserve">it is possible to </w:t>
      </w:r>
      <w:r>
        <w:t>suppose</w:t>
      </w:r>
      <w:r w:rsidRPr="00A775D7">
        <w:t xml:space="preserve"> an underestimation of the real risk for panellists </w:t>
      </w:r>
      <w:r>
        <w:t xml:space="preserve">correlated with </w:t>
      </w:r>
      <w:r w:rsidRPr="00A775D7">
        <w:t>this choice.</w:t>
      </w:r>
      <w:r>
        <w:t xml:space="preserve"> To address this issue, </w:t>
      </w:r>
      <w:r w:rsidRPr="00A775D7">
        <w:t xml:space="preserve">it is possible to preliminarily </w:t>
      </w:r>
      <w:r>
        <w:t>evaluate</w:t>
      </w:r>
      <w:r w:rsidRPr="00A775D7">
        <w:t xml:space="preserve"> the specific contribution</w:t>
      </w:r>
      <w:r>
        <w:t xml:space="preserve"> </w:t>
      </w:r>
      <w:r w:rsidRPr="000D5619">
        <w:t>of each compound on the total concentration of compounds observed in the analysed</w:t>
      </w:r>
      <w:r>
        <w:t xml:space="preserve"> </w:t>
      </w:r>
      <w:r w:rsidRPr="000D5619">
        <w:t>sample</w:t>
      </w:r>
      <w:r>
        <w:t xml:space="preserve">: a comparison between the contribution of single pollutants and the availability of exposure limit was conducted using the more complete approach (Approach A). </w:t>
      </w:r>
    </w:p>
    <w:p w14:paraId="601C3D3B" w14:textId="77777777" w:rsidR="005C36EE" w:rsidRDefault="005C36EE" w:rsidP="005C36EE">
      <w:pPr>
        <w:pStyle w:val="CETBodytext"/>
      </w:pPr>
    </w:p>
    <w:p w14:paraId="6EBD8A80" w14:textId="77777777" w:rsidR="005C36EE" w:rsidRDefault="005C36EE" w:rsidP="005C36EE">
      <w:pPr>
        <w:pStyle w:val="CETnumberingbullets"/>
        <w:numPr>
          <w:ilvl w:val="0"/>
          <w:numId w:val="0"/>
        </w:numPr>
      </w:pPr>
      <w:r>
        <w:rPr>
          <w:noProof/>
          <w:lang w:val="it-IT" w:eastAsia="it-IT"/>
        </w:rPr>
        <w:drawing>
          <wp:inline distT="0" distB="0" distL="0" distR="0" wp14:anchorId="148AF947" wp14:editId="39891ABF">
            <wp:extent cx="5545218" cy="1631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 vru autobotti_immagine.png"/>
                    <pic:cNvPicPr/>
                  </pic:nvPicPr>
                  <pic:blipFill rotWithShape="1">
                    <a:blip r:embed="rId10">
                      <a:extLst>
                        <a:ext uri="{28A0092B-C50C-407E-A947-70E740481C1C}">
                          <a14:useLocalDpi xmlns:a14="http://schemas.microsoft.com/office/drawing/2010/main" val="0"/>
                        </a:ext>
                      </a:extLst>
                    </a:blip>
                    <a:srcRect l="-1" r="-1"/>
                    <a:stretch/>
                  </pic:blipFill>
                  <pic:spPr>
                    <a:xfrm>
                      <a:off x="0" y="0"/>
                      <a:ext cx="5609370" cy="1650830"/>
                    </a:xfrm>
                    <a:prstGeom prst="rect">
                      <a:avLst/>
                    </a:prstGeom>
                  </pic:spPr>
                </pic:pic>
              </a:graphicData>
            </a:graphic>
          </wp:inline>
        </w:drawing>
      </w:r>
    </w:p>
    <w:p w14:paraId="787751D3" w14:textId="77777777" w:rsidR="005C36EE" w:rsidRPr="000D5619" w:rsidRDefault="005C36EE" w:rsidP="005C36EE">
      <w:pPr>
        <w:pStyle w:val="CETCaption"/>
        <w:jc w:val="left"/>
      </w:pPr>
      <w:bookmarkStart w:id="3" w:name="_Ref62624716"/>
      <w:r w:rsidRPr="000D5619">
        <w:t xml:space="preserve">Figure </w:t>
      </w:r>
      <w:r w:rsidRPr="000D5619">
        <w:fldChar w:fldCharType="begin"/>
      </w:r>
      <w:r w:rsidRPr="000D5619">
        <w:instrText xml:space="preserve"> SEQ Figure \* ARABIC </w:instrText>
      </w:r>
      <w:r w:rsidRPr="000D5619">
        <w:fldChar w:fldCharType="separate"/>
      </w:r>
      <w:r w:rsidRPr="000D5619">
        <w:t>1</w:t>
      </w:r>
      <w:r w:rsidRPr="000D5619">
        <w:fldChar w:fldCharType="end"/>
      </w:r>
      <w:bookmarkEnd w:id="3"/>
      <w:r>
        <w:t>:</w:t>
      </w:r>
      <w:r w:rsidRPr="000D5619">
        <w:t xml:space="preserve"> Chromatogram of real</w:t>
      </w:r>
      <w:r>
        <w:t>-case</w:t>
      </w:r>
      <w:r w:rsidRPr="000D5619">
        <w:t xml:space="preserve"> refinery odorous sample</w:t>
      </w:r>
      <w:r>
        <w:t xml:space="preserve"> - </w:t>
      </w:r>
      <w:r w:rsidRPr="0064153F">
        <w:t>peaks of compounds with a</w:t>
      </w:r>
      <w:r>
        <w:t>n</w:t>
      </w:r>
      <w:r w:rsidRPr="0064153F">
        <w:t xml:space="preserve"> </w:t>
      </w:r>
      <w:r w:rsidRPr="00FB22F8">
        <w:t>exposure limit</w:t>
      </w:r>
      <w:r>
        <w:t xml:space="preserve"> are</w:t>
      </w:r>
      <w:r w:rsidRPr="0064153F">
        <w:t xml:space="preserve"> highlighted in green</w:t>
      </w:r>
      <w:r>
        <w:t xml:space="preserve"> and p</w:t>
      </w:r>
      <w:r w:rsidRPr="00FB22F8">
        <w:t>eaks of compounds without a threshold</w:t>
      </w:r>
      <w:r>
        <w:t xml:space="preserve"> are </w:t>
      </w:r>
      <w:r w:rsidRPr="00FB22F8">
        <w:t>displayed in red</w:t>
      </w:r>
      <w:r>
        <w:t>, in respect of the Approach A.</w:t>
      </w:r>
    </w:p>
    <w:p w14:paraId="0C568874" w14:textId="77777777" w:rsidR="005C36EE" w:rsidRPr="005C36EE" w:rsidRDefault="005C36EE" w:rsidP="005C36EE">
      <w:pPr>
        <w:pStyle w:val="CETBodytext"/>
        <w:rPr>
          <w:lang w:val="en-GB"/>
        </w:rPr>
      </w:pPr>
    </w:p>
    <w:p w14:paraId="4B1A2B76" w14:textId="77777777" w:rsidR="005C36EE" w:rsidRDefault="005C36EE" w:rsidP="00B3052C">
      <w:pPr>
        <w:pStyle w:val="CETBodytext"/>
      </w:pPr>
    </w:p>
    <w:p w14:paraId="1A098F0D" w14:textId="10081AA5" w:rsidR="00701F87" w:rsidRPr="00D85848" w:rsidRDefault="00701F87" w:rsidP="00701F87">
      <w:pPr>
        <w:pStyle w:val="CETTabletitle"/>
      </w:pPr>
      <w:bookmarkStart w:id="4" w:name="_Ref61800692"/>
      <w:r w:rsidRPr="00D85848">
        <w:lastRenderedPageBreak/>
        <w:t xml:space="preserve">Table </w:t>
      </w:r>
      <w:r w:rsidRPr="00D85848">
        <w:fldChar w:fldCharType="begin"/>
      </w:r>
      <w:r w:rsidRPr="00D85848">
        <w:instrText xml:space="preserve"> SEQ Table \* ARABIC </w:instrText>
      </w:r>
      <w:r w:rsidRPr="00D85848">
        <w:fldChar w:fldCharType="separate"/>
      </w:r>
      <w:r w:rsidR="00057907">
        <w:rPr>
          <w:noProof/>
        </w:rPr>
        <w:t>3</w:t>
      </w:r>
      <w:r w:rsidRPr="00D85848">
        <w:fldChar w:fldCharType="end"/>
      </w:r>
      <w:bookmarkEnd w:id="4"/>
      <w:r w:rsidRPr="00D85848">
        <w:t xml:space="preserve">: </w:t>
      </w:r>
      <w:r w:rsidR="005E3A4B" w:rsidRPr="00D85848">
        <w:t>Application of</w:t>
      </w:r>
      <w:r w:rsidR="00AA63E6">
        <w:t xml:space="preserve"> the</w:t>
      </w:r>
      <w:r w:rsidR="005E3A4B" w:rsidRPr="00D85848">
        <w:t xml:space="preserve"> two literature approach</w:t>
      </w:r>
      <w:r w:rsidR="00AA63E6">
        <w:t>es</w:t>
      </w:r>
      <w:r w:rsidR="005E3A4B" w:rsidRPr="00D85848">
        <w:t xml:space="preserve"> to real</w:t>
      </w:r>
      <w:r w:rsidR="00EB09B7">
        <w:t>-case</w:t>
      </w:r>
      <w:r w:rsidR="005E3A4B" w:rsidRPr="00D85848">
        <w:t xml:space="preserve"> refinery odorous sample</w:t>
      </w:r>
      <w:r w:rsidR="0064153F">
        <w:t xml:space="preserve"> for the evaluation of non-carcinogenic effects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766"/>
        <w:gridCol w:w="2511"/>
        <w:gridCol w:w="2510"/>
      </w:tblGrid>
      <w:tr w:rsidR="00B3052C" w:rsidRPr="00B3052C" w14:paraId="4FBF39B3" w14:textId="77777777" w:rsidTr="00B3052C">
        <w:trPr>
          <w:tblHeader/>
        </w:trPr>
        <w:tc>
          <w:tcPr>
            <w:tcW w:w="2143" w:type="pct"/>
            <w:tcBorders>
              <w:top w:val="single" w:sz="12" w:space="0" w:color="008000"/>
              <w:bottom w:val="single" w:sz="6" w:space="0" w:color="008000"/>
            </w:tcBorders>
            <w:shd w:val="clear" w:color="auto" w:fill="FFFFFF"/>
            <w:vAlign w:val="center"/>
          </w:tcPr>
          <w:p w14:paraId="7BC1B5F8" w14:textId="0DDC37FB" w:rsidR="00B3052C" w:rsidRPr="00B3052C" w:rsidRDefault="00B3052C" w:rsidP="002A15B0">
            <w:pPr>
              <w:pStyle w:val="CETBodytext"/>
              <w:jc w:val="left"/>
              <w:rPr>
                <w:rFonts w:cs="Arial"/>
                <w:szCs w:val="18"/>
                <w:lang w:val="en-GB"/>
              </w:rPr>
            </w:pPr>
            <w:r w:rsidRPr="00B3052C">
              <w:rPr>
                <w:rFonts w:cs="Arial"/>
                <w:szCs w:val="18"/>
                <w:lang w:val="en-GB"/>
              </w:rPr>
              <w:t xml:space="preserve">Compound </w:t>
            </w:r>
          </w:p>
        </w:tc>
        <w:tc>
          <w:tcPr>
            <w:tcW w:w="1429" w:type="pct"/>
            <w:tcBorders>
              <w:top w:val="single" w:sz="12" w:space="0" w:color="008000"/>
              <w:bottom w:val="single" w:sz="6" w:space="0" w:color="008000"/>
            </w:tcBorders>
            <w:shd w:val="clear" w:color="auto" w:fill="FFFFFF"/>
            <w:vAlign w:val="center"/>
          </w:tcPr>
          <w:p w14:paraId="40F3F497" w14:textId="77777777" w:rsidR="00B3052C" w:rsidRPr="00B3052C" w:rsidRDefault="00B3052C" w:rsidP="008A7AFE">
            <w:pPr>
              <w:pStyle w:val="CETBodytext"/>
              <w:jc w:val="center"/>
              <w:rPr>
                <w:rFonts w:cs="Arial"/>
                <w:szCs w:val="18"/>
                <w:lang w:val="en-GB"/>
              </w:rPr>
            </w:pPr>
            <w:r w:rsidRPr="00B3052C">
              <w:rPr>
                <w:rFonts w:cs="Arial"/>
                <w:szCs w:val="18"/>
                <w:lang w:val="en-GB"/>
              </w:rPr>
              <w:t xml:space="preserve">Approach A </w:t>
            </w:r>
          </w:p>
          <w:p w14:paraId="249C5315" w14:textId="3EFE684C" w:rsidR="00B3052C" w:rsidRPr="00B3052C" w:rsidRDefault="00B3052C" w:rsidP="008A7AFE">
            <w:pPr>
              <w:pStyle w:val="CETBodytext"/>
              <w:jc w:val="center"/>
              <w:rPr>
                <w:rFonts w:cs="Arial"/>
                <w:szCs w:val="18"/>
                <w:lang w:val="en-GB"/>
              </w:rPr>
            </w:pPr>
            <w:r w:rsidRPr="00B3052C">
              <w:rPr>
                <w:rFonts w:cs="Arial"/>
                <w:noProof/>
                <w:szCs w:val="18"/>
              </w:rPr>
              <w:t>(Davoli et al., 2012)</w:t>
            </w:r>
            <w:r w:rsidRPr="00B3052C">
              <w:rPr>
                <w:rFonts w:cs="Arial"/>
                <w:szCs w:val="18"/>
                <w:lang w:val="en-GB"/>
              </w:rPr>
              <w:br/>
              <w:t>TLV value available</w:t>
            </w:r>
          </w:p>
        </w:tc>
        <w:tc>
          <w:tcPr>
            <w:tcW w:w="1428" w:type="pct"/>
            <w:tcBorders>
              <w:top w:val="single" w:sz="12" w:space="0" w:color="008000"/>
              <w:bottom w:val="single" w:sz="6" w:space="0" w:color="008000"/>
            </w:tcBorders>
            <w:shd w:val="clear" w:color="auto" w:fill="FFFFFF"/>
            <w:vAlign w:val="center"/>
          </w:tcPr>
          <w:p w14:paraId="13971DBA" w14:textId="77777777" w:rsidR="00B3052C" w:rsidRPr="00B3052C" w:rsidRDefault="00B3052C" w:rsidP="00F82522">
            <w:pPr>
              <w:pStyle w:val="CETBodytext"/>
              <w:ind w:right="-1"/>
              <w:jc w:val="center"/>
              <w:rPr>
                <w:rFonts w:cs="Arial"/>
                <w:szCs w:val="18"/>
                <w:lang w:val="en-GB"/>
              </w:rPr>
            </w:pPr>
            <w:r w:rsidRPr="00B3052C">
              <w:rPr>
                <w:rFonts w:cs="Arial"/>
                <w:szCs w:val="18"/>
                <w:lang w:val="en-GB"/>
              </w:rPr>
              <w:t xml:space="preserve">Approach B </w:t>
            </w:r>
          </w:p>
          <w:p w14:paraId="27F4EE70" w14:textId="37A4C940" w:rsidR="00B3052C" w:rsidRPr="00B3052C" w:rsidRDefault="00B3052C" w:rsidP="00F82522">
            <w:pPr>
              <w:pStyle w:val="CETBodytext"/>
              <w:ind w:right="-1"/>
              <w:jc w:val="center"/>
              <w:rPr>
                <w:rFonts w:cs="Arial"/>
                <w:szCs w:val="18"/>
                <w:lang w:val="en-GB"/>
              </w:rPr>
            </w:pPr>
            <w:r w:rsidRPr="00B3052C">
              <w:rPr>
                <w:rFonts w:cs="Arial"/>
                <w:szCs w:val="18"/>
                <w:lang w:val="en-GB"/>
              </w:rPr>
              <w:fldChar w:fldCharType="begin" w:fldLock="1"/>
            </w:r>
            <w:r w:rsidR="00FB22F8">
              <w:rPr>
                <w:rFonts w:cs="Arial"/>
                <w:szCs w:val="18"/>
                <w:lang w:val="en-GB"/>
              </w:rPr>
              <w:instrText>ADDIN CSL_CITATION {"citationItems":[{"id":"ITEM-1","itemData":{"DOI":"10.3303/CET1654003","ISSN":"22839216","abstract":"The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author":[{"dropping-particle":"","family":"Davoli","given":"Enrico","non-dropping-particle":"","parse-names":false,"suffix":""},{"dropping-particle":"","family":"Zuccato","given":"Ettore","non-dropping-particle":"","parse-names":false,"suffix":""},{"dropping-particle":"","family":"Bianchi","given":"Giancarlo","non-dropping-particle":"","parse-names":false,"suffix":""},{"dropping-particle":"","family":"Grande","given":"Massimiliano","non-dropping-particle":"Il","parse-names":false,"suffix":""},{"dropping-particle":"","family":"Bonati","given":"Simone","non-dropping-particle":"","parse-names":false,"suffix":""},{"dropping-particle":"","family":"Rossi","given":"Andrea N.","non-dropping-particle":"","parse-names":false,"suffix":""},{"dropping-particle":"","family":"Porporato","given":"Clemente","non-dropping-particle":"","parse-names":false,"suffix":""},{"dropping-particle":"","family":"Pereno","given":"Massimiliano","non-dropping-particle":"","parse-names":false,"suffix":""},{"dropping-particle":"","family":"Soldati","given":"Simona","non-dropping-particle":"","parse-names":false,"suffix":""}],"container-title":"Chemical Engineering Transactions","id":"ITEM-1","issued":{"date-parts":[["2016"]]},"page":"13-18","publisher":"Italian Association of Chemical Engineering - AIDIC","title":"Dynamic olfactometry and sample toxicity. a case study for a MSW incinerator odour assessment project","type":"article-journal","volume":"54"},"uris":["http://www.mendeley.com/documents/?uuid=c27407bf-581e-3017-b3e5-96732036febb"]}],"mendeley":{"formattedCitation":"(Davoli et al., 2016)","plainTextFormattedCitation":"(Davoli et al., 2016)","previouslyFormattedCitation":"(Davoli et al., 2016)"},"properties":{"noteIndex":0},"schema":"https://github.com/citation-style-language/schema/raw/master/csl-citation.json"}</w:instrText>
            </w:r>
            <w:r w:rsidRPr="00B3052C">
              <w:rPr>
                <w:rFonts w:cs="Arial"/>
                <w:szCs w:val="18"/>
                <w:lang w:val="en-GB"/>
              </w:rPr>
              <w:fldChar w:fldCharType="separate"/>
            </w:r>
            <w:r w:rsidR="00FB22F8" w:rsidRPr="00FB22F8">
              <w:rPr>
                <w:rFonts w:cs="Arial"/>
                <w:noProof/>
                <w:szCs w:val="18"/>
                <w:lang w:val="en-GB"/>
              </w:rPr>
              <w:t>(Davoli et al., 2016)</w:t>
            </w:r>
            <w:r w:rsidRPr="00B3052C">
              <w:rPr>
                <w:rFonts w:cs="Arial"/>
                <w:szCs w:val="18"/>
                <w:lang w:val="en-GB"/>
              </w:rPr>
              <w:fldChar w:fldCharType="end"/>
            </w:r>
          </w:p>
          <w:p w14:paraId="67AE06F8" w14:textId="275C2125" w:rsidR="00B3052C" w:rsidRPr="00B3052C" w:rsidRDefault="00B3052C" w:rsidP="00F82522">
            <w:pPr>
              <w:pStyle w:val="CETBodytext"/>
              <w:ind w:right="-1"/>
              <w:jc w:val="center"/>
              <w:rPr>
                <w:rFonts w:cs="Arial"/>
                <w:szCs w:val="18"/>
                <w:lang w:val="en-GB"/>
              </w:rPr>
            </w:pPr>
            <w:r w:rsidRPr="00B3052C">
              <w:rPr>
                <w:rFonts w:cs="Arial"/>
                <w:szCs w:val="18"/>
                <w:lang w:val="en-GB"/>
              </w:rPr>
              <w:t>RfC value available</w:t>
            </w:r>
          </w:p>
        </w:tc>
      </w:tr>
      <w:tr w:rsidR="00B3052C" w:rsidRPr="00B3052C" w14:paraId="1961C3E9" w14:textId="77777777" w:rsidTr="00B3052C">
        <w:tc>
          <w:tcPr>
            <w:tcW w:w="2143" w:type="pct"/>
            <w:shd w:val="clear" w:color="auto" w:fill="FFFFFF"/>
            <w:vAlign w:val="bottom"/>
          </w:tcPr>
          <w:p w14:paraId="76155846" w14:textId="5914D59E" w:rsidR="00B3052C" w:rsidRPr="00B3052C" w:rsidRDefault="00B3052C" w:rsidP="008F7CE8">
            <w:pPr>
              <w:pStyle w:val="CETBodytext"/>
              <w:jc w:val="left"/>
              <w:rPr>
                <w:rFonts w:cs="Arial"/>
                <w:szCs w:val="18"/>
                <w:lang w:val="en-GB"/>
              </w:rPr>
            </w:pPr>
            <w:r w:rsidRPr="00B3052C">
              <w:rPr>
                <w:rFonts w:cs="Arial"/>
                <w:color w:val="000000"/>
                <w:szCs w:val="18"/>
              </w:rPr>
              <w:t>Propane</w:t>
            </w:r>
          </w:p>
        </w:tc>
        <w:tc>
          <w:tcPr>
            <w:tcW w:w="1429" w:type="pct"/>
            <w:shd w:val="clear" w:color="auto" w:fill="FFFFFF"/>
            <w:vAlign w:val="bottom"/>
          </w:tcPr>
          <w:p w14:paraId="0D4C5854" w14:textId="31996AE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978FA79" w14:textId="65A6F94E"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2B79218" w14:textId="77777777" w:rsidTr="00B3052C">
        <w:tc>
          <w:tcPr>
            <w:tcW w:w="2143" w:type="pct"/>
            <w:shd w:val="clear" w:color="auto" w:fill="FFFFFF"/>
            <w:vAlign w:val="bottom"/>
          </w:tcPr>
          <w:p w14:paraId="3E26B87C" w14:textId="0F53FDD2" w:rsidR="00B3052C" w:rsidRPr="00B3052C" w:rsidRDefault="00B3052C" w:rsidP="008F7CE8">
            <w:pPr>
              <w:pStyle w:val="CETBodytext"/>
              <w:jc w:val="left"/>
              <w:rPr>
                <w:rFonts w:cs="Arial"/>
                <w:szCs w:val="18"/>
                <w:lang w:val="en-GB"/>
              </w:rPr>
            </w:pPr>
            <w:r w:rsidRPr="00B3052C">
              <w:rPr>
                <w:rFonts w:cs="Arial"/>
                <w:color w:val="000000"/>
                <w:szCs w:val="18"/>
              </w:rPr>
              <w:t xml:space="preserve">Butane, 2-methyl- </w:t>
            </w:r>
          </w:p>
        </w:tc>
        <w:tc>
          <w:tcPr>
            <w:tcW w:w="1429" w:type="pct"/>
            <w:shd w:val="clear" w:color="auto" w:fill="FFFFFF"/>
            <w:vAlign w:val="bottom"/>
          </w:tcPr>
          <w:p w14:paraId="48325AE6" w14:textId="51B719EC"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ED5FF7F" w14:textId="786A64D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5E46265C" w14:textId="77777777" w:rsidTr="00B3052C">
        <w:tc>
          <w:tcPr>
            <w:tcW w:w="2143" w:type="pct"/>
            <w:shd w:val="clear" w:color="auto" w:fill="FFFFFF"/>
            <w:vAlign w:val="bottom"/>
          </w:tcPr>
          <w:p w14:paraId="67FF7F4B" w14:textId="243D1897" w:rsidR="00B3052C" w:rsidRPr="00B3052C" w:rsidRDefault="00B3052C" w:rsidP="008F7CE8">
            <w:pPr>
              <w:pStyle w:val="CETBodytext"/>
              <w:jc w:val="left"/>
              <w:rPr>
                <w:rFonts w:cs="Arial"/>
                <w:szCs w:val="18"/>
                <w:lang w:val="en-GB"/>
              </w:rPr>
            </w:pPr>
            <w:r w:rsidRPr="00B3052C">
              <w:rPr>
                <w:rFonts w:cs="Arial"/>
                <w:color w:val="000000"/>
                <w:szCs w:val="18"/>
              </w:rPr>
              <w:t xml:space="preserve">Pentane, 2-methyl- </w:t>
            </w:r>
          </w:p>
        </w:tc>
        <w:tc>
          <w:tcPr>
            <w:tcW w:w="1429" w:type="pct"/>
            <w:shd w:val="clear" w:color="auto" w:fill="FFFFFF"/>
            <w:vAlign w:val="bottom"/>
          </w:tcPr>
          <w:p w14:paraId="10F12026" w14:textId="24ABCB2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D6B0908" w14:textId="6D9E3804"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1C5ADABE" w14:textId="77777777" w:rsidTr="00B3052C">
        <w:tc>
          <w:tcPr>
            <w:tcW w:w="2143" w:type="pct"/>
            <w:shd w:val="clear" w:color="auto" w:fill="FFFFFF"/>
            <w:vAlign w:val="bottom"/>
          </w:tcPr>
          <w:p w14:paraId="013BE650" w14:textId="56E50E47" w:rsidR="00B3052C" w:rsidRPr="00B3052C" w:rsidRDefault="00B3052C" w:rsidP="008F7CE8">
            <w:pPr>
              <w:pStyle w:val="CETBodytext"/>
              <w:jc w:val="left"/>
              <w:rPr>
                <w:rFonts w:cs="Arial"/>
                <w:szCs w:val="18"/>
                <w:lang w:val="en-GB"/>
              </w:rPr>
            </w:pPr>
            <w:r w:rsidRPr="00B3052C">
              <w:rPr>
                <w:rFonts w:cs="Arial"/>
                <w:color w:val="000000"/>
                <w:szCs w:val="18"/>
              </w:rPr>
              <w:t xml:space="preserve">Pentane, 3-methyl- </w:t>
            </w:r>
          </w:p>
        </w:tc>
        <w:tc>
          <w:tcPr>
            <w:tcW w:w="1429" w:type="pct"/>
            <w:shd w:val="clear" w:color="auto" w:fill="FFFFFF"/>
            <w:vAlign w:val="bottom"/>
          </w:tcPr>
          <w:p w14:paraId="65FB3DBB" w14:textId="69D7D3E8"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727C0F10" w14:textId="17E95F33"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FA488CA" w14:textId="77777777" w:rsidTr="00B3052C">
        <w:tc>
          <w:tcPr>
            <w:tcW w:w="2143" w:type="pct"/>
            <w:shd w:val="clear" w:color="auto" w:fill="FFFFFF"/>
            <w:vAlign w:val="bottom"/>
          </w:tcPr>
          <w:p w14:paraId="05E3B34B" w14:textId="2C61A731" w:rsidR="00B3052C" w:rsidRPr="00B3052C" w:rsidRDefault="00B3052C" w:rsidP="008F7CE8">
            <w:pPr>
              <w:pStyle w:val="CETBodytext"/>
              <w:jc w:val="left"/>
              <w:rPr>
                <w:rFonts w:cs="Arial"/>
                <w:szCs w:val="18"/>
                <w:lang w:val="en-GB"/>
              </w:rPr>
            </w:pPr>
            <w:r w:rsidRPr="00B3052C">
              <w:rPr>
                <w:rFonts w:cs="Arial"/>
                <w:color w:val="000000"/>
                <w:szCs w:val="18"/>
              </w:rPr>
              <w:t xml:space="preserve">1-Pentene, 2-methyl- </w:t>
            </w:r>
          </w:p>
        </w:tc>
        <w:tc>
          <w:tcPr>
            <w:tcW w:w="1429" w:type="pct"/>
            <w:shd w:val="clear" w:color="auto" w:fill="FFFFFF"/>
            <w:vAlign w:val="bottom"/>
          </w:tcPr>
          <w:p w14:paraId="461D7053" w14:textId="6EF5DAE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726B0B7C" w14:textId="68DCA72A"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6FC9054E" w14:textId="77777777" w:rsidTr="00B3052C">
        <w:tc>
          <w:tcPr>
            <w:tcW w:w="2143" w:type="pct"/>
            <w:shd w:val="clear" w:color="auto" w:fill="FFFFFF"/>
            <w:vAlign w:val="bottom"/>
          </w:tcPr>
          <w:p w14:paraId="4EBDA35E" w14:textId="3957BDC5" w:rsidR="00B3052C" w:rsidRPr="00B3052C" w:rsidRDefault="00B3052C" w:rsidP="008F7CE8">
            <w:pPr>
              <w:pStyle w:val="CETBodytext"/>
              <w:jc w:val="left"/>
              <w:rPr>
                <w:rFonts w:cs="Arial"/>
                <w:szCs w:val="18"/>
                <w:lang w:val="en-GB"/>
              </w:rPr>
            </w:pPr>
            <w:r w:rsidRPr="00B3052C">
              <w:rPr>
                <w:rFonts w:cs="Arial"/>
                <w:color w:val="000000"/>
                <w:szCs w:val="18"/>
              </w:rPr>
              <w:t xml:space="preserve">n-Hexane </w:t>
            </w:r>
          </w:p>
        </w:tc>
        <w:tc>
          <w:tcPr>
            <w:tcW w:w="1429" w:type="pct"/>
            <w:shd w:val="clear" w:color="auto" w:fill="FFFFFF"/>
            <w:vAlign w:val="bottom"/>
          </w:tcPr>
          <w:p w14:paraId="63BD3493" w14:textId="7405D3D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6C96C9CF" w14:textId="1E9CDA4A"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6814D1DF" w14:textId="77777777" w:rsidTr="00B3052C">
        <w:tc>
          <w:tcPr>
            <w:tcW w:w="2143" w:type="pct"/>
            <w:shd w:val="clear" w:color="auto" w:fill="FFFFFF"/>
            <w:vAlign w:val="bottom"/>
          </w:tcPr>
          <w:p w14:paraId="4F0CE740" w14:textId="76180687" w:rsidR="00B3052C" w:rsidRPr="00B3052C" w:rsidRDefault="00B3052C" w:rsidP="008F7CE8">
            <w:pPr>
              <w:pStyle w:val="CETBodytext"/>
              <w:jc w:val="left"/>
              <w:rPr>
                <w:rFonts w:cs="Arial"/>
                <w:szCs w:val="18"/>
                <w:lang w:val="en-GB"/>
              </w:rPr>
            </w:pPr>
            <w:r w:rsidRPr="00B3052C">
              <w:rPr>
                <w:rFonts w:cs="Arial"/>
                <w:color w:val="000000"/>
                <w:szCs w:val="18"/>
              </w:rPr>
              <w:t xml:space="preserve">2-Propanol, 2-methyl- </w:t>
            </w:r>
          </w:p>
        </w:tc>
        <w:tc>
          <w:tcPr>
            <w:tcW w:w="1429" w:type="pct"/>
            <w:shd w:val="clear" w:color="auto" w:fill="FFFFFF"/>
            <w:vAlign w:val="bottom"/>
          </w:tcPr>
          <w:p w14:paraId="37C38EDD" w14:textId="026F140A"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644C8EF2" w14:textId="7A607E3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685395B4" w14:textId="77777777" w:rsidTr="00B3052C">
        <w:tc>
          <w:tcPr>
            <w:tcW w:w="2143" w:type="pct"/>
            <w:shd w:val="clear" w:color="auto" w:fill="FFFFFF"/>
            <w:vAlign w:val="bottom"/>
          </w:tcPr>
          <w:p w14:paraId="49FC2882" w14:textId="12BF72B0" w:rsidR="00B3052C" w:rsidRPr="00B3052C" w:rsidRDefault="00B3052C" w:rsidP="008F7CE8">
            <w:pPr>
              <w:pStyle w:val="CETBodytext"/>
              <w:jc w:val="left"/>
              <w:rPr>
                <w:rFonts w:cs="Arial"/>
                <w:szCs w:val="18"/>
                <w:lang w:val="en-GB"/>
              </w:rPr>
            </w:pPr>
            <w:r w:rsidRPr="00B3052C">
              <w:rPr>
                <w:rFonts w:cs="Arial"/>
                <w:color w:val="000000"/>
                <w:szCs w:val="18"/>
              </w:rPr>
              <w:t xml:space="preserve">Pentane, 2,4-dimethyl- </w:t>
            </w:r>
          </w:p>
        </w:tc>
        <w:tc>
          <w:tcPr>
            <w:tcW w:w="1429" w:type="pct"/>
            <w:shd w:val="clear" w:color="auto" w:fill="FFFFFF"/>
            <w:vAlign w:val="bottom"/>
          </w:tcPr>
          <w:p w14:paraId="5934FAC3" w14:textId="62D7528F"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6084F90F" w14:textId="7987207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701FF506" w14:textId="77777777" w:rsidTr="00B3052C">
        <w:tc>
          <w:tcPr>
            <w:tcW w:w="2143" w:type="pct"/>
            <w:shd w:val="clear" w:color="auto" w:fill="FFFFFF"/>
            <w:vAlign w:val="bottom"/>
          </w:tcPr>
          <w:p w14:paraId="5057BCB7" w14:textId="559F9756" w:rsidR="00B3052C" w:rsidRPr="00B3052C" w:rsidRDefault="00B3052C" w:rsidP="008F7CE8">
            <w:pPr>
              <w:pStyle w:val="CETBodytext"/>
              <w:jc w:val="left"/>
              <w:rPr>
                <w:rFonts w:cs="Arial"/>
                <w:szCs w:val="18"/>
                <w:lang w:val="en-GB"/>
              </w:rPr>
            </w:pPr>
            <w:r w:rsidRPr="00B3052C">
              <w:rPr>
                <w:rFonts w:cs="Arial"/>
                <w:color w:val="000000"/>
                <w:szCs w:val="18"/>
              </w:rPr>
              <w:t xml:space="preserve">1,3-Dioxolane, 2-methyl- </w:t>
            </w:r>
          </w:p>
        </w:tc>
        <w:tc>
          <w:tcPr>
            <w:tcW w:w="1429" w:type="pct"/>
            <w:shd w:val="clear" w:color="auto" w:fill="FFFFFF"/>
            <w:vAlign w:val="bottom"/>
          </w:tcPr>
          <w:p w14:paraId="1456C83C" w14:textId="4FF5AAB5"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604C748B" w14:textId="1EA2B933"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E094E45" w14:textId="77777777" w:rsidTr="00B3052C">
        <w:tc>
          <w:tcPr>
            <w:tcW w:w="2143" w:type="pct"/>
            <w:shd w:val="clear" w:color="auto" w:fill="FFFFFF"/>
            <w:vAlign w:val="bottom"/>
          </w:tcPr>
          <w:p w14:paraId="02484E7B" w14:textId="667DB06E" w:rsidR="00B3052C" w:rsidRPr="00B3052C" w:rsidRDefault="00B3052C" w:rsidP="008F7CE8">
            <w:pPr>
              <w:pStyle w:val="CETBodytext"/>
              <w:jc w:val="left"/>
              <w:rPr>
                <w:rFonts w:cs="Arial"/>
                <w:szCs w:val="18"/>
                <w:lang w:val="en-GB"/>
              </w:rPr>
            </w:pPr>
            <w:r w:rsidRPr="00B3052C">
              <w:rPr>
                <w:rFonts w:cs="Arial"/>
                <w:color w:val="000000"/>
                <w:szCs w:val="18"/>
              </w:rPr>
              <w:t xml:space="preserve">Hexane, 2-methyl- </w:t>
            </w:r>
          </w:p>
        </w:tc>
        <w:tc>
          <w:tcPr>
            <w:tcW w:w="1429" w:type="pct"/>
            <w:shd w:val="clear" w:color="auto" w:fill="FFFFFF"/>
            <w:vAlign w:val="bottom"/>
          </w:tcPr>
          <w:p w14:paraId="718A7CEC" w14:textId="63A78C0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68E75734" w14:textId="2DB3D2B8"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719172EA" w14:textId="77777777" w:rsidTr="00B3052C">
        <w:tc>
          <w:tcPr>
            <w:tcW w:w="2143" w:type="pct"/>
            <w:shd w:val="clear" w:color="auto" w:fill="FFFFFF"/>
            <w:vAlign w:val="bottom"/>
          </w:tcPr>
          <w:p w14:paraId="5B0B63CB" w14:textId="7EE66544" w:rsidR="00B3052C" w:rsidRPr="00B3052C" w:rsidRDefault="00B3052C" w:rsidP="008F7CE8">
            <w:pPr>
              <w:pStyle w:val="CETBodytext"/>
              <w:jc w:val="left"/>
              <w:rPr>
                <w:rFonts w:cs="Arial"/>
                <w:szCs w:val="18"/>
                <w:lang w:val="en-GB"/>
              </w:rPr>
            </w:pPr>
            <w:r w:rsidRPr="00B3052C">
              <w:rPr>
                <w:rFonts w:cs="Arial"/>
                <w:color w:val="000000"/>
                <w:szCs w:val="18"/>
              </w:rPr>
              <w:t xml:space="preserve">Benzene </w:t>
            </w:r>
          </w:p>
        </w:tc>
        <w:tc>
          <w:tcPr>
            <w:tcW w:w="1429" w:type="pct"/>
            <w:shd w:val="clear" w:color="auto" w:fill="FFFFFF"/>
            <w:vAlign w:val="bottom"/>
          </w:tcPr>
          <w:p w14:paraId="2B2349FF" w14:textId="66A79F14"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3DA879E" w14:textId="478EB1FC"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042AA9BC" w14:textId="77777777" w:rsidTr="00B3052C">
        <w:tc>
          <w:tcPr>
            <w:tcW w:w="2143" w:type="pct"/>
            <w:shd w:val="clear" w:color="auto" w:fill="FFFFFF"/>
            <w:vAlign w:val="bottom"/>
          </w:tcPr>
          <w:p w14:paraId="12BC78EE" w14:textId="67C7E4D3" w:rsidR="00B3052C" w:rsidRPr="00B3052C" w:rsidRDefault="00B3052C" w:rsidP="008F7CE8">
            <w:pPr>
              <w:pStyle w:val="CETBodytext"/>
              <w:jc w:val="left"/>
              <w:rPr>
                <w:rFonts w:cs="Arial"/>
                <w:szCs w:val="18"/>
                <w:lang w:val="en-GB"/>
              </w:rPr>
            </w:pPr>
            <w:r w:rsidRPr="00B3052C">
              <w:rPr>
                <w:rFonts w:cs="Arial"/>
                <w:color w:val="000000"/>
                <w:szCs w:val="18"/>
              </w:rPr>
              <w:t xml:space="preserve">Hexane, 3-methyl- </w:t>
            </w:r>
          </w:p>
        </w:tc>
        <w:tc>
          <w:tcPr>
            <w:tcW w:w="1429" w:type="pct"/>
            <w:shd w:val="clear" w:color="auto" w:fill="FFFFFF"/>
            <w:vAlign w:val="bottom"/>
          </w:tcPr>
          <w:p w14:paraId="0DEEB52C" w14:textId="484EE3B8"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19A904D2" w14:textId="1582D526"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B464B10" w14:textId="77777777" w:rsidTr="00B3052C">
        <w:tc>
          <w:tcPr>
            <w:tcW w:w="2143" w:type="pct"/>
            <w:shd w:val="clear" w:color="auto" w:fill="FFFFFF"/>
            <w:vAlign w:val="bottom"/>
          </w:tcPr>
          <w:p w14:paraId="3DF5ACA9" w14:textId="7AA26E0E" w:rsidR="00B3052C" w:rsidRPr="00B3052C" w:rsidRDefault="00B3052C" w:rsidP="008F7CE8">
            <w:pPr>
              <w:pStyle w:val="CETBodytext"/>
              <w:jc w:val="left"/>
              <w:rPr>
                <w:rFonts w:cs="Arial"/>
                <w:szCs w:val="18"/>
                <w:lang w:val="en-GB"/>
              </w:rPr>
            </w:pPr>
            <w:r w:rsidRPr="00B3052C">
              <w:rPr>
                <w:rFonts w:cs="Arial"/>
                <w:color w:val="000000"/>
                <w:szCs w:val="18"/>
              </w:rPr>
              <w:t xml:space="preserve">Butane, 2,2,3,3-tetramethyl- </w:t>
            </w:r>
          </w:p>
        </w:tc>
        <w:tc>
          <w:tcPr>
            <w:tcW w:w="1429" w:type="pct"/>
            <w:shd w:val="clear" w:color="auto" w:fill="FFFFFF"/>
            <w:vAlign w:val="bottom"/>
          </w:tcPr>
          <w:p w14:paraId="7C9373B0" w14:textId="5737DB56"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FCA3454" w14:textId="14E6457E"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71A0BC31" w14:textId="77777777" w:rsidTr="00B3052C">
        <w:tc>
          <w:tcPr>
            <w:tcW w:w="2143" w:type="pct"/>
            <w:shd w:val="clear" w:color="auto" w:fill="FFFFFF"/>
            <w:vAlign w:val="bottom"/>
          </w:tcPr>
          <w:p w14:paraId="6912036C" w14:textId="44651582" w:rsidR="00B3052C" w:rsidRPr="00B3052C" w:rsidRDefault="00B3052C" w:rsidP="008F7CE8">
            <w:pPr>
              <w:pStyle w:val="CETBodytext"/>
              <w:jc w:val="left"/>
              <w:rPr>
                <w:rFonts w:cs="Arial"/>
                <w:szCs w:val="18"/>
                <w:lang w:val="en-GB"/>
              </w:rPr>
            </w:pPr>
            <w:r w:rsidRPr="00B3052C">
              <w:rPr>
                <w:rFonts w:cs="Arial"/>
                <w:color w:val="000000"/>
                <w:szCs w:val="18"/>
              </w:rPr>
              <w:t xml:space="preserve">Heptane </w:t>
            </w:r>
          </w:p>
        </w:tc>
        <w:tc>
          <w:tcPr>
            <w:tcW w:w="1429" w:type="pct"/>
            <w:shd w:val="clear" w:color="auto" w:fill="FFFFFF"/>
            <w:vAlign w:val="bottom"/>
          </w:tcPr>
          <w:p w14:paraId="5212C81A" w14:textId="61049EAE"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5935E98" w14:textId="094863FD"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620FA072" w14:textId="77777777" w:rsidTr="00B3052C">
        <w:tc>
          <w:tcPr>
            <w:tcW w:w="2143" w:type="pct"/>
            <w:shd w:val="clear" w:color="auto" w:fill="FFFFFF"/>
            <w:vAlign w:val="bottom"/>
          </w:tcPr>
          <w:p w14:paraId="2F83B284" w14:textId="74F6F0F8" w:rsidR="00B3052C" w:rsidRPr="00B3052C" w:rsidRDefault="00B3052C" w:rsidP="008F7CE8">
            <w:pPr>
              <w:pStyle w:val="CETBodytext"/>
              <w:jc w:val="left"/>
              <w:rPr>
                <w:rFonts w:cs="Arial"/>
                <w:szCs w:val="18"/>
                <w:lang w:val="en-GB"/>
              </w:rPr>
            </w:pPr>
            <w:r w:rsidRPr="00B3052C">
              <w:rPr>
                <w:rFonts w:cs="Arial"/>
                <w:color w:val="000000"/>
                <w:szCs w:val="18"/>
              </w:rPr>
              <w:t xml:space="preserve">3-Methyl-3-hexene </w:t>
            </w:r>
          </w:p>
        </w:tc>
        <w:tc>
          <w:tcPr>
            <w:tcW w:w="1429" w:type="pct"/>
            <w:shd w:val="clear" w:color="auto" w:fill="FFFFFF"/>
            <w:vAlign w:val="bottom"/>
          </w:tcPr>
          <w:p w14:paraId="243B30A0" w14:textId="39308E2B"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0DC5385B" w14:textId="16CAD660"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3770B580" w14:textId="77777777" w:rsidTr="00B3052C">
        <w:tc>
          <w:tcPr>
            <w:tcW w:w="2143" w:type="pct"/>
            <w:shd w:val="clear" w:color="auto" w:fill="FFFFFF"/>
            <w:vAlign w:val="bottom"/>
          </w:tcPr>
          <w:p w14:paraId="025E06E9" w14:textId="408744A4" w:rsidR="00B3052C" w:rsidRPr="00B3052C" w:rsidRDefault="00B3052C" w:rsidP="008F7CE8">
            <w:pPr>
              <w:pStyle w:val="CETBodytext"/>
              <w:jc w:val="left"/>
              <w:rPr>
                <w:rFonts w:cs="Arial"/>
                <w:szCs w:val="18"/>
                <w:lang w:val="en-GB"/>
              </w:rPr>
            </w:pPr>
            <w:r w:rsidRPr="00B3052C">
              <w:rPr>
                <w:rFonts w:cs="Arial"/>
                <w:color w:val="000000"/>
                <w:szCs w:val="18"/>
              </w:rPr>
              <w:t xml:space="preserve">Hexane, 2,2-dimethyl- </w:t>
            </w:r>
          </w:p>
        </w:tc>
        <w:tc>
          <w:tcPr>
            <w:tcW w:w="1429" w:type="pct"/>
            <w:shd w:val="clear" w:color="auto" w:fill="FFFFFF"/>
            <w:vAlign w:val="bottom"/>
          </w:tcPr>
          <w:p w14:paraId="4EADA071" w14:textId="7E8ED0A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75F0F194" w14:textId="47E878B4"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0550D8C" w14:textId="77777777" w:rsidTr="00B3052C">
        <w:tc>
          <w:tcPr>
            <w:tcW w:w="2143" w:type="pct"/>
            <w:shd w:val="clear" w:color="auto" w:fill="FFFFFF"/>
            <w:vAlign w:val="bottom"/>
          </w:tcPr>
          <w:p w14:paraId="4E41A8D2" w14:textId="20612CCF" w:rsidR="00B3052C" w:rsidRPr="00B3052C" w:rsidRDefault="00B3052C" w:rsidP="008F7CE8">
            <w:pPr>
              <w:pStyle w:val="CETBodytext"/>
              <w:jc w:val="left"/>
              <w:rPr>
                <w:rFonts w:cs="Arial"/>
                <w:szCs w:val="18"/>
                <w:lang w:val="en-GB"/>
              </w:rPr>
            </w:pPr>
            <w:r w:rsidRPr="00B3052C">
              <w:rPr>
                <w:rFonts w:cs="Arial"/>
                <w:color w:val="000000"/>
                <w:szCs w:val="18"/>
              </w:rPr>
              <w:t xml:space="preserve">Hexane, 2,5-dimethyl- </w:t>
            </w:r>
          </w:p>
        </w:tc>
        <w:tc>
          <w:tcPr>
            <w:tcW w:w="1429" w:type="pct"/>
            <w:shd w:val="clear" w:color="auto" w:fill="FFFFFF"/>
            <w:vAlign w:val="bottom"/>
          </w:tcPr>
          <w:p w14:paraId="5153F101" w14:textId="3C6B74F9"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1C5191DA" w14:textId="0173374C"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769138DA" w14:textId="77777777" w:rsidTr="00B3052C">
        <w:tc>
          <w:tcPr>
            <w:tcW w:w="2143" w:type="pct"/>
            <w:shd w:val="clear" w:color="auto" w:fill="FFFFFF"/>
            <w:vAlign w:val="bottom"/>
          </w:tcPr>
          <w:p w14:paraId="78433887" w14:textId="4B00C3E3" w:rsidR="00B3052C" w:rsidRPr="00B3052C" w:rsidRDefault="00B3052C" w:rsidP="008F7CE8">
            <w:pPr>
              <w:pStyle w:val="CETBodytext"/>
              <w:jc w:val="left"/>
              <w:rPr>
                <w:rFonts w:cs="Arial"/>
                <w:szCs w:val="18"/>
                <w:lang w:val="en-GB"/>
              </w:rPr>
            </w:pPr>
            <w:r w:rsidRPr="00B3052C">
              <w:rPr>
                <w:rFonts w:cs="Arial"/>
                <w:color w:val="000000"/>
                <w:szCs w:val="18"/>
              </w:rPr>
              <w:t xml:space="preserve">Hexane, 2,4-dimethyl- </w:t>
            </w:r>
          </w:p>
        </w:tc>
        <w:tc>
          <w:tcPr>
            <w:tcW w:w="1429" w:type="pct"/>
            <w:shd w:val="clear" w:color="auto" w:fill="FFFFFF"/>
            <w:vAlign w:val="bottom"/>
          </w:tcPr>
          <w:p w14:paraId="39C4ACBD" w14:textId="3C1D12FC"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9239ED5" w14:textId="426E261D"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3902D08E" w14:textId="77777777" w:rsidTr="00B3052C">
        <w:tc>
          <w:tcPr>
            <w:tcW w:w="2143" w:type="pct"/>
            <w:shd w:val="clear" w:color="auto" w:fill="FFFFFF"/>
            <w:vAlign w:val="bottom"/>
          </w:tcPr>
          <w:p w14:paraId="586E610C" w14:textId="7767A843" w:rsidR="00B3052C" w:rsidRPr="00B3052C" w:rsidRDefault="00B3052C" w:rsidP="008F7CE8">
            <w:pPr>
              <w:pStyle w:val="CETBodytext"/>
              <w:jc w:val="left"/>
              <w:rPr>
                <w:rFonts w:cs="Arial"/>
                <w:szCs w:val="18"/>
                <w:lang w:val="en-GB"/>
              </w:rPr>
            </w:pPr>
            <w:r w:rsidRPr="00B3052C">
              <w:rPr>
                <w:rFonts w:cs="Arial"/>
                <w:color w:val="000000"/>
                <w:szCs w:val="18"/>
              </w:rPr>
              <w:t xml:space="preserve">Pentane, 2,2,3-trimethyl- </w:t>
            </w:r>
          </w:p>
        </w:tc>
        <w:tc>
          <w:tcPr>
            <w:tcW w:w="1429" w:type="pct"/>
            <w:shd w:val="clear" w:color="auto" w:fill="FFFFFF"/>
            <w:vAlign w:val="bottom"/>
          </w:tcPr>
          <w:p w14:paraId="6726CF23" w14:textId="16B9004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56E5628E" w14:textId="524D54AD"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2320FF7" w14:textId="77777777" w:rsidTr="00B3052C">
        <w:tc>
          <w:tcPr>
            <w:tcW w:w="2143" w:type="pct"/>
            <w:shd w:val="clear" w:color="auto" w:fill="FFFFFF"/>
            <w:vAlign w:val="bottom"/>
          </w:tcPr>
          <w:p w14:paraId="6EC046F1" w14:textId="5EAF1982" w:rsidR="00B3052C" w:rsidRPr="00B3052C" w:rsidRDefault="00B3052C" w:rsidP="008F7CE8">
            <w:pPr>
              <w:pStyle w:val="CETBodytext"/>
              <w:jc w:val="left"/>
              <w:rPr>
                <w:rFonts w:cs="Arial"/>
                <w:szCs w:val="18"/>
                <w:lang w:val="en-GB"/>
              </w:rPr>
            </w:pPr>
            <w:r w:rsidRPr="00B3052C">
              <w:rPr>
                <w:rFonts w:cs="Arial"/>
                <w:color w:val="000000"/>
                <w:szCs w:val="18"/>
              </w:rPr>
              <w:t xml:space="preserve">Cyclopentane, 1,2,4-trimethyl- </w:t>
            </w:r>
          </w:p>
        </w:tc>
        <w:tc>
          <w:tcPr>
            <w:tcW w:w="1429" w:type="pct"/>
            <w:shd w:val="clear" w:color="auto" w:fill="FFFFFF"/>
            <w:vAlign w:val="bottom"/>
          </w:tcPr>
          <w:p w14:paraId="696177F2" w14:textId="7BB64E5B"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5B435C20" w14:textId="1BE8ED46"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3989007C" w14:textId="77777777" w:rsidTr="00B3052C">
        <w:tc>
          <w:tcPr>
            <w:tcW w:w="2143" w:type="pct"/>
            <w:shd w:val="clear" w:color="auto" w:fill="FFFFFF"/>
            <w:vAlign w:val="bottom"/>
          </w:tcPr>
          <w:p w14:paraId="67CBF6B7" w14:textId="7E728423" w:rsidR="00B3052C" w:rsidRPr="00B3052C" w:rsidRDefault="00B3052C" w:rsidP="008F7CE8">
            <w:pPr>
              <w:pStyle w:val="CETBodytext"/>
              <w:jc w:val="left"/>
              <w:rPr>
                <w:rFonts w:cs="Arial"/>
                <w:szCs w:val="18"/>
                <w:lang w:val="en-GB"/>
              </w:rPr>
            </w:pPr>
            <w:r w:rsidRPr="00B3052C">
              <w:rPr>
                <w:rFonts w:cs="Arial"/>
                <w:color w:val="000000"/>
                <w:szCs w:val="18"/>
              </w:rPr>
              <w:t xml:space="preserve">Pentane, 2,3,4-trimethyl- </w:t>
            </w:r>
          </w:p>
        </w:tc>
        <w:tc>
          <w:tcPr>
            <w:tcW w:w="1429" w:type="pct"/>
            <w:shd w:val="clear" w:color="auto" w:fill="FFFFFF"/>
            <w:vAlign w:val="bottom"/>
          </w:tcPr>
          <w:p w14:paraId="15449CE6" w14:textId="51E365C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443D683" w14:textId="1BC46AD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05EFE0B" w14:textId="77777777" w:rsidTr="00B3052C">
        <w:tc>
          <w:tcPr>
            <w:tcW w:w="2143" w:type="pct"/>
            <w:shd w:val="clear" w:color="auto" w:fill="FFFFFF"/>
            <w:vAlign w:val="bottom"/>
          </w:tcPr>
          <w:p w14:paraId="6B011307" w14:textId="0A4432D9" w:rsidR="00B3052C" w:rsidRPr="00B3052C" w:rsidRDefault="00B3052C" w:rsidP="008F7CE8">
            <w:pPr>
              <w:pStyle w:val="CETBodytext"/>
              <w:jc w:val="left"/>
              <w:rPr>
                <w:rFonts w:cs="Arial"/>
                <w:szCs w:val="18"/>
                <w:lang w:val="en-GB"/>
              </w:rPr>
            </w:pPr>
            <w:r w:rsidRPr="00B3052C">
              <w:rPr>
                <w:rFonts w:cs="Arial"/>
                <w:color w:val="000000"/>
                <w:szCs w:val="18"/>
              </w:rPr>
              <w:t xml:space="preserve">Pentane, 2,3,3-trimethyl- </w:t>
            </w:r>
          </w:p>
        </w:tc>
        <w:tc>
          <w:tcPr>
            <w:tcW w:w="1429" w:type="pct"/>
            <w:shd w:val="clear" w:color="auto" w:fill="FFFFFF"/>
            <w:vAlign w:val="bottom"/>
          </w:tcPr>
          <w:p w14:paraId="7D94FE9D" w14:textId="5943BB5B"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57F8D70D" w14:textId="16777890"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C9B614C" w14:textId="77777777" w:rsidTr="00B3052C">
        <w:tc>
          <w:tcPr>
            <w:tcW w:w="2143" w:type="pct"/>
            <w:shd w:val="clear" w:color="auto" w:fill="FFFFFF"/>
            <w:vAlign w:val="bottom"/>
          </w:tcPr>
          <w:p w14:paraId="0721C17A" w14:textId="755F5352" w:rsidR="00B3052C" w:rsidRPr="00B3052C" w:rsidRDefault="00B3052C" w:rsidP="008F7CE8">
            <w:pPr>
              <w:pStyle w:val="CETBodytext"/>
              <w:jc w:val="left"/>
              <w:rPr>
                <w:rFonts w:cs="Arial"/>
                <w:szCs w:val="18"/>
                <w:lang w:val="en-GB"/>
              </w:rPr>
            </w:pPr>
            <w:r w:rsidRPr="00B3052C">
              <w:rPr>
                <w:rFonts w:cs="Arial"/>
                <w:color w:val="000000"/>
                <w:szCs w:val="18"/>
              </w:rPr>
              <w:t xml:space="preserve">Heptane, 3-methyl- </w:t>
            </w:r>
          </w:p>
        </w:tc>
        <w:tc>
          <w:tcPr>
            <w:tcW w:w="1429" w:type="pct"/>
            <w:shd w:val="clear" w:color="auto" w:fill="FFFFFF"/>
            <w:vAlign w:val="bottom"/>
          </w:tcPr>
          <w:p w14:paraId="1252FFCB" w14:textId="0058F260"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152BCE70" w14:textId="6F56F9FB"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0DED992B" w14:textId="77777777" w:rsidTr="00B3052C">
        <w:tc>
          <w:tcPr>
            <w:tcW w:w="2143" w:type="pct"/>
            <w:shd w:val="clear" w:color="auto" w:fill="FFFFFF"/>
            <w:vAlign w:val="bottom"/>
          </w:tcPr>
          <w:p w14:paraId="2A4CEB18" w14:textId="650C5C3C" w:rsidR="00B3052C" w:rsidRPr="00B3052C" w:rsidRDefault="00B3052C" w:rsidP="008F7CE8">
            <w:pPr>
              <w:pStyle w:val="CETBodytext"/>
              <w:jc w:val="left"/>
              <w:rPr>
                <w:rFonts w:cs="Arial"/>
                <w:szCs w:val="18"/>
                <w:lang w:val="en-GB"/>
              </w:rPr>
            </w:pPr>
            <w:r w:rsidRPr="00B3052C">
              <w:rPr>
                <w:rFonts w:cs="Arial"/>
                <w:color w:val="000000"/>
                <w:szCs w:val="18"/>
              </w:rPr>
              <w:t xml:space="preserve">Toluene </w:t>
            </w:r>
          </w:p>
        </w:tc>
        <w:tc>
          <w:tcPr>
            <w:tcW w:w="1429" w:type="pct"/>
            <w:shd w:val="clear" w:color="auto" w:fill="FFFFFF"/>
            <w:vAlign w:val="bottom"/>
          </w:tcPr>
          <w:p w14:paraId="35CB8E0B" w14:textId="76C0F95C"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5D151C5A" w14:textId="642B2B4A"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4483B3E4" w14:textId="77777777" w:rsidTr="00B3052C">
        <w:tc>
          <w:tcPr>
            <w:tcW w:w="2143" w:type="pct"/>
            <w:shd w:val="clear" w:color="auto" w:fill="FFFFFF"/>
            <w:vAlign w:val="bottom"/>
          </w:tcPr>
          <w:p w14:paraId="1059FCF2" w14:textId="263B55EC" w:rsidR="00B3052C" w:rsidRPr="00B3052C" w:rsidRDefault="00B3052C" w:rsidP="008F7CE8">
            <w:pPr>
              <w:pStyle w:val="CETBodytext"/>
              <w:jc w:val="left"/>
              <w:rPr>
                <w:rFonts w:cs="Arial"/>
                <w:szCs w:val="18"/>
                <w:lang w:val="en-GB"/>
              </w:rPr>
            </w:pPr>
            <w:r w:rsidRPr="00B3052C">
              <w:rPr>
                <w:rFonts w:cs="Arial"/>
                <w:color w:val="000000"/>
                <w:szCs w:val="18"/>
              </w:rPr>
              <w:t xml:space="preserve">Hexane, 2,2,5-trimethyl- </w:t>
            </w:r>
          </w:p>
        </w:tc>
        <w:tc>
          <w:tcPr>
            <w:tcW w:w="1429" w:type="pct"/>
            <w:shd w:val="clear" w:color="auto" w:fill="FFFFFF"/>
            <w:vAlign w:val="bottom"/>
          </w:tcPr>
          <w:p w14:paraId="0C700BEA" w14:textId="6728B33C"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185C92E" w14:textId="1F710095"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7F940583" w14:textId="77777777" w:rsidTr="00B3052C">
        <w:tc>
          <w:tcPr>
            <w:tcW w:w="2143" w:type="pct"/>
            <w:shd w:val="clear" w:color="auto" w:fill="FFFFFF"/>
            <w:vAlign w:val="bottom"/>
          </w:tcPr>
          <w:p w14:paraId="6B90F86A" w14:textId="244F0E08" w:rsidR="00B3052C" w:rsidRPr="00B3052C" w:rsidRDefault="00B3052C" w:rsidP="008A7AFE">
            <w:pPr>
              <w:pStyle w:val="CETBodytext"/>
              <w:jc w:val="left"/>
              <w:rPr>
                <w:rFonts w:cs="Arial"/>
                <w:color w:val="000000"/>
                <w:szCs w:val="18"/>
              </w:rPr>
            </w:pPr>
            <w:r w:rsidRPr="00B3052C">
              <w:rPr>
                <w:rFonts w:cs="Arial"/>
                <w:color w:val="000000"/>
                <w:szCs w:val="18"/>
              </w:rPr>
              <w:t>Cyclohexane, 1,3-dimethyl-, cis</w:t>
            </w:r>
          </w:p>
        </w:tc>
        <w:tc>
          <w:tcPr>
            <w:tcW w:w="1429" w:type="pct"/>
            <w:shd w:val="clear" w:color="auto" w:fill="FFFFFF"/>
            <w:vAlign w:val="bottom"/>
          </w:tcPr>
          <w:p w14:paraId="3F260C02" w14:textId="4D300A4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31A77082" w14:textId="47081253"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E669E32" w14:textId="77777777" w:rsidTr="00B3052C">
        <w:tc>
          <w:tcPr>
            <w:tcW w:w="2143" w:type="pct"/>
            <w:shd w:val="clear" w:color="auto" w:fill="FFFFFF"/>
            <w:vAlign w:val="bottom"/>
          </w:tcPr>
          <w:p w14:paraId="62DACF2E" w14:textId="5C05EC2D" w:rsidR="00B3052C" w:rsidRPr="00B3052C" w:rsidRDefault="00B3052C" w:rsidP="008F7CE8">
            <w:pPr>
              <w:pStyle w:val="CETBodytext"/>
              <w:jc w:val="left"/>
              <w:rPr>
                <w:rFonts w:cs="Arial"/>
                <w:szCs w:val="18"/>
                <w:lang w:val="en-GB"/>
              </w:rPr>
            </w:pPr>
            <w:r w:rsidRPr="00B3052C">
              <w:rPr>
                <w:rFonts w:cs="Arial"/>
                <w:color w:val="000000"/>
                <w:szCs w:val="18"/>
              </w:rPr>
              <w:t xml:space="preserve">Hexane, 3-ethyl- </w:t>
            </w:r>
          </w:p>
        </w:tc>
        <w:tc>
          <w:tcPr>
            <w:tcW w:w="1429" w:type="pct"/>
            <w:shd w:val="clear" w:color="auto" w:fill="FFFFFF"/>
            <w:vAlign w:val="bottom"/>
          </w:tcPr>
          <w:p w14:paraId="7BF2FF6E" w14:textId="1BB3D8A4"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43E2037" w14:textId="5D8AC0ED"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53C2AD91" w14:textId="77777777" w:rsidTr="00B3052C">
        <w:tc>
          <w:tcPr>
            <w:tcW w:w="2143" w:type="pct"/>
            <w:shd w:val="clear" w:color="auto" w:fill="FFFFFF"/>
            <w:vAlign w:val="bottom"/>
          </w:tcPr>
          <w:p w14:paraId="10E0D747" w14:textId="6A425742" w:rsidR="00B3052C" w:rsidRPr="00B3052C" w:rsidRDefault="00B3052C" w:rsidP="008F7CE8">
            <w:pPr>
              <w:pStyle w:val="CETBodytext"/>
              <w:jc w:val="left"/>
              <w:rPr>
                <w:rFonts w:cs="Arial"/>
                <w:szCs w:val="18"/>
                <w:lang w:val="en-GB"/>
              </w:rPr>
            </w:pPr>
            <w:r w:rsidRPr="00B3052C">
              <w:rPr>
                <w:rFonts w:cs="Arial"/>
                <w:color w:val="000000"/>
                <w:szCs w:val="18"/>
              </w:rPr>
              <w:t xml:space="preserve">2-Undecene, 6-methyl-, (Z)- </w:t>
            </w:r>
          </w:p>
        </w:tc>
        <w:tc>
          <w:tcPr>
            <w:tcW w:w="1429" w:type="pct"/>
            <w:shd w:val="clear" w:color="auto" w:fill="FFFFFF"/>
            <w:vAlign w:val="bottom"/>
          </w:tcPr>
          <w:p w14:paraId="13719F37" w14:textId="2F182A8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08F5AB8B" w14:textId="4D243C22"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663EEFBB" w14:textId="77777777" w:rsidTr="00B3052C">
        <w:tc>
          <w:tcPr>
            <w:tcW w:w="2143" w:type="pct"/>
            <w:shd w:val="clear" w:color="auto" w:fill="FFFFFF"/>
            <w:vAlign w:val="bottom"/>
          </w:tcPr>
          <w:p w14:paraId="79E19433" w14:textId="0E1A61CF" w:rsidR="00B3052C" w:rsidRPr="00B3052C" w:rsidRDefault="00B3052C" w:rsidP="008F7CE8">
            <w:pPr>
              <w:pStyle w:val="CETBodytext"/>
              <w:jc w:val="left"/>
              <w:rPr>
                <w:rFonts w:cs="Arial"/>
                <w:szCs w:val="18"/>
                <w:lang w:val="en-GB"/>
              </w:rPr>
            </w:pPr>
            <w:r w:rsidRPr="00B3052C">
              <w:rPr>
                <w:rFonts w:cs="Arial"/>
                <w:color w:val="000000"/>
                <w:szCs w:val="18"/>
              </w:rPr>
              <w:t xml:space="preserve">Heptane, 2,4-dimethyl- </w:t>
            </w:r>
          </w:p>
        </w:tc>
        <w:tc>
          <w:tcPr>
            <w:tcW w:w="1429" w:type="pct"/>
            <w:shd w:val="clear" w:color="auto" w:fill="FFFFFF"/>
            <w:vAlign w:val="bottom"/>
          </w:tcPr>
          <w:p w14:paraId="278A607A" w14:textId="0223BBF2"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2A3F01B" w14:textId="2FEDF35B"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2A7DD47B" w14:textId="77777777" w:rsidTr="00B3052C">
        <w:tc>
          <w:tcPr>
            <w:tcW w:w="2143" w:type="pct"/>
            <w:shd w:val="clear" w:color="auto" w:fill="FFFFFF"/>
            <w:vAlign w:val="bottom"/>
          </w:tcPr>
          <w:p w14:paraId="1940AECA" w14:textId="25270C15" w:rsidR="00B3052C" w:rsidRPr="00B3052C" w:rsidRDefault="00B3052C" w:rsidP="008F7CE8">
            <w:pPr>
              <w:pStyle w:val="CETBodytext"/>
              <w:jc w:val="left"/>
              <w:rPr>
                <w:rFonts w:cs="Arial"/>
                <w:szCs w:val="18"/>
                <w:lang w:val="en-GB"/>
              </w:rPr>
            </w:pPr>
            <w:r w:rsidRPr="00B3052C">
              <w:rPr>
                <w:rFonts w:cs="Arial"/>
                <w:color w:val="000000"/>
                <w:szCs w:val="18"/>
              </w:rPr>
              <w:t xml:space="preserve">Heptane, 2,6-dimethyl- </w:t>
            </w:r>
          </w:p>
        </w:tc>
        <w:tc>
          <w:tcPr>
            <w:tcW w:w="1429" w:type="pct"/>
            <w:shd w:val="clear" w:color="auto" w:fill="FFFFFF"/>
            <w:vAlign w:val="bottom"/>
          </w:tcPr>
          <w:p w14:paraId="40C46080" w14:textId="569DA5A1"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8B6DE60" w14:textId="78E7EB7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1C1BDDC5" w14:textId="77777777" w:rsidTr="00B3052C">
        <w:tc>
          <w:tcPr>
            <w:tcW w:w="2143" w:type="pct"/>
            <w:shd w:val="clear" w:color="auto" w:fill="FFFFFF"/>
            <w:vAlign w:val="bottom"/>
          </w:tcPr>
          <w:p w14:paraId="4B7B154F" w14:textId="660738D9" w:rsidR="00B3052C" w:rsidRPr="00B3052C" w:rsidRDefault="00B3052C" w:rsidP="008F7CE8">
            <w:pPr>
              <w:pStyle w:val="CETBodytext"/>
              <w:jc w:val="left"/>
              <w:rPr>
                <w:rFonts w:cs="Arial"/>
                <w:szCs w:val="18"/>
                <w:lang w:val="en-GB"/>
              </w:rPr>
            </w:pPr>
            <w:r w:rsidRPr="00B3052C">
              <w:rPr>
                <w:rFonts w:cs="Arial"/>
                <w:color w:val="000000"/>
                <w:szCs w:val="18"/>
              </w:rPr>
              <w:t xml:space="preserve">Heptane, 2,5-dimethyl- </w:t>
            </w:r>
          </w:p>
        </w:tc>
        <w:tc>
          <w:tcPr>
            <w:tcW w:w="1429" w:type="pct"/>
            <w:shd w:val="clear" w:color="auto" w:fill="FFFFFF"/>
            <w:vAlign w:val="bottom"/>
          </w:tcPr>
          <w:p w14:paraId="6D99C78E" w14:textId="744186E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F8994BD" w14:textId="10E2299D"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3B5DC61C" w14:textId="77777777" w:rsidTr="00B3052C">
        <w:tc>
          <w:tcPr>
            <w:tcW w:w="2143" w:type="pct"/>
            <w:shd w:val="clear" w:color="auto" w:fill="FFFFFF"/>
            <w:vAlign w:val="bottom"/>
          </w:tcPr>
          <w:p w14:paraId="14FCE63C" w14:textId="3E1CD804" w:rsidR="00B3052C" w:rsidRPr="00B3052C" w:rsidRDefault="00B3052C" w:rsidP="008F7CE8">
            <w:pPr>
              <w:pStyle w:val="CETBodytext"/>
              <w:jc w:val="left"/>
              <w:rPr>
                <w:rFonts w:cs="Arial"/>
                <w:szCs w:val="18"/>
                <w:lang w:val="en-GB"/>
              </w:rPr>
            </w:pPr>
            <w:r w:rsidRPr="00B3052C">
              <w:rPr>
                <w:rFonts w:cs="Arial"/>
                <w:color w:val="000000"/>
                <w:szCs w:val="18"/>
              </w:rPr>
              <w:t xml:space="preserve">Octane, 4-methyl- </w:t>
            </w:r>
          </w:p>
        </w:tc>
        <w:tc>
          <w:tcPr>
            <w:tcW w:w="1429" w:type="pct"/>
            <w:shd w:val="clear" w:color="auto" w:fill="FFFFFF"/>
            <w:vAlign w:val="bottom"/>
          </w:tcPr>
          <w:p w14:paraId="7563892D" w14:textId="4F6314B8"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692734B" w14:textId="271EC8E3"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655814E0" w14:textId="77777777" w:rsidTr="00B3052C">
        <w:tc>
          <w:tcPr>
            <w:tcW w:w="2143" w:type="pct"/>
            <w:shd w:val="clear" w:color="auto" w:fill="FFFFFF"/>
            <w:vAlign w:val="bottom"/>
          </w:tcPr>
          <w:p w14:paraId="6AB197EB" w14:textId="7397DC9A" w:rsidR="00B3052C" w:rsidRPr="00B3052C" w:rsidRDefault="00B3052C" w:rsidP="008F7CE8">
            <w:pPr>
              <w:pStyle w:val="CETBodytext"/>
              <w:jc w:val="left"/>
              <w:rPr>
                <w:rFonts w:cs="Arial"/>
                <w:szCs w:val="18"/>
                <w:lang w:val="en-GB"/>
              </w:rPr>
            </w:pPr>
            <w:r w:rsidRPr="00B3052C">
              <w:rPr>
                <w:rFonts w:cs="Arial"/>
                <w:color w:val="000000"/>
                <w:szCs w:val="18"/>
              </w:rPr>
              <w:t xml:space="preserve">Ethylbenzene </w:t>
            </w:r>
          </w:p>
        </w:tc>
        <w:tc>
          <w:tcPr>
            <w:tcW w:w="1429" w:type="pct"/>
            <w:shd w:val="clear" w:color="auto" w:fill="FFFFFF"/>
            <w:vAlign w:val="bottom"/>
          </w:tcPr>
          <w:p w14:paraId="2C515EE1" w14:textId="630D7179"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48B1BACD" w14:textId="15C713F7"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42DC6F2D" w14:textId="77777777" w:rsidTr="00B3052C">
        <w:tc>
          <w:tcPr>
            <w:tcW w:w="2143" w:type="pct"/>
            <w:shd w:val="clear" w:color="auto" w:fill="FFFFFF"/>
            <w:vAlign w:val="bottom"/>
          </w:tcPr>
          <w:p w14:paraId="3F342141" w14:textId="23F70745" w:rsidR="00B3052C" w:rsidRPr="00B3052C" w:rsidRDefault="00B3052C" w:rsidP="008F7CE8">
            <w:pPr>
              <w:pStyle w:val="CETBodytext"/>
              <w:jc w:val="left"/>
              <w:rPr>
                <w:rFonts w:cs="Arial"/>
                <w:szCs w:val="18"/>
                <w:lang w:val="en-GB"/>
              </w:rPr>
            </w:pPr>
            <w:r w:rsidRPr="00B3052C">
              <w:rPr>
                <w:rFonts w:cs="Arial"/>
                <w:color w:val="000000"/>
                <w:szCs w:val="18"/>
              </w:rPr>
              <w:t xml:space="preserve">p-Xylene </w:t>
            </w:r>
          </w:p>
        </w:tc>
        <w:tc>
          <w:tcPr>
            <w:tcW w:w="1429" w:type="pct"/>
            <w:shd w:val="clear" w:color="auto" w:fill="FFFFFF"/>
            <w:vAlign w:val="bottom"/>
          </w:tcPr>
          <w:p w14:paraId="05395826" w14:textId="11559884"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03F7574A" w14:textId="1BC8B2C2"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377F098E" w14:textId="77777777" w:rsidTr="00B3052C">
        <w:tc>
          <w:tcPr>
            <w:tcW w:w="2143" w:type="pct"/>
            <w:shd w:val="clear" w:color="auto" w:fill="FFFFFF"/>
            <w:vAlign w:val="bottom"/>
          </w:tcPr>
          <w:p w14:paraId="4D26DA22" w14:textId="56DE9757" w:rsidR="00B3052C" w:rsidRPr="00B3052C" w:rsidRDefault="00B3052C" w:rsidP="008F7CE8">
            <w:pPr>
              <w:pStyle w:val="CETBodytext"/>
              <w:jc w:val="left"/>
              <w:rPr>
                <w:rFonts w:cs="Arial"/>
                <w:szCs w:val="18"/>
                <w:lang w:val="en-GB"/>
              </w:rPr>
            </w:pPr>
            <w:r w:rsidRPr="00B3052C">
              <w:rPr>
                <w:rFonts w:cs="Arial"/>
                <w:color w:val="000000"/>
                <w:szCs w:val="18"/>
              </w:rPr>
              <w:t xml:space="preserve">Nonane </w:t>
            </w:r>
          </w:p>
        </w:tc>
        <w:tc>
          <w:tcPr>
            <w:tcW w:w="1429" w:type="pct"/>
            <w:shd w:val="clear" w:color="auto" w:fill="FFFFFF"/>
            <w:vAlign w:val="bottom"/>
          </w:tcPr>
          <w:p w14:paraId="0223870C" w14:textId="7D7E75CB"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28008870" w14:textId="7779EB3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0DC8123B" w14:textId="77777777" w:rsidTr="00B3052C">
        <w:tc>
          <w:tcPr>
            <w:tcW w:w="2143" w:type="pct"/>
            <w:shd w:val="clear" w:color="auto" w:fill="FFFFFF"/>
            <w:vAlign w:val="bottom"/>
          </w:tcPr>
          <w:p w14:paraId="74733989" w14:textId="3460C411" w:rsidR="00B3052C" w:rsidRPr="00B3052C" w:rsidRDefault="00B3052C" w:rsidP="008F7CE8">
            <w:pPr>
              <w:pStyle w:val="CETBodytext"/>
              <w:jc w:val="left"/>
              <w:rPr>
                <w:rFonts w:cs="Arial"/>
                <w:szCs w:val="18"/>
                <w:lang w:val="en-GB"/>
              </w:rPr>
            </w:pPr>
            <w:r w:rsidRPr="00B3052C">
              <w:rPr>
                <w:rFonts w:cs="Arial"/>
                <w:color w:val="000000"/>
                <w:szCs w:val="18"/>
              </w:rPr>
              <w:t xml:space="preserve">Styrene </w:t>
            </w:r>
          </w:p>
        </w:tc>
        <w:tc>
          <w:tcPr>
            <w:tcW w:w="1429" w:type="pct"/>
            <w:shd w:val="clear" w:color="auto" w:fill="FFFFFF"/>
            <w:vAlign w:val="bottom"/>
          </w:tcPr>
          <w:p w14:paraId="7810A187" w14:textId="1B41DAE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111AA89" w14:textId="48787B42"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0399B6CB" w14:textId="77777777" w:rsidTr="00B3052C">
        <w:tc>
          <w:tcPr>
            <w:tcW w:w="2143" w:type="pct"/>
            <w:shd w:val="clear" w:color="auto" w:fill="FFFFFF"/>
            <w:vAlign w:val="bottom"/>
          </w:tcPr>
          <w:p w14:paraId="70A0A780" w14:textId="7F4E8362" w:rsidR="00B3052C" w:rsidRPr="00B3052C" w:rsidRDefault="00B3052C" w:rsidP="008F7CE8">
            <w:pPr>
              <w:pStyle w:val="CETBodytext"/>
              <w:jc w:val="left"/>
              <w:rPr>
                <w:rFonts w:cs="Arial"/>
                <w:szCs w:val="18"/>
                <w:lang w:val="en-GB"/>
              </w:rPr>
            </w:pPr>
            <w:r w:rsidRPr="00B3052C">
              <w:rPr>
                <w:rFonts w:cs="Arial"/>
                <w:color w:val="000000"/>
                <w:szCs w:val="18"/>
              </w:rPr>
              <w:t xml:space="preserve">o-Xylene </w:t>
            </w:r>
          </w:p>
        </w:tc>
        <w:tc>
          <w:tcPr>
            <w:tcW w:w="1429" w:type="pct"/>
            <w:shd w:val="clear" w:color="auto" w:fill="FFFFFF"/>
            <w:vAlign w:val="bottom"/>
          </w:tcPr>
          <w:p w14:paraId="5C26A213" w14:textId="511D5F8D"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512495F5" w14:textId="6EE7967C"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48466760" w14:textId="77777777" w:rsidTr="00B3052C">
        <w:tc>
          <w:tcPr>
            <w:tcW w:w="2143" w:type="pct"/>
            <w:shd w:val="clear" w:color="auto" w:fill="FFFFFF"/>
            <w:vAlign w:val="bottom"/>
          </w:tcPr>
          <w:p w14:paraId="34278926" w14:textId="0213442F" w:rsidR="00B3052C" w:rsidRPr="00B3052C" w:rsidRDefault="00B3052C" w:rsidP="008F7CE8">
            <w:pPr>
              <w:pStyle w:val="CETBodytext"/>
              <w:jc w:val="left"/>
              <w:rPr>
                <w:rFonts w:cs="Arial"/>
                <w:szCs w:val="18"/>
                <w:lang w:val="en-GB"/>
              </w:rPr>
            </w:pPr>
            <w:r w:rsidRPr="00B3052C">
              <w:rPr>
                <w:rFonts w:cs="Arial"/>
                <w:color w:val="000000"/>
                <w:szCs w:val="18"/>
              </w:rPr>
              <w:t xml:space="preserve">trans-4-Decene </w:t>
            </w:r>
          </w:p>
        </w:tc>
        <w:tc>
          <w:tcPr>
            <w:tcW w:w="1429" w:type="pct"/>
            <w:shd w:val="clear" w:color="auto" w:fill="FFFFFF"/>
            <w:vAlign w:val="bottom"/>
          </w:tcPr>
          <w:p w14:paraId="0912F9E1" w14:textId="45851353"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3808E503" w14:textId="1D432FCC"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B81CEC1" w14:textId="77777777" w:rsidTr="00B3052C">
        <w:tc>
          <w:tcPr>
            <w:tcW w:w="2143" w:type="pct"/>
            <w:shd w:val="clear" w:color="auto" w:fill="FFFFFF"/>
            <w:vAlign w:val="bottom"/>
          </w:tcPr>
          <w:p w14:paraId="71E12313" w14:textId="382B8309" w:rsidR="00B3052C" w:rsidRPr="00B3052C" w:rsidRDefault="00B3052C" w:rsidP="008F7CE8">
            <w:pPr>
              <w:pStyle w:val="CETBodytext"/>
              <w:jc w:val="left"/>
              <w:rPr>
                <w:rFonts w:cs="Arial"/>
                <w:szCs w:val="18"/>
                <w:lang w:val="en-GB"/>
              </w:rPr>
            </w:pPr>
            <w:r w:rsidRPr="00B3052C">
              <w:rPr>
                <w:rFonts w:cs="Arial"/>
                <w:color w:val="000000"/>
                <w:szCs w:val="18"/>
              </w:rPr>
              <w:t xml:space="preserve">Decane </w:t>
            </w:r>
          </w:p>
        </w:tc>
        <w:tc>
          <w:tcPr>
            <w:tcW w:w="1429" w:type="pct"/>
            <w:shd w:val="clear" w:color="auto" w:fill="FFFFFF"/>
            <w:vAlign w:val="bottom"/>
          </w:tcPr>
          <w:p w14:paraId="042355E9" w14:textId="358D5404"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5AA3730E" w14:textId="09DCEC0E"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3851CF49" w14:textId="77777777" w:rsidTr="00B3052C">
        <w:tc>
          <w:tcPr>
            <w:tcW w:w="2143" w:type="pct"/>
            <w:shd w:val="clear" w:color="auto" w:fill="FFFFFF"/>
            <w:vAlign w:val="bottom"/>
          </w:tcPr>
          <w:p w14:paraId="1C87ED11" w14:textId="784EC071" w:rsidR="00B3052C" w:rsidRPr="00B3052C" w:rsidRDefault="00B3052C" w:rsidP="008F7CE8">
            <w:pPr>
              <w:pStyle w:val="CETBodytext"/>
              <w:jc w:val="left"/>
              <w:rPr>
                <w:rFonts w:cs="Arial"/>
                <w:szCs w:val="18"/>
                <w:lang w:val="en-GB"/>
              </w:rPr>
            </w:pPr>
            <w:r w:rsidRPr="00B3052C">
              <w:rPr>
                <w:rFonts w:cs="Arial"/>
                <w:color w:val="000000"/>
                <w:szCs w:val="18"/>
              </w:rPr>
              <w:t xml:space="preserve">cis-3-Decene </w:t>
            </w:r>
          </w:p>
        </w:tc>
        <w:tc>
          <w:tcPr>
            <w:tcW w:w="1429" w:type="pct"/>
            <w:shd w:val="clear" w:color="auto" w:fill="FFFFFF"/>
            <w:vAlign w:val="bottom"/>
          </w:tcPr>
          <w:p w14:paraId="47A4A5DD" w14:textId="7B589D50"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127BF424" w14:textId="11980A2A"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4C4BBCE5" w14:textId="77777777" w:rsidTr="00B3052C">
        <w:tc>
          <w:tcPr>
            <w:tcW w:w="2143" w:type="pct"/>
            <w:shd w:val="clear" w:color="auto" w:fill="FFFFFF"/>
            <w:vAlign w:val="bottom"/>
          </w:tcPr>
          <w:p w14:paraId="2AA68530" w14:textId="0039AD89" w:rsidR="00B3052C" w:rsidRPr="00B3052C" w:rsidRDefault="00B3052C" w:rsidP="008F7CE8">
            <w:pPr>
              <w:pStyle w:val="CETBodytext"/>
              <w:jc w:val="left"/>
              <w:rPr>
                <w:rFonts w:cs="Arial"/>
                <w:szCs w:val="18"/>
                <w:lang w:val="en-GB"/>
              </w:rPr>
            </w:pPr>
            <w:r w:rsidRPr="00B3052C">
              <w:rPr>
                <w:rFonts w:cs="Arial"/>
                <w:color w:val="000000"/>
                <w:szCs w:val="18"/>
              </w:rPr>
              <w:t xml:space="preserve">Benzene, 1-ethyl-3-methyl- </w:t>
            </w:r>
          </w:p>
        </w:tc>
        <w:tc>
          <w:tcPr>
            <w:tcW w:w="1429" w:type="pct"/>
            <w:shd w:val="clear" w:color="auto" w:fill="FFFFFF"/>
            <w:vAlign w:val="bottom"/>
          </w:tcPr>
          <w:p w14:paraId="10F1387D" w14:textId="10CAA9BA"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1110CB16" w14:textId="49DE0E73"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03F6A712" w14:textId="77777777" w:rsidTr="00B3052C">
        <w:tc>
          <w:tcPr>
            <w:tcW w:w="2143" w:type="pct"/>
            <w:shd w:val="clear" w:color="auto" w:fill="FFFFFF"/>
            <w:vAlign w:val="bottom"/>
          </w:tcPr>
          <w:p w14:paraId="65E73337" w14:textId="3FC30543" w:rsidR="00B3052C" w:rsidRPr="00B3052C" w:rsidRDefault="00B3052C" w:rsidP="008F7CE8">
            <w:pPr>
              <w:pStyle w:val="CETBodytext"/>
              <w:jc w:val="left"/>
              <w:rPr>
                <w:rFonts w:cs="Arial"/>
                <w:szCs w:val="18"/>
                <w:lang w:val="en-GB"/>
              </w:rPr>
            </w:pPr>
            <w:r w:rsidRPr="00B3052C">
              <w:rPr>
                <w:rFonts w:cs="Arial"/>
                <w:color w:val="000000"/>
                <w:szCs w:val="18"/>
              </w:rPr>
              <w:t xml:space="preserve">Dicyclopentadiene </w:t>
            </w:r>
          </w:p>
        </w:tc>
        <w:tc>
          <w:tcPr>
            <w:tcW w:w="1429" w:type="pct"/>
            <w:shd w:val="clear" w:color="auto" w:fill="FFFFFF"/>
            <w:vAlign w:val="bottom"/>
          </w:tcPr>
          <w:p w14:paraId="5384AEED" w14:textId="66DD2F5C"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24379909" w14:textId="4E6ED79A"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46125F27" w14:textId="77777777" w:rsidTr="00B3052C">
        <w:tc>
          <w:tcPr>
            <w:tcW w:w="2143" w:type="pct"/>
            <w:shd w:val="clear" w:color="auto" w:fill="FFFFFF"/>
            <w:vAlign w:val="bottom"/>
          </w:tcPr>
          <w:p w14:paraId="5BB4FDD2" w14:textId="37ADA06D" w:rsidR="00B3052C" w:rsidRPr="00B3052C" w:rsidRDefault="00B3052C" w:rsidP="008F7CE8">
            <w:pPr>
              <w:pStyle w:val="CETBodytext"/>
              <w:jc w:val="left"/>
              <w:rPr>
                <w:rFonts w:cs="Arial"/>
                <w:szCs w:val="18"/>
                <w:lang w:val="en-GB"/>
              </w:rPr>
            </w:pPr>
            <w:r w:rsidRPr="00B3052C">
              <w:rPr>
                <w:rFonts w:cs="Arial"/>
                <w:color w:val="000000"/>
                <w:szCs w:val="18"/>
              </w:rPr>
              <w:t xml:space="preserve">Undecane </w:t>
            </w:r>
          </w:p>
        </w:tc>
        <w:tc>
          <w:tcPr>
            <w:tcW w:w="1429" w:type="pct"/>
            <w:shd w:val="clear" w:color="auto" w:fill="FFFFFF"/>
            <w:vAlign w:val="bottom"/>
          </w:tcPr>
          <w:p w14:paraId="708EBA6B" w14:textId="0D52207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2E928558" w14:textId="22B42FD4"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52D7FCAF" w14:textId="77777777" w:rsidTr="00B3052C">
        <w:tc>
          <w:tcPr>
            <w:tcW w:w="2143" w:type="pct"/>
            <w:shd w:val="clear" w:color="auto" w:fill="FFFFFF"/>
            <w:vAlign w:val="bottom"/>
          </w:tcPr>
          <w:p w14:paraId="3B9647AE" w14:textId="1AF04998" w:rsidR="00B3052C" w:rsidRPr="00B3052C" w:rsidRDefault="00B3052C" w:rsidP="008F7CE8">
            <w:pPr>
              <w:pStyle w:val="CETBodytext"/>
              <w:jc w:val="left"/>
              <w:rPr>
                <w:rFonts w:cs="Arial"/>
                <w:szCs w:val="18"/>
                <w:lang w:val="en-GB"/>
              </w:rPr>
            </w:pPr>
            <w:r w:rsidRPr="00B3052C">
              <w:rPr>
                <w:rFonts w:cs="Arial"/>
                <w:color w:val="000000"/>
                <w:szCs w:val="18"/>
              </w:rPr>
              <w:t xml:space="preserve">Dodecane </w:t>
            </w:r>
          </w:p>
        </w:tc>
        <w:tc>
          <w:tcPr>
            <w:tcW w:w="1429" w:type="pct"/>
            <w:shd w:val="clear" w:color="auto" w:fill="FFFFFF"/>
            <w:vAlign w:val="bottom"/>
          </w:tcPr>
          <w:p w14:paraId="74B831A8" w14:textId="759B8D23"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5955FD01" w14:textId="6B826F9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r w:rsidR="00B3052C" w:rsidRPr="00B3052C" w14:paraId="50D59E9B" w14:textId="77777777" w:rsidTr="00B3052C">
        <w:tc>
          <w:tcPr>
            <w:tcW w:w="2143" w:type="pct"/>
            <w:shd w:val="clear" w:color="auto" w:fill="FFFFFF"/>
            <w:vAlign w:val="bottom"/>
          </w:tcPr>
          <w:p w14:paraId="419C5F9C" w14:textId="0F441773" w:rsidR="00B3052C" w:rsidRPr="00B3052C" w:rsidRDefault="00B3052C" w:rsidP="008F7CE8">
            <w:pPr>
              <w:pStyle w:val="CETBodytext"/>
              <w:jc w:val="left"/>
              <w:rPr>
                <w:rFonts w:cs="Arial"/>
                <w:color w:val="000000"/>
                <w:szCs w:val="18"/>
                <w:lang w:val="en-GB"/>
              </w:rPr>
            </w:pPr>
            <w:r w:rsidRPr="00B3052C">
              <w:rPr>
                <w:rFonts w:cs="Arial"/>
                <w:color w:val="000000"/>
                <w:szCs w:val="18"/>
              </w:rPr>
              <w:t xml:space="preserve">Naphthalene </w:t>
            </w:r>
          </w:p>
        </w:tc>
        <w:tc>
          <w:tcPr>
            <w:tcW w:w="1429" w:type="pct"/>
            <w:shd w:val="clear" w:color="auto" w:fill="FFFFFF"/>
            <w:vAlign w:val="bottom"/>
          </w:tcPr>
          <w:p w14:paraId="2C903621" w14:textId="06003267"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00B050"/>
                <w:szCs w:val="18"/>
              </w:rPr>
              <w:t>✓</w:t>
            </w:r>
          </w:p>
        </w:tc>
        <w:tc>
          <w:tcPr>
            <w:tcW w:w="1428" w:type="pct"/>
            <w:shd w:val="clear" w:color="auto" w:fill="FFFFFF"/>
            <w:vAlign w:val="bottom"/>
          </w:tcPr>
          <w:p w14:paraId="33795599" w14:textId="509A4999"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00B050"/>
                <w:szCs w:val="18"/>
              </w:rPr>
              <w:t>✓</w:t>
            </w:r>
          </w:p>
        </w:tc>
      </w:tr>
      <w:tr w:rsidR="00B3052C" w:rsidRPr="00B3052C" w14:paraId="51671740" w14:textId="77777777" w:rsidTr="00B3052C">
        <w:tc>
          <w:tcPr>
            <w:tcW w:w="2143" w:type="pct"/>
            <w:shd w:val="clear" w:color="auto" w:fill="FFFFFF"/>
            <w:vAlign w:val="bottom"/>
          </w:tcPr>
          <w:p w14:paraId="4C90AF82" w14:textId="42445857" w:rsidR="00B3052C" w:rsidRPr="00B3052C" w:rsidRDefault="00B3052C" w:rsidP="008F7CE8">
            <w:pPr>
              <w:pStyle w:val="CETBodytext"/>
              <w:jc w:val="left"/>
              <w:rPr>
                <w:rFonts w:cs="Arial"/>
                <w:color w:val="000000"/>
                <w:szCs w:val="18"/>
                <w:lang w:val="en-GB"/>
              </w:rPr>
            </w:pPr>
            <w:r w:rsidRPr="00B3052C">
              <w:rPr>
                <w:rFonts w:cs="Arial"/>
                <w:color w:val="000000"/>
                <w:szCs w:val="18"/>
              </w:rPr>
              <w:t>Tridecane</w:t>
            </w:r>
          </w:p>
        </w:tc>
        <w:tc>
          <w:tcPr>
            <w:tcW w:w="1429" w:type="pct"/>
            <w:shd w:val="clear" w:color="auto" w:fill="FFFFFF"/>
            <w:vAlign w:val="bottom"/>
          </w:tcPr>
          <w:p w14:paraId="4113730A" w14:textId="4A06448E" w:rsidR="00B3052C" w:rsidRPr="00B3052C" w:rsidRDefault="00B3052C" w:rsidP="008F7CE8">
            <w:pPr>
              <w:pStyle w:val="CETBodytext"/>
              <w:jc w:val="center"/>
              <w:rPr>
                <w:rFonts w:cs="Arial"/>
                <w:szCs w:val="18"/>
                <w:lang w:val="en-GB"/>
              </w:rPr>
            </w:pPr>
            <w:r w:rsidRPr="00B3052C">
              <w:rPr>
                <w:rFonts w:ascii="Segoe UI Symbol" w:hAnsi="Segoe UI Symbol" w:cs="Segoe UI Symbol"/>
                <w:b/>
                <w:bCs/>
                <w:color w:val="FF0000"/>
                <w:szCs w:val="18"/>
              </w:rPr>
              <w:t>✗</w:t>
            </w:r>
          </w:p>
        </w:tc>
        <w:tc>
          <w:tcPr>
            <w:tcW w:w="1428" w:type="pct"/>
            <w:shd w:val="clear" w:color="auto" w:fill="FFFFFF"/>
            <w:vAlign w:val="bottom"/>
          </w:tcPr>
          <w:p w14:paraId="22311E60" w14:textId="6D80CA7C" w:rsidR="00B3052C" w:rsidRPr="00B3052C" w:rsidRDefault="00B3052C" w:rsidP="008F7CE8">
            <w:pPr>
              <w:pStyle w:val="CETBodytext"/>
              <w:ind w:right="-1"/>
              <w:jc w:val="center"/>
              <w:rPr>
                <w:rFonts w:cs="Arial"/>
                <w:szCs w:val="18"/>
                <w:lang w:val="en-GB"/>
              </w:rPr>
            </w:pPr>
            <w:r w:rsidRPr="00B3052C">
              <w:rPr>
                <w:rFonts w:ascii="Segoe UI Symbol" w:hAnsi="Segoe UI Symbol" w:cs="Segoe UI Symbol"/>
                <w:b/>
                <w:bCs/>
                <w:color w:val="FF0000"/>
                <w:szCs w:val="18"/>
              </w:rPr>
              <w:t>✗</w:t>
            </w:r>
          </w:p>
        </w:tc>
      </w:tr>
    </w:tbl>
    <w:p w14:paraId="01163A97" w14:textId="4036119B" w:rsidR="002A323A" w:rsidRDefault="002A323A" w:rsidP="002A323A">
      <w:pPr>
        <w:pStyle w:val="CETBodytext"/>
      </w:pPr>
      <w:r>
        <w:lastRenderedPageBreak/>
        <w:t>This preliminary evaluation, based on the</w:t>
      </w:r>
      <w:r w:rsidRPr="0064153F">
        <w:t xml:space="preserve"> analysed sample, </w:t>
      </w:r>
      <w:r>
        <w:t xml:space="preserve">shows </w:t>
      </w:r>
      <w:r w:rsidRPr="0064153F">
        <w:t>that</w:t>
      </w:r>
      <w:r>
        <w:t xml:space="preserve"> </w:t>
      </w:r>
      <w:r w:rsidRPr="0064153F">
        <w:t xml:space="preserve">the </w:t>
      </w:r>
      <w:r>
        <w:t xml:space="preserve">total </w:t>
      </w:r>
      <w:r w:rsidRPr="0064153F">
        <w:t xml:space="preserve">contribution of compounds </w:t>
      </w:r>
      <w:r w:rsidRPr="00A775D7">
        <w:t xml:space="preserve">without </w:t>
      </w:r>
      <w:r>
        <w:t xml:space="preserve">an available </w:t>
      </w:r>
      <w:r w:rsidR="00FB22F8">
        <w:t>exposure threshold</w:t>
      </w:r>
      <w:r w:rsidRPr="00A775D7">
        <w:t xml:space="preserve"> </w:t>
      </w:r>
      <w:r w:rsidRPr="0064153F">
        <w:t xml:space="preserve">represents only 3% of the </w:t>
      </w:r>
      <w:r>
        <w:t xml:space="preserve">total mass concentration of </w:t>
      </w:r>
      <w:r w:rsidRPr="0064153F">
        <w:t>observed compounds</w:t>
      </w:r>
      <w:r>
        <w:t>. To show these results, the chromatogram of the sample was reported (</w:t>
      </w:r>
      <w:r>
        <w:fldChar w:fldCharType="begin"/>
      </w:r>
      <w:r>
        <w:instrText xml:space="preserve"> REF _Ref62624716 \h  \* MERGEFORMAT </w:instrText>
      </w:r>
      <w:r>
        <w:fldChar w:fldCharType="separate"/>
      </w:r>
      <w:r w:rsidRPr="000D5619">
        <w:t>Figure 1</w:t>
      </w:r>
      <w:r>
        <w:fldChar w:fldCharType="end"/>
      </w:r>
      <w:r>
        <w:t>). Here, th</w:t>
      </w:r>
      <w:r w:rsidRPr="00A775D7">
        <w:t xml:space="preserve">e </w:t>
      </w:r>
      <w:r>
        <w:t>chromatographic peaks</w:t>
      </w:r>
      <w:r w:rsidRPr="00A775D7">
        <w:t xml:space="preserve"> were highlighted differently depending on the availabil</w:t>
      </w:r>
      <w:r>
        <w:t xml:space="preserve">ity of a threshold limit value: in green, the </w:t>
      </w:r>
      <w:r w:rsidRPr="00A775D7">
        <w:t xml:space="preserve">compounds </w:t>
      </w:r>
      <w:r>
        <w:t>characterized by a TLV value and in red the</w:t>
      </w:r>
      <w:r w:rsidRPr="00A775D7">
        <w:t xml:space="preserve"> compounds </w:t>
      </w:r>
      <w:r>
        <w:t>without a</w:t>
      </w:r>
      <w:r w:rsidRPr="00A775D7">
        <w:t xml:space="preserve"> </w:t>
      </w:r>
      <w:r>
        <w:t>TLV value.</w:t>
      </w:r>
    </w:p>
    <w:p w14:paraId="51022EC4" w14:textId="1CB288B5" w:rsidR="008E37B1" w:rsidRDefault="00A775D7" w:rsidP="00B3052C">
      <w:pPr>
        <w:pStyle w:val="CETBodytext"/>
      </w:pPr>
      <w:r>
        <w:t xml:space="preserve">As visible in </w:t>
      </w:r>
      <w:r>
        <w:fldChar w:fldCharType="begin"/>
      </w:r>
      <w:r>
        <w:instrText xml:space="preserve"> REF _Ref62624716 \h </w:instrText>
      </w:r>
      <w:r w:rsidR="00B3052C">
        <w:instrText xml:space="preserve"> \* MERGEFORMAT </w:instrText>
      </w:r>
      <w:r>
        <w:fldChar w:fldCharType="separate"/>
      </w:r>
      <w:r w:rsidRPr="000D5619">
        <w:t>Figure 1</w:t>
      </w:r>
      <w:r>
        <w:fldChar w:fldCharType="end"/>
      </w:r>
      <w:r>
        <w:t>, it is possible to affirm that</w:t>
      </w:r>
      <w:r w:rsidR="0015641C">
        <w:t xml:space="preserve"> </w:t>
      </w:r>
      <w:r>
        <w:t xml:space="preserve">the </w:t>
      </w:r>
      <w:r w:rsidR="0015641C">
        <w:t xml:space="preserve">majority of the </w:t>
      </w:r>
      <w:r>
        <w:t xml:space="preserve">compounds </w:t>
      </w:r>
      <w:r w:rsidR="0015641C">
        <w:t xml:space="preserve">detected in this sample </w:t>
      </w:r>
      <w:r>
        <w:t xml:space="preserve">are </w:t>
      </w:r>
      <w:r w:rsidR="0015641C">
        <w:t>characterized</w:t>
      </w:r>
      <w:r>
        <w:t xml:space="preserve"> by a specific exposure concentration (TLV value) for the non-carcinogenic effect</w:t>
      </w:r>
      <w:r w:rsidR="0015641C">
        <w:t>. Therefore</w:t>
      </w:r>
      <w:r w:rsidR="0015641C" w:rsidRPr="0015641C">
        <w:t xml:space="preserve">, as a first approximation, </w:t>
      </w:r>
      <w:r w:rsidR="008E37B1">
        <w:t xml:space="preserve">the </w:t>
      </w:r>
      <w:r w:rsidR="0015641C" w:rsidRPr="0015641C">
        <w:t>compounds for which no threshold value</w:t>
      </w:r>
      <w:r w:rsidR="008E37B1">
        <w:t xml:space="preserve"> (among STEL, TWA or IDHL limits)</w:t>
      </w:r>
      <w:r w:rsidR="0015641C" w:rsidRPr="0015641C">
        <w:t xml:space="preserve"> is available</w:t>
      </w:r>
      <w:r w:rsidR="00360462">
        <w:t>,</w:t>
      </w:r>
      <w:r w:rsidR="0015641C" w:rsidRPr="0015641C">
        <w:t xml:space="preserve"> </w:t>
      </w:r>
      <w:r w:rsidR="00360462" w:rsidRPr="0015641C">
        <w:t>c</w:t>
      </w:r>
      <w:r w:rsidR="00360462">
        <w:t>ould</w:t>
      </w:r>
      <w:r w:rsidR="00360462" w:rsidRPr="0015641C">
        <w:t xml:space="preserve"> </w:t>
      </w:r>
      <w:r w:rsidR="0015641C" w:rsidRPr="0015641C">
        <w:t>be negle</w:t>
      </w:r>
      <w:r w:rsidR="0015641C">
        <w:t>cted</w:t>
      </w:r>
      <w:r w:rsidR="00360462">
        <w:t xml:space="preserve"> due to</w:t>
      </w:r>
      <w:r w:rsidR="0015641C">
        <w:t xml:space="preserve"> </w:t>
      </w:r>
      <w:r w:rsidR="0015641C" w:rsidRPr="0015641C">
        <w:t>the</w:t>
      </w:r>
      <w:r w:rsidR="00360462">
        <w:t xml:space="preserve">ir </w:t>
      </w:r>
      <w:r w:rsidR="00360462" w:rsidRPr="0015641C">
        <w:t xml:space="preserve">very </w:t>
      </w:r>
      <w:r w:rsidR="00360462">
        <w:t>slight</w:t>
      </w:r>
      <w:r w:rsidR="0015641C" w:rsidRPr="0015641C">
        <w:t xml:space="preserve"> overall </w:t>
      </w:r>
      <w:r w:rsidR="00360462">
        <w:t>contribution</w:t>
      </w:r>
      <w:r w:rsidR="0015641C" w:rsidRPr="0015641C">
        <w:t>.</w:t>
      </w:r>
      <w:r w:rsidR="003C2176">
        <w:t xml:space="preserve"> </w:t>
      </w:r>
      <w:r w:rsidR="008E37B1">
        <w:t xml:space="preserve">This consideration is </w:t>
      </w:r>
      <w:r w:rsidR="00360462">
        <w:t xml:space="preserve">only </w:t>
      </w:r>
      <w:r w:rsidR="008E37B1">
        <w:t xml:space="preserve">a preliminary approach to this </w:t>
      </w:r>
      <w:r w:rsidR="00360462">
        <w:t>issue</w:t>
      </w:r>
      <w:r w:rsidR="008E37B1">
        <w:t xml:space="preserve">. Indeed, the </w:t>
      </w:r>
      <w:r w:rsidR="008E37B1" w:rsidRPr="008E37B1">
        <w:t xml:space="preserve">choice of neglecting </w:t>
      </w:r>
      <w:r w:rsidR="00360462">
        <w:t xml:space="preserve">the TLV-missing </w:t>
      </w:r>
      <w:r w:rsidR="008E37B1" w:rsidRPr="008E37B1">
        <w:t>compounds c</w:t>
      </w:r>
      <w:r w:rsidR="00360462">
        <w:t>ould</w:t>
      </w:r>
      <w:r w:rsidR="008E37B1" w:rsidRPr="008E37B1">
        <w:t xml:space="preserve"> be adopted </w:t>
      </w:r>
      <w:r w:rsidR="00360462">
        <w:t xml:space="preserve">only </w:t>
      </w:r>
      <w:r w:rsidR="008E37B1" w:rsidRPr="008E37B1">
        <w:t xml:space="preserve">if </w:t>
      </w:r>
      <w:r w:rsidR="00360462">
        <w:t>their concentrations are very low compared to the others</w:t>
      </w:r>
      <w:r w:rsidR="008E37B1" w:rsidRPr="008E37B1">
        <w:t>.</w:t>
      </w:r>
      <w:r w:rsidR="008E37B1">
        <w:t xml:space="preserve"> However, this </w:t>
      </w:r>
      <w:r w:rsidR="008E37B1" w:rsidRPr="008E37B1">
        <w:t xml:space="preserve">approximation cannot be </w:t>
      </w:r>
      <w:r w:rsidR="008A7AFE">
        <w:t xml:space="preserve">generally adopted but has to be discussed </w:t>
      </w:r>
      <w:r w:rsidR="008E37B1" w:rsidRPr="008E37B1">
        <w:t>on a case-by-case basis</w:t>
      </w:r>
      <w:r w:rsidR="008E37B1">
        <w:t>. Indeed, i</w:t>
      </w:r>
      <w:r w:rsidR="008E37B1" w:rsidRPr="008E37B1">
        <w:t xml:space="preserve">f the contribution of compounds without a defined </w:t>
      </w:r>
      <w:r w:rsidR="008E37B1">
        <w:t xml:space="preserve">toxicological </w:t>
      </w:r>
      <w:r w:rsidR="008E37B1" w:rsidRPr="008E37B1">
        <w:t xml:space="preserve">threshold cannot be neglected, further assessment will be necessary </w:t>
      </w:r>
      <w:r w:rsidR="00360462">
        <w:t>on evaluating</w:t>
      </w:r>
      <w:r w:rsidR="008E37B1">
        <w:t xml:space="preserve"> </w:t>
      </w:r>
      <w:r w:rsidR="008E37B1" w:rsidRPr="008E37B1">
        <w:t xml:space="preserve">their potential </w:t>
      </w:r>
      <w:r w:rsidR="008E37B1">
        <w:t>toxicity</w:t>
      </w:r>
      <w:r w:rsidR="00360462">
        <w:t>, in order to</w:t>
      </w:r>
      <w:r w:rsidR="008E37B1">
        <w:t xml:space="preserve"> conduct the toxicological evaluation of exposure risk for panellist</w:t>
      </w:r>
      <w:r w:rsidR="00B3052C">
        <w:t>s</w:t>
      </w:r>
      <w:r w:rsidR="008E37B1">
        <w:t>.</w:t>
      </w:r>
    </w:p>
    <w:p w14:paraId="6425BA7B" w14:textId="3F3E8C09" w:rsidR="0039218D" w:rsidRPr="00D85848" w:rsidRDefault="0039218D" w:rsidP="00C16969">
      <w:pPr>
        <w:pStyle w:val="CETHeading1"/>
        <w:rPr>
          <w:lang w:val="en-GB"/>
        </w:rPr>
      </w:pPr>
      <w:r w:rsidRPr="00D85848">
        <w:rPr>
          <w:lang w:val="en-GB"/>
        </w:rPr>
        <w:t>Conclusion</w:t>
      </w:r>
    </w:p>
    <w:p w14:paraId="2020B731" w14:textId="7F13C4FA" w:rsidR="006E2DEC" w:rsidRPr="00B3052C" w:rsidRDefault="0039218D" w:rsidP="00B3052C">
      <w:pPr>
        <w:pStyle w:val="CETBodytext"/>
      </w:pPr>
      <w:r w:rsidRPr="00B3052C">
        <w:t xml:space="preserve">The evaluation of </w:t>
      </w:r>
      <w:r w:rsidR="004E3735" w:rsidRPr="00B3052C">
        <w:t>panellists</w:t>
      </w:r>
      <w:r w:rsidRPr="00B3052C">
        <w:t xml:space="preserve"> exposure risk</w:t>
      </w:r>
      <w:r w:rsidR="00360462">
        <w:t>,</w:t>
      </w:r>
      <w:r w:rsidRPr="00B3052C">
        <w:t xml:space="preserve"> during olfactometric analysis</w:t>
      </w:r>
      <w:r w:rsidR="00360462">
        <w:t>,</w:t>
      </w:r>
      <w:r w:rsidR="006A2400" w:rsidRPr="00B3052C">
        <w:t xml:space="preserve"> and the definition of </w:t>
      </w:r>
      <w:r w:rsidR="00A917AD" w:rsidRPr="00B3052C">
        <w:t xml:space="preserve">a minimum dilution value </w:t>
      </w:r>
      <w:r w:rsidR="00360462">
        <w:t>appears crucial</w:t>
      </w:r>
      <w:r w:rsidR="00A917AD" w:rsidRPr="00B3052C">
        <w:t xml:space="preserve">. </w:t>
      </w:r>
      <w:r w:rsidRPr="00B3052C">
        <w:t xml:space="preserve">Although the problem has been </w:t>
      </w:r>
      <w:r w:rsidR="00360462" w:rsidRPr="00360462">
        <w:t>known for a long time</w:t>
      </w:r>
      <w:r w:rsidRPr="00B3052C">
        <w:t>, a standardize</w:t>
      </w:r>
      <w:r w:rsidR="006A2400" w:rsidRPr="00B3052C">
        <w:t>d</w:t>
      </w:r>
      <w:r w:rsidRPr="00B3052C">
        <w:t xml:space="preserve"> procedure </w:t>
      </w:r>
      <w:r w:rsidR="00360462">
        <w:t>has</w:t>
      </w:r>
      <w:r w:rsidR="00360462" w:rsidRPr="00B3052C">
        <w:t xml:space="preserve"> </w:t>
      </w:r>
      <w:r w:rsidRPr="00B3052C">
        <w:t xml:space="preserve">not yet defined. This work aims to </w:t>
      </w:r>
      <w:r w:rsidR="00A917AD" w:rsidRPr="00B3052C">
        <w:t>describe the</w:t>
      </w:r>
      <w:r w:rsidRPr="00B3052C">
        <w:t xml:space="preserve"> two models available</w:t>
      </w:r>
      <w:r w:rsidR="00A917AD" w:rsidRPr="00B3052C">
        <w:t xml:space="preserve"> </w:t>
      </w:r>
      <w:r w:rsidR="00360462">
        <w:t xml:space="preserve">in literature </w:t>
      </w:r>
      <w:r w:rsidR="00A917AD" w:rsidRPr="00B3052C">
        <w:t xml:space="preserve">and </w:t>
      </w:r>
      <w:r w:rsidR="00360462">
        <w:t>examine</w:t>
      </w:r>
      <w:r w:rsidR="00360462" w:rsidRPr="00B3052C">
        <w:t xml:space="preserve"> </w:t>
      </w:r>
      <w:r w:rsidR="00A917AD" w:rsidRPr="00B3052C">
        <w:t xml:space="preserve">their </w:t>
      </w:r>
      <w:r w:rsidR="00360462">
        <w:t xml:space="preserve">possible </w:t>
      </w:r>
      <w:r w:rsidR="00C120EA">
        <w:t>difficulties</w:t>
      </w:r>
      <w:r w:rsidR="00360462" w:rsidRPr="00B3052C">
        <w:t xml:space="preserve"> </w:t>
      </w:r>
      <w:r w:rsidR="00A917AD" w:rsidRPr="00B3052C">
        <w:t>if they are applied to a real</w:t>
      </w:r>
      <w:r w:rsidR="00360462">
        <w:t>-case</w:t>
      </w:r>
      <w:r w:rsidR="00A917AD" w:rsidRPr="00B3052C">
        <w:t xml:space="preserve"> odorous sample. </w:t>
      </w:r>
      <w:r w:rsidR="00FC1C90">
        <w:t>T</w:t>
      </w:r>
      <w:r w:rsidR="00FC1C90" w:rsidRPr="00B3052C">
        <w:t xml:space="preserve">he selection of </w:t>
      </w:r>
      <w:r w:rsidR="004F5313">
        <w:t>the reference concentration</w:t>
      </w:r>
      <w:r w:rsidR="00AA3734">
        <w:t>,</w:t>
      </w:r>
      <w:r w:rsidR="00FC1C90" w:rsidRPr="00B3052C">
        <w:t xml:space="preserve"> for the elaboration</w:t>
      </w:r>
      <w:r w:rsidR="00AA3734">
        <w:t>,</w:t>
      </w:r>
      <w:r w:rsidR="00FC1C90" w:rsidRPr="00B3052C">
        <w:t xml:space="preserve"> is fundamental to obtain reproducible and reliable minimum dilution values</w:t>
      </w:r>
      <w:r w:rsidR="00FC1C90">
        <w:t xml:space="preserve"> among different olfactometric laboratories</w:t>
      </w:r>
      <w:r w:rsidR="00FC1C90" w:rsidRPr="00B3052C">
        <w:t>.</w:t>
      </w:r>
      <w:r w:rsidR="00FC1C90">
        <w:t xml:space="preserve"> </w:t>
      </w:r>
      <w:r w:rsidR="00AA3734">
        <w:t>In addition</w:t>
      </w:r>
      <w:r w:rsidR="00FC1C90">
        <w:t>, t</w:t>
      </w:r>
      <w:r w:rsidR="00A917AD" w:rsidRPr="00B3052C">
        <w:t xml:space="preserve">he absence of </w:t>
      </w:r>
      <w:r w:rsidR="004F5313">
        <w:t>a</w:t>
      </w:r>
      <w:r w:rsidR="00BD25C7">
        <w:t>n</w:t>
      </w:r>
      <w:r w:rsidR="004F5313">
        <w:t xml:space="preserve"> exposure </w:t>
      </w:r>
      <w:r w:rsidR="00B11D3B">
        <w:t>limit</w:t>
      </w:r>
      <w:r w:rsidR="00A917AD" w:rsidRPr="00B3052C">
        <w:t xml:space="preserve"> for many pollutants</w:t>
      </w:r>
      <w:r w:rsidR="00AA3734">
        <w:t>, actually</w:t>
      </w:r>
      <w:r w:rsidR="00A917AD" w:rsidRPr="00B3052C">
        <w:t xml:space="preserve"> present in a</w:t>
      </w:r>
      <w:r w:rsidR="00AA3734">
        <w:t>n olfactometric</w:t>
      </w:r>
      <w:r w:rsidR="00A917AD" w:rsidRPr="00B3052C">
        <w:t xml:space="preserve"> sample</w:t>
      </w:r>
      <w:r w:rsidR="00AA3734">
        <w:t>,</w:t>
      </w:r>
      <w:r w:rsidR="00A917AD" w:rsidRPr="00B3052C">
        <w:t xml:space="preserve"> </w:t>
      </w:r>
      <w:r w:rsidR="00AA3734">
        <w:t>may lead to</w:t>
      </w:r>
      <w:r w:rsidR="00A917AD" w:rsidRPr="00B3052C">
        <w:t xml:space="preserve"> </w:t>
      </w:r>
      <w:r w:rsidR="008A7FEF" w:rsidRPr="00B3052C">
        <w:t xml:space="preserve">an underestimation </w:t>
      </w:r>
      <w:r w:rsidR="00A917AD" w:rsidRPr="00B3052C">
        <w:t>of</w:t>
      </w:r>
      <w:r w:rsidR="00AA3734">
        <w:t xml:space="preserve"> the potential</w:t>
      </w:r>
      <w:r w:rsidR="00A917AD" w:rsidRPr="00B3052C">
        <w:t xml:space="preserve"> </w:t>
      </w:r>
      <w:r w:rsidR="008A7FEF" w:rsidRPr="00B3052C">
        <w:t>risk.</w:t>
      </w:r>
      <w:r w:rsidR="00FC1C90">
        <w:t xml:space="preserve"> </w:t>
      </w:r>
      <w:r w:rsidR="00AA3734">
        <w:t>As a first trial hypothesis, t</w:t>
      </w:r>
      <w:r w:rsidR="00FC1C90">
        <w:t>hese compounds c</w:t>
      </w:r>
      <w:r w:rsidR="00AA3734">
        <w:t>ould</w:t>
      </w:r>
      <w:r w:rsidR="00FC1C90">
        <w:t xml:space="preserve"> </w:t>
      </w:r>
      <w:r w:rsidR="00FC1C90" w:rsidRPr="00FC1C90">
        <w:t xml:space="preserve">be neglected if they are present </w:t>
      </w:r>
      <w:r w:rsidR="00AA3734">
        <w:t>at very</w:t>
      </w:r>
      <w:r w:rsidR="00FC1C90" w:rsidRPr="00FC1C90">
        <w:t xml:space="preserve"> low concentrations. </w:t>
      </w:r>
      <w:r w:rsidR="00FC1C90">
        <w:t>O</w:t>
      </w:r>
      <w:r w:rsidR="00FC1C90" w:rsidRPr="00FC1C90">
        <w:t>therwise</w:t>
      </w:r>
      <w:r w:rsidR="00FC1C90">
        <w:t xml:space="preserve">, </w:t>
      </w:r>
      <w:r w:rsidR="00FC1C90" w:rsidRPr="00FC1C90">
        <w:t xml:space="preserve">it will be necessary to evaluate a </w:t>
      </w:r>
      <w:r w:rsidR="00FC1C90">
        <w:t xml:space="preserve">specific </w:t>
      </w:r>
      <w:r w:rsidR="00FC1C90" w:rsidRPr="00FC1C90">
        <w:t>method for estimating the hazard associated with the presence of these compounds.</w:t>
      </w:r>
    </w:p>
    <w:p w14:paraId="0193B45C" w14:textId="21836FA8" w:rsidR="00C16969" w:rsidRPr="00D85848" w:rsidRDefault="00C16969" w:rsidP="00C16969">
      <w:pPr>
        <w:pStyle w:val="CETReference"/>
      </w:pPr>
      <w:r w:rsidRPr="00D85848">
        <w:t>References</w:t>
      </w:r>
    </w:p>
    <w:p w14:paraId="1F6A7177" w14:textId="7784FF3A" w:rsidR="00FB22F8" w:rsidRPr="00FB22F8" w:rsidRDefault="003A6C77" w:rsidP="00FB22F8">
      <w:pPr>
        <w:widowControl w:val="0"/>
        <w:autoSpaceDE w:val="0"/>
        <w:autoSpaceDN w:val="0"/>
        <w:adjustRightInd w:val="0"/>
        <w:spacing w:line="240" w:lineRule="auto"/>
        <w:ind w:left="480" w:hanging="480"/>
        <w:rPr>
          <w:rFonts w:cs="Arial"/>
          <w:noProof/>
          <w:szCs w:val="24"/>
        </w:rPr>
      </w:pPr>
      <w:r w:rsidRPr="001E5806">
        <w:fldChar w:fldCharType="begin" w:fldLock="1"/>
      </w:r>
      <w:r w:rsidRPr="001E5806">
        <w:instrText xml:space="preserve">ADDIN Mendeley Bibliography CSL_BIBLIOGRAPHY </w:instrText>
      </w:r>
      <w:r w:rsidRPr="001E5806">
        <w:fldChar w:fldCharType="separate"/>
      </w:r>
      <w:r w:rsidR="00FB22F8" w:rsidRPr="00FB22F8">
        <w:rPr>
          <w:rFonts w:cs="Arial"/>
          <w:noProof/>
          <w:szCs w:val="24"/>
        </w:rPr>
        <w:t xml:space="preserve">ACGIH® (2020). </w:t>
      </w:r>
      <w:r w:rsidR="00FB22F8" w:rsidRPr="00FB22F8">
        <w:rPr>
          <w:rFonts w:cs="Arial"/>
          <w:i/>
          <w:iCs/>
          <w:noProof/>
          <w:szCs w:val="24"/>
        </w:rPr>
        <w:t>ACGIH® Threshold Limit Values (TLVs®) and Biological Exposure Indices (BEIs®)</w:t>
      </w:r>
      <w:r w:rsidR="00FB22F8" w:rsidRPr="00FB22F8">
        <w:rPr>
          <w:rFonts w:cs="Arial"/>
          <w:noProof/>
          <w:szCs w:val="24"/>
        </w:rPr>
        <w:t>.</w:t>
      </w:r>
    </w:p>
    <w:p w14:paraId="518FAC69" w14:textId="448EE14D"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3E3531">
        <w:rPr>
          <w:rFonts w:cs="Arial"/>
          <w:noProof/>
          <w:szCs w:val="24"/>
          <w:lang w:val="it-IT"/>
        </w:rPr>
        <w:t xml:space="preserve">Bax, C., Sironi, S., Capelli, L. (2020). </w:t>
      </w:r>
      <w:r w:rsidRPr="00FB22F8">
        <w:rPr>
          <w:rFonts w:cs="Arial"/>
          <w:noProof/>
          <w:szCs w:val="24"/>
        </w:rPr>
        <w:t xml:space="preserve">How Can Odors Be Measured? An Overview of Methods and Their Applications. </w:t>
      </w:r>
      <w:r w:rsidRPr="00FB22F8">
        <w:rPr>
          <w:rFonts w:cs="Arial"/>
          <w:i/>
          <w:iCs/>
          <w:noProof/>
          <w:szCs w:val="24"/>
        </w:rPr>
        <w:t>Atmosphere</w:t>
      </w:r>
      <w:r w:rsidRPr="00FB22F8">
        <w:rPr>
          <w:rFonts w:cs="Arial"/>
          <w:noProof/>
          <w:szCs w:val="24"/>
        </w:rPr>
        <w:t xml:space="preserve">, </w:t>
      </w:r>
      <w:r w:rsidRPr="00FB22F8">
        <w:rPr>
          <w:rFonts w:cs="Arial"/>
          <w:i/>
          <w:iCs/>
          <w:noProof/>
          <w:szCs w:val="24"/>
        </w:rPr>
        <w:t>11</w:t>
      </w:r>
      <w:r w:rsidR="007D76C2">
        <w:rPr>
          <w:rFonts w:cs="Arial"/>
          <w:i/>
          <w:iCs/>
          <w:noProof/>
          <w:szCs w:val="24"/>
        </w:rPr>
        <w:t xml:space="preserve"> </w:t>
      </w:r>
      <w:r w:rsidRPr="00FB22F8">
        <w:rPr>
          <w:rFonts w:cs="Arial"/>
          <w:noProof/>
          <w:szCs w:val="24"/>
        </w:rPr>
        <w:t>(1), 92. https://doi.org/10.3390/atmos11010092</w:t>
      </w:r>
    </w:p>
    <w:p w14:paraId="0FD60B3E" w14:textId="1DAB0295"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3E3531">
        <w:rPr>
          <w:rFonts w:cs="Arial"/>
          <w:noProof/>
          <w:szCs w:val="24"/>
          <w:lang w:val="it-IT"/>
        </w:rPr>
        <w:t xml:space="preserve">Capelli, L., Sironi, S., Del Rosso, R., Céntola, P., Il Grande, M. (2008). </w:t>
      </w:r>
      <w:r w:rsidRPr="00FB22F8">
        <w:rPr>
          <w:rFonts w:cs="Arial"/>
          <w:noProof/>
          <w:szCs w:val="24"/>
        </w:rPr>
        <w:t xml:space="preserve">A comparative and critical evaluation of odour assessment methods on a landfill site. </w:t>
      </w:r>
      <w:r w:rsidRPr="00FB22F8">
        <w:rPr>
          <w:rFonts w:cs="Arial"/>
          <w:i/>
          <w:iCs/>
          <w:noProof/>
          <w:szCs w:val="24"/>
        </w:rPr>
        <w:t>Atmospheric Environment</w:t>
      </w:r>
      <w:r w:rsidRPr="00FB22F8">
        <w:rPr>
          <w:rFonts w:cs="Arial"/>
          <w:noProof/>
          <w:szCs w:val="24"/>
        </w:rPr>
        <w:t xml:space="preserve">, </w:t>
      </w:r>
      <w:r w:rsidRPr="00FB22F8">
        <w:rPr>
          <w:rFonts w:cs="Arial"/>
          <w:i/>
          <w:iCs/>
          <w:noProof/>
          <w:szCs w:val="24"/>
        </w:rPr>
        <w:t>42</w:t>
      </w:r>
      <w:r w:rsidR="007D76C2">
        <w:rPr>
          <w:rFonts w:cs="Arial"/>
          <w:i/>
          <w:iCs/>
          <w:noProof/>
          <w:szCs w:val="24"/>
        </w:rPr>
        <w:t xml:space="preserve"> </w:t>
      </w:r>
      <w:r w:rsidRPr="00FB22F8">
        <w:rPr>
          <w:rFonts w:cs="Arial"/>
          <w:noProof/>
          <w:szCs w:val="24"/>
        </w:rPr>
        <w:t>(30), 7050–7058. https://doi.org/10.1016/j.atmosenv.2008.06.009</w:t>
      </w:r>
    </w:p>
    <w:p w14:paraId="217A0DDC" w14:textId="0247BC7D" w:rsidR="00FB22F8" w:rsidRPr="003E3531" w:rsidRDefault="00FB22F8" w:rsidP="00FB22F8">
      <w:pPr>
        <w:widowControl w:val="0"/>
        <w:autoSpaceDE w:val="0"/>
        <w:autoSpaceDN w:val="0"/>
        <w:adjustRightInd w:val="0"/>
        <w:spacing w:line="240" w:lineRule="auto"/>
        <w:ind w:left="480" w:hanging="480"/>
        <w:rPr>
          <w:rFonts w:cs="Arial"/>
          <w:noProof/>
          <w:szCs w:val="24"/>
          <w:lang w:val="it-IT"/>
        </w:rPr>
      </w:pPr>
      <w:r w:rsidRPr="00FB22F8">
        <w:rPr>
          <w:rFonts w:cs="Arial"/>
          <w:noProof/>
          <w:szCs w:val="24"/>
        </w:rPr>
        <w:t>Cattaneo, A., Spinazzè</w:t>
      </w:r>
      <w:r>
        <w:rPr>
          <w:rFonts w:cs="Arial"/>
          <w:noProof/>
          <w:szCs w:val="24"/>
        </w:rPr>
        <w:t>, A., C</w:t>
      </w:r>
      <w:r w:rsidRPr="00FB22F8">
        <w:rPr>
          <w:rFonts w:cs="Arial"/>
          <w:noProof/>
          <w:szCs w:val="24"/>
        </w:rPr>
        <w:t xml:space="preserve">avallo, D. M. (2018). Occupational exposure limit values for chemical risk assessment at European level. </w:t>
      </w:r>
      <w:r w:rsidRPr="003E3531">
        <w:rPr>
          <w:rFonts w:cs="Arial"/>
          <w:i/>
          <w:iCs/>
          <w:noProof/>
          <w:szCs w:val="24"/>
          <w:lang w:val="it-IT"/>
        </w:rPr>
        <w:t>Italian Journal of Occupational and Environmental Hygiene</w:t>
      </w:r>
      <w:r w:rsidRPr="003E3531">
        <w:rPr>
          <w:rFonts w:cs="Arial"/>
          <w:noProof/>
          <w:szCs w:val="24"/>
          <w:lang w:val="it-IT"/>
        </w:rPr>
        <w:t xml:space="preserve">, </w:t>
      </w:r>
      <w:r w:rsidRPr="003E3531">
        <w:rPr>
          <w:rFonts w:cs="Arial"/>
          <w:i/>
          <w:iCs/>
          <w:noProof/>
          <w:szCs w:val="24"/>
          <w:lang w:val="it-IT"/>
        </w:rPr>
        <w:t>9</w:t>
      </w:r>
      <w:r w:rsidRPr="003E3531">
        <w:rPr>
          <w:rFonts w:cs="Arial"/>
          <w:noProof/>
          <w:szCs w:val="24"/>
          <w:lang w:val="it-IT"/>
        </w:rPr>
        <w:t>(October), 93–97.</w:t>
      </w:r>
    </w:p>
    <w:p w14:paraId="4FD71D1F" w14:textId="77777777" w:rsidR="00FB22F8" w:rsidRPr="003E3531" w:rsidRDefault="00FB22F8" w:rsidP="00FB22F8">
      <w:pPr>
        <w:widowControl w:val="0"/>
        <w:autoSpaceDE w:val="0"/>
        <w:autoSpaceDN w:val="0"/>
        <w:adjustRightInd w:val="0"/>
        <w:spacing w:line="240" w:lineRule="auto"/>
        <w:ind w:left="480" w:hanging="480"/>
        <w:rPr>
          <w:rFonts w:cs="Arial"/>
          <w:noProof/>
          <w:szCs w:val="24"/>
          <w:lang w:val="it-IT"/>
        </w:rPr>
      </w:pPr>
      <w:r w:rsidRPr="003E3531">
        <w:rPr>
          <w:rFonts w:cs="Arial"/>
          <w:noProof/>
          <w:szCs w:val="24"/>
          <w:lang w:val="it-IT"/>
        </w:rPr>
        <w:t xml:space="preserve">Davoli, E., Zuccato, E., Bianchi, G., Il Grande, M., Bonati, S., Rossi, A. N., Porporato, C., Pereno, M., &amp; Soldati, S. (2016). </w:t>
      </w:r>
      <w:r w:rsidRPr="00FB22F8">
        <w:rPr>
          <w:rFonts w:cs="Arial"/>
          <w:noProof/>
          <w:szCs w:val="24"/>
        </w:rPr>
        <w:t xml:space="preserve">Dynamic olfactometry and sample toxicity. a case study for a MSW incinerator odour assessment project. </w:t>
      </w:r>
      <w:r w:rsidRPr="003E3531">
        <w:rPr>
          <w:rFonts w:cs="Arial"/>
          <w:i/>
          <w:iCs/>
          <w:noProof/>
          <w:szCs w:val="24"/>
          <w:lang w:val="it-IT"/>
        </w:rPr>
        <w:t>Chemical Engineering Transactions</w:t>
      </w:r>
      <w:r w:rsidRPr="003E3531">
        <w:rPr>
          <w:rFonts w:cs="Arial"/>
          <w:noProof/>
          <w:szCs w:val="24"/>
          <w:lang w:val="it-IT"/>
        </w:rPr>
        <w:t xml:space="preserve">, </w:t>
      </w:r>
      <w:r w:rsidRPr="003E3531">
        <w:rPr>
          <w:rFonts w:cs="Arial"/>
          <w:i/>
          <w:iCs/>
          <w:noProof/>
          <w:szCs w:val="24"/>
          <w:lang w:val="it-IT"/>
        </w:rPr>
        <w:t>54</w:t>
      </w:r>
      <w:r w:rsidRPr="003E3531">
        <w:rPr>
          <w:rFonts w:cs="Arial"/>
          <w:noProof/>
          <w:szCs w:val="24"/>
          <w:lang w:val="it-IT"/>
        </w:rPr>
        <w:t>, 13–18.</w:t>
      </w:r>
    </w:p>
    <w:p w14:paraId="62727D92" w14:textId="1370220E" w:rsidR="00FB22F8" w:rsidRPr="003E3531" w:rsidRDefault="00FB22F8" w:rsidP="00FB22F8">
      <w:pPr>
        <w:widowControl w:val="0"/>
        <w:autoSpaceDE w:val="0"/>
        <w:autoSpaceDN w:val="0"/>
        <w:adjustRightInd w:val="0"/>
        <w:spacing w:line="240" w:lineRule="auto"/>
        <w:ind w:left="960" w:hanging="480"/>
        <w:rPr>
          <w:rFonts w:cs="Arial"/>
          <w:noProof/>
          <w:szCs w:val="24"/>
          <w:lang w:val="it-IT"/>
        </w:rPr>
      </w:pPr>
      <w:r w:rsidRPr="003E3531">
        <w:rPr>
          <w:rFonts w:cs="Arial"/>
          <w:noProof/>
          <w:szCs w:val="24"/>
          <w:lang w:val="it-IT"/>
        </w:rPr>
        <w:t>https://doi.org/10.3303/CET1654003</w:t>
      </w:r>
    </w:p>
    <w:p w14:paraId="5D484346" w14:textId="1406B7C3"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3E3531">
        <w:rPr>
          <w:rFonts w:cs="Arial"/>
          <w:noProof/>
          <w:szCs w:val="24"/>
          <w:lang w:val="it-IT"/>
        </w:rPr>
        <w:t xml:space="preserve">Davoli, E., Zuccato, E., Bianchi, G., Palmiotto, M., Il Grande, M., Bonati, S., Rossi, A. N. (2012). </w:t>
      </w:r>
      <w:r w:rsidRPr="00FB22F8">
        <w:rPr>
          <w:rFonts w:cs="Arial"/>
          <w:noProof/>
          <w:szCs w:val="24"/>
        </w:rPr>
        <w:t xml:space="preserve">Dynamic Olfactometry and Potential Sample Toxicity. Guidelines for a Safe Occupational Health Approach. </w:t>
      </w:r>
      <w:r w:rsidRPr="00FB22F8">
        <w:rPr>
          <w:rFonts w:cs="Arial"/>
          <w:i/>
          <w:iCs/>
          <w:noProof/>
          <w:szCs w:val="24"/>
        </w:rPr>
        <w:t>Chemical Engineering Transactions</w:t>
      </w:r>
      <w:r w:rsidRPr="00FB22F8">
        <w:rPr>
          <w:rFonts w:cs="Arial"/>
          <w:noProof/>
          <w:szCs w:val="24"/>
        </w:rPr>
        <w:t xml:space="preserve">, </w:t>
      </w:r>
      <w:r w:rsidRPr="00FB22F8">
        <w:rPr>
          <w:rFonts w:cs="Arial"/>
          <w:i/>
          <w:iCs/>
          <w:noProof/>
          <w:szCs w:val="24"/>
        </w:rPr>
        <w:t>30</w:t>
      </w:r>
      <w:r w:rsidRPr="00FB22F8">
        <w:rPr>
          <w:rFonts w:cs="Arial"/>
          <w:noProof/>
          <w:szCs w:val="24"/>
        </w:rPr>
        <w:t>. https://doi.org/10.3303/CET1230002</w:t>
      </w:r>
    </w:p>
    <w:p w14:paraId="3849AA39" w14:textId="38661247" w:rsidR="00FB22F8" w:rsidRPr="00FB22F8" w:rsidRDefault="00FB22F8" w:rsidP="00B11D3B">
      <w:pPr>
        <w:widowControl w:val="0"/>
        <w:autoSpaceDE w:val="0"/>
        <w:autoSpaceDN w:val="0"/>
        <w:adjustRightInd w:val="0"/>
        <w:spacing w:line="240" w:lineRule="auto"/>
        <w:ind w:left="480" w:hanging="480"/>
        <w:rPr>
          <w:rFonts w:cs="Arial"/>
          <w:noProof/>
          <w:szCs w:val="24"/>
        </w:rPr>
      </w:pPr>
      <w:r>
        <w:rPr>
          <w:rFonts w:cs="Arial"/>
          <w:noProof/>
          <w:szCs w:val="24"/>
        </w:rPr>
        <w:t xml:space="preserve">Hangartner, M., Hartung, J., </w:t>
      </w:r>
      <w:r w:rsidRPr="00FB22F8">
        <w:rPr>
          <w:rFonts w:cs="Arial"/>
          <w:noProof/>
          <w:szCs w:val="24"/>
        </w:rPr>
        <w:t xml:space="preserve">Paduch, M. (2008). Voorburg (1989) Improved recommendations on olfactometric measurements. </w:t>
      </w:r>
      <w:r w:rsidRPr="00FB22F8">
        <w:rPr>
          <w:rFonts w:cs="Arial"/>
          <w:i/>
          <w:iCs/>
          <w:noProof/>
          <w:szCs w:val="24"/>
        </w:rPr>
        <w:t>Environmental Technology</w:t>
      </w:r>
      <w:r w:rsidRPr="00FB22F8">
        <w:rPr>
          <w:rFonts w:cs="Arial"/>
          <w:noProof/>
          <w:szCs w:val="24"/>
        </w:rPr>
        <w:t xml:space="preserve">, </w:t>
      </w:r>
      <w:r w:rsidRPr="00FB22F8">
        <w:rPr>
          <w:rFonts w:cs="Arial"/>
          <w:i/>
          <w:iCs/>
          <w:noProof/>
          <w:szCs w:val="24"/>
        </w:rPr>
        <w:t>10</w:t>
      </w:r>
      <w:r w:rsidR="007D76C2">
        <w:rPr>
          <w:rFonts w:cs="Arial"/>
          <w:i/>
          <w:iCs/>
          <w:noProof/>
          <w:szCs w:val="24"/>
        </w:rPr>
        <w:t xml:space="preserve"> </w:t>
      </w:r>
      <w:r w:rsidRPr="00FB22F8">
        <w:rPr>
          <w:rFonts w:cs="Arial"/>
          <w:noProof/>
          <w:szCs w:val="24"/>
        </w:rPr>
        <w:t>(2), 231–236. ttps://doi.org/10.1080/09593338909384736</w:t>
      </w:r>
    </w:p>
    <w:p w14:paraId="63B11386" w14:textId="77777777" w:rsidR="00FB22F8" w:rsidRDefault="00FB22F8" w:rsidP="00FB22F8">
      <w:pPr>
        <w:widowControl w:val="0"/>
        <w:autoSpaceDE w:val="0"/>
        <w:autoSpaceDN w:val="0"/>
        <w:adjustRightInd w:val="0"/>
        <w:spacing w:line="240" w:lineRule="auto"/>
        <w:ind w:left="480" w:hanging="480"/>
        <w:rPr>
          <w:rFonts w:cs="Arial"/>
          <w:noProof/>
          <w:szCs w:val="24"/>
        </w:rPr>
      </w:pPr>
      <w:r w:rsidRPr="00FB22F8">
        <w:rPr>
          <w:rFonts w:cs="Arial"/>
          <w:noProof/>
          <w:szCs w:val="24"/>
        </w:rPr>
        <w:t>Ha</w:t>
      </w:r>
      <w:r>
        <w:rPr>
          <w:rFonts w:cs="Arial"/>
          <w:noProof/>
          <w:szCs w:val="24"/>
        </w:rPr>
        <w:t xml:space="preserve">yes, J. E., Stevenson, R. J., </w:t>
      </w:r>
      <w:r w:rsidRPr="00FB22F8">
        <w:rPr>
          <w:rFonts w:cs="Arial"/>
          <w:noProof/>
          <w:szCs w:val="24"/>
        </w:rPr>
        <w:t xml:space="preserve">Stuetz, R. M. (2014). The impact of malodour on communities: A review of assessment techniques. </w:t>
      </w:r>
      <w:r w:rsidRPr="00FB22F8">
        <w:rPr>
          <w:rFonts w:cs="Arial"/>
          <w:i/>
          <w:iCs/>
          <w:noProof/>
          <w:szCs w:val="24"/>
        </w:rPr>
        <w:t>Science of the Total Environment</w:t>
      </w:r>
      <w:r w:rsidRPr="00FB22F8">
        <w:rPr>
          <w:rFonts w:cs="Arial"/>
          <w:noProof/>
          <w:szCs w:val="24"/>
        </w:rPr>
        <w:t xml:space="preserve">, </w:t>
      </w:r>
      <w:r w:rsidRPr="00FB22F8">
        <w:rPr>
          <w:rFonts w:cs="Arial"/>
          <w:i/>
          <w:iCs/>
          <w:noProof/>
          <w:szCs w:val="24"/>
        </w:rPr>
        <w:t>500</w:t>
      </w:r>
      <w:r w:rsidRPr="00FB22F8">
        <w:rPr>
          <w:rFonts w:cs="Arial"/>
          <w:noProof/>
          <w:szCs w:val="24"/>
        </w:rPr>
        <w:t>–</w:t>
      </w:r>
      <w:r w:rsidRPr="00FB22F8">
        <w:rPr>
          <w:rFonts w:cs="Arial"/>
          <w:i/>
          <w:iCs/>
          <w:noProof/>
          <w:szCs w:val="24"/>
        </w:rPr>
        <w:t>501</w:t>
      </w:r>
      <w:r w:rsidRPr="00FB22F8">
        <w:rPr>
          <w:rFonts w:cs="Arial"/>
          <w:noProof/>
          <w:szCs w:val="24"/>
        </w:rPr>
        <w:t>, 395–</w:t>
      </w:r>
      <w:r>
        <w:rPr>
          <w:rFonts w:cs="Arial"/>
          <w:noProof/>
          <w:szCs w:val="24"/>
        </w:rPr>
        <w:t>407.</w:t>
      </w:r>
    </w:p>
    <w:p w14:paraId="7D1425B8" w14:textId="1003250D" w:rsidR="00FB22F8" w:rsidRPr="00FB22F8" w:rsidRDefault="00FB22F8" w:rsidP="00FB22F8">
      <w:pPr>
        <w:widowControl w:val="0"/>
        <w:autoSpaceDE w:val="0"/>
        <w:autoSpaceDN w:val="0"/>
        <w:adjustRightInd w:val="0"/>
        <w:spacing w:line="240" w:lineRule="auto"/>
        <w:ind w:left="960" w:hanging="480"/>
        <w:rPr>
          <w:rFonts w:cs="Arial"/>
          <w:noProof/>
          <w:szCs w:val="24"/>
        </w:rPr>
      </w:pPr>
      <w:r w:rsidRPr="00FB22F8">
        <w:rPr>
          <w:rFonts w:cs="Arial"/>
          <w:noProof/>
          <w:szCs w:val="24"/>
        </w:rPr>
        <w:t>https://doi.org/10.1016/j.scitotenv.2014.09.003</w:t>
      </w:r>
    </w:p>
    <w:p w14:paraId="08F7FBF5" w14:textId="2BB24661"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3E3531">
        <w:rPr>
          <w:rFonts w:cs="Arial"/>
          <w:noProof/>
          <w:szCs w:val="24"/>
          <w:lang w:val="it-IT"/>
        </w:rPr>
        <w:t xml:space="preserve">Invernizzi, M., Capelli, L., Sironi, S. (2016). </w:t>
      </w:r>
      <w:r w:rsidRPr="00FB22F8">
        <w:rPr>
          <w:rFonts w:cs="Arial"/>
          <w:noProof/>
          <w:szCs w:val="24"/>
        </w:rPr>
        <w:t xml:space="preserve">Quantification of odour annoyance-nuisance. </w:t>
      </w:r>
      <w:r w:rsidRPr="00FB22F8">
        <w:rPr>
          <w:rFonts w:cs="Arial"/>
          <w:i/>
          <w:iCs/>
          <w:noProof/>
          <w:szCs w:val="24"/>
        </w:rPr>
        <w:t>Chemical Engineering Transactions</w:t>
      </w:r>
      <w:r w:rsidRPr="00FB22F8">
        <w:rPr>
          <w:rFonts w:cs="Arial"/>
          <w:noProof/>
          <w:szCs w:val="24"/>
        </w:rPr>
        <w:t xml:space="preserve">, </w:t>
      </w:r>
      <w:r w:rsidRPr="00FB22F8">
        <w:rPr>
          <w:rFonts w:cs="Arial"/>
          <w:i/>
          <w:iCs/>
          <w:noProof/>
          <w:szCs w:val="24"/>
        </w:rPr>
        <w:t>54</w:t>
      </w:r>
      <w:r w:rsidRPr="00FB22F8">
        <w:rPr>
          <w:rFonts w:cs="Arial"/>
          <w:noProof/>
          <w:szCs w:val="24"/>
        </w:rPr>
        <w:t>, 205–210. https://doi.org/10.3303/CET1654035</w:t>
      </w:r>
    </w:p>
    <w:p w14:paraId="2C89A013" w14:textId="2BA1374C"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FB22F8">
        <w:rPr>
          <w:rFonts w:cs="Arial"/>
          <w:noProof/>
          <w:szCs w:val="24"/>
        </w:rPr>
        <w:t xml:space="preserve">RAIS. </w:t>
      </w:r>
      <w:r w:rsidRPr="00FB22F8">
        <w:rPr>
          <w:rFonts w:cs="Arial"/>
          <w:i/>
          <w:iCs/>
          <w:noProof/>
          <w:szCs w:val="24"/>
        </w:rPr>
        <w:t>RAIS Chemical Risk Calculator</w:t>
      </w:r>
      <w:r w:rsidRPr="00FB22F8">
        <w:rPr>
          <w:rFonts w:cs="Arial"/>
          <w:noProof/>
          <w:szCs w:val="24"/>
        </w:rPr>
        <w:t>. Retrieved January 17, 2021, from https://rais.ornl.gov/cgi-bin/prg/RISK_search?select=chem</w:t>
      </w:r>
    </w:p>
    <w:p w14:paraId="36CEC9FA" w14:textId="26C53923" w:rsidR="00FB22F8" w:rsidRPr="003E3531" w:rsidRDefault="00FB22F8" w:rsidP="00FB22F8">
      <w:pPr>
        <w:widowControl w:val="0"/>
        <w:autoSpaceDE w:val="0"/>
        <w:autoSpaceDN w:val="0"/>
        <w:adjustRightInd w:val="0"/>
        <w:spacing w:line="240" w:lineRule="auto"/>
        <w:ind w:left="480" w:hanging="480"/>
        <w:rPr>
          <w:rFonts w:cs="Arial"/>
          <w:noProof/>
          <w:szCs w:val="24"/>
          <w:lang w:val="it-IT"/>
        </w:rPr>
      </w:pPr>
      <w:r>
        <w:rPr>
          <w:rFonts w:cs="Arial"/>
          <w:noProof/>
          <w:szCs w:val="24"/>
        </w:rPr>
        <w:t>Rappert, S.,</w:t>
      </w:r>
      <w:r w:rsidRPr="00FB22F8">
        <w:rPr>
          <w:rFonts w:cs="Arial"/>
          <w:noProof/>
          <w:szCs w:val="24"/>
        </w:rPr>
        <w:t xml:space="preserve"> Müller, R. (2005). Odor compounds in waste gas emissions from agricultural operations and food industries. </w:t>
      </w:r>
      <w:r w:rsidRPr="003E3531">
        <w:rPr>
          <w:rFonts w:cs="Arial"/>
          <w:i/>
          <w:iCs/>
          <w:noProof/>
          <w:szCs w:val="24"/>
          <w:lang w:val="it-IT"/>
        </w:rPr>
        <w:t>Waste Management</w:t>
      </w:r>
      <w:r w:rsidRPr="003E3531">
        <w:rPr>
          <w:rFonts w:cs="Arial"/>
          <w:noProof/>
          <w:szCs w:val="24"/>
          <w:lang w:val="it-IT"/>
        </w:rPr>
        <w:t xml:space="preserve">, </w:t>
      </w:r>
      <w:r w:rsidRPr="003E3531">
        <w:rPr>
          <w:rFonts w:cs="Arial"/>
          <w:i/>
          <w:iCs/>
          <w:noProof/>
          <w:szCs w:val="24"/>
          <w:lang w:val="it-IT"/>
        </w:rPr>
        <w:t>25</w:t>
      </w:r>
      <w:r w:rsidRPr="003E3531">
        <w:rPr>
          <w:rFonts w:cs="Arial"/>
          <w:noProof/>
          <w:szCs w:val="24"/>
          <w:lang w:val="it-IT"/>
        </w:rPr>
        <w:t>(9), 887–907. https://doi.org/10.1016/j.wasman.2005.07.008</w:t>
      </w:r>
    </w:p>
    <w:p w14:paraId="362743D4" w14:textId="32CDD682" w:rsidR="00FB22F8" w:rsidRPr="00FB22F8" w:rsidRDefault="00FB22F8" w:rsidP="00FB22F8">
      <w:pPr>
        <w:widowControl w:val="0"/>
        <w:autoSpaceDE w:val="0"/>
        <w:autoSpaceDN w:val="0"/>
        <w:adjustRightInd w:val="0"/>
        <w:spacing w:line="240" w:lineRule="auto"/>
        <w:ind w:left="480" w:hanging="480"/>
        <w:rPr>
          <w:rFonts w:cs="Arial"/>
          <w:noProof/>
          <w:szCs w:val="24"/>
        </w:rPr>
      </w:pPr>
      <w:r w:rsidRPr="003E3531">
        <w:rPr>
          <w:rFonts w:cs="Arial"/>
          <w:noProof/>
          <w:szCs w:val="24"/>
          <w:lang w:val="it-IT"/>
        </w:rPr>
        <w:t xml:space="preserve">Sironi, S., Capelli, L., Céntola, P., Del Rosso, R., Il Grande, M. (2005). </w:t>
      </w:r>
      <w:r w:rsidRPr="00FB22F8">
        <w:rPr>
          <w:rFonts w:cs="Arial"/>
          <w:noProof/>
          <w:szCs w:val="24"/>
        </w:rPr>
        <w:t xml:space="preserve">Odour emission factors for assessment and prediction of Italian MSW landfills odour impact. </w:t>
      </w:r>
      <w:r w:rsidRPr="00FB22F8">
        <w:rPr>
          <w:rFonts w:cs="Arial"/>
          <w:i/>
          <w:iCs/>
          <w:noProof/>
          <w:szCs w:val="24"/>
        </w:rPr>
        <w:t>Atmospheric Environment</w:t>
      </w:r>
      <w:r w:rsidRPr="00FB22F8">
        <w:rPr>
          <w:rFonts w:cs="Arial"/>
          <w:noProof/>
          <w:szCs w:val="24"/>
        </w:rPr>
        <w:t xml:space="preserve">, </w:t>
      </w:r>
      <w:r w:rsidRPr="00FB22F8">
        <w:rPr>
          <w:rFonts w:cs="Arial"/>
          <w:i/>
          <w:iCs/>
          <w:noProof/>
          <w:szCs w:val="24"/>
        </w:rPr>
        <w:t>39</w:t>
      </w:r>
      <w:r w:rsidR="007D76C2">
        <w:rPr>
          <w:rFonts w:cs="Arial"/>
          <w:i/>
          <w:iCs/>
          <w:noProof/>
          <w:szCs w:val="24"/>
        </w:rPr>
        <w:t xml:space="preserve"> </w:t>
      </w:r>
      <w:r w:rsidRPr="00FB22F8">
        <w:rPr>
          <w:rFonts w:cs="Arial"/>
          <w:noProof/>
          <w:szCs w:val="24"/>
        </w:rPr>
        <w:t>(29), 5387–5394. https://doi.org/10.1016/j.atmosenv.2005.05.023</w:t>
      </w:r>
    </w:p>
    <w:p w14:paraId="4553D705" w14:textId="23FDF1F0" w:rsidR="0026294E" w:rsidRPr="00D85848" w:rsidRDefault="00FB22F8" w:rsidP="001513E1">
      <w:pPr>
        <w:widowControl w:val="0"/>
        <w:autoSpaceDE w:val="0"/>
        <w:autoSpaceDN w:val="0"/>
        <w:adjustRightInd w:val="0"/>
        <w:spacing w:line="240" w:lineRule="auto"/>
        <w:ind w:left="480" w:hanging="480"/>
      </w:pPr>
      <w:r w:rsidRPr="00FB22F8">
        <w:rPr>
          <w:rFonts w:cs="Arial"/>
          <w:noProof/>
          <w:szCs w:val="24"/>
        </w:rPr>
        <w:t>U.S. E</w:t>
      </w:r>
      <w:r>
        <w:rPr>
          <w:rFonts w:cs="Arial"/>
          <w:noProof/>
          <w:szCs w:val="24"/>
        </w:rPr>
        <w:t xml:space="preserve">nvironmental Protection Agency </w:t>
      </w:r>
      <w:r w:rsidRPr="00FB22F8">
        <w:rPr>
          <w:rFonts w:cs="Arial"/>
          <w:noProof/>
          <w:szCs w:val="24"/>
        </w:rPr>
        <w:t xml:space="preserve">(1992). </w:t>
      </w:r>
      <w:r w:rsidRPr="00FB22F8">
        <w:rPr>
          <w:rFonts w:cs="Arial"/>
          <w:i/>
          <w:iCs/>
          <w:noProof/>
          <w:szCs w:val="24"/>
        </w:rPr>
        <w:t>Guidelines for Exposure Assessment</w:t>
      </w:r>
      <w:r w:rsidRPr="00FB22F8">
        <w:rPr>
          <w:rFonts w:cs="Arial"/>
          <w:noProof/>
          <w:szCs w:val="24"/>
        </w:rPr>
        <w:t>.</w:t>
      </w:r>
      <w:r w:rsidR="003A6C77" w:rsidRPr="001E5806">
        <w:fldChar w:fldCharType="end"/>
      </w:r>
    </w:p>
    <w:sectPr w:rsidR="0026294E" w:rsidRPr="00D8584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22B47" w14:textId="77777777" w:rsidR="000B5A22" w:rsidRDefault="000B5A22" w:rsidP="004F5E36">
      <w:r>
        <w:separator/>
      </w:r>
    </w:p>
  </w:endnote>
  <w:endnote w:type="continuationSeparator" w:id="0">
    <w:p w14:paraId="6AB5E0F9" w14:textId="77777777" w:rsidR="000B5A22" w:rsidRDefault="000B5A2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C5248" w14:textId="77777777" w:rsidR="000B5A22" w:rsidRDefault="000B5A22" w:rsidP="004F5E36">
      <w:r>
        <w:separator/>
      </w:r>
    </w:p>
  </w:footnote>
  <w:footnote w:type="continuationSeparator" w:id="0">
    <w:p w14:paraId="4945E7A9" w14:textId="77777777" w:rsidR="000B5A22" w:rsidRDefault="000B5A2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qkFAAB+DfstAAAA"/>
  </w:docVars>
  <w:rsids>
    <w:rsidRoot w:val="000E414A"/>
    <w:rsid w:val="000027C0"/>
    <w:rsid w:val="000029D2"/>
    <w:rsid w:val="000052FB"/>
    <w:rsid w:val="00006531"/>
    <w:rsid w:val="000117CB"/>
    <w:rsid w:val="00020CEE"/>
    <w:rsid w:val="0003148D"/>
    <w:rsid w:val="00046C02"/>
    <w:rsid w:val="0005030C"/>
    <w:rsid w:val="00051566"/>
    <w:rsid w:val="00057907"/>
    <w:rsid w:val="0005795A"/>
    <w:rsid w:val="00057BDA"/>
    <w:rsid w:val="00062A9A"/>
    <w:rsid w:val="00062D69"/>
    <w:rsid w:val="0006327C"/>
    <w:rsid w:val="00065058"/>
    <w:rsid w:val="00070051"/>
    <w:rsid w:val="00071D06"/>
    <w:rsid w:val="0008483F"/>
    <w:rsid w:val="00086C39"/>
    <w:rsid w:val="00095DD9"/>
    <w:rsid w:val="000A03B2"/>
    <w:rsid w:val="000A078B"/>
    <w:rsid w:val="000B2466"/>
    <w:rsid w:val="000B5A22"/>
    <w:rsid w:val="000D32D0"/>
    <w:rsid w:val="000D34BE"/>
    <w:rsid w:val="000D5619"/>
    <w:rsid w:val="000E102F"/>
    <w:rsid w:val="000E2CDD"/>
    <w:rsid w:val="000E36F1"/>
    <w:rsid w:val="000E3A73"/>
    <w:rsid w:val="000E414A"/>
    <w:rsid w:val="000F093C"/>
    <w:rsid w:val="000F7828"/>
    <w:rsid w:val="000F787B"/>
    <w:rsid w:val="0011702A"/>
    <w:rsid w:val="0012091F"/>
    <w:rsid w:val="00126BC2"/>
    <w:rsid w:val="001308B6"/>
    <w:rsid w:val="0013121F"/>
    <w:rsid w:val="00131FE6"/>
    <w:rsid w:val="0013263F"/>
    <w:rsid w:val="001333AA"/>
    <w:rsid w:val="00134DE4"/>
    <w:rsid w:val="0014034D"/>
    <w:rsid w:val="0014464F"/>
    <w:rsid w:val="00144A68"/>
    <w:rsid w:val="00150E59"/>
    <w:rsid w:val="001513E1"/>
    <w:rsid w:val="00152DE3"/>
    <w:rsid w:val="0015641C"/>
    <w:rsid w:val="00164CF9"/>
    <w:rsid w:val="00165C69"/>
    <w:rsid w:val="001773E8"/>
    <w:rsid w:val="00180860"/>
    <w:rsid w:val="0018269E"/>
    <w:rsid w:val="00184AD6"/>
    <w:rsid w:val="00185024"/>
    <w:rsid w:val="00186DA2"/>
    <w:rsid w:val="0019446E"/>
    <w:rsid w:val="001A236D"/>
    <w:rsid w:val="001A5B78"/>
    <w:rsid w:val="001B0349"/>
    <w:rsid w:val="001B18D6"/>
    <w:rsid w:val="001B65C1"/>
    <w:rsid w:val="001C684B"/>
    <w:rsid w:val="001D53FC"/>
    <w:rsid w:val="001E5806"/>
    <w:rsid w:val="001E635B"/>
    <w:rsid w:val="001F2626"/>
    <w:rsid w:val="001F42A5"/>
    <w:rsid w:val="001F7B9D"/>
    <w:rsid w:val="00207085"/>
    <w:rsid w:val="002155B0"/>
    <w:rsid w:val="00217CF3"/>
    <w:rsid w:val="002224B4"/>
    <w:rsid w:val="00222AE4"/>
    <w:rsid w:val="00241D0D"/>
    <w:rsid w:val="002436CA"/>
    <w:rsid w:val="002447EF"/>
    <w:rsid w:val="002449C6"/>
    <w:rsid w:val="00251550"/>
    <w:rsid w:val="002535AC"/>
    <w:rsid w:val="0025419C"/>
    <w:rsid w:val="0026294E"/>
    <w:rsid w:val="00263B05"/>
    <w:rsid w:val="00270565"/>
    <w:rsid w:val="0027221A"/>
    <w:rsid w:val="00275B61"/>
    <w:rsid w:val="00282656"/>
    <w:rsid w:val="0028321D"/>
    <w:rsid w:val="00296B83"/>
    <w:rsid w:val="002A15B0"/>
    <w:rsid w:val="002A323A"/>
    <w:rsid w:val="002A3920"/>
    <w:rsid w:val="002A6D6F"/>
    <w:rsid w:val="002B6520"/>
    <w:rsid w:val="002B78CE"/>
    <w:rsid w:val="002C2FB6"/>
    <w:rsid w:val="002C41BF"/>
    <w:rsid w:val="002D018D"/>
    <w:rsid w:val="00300133"/>
    <w:rsid w:val="003009B7"/>
    <w:rsid w:val="00300E56"/>
    <w:rsid w:val="00301328"/>
    <w:rsid w:val="0030469C"/>
    <w:rsid w:val="003174DA"/>
    <w:rsid w:val="00321CA6"/>
    <w:rsid w:val="003273F5"/>
    <w:rsid w:val="00331CE7"/>
    <w:rsid w:val="00334C09"/>
    <w:rsid w:val="00341BD1"/>
    <w:rsid w:val="0034273E"/>
    <w:rsid w:val="003468FB"/>
    <w:rsid w:val="00357D73"/>
    <w:rsid w:val="00360462"/>
    <w:rsid w:val="00366F3D"/>
    <w:rsid w:val="003700AE"/>
    <w:rsid w:val="00370B87"/>
    <w:rsid w:val="003723D4"/>
    <w:rsid w:val="003747FB"/>
    <w:rsid w:val="00383F4B"/>
    <w:rsid w:val="00384CC8"/>
    <w:rsid w:val="003871FD"/>
    <w:rsid w:val="0039218D"/>
    <w:rsid w:val="003A1E30"/>
    <w:rsid w:val="003A6C77"/>
    <w:rsid w:val="003A7D1C"/>
    <w:rsid w:val="003B02A0"/>
    <w:rsid w:val="003B304B"/>
    <w:rsid w:val="003B3146"/>
    <w:rsid w:val="003B6A71"/>
    <w:rsid w:val="003C2176"/>
    <w:rsid w:val="003C3114"/>
    <w:rsid w:val="003C7CF4"/>
    <w:rsid w:val="003E1C2D"/>
    <w:rsid w:val="003E3531"/>
    <w:rsid w:val="003F015E"/>
    <w:rsid w:val="00400414"/>
    <w:rsid w:val="00412A87"/>
    <w:rsid w:val="00412B55"/>
    <w:rsid w:val="0041446B"/>
    <w:rsid w:val="00423C7F"/>
    <w:rsid w:val="00432441"/>
    <w:rsid w:val="00433DAA"/>
    <w:rsid w:val="00434498"/>
    <w:rsid w:val="0044329C"/>
    <w:rsid w:val="00444C44"/>
    <w:rsid w:val="0045064C"/>
    <w:rsid w:val="004577FE"/>
    <w:rsid w:val="00457B9C"/>
    <w:rsid w:val="00460AD2"/>
    <w:rsid w:val="00460B8F"/>
    <w:rsid w:val="0046164A"/>
    <w:rsid w:val="004628D2"/>
    <w:rsid w:val="00462DCD"/>
    <w:rsid w:val="004648AD"/>
    <w:rsid w:val="004703A9"/>
    <w:rsid w:val="00473B50"/>
    <w:rsid w:val="004760DE"/>
    <w:rsid w:val="00482AC9"/>
    <w:rsid w:val="00483BA1"/>
    <w:rsid w:val="00494B9D"/>
    <w:rsid w:val="004A004E"/>
    <w:rsid w:val="004A05EA"/>
    <w:rsid w:val="004A24CF"/>
    <w:rsid w:val="004A55CC"/>
    <w:rsid w:val="004C0415"/>
    <w:rsid w:val="004C18AC"/>
    <w:rsid w:val="004C29E3"/>
    <w:rsid w:val="004C3D1D"/>
    <w:rsid w:val="004C7913"/>
    <w:rsid w:val="004D21A9"/>
    <w:rsid w:val="004E3735"/>
    <w:rsid w:val="004E3CAD"/>
    <w:rsid w:val="004E4DD6"/>
    <w:rsid w:val="004E5247"/>
    <w:rsid w:val="004F31C2"/>
    <w:rsid w:val="004F5313"/>
    <w:rsid w:val="004F5732"/>
    <w:rsid w:val="004F5E36"/>
    <w:rsid w:val="00500BBD"/>
    <w:rsid w:val="00507B47"/>
    <w:rsid w:val="00507CC9"/>
    <w:rsid w:val="005119A5"/>
    <w:rsid w:val="00516D93"/>
    <w:rsid w:val="00522105"/>
    <w:rsid w:val="0052620A"/>
    <w:rsid w:val="005278B7"/>
    <w:rsid w:val="00532016"/>
    <w:rsid w:val="005346C8"/>
    <w:rsid w:val="00534B63"/>
    <w:rsid w:val="00543E7D"/>
    <w:rsid w:val="00547A68"/>
    <w:rsid w:val="005531C9"/>
    <w:rsid w:val="0055749C"/>
    <w:rsid w:val="00574CE2"/>
    <w:rsid w:val="005843F6"/>
    <w:rsid w:val="00584CD8"/>
    <w:rsid w:val="00585897"/>
    <w:rsid w:val="005865AC"/>
    <w:rsid w:val="00596A21"/>
    <w:rsid w:val="005A3E9C"/>
    <w:rsid w:val="005B2110"/>
    <w:rsid w:val="005B61E6"/>
    <w:rsid w:val="005B73BD"/>
    <w:rsid w:val="005C36EE"/>
    <w:rsid w:val="005C77E1"/>
    <w:rsid w:val="005D6270"/>
    <w:rsid w:val="005D6A2F"/>
    <w:rsid w:val="005E1A82"/>
    <w:rsid w:val="005E3A4B"/>
    <w:rsid w:val="005E794C"/>
    <w:rsid w:val="005F0A28"/>
    <w:rsid w:val="005F0E5E"/>
    <w:rsid w:val="00600535"/>
    <w:rsid w:val="006035EE"/>
    <w:rsid w:val="00610CD6"/>
    <w:rsid w:val="006148CA"/>
    <w:rsid w:val="00620C11"/>
    <w:rsid w:val="00620DEE"/>
    <w:rsid w:val="00621F92"/>
    <w:rsid w:val="00625639"/>
    <w:rsid w:val="00631B33"/>
    <w:rsid w:val="006340E0"/>
    <w:rsid w:val="0064153F"/>
    <w:rsid w:val="0064184D"/>
    <w:rsid w:val="006569C2"/>
    <w:rsid w:val="00660E3E"/>
    <w:rsid w:val="006614CA"/>
    <w:rsid w:val="00662E74"/>
    <w:rsid w:val="006670AC"/>
    <w:rsid w:val="0066760A"/>
    <w:rsid w:val="00667DE5"/>
    <w:rsid w:val="00671C8B"/>
    <w:rsid w:val="00674537"/>
    <w:rsid w:val="00677C33"/>
    <w:rsid w:val="00680C23"/>
    <w:rsid w:val="0068241D"/>
    <w:rsid w:val="00684AE7"/>
    <w:rsid w:val="00693766"/>
    <w:rsid w:val="00697C66"/>
    <w:rsid w:val="006A2400"/>
    <w:rsid w:val="006A3281"/>
    <w:rsid w:val="006B4888"/>
    <w:rsid w:val="006C2E45"/>
    <w:rsid w:val="006C34AF"/>
    <w:rsid w:val="006C359C"/>
    <w:rsid w:val="006C5579"/>
    <w:rsid w:val="006E0C8D"/>
    <w:rsid w:val="006E2DEC"/>
    <w:rsid w:val="006E737D"/>
    <w:rsid w:val="006F125C"/>
    <w:rsid w:val="006F6536"/>
    <w:rsid w:val="00701A9F"/>
    <w:rsid w:val="00701F87"/>
    <w:rsid w:val="00704E52"/>
    <w:rsid w:val="007062F8"/>
    <w:rsid w:val="007159FC"/>
    <w:rsid w:val="00720A24"/>
    <w:rsid w:val="00725164"/>
    <w:rsid w:val="00726CC2"/>
    <w:rsid w:val="00732386"/>
    <w:rsid w:val="007329E9"/>
    <w:rsid w:val="00737B80"/>
    <w:rsid w:val="007431B8"/>
    <w:rsid w:val="007447F3"/>
    <w:rsid w:val="0075499F"/>
    <w:rsid w:val="007609EB"/>
    <w:rsid w:val="007661C8"/>
    <w:rsid w:val="0077098D"/>
    <w:rsid w:val="00776E69"/>
    <w:rsid w:val="00777B51"/>
    <w:rsid w:val="00782566"/>
    <w:rsid w:val="00794C22"/>
    <w:rsid w:val="007A3603"/>
    <w:rsid w:val="007A4EC3"/>
    <w:rsid w:val="007A6338"/>
    <w:rsid w:val="007A7BBA"/>
    <w:rsid w:val="007B0C50"/>
    <w:rsid w:val="007B78A9"/>
    <w:rsid w:val="007C1A43"/>
    <w:rsid w:val="007C429B"/>
    <w:rsid w:val="007D2778"/>
    <w:rsid w:val="007D28E1"/>
    <w:rsid w:val="007D76C2"/>
    <w:rsid w:val="007D77DB"/>
    <w:rsid w:val="007E398C"/>
    <w:rsid w:val="007E3A1E"/>
    <w:rsid w:val="00801B71"/>
    <w:rsid w:val="00813288"/>
    <w:rsid w:val="00816797"/>
    <w:rsid w:val="008168FC"/>
    <w:rsid w:val="00830065"/>
    <w:rsid w:val="00830996"/>
    <w:rsid w:val="008345F1"/>
    <w:rsid w:val="00841194"/>
    <w:rsid w:val="00845B36"/>
    <w:rsid w:val="00860C29"/>
    <w:rsid w:val="00865B07"/>
    <w:rsid w:val="00865E15"/>
    <w:rsid w:val="008667EA"/>
    <w:rsid w:val="008701D5"/>
    <w:rsid w:val="00873D70"/>
    <w:rsid w:val="0087637F"/>
    <w:rsid w:val="00892AD5"/>
    <w:rsid w:val="008A1512"/>
    <w:rsid w:val="008A7AFE"/>
    <w:rsid w:val="008A7FEF"/>
    <w:rsid w:val="008B2DE9"/>
    <w:rsid w:val="008B5DB8"/>
    <w:rsid w:val="008D3371"/>
    <w:rsid w:val="008D433B"/>
    <w:rsid w:val="008D7510"/>
    <w:rsid w:val="008E37B1"/>
    <w:rsid w:val="008E566E"/>
    <w:rsid w:val="008F272F"/>
    <w:rsid w:val="008F5304"/>
    <w:rsid w:val="008F68C9"/>
    <w:rsid w:val="008F7CE8"/>
    <w:rsid w:val="0090161A"/>
    <w:rsid w:val="00901EB6"/>
    <w:rsid w:val="00904851"/>
    <w:rsid w:val="00904C62"/>
    <w:rsid w:val="009113B1"/>
    <w:rsid w:val="0092106F"/>
    <w:rsid w:val="009210C9"/>
    <w:rsid w:val="00924DAC"/>
    <w:rsid w:val="00924FDD"/>
    <w:rsid w:val="00925D0E"/>
    <w:rsid w:val="00926A19"/>
    <w:rsid w:val="00927058"/>
    <w:rsid w:val="00941FCE"/>
    <w:rsid w:val="009450CE"/>
    <w:rsid w:val="00946691"/>
    <w:rsid w:val="00947179"/>
    <w:rsid w:val="0095164B"/>
    <w:rsid w:val="00953ED6"/>
    <w:rsid w:val="00954090"/>
    <w:rsid w:val="009573E7"/>
    <w:rsid w:val="00963E05"/>
    <w:rsid w:val="009653C3"/>
    <w:rsid w:val="00967D54"/>
    <w:rsid w:val="00974C93"/>
    <w:rsid w:val="00980FD5"/>
    <w:rsid w:val="009875F7"/>
    <w:rsid w:val="00993B4B"/>
    <w:rsid w:val="00996483"/>
    <w:rsid w:val="00996F5A"/>
    <w:rsid w:val="009A2110"/>
    <w:rsid w:val="009B041A"/>
    <w:rsid w:val="009C55A0"/>
    <w:rsid w:val="009C7C86"/>
    <w:rsid w:val="009D2FF7"/>
    <w:rsid w:val="009D479F"/>
    <w:rsid w:val="009E4B2B"/>
    <w:rsid w:val="009E7884"/>
    <w:rsid w:val="009E788A"/>
    <w:rsid w:val="009F0E08"/>
    <w:rsid w:val="009F1C92"/>
    <w:rsid w:val="009F3B53"/>
    <w:rsid w:val="009F7F64"/>
    <w:rsid w:val="00A1763D"/>
    <w:rsid w:val="00A17CEC"/>
    <w:rsid w:val="00A2094C"/>
    <w:rsid w:val="00A24877"/>
    <w:rsid w:val="00A27EF0"/>
    <w:rsid w:val="00A33329"/>
    <w:rsid w:val="00A35F75"/>
    <w:rsid w:val="00A3779E"/>
    <w:rsid w:val="00A46128"/>
    <w:rsid w:val="00A50B20"/>
    <w:rsid w:val="00A51040"/>
    <w:rsid w:val="00A51390"/>
    <w:rsid w:val="00A53236"/>
    <w:rsid w:val="00A60D13"/>
    <w:rsid w:val="00A613DD"/>
    <w:rsid w:val="00A6573F"/>
    <w:rsid w:val="00A72745"/>
    <w:rsid w:val="00A74C94"/>
    <w:rsid w:val="00A76EFC"/>
    <w:rsid w:val="00A775D7"/>
    <w:rsid w:val="00A77A19"/>
    <w:rsid w:val="00A77BAF"/>
    <w:rsid w:val="00A91010"/>
    <w:rsid w:val="00A917AD"/>
    <w:rsid w:val="00A97F29"/>
    <w:rsid w:val="00AA3734"/>
    <w:rsid w:val="00AA63E6"/>
    <w:rsid w:val="00AA702E"/>
    <w:rsid w:val="00AB0964"/>
    <w:rsid w:val="00AB5011"/>
    <w:rsid w:val="00AC3EE1"/>
    <w:rsid w:val="00AC5DDD"/>
    <w:rsid w:val="00AC7368"/>
    <w:rsid w:val="00AC785D"/>
    <w:rsid w:val="00AD047A"/>
    <w:rsid w:val="00AD16B9"/>
    <w:rsid w:val="00AE377D"/>
    <w:rsid w:val="00AF6A2A"/>
    <w:rsid w:val="00B0623A"/>
    <w:rsid w:val="00B11D3B"/>
    <w:rsid w:val="00B120CC"/>
    <w:rsid w:val="00B17D41"/>
    <w:rsid w:val="00B17FBD"/>
    <w:rsid w:val="00B21606"/>
    <w:rsid w:val="00B3052C"/>
    <w:rsid w:val="00B315A6"/>
    <w:rsid w:val="00B31813"/>
    <w:rsid w:val="00B33365"/>
    <w:rsid w:val="00B33BD3"/>
    <w:rsid w:val="00B44DFA"/>
    <w:rsid w:val="00B45287"/>
    <w:rsid w:val="00B521B6"/>
    <w:rsid w:val="00B57B36"/>
    <w:rsid w:val="00B61E86"/>
    <w:rsid w:val="00B71A7C"/>
    <w:rsid w:val="00B73E19"/>
    <w:rsid w:val="00B8686D"/>
    <w:rsid w:val="00B86DCD"/>
    <w:rsid w:val="00B91349"/>
    <w:rsid w:val="00B94B76"/>
    <w:rsid w:val="00BB3096"/>
    <w:rsid w:val="00BB6944"/>
    <w:rsid w:val="00BB7FB6"/>
    <w:rsid w:val="00BC30C9"/>
    <w:rsid w:val="00BC59D9"/>
    <w:rsid w:val="00BD25C7"/>
    <w:rsid w:val="00BD3A7E"/>
    <w:rsid w:val="00BE0962"/>
    <w:rsid w:val="00BE3E58"/>
    <w:rsid w:val="00BF2E07"/>
    <w:rsid w:val="00BF6458"/>
    <w:rsid w:val="00C01616"/>
    <w:rsid w:val="00C0162B"/>
    <w:rsid w:val="00C0202F"/>
    <w:rsid w:val="00C120EA"/>
    <w:rsid w:val="00C14059"/>
    <w:rsid w:val="00C16969"/>
    <w:rsid w:val="00C23D4F"/>
    <w:rsid w:val="00C30EE1"/>
    <w:rsid w:val="00C345B1"/>
    <w:rsid w:val="00C40142"/>
    <w:rsid w:val="00C43074"/>
    <w:rsid w:val="00C54374"/>
    <w:rsid w:val="00C57182"/>
    <w:rsid w:val="00C57863"/>
    <w:rsid w:val="00C57951"/>
    <w:rsid w:val="00C57F16"/>
    <w:rsid w:val="00C655FD"/>
    <w:rsid w:val="00C71FB5"/>
    <w:rsid w:val="00C77769"/>
    <w:rsid w:val="00C870A8"/>
    <w:rsid w:val="00C94434"/>
    <w:rsid w:val="00C949A8"/>
    <w:rsid w:val="00CA0D75"/>
    <w:rsid w:val="00CA1C95"/>
    <w:rsid w:val="00CA4BCB"/>
    <w:rsid w:val="00CA5A9C"/>
    <w:rsid w:val="00CB25FB"/>
    <w:rsid w:val="00CC0CE8"/>
    <w:rsid w:val="00CC21D6"/>
    <w:rsid w:val="00CC5F3D"/>
    <w:rsid w:val="00CD2B88"/>
    <w:rsid w:val="00CD5FE2"/>
    <w:rsid w:val="00CE7C68"/>
    <w:rsid w:val="00CF3191"/>
    <w:rsid w:val="00D02B4C"/>
    <w:rsid w:val="00D040C4"/>
    <w:rsid w:val="00D141B1"/>
    <w:rsid w:val="00D25BA1"/>
    <w:rsid w:val="00D33553"/>
    <w:rsid w:val="00D35E53"/>
    <w:rsid w:val="00D4032E"/>
    <w:rsid w:val="00D4052E"/>
    <w:rsid w:val="00D41A69"/>
    <w:rsid w:val="00D43282"/>
    <w:rsid w:val="00D54C96"/>
    <w:rsid w:val="00D5729B"/>
    <w:rsid w:val="00D57C84"/>
    <w:rsid w:val="00D6057D"/>
    <w:rsid w:val="00D65E04"/>
    <w:rsid w:val="00D81EC4"/>
    <w:rsid w:val="00D84576"/>
    <w:rsid w:val="00D85848"/>
    <w:rsid w:val="00DA1399"/>
    <w:rsid w:val="00DA24C6"/>
    <w:rsid w:val="00DA4D7B"/>
    <w:rsid w:val="00DA65A9"/>
    <w:rsid w:val="00DD6988"/>
    <w:rsid w:val="00DD7C68"/>
    <w:rsid w:val="00DE264A"/>
    <w:rsid w:val="00DE33F5"/>
    <w:rsid w:val="00DE6942"/>
    <w:rsid w:val="00DF5DB2"/>
    <w:rsid w:val="00E02D18"/>
    <w:rsid w:val="00E041E7"/>
    <w:rsid w:val="00E10211"/>
    <w:rsid w:val="00E103F5"/>
    <w:rsid w:val="00E14006"/>
    <w:rsid w:val="00E14AA2"/>
    <w:rsid w:val="00E21B24"/>
    <w:rsid w:val="00E2360A"/>
    <w:rsid w:val="00E23CA1"/>
    <w:rsid w:val="00E309CE"/>
    <w:rsid w:val="00E318C7"/>
    <w:rsid w:val="00E35C8A"/>
    <w:rsid w:val="00E409A8"/>
    <w:rsid w:val="00E41E74"/>
    <w:rsid w:val="00E50C12"/>
    <w:rsid w:val="00E6173D"/>
    <w:rsid w:val="00E65B91"/>
    <w:rsid w:val="00E70B58"/>
    <w:rsid w:val="00E7209D"/>
    <w:rsid w:val="00E76C1E"/>
    <w:rsid w:val="00E77223"/>
    <w:rsid w:val="00E8497C"/>
    <w:rsid w:val="00E8528B"/>
    <w:rsid w:val="00E85B94"/>
    <w:rsid w:val="00E923BC"/>
    <w:rsid w:val="00E93A08"/>
    <w:rsid w:val="00E95A00"/>
    <w:rsid w:val="00E978D0"/>
    <w:rsid w:val="00EA4613"/>
    <w:rsid w:val="00EA7F91"/>
    <w:rsid w:val="00EB09B7"/>
    <w:rsid w:val="00EB1523"/>
    <w:rsid w:val="00EB2470"/>
    <w:rsid w:val="00EB3592"/>
    <w:rsid w:val="00EC0E49"/>
    <w:rsid w:val="00EC6199"/>
    <w:rsid w:val="00ED0720"/>
    <w:rsid w:val="00ED387F"/>
    <w:rsid w:val="00EE0131"/>
    <w:rsid w:val="00EF1678"/>
    <w:rsid w:val="00EF2394"/>
    <w:rsid w:val="00F0102A"/>
    <w:rsid w:val="00F064AD"/>
    <w:rsid w:val="00F1136A"/>
    <w:rsid w:val="00F21505"/>
    <w:rsid w:val="00F30C64"/>
    <w:rsid w:val="00F32CDB"/>
    <w:rsid w:val="00F40295"/>
    <w:rsid w:val="00F446FD"/>
    <w:rsid w:val="00F52A4F"/>
    <w:rsid w:val="00F6005F"/>
    <w:rsid w:val="00F63A70"/>
    <w:rsid w:val="00F647E8"/>
    <w:rsid w:val="00F7505C"/>
    <w:rsid w:val="00F82522"/>
    <w:rsid w:val="00F83D33"/>
    <w:rsid w:val="00F86949"/>
    <w:rsid w:val="00F91D03"/>
    <w:rsid w:val="00FA21D0"/>
    <w:rsid w:val="00FA2274"/>
    <w:rsid w:val="00FA5F5F"/>
    <w:rsid w:val="00FB22F8"/>
    <w:rsid w:val="00FB4B3E"/>
    <w:rsid w:val="00FB730C"/>
    <w:rsid w:val="00FC1C90"/>
    <w:rsid w:val="00FC2695"/>
    <w:rsid w:val="00FC3E03"/>
    <w:rsid w:val="00FC3FC1"/>
    <w:rsid w:val="00FD1F8E"/>
    <w:rsid w:val="00FD775E"/>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217A662-C393-4D48-A050-D5B6744D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3700AE"/>
    <w:pPr>
      <w:spacing w:before="120" w:after="120"/>
      <w:jc w:val="left"/>
    </w:pPr>
    <w:rPr>
      <w:rFonts w:ascii="Cambria Math" w:hAnsi="Cambria Math" w:cs="Arial"/>
      <w:i/>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A20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105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6B33-0FC6-4F15-86E0-7A9FE5C4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7979</Words>
  <Characters>45484</Characters>
  <Application>Microsoft Office Word</Application>
  <DocSecurity>0</DocSecurity>
  <Lines>379</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2021-04-18T05:40:00Z</dcterms:created>
  <dcterms:modified xsi:type="dcterms:W3CDTF">2021-04-18T05:40:00Z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http://www.zotero.org/styles/applied-sciences</vt:lpwstr>
  </property>
  <property fmtid="{D5CDD505-2E9C-101B-9397-08002B2CF9AE}" pid="11" name="Mendeley Recent Style Name 3_1">
    <vt:lpwstr>Applied Sciences</vt:lpwstr>
  </property>
  <property fmtid="{D5CDD505-2E9C-101B-9397-08002B2CF9AE}" pid="12" name="Mendeley Recent Style Id 4_1">
    <vt:lpwstr>http://www.zotero.org/styles/atmospheric-environment</vt:lpwstr>
  </property>
  <property fmtid="{D5CDD505-2E9C-101B-9397-08002B2CF9AE}" pid="13" name="Mendeley Recent Style Name 4_1">
    <vt:lpwstr>Atmospheric Environment</vt:lpwstr>
  </property>
  <property fmtid="{D5CDD505-2E9C-101B-9397-08002B2CF9AE}" pid="14" name="Mendeley Recent Style Id 5_1">
    <vt:lpwstr>http://www.zotero.org/styles/chemosphere</vt:lpwstr>
  </property>
  <property fmtid="{D5CDD505-2E9C-101B-9397-08002B2CF9AE}" pid="15" name="Mendeley Recent Style Name 5_1">
    <vt:lpwstr>Chemosphere</vt:lpwstr>
  </property>
  <property fmtid="{D5CDD505-2E9C-101B-9397-08002B2CF9AE}" pid="16" name="Mendeley Recent Style Id 6_1">
    <vt:lpwstr>http://www.zotero.org/styles/chicago-author-date</vt:lpwstr>
  </property>
  <property fmtid="{D5CDD505-2E9C-101B-9397-08002B2CF9AE}" pid="17" name="Mendeley Recent Style Name 6_1">
    <vt:lpwstr>Chicago Manual of Style 17th edition (author-date)</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10th edition - Harvard</vt:lpwstr>
  </property>
  <property fmtid="{D5CDD505-2E9C-101B-9397-08002B2CF9AE}" pid="20" name="Mendeley Recent Style Id 8_1">
    <vt:lpwstr>http://www.zotero.org/styles/environment-international</vt:lpwstr>
  </property>
  <property fmtid="{D5CDD505-2E9C-101B-9397-08002B2CF9AE}" pid="21" name="Mendeley Recent Style Name 8_1">
    <vt:lpwstr>Environment International</vt:lpwstr>
  </property>
  <property fmtid="{D5CDD505-2E9C-101B-9397-08002B2CF9AE}" pid="22" name="Mendeley Recent Style Id 9_1">
    <vt:lpwstr>http://www.zotero.org/styles/fuel</vt:lpwstr>
  </property>
  <property fmtid="{D5CDD505-2E9C-101B-9397-08002B2CF9AE}" pid="23" name="Mendeley Recent Style Name 9_1">
    <vt:lpwstr>Fuel</vt:lpwstr>
  </property>
  <property fmtid="{D5CDD505-2E9C-101B-9397-08002B2CF9AE}" pid="24" name="Mendeley Citation Style_1">
    <vt:lpwstr>http://www.zotero.org/styles/apa</vt:lpwstr>
  </property>
  <property fmtid="{D5CDD505-2E9C-101B-9397-08002B2CF9AE}" pid="25" name="Mendeley Document_1">
    <vt:lpwstr>True</vt:lpwstr>
  </property>
  <property fmtid="{D5CDD505-2E9C-101B-9397-08002B2CF9AE}" pid="26" name="Mendeley Unique User Id_1">
    <vt:lpwstr>2f9ae352-350d-36d2-9f4f-37a555fbba3b</vt:lpwstr>
  </property>
</Properties>
</file>