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3E29FB"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3E29FB" w:rsidRDefault="000A03B2" w:rsidP="00DE264A">
            <w:pPr>
              <w:tabs>
                <w:tab w:val="left" w:pos="-108"/>
              </w:tabs>
              <w:ind w:left="-108"/>
              <w:jc w:val="left"/>
              <w:rPr>
                <w:rFonts w:cs="Arial"/>
                <w:b/>
                <w:bCs/>
                <w:i/>
                <w:iCs/>
                <w:color w:val="000066"/>
                <w:sz w:val="12"/>
                <w:szCs w:val="12"/>
                <w:lang w:eastAsia="it-IT"/>
              </w:rPr>
            </w:pPr>
            <w:r w:rsidRPr="003E29FB">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3E29FB">
              <w:rPr>
                <w:rFonts w:ascii="AdvP6960" w:hAnsi="AdvP6960" w:cs="AdvP6960"/>
                <w:color w:val="241F20"/>
                <w:szCs w:val="18"/>
                <w:lang w:eastAsia="it-IT"/>
              </w:rPr>
              <w:t xml:space="preserve"> </w:t>
            </w:r>
            <w:r w:rsidRPr="003E29FB">
              <w:rPr>
                <w:rFonts w:cs="Arial"/>
                <w:b/>
                <w:bCs/>
                <w:i/>
                <w:iCs/>
                <w:color w:val="000066"/>
                <w:sz w:val="24"/>
                <w:szCs w:val="24"/>
                <w:lang w:eastAsia="it-IT"/>
              </w:rPr>
              <w:t>CHEMICAL ENGINEERING</w:t>
            </w:r>
            <w:r w:rsidRPr="003E29FB">
              <w:rPr>
                <w:rFonts w:cs="Arial"/>
                <w:b/>
                <w:bCs/>
                <w:i/>
                <w:iCs/>
                <w:color w:val="0033FF"/>
                <w:sz w:val="24"/>
                <w:szCs w:val="24"/>
                <w:lang w:eastAsia="it-IT"/>
              </w:rPr>
              <w:t xml:space="preserve"> </w:t>
            </w:r>
            <w:r w:rsidRPr="003E29FB">
              <w:rPr>
                <w:rFonts w:cs="Arial"/>
                <w:b/>
                <w:bCs/>
                <w:i/>
                <w:iCs/>
                <w:color w:val="666666"/>
                <w:sz w:val="24"/>
                <w:szCs w:val="24"/>
                <w:lang w:eastAsia="it-IT"/>
              </w:rPr>
              <w:t>TRANSACTIONS</w:t>
            </w:r>
            <w:r w:rsidRPr="003E29FB">
              <w:rPr>
                <w:color w:val="333333"/>
                <w:sz w:val="24"/>
                <w:szCs w:val="24"/>
                <w:lang w:eastAsia="it-IT"/>
              </w:rPr>
              <w:t xml:space="preserve"> </w:t>
            </w:r>
            <w:r w:rsidRPr="003E29FB">
              <w:rPr>
                <w:rFonts w:cs="Arial"/>
                <w:b/>
                <w:bCs/>
                <w:i/>
                <w:iCs/>
                <w:color w:val="000066"/>
                <w:sz w:val="27"/>
                <w:szCs w:val="27"/>
                <w:lang w:eastAsia="it-IT"/>
              </w:rPr>
              <w:br/>
            </w:r>
          </w:p>
          <w:p w14:paraId="4B780582" w14:textId="2F22AAB0" w:rsidR="000A03B2" w:rsidRPr="003E29FB" w:rsidRDefault="00A76EFC" w:rsidP="004C3D1D">
            <w:pPr>
              <w:tabs>
                <w:tab w:val="left" w:pos="-108"/>
              </w:tabs>
              <w:ind w:left="-108"/>
              <w:rPr>
                <w:rFonts w:cs="Arial"/>
                <w:b/>
                <w:bCs/>
                <w:i/>
                <w:iCs/>
                <w:color w:val="000066"/>
                <w:sz w:val="22"/>
                <w:szCs w:val="22"/>
                <w:lang w:eastAsia="it-IT"/>
              </w:rPr>
            </w:pPr>
            <w:r w:rsidRPr="003E29FB">
              <w:rPr>
                <w:rFonts w:cs="Arial"/>
                <w:b/>
                <w:bCs/>
                <w:i/>
                <w:iCs/>
                <w:color w:val="000066"/>
                <w:sz w:val="22"/>
                <w:szCs w:val="22"/>
                <w:lang w:eastAsia="it-IT"/>
              </w:rPr>
              <w:t xml:space="preserve">VOL. </w:t>
            </w:r>
            <w:r w:rsidR="000F5DD1">
              <w:rPr>
                <w:rFonts w:cs="Arial"/>
                <w:b/>
                <w:bCs/>
                <w:i/>
                <w:iCs/>
                <w:color w:val="000066"/>
                <w:sz w:val="22"/>
                <w:szCs w:val="22"/>
                <w:lang w:eastAsia="it-IT"/>
              </w:rPr>
              <w:t>82,2020</w:t>
            </w:r>
          </w:p>
        </w:tc>
        <w:tc>
          <w:tcPr>
            <w:tcW w:w="1843" w:type="dxa"/>
            <w:tcBorders>
              <w:left w:val="single" w:sz="4" w:space="0" w:color="auto"/>
              <w:bottom w:val="nil"/>
              <w:right w:val="single" w:sz="4" w:space="0" w:color="auto"/>
            </w:tcBorders>
          </w:tcPr>
          <w:p w14:paraId="56782132" w14:textId="77777777" w:rsidR="000A03B2" w:rsidRPr="003E29FB" w:rsidRDefault="000A03B2" w:rsidP="00CD5FE2">
            <w:pPr>
              <w:spacing w:line="140" w:lineRule="atLeast"/>
              <w:jc w:val="right"/>
              <w:rPr>
                <w:rFonts w:cs="Arial"/>
                <w:sz w:val="14"/>
                <w:szCs w:val="14"/>
              </w:rPr>
            </w:pPr>
            <w:r w:rsidRPr="003E29FB">
              <w:rPr>
                <w:rFonts w:cs="Arial"/>
                <w:sz w:val="14"/>
                <w:szCs w:val="14"/>
              </w:rPr>
              <w:t>A publication of</w:t>
            </w:r>
          </w:p>
          <w:p w14:paraId="599E5441" w14:textId="77777777" w:rsidR="000A03B2" w:rsidRPr="003E29FB" w:rsidRDefault="000A03B2" w:rsidP="00CD5FE2">
            <w:pPr>
              <w:jc w:val="right"/>
            </w:pPr>
            <w:r w:rsidRPr="003E29FB">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3E29FB" w14:paraId="380FA3CD" w14:textId="77777777" w:rsidTr="00DE264A">
        <w:trPr>
          <w:trHeight w:val="567"/>
          <w:jc w:val="center"/>
        </w:trPr>
        <w:tc>
          <w:tcPr>
            <w:tcW w:w="6946" w:type="dxa"/>
            <w:vMerge/>
            <w:tcBorders>
              <w:right w:val="single" w:sz="4" w:space="0" w:color="auto"/>
            </w:tcBorders>
          </w:tcPr>
          <w:p w14:paraId="39E5E4C1" w14:textId="77777777" w:rsidR="000A03B2" w:rsidRPr="003E29FB"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3E29FB" w:rsidRDefault="000A03B2" w:rsidP="00CD5FE2">
            <w:pPr>
              <w:spacing w:line="140" w:lineRule="atLeast"/>
              <w:jc w:val="right"/>
              <w:rPr>
                <w:rFonts w:cs="Arial"/>
                <w:sz w:val="14"/>
                <w:szCs w:val="14"/>
              </w:rPr>
            </w:pPr>
            <w:r w:rsidRPr="003E29FB">
              <w:rPr>
                <w:rFonts w:cs="Arial"/>
                <w:sz w:val="14"/>
                <w:szCs w:val="14"/>
              </w:rPr>
              <w:t>The Italian Association</w:t>
            </w:r>
          </w:p>
          <w:p w14:paraId="7522B1D2" w14:textId="77777777" w:rsidR="000A03B2" w:rsidRPr="003E29FB" w:rsidRDefault="000A03B2" w:rsidP="00CD5FE2">
            <w:pPr>
              <w:spacing w:line="140" w:lineRule="atLeast"/>
              <w:jc w:val="right"/>
              <w:rPr>
                <w:rFonts w:cs="Arial"/>
                <w:sz w:val="14"/>
                <w:szCs w:val="14"/>
              </w:rPr>
            </w:pPr>
            <w:r w:rsidRPr="003E29FB">
              <w:rPr>
                <w:rFonts w:cs="Arial"/>
                <w:sz w:val="14"/>
                <w:szCs w:val="14"/>
              </w:rPr>
              <w:t>of Chemical Engineering</w:t>
            </w:r>
          </w:p>
          <w:p w14:paraId="4F0CC5DE" w14:textId="35204533" w:rsidR="000A03B2" w:rsidRPr="003E29FB" w:rsidRDefault="005A3E9C" w:rsidP="00CD5FE2">
            <w:pPr>
              <w:spacing w:line="140" w:lineRule="atLeast"/>
              <w:jc w:val="right"/>
              <w:rPr>
                <w:rFonts w:cs="Arial"/>
                <w:sz w:val="14"/>
                <w:szCs w:val="14"/>
              </w:rPr>
            </w:pPr>
            <w:r w:rsidRPr="003E29FB">
              <w:rPr>
                <w:rFonts w:cs="Arial"/>
                <w:sz w:val="13"/>
                <w:szCs w:val="13"/>
              </w:rPr>
              <w:t>Online at www.cetjournal.it</w:t>
            </w:r>
          </w:p>
        </w:tc>
      </w:tr>
      <w:tr w:rsidR="000A03B2" w:rsidRPr="003E29FB" w14:paraId="2D1B7169" w14:textId="77777777" w:rsidTr="00DE264A">
        <w:trPr>
          <w:trHeight w:val="68"/>
          <w:jc w:val="center"/>
        </w:trPr>
        <w:tc>
          <w:tcPr>
            <w:tcW w:w="8789" w:type="dxa"/>
            <w:gridSpan w:val="2"/>
          </w:tcPr>
          <w:p w14:paraId="2A653EE5" w14:textId="77777777" w:rsidR="000F5DD1" w:rsidRPr="00FE5F89" w:rsidRDefault="000F5DD1" w:rsidP="000F5DD1">
            <w:pPr>
              <w:ind w:left="-107"/>
              <w:rPr>
                <w:rFonts w:ascii="Times New Roman" w:hAnsi="Times New Roman"/>
                <w:sz w:val="24"/>
                <w:szCs w:val="24"/>
                <w:lang w:val="it-IT" w:eastAsia="it-IT"/>
              </w:rPr>
            </w:pPr>
            <w:r w:rsidRPr="00FE5F89">
              <w:rPr>
                <w:rFonts w:ascii="Tahoma" w:hAnsi="Tahoma" w:cs="Tahoma"/>
                <w:iCs/>
                <w:color w:val="333333"/>
                <w:sz w:val="14"/>
                <w:szCs w:val="14"/>
                <w:lang w:val="it-IT" w:eastAsia="it-IT"/>
              </w:rPr>
              <w:t>Guest Editors: Selena Sironi, Laura Capelli</w:t>
            </w:r>
          </w:p>
          <w:p w14:paraId="1B0F1814" w14:textId="092A9BE8" w:rsidR="000A03B2" w:rsidRPr="003E29FB" w:rsidRDefault="000F5DD1" w:rsidP="000F5DD1">
            <w:pPr>
              <w:tabs>
                <w:tab w:val="left" w:pos="-108"/>
              </w:tabs>
              <w:spacing w:line="140" w:lineRule="atLeast"/>
              <w:ind w:left="-108"/>
              <w:jc w:val="left"/>
            </w:pPr>
            <w:r>
              <w:rPr>
                <w:rFonts w:ascii="Tahoma" w:hAnsi="Tahoma" w:cs="Tahoma"/>
                <w:iCs/>
                <w:color w:val="333333"/>
                <w:sz w:val="14"/>
                <w:szCs w:val="14"/>
                <w:lang w:eastAsia="it-IT"/>
              </w:rPr>
              <w:t>Copyright © 2020</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Pr>
                <w:rFonts w:ascii="Tahoma" w:hAnsi="Tahoma" w:cs="Tahoma"/>
                <w:sz w:val="14"/>
                <w:szCs w:val="14"/>
              </w:rPr>
              <w:t>978-88-</w:t>
            </w:r>
            <w:r w:rsidRPr="00EF06D9">
              <w:rPr>
                <w:rFonts w:ascii="Tahoma" w:hAnsi="Tahoma" w:cs="Tahoma"/>
                <w:sz w:val="14"/>
                <w:szCs w:val="14"/>
              </w:rPr>
              <w:t>95608-8</w:t>
            </w:r>
            <w:r>
              <w:rPr>
                <w:rFonts w:ascii="Tahoma" w:hAnsi="Tahoma" w:cs="Tahoma"/>
                <w:sz w:val="14"/>
                <w:szCs w:val="14"/>
              </w:rPr>
              <w:t>0</w:t>
            </w:r>
            <w:r w:rsidRPr="00EF06D9">
              <w:rPr>
                <w:rFonts w:ascii="Tahoma" w:hAnsi="Tahoma" w:cs="Tahoma"/>
                <w:sz w:val="14"/>
                <w:szCs w:val="14"/>
              </w:rPr>
              <w:t>-</w:t>
            </w:r>
            <w:r>
              <w:rPr>
                <w:rFonts w:ascii="Tahoma" w:hAnsi="Tahoma" w:cs="Tahoma"/>
                <w:sz w:val="14"/>
                <w:szCs w:val="14"/>
              </w:rPr>
              <w:t>8</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10DAA130" w14:textId="77777777" w:rsidR="000A03B2" w:rsidRPr="003E29FB" w:rsidRDefault="000A03B2" w:rsidP="000A03B2">
      <w:pPr>
        <w:pStyle w:val="CETAuthors"/>
        <w:sectPr w:rsidR="000A03B2" w:rsidRPr="003E29FB" w:rsidSect="00CD5FE2">
          <w:type w:val="continuous"/>
          <w:pgSz w:w="11906" w:h="16838" w:code="9"/>
          <w:pgMar w:top="1701" w:right="1418" w:bottom="1701" w:left="1701" w:header="1701" w:footer="0" w:gutter="0"/>
          <w:cols w:space="708"/>
          <w:titlePg/>
          <w:docGrid w:linePitch="360"/>
        </w:sectPr>
      </w:pPr>
    </w:p>
    <w:p w14:paraId="2E667253" w14:textId="52F50DBF" w:rsidR="00E978D0" w:rsidRPr="003E29FB" w:rsidRDefault="0021397E" w:rsidP="00E978D0">
      <w:pPr>
        <w:pStyle w:val="CETTitle"/>
      </w:pPr>
      <w:bookmarkStart w:id="0" w:name="_GoBack"/>
      <w:r w:rsidRPr="003E29FB">
        <w:t xml:space="preserve">Odour Emission </w:t>
      </w:r>
      <w:r w:rsidR="00AA37A2" w:rsidRPr="003E29FB">
        <w:t>Rate estimation</w:t>
      </w:r>
      <w:r w:rsidR="0030029D" w:rsidRPr="003E29FB">
        <w:t xml:space="preserve"> methods</w:t>
      </w:r>
      <w:r w:rsidR="00AA37A2" w:rsidRPr="003E29FB">
        <w:t xml:space="preserve"> f</w:t>
      </w:r>
      <w:r w:rsidR="0030029D" w:rsidRPr="003E29FB">
        <w:t>or</w:t>
      </w:r>
      <w:r w:rsidRPr="003E29FB">
        <w:t xml:space="preserve"> hydrocarbon </w:t>
      </w:r>
      <w:r w:rsidR="0030029D" w:rsidRPr="003E29FB">
        <w:t xml:space="preserve">storage </w:t>
      </w:r>
      <w:r w:rsidRPr="003E29FB">
        <w:t>tanks</w:t>
      </w:r>
    </w:p>
    <w:bookmarkEnd w:id="0"/>
    <w:p w14:paraId="2B3CA35C" w14:textId="3D7FDB4C" w:rsidR="00E978D0" w:rsidRPr="00863C6D" w:rsidRDefault="001F0BB4" w:rsidP="00AB5011">
      <w:pPr>
        <w:pStyle w:val="CETAuthors"/>
        <w:rPr>
          <w:lang w:val="it-IT"/>
        </w:rPr>
      </w:pPr>
      <w:r w:rsidRPr="00863C6D">
        <w:rPr>
          <w:lang w:val="it-IT"/>
        </w:rPr>
        <w:t>Marzio Invernizzi</w:t>
      </w:r>
      <w:r w:rsidR="006822C4" w:rsidRPr="00863C6D">
        <w:rPr>
          <w:vertAlign w:val="superscript"/>
          <w:lang w:val="it-IT"/>
        </w:rPr>
        <w:t>a,</w:t>
      </w:r>
      <w:r w:rsidRPr="00863C6D">
        <w:rPr>
          <w:lang w:val="it-IT"/>
        </w:rPr>
        <w:t>*, Selena Sironi</w:t>
      </w:r>
      <w:r w:rsidR="006822C4" w:rsidRPr="00863C6D">
        <w:rPr>
          <w:vertAlign w:val="superscript"/>
          <w:lang w:val="it-IT"/>
        </w:rPr>
        <w:t>a</w:t>
      </w:r>
    </w:p>
    <w:p w14:paraId="2B616A02" w14:textId="77777777" w:rsidR="006822C4" w:rsidRPr="00A51C50" w:rsidRDefault="006822C4" w:rsidP="006822C4">
      <w:pPr>
        <w:pStyle w:val="CETAddress"/>
        <w:rPr>
          <w:lang w:val="it-IT"/>
        </w:rPr>
      </w:pPr>
      <w:r w:rsidRPr="004E2C32">
        <w:rPr>
          <w:vertAlign w:val="superscript"/>
          <w:lang w:val="it-IT"/>
        </w:rPr>
        <w:t>a</w:t>
      </w:r>
      <w:r>
        <w:rPr>
          <w:vertAlign w:val="superscript"/>
          <w:lang w:val="it-IT"/>
        </w:rPr>
        <w:t xml:space="preserve"> </w:t>
      </w:r>
      <w:r w:rsidRPr="00A51C50">
        <w:rPr>
          <w:lang w:val="it-IT"/>
        </w:rPr>
        <w:t>Politecnico di Milano, Dep</w:t>
      </w:r>
      <w:r>
        <w:rPr>
          <w:lang w:val="it-IT"/>
        </w:rPr>
        <w:t>artment of</w:t>
      </w:r>
      <w:r w:rsidRPr="00A51C50">
        <w:rPr>
          <w:lang w:val="it-IT"/>
        </w:rPr>
        <w:t xml:space="preserve"> Chemistry, Materials and Chemical Engineering “Giulio Natta”, Piazza Leonardo da Vinci 32, 20133 Milano, Italy</w:t>
      </w:r>
    </w:p>
    <w:p w14:paraId="7370690A" w14:textId="77777777" w:rsidR="001F0BB4" w:rsidRPr="003E29FB" w:rsidRDefault="001F0BB4" w:rsidP="001F0BB4">
      <w:pPr>
        <w:pStyle w:val="CETemail"/>
      </w:pPr>
      <w:r w:rsidRPr="003E29FB">
        <w:t xml:space="preserve">marzio.invernizzi@polimi.it </w:t>
      </w:r>
    </w:p>
    <w:p w14:paraId="438BE8EF" w14:textId="03D14058" w:rsidR="00AA37A2" w:rsidRPr="003E29FB" w:rsidRDefault="00AA37A2" w:rsidP="006A3DB7">
      <w:pPr>
        <w:pStyle w:val="CETBodytext"/>
        <w:rPr>
          <w:lang w:val="en-GB"/>
        </w:rPr>
      </w:pPr>
      <w:r w:rsidRPr="003E29FB">
        <w:rPr>
          <w:lang w:val="en-GB"/>
        </w:rPr>
        <w:t>At</w:t>
      </w:r>
      <w:r w:rsidR="0030029D" w:rsidRPr="003E29FB">
        <w:rPr>
          <w:lang w:val="en-GB"/>
        </w:rPr>
        <w:t xml:space="preserve"> the</w:t>
      </w:r>
      <w:r w:rsidRPr="003E29FB">
        <w:rPr>
          <w:lang w:val="en-GB"/>
        </w:rPr>
        <w:t xml:space="preserve"> time to renew the Integrated Environmental Permit of oil refineries, Italian environmental institutions are </w:t>
      </w:r>
      <w:r w:rsidR="006A3DB7" w:rsidRPr="003E29FB">
        <w:rPr>
          <w:lang w:val="en-GB"/>
        </w:rPr>
        <w:t xml:space="preserve">nowadays </w:t>
      </w:r>
      <w:r w:rsidRPr="003E29FB">
        <w:rPr>
          <w:lang w:val="en-GB"/>
        </w:rPr>
        <w:t>requiring a detailed Odour Monitoring Program, based on the use of dynamic olfactometry and atmospheric dispersion modelling. Oil refineries are complex plants and many of the VOC emission are diffuse. Despite the difficulties of describing these</w:t>
      </w:r>
      <w:r w:rsidR="006A3DB7" w:rsidRPr="003E29FB">
        <w:rPr>
          <w:lang w:val="en-GB"/>
        </w:rPr>
        <w:t xml:space="preserve"> emission</w:t>
      </w:r>
      <w:r w:rsidRPr="003E29FB">
        <w:rPr>
          <w:lang w:val="en-GB"/>
        </w:rPr>
        <w:t xml:space="preserve"> phenomena, a characterization of these emissions is needed. The paper describes the state-of-the-art methodologies for the emissions from hy</w:t>
      </w:r>
      <w:r w:rsidR="006A3DB7" w:rsidRPr="003E29FB">
        <w:rPr>
          <w:lang w:val="en-GB"/>
        </w:rPr>
        <w:t xml:space="preserve">drocarbon tanks, and provides an overview of possible measures </w:t>
      </w:r>
      <w:r w:rsidR="0030029D" w:rsidRPr="003E29FB">
        <w:rPr>
          <w:lang w:val="en-GB"/>
        </w:rPr>
        <w:t>and methods useful</w:t>
      </w:r>
      <w:r w:rsidR="006A3DB7" w:rsidRPr="003E29FB">
        <w:rPr>
          <w:lang w:val="en-GB"/>
        </w:rPr>
        <w:t xml:space="preserve"> to implement an accurate odour impact assessment from refineries tank farms.</w:t>
      </w:r>
    </w:p>
    <w:p w14:paraId="476B2F2E" w14:textId="14AFB029" w:rsidR="00600535" w:rsidRPr="003E29FB" w:rsidRDefault="00600535" w:rsidP="00600535">
      <w:pPr>
        <w:pStyle w:val="CETHeading1"/>
        <w:rPr>
          <w:lang w:val="en-GB"/>
        </w:rPr>
      </w:pPr>
      <w:r w:rsidRPr="003E29FB">
        <w:rPr>
          <w:lang w:val="en-GB"/>
        </w:rPr>
        <w:t>Introduction</w:t>
      </w:r>
    </w:p>
    <w:p w14:paraId="5F34FF9B" w14:textId="6F87628B" w:rsidR="00AE3CA9" w:rsidRPr="003E29FB" w:rsidRDefault="00AE3CA9" w:rsidP="00AE3CA9">
      <w:pPr>
        <w:pStyle w:val="CETBodytext"/>
        <w:rPr>
          <w:lang w:val="en-GB"/>
        </w:rPr>
      </w:pPr>
      <w:r w:rsidRPr="003E29FB">
        <w:rPr>
          <w:lang w:val="en-GB"/>
        </w:rPr>
        <w:t>Oil refineries are complex industrial sites, composed by a lot of different process unit</w:t>
      </w:r>
      <w:r w:rsidR="001F0BB4" w:rsidRPr="003E29FB">
        <w:rPr>
          <w:lang w:val="en-GB"/>
        </w:rPr>
        <w:t>s and</w:t>
      </w:r>
      <w:r w:rsidRPr="003E29FB">
        <w:rPr>
          <w:lang w:val="en-GB"/>
        </w:rPr>
        <w:t xml:space="preserve"> linked to each other through a wide range of possible configurations.</w:t>
      </w:r>
    </w:p>
    <w:p w14:paraId="4B19D55A" w14:textId="477501A7" w:rsidR="00AE3CA9" w:rsidRPr="003E29FB" w:rsidRDefault="00AE3CA9" w:rsidP="00AE3CA9">
      <w:pPr>
        <w:pStyle w:val="CETBodytext"/>
        <w:rPr>
          <w:lang w:val="en-GB"/>
        </w:rPr>
      </w:pPr>
      <w:r w:rsidRPr="003E29FB">
        <w:rPr>
          <w:lang w:val="en-GB"/>
        </w:rPr>
        <w:t xml:space="preserve">Emissions to atmosphere represent one of the most important environmental impact of the refineries’ process units. </w:t>
      </w:r>
      <w:r w:rsidR="001F0BB4" w:rsidRPr="003E29FB">
        <w:rPr>
          <w:lang w:val="en-GB"/>
        </w:rPr>
        <w:t xml:space="preserve">One of the raising issues about gaseous emissions is the estimation of the Volatile Organic Compounds, VOC, emission. </w:t>
      </w:r>
      <w:r w:rsidRPr="003E29FB">
        <w:rPr>
          <w:lang w:val="en-GB"/>
        </w:rPr>
        <w:t>Four</w:t>
      </w:r>
      <w:r w:rsidR="0062435A" w:rsidRPr="003E29FB">
        <w:rPr>
          <w:lang w:val="en-GB"/>
        </w:rPr>
        <w:t xml:space="preserve"> main</w:t>
      </w:r>
      <w:r w:rsidRPr="003E29FB">
        <w:rPr>
          <w:lang w:val="en-GB"/>
        </w:rPr>
        <w:t xml:space="preserve"> diffuse emissions sources can be identified within a refinery:</w:t>
      </w:r>
    </w:p>
    <w:p w14:paraId="391AC6BF" w14:textId="1A20C47D" w:rsidR="00AE3CA9" w:rsidRPr="003E29FB" w:rsidRDefault="00AE3CA9" w:rsidP="00AE3CA9">
      <w:pPr>
        <w:pStyle w:val="CETBodytext"/>
        <w:numPr>
          <w:ilvl w:val="0"/>
          <w:numId w:val="37"/>
        </w:numPr>
        <w:rPr>
          <w:lang w:val="en-GB"/>
        </w:rPr>
      </w:pPr>
      <w:r w:rsidRPr="003E29FB">
        <w:rPr>
          <w:lang w:val="en-GB"/>
        </w:rPr>
        <w:t xml:space="preserve">Fugitive emissions from leaking equipment in the process area; </w:t>
      </w:r>
    </w:p>
    <w:p w14:paraId="53475A30" w14:textId="1A56FFFD" w:rsidR="00AE3CA9" w:rsidRPr="003E29FB" w:rsidRDefault="00AE3CA9" w:rsidP="00AE3CA9">
      <w:pPr>
        <w:pStyle w:val="CETBodytext"/>
        <w:numPr>
          <w:ilvl w:val="0"/>
          <w:numId w:val="38"/>
        </w:numPr>
        <w:rPr>
          <w:lang w:val="en-GB"/>
        </w:rPr>
      </w:pPr>
      <w:r w:rsidRPr="003E29FB">
        <w:rPr>
          <w:lang w:val="en-GB"/>
        </w:rPr>
        <w:t xml:space="preserve">Loading and unloading facilities, including road tankers, barges…; </w:t>
      </w:r>
    </w:p>
    <w:p w14:paraId="735BC43E" w14:textId="08460D71" w:rsidR="00AE3CA9" w:rsidRPr="003E29FB" w:rsidRDefault="00AE3CA9" w:rsidP="00AE3CA9">
      <w:pPr>
        <w:pStyle w:val="CETBodytext"/>
        <w:numPr>
          <w:ilvl w:val="0"/>
          <w:numId w:val="38"/>
        </w:numPr>
        <w:rPr>
          <w:lang w:val="en-GB"/>
        </w:rPr>
      </w:pPr>
      <w:r w:rsidRPr="003E29FB">
        <w:rPr>
          <w:lang w:val="en-GB"/>
        </w:rPr>
        <w:t xml:space="preserve">Wastewater treatment plants (WWTPs), where a gradual release of VOCs may occur at all water/air interfaces. </w:t>
      </w:r>
    </w:p>
    <w:p w14:paraId="22847271" w14:textId="491E1A24" w:rsidR="00AE3CA9" w:rsidRPr="003E29FB" w:rsidRDefault="00AE3CA9" w:rsidP="00AE3CA9">
      <w:pPr>
        <w:pStyle w:val="CETBodytext"/>
        <w:numPr>
          <w:ilvl w:val="0"/>
          <w:numId w:val="38"/>
        </w:numPr>
        <w:rPr>
          <w:lang w:val="en-GB"/>
        </w:rPr>
      </w:pPr>
      <w:r w:rsidRPr="003E29FB">
        <w:rPr>
          <w:lang w:val="en-GB"/>
        </w:rPr>
        <w:t xml:space="preserve">Crude oil and products </w:t>
      </w:r>
      <w:r w:rsidR="001F0BB4" w:rsidRPr="003E29FB">
        <w:rPr>
          <w:lang w:val="en-GB"/>
        </w:rPr>
        <w:t xml:space="preserve">handling and </w:t>
      </w:r>
      <w:r w:rsidRPr="003E29FB">
        <w:rPr>
          <w:lang w:val="en-GB"/>
        </w:rPr>
        <w:t xml:space="preserve">storage. They typically represent 20-40 % of the refinery emissions </w:t>
      </w:r>
      <w:r w:rsidRPr="003E29FB">
        <w:rPr>
          <w:lang w:val="en-GB"/>
        </w:rPr>
        <w:fldChar w:fldCharType="begin" w:fldLock="1"/>
      </w:r>
      <w:r w:rsidR="00AA489F" w:rsidRPr="003E29FB">
        <w:rPr>
          <w:lang w:val="en-GB"/>
        </w:rPr>
        <w:instrText>ADDIN CSL_CITATION {"citationItems":[{"id":"ITEM-1","itemData":{"DOI":"10.2791/010758","ISBN":"9789279461989","abstract":"The BREF entitled ‘Refining of Mineral Oil and Gas’ forms part of a series presenting the results of an exchange of information between EU Member States, the industries concerned, non-governmental organisations promoting environmental protection, and the Commission, to draw up, review, and where necessary, update BAT reference documents as required by Article 13(1) of the Industrial Emissions Directive (2010/75/EU). This document is published by the European Commission pursuant to Article 13(6) of the Directive. This BREF for the refining of mineral oil and gas covers certain industrial activities specified in Section 1.2 of Annex I to Directive 2010/75/EU, namely the energy industries of the refining of mineral oil and gas sector. In particular, this document covers the following refineries processes and activities: - Alkylation - Base oil production - Bitumen production - Catalytic cracking - Catalytic reforming - Coking - Cooling - Desalting - Combustion of refinery fuels for energy production - Etherification - Gas separation - Hydrogen consuming processes - Hydrogen production - Isomerisation - Natural gas plants - Polymerisation - Primary distillation - Product treatments - Storage and handling of refinery materials - Visbreaking and other thermal conversions - Waste gas treatment - Waste water treatment - Waste management. Important issues for the implementation of Directive 2010/75/EU in the refining of mineral oil and gas sector are the emissions to air of volatile organic substances, nitrogen oxides, sulphur oxides, hydrofluoric acid, ammonia, carbon monoxide, dioxins and furans, and dust; emissions to water of oils, benzene, suspended solids, COD, nitrogen, metals (lead, cadmium, nickel, mercury); energy efficiency; and the prevention of emissions to soil and groundwater. The BREF document contains seven chapters. Chapters 1 and 2 provide general information on the refining of mineral oil and gas industry and on the industrial processes and techniques used within this sector. Chapter 3 provides data and information concerning the environmental performance of installations in terms of current emissions, consumption of raw materials, water and energy, and generation of waste. Chapter 4 describes the techniques to prevent or reduce emissions from installations in the sector. In Chapter 5 the BAT conclusions, as defined in Article 3(12) of the Directive, are presented for the refining of mineral oil and gas industry. Chapters 6 and 7 are dedicate…","author":[{"dropping-particle":"","family":"European Commission","given":"","non-dropping-particle":"","parse-names":false,"suffix":""}],"id":"ITEM-1","issued":{"date-parts":[["2015"]]},"number-of-pages":"754","title":"Best Available Techniques (BAT) Reference Document for the Refining of Mineral Oil and Gas","type":"book"},"uris":["http://www.mendeley.com/documents/?uuid=a4e75789-75dc-4938-8d2c-e89373932915"]}],"mendeley":{"formattedCitation":"(European Commission, 2015)","plainTextFormattedCitation":"(European Commission, 2015)","previouslyFormattedCitation":"(European Commission, 2015)"},"properties":{"noteIndex":0},"schema":"https://github.com/citation-style-language/schema/raw/master/csl-citation.json"}</w:instrText>
      </w:r>
      <w:r w:rsidRPr="003E29FB">
        <w:rPr>
          <w:lang w:val="en-GB"/>
        </w:rPr>
        <w:fldChar w:fldCharType="separate"/>
      </w:r>
      <w:r w:rsidRPr="003E29FB">
        <w:rPr>
          <w:noProof/>
          <w:lang w:val="en-GB"/>
        </w:rPr>
        <w:t>(European Commission, 2015)</w:t>
      </w:r>
      <w:r w:rsidRPr="003E29FB">
        <w:rPr>
          <w:lang w:val="en-GB"/>
        </w:rPr>
        <w:fldChar w:fldCharType="end"/>
      </w:r>
      <w:r w:rsidRPr="003E29FB">
        <w:rPr>
          <w:lang w:val="en-GB"/>
        </w:rPr>
        <w:t>.</w:t>
      </w:r>
    </w:p>
    <w:p w14:paraId="05FEF23E" w14:textId="163A16EE" w:rsidR="00AE3CA9" w:rsidRPr="003E29FB" w:rsidRDefault="00AE3CA9" w:rsidP="00AE3CA9">
      <w:pPr>
        <w:pStyle w:val="CETBodytext"/>
        <w:rPr>
          <w:lang w:val="en-GB"/>
        </w:rPr>
      </w:pPr>
      <w:r w:rsidRPr="003E29FB">
        <w:rPr>
          <w:lang w:val="en-GB"/>
        </w:rPr>
        <w:t>As concern the case of Itali</w:t>
      </w:r>
      <w:r w:rsidR="0062435A" w:rsidRPr="003E29FB">
        <w:rPr>
          <w:lang w:val="en-GB"/>
        </w:rPr>
        <w:t>an refineries, in the last four</w:t>
      </w:r>
      <w:r w:rsidRPr="003E29FB">
        <w:rPr>
          <w:lang w:val="en-GB"/>
        </w:rPr>
        <w:t xml:space="preserve"> years, at time to renew the Integrated Environmental Permit (Autorizzazione Integrata Ambientale, AIA), the authorities are requiring an odour monitoring program. </w:t>
      </w:r>
    </w:p>
    <w:p w14:paraId="209FD9EB" w14:textId="77777777" w:rsidR="00AE3CA9" w:rsidRPr="003E29FB" w:rsidRDefault="00AE3CA9" w:rsidP="00AE3CA9">
      <w:pPr>
        <w:pStyle w:val="CETBodytext"/>
        <w:rPr>
          <w:lang w:val="en-GB"/>
        </w:rPr>
      </w:pPr>
      <w:r w:rsidRPr="003E29FB">
        <w:rPr>
          <w:lang w:val="en-GB"/>
        </w:rPr>
        <w:t>The purpose of odour monitoring program is the evaluation, the control and the analysis of the odour impact caused by the potential emission sources of the refinery, according a methodology based on the following phases:</w:t>
      </w:r>
    </w:p>
    <w:p w14:paraId="2F77C8FB" w14:textId="302B667C" w:rsidR="00AE3CA9" w:rsidRPr="003E29FB" w:rsidRDefault="00AE3CA9" w:rsidP="00AE3CA9">
      <w:pPr>
        <w:pStyle w:val="CETBodytext"/>
        <w:numPr>
          <w:ilvl w:val="0"/>
          <w:numId w:val="39"/>
        </w:numPr>
        <w:rPr>
          <w:lang w:val="en-GB"/>
        </w:rPr>
      </w:pPr>
      <w:r w:rsidRPr="003E29FB">
        <w:rPr>
          <w:lang w:val="en-GB"/>
        </w:rPr>
        <w:t>odour emission characterization and impact quantification, through the identification of the emitted odour unit</w:t>
      </w:r>
      <w:r w:rsidR="0062435A" w:rsidRPr="003E29FB">
        <w:rPr>
          <w:lang w:val="en-GB"/>
        </w:rPr>
        <w:t>s</w:t>
      </w:r>
      <w:r w:rsidRPr="003E29FB">
        <w:rPr>
          <w:lang w:val="en-GB"/>
        </w:rPr>
        <w:t xml:space="preserve"> (ou</w:t>
      </w:r>
      <w:r w:rsidRPr="003E29FB">
        <w:rPr>
          <w:vertAlign w:val="subscript"/>
          <w:lang w:val="en-GB"/>
        </w:rPr>
        <w:t>E</w:t>
      </w:r>
      <w:r w:rsidRPr="003E29FB">
        <w:rPr>
          <w:lang w:val="en-GB"/>
        </w:rPr>
        <w:t>/m</w:t>
      </w:r>
      <w:r w:rsidRPr="003E29FB">
        <w:rPr>
          <w:vertAlign w:val="superscript"/>
          <w:lang w:val="en-GB"/>
        </w:rPr>
        <w:t>3</w:t>
      </w:r>
      <w:r w:rsidRPr="003E29FB">
        <w:rPr>
          <w:lang w:val="en-GB"/>
        </w:rPr>
        <w:t>) and of the associated Odour Emission Rate, OER (ou</w:t>
      </w:r>
      <w:r w:rsidRPr="003E29FB">
        <w:rPr>
          <w:vertAlign w:val="subscript"/>
          <w:lang w:val="en-GB"/>
        </w:rPr>
        <w:t>E</w:t>
      </w:r>
      <w:r w:rsidRPr="003E29FB">
        <w:rPr>
          <w:lang w:val="en-GB"/>
        </w:rPr>
        <w:t>/s);</w:t>
      </w:r>
    </w:p>
    <w:p w14:paraId="21660DC1" w14:textId="1AC3ACE6" w:rsidR="00AE3CA9" w:rsidRPr="003E29FB" w:rsidRDefault="00AE3CA9" w:rsidP="00AE3CA9">
      <w:pPr>
        <w:pStyle w:val="CETBodytext"/>
        <w:numPr>
          <w:ilvl w:val="0"/>
          <w:numId w:val="39"/>
        </w:numPr>
        <w:rPr>
          <w:lang w:val="en-GB"/>
        </w:rPr>
      </w:pPr>
      <w:r w:rsidRPr="003E29FB">
        <w:rPr>
          <w:lang w:val="en-GB"/>
        </w:rPr>
        <w:t xml:space="preserve">emissions’ odour impact assessment on the area, by </w:t>
      </w:r>
      <w:r w:rsidR="0062435A" w:rsidRPr="003E29FB">
        <w:rPr>
          <w:lang w:val="en-GB"/>
        </w:rPr>
        <w:t xml:space="preserve">atmospheric </w:t>
      </w:r>
      <w:r w:rsidRPr="003E29FB">
        <w:rPr>
          <w:lang w:val="en-GB"/>
        </w:rPr>
        <w:t>dispersion modelling.</w:t>
      </w:r>
    </w:p>
    <w:p w14:paraId="67245004" w14:textId="5CD58272" w:rsidR="00AE3CA9" w:rsidRPr="003E29FB" w:rsidRDefault="00AE3CA9" w:rsidP="00AE3CA9">
      <w:pPr>
        <w:pStyle w:val="CETBodytext"/>
        <w:rPr>
          <w:lang w:val="en-GB"/>
        </w:rPr>
      </w:pPr>
      <w:r w:rsidRPr="003E29FB">
        <w:rPr>
          <w:lang w:val="en-GB"/>
        </w:rPr>
        <w:t xml:space="preserve">As a matter of fact, a focus on the characterization of odour emission from these complex industries, due to the great relevance of diffuse emissions, is worthy. In particular, the present paper will focus on the characterization of the odour emission </w:t>
      </w:r>
      <w:r w:rsidR="0030029D" w:rsidRPr="003E29FB">
        <w:rPr>
          <w:lang w:val="en-GB"/>
        </w:rPr>
        <w:t xml:space="preserve">from hydrocarbon storage tanks: </w:t>
      </w:r>
      <w:r w:rsidR="0062435A" w:rsidRPr="003E29FB">
        <w:rPr>
          <w:lang w:val="en-GB"/>
        </w:rPr>
        <w:t>these</w:t>
      </w:r>
      <w:r w:rsidR="0030029D" w:rsidRPr="003E29FB">
        <w:rPr>
          <w:lang w:val="en-GB"/>
        </w:rPr>
        <w:t xml:space="preserve"> </w:t>
      </w:r>
      <w:r w:rsidR="0062435A" w:rsidRPr="003E29FB">
        <w:rPr>
          <w:lang w:val="en-GB"/>
        </w:rPr>
        <w:t>equipment</w:t>
      </w:r>
      <w:r w:rsidR="00AA489F" w:rsidRPr="003E29FB">
        <w:rPr>
          <w:lang w:val="en-GB"/>
        </w:rPr>
        <w:t xml:space="preserve"> may</w:t>
      </w:r>
      <w:r w:rsidRPr="003E29FB">
        <w:rPr>
          <w:lang w:val="en-GB"/>
        </w:rPr>
        <w:t xml:space="preserve"> produce </w:t>
      </w:r>
      <w:r w:rsidR="0030029D" w:rsidRPr="003E29FB">
        <w:rPr>
          <w:lang w:val="en-GB"/>
        </w:rPr>
        <w:t>the most</w:t>
      </w:r>
      <w:r w:rsidRPr="003E29FB">
        <w:rPr>
          <w:lang w:val="en-GB"/>
        </w:rPr>
        <w:t xml:space="preserve"> significant amount of diffuse emissions within a refinery and, as requested by AIA, the assessment of the OER emitted by these systems appears mandatory.</w:t>
      </w:r>
    </w:p>
    <w:p w14:paraId="3D96147B" w14:textId="356A0CC8" w:rsidR="00AE3CA9" w:rsidRPr="003E29FB" w:rsidRDefault="00AE3CA9" w:rsidP="00AA489F">
      <w:pPr>
        <w:pStyle w:val="CETBodytext"/>
        <w:rPr>
          <w:b/>
          <w:bCs/>
          <w:lang w:val="en-GB"/>
        </w:rPr>
      </w:pPr>
      <w:r w:rsidRPr="003E29FB">
        <w:rPr>
          <w:lang w:val="en-GB"/>
        </w:rPr>
        <w:t>The procedures for calculating emissions from hydrocarbon storage tanks with simulation models, according to the BREF REF (Refining of Mineral Oil and Gas)</w:t>
      </w:r>
      <w:r w:rsidR="00AA489F" w:rsidRPr="003E29FB">
        <w:rPr>
          <w:lang w:val="en-GB"/>
        </w:rPr>
        <w:t xml:space="preserve"> </w:t>
      </w:r>
      <w:r w:rsidR="00AA489F" w:rsidRPr="003E29FB">
        <w:rPr>
          <w:lang w:val="en-GB"/>
        </w:rPr>
        <w:fldChar w:fldCharType="begin" w:fldLock="1"/>
      </w:r>
      <w:r w:rsidR="000C5EC3" w:rsidRPr="003E29FB">
        <w:rPr>
          <w:lang w:val="en-GB"/>
        </w:rPr>
        <w:instrText>ADDIN CSL_CITATION {"citationItems":[{"id":"ITEM-1","itemData":{"DOI":"10.2791/010758","ISBN":"9789279461989","abstract":"The BREF entitled ‘Refining of Mineral Oil and Gas’ forms part of a series presenting the results of an exchange of information between EU Member States, the industries concerned, non-governmental organisations promoting environmental protection, and the Commission, to draw up, review, and where necessary, update BAT reference documents as required by Article 13(1) of the Industrial Emissions Directive (2010/75/EU). This document is published by the European Commission pursuant to Article 13(6) of the Directive. This BREF for the refining of mineral oil and gas covers certain industrial activities specified in Section 1.2 of Annex I to Directive 2010/75/EU, namely the energy industries of the refining of mineral oil and gas sector. In particular, this document covers the following refineries processes and activities: - Alkylation - Base oil production - Bitumen production - Catalytic cracking - Catalytic reforming - Coking - Cooling - Desalting - Combustion of refinery fuels for energy production - Etherification - Gas separation - Hydrogen consuming processes - Hydrogen production - Isomerisation - Natural gas plants - Polymerisation - Primary distillation - Product treatments - Storage and handling of refinery materials - Visbreaking and other thermal conversions - Waste gas treatment - Waste water treatment - Waste management. Important issues for the implementation of Directive 2010/75/EU in the refining of mineral oil and gas sector are the emissions to air of volatile organic substances, nitrogen oxides, sulphur oxides, hydrofluoric acid, ammonia, carbon monoxide, dioxins and furans, and dust; emissions to water of oils, benzene, suspended solids, COD, nitrogen, metals (lead, cadmium, nickel, mercury); energy efficiency; and the prevention of emissions to soil and groundwater. The BREF document contains seven chapters. Chapters 1 and 2 provide general information on the refining of mineral oil and gas industry and on the industrial processes and techniques used within this sector. Chapter 3 provides data and information concerning the environmental performance of installations in terms of current emissions, consumption of raw materials, water and energy, and generation of waste. Chapter 4 describes the techniques to prevent or reduce emissions from installations in the sector. In Chapter 5 the BAT conclusions, as defined in Article 3(12) of the Directive, are presented for the refining of mineral oil and gas industry. Chapters 6 and 7 are dedicate…","author":[{"dropping-particle":"","family":"European Commission","given":"","non-dropping-particle":"","parse-names":false,"suffix":""}],"id":"ITEM-1","issued":{"date-parts":[["2015"]]},"number-of-pages":"754","title":"Best Available Techniques (BAT) Reference Document for the Refining of Mineral Oil and Gas","type":"book"},"uris":["http://www.mendeley.com/documents/?uuid=a4e75789-75dc-4938-8d2c-e89373932915"]}],"mendeley":{"formattedCitation":"(European Commission, 2015)","plainTextFormattedCitation":"(European Commission, 2015)","previouslyFormattedCitation":"(European Commission, 2015)"},"properties":{"noteIndex":0},"schema":"https://github.com/citation-style-language/schema/raw/master/csl-citation.json"}</w:instrText>
      </w:r>
      <w:r w:rsidR="00AA489F" w:rsidRPr="003E29FB">
        <w:rPr>
          <w:lang w:val="en-GB"/>
        </w:rPr>
        <w:fldChar w:fldCharType="separate"/>
      </w:r>
      <w:r w:rsidR="00AA489F" w:rsidRPr="003E29FB">
        <w:rPr>
          <w:noProof/>
          <w:lang w:val="en-GB"/>
        </w:rPr>
        <w:t>(European Commission, 2015)</w:t>
      </w:r>
      <w:r w:rsidR="00AA489F" w:rsidRPr="003E29FB">
        <w:rPr>
          <w:lang w:val="en-GB"/>
        </w:rPr>
        <w:fldChar w:fldCharType="end"/>
      </w:r>
      <w:r w:rsidRPr="003E29FB">
        <w:rPr>
          <w:lang w:val="en-GB"/>
        </w:rPr>
        <w:t>, represent</w:t>
      </w:r>
      <w:r w:rsidR="00AA489F" w:rsidRPr="003E29FB">
        <w:rPr>
          <w:lang w:val="en-GB"/>
        </w:rPr>
        <w:t xml:space="preserve"> nowadays</w:t>
      </w:r>
      <w:r w:rsidRPr="003E29FB">
        <w:rPr>
          <w:lang w:val="en-GB"/>
        </w:rPr>
        <w:t xml:space="preserve"> the only stable and repeatable method for estimating diffuse emissions from tanks. Other technologies, such as OGI (Optical Gas Imaging) and DIAL (DIfferential Absoption LIDAR), present difficulties due to unreliable quantification calibrations and the possibility of interference with nearby sources</w:t>
      </w:r>
      <w:r w:rsidR="00AA489F" w:rsidRPr="003E29FB">
        <w:rPr>
          <w:lang w:val="en-GB"/>
        </w:rPr>
        <w:t xml:space="preserve">. </w:t>
      </w:r>
    </w:p>
    <w:p w14:paraId="419C8BA0" w14:textId="799A66C1" w:rsidR="00AE3CA9" w:rsidRPr="003E29FB" w:rsidRDefault="00AE3CA9" w:rsidP="00AE3CA9">
      <w:pPr>
        <w:pStyle w:val="CETBodytext"/>
        <w:rPr>
          <w:lang w:val="en-GB"/>
        </w:rPr>
      </w:pPr>
      <w:r w:rsidRPr="003E29FB">
        <w:rPr>
          <w:lang w:val="en-GB"/>
        </w:rPr>
        <w:lastRenderedPageBreak/>
        <w:t>For the definition of the calculation procedures, it is common to use the correlations reported in the American US EPA protocol "</w:t>
      </w:r>
      <w:r w:rsidRPr="003E29FB">
        <w:rPr>
          <w:i/>
          <w:lang w:val="en-GB"/>
        </w:rPr>
        <w:t>AP-42: Compilation of Air Emissions Factors"</w:t>
      </w:r>
      <w:r w:rsidRPr="003E29FB">
        <w:rPr>
          <w:lang w:val="en-GB"/>
        </w:rPr>
        <w:t xml:space="preserve">. In particular, Chapter 7 </w:t>
      </w:r>
      <w:r w:rsidRPr="003E29FB">
        <w:rPr>
          <w:i/>
          <w:lang w:val="en-GB"/>
        </w:rPr>
        <w:t>"Liquid Storage Tanks"</w:t>
      </w:r>
      <w:r w:rsidRPr="003E29FB">
        <w:rPr>
          <w:lang w:val="en-GB"/>
        </w:rPr>
        <w:t xml:space="preserve"> </w:t>
      </w:r>
      <w:r w:rsidRPr="003E29FB">
        <w:rPr>
          <w:lang w:val="en-GB"/>
        </w:rPr>
        <w:fldChar w:fldCharType="begin" w:fldLock="1"/>
      </w:r>
      <w:r w:rsidRPr="003E29FB">
        <w:rPr>
          <w:lang w:val="en-GB"/>
        </w:rPr>
        <w:instrText>ADDIN CSL_CITATION {"citationItems":[{"id":"ITEM-1","itemData":{"author":[{"dropping-particle":"","family":"U.S. EPA","given":"","non-dropping-particle":"","parse-names":false,"suffix":""}],"id":"ITEM-1","issued":{"date-parts":[["2006"]]},"number-of-pages":"Section 7.1","title":"Emission Factor Documentation for AP-42 Organic Liquid Storage Tanks Final Report","type":"report"},"uris":["http://www.mendeley.com/documents/?uuid=f7e7486c-52ec-4cf1-9e89-fca274903e80"]}],"mendeley":{"formattedCitation":"(U.S. EPA, 2006)","plainTextFormattedCitation":"(U.S. EPA, 2006)","previouslyFormattedCitation":"(U.S. EPA, 2006)"},"properties":{"noteIndex":0},"schema":"https://github.com/citation-style-language/schema/raw/master/csl-citation.json"}</w:instrText>
      </w:r>
      <w:r w:rsidRPr="003E29FB">
        <w:rPr>
          <w:lang w:val="en-GB"/>
        </w:rPr>
        <w:fldChar w:fldCharType="separate"/>
      </w:r>
      <w:r w:rsidRPr="003E29FB">
        <w:rPr>
          <w:noProof/>
          <w:lang w:val="en-GB"/>
        </w:rPr>
        <w:t>(U.S. EPA, 2006)</w:t>
      </w:r>
      <w:r w:rsidRPr="003E29FB">
        <w:rPr>
          <w:lang w:val="en-GB"/>
        </w:rPr>
        <w:fldChar w:fldCharType="end"/>
      </w:r>
      <w:r w:rsidRPr="003E29FB">
        <w:rPr>
          <w:lang w:val="en-GB"/>
        </w:rPr>
        <w:t xml:space="preserve">, provides a series of correlations based on thermodynamic, chemical-physical, management and mass balance considerations, aimed at the quantitative description of the phenomena responsible for the evaporation of organic liquids stored in tanks. This protocol has undergone a series of improvements and revisions over time, which have made it possible to refine the calculation capabilities and resolve a series of limitations and approximations present in the calculations. </w:t>
      </w:r>
    </w:p>
    <w:p w14:paraId="41E2D9AB" w14:textId="19953687" w:rsidR="00AE3CA9" w:rsidRPr="003E29FB" w:rsidRDefault="00AE3CA9" w:rsidP="00AE3CA9">
      <w:pPr>
        <w:pStyle w:val="CETBodytext"/>
        <w:rPr>
          <w:lang w:val="en-GB"/>
        </w:rPr>
      </w:pPr>
      <w:r w:rsidRPr="003E29FB">
        <w:rPr>
          <w:lang w:val="en-GB"/>
        </w:rPr>
        <w:t xml:space="preserve">The most widespread and widely used version of the document is the one issued in 1997 </w:t>
      </w:r>
      <w:r w:rsidRPr="003E29FB">
        <w:rPr>
          <w:lang w:val="en-GB"/>
        </w:rPr>
        <w:fldChar w:fldCharType="begin" w:fldLock="1"/>
      </w:r>
      <w:r w:rsidRPr="003E29FB">
        <w:rPr>
          <w:lang w:val="en-GB"/>
        </w:rPr>
        <w:instrText>ADDIN CSL_CITATION {"citationItems":[{"id":"ITEM-1","itemData":{"author":[{"dropping-particle":"","family":"U.S. EPA","given":"","non-dropping-particle":"","parse-names":false,"suffix":""}],"id":"ITEM-1","issued":{"date-parts":[["1997"]]},"number-of-pages":"103","title":"Emission Factor Documentation for AP-42 Organic Liquid Storage Tanks Final Report","type":"report"},"uris":["http://www.mendeley.com/documents/?uuid=1ba55b62-d2d2-40dc-986c-4c44c88803fb"]}],"mendeley":{"formattedCitation":"(U.S. EPA, 1997)","plainTextFormattedCitation":"(U.S. EPA, 1997)","previouslyFormattedCitation":"(U.S. EPA, 1997)"},"properties":{"noteIndex":0},"schema":"https://github.com/citation-style-language/schema/raw/master/csl-citation.json"}</w:instrText>
      </w:r>
      <w:r w:rsidRPr="003E29FB">
        <w:rPr>
          <w:lang w:val="en-GB"/>
        </w:rPr>
        <w:fldChar w:fldCharType="separate"/>
      </w:r>
      <w:r w:rsidRPr="003E29FB">
        <w:rPr>
          <w:noProof/>
          <w:lang w:val="en-GB"/>
        </w:rPr>
        <w:t>(U.S. EPA, 1997)</w:t>
      </w:r>
      <w:r w:rsidRPr="003E29FB">
        <w:rPr>
          <w:lang w:val="en-GB"/>
        </w:rPr>
        <w:fldChar w:fldCharType="end"/>
      </w:r>
      <w:r w:rsidRPr="003E29FB">
        <w:rPr>
          <w:lang w:val="en-GB"/>
        </w:rPr>
        <w:t xml:space="preserve">, mainly in </w:t>
      </w:r>
      <w:r w:rsidR="001F0BB4" w:rsidRPr="003E29FB">
        <w:rPr>
          <w:lang w:val="en-GB"/>
        </w:rPr>
        <w:t>consideration of the fact that</w:t>
      </w:r>
      <w:r w:rsidRPr="003E29FB">
        <w:rPr>
          <w:lang w:val="en-GB"/>
        </w:rPr>
        <w:t xml:space="preserve"> the freeware software </w:t>
      </w:r>
      <w:r w:rsidR="006A3DB7" w:rsidRPr="003E29FB">
        <w:rPr>
          <w:lang w:val="en-GB"/>
        </w:rPr>
        <w:t>TANKS 4.09D</w:t>
      </w:r>
      <w:r w:rsidRPr="003E29FB">
        <w:rPr>
          <w:lang w:val="en-GB"/>
        </w:rPr>
        <w:t xml:space="preserve">, released by the US EPA itself </w:t>
      </w:r>
      <w:r w:rsidRPr="003E29FB">
        <w:rPr>
          <w:lang w:val="en-GB"/>
        </w:rPr>
        <w:fldChar w:fldCharType="begin" w:fldLock="1"/>
      </w:r>
      <w:r w:rsidRPr="003E29FB">
        <w:rPr>
          <w:lang w:val="en-GB"/>
        </w:rPr>
        <w:instrText>ADDIN CSL_CITATION {"citationItems":[{"id":"ITEM-1","itemData":{"author":[{"dropping-particle":"","family":"U.S. EPA","given":"","non-dropping-particle":"","parse-names":false,"suffix":""}],"id":"ITEM-1","issued":{"date-parts":[["1999"]]},"title":"User's guide to TANKS Storage Tank Emissions Calculation Software Version 4.0","type":"report"},"uris":["http://www.mendeley.com/documents/?uuid=12c2db46-ca5a-4e72-98d5-b329661e4604"]}],"mendeley":{"formattedCitation":"(U.S. EPA, 1999)","plainTextFormattedCitation":"(U.S. EPA, 1999)","previouslyFormattedCitation":"(U.S. EPA, 1999)"},"properties":{"noteIndex":0},"schema":"https://github.com/citation-style-language/schema/raw/master/csl-citation.json"}</w:instrText>
      </w:r>
      <w:r w:rsidRPr="003E29FB">
        <w:rPr>
          <w:lang w:val="en-GB"/>
        </w:rPr>
        <w:fldChar w:fldCharType="separate"/>
      </w:r>
      <w:r w:rsidRPr="003E29FB">
        <w:rPr>
          <w:noProof/>
          <w:lang w:val="en-GB"/>
        </w:rPr>
        <w:t>(U.S. EPA, 1999)</w:t>
      </w:r>
      <w:r w:rsidRPr="003E29FB">
        <w:rPr>
          <w:lang w:val="en-GB"/>
        </w:rPr>
        <w:fldChar w:fldCharType="end"/>
      </w:r>
      <w:r w:rsidRPr="003E29FB">
        <w:rPr>
          <w:lang w:val="en-GB"/>
        </w:rPr>
        <w:t>, should implement the correlations reported in the cited document. Unfortunately, a series of limitations in terms of compatibility with th</w:t>
      </w:r>
      <w:r w:rsidR="0059214F" w:rsidRPr="003E29FB">
        <w:rPr>
          <w:lang w:val="en-GB"/>
        </w:rPr>
        <w:t>e most recent operating systems</w:t>
      </w:r>
      <w:r w:rsidRPr="003E29FB">
        <w:rPr>
          <w:lang w:val="en-GB"/>
        </w:rPr>
        <w:t xml:space="preserve"> have led the U.S. agency to stop providing assistance</w:t>
      </w:r>
      <w:r w:rsidR="00AA489F" w:rsidRPr="003E29FB">
        <w:rPr>
          <w:lang w:val="en-GB"/>
        </w:rPr>
        <w:t xml:space="preserve">. </w:t>
      </w:r>
      <w:r w:rsidRPr="003E29FB">
        <w:rPr>
          <w:lang w:val="en-GB"/>
        </w:rPr>
        <w:t xml:space="preserve">Moreover, the calculation tool also brings with it a series of misplaced chemical/physical considerations that may undermine its reliability. </w:t>
      </w:r>
    </w:p>
    <w:p w14:paraId="36C5522F" w14:textId="755F41E9" w:rsidR="00AE3CA9" w:rsidRPr="003E29FB" w:rsidRDefault="00AE3CA9" w:rsidP="00AE3CA9">
      <w:pPr>
        <w:pStyle w:val="CETBodytext"/>
        <w:rPr>
          <w:lang w:val="en-GB"/>
        </w:rPr>
      </w:pPr>
      <w:r w:rsidRPr="003E29FB">
        <w:rPr>
          <w:lang w:val="en-GB"/>
        </w:rPr>
        <w:t xml:space="preserve">The </w:t>
      </w:r>
      <w:r w:rsidR="006A3DB7" w:rsidRPr="003E29FB">
        <w:rPr>
          <w:lang w:val="en-GB"/>
        </w:rPr>
        <w:t>TANKS 4.09D</w:t>
      </w:r>
      <w:r w:rsidRPr="003E29FB">
        <w:rPr>
          <w:lang w:val="en-GB"/>
        </w:rPr>
        <w:t xml:space="preserve"> simulation model is based on a series of input data</w:t>
      </w:r>
      <w:r w:rsidR="0075647F" w:rsidRPr="003E29FB">
        <w:rPr>
          <w:lang w:val="en-GB"/>
        </w:rPr>
        <w:t>, mass balances, thermodynamic equilibria hypothesis,</w:t>
      </w:r>
      <w:r w:rsidRPr="003E29FB">
        <w:rPr>
          <w:lang w:val="en-GB"/>
        </w:rPr>
        <w:t xml:space="preserve"> and semi-empirical correlations. A scheme is reported in </w:t>
      </w:r>
      <w:r w:rsidRPr="003E29FB">
        <w:rPr>
          <w:lang w:val="en-GB"/>
        </w:rPr>
        <w:fldChar w:fldCharType="begin"/>
      </w:r>
      <w:r w:rsidRPr="003E29FB">
        <w:rPr>
          <w:lang w:val="en-GB"/>
        </w:rPr>
        <w:instrText xml:space="preserve"> REF _Ref60664536 \h </w:instrText>
      </w:r>
      <w:r w:rsidR="001F0BB4" w:rsidRPr="003E29FB">
        <w:rPr>
          <w:lang w:val="en-GB"/>
        </w:rPr>
        <w:instrText xml:space="preserve"> \* MERGEFORMAT </w:instrText>
      </w:r>
      <w:r w:rsidRPr="003E29FB">
        <w:rPr>
          <w:lang w:val="en-GB"/>
        </w:rPr>
      </w:r>
      <w:r w:rsidRPr="003E29FB">
        <w:rPr>
          <w:lang w:val="en-GB"/>
        </w:rPr>
        <w:fldChar w:fldCharType="separate"/>
      </w:r>
      <w:r w:rsidR="001F0BB4" w:rsidRPr="003E29FB">
        <w:rPr>
          <w:lang w:val="en-GB"/>
        </w:rPr>
        <w:t>Figure 1</w:t>
      </w:r>
      <w:r w:rsidRPr="003E29FB">
        <w:rPr>
          <w:lang w:val="en-GB"/>
        </w:rPr>
        <w:fldChar w:fldCharType="end"/>
      </w:r>
      <w:r w:rsidRPr="003E29FB">
        <w:rPr>
          <w:lang w:val="en-GB"/>
        </w:rPr>
        <w:t xml:space="preserve">. </w:t>
      </w:r>
    </w:p>
    <w:p w14:paraId="4AEE9F7A" w14:textId="77777777" w:rsidR="00AE3CA9" w:rsidRPr="003E29FB" w:rsidRDefault="00AE3CA9" w:rsidP="00AE3CA9">
      <w:pPr>
        <w:pStyle w:val="CETBodytext"/>
        <w:rPr>
          <w:lang w:val="en-GB"/>
        </w:rPr>
      </w:pPr>
      <w:r w:rsidRPr="003E29FB">
        <w:rPr>
          <w:noProof/>
          <w:lang w:val="it-IT" w:eastAsia="it-IT"/>
        </w:rPr>
        <w:drawing>
          <wp:inline distT="0" distB="0" distL="0" distR="0" wp14:anchorId="138BE9DE" wp14:editId="346DDAB8">
            <wp:extent cx="2552542" cy="1607185"/>
            <wp:effectExtent l="0" t="0" r="635"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2862" cy="1619979"/>
                    </a:xfrm>
                    <a:prstGeom prst="rect">
                      <a:avLst/>
                    </a:prstGeom>
                    <a:noFill/>
                  </pic:spPr>
                </pic:pic>
              </a:graphicData>
            </a:graphic>
          </wp:inline>
        </w:drawing>
      </w:r>
    </w:p>
    <w:p w14:paraId="3F68F352" w14:textId="6CD39714" w:rsidR="00AE3CA9" w:rsidRPr="003E29FB" w:rsidRDefault="00AE3CA9" w:rsidP="0075647F">
      <w:pPr>
        <w:pStyle w:val="CETCaption"/>
      </w:pPr>
      <w:bookmarkStart w:id="1" w:name="_Ref60664536"/>
      <w:bookmarkStart w:id="2" w:name="_Toc60678128"/>
      <w:r w:rsidRPr="003E29FB">
        <w:t xml:space="preserve">Figure </w:t>
      </w:r>
      <w:r w:rsidRPr="003E29FB">
        <w:fldChar w:fldCharType="begin"/>
      </w:r>
      <w:r w:rsidRPr="003E29FB">
        <w:instrText xml:space="preserve"> SEQ Figure \* ARABIC </w:instrText>
      </w:r>
      <w:r w:rsidRPr="003E29FB">
        <w:fldChar w:fldCharType="separate"/>
      </w:r>
      <w:r w:rsidR="002E4298" w:rsidRPr="003E29FB">
        <w:rPr>
          <w:noProof/>
        </w:rPr>
        <w:t>1</w:t>
      </w:r>
      <w:r w:rsidRPr="003E29FB">
        <w:fldChar w:fldCharType="end"/>
      </w:r>
      <w:bookmarkEnd w:id="1"/>
      <w:r w:rsidR="00394164" w:rsidRPr="003E29FB">
        <w:t>:</w:t>
      </w:r>
      <w:r w:rsidRPr="003E29FB">
        <w:t xml:space="preserve"> Input-output diagram of US EPA </w:t>
      </w:r>
      <w:r w:rsidR="006A3DB7" w:rsidRPr="003E29FB">
        <w:t>TANKS 4.09D</w:t>
      </w:r>
      <w:r w:rsidRPr="003E29FB">
        <w:t xml:space="preserve"> simulation software</w:t>
      </w:r>
      <w:bookmarkEnd w:id="2"/>
    </w:p>
    <w:p w14:paraId="65255CD2" w14:textId="77777777" w:rsidR="0059214F" w:rsidRPr="003E29FB" w:rsidRDefault="00AE3CA9" w:rsidP="00AE3CA9">
      <w:pPr>
        <w:pStyle w:val="CETBodytext"/>
        <w:rPr>
          <w:lang w:val="en-GB"/>
        </w:rPr>
      </w:pPr>
      <w:r w:rsidRPr="003E29FB">
        <w:rPr>
          <w:lang w:val="en-GB"/>
        </w:rPr>
        <w:t xml:space="preserve">As any mathematical model based on physical considerations, in addition to the inherent uncertainty of </w:t>
      </w:r>
      <w:r w:rsidR="00AA489F" w:rsidRPr="003E29FB">
        <w:rPr>
          <w:lang w:val="en-GB"/>
        </w:rPr>
        <w:t>some</w:t>
      </w:r>
      <w:r w:rsidRPr="003E29FB">
        <w:rPr>
          <w:lang w:val="en-GB"/>
        </w:rPr>
        <w:t xml:space="preserve"> assump</w:t>
      </w:r>
      <w:r w:rsidR="00AA489F" w:rsidRPr="003E29FB">
        <w:rPr>
          <w:lang w:val="en-GB"/>
        </w:rPr>
        <w:t>tions and correlations</w:t>
      </w:r>
      <w:r w:rsidRPr="003E29FB">
        <w:rPr>
          <w:lang w:val="en-GB"/>
        </w:rPr>
        <w:t>, it is also affected by the uncertainty (and possibly bias) of the</w:t>
      </w:r>
      <w:r w:rsidR="001F0BB4" w:rsidRPr="003E29FB">
        <w:rPr>
          <w:lang w:val="en-GB"/>
        </w:rPr>
        <w:t xml:space="preserve"> required</w:t>
      </w:r>
      <w:r w:rsidRPr="003E29FB">
        <w:rPr>
          <w:lang w:val="en-GB"/>
        </w:rPr>
        <w:t xml:space="preserve"> input. In order to provide a general overview of the model and the possible implementations for usage in the odour field, a brief description of the calculation mechanism is reported in the next paragraphs. </w:t>
      </w:r>
    </w:p>
    <w:p w14:paraId="384B6F20" w14:textId="0C599E94" w:rsidR="00AE3CA9" w:rsidRPr="003E29FB" w:rsidRDefault="00AE3CA9" w:rsidP="00AE3CA9">
      <w:pPr>
        <w:pStyle w:val="CETBodytext"/>
        <w:rPr>
          <w:lang w:val="en-GB"/>
        </w:rPr>
      </w:pPr>
      <w:r w:rsidRPr="003E29FB">
        <w:rPr>
          <w:lang w:val="en-GB"/>
        </w:rPr>
        <w:t xml:space="preserve">Regarding the case of tanks, </w:t>
      </w:r>
      <w:r w:rsidR="00AA489F" w:rsidRPr="003E29FB">
        <w:rPr>
          <w:lang w:val="en-GB"/>
        </w:rPr>
        <w:t>first</w:t>
      </w:r>
      <w:r w:rsidRPr="003E29FB">
        <w:rPr>
          <w:lang w:val="en-GB"/>
        </w:rPr>
        <w:t xml:space="preserve"> we must distinguish the two main kind: fixed roof tank and floating roof tank. The evaluation of the </w:t>
      </w:r>
      <w:r w:rsidR="0021397E" w:rsidRPr="003E29FB">
        <w:rPr>
          <w:lang w:val="en-GB"/>
        </w:rPr>
        <w:t xml:space="preserve">emission rate, </w:t>
      </w:r>
      <w:r w:rsidRPr="003E29FB">
        <w:rPr>
          <w:lang w:val="en-GB"/>
        </w:rPr>
        <w:t>ER</w:t>
      </w:r>
      <w:r w:rsidR="0021397E" w:rsidRPr="003E29FB">
        <w:rPr>
          <w:lang w:val="en-GB"/>
        </w:rPr>
        <w:t>,</w:t>
      </w:r>
      <w:r w:rsidRPr="003E29FB">
        <w:rPr>
          <w:lang w:val="en-GB"/>
        </w:rPr>
        <w:t xml:space="preserve"> (and</w:t>
      </w:r>
      <w:r w:rsidR="0021397E" w:rsidRPr="003E29FB">
        <w:rPr>
          <w:lang w:val="en-GB"/>
        </w:rPr>
        <w:t xml:space="preserve"> Odour Emission Rate,</w:t>
      </w:r>
      <w:r w:rsidRPr="003E29FB">
        <w:rPr>
          <w:lang w:val="en-GB"/>
        </w:rPr>
        <w:t xml:space="preserve"> OER) cannot be the same due to the different structure </w:t>
      </w:r>
      <w:r w:rsidR="0021397E" w:rsidRPr="003E29FB">
        <w:rPr>
          <w:lang w:val="en-GB"/>
        </w:rPr>
        <w:t xml:space="preserve">and physics </w:t>
      </w:r>
      <w:r w:rsidRPr="003E29FB">
        <w:rPr>
          <w:lang w:val="en-GB"/>
        </w:rPr>
        <w:t>of the tanks</w:t>
      </w:r>
      <w:r w:rsidR="0021397E" w:rsidRPr="003E29FB">
        <w:rPr>
          <w:lang w:val="en-GB"/>
        </w:rPr>
        <w:t xml:space="preserve"> type</w:t>
      </w:r>
      <w:r w:rsidRPr="003E29FB">
        <w:rPr>
          <w:lang w:val="en-GB"/>
        </w:rPr>
        <w:t>.</w:t>
      </w:r>
    </w:p>
    <w:p w14:paraId="40F2EC67" w14:textId="77777777" w:rsidR="00AE3CA9" w:rsidRPr="003E29FB" w:rsidRDefault="00AE3CA9" w:rsidP="007E788A">
      <w:pPr>
        <w:pStyle w:val="CETHeading1"/>
        <w:rPr>
          <w:lang w:val="en-GB"/>
        </w:rPr>
      </w:pPr>
      <w:bookmarkStart w:id="3" w:name="_Toc13497278"/>
      <w:bookmarkStart w:id="4" w:name="_Ref13133222"/>
      <w:bookmarkStart w:id="5" w:name="_Ref13133201"/>
      <w:bookmarkStart w:id="6" w:name="_Toc61363128"/>
      <w:r w:rsidRPr="003E29FB">
        <w:rPr>
          <w:lang w:val="en-GB"/>
        </w:rPr>
        <w:t>Fixed roof tank</w:t>
      </w:r>
      <w:bookmarkEnd w:id="3"/>
      <w:bookmarkEnd w:id="4"/>
      <w:bookmarkEnd w:id="5"/>
      <w:r w:rsidRPr="003E29FB">
        <w:rPr>
          <w:lang w:val="en-GB"/>
        </w:rPr>
        <w:t>s</w:t>
      </w:r>
      <w:bookmarkEnd w:id="6"/>
      <w:r w:rsidRPr="003E29FB">
        <w:rPr>
          <w:lang w:val="en-GB"/>
        </w:rPr>
        <w:t xml:space="preserve"> </w:t>
      </w:r>
    </w:p>
    <w:p w14:paraId="7C554B3B" w14:textId="0C407CCC" w:rsidR="00AE3CA9" w:rsidRPr="003E29FB" w:rsidRDefault="00AE3CA9" w:rsidP="00AE3CA9">
      <w:pPr>
        <w:pStyle w:val="CETBodytext"/>
        <w:rPr>
          <w:lang w:val="en-GB"/>
        </w:rPr>
      </w:pPr>
      <w:r w:rsidRPr="003E29FB">
        <w:rPr>
          <w:lang w:val="en-GB"/>
        </w:rPr>
        <w:t>Fixed roof tanks (FRTs) are</w:t>
      </w:r>
      <w:r w:rsidR="00AA489F" w:rsidRPr="003E29FB">
        <w:rPr>
          <w:lang w:val="en-GB"/>
        </w:rPr>
        <w:t xml:space="preserve"> usually</w:t>
      </w:r>
      <w:r w:rsidRPr="003E29FB">
        <w:rPr>
          <w:lang w:val="en-GB"/>
        </w:rPr>
        <w:t xml:space="preserve"> employed in r</w:t>
      </w:r>
      <w:r w:rsidR="0021397E" w:rsidRPr="003E29FB">
        <w:rPr>
          <w:lang w:val="en-GB"/>
        </w:rPr>
        <w:t>efineries for storage of heavy</w:t>
      </w:r>
      <w:r w:rsidRPr="003E29FB">
        <w:rPr>
          <w:lang w:val="en-GB"/>
        </w:rPr>
        <w:t xml:space="preserve"> products</w:t>
      </w:r>
      <w:r w:rsidR="00AA489F" w:rsidRPr="003E29FB">
        <w:rPr>
          <w:lang w:val="en-GB"/>
        </w:rPr>
        <w:t>,</w:t>
      </w:r>
      <w:r w:rsidRPr="003E29FB">
        <w:rPr>
          <w:lang w:val="en-GB"/>
        </w:rPr>
        <w:t xml:space="preserve"> such as diesel, bitumen and fuel oils. The upper part of their construction, i.e. the roof, is immobile in relation to the lower part, i.e. the shell.</w:t>
      </w:r>
      <w:r w:rsidR="0021397E" w:rsidRPr="003E29FB">
        <w:rPr>
          <w:lang w:val="en-GB"/>
        </w:rPr>
        <w:t xml:space="preserve"> </w:t>
      </w:r>
      <w:r w:rsidRPr="003E29FB">
        <w:rPr>
          <w:lang w:val="en-GB"/>
        </w:rPr>
        <w:t xml:space="preserve">Their contents are normally characterized by low volatility and a true vapor pressure (TVP) of less than 14 kPa </w:t>
      </w:r>
      <w:r w:rsidRPr="003E29FB">
        <w:rPr>
          <w:lang w:val="en-GB"/>
        </w:rPr>
        <w:fldChar w:fldCharType="begin" w:fldLock="1"/>
      </w:r>
      <w:r w:rsidRPr="003E29FB">
        <w:rPr>
          <w:lang w:val="en-GB"/>
        </w:rPr>
        <w:instrText>ADDIN CSL_CITATION {"citationItems":[{"id":"ITEM-1","itemData":{"author":[{"dropping-particle":"","family":"U.S. EPA","given":"","non-dropping-particle":"","parse-names":false,"suffix":""}],"id":"ITEM-1","issued":{"date-parts":[["2006"]]},"number-of-pages":"Section 7.1","title":"Emission Factor Documentation for AP-42 Organic Liquid Storage Tanks Final Report","type":"report"},"uris":["http://www.mendeley.com/documents/?uuid=f7e7486c-52ec-4cf1-9e89-fca274903e80"]}],"mendeley":{"formattedCitation":"(U.S. EPA, 2006)","plainTextFormattedCitation":"(U.S. EPA, 2006)","previouslyFormattedCitation":"(U.S. EPA, 2006)"},"properties":{"noteIndex":0},"schema":"https://github.com/citation-style-language/schema/raw/master/csl-citation.json"}</w:instrText>
      </w:r>
      <w:r w:rsidRPr="003E29FB">
        <w:rPr>
          <w:lang w:val="en-GB"/>
        </w:rPr>
        <w:fldChar w:fldCharType="separate"/>
      </w:r>
      <w:r w:rsidRPr="003E29FB">
        <w:rPr>
          <w:noProof/>
          <w:lang w:val="en-GB"/>
        </w:rPr>
        <w:t>(U.S. EPA, 2006)</w:t>
      </w:r>
      <w:r w:rsidRPr="003E29FB">
        <w:rPr>
          <w:lang w:val="en-GB"/>
        </w:rPr>
        <w:fldChar w:fldCharType="end"/>
      </w:r>
      <w:r w:rsidRPr="003E29FB">
        <w:rPr>
          <w:lang w:val="en-GB"/>
        </w:rPr>
        <w:t xml:space="preserve">. </w:t>
      </w:r>
    </w:p>
    <w:p w14:paraId="6F3422FF" w14:textId="052CA1F5" w:rsidR="00AE3CA9" w:rsidRPr="003E29FB" w:rsidRDefault="00AE3CA9" w:rsidP="00AE3CA9">
      <w:pPr>
        <w:pStyle w:val="CETBodytext"/>
        <w:rPr>
          <w:lang w:val="en-GB"/>
        </w:rPr>
      </w:pPr>
      <w:r w:rsidRPr="003E29FB">
        <w:rPr>
          <w:lang w:val="en-GB"/>
        </w:rPr>
        <w:t xml:space="preserve">The </w:t>
      </w:r>
      <w:r w:rsidR="00AA489F" w:rsidRPr="003E29FB">
        <w:rPr>
          <w:lang w:val="en-GB"/>
        </w:rPr>
        <w:t>VOC</w:t>
      </w:r>
      <w:r w:rsidRPr="003E29FB">
        <w:rPr>
          <w:lang w:val="en-GB"/>
        </w:rPr>
        <w:t xml:space="preserve"> emissions typical of these tanks are:</w:t>
      </w:r>
    </w:p>
    <w:p w14:paraId="3E2F878C" w14:textId="77777777" w:rsidR="00AE3CA9" w:rsidRPr="003E29FB" w:rsidRDefault="00AE3CA9" w:rsidP="00AE3CA9">
      <w:pPr>
        <w:pStyle w:val="CETBodytext"/>
        <w:numPr>
          <w:ilvl w:val="0"/>
          <w:numId w:val="37"/>
        </w:numPr>
        <w:rPr>
          <w:lang w:val="en-GB"/>
        </w:rPr>
      </w:pPr>
      <w:r w:rsidRPr="003E29FB">
        <w:rPr>
          <w:lang w:val="en-GB"/>
        </w:rPr>
        <w:t>Filling Losses: in order for the tank to be filled, saturated vapour present inside the tank, above the stored liquid phase, is released into the atmosphere;</w:t>
      </w:r>
    </w:p>
    <w:p w14:paraId="406FE9E4" w14:textId="38E789EF" w:rsidR="00AE3CA9" w:rsidRPr="003E29FB" w:rsidRDefault="00AE3CA9" w:rsidP="00AE3CA9">
      <w:pPr>
        <w:pStyle w:val="CETBodytext"/>
        <w:numPr>
          <w:ilvl w:val="0"/>
          <w:numId w:val="37"/>
        </w:numPr>
        <w:rPr>
          <w:lang w:val="en-GB"/>
        </w:rPr>
      </w:pPr>
      <w:r w:rsidRPr="003E29FB">
        <w:rPr>
          <w:lang w:val="en-GB"/>
        </w:rPr>
        <w:t>Breathing Loss</w:t>
      </w:r>
      <w:r w:rsidR="0059214F" w:rsidRPr="003E29FB">
        <w:rPr>
          <w:lang w:val="en-GB"/>
        </w:rPr>
        <w:t>es: the tank is fitted with air-</w:t>
      </w:r>
      <w:r w:rsidRPr="003E29FB">
        <w:rPr>
          <w:lang w:val="en-GB"/>
        </w:rPr>
        <w:t>release valves in order to compensate for the pressure and temperature differences generated from day to night.</w:t>
      </w:r>
    </w:p>
    <w:p w14:paraId="77530565" w14:textId="2867A082" w:rsidR="00604128" w:rsidRPr="003E29FB" w:rsidRDefault="00604128" w:rsidP="00604128">
      <w:pPr>
        <w:pStyle w:val="CETBodytext"/>
        <w:rPr>
          <w:lang w:val="en-GB"/>
        </w:rPr>
      </w:pPr>
      <w:r w:rsidRPr="003E29FB">
        <w:rPr>
          <w:lang w:val="en-GB"/>
        </w:rPr>
        <w:t>For standard</w:t>
      </w:r>
      <w:r w:rsidR="0077096C" w:rsidRPr="003E29FB">
        <w:rPr>
          <w:lang w:val="en-GB"/>
        </w:rPr>
        <w:t xml:space="preserve"> storage tanks (neglecting emergency or back-up units),</w:t>
      </w:r>
      <w:r w:rsidRPr="003E29FB">
        <w:rPr>
          <w:lang w:val="en-GB"/>
        </w:rPr>
        <w:t xml:space="preserve"> </w:t>
      </w:r>
      <w:r w:rsidR="0077096C" w:rsidRPr="003E29FB">
        <w:rPr>
          <w:lang w:val="en-GB"/>
        </w:rPr>
        <w:t>t</w:t>
      </w:r>
      <w:r w:rsidRPr="003E29FB">
        <w:rPr>
          <w:lang w:val="en-GB"/>
        </w:rPr>
        <w:t>he gaseous exchange due to handling of liquids in FRTs is much higher than the one due only to thermal expansion caused by temperature variation.</w:t>
      </w:r>
    </w:p>
    <w:p w14:paraId="4B8CD9E2" w14:textId="4FE4BFE5" w:rsidR="0021397E" w:rsidRPr="003E29FB" w:rsidRDefault="00AE3CA9" w:rsidP="0021397E">
      <w:pPr>
        <w:pStyle w:val="CETBodytext"/>
        <w:rPr>
          <w:lang w:val="en-GB"/>
        </w:rPr>
      </w:pPr>
      <w:r w:rsidRPr="003E29FB">
        <w:rPr>
          <w:lang w:val="en-GB"/>
        </w:rPr>
        <w:t>In</w:t>
      </w:r>
      <w:r w:rsidR="002E4298" w:rsidRPr="003E29FB">
        <w:rPr>
          <w:lang w:val="en-GB"/>
        </w:rPr>
        <w:t xml:space="preserve"> </w:t>
      </w:r>
      <w:r w:rsidR="002E4298" w:rsidRPr="003E29FB">
        <w:rPr>
          <w:lang w:val="en-GB"/>
        </w:rPr>
        <w:fldChar w:fldCharType="begin"/>
      </w:r>
      <w:r w:rsidR="002E4298" w:rsidRPr="003E29FB">
        <w:rPr>
          <w:lang w:val="en-GB"/>
        </w:rPr>
        <w:instrText xml:space="preserve"> REF _Ref61619226 \h </w:instrText>
      </w:r>
      <w:r w:rsidR="002E4298" w:rsidRPr="003E29FB">
        <w:rPr>
          <w:lang w:val="en-GB"/>
        </w:rPr>
      </w:r>
      <w:r w:rsidR="002E4298" w:rsidRPr="003E29FB">
        <w:rPr>
          <w:lang w:val="en-GB"/>
        </w:rPr>
        <w:fldChar w:fldCharType="separate"/>
      </w:r>
      <w:r w:rsidR="002E4298" w:rsidRPr="003E29FB">
        <w:rPr>
          <w:lang w:val="en-GB"/>
        </w:rPr>
        <w:t xml:space="preserve">Figure </w:t>
      </w:r>
      <w:r w:rsidR="002E4298" w:rsidRPr="003E29FB">
        <w:rPr>
          <w:noProof/>
          <w:lang w:val="en-GB"/>
        </w:rPr>
        <w:t>2</w:t>
      </w:r>
      <w:r w:rsidR="002E4298" w:rsidRPr="003E29FB">
        <w:rPr>
          <w:lang w:val="en-GB"/>
        </w:rPr>
        <w:fldChar w:fldCharType="end"/>
      </w:r>
      <w:r w:rsidR="00863C6D">
        <w:rPr>
          <w:lang w:val="en-GB"/>
        </w:rPr>
        <w:t>a</w:t>
      </w:r>
      <w:r w:rsidRPr="003E29FB">
        <w:rPr>
          <w:lang w:val="en-GB"/>
        </w:rPr>
        <w:t xml:space="preserve"> is reported a real-case </w:t>
      </w:r>
      <w:r w:rsidR="0021397E" w:rsidRPr="003E29FB">
        <w:rPr>
          <w:lang w:val="en-GB"/>
        </w:rPr>
        <w:t xml:space="preserve">refinery contributions </w:t>
      </w:r>
      <w:r w:rsidRPr="003E29FB">
        <w:rPr>
          <w:lang w:val="en-GB"/>
        </w:rPr>
        <w:t>e</w:t>
      </w:r>
      <w:r w:rsidR="0077096C" w:rsidRPr="003E29FB">
        <w:rPr>
          <w:lang w:val="en-GB"/>
        </w:rPr>
        <w:t>mission estimation</w:t>
      </w:r>
      <w:r w:rsidRPr="003E29FB">
        <w:rPr>
          <w:lang w:val="en-GB"/>
        </w:rPr>
        <w:t xml:space="preserve">. </w:t>
      </w:r>
      <w:r w:rsidR="0021397E" w:rsidRPr="003E29FB">
        <w:rPr>
          <w:lang w:val="en-GB"/>
        </w:rPr>
        <w:t xml:space="preserve">As it is clear to see, Filling Losses are higher in one order of magnitude with respect to Breathing Losses. This general behavior has been underlined by different studies </w:t>
      </w:r>
      <w:r w:rsidR="0021397E" w:rsidRPr="003E29FB">
        <w:rPr>
          <w:lang w:val="en-GB"/>
        </w:rPr>
        <w:fldChar w:fldCharType="begin" w:fldLock="1"/>
      </w:r>
      <w:r w:rsidR="0021397E" w:rsidRPr="003E29FB">
        <w:rPr>
          <w:lang w:val="en-GB"/>
        </w:rPr>
        <w:instrText>ADDIN CSL_CITATION {"citationItems":[{"id":"ITEM-1","itemData":{"author":[{"dropping-particle":"","family":"Elizaryev","given":"Alexey","non-dropping-particle":"","parse-names":false,"suffix":""},{"dropping-particle":"","family":"Tarakanov","given":"Dmitry","non-dropping-particle":"","parse-names":false,"suffix":""},{"dropping-particle":"","family":"Aksenov","given":"Sergey","non-dropping-particle":"","parse-names":false,"suffix":""},{"dropping-particle":"","family":"Tarakanov","given":"Denis","non-dropping-particle":"","parse-names":false,"suffix":""},{"dropping-particle":"","family":"Elizareva","given":"Elena","non-dropping-particle":"","parse-names":false,"suffix":""},{"dropping-particle":"","family":"Nasyrova","given":"Elina","non-dropping-particle":"","parse-names":false,"suffix":""},{"dropping-particle":"","family":"Nazyrov","given":"Airat","non-dropping-particle":"","parse-names":false,"suffix":""}],"container-title":"E3S Web Conf.","id":"ITEM-1","issued":{"date-parts":[["2020"]]},"title":"Influence of seasonal changes in climatic conditions on losses at oil tanks filling (on example of the Republic of Bashkortostan)","type":"article-journal","volume":"175"},"uris":["http://www.mendeley.com/documents/?uuid=fff2fdff-bf28-4bed-8810-fd040559c0f4"]},{"id":"ITEM-2","itemData":{"DOI":"10.1007/s10661-013-3067-9","ISSN":"1573-2959","abstract":"This study evaluates emission characteristics of volatile organic compounds (VOCs) caused by standing loss (LS) and working loss (LW) of three vertical fixed-roof p-xylene (p-X) liquid tanks during 1-year storage and filling operation. The annual net throughput of the tanks reached 70,446 t, resulting in 9,425 kg of p-X vapor emission including 5,046 kg of LS (53.54 %) and 4,379 kg of LW (46.46 %). The estimated LW of AP-42 displayed better agreement with the measured values of a VOC detector than the estimated LS of AP-42. The LS was best correlated with the liquid height of the tanks, while the LW was best correlated with the net throughput of the tanks. As a result, decreasing vapor space volume of the tanks and avoiding high net throughput of the tanks in a high ambient temperature period were considered as effective means to lessen VOC emission from the fixed-roof organic liquid storage tank.","author":[{"dropping-particle":"","family":"Lu","given":"Chungsying","non-dropping-particle":"","parse-names":false,"suffix":""},{"dropping-particle":"","family":"Huang","given":"Hsiaoyun","non-dropping-particle":"","parse-names":false,"suffix":""},{"dropping-particle":"","family":"Chang","given":"Shenteng","non-dropping-particle":"","parse-names":false,"suffix":""},{"dropping-particle":"","family":"Hsu","given":"Shihchieh","non-dropping-particle":"","parse-names":false,"suffix":""}],"container-title":"Environmental Monitoring and Assessment","id":"ITEM-2","issue":"8","issued":{"date-parts":[["2013"]]},"page":"6819-6830","title":"Emission characteristics of VOCs from three fixed-roof p-xylene liquid storage tanks","type":"article-journal","volume":"185"},"uris":["http://www.mendeley.com/documents/?uuid=b7bccb09-979f-4bb4-89f5-1b6818bd6d67"]},{"id":"ITEM-3","itemData":{"DOI":"10.1007/s10661-015-4456-z","ISSN":"1573-2959","abstract":"The present study is an application of a Gaussian dispersion model to evaluate volatilization losses from tank farms. It reports methodology to estimate evaporation losses of volatile organic compounds (VOCs) from organic liquid in storage tanks. This study used fixed roof and floating roof equations for breathing and working losses. Total loss, the breathing loss, vapor pressure, molecular weight of the product, tank diameter, diurnal temperature, paint factor, tank capacity, and number of turnovers were considered and factored in the calculation. AERMOD and ALOHA softwares were used to simulate the dispersion of VOCs under normal and accidental scenarios. For the modeling purposes, meteorological data such as annual average ambient temperature, annual average atmospheric pressure, daily minimum ambient temperature, daily maximum ambient temperature, solar insulation factor, and average wind speed were included as input in the calculation and modeling activities. The study took place in Sharjah Emirate in United Arab Emirates, which borders Dubai to the south and Ajman to the north, and the three form a conurbation. The reported method was used to estimate evaporation losses for baseline and hypothetical leak scenarios. Results of this research show that liquid storage tanks in the study area emit a low concentration of VOC under the studied and assumed conditions, e.g., new tanks with high performance sealing as well as the noted earlier climatic conditions. The dispersion of those concentrations is controlled by the prevailing wind direction. The predicted VOCs concentrations were within the range of the measured VOCs values in air. The study found that the spatial distributions of the predicted concentration attenuate with time and distance. Under the reported accidental spill scenario, the Gaussian model indicates that the danger area starts within the zone of less than 10 m. The danger area is subjected to flame pockets, and the VOC concentrations in this area will exceed 19,800 ppm.","author":[{"dropping-particle":"","family":"Howari","given":"Fares M","non-dropping-particle":"","parse-names":false,"suffix":""}],"container-title":"Environmental Monitoring and Assessment","id":"ITEM-3","issue":"5","issued":{"date-parts":[["2015","4"]]},"page":"273","title":"Evaporation losses and dispersion of volatile organic compounds from tank farms","type":"article-journal","volume":"187"},"uris":["http://www.mendeley.com/documents/?uuid=5655c101-dcda-4811-8cbb-b8875bb9f6c1"]}],"mendeley":{"formattedCitation":"(Elizaryev et al., 2020; Howari, 2015; Lu et al., 2013)","plainTextFormattedCitation":"(Elizaryev et al., 2020; Howari, 2015; Lu et al., 2013)","previouslyFormattedCitation":"(Elizaryev et al., 2020; Howari, 2015; Lu et al., 2013)"},"properties":{"noteIndex":0},"schema":"https://github.com/citation-style-language/schema/raw/master/csl-citation.json"}</w:instrText>
      </w:r>
      <w:r w:rsidR="0021397E" w:rsidRPr="003E29FB">
        <w:rPr>
          <w:lang w:val="en-GB"/>
        </w:rPr>
        <w:fldChar w:fldCharType="separate"/>
      </w:r>
      <w:r w:rsidR="0021397E" w:rsidRPr="003E29FB">
        <w:rPr>
          <w:noProof/>
          <w:lang w:val="en-GB"/>
        </w:rPr>
        <w:t>(Elizaryev et al., 2020; Howari, 2015; Lu et al., 2013)</w:t>
      </w:r>
      <w:r w:rsidR="0021397E" w:rsidRPr="003E29FB">
        <w:rPr>
          <w:lang w:val="en-GB"/>
        </w:rPr>
        <w:fldChar w:fldCharType="end"/>
      </w:r>
      <w:r w:rsidR="0021397E" w:rsidRPr="003E29FB">
        <w:rPr>
          <w:lang w:val="en-GB"/>
        </w:rPr>
        <w:t xml:space="preserve">. Due to this, the focus in the following is put exclusively on Filling Losses. </w:t>
      </w:r>
    </w:p>
    <w:p w14:paraId="40AE33AD" w14:textId="4FAF8ED1" w:rsidR="002E4298" w:rsidRPr="003E29FB" w:rsidRDefault="00863C6D" w:rsidP="002E4298">
      <w:pPr>
        <w:pStyle w:val="CETBodytext"/>
        <w:keepNext/>
        <w:rPr>
          <w:lang w:val="en-GB"/>
        </w:rPr>
      </w:pPr>
      <w:r>
        <w:rPr>
          <w:noProof/>
          <w:lang w:val="it-IT" w:eastAsia="it-IT"/>
        </w:rPr>
        <w:lastRenderedPageBreak/>
        <w:drawing>
          <wp:inline distT="0" distB="0" distL="0" distR="0" wp14:anchorId="3C4A828B" wp14:editId="3B448BAF">
            <wp:extent cx="5584190" cy="2170430"/>
            <wp:effectExtent l="0" t="0" r="0" b="127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4190" cy="2170430"/>
                    </a:xfrm>
                    <a:prstGeom prst="rect">
                      <a:avLst/>
                    </a:prstGeom>
                    <a:noFill/>
                  </pic:spPr>
                </pic:pic>
              </a:graphicData>
            </a:graphic>
          </wp:inline>
        </w:drawing>
      </w:r>
    </w:p>
    <w:p w14:paraId="6CA80336" w14:textId="64D77496" w:rsidR="002E4298" w:rsidRPr="003E29FB" w:rsidRDefault="002E4298" w:rsidP="002E4298">
      <w:pPr>
        <w:pStyle w:val="CETCaption"/>
      </w:pPr>
      <w:bookmarkStart w:id="7" w:name="_Ref61619226"/>
      <w:r w:rsidRPr="003E29FB">
        <w:t xml:space="preserve">Figure </w:t>
      </w:r>
      <w:r w:rsidRPr="003E29FB">
        <w:fldChar w:fldCharType="begin"/>
      </w:r>
      <w:r w:rsidRPr="003E29FB">
        <w:instrText xml:space="preserve"> SEQ Figure \* ARABIC </w:instrText>
      </w:r>
      <w:r w:rsidRPr="003E29FB">
        <w:fldChar w:fldCharType="separate"/>
      </w:r>
      <w:r w:rsidRPr="003E29FB">
        <w:rPr>
          <w:noProof/>
        </w:rPr>
        <w:t>2</w:t>
      </w:r>
      <w:r w:rsidRPr="003E29FB">
        <w:fldChar w:fldCharType="end"/>
      </w:r>
      <w:bookmarkEnd w:id="7"/>
      <w:r w:rsidR="00394164" w:rsidRPr="003E29FB">
        <w:t>:</w:t>
      </w:r>
      <w:r w:rsidRPr="003E29FB">
        <w:t xml:space="preserve"> Distribution of the VOC emission contribution of a real-case refinery in Italy. </w:t>
      </w:r>
      <w:r w:rsidR="00863C6D">
        <w:t>2a</w:t>
      </w:r>
      <w:r w:rsidRPr="003E29FB">
        <w:t xml:space="preserve"> for FRTs; </w:t>
      </w:r>
      <w:r w:rsidR="00863C6D">
        <w:t>2b</w:t>
      </w:r>
      <w:r w:rsidRPr="003E29FB">
        <w:t xml:space="preserve"> for EFRTs. </w:t>
      </w:r>
    </w:p>
    <w:p w14:paraId="1D3F73EA" w14:textId="77777777" w:rsidR="00AE3CA9" w:rsidRPr="003E29FB" w:rsidRDefault="00AE3CA9" w:rsidP="007E788A">
      <w:pPr>
        <w:pStyle w:val="CETheadingx"/>
        <w:rPr>
          <w:lang w:val="en-GB"/>
        </w:rPr>
      </w:pPr>
      <w:bookmarkStart w:id="8" w:name="_Toc61363129"/>
      <w:r w:rsidRPr="003E29FB">
        <w:rPr>
          <w:lang w:val="en-GB"/>
        </w:rPr>
        <w:t>FRT: U.S. EPA TANKS emission estimation</w:t>
      </w:r>
      <w:bookmarkEnd w:id="8"/>
      <w:r w:rsidRPr="003E29FB">
        <w:rPr>
          <w:lang w:val="en-GB"/>
        </w:rPr>
        <w:t xml:space="preserve"> </w:t>
      </w:r>
    </w:p>
    <w:p w14:paraId="264E9F31" w14:textId="3A792E15" w:rsidR="00AE3CA9" w:rsidRPr="003E29FB" w:rsidRDefault="00AE3CA9" w:rsidP="00AE3CA9">
      <w:pPr>
        <w:pStyle w:val="CETBodytext"/>
        <w:rPr>
          <w:lang w:val="en-GB"/>
        </w:rPr>
      </w:pPr>
      <w:r w:rsidRPr="003E29FB">
        <w:rPr>
          <w:lang w:val="en-GB"/>
        </w:rPr>
        <w:t>Eq</w:t>
      </w:r>
      <w:r w:rsidR="0059214F" w:rsidRPr="003E29FB">
        <w:rPr>
          <w:lang w:val="en-GB"/>
        </w:rPr>
        <w:t>(</w:t>
      </w:r>
      <w:r w:rsidR="0077096C" w:rsidRPr="003E29FB">
        <w:rPr>
          <w:lang w:val="en-GB"/>
        </w:rPr>
        <w:t>1</w:t>
      </w:r>
      <w:r w:rsidR="0059214F" w:rsidRPr="003E29FB">
        <w:rPr>
          <w:lang w:val="en-GB"/>
        </w:rPr>
        <w:t>)</w:t>
      </w:r>
      <w:r w:rsidRPr="003E29FB">
        <w:rPr>
          <w:lang w:val="en-GB"/>
        </w:rPr>
        <w:t xml:space="preserve"> is widely used to estimate the Filling Losses </w:t>
      </w:r>
      <w:r w:rsidRPr="003E29FB">
        <w:rPr>
          <w:i/>
          <w:lang w:val="en-GB"/>
        </w:rPr>
        <w:t>L</w:t>
      </w:r>
      <w:r w:rsidRPr="003E29FB">
        <w:rPr>
          <w:i/>
          <w:vertAlign w:val="subscript"/>
          <w:lang w:val="en-GB"/>
        </w:rPr>
        <w:t>FILL</w:t>
      </w:r>
      <w:r w:rsidRPr="003E29FB">
        <w:rPr>
          <w:vertAlign w:val="subscript"/>
          <w:lang w:val="en-GB"/>
        </w:rPr>
        <w:t xml:space="preserve"> </w:t>
      </w:r>
      <w:r w:rsidRPr="003E29FB">
        <w:rPr>
          <w:lang w:val="en-GB"/>
        </w:rPr>
        <w:t xml:space="preserve">from FRTs </w:t>
      </w:r>
      <w:r w:rsidRPr="003E29FB">
        <w:rPr>
          <w:lang w:val="en-GB"/>
        </w:rPr>
        <w:fldChar w:fldCharType="begin" w:fldLock="1"/>
      </w:r>
      <w:r w:rsidRPr="003E29FB">
        <w:rPr>
          <w:lang w:val="en-GB"/>
        </w:rPr>
        <w:instrText>ADDIN CSL_CITATION {"citationItems":[{"id":"ITEM-1","itemData":{"author":[{"dropping-particle":"","family":"U.S. EPA","given":"","non-dropping-particle":"","parse-names":false,"suffix":""}],"id":"ITEM-1","issued":{"date-parts":[["2006"]]},"number-of-pages":"Section 7.1","title":"Emission Factor Documentation for AP-42 Organic Liquid Storage Tanks Final Report","type":"report"},"uris":["http://www.mendeley.com/documents/?uuid=f7e7486c-52ec-4cf1-9e89-fca274903e80"]}],"mendeley":{"formattedCitation":"(U.S. EPA, 2006)","plainTextFormattedCitation":"(U.S. EPA, 2006)","previouslyFormattedCitation":"(U.S. EPA, 2006)"},"properties":{"noteIndex":0},"schema":"https://github.com/citation-style-language/schema/raw/master/csl-citation.json"}</w:instrText>
      </w:r>
      <w:r w:rsidRPr="003E29FB">
        <w:rPr>
          <w:lang w:val="en-GB"/>
        </w:rPr>
        <w:fldChar w:fldCharType="separate"/>
      </w:r>
      <w:r w:rsidRPr="003E29FB">
        <w:rPr>
          <w:noProof/>
          <w:lang w:val="en-GB"/>
        </w:rPr>
        <w:t>(U.S. EPA, 2006)</w:t>
      </w:r>
      <w:r w:rsidRPr="003E29FB">
        <w:rPr>
          <w:lang w:val="en-GB"/>
        </w:rPr>
        <w:fldChar w:fldCharType="end"/>
      </w:r>
      <w:r w:rsidRPr="003E29FB">
        <w:rPr>
          <w:lang w:val="en-GB"/>
        </w:rPr>
        <w:t xml:space="preserve">: </w:t>
      </w:r>
    </w:p>
    <w:tbl>
      <w:tblPr>
        <w:tblW w:w="5000" w:type="pct"/>
        <w:tblLook w:val="04A0" w:firstRow="1" w:lastRow="0" w:firstColumn="1" w:lastColumn="0" w:noHBand="0" w:noVBand="1"/>
      </w:tblPr>
      <w:tblGrid>
        <w:gridCol w:w="8188"/>
        <w:gridCol w:w="815"/>
      </w:tblGrid>
      <w:tr w:rsidR="0077096C" w:rsidRPr="003E29FB" w14:paraId="6AA4EA01" w14:textId="77777777" w:rsidTr="001F0BB4">
        <w:tc>
          <w:tcPr>
            <w:tcW w:w="8188" w:type="dxa"/>
            <w:shd w:val="clear" w:color="auto" w:fill="auto"/>
            <w:vAlign w:val="center"/>
          </w:tcPr>
          <w:p w14:paraId="082024FB" w14:textId="6333D884" w:rsidR="0077096C" w:rsidRPr="003E29FB" w:rsidRDefault="00CC64B4" w:rsidP="001F0BB4">
            <w:pPr>
              <w:pStyle w:val="CETEquation"/>
            </w:pPr>
            <m:oMathPara>
              <m:oMathParaPr>
                <m:jc m:val="left"/>
              </m:oMathParaPr>
              <m:oMath>
                <m:sSub>
                  <m:sSubPr>
                    <m:ctrlPr>
                      <w:rPr>
                        <w:rFonts w:ascii="Cambria Math" w:hAnsi="Cambria Math"/>
                        <w:i/>
                        <w:iCs/>
                      </w:rPr>
                    </m:ctrlPr>
                  </m:sSubPr>
                  <m:e>
                    <m:r>
                      <w:rPr>
                        <w:rFonts w:ascii="Cambria Math" w:hAnsi="Cambria Math"/>
                      </w:rPr>
                      <m:t>L</m:t>
                    </m:r>
                  </m:e>
                  <m:sub>
                    <m:r>
                      <w:rPr>
                        <w:rFonts w:ascii="Cambria Math" w:hAnsi="Cambria Math"/>
                      </w:rPr>
                      <m:t>FILL</m:t>
                    </m:r>
                  </m:sub>
                </m:sSub>
                <m:r>
                  <w:rPr>
                    <w:rFonts w:ascii="Cambria Math" w:hAnsi="Cambria Math"/>
                  </w:rPr>
                  <m:t>=</m:t>
                </m:r>
                <m:sSub>
                  <m:sSubPr>
                    <m:ctrlPr>
                      <w:rPr>
                        <w:rFonts w:ascii="Cambria Math" w:hAnsi="Cambria Math"/>
                        <w:i/>
                        <w:iCs/>
                      </w:rPr>
                    </m:ctrlPr>
                  </m:sSubPr>
                  <m:e>
                    <m:r>
                      <w:rPr>
                        <w:rFonts w:ascii="Cambria Math" w:hAnsi="Cambria Math"/>
                      </w:rPr>
                      <m:t>M</m:t>
                    </m:r>
                  </m:e>
                  <m:sub>
                    <m:r>
                      <w:rPr>
                        <w:rFonts w:ascii="Cambria Math" w:hAnsi="Cambria Math"/>
                      </w:rPr>
                      <m:t>v</m:t>
                    </m:r>
                  </m:sub>
                </m:sSub>
                <m:sSub>
                  <m:sSubPr>
                    <m:ctrlPr>
                      <w:rPr>
                        <w:rFonts w:ascii="Cambria Math" w:hAnsi="Cambria Math"/>
                        <w:i/>
                        <w:iCs/>
                      </w:rPr>
                    </m:ctrlPr>
                  </m:sSubPr>
                  <m:e>
                    <m:r>
                      <w:rPr>
                        <w:rFonts w:ascii="Cambria Math" w:hAnsi="Cambria Math"/>
                      </w:rPr>
                      <m:t>∙P</m:t>
                    </m:r>
                  </m:e>
                  <m:sub>
                    <m:r>
                      <w:rPr>
                        <w:rFonts w:ascii="Cambria Math" w:hAnsi="Cambria Math"/>
                      </w:rPr>
                      <m:t>VA</m:t>
                    </m:r>
                  </m:sub>
                </m:sSub>
                <m:r>
                  <w:rPr>
                    <w:rFonts w:ascii="Cambria Math" w:hAnsi="Cambria Math"/>
                  </w:rPr>
                  <m:t>∙Q∙</m:t>
                </m:r>
                <m:sSub>
                  <m:sSubPr>
                    <m:ctrlPr>
                      <w:rPr>
                        <w:rFonts w:ascii="Cambria Math" w:hAnsi="Cambria Math"/>
                        <w:i/>
                        <w:iCs/>
                      </w:rPr>
                    </m:ctrlPr>
                  </m:sSubPr>
                  <m:e>
                    <m:r>
                      <w:rPr>
                        <w:rFonts w:ascii="Cambria Math" w:hAnsi="Cambria Math"/>
                      </w:rPr>
                      <m:t>K</m:t>
                    </m:r>
                  </m:e>
                  <m:sub>
                    <m:r>
                      <w:rPr>
                        <w:rFonts w:ascii="Cambria Math" w:hAnsi="Cambria Math"/>
                      </w:rPr>
                      <m:t>N</m:t>
                    </m:r>
                  </m:sub>
                </m:sSub>
                <m:r>
                  <w:rPr>
                    <w:rFonts w:ascii="Cambria Math" w:hAnsi="Cambria Math"/>
                  </w:rPr>
                  <m:t>∙</m:t>
                </m:r>
                <m:sSub>
                  <m:sSubPr>
                    <m:ctrlPr>
                      <w:rPr>
                        <w:rFonts w:ascii="Cambria Math" w:hAnsi="Cambria Math"/>
                        <w:i/>
                        <w:iCs/>
                      </w:rPr>
                    </m:ctrlPr>
                  </m:sSubPr>
                  <m:e>
                    <m:r>
                      <w:rPr>
                        <w:rFonts w:ascii="Cambria Math" w:hAnsi="Cambria Math"/>
                      </w:rPr>
                      <m:t>K</m:t>
                    </m:r>
                  </m:e>
                  <m:sub>
                    <m:r>
                      <w:rPr>
                        <w:rFonts w:ascii="Cambria Math" w:hAnsi="Cambria Math"/>
                      </w:rPr>
                      <m:t>P</m:t>
                    </m:r>
                  </m:sub>
                </m:sSub>
                <m:r>
                  <w:rPr>
                    <w:rFonts w:ascii="Cambria Math" w:hAnsi="Cambria Math"/>
                  </w:rPr>
                  <m:t>∙</m:t>
                </m:r>
                <m:sSub>
                  <m:sSubPr>
                    <m:ctrlPr>
                      <w:rPr>
                        <w:rFonts w:ascii="Cambria Math" w:hAnsi="Cambria Math"/>
                        <w:i/>
                        <w:iCs/>
                      </w:rPr>
                    </m:ctrlPr>
                  </m:sSubPr>
                  <m:e>
                    <m:r>
                      <w:rPr>
                        <w:rFonts w:ascii="Cambria Math" w:hAnsi="Cambria Math"/>
                      </w:rPr>
                      <m:t>K</m:t>
                    </m:r>
                  </m:e>
                  <m:sub>
                    <m:r>
                      <w:rPr>
                        <w:rFonts w:ascii="Cambria Math" w:hAnsi="Cambria Math"/>
                      </w:rPr>
                      <m:t>D</m:t>
                    </m:r>
                  </m:sub>
                </m:sSub>
              </m:oMath>
            </m:oMathPara>
          </w:p>
        </w:tc>
        <w:tc>
          <w:tcPr>
            <w:tcW w:w="815" w:type="dxa"/>
            <w:shd w:val="clear" w:color="auto" w:fill="auto"/>
            <w:vAlign w:val="center"/>
          </w:tcPr>
          <w:p w14:paraId="54375AD8" w14:textId="77777777" w:rsidR="0077096C" w:rsidRPr="003E29FB" w:rsidRDefault="0077096C" w:rsidP="001F0BB4">
            <w:pPr>
              <w:pStyle w:val="CETEquation"/>
              <w:jc w:val="right"/>
            </w:pPr>
            <w:r w:rsidRPr="003E29FB">
              <w:t>(1)</w:t>
            </w:r>
          </w:p>
        </w:tc>
      </w:tr>
    </w:tbl>
    <w:p w14:paraId="5F2061E6" w14:textId="758FA0F2" w:rsidR="007E788A" w:rsidRPr="003E29FB" w:rsidRDefault="00AE3CA9" w:rsidP="00AE3CA9">
      <w:pPr>
        <w:pStyle w:val="CETBodytext"/>
        <w:rPr>
          <w:lang w:val="en-GB"/>
        </w:rPr>
      </w:pPr>
      <w:r w:rsidRPr="003E29FB">
        <w:rPr>
          <w:lang w:val="en-GB"/>
        </w:rPr>
        <w:t xml:space="preserve">Where </w:t>
      </w:r>
      <w:r w:rsidRPr="003E29FB">
        <w:rPr>
          <w:i/>
          <w:lang w:val="en-GB"/>
        </w:rPr>
        <w:t>M</w:t>
      </w:r>
      <w:r w:rsidRPr="003E29FB">
        <w:rPr>
          <w:i/>
          <w:vertAlign w:val="subscript"/>
          <w:lang w:val="en-GB"/>
        </w:rPr>
        <w:t>v</w:t>
      </w:r>
      <w:r w:rsidRPr="003E29FB">
        <w:rPr>
          <w:lang w:val="en-GB"/>
        </w:rPr>
        <w:t xml:space="preserve"> is the vapor molecular weight, </w:t>
      </w:r>
      <w:r w:rsidRPr="003E29FB">
        <w:rPr>
          <w:i/>
          <w:lang w:val="en-GB"/>
        </w:rPr>
        <w:t>P</w:t>
      </w:r>
      <w:r w:rsidRPr="003E29FB">
        <w:rPr>
          <w:i/>
          <w:vertAlign w:val="subscript"/>
          <w:lang w:val="en-GB"/>
        </w:rPr>
        <w:t>VA</w:t>
      </w:r>
      <w:r w:rsidRPr="003E29FB">
        <w:rPr>
          <w:lang w:val="en-GB"/>
        </w:rPr>
        <w:t xml:space="preserve"> is vapor pressure at average liquid surface temperature, </w:t>
      </w:r>
      <w:r w:rsidRPr="003E29FB">
        <w:rPr>
          <w:i/>
          <w:lang w:val="en-GB"/>
        </w:rPr>
        <w:t>Q</w:t>
      </w:r>
      <w:r w:rsidRPr="003E29FB">
        <w:rPr>
          <w:lang w:val="en-GB"/>
        </w:rPr>
        <w:t xml:space="preserve"> is annual net throughput and </w:t>
      </w:r>
      <w:r w:rsidRPr="003E29FB">
        <w:rPr>
          <w:i/>
          <w:lang w:val="en-GB"/>
        </w:rPr>
        <w:t>K</w:t>
      </w:r>
      <w:r w:rsidRPr="003E29FB">
        <w:rPr>
          <w:i/>
          <w:vertAlign w:val="subscript"/>
          <w:lang w:val="en-GB"/>
        </w:rPr>
        <w:t>N</w:t>
      </w:r>
      <w:r w:rsidRPr="003E29FB">
        <w:rPr>
          <w:lang w:val="en-GB"/>
        </w:rPr>
        <w:t xml:space="preserve">, </w:t>
      </w:r>
      <w:r w:rsidRPr="003E29FB">
        <w:rPr>
          <w:i/>
          <w:lang w:val="en-GB"/>
        </w:rPr>
        <w:t>K</w:t>
      </w:r>
      <w:r w:rsidRPr="003E29FB">
        <w:rPr>
          <w:i/>
          <w:vertAlign w:val="subscript"/>
          <w:lang w:val="en-GB"/>
        </w:rPr>
        <w:t>P</w:t>
      </w:r>
      <w:r w:rsidRPr="003E29FB">
        <w:rPr>
          <w:i/>
          <w:lang w:val="en-GB"/>
        </w:rPr>
        <w:t>,</w:t>
      </w:r>
      <w:r w:rsidRPr="003E29FB">
        <w:rPr>
          <w:i/>
          <w:vertAlign w:val="subscript"/>
          <w:lang w:val="en-GB"/>
        </w:rPr>
        <w:t xml:space="preserve"> </w:t>
      </w:r>
      <w:r w:rsidRPr="003E29FB">
        <w:rPr>
          <w:i/>
          <w:lang w:val="en-GB"/>
        </w:rPr>
        <w:t>K</w:t>
      </w:r>
      <w:r w:rsidRPr="003E29FB">
        <w:rPr>
          <w:i/>
          <w:vertAlign w:val="subscript"/>
          <w:lang w:val="en-GB"/>
        </w:rPr>
        <w:t>D</w:t>
      </w:r>
      <w:r w:rsidRPr="003E29FB">
        <w:rPr>
          <w:lang w:val="en-GB"/>
        </w:rPr>
        <w:t xml:space="preserve"> are empirical coefficients due to the saturation and liquid product and measurement units respectively. Essentially, this equation estimates the VOC emission linearly dependent to the amount of liquid sent into the tank (</w:t>
      </w:r>
      <w:r w:rsidRPr="003E29FB">
        <w:rPr>
          <w:i/>
          <w:lang w:val="en-GB"/>
        </w:rPr>
        <w:t>Q</w:t>
      </w:r>
      <w:r w:rsidRPr="003E29FB">
        <w:rPr>
          <w:lang w:val="en-GB"/>
        </w:rPr>
        <w:t xml:space="preserve">): the raise of the liquid level due to the filling operations, would lead to an increase of the headspace pressure. </w:t>
      </w:r>
    </w:p>
    <w:p w14:paraId="7CE1F63E" w14:textId="1CF8040F" w:rsidR="007E788A" w:rsidRPr="003E29FB" w:rsidRDefault="007E788A" w:rsidP="007E788A">
      <w:pPr>
        <w:pStyle w:val="CETheadingx"/>
        <w:rPr>
          <w:lang w:val="en-GB"/>
        </w:rPr>
      </w:pPr>
      <w:bookmarkStart w:id="9" w:name="_Ref61975360"/>
      <w:r w:rsidRPr="003E29FB">
        <w:rPr>
          <w:lang w:val="en-GB"/>
        </w:rPr>
        <w:t>FRT: OER estimation</w:t>
      </w:r>
      <w:bookmarkEnd w:id="9"/>
    </w:p>
    <w:p w14:paraId="13700134" w14:textId="1C387F82" w:rsidR="00AE3CA9" w:rsidRPr="003E29FB" w:rsidRDefault="00AE3CA9" w:rsidP="00AE3CA9">
      <w:pPr>
        <w:pStyle w:val="CETBodytext"/>
        <w:rPr>
          <w:lang w:val="en-GB"/>
        </w:rPr>
      </w:pPr>
      <w:r w:rsidRPr="003E29FB">
        <w:rPr>
          <w:lang w:val="en-GB"/>
        </w:rPr>
        <w:t xml:space="preserve">Taking into consideration these vented point source emissions, since odour is emitted from a single point (through the vent), it is possible to conduct a simple olfactometric sampling, withdrawing a fraction of the conveyed air flow </w:t>
      </w:r>
      <w:r w:rsidRPr="003E29FB">
        <w:rPr>
          <w:lang w:val="en-GB"/>
        </w:rPr>
        <w:fldChar w:fldCharType="begin" w:fldLock="1"/>
      </w:r>
      <w:r w:rsidR="00AA489F" w:rsidRPr="003E29FB">
        <w:rPr>
          <w:lang w:val="en-GB"/>
        </w:rPr>
        <w:instrText>ADDIN CSL_CITATION {"citationItems":[{"id":"ITEM-1","itemData":{"DOI":"10.3390/s130100938","ISBN":"1424-8220","ISSN":"14248220","PMID":"23322098","abstract":"Sampling is one of the main issues pertaining to odor characterization and measurement. The aim of sampling is to obtain representative information on the typical characteristics of an odor source by means of the collection of a suitable volume fraction of the effluent. The most important information about an emission source for odor impact assessment is the so-called Odor Emission Rate (OER), which represents the quantity of odor emitted per unit of time, and is expressed in odor units per second (ou∙s-1). This paper reviews the different odor sampling strategies adopted depending on source type. The review includes an overview of odor sampling regulations and a detailed discussion of the equipment to be used as well as the mathematical considerations to be applied to obtain the OER in relation to the sampled source typology.","author":[{"dropping-particle":"","family":"Capelli","given":"Laura","non-dropping-particle":"","parse-names":false,"suffix":""},{"dropping-particle":"","family":"Sironi","given":"Selena","non-dropping-particle":"","parse-names":false,"suffix":""},{"dropping-particle":"","family":"Rosso","given":"Renato","non-dropping-particle":"del","parse-names":false,"suffix":""}],"container-title":"Sensors (Switzerland)","id":"ITEM-1","issue":"1","issued":{"date-parts":[["2013"]]},"page":"938-955","title":"Odor sampling: Techniques and strategies for the estimation of odor emission rates from different source types","type":"article-journal","volume":"13"},"uris":["http://www.mendeley.com/documents/?uuid=8a214309-2e66-4fbc-b648-78d0a5491333"]}],"mendeley":{"formattedCitation":"(Capelli et al., 2013)","plainTextFormattedCitation":"(Capelli et al., 2013)","previouslyFormattedCitation":"(Capelli et al., 2013)"},"properties":{"noteIndex":0},"schema":"https://github.com/citation-style-language/schema/raw/master/csl-citation.json"}</w:instrText>
      </w:r>
      <w:r w:rsidRPr="003E29FB">
        <w:rPr>
          <w:lang w:val="en-GB"/>
        </w:rPr>
        <w:fldChar w:fldCharType="separate"/>
      </w:r>
      <w:r w:rsidRPr="003E29FB">
        <w:rPr>
          <w:noProof/>
          <w:lang w:val="en-GB"/>
        </w:rPr>
        <w:t>(Capelli et al., 2013)</w:t>
      </w:r>
      <w:r w:rsidRPr="003E29FB">
        <w:rPr>
          <w:lang w:val="en-GB"/>
        </w:rPr>
        <w:fldChar w:fldCharType="end"/>
      </w:r>
      <w:r w:rsidRPr="003E29FB">
        <w:rPr>
          <w:lang w:val="en-GB"/>
        </w:rPr>
        <w:t xml:space="preserve">. The evaluation of OER from FRTs is relatively simple </w:t>
      </w:r>
      <w:r w:rsidRPr="003E29FB">
        <w:rPr>
          <w:lang w:val="en-GB"/>
        </w:rPr>
        <w:fldChar w:fldCharType="begin" w:fldLock="1"/>
      </w:r>
      <w:r w:rsidRPr="003E29FB">
        <w:rPr>
          <w:lang w:val="en-GB"/>
        </w:rPr>
        <w:instrText>ADDIN CSL_CITATION {"citationItems":[{"id":"ITEM-1","itemData":{"DOI":"https://dx.doi.org/10.31030/3036135","author":[{"dropping-particle":"","family":"CEN","given":"","non-dropping-particle":"","parse-names":false,"suffix":""}],"id":"ITEM-1","issued":{"date-parts":[["2003"]]},"title":"EN 13725:2003 - Air quality - Determination of odour concentration by dynamic olfactometry","type":"article"},"uris":["http://www.mendeley.com/documents/?uuid=1b2a61e7-9136-4afc-a4d2-f06c8ab8b959"]}],"mendeley":{"formattedCitation":"(CEN, 2003)","plainTextFormattedCitation":"(CEN, 2003)","previouslyFormattedCitation":"(CEN, 2003)"},"properties":{"noteIndex":0},"schema":"https://github.com/citation-style-language/schema/raw/master/csl-citation.json"}</w:instrText>
      </w:r>
      <w:r w:rsidRPr="003E29FB">
        <w:rPr>
          <w:lang w:val="en-GB"/>
        </w:rPr>
        <w:fldChar w:fldCharType="separate"/>
      </w:r>
      <w:r w:rsidRPr="003E29FB">
        <w:rPr>
          <w:noProof/>
          <w:lang w:val="en-GB"/>
        </w:rPr>
        <w:t>(CEN, 2003)</w:t>
      </w:r>
      <w:r w:rsidRPr="003E29FB">
        <w:rPr>
          <w:lang w:val="en-GB"/>
        </w:rPr>
        <w:fldChar w:fldCharType="end"/>
      </w:r>
      <w:r w:rsidRPr="003E29FB">
        <w:rPr>
          <w:lang w:val="en-GB"/>
        </w:rPr>
        <w:t>:</w:t>
      </w:r>
    </w:p>
    <w:tbl>
      <w:tblPr>
        <w:tblW w:w="5000" w:type="pct"/>
        <w:tblLook w:val="04A0" w:firstRow="1" w:lastRow="0" w:firstColumn="1" w:lastColumn="0" w:noHBand="0" w:noVBand="1"/>
      </w:tblPr>
      <w:tblGrid>
        <w:gridCol w:w="8188"/>
        <w:gridCol w:w="815"/>
      </w:tblGrid>
      <w:tr w:rsidR="0021397E" w:rsidRPr="003E29FB" w14:paraId="485276FE" w14:textId="77777777" w:rsidTr="005A44F9">
        <w:tc>
          <w:tcPr>
            <w:tcW w:w="8188" w:type="dxa"/>
            <w:shd w:val="clear" w:color="auto" w:fill="auto"/>
            <w:vAlign w:val="center"/>
          </w:tcPr>
          <w:p w14:paraId="0EFF2C2B" w14:textId="560DDF1D" w:rsidR="0021397E" w:rsidRPr="003E29FB" w:rsidRDefault="00CC64B4" w:rsidP="0021397E">
            <w:pPr>
              <w:pStyle w:val="CETEquation"/>
            </w:pPr>
            <m:oMathPara>
              <m:oMathParaPr>
                <m:jc m:val="left"/>
              </m:oMathParaPr>
              <m:oMath>
                <m:sSub>
                  <m:sSubPr>
                    <m:ctrlPr>
                      <w:rPr>
                        <w:rFonts w:ascii="Cambria Math" w:hAnsi="Cambria Math"/>
                        <w:i/>
                      </w:rPr>
                    </m:ctrlPr>
                  </m:sSubPr>
                  <m:e>
                    <m:r>
                      <w:rPr>
                        <w:rFonts w:ascii="Cambria Math" w:hAnsi="Cambria Math"/>
                      </w:rPr>
                      <m:t>OER</m:t>
                    </m:r>
                  </m:e>
                  <m:sub>
                    <m:r>
                      <w:rPr>
                        <w:rFonts w:ascii="Cambria Math" w:hAnsi="Cambria Math"/>
                      </w:rPr>
                      <m:t>FRT</m:t>
                    </m:r>
                  </m:sub>
                </m:sSub>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air</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OD</m:t>
                    </m:r>
                  </m:sub>
                </m:sSub>
              </m:oMath>
            </m:oMathPara>
          </w:p>
        </w:tc>
        <w:tc>
          <w:tcPr>
            <w:tcW w:w="815" w:type="dxa"/>
            <w:shd w:val="clear" w:color="auto" w:fill="auto"/>
            <w:vAlign w:val="center"/>
          </w:tcPr>
          <w:p w14:paraId="6E4E2E48" w14:textId="102F47D6" w:rsidR="0021397E" w:rsidRPr="003E29FB" w:rsidRDefault="0021397E" w:rsidP="005A44F9">
            <w:pPr>
              <w:pStyle w:val="CETEquation"/>
              <w:jc w:val="right"/>
            </w:pPr>
            <w:r w:rsidRPr="003E29FB">
              <w:t>(2)</w:t>
            </w:r>
          </w:p>
        </w:tc>
      </w:tr>
    </w:tbl>
    <w:p w14:paraId="620559C3" w14:textId="77777777" w:rsidR="00AE3CA9" w:rsidRPr="003E29FB" w:rsidRDefault="00AE3CA9" w:rsidP="00AE3CA9">
      <w:pPr>
        <w:pStyle w:val="CETBodytext"/>
        <w:rPr>
          <w:lang w:val="en-GB"/>
        </w:rPr>
      </w:pPr>
      <w:r w:rsidRPr="003E29FB">
        <w:rPr>
          <w:lang w:val="en-GB"/>
        </w:rPr>
        <w:t xml:space="preserve">Where </w:t>
      </w:r>
      <w:r w:rsidRPr="003E29FB">
        <w:rPr>
          <w:i/>
          <w:iCs/>
          <w:lang w:val="en-GB"/>
        </w:rPr>
        <w:t>Q</w:t>
      </w:r>
      <w:r w:rsidRPr="003E29FB">
        <w:rPr>
          <w:i/>
          <w:iCs/>
          <w:vertAlign w:val="subscript"/>
          <w:lang w:val="en-GB"/>
        </w:rPr>
        <w:t>air</w:t>
      </w:r>
      <w:r w:rsidRPr="003E29FB">
        <w:rPr>
          <w:lang w:val="en-GB"/>
        </w:rPr>
        <w:t xml:space="preserve"> is the volume flow rate at standard condition for olfactometry, and </w:t>
      </w:r>
      <w:r w:rsidRPr="003E29FB">
        <w:rPr>
          <w:i/>
          <w:iCs/>
          <w:lang w:val="en-GB"/>
        </w:rPr>
        <w:t>C</w:t>
      </w:r>
      <w:r w:rsidRPr="003E29FB">
        <w:rPr>
          <w:i/>
          <w:iCs/>
          <w:vertAlign w:val="subscript"/>
          <w:lang w:val="en-GB"/>
        </w:rPr>
        <w:t>OD</w:t>
      </w:r>
      <w:r w:rsidRPr="003E29FB">
        <w:rPr>
          <w:lang w:val="en-GB"/>
        </w:rPr>
        <w:t xml:space="preserve"> is the odour concentration.</w:t>
      </w:r>
    </w:p>
    <w:p w14:paraId="02517A7D" w14:textId="58E25F8A" w:rsidR="00AE3CA9" w:rsidRPr="003E29FB" w:rsidRDefault="00AE3CA9" w:rsidP="00AE3CA9">
      <w:pPr>
        <w:pStyle w:val="CETBodytext"/>
        <w:rPr>
          <w:lang w:val="en-GB"/>
        </w:rPr>
      </w:pPr>
      <w:r w:rsidRPr="003E29FB">
        <w:rPr>
          <w:lang w:val="en-GB"/>
        </w:rPr>
        <w:t xml:space="preserve">At this point, the tricky problem is to assess the emitted airflow from the vent, </w:t>
      </w:r>
      <w:r w:rsidRPr="003E29FB">
        <w:rPr>
          <w:i/>
          <w:iCs/>
          <w:lang w:val="en-GB"/>
        </w:rPr>
        <w:t>Q</w:t>
      </w:r>
      <w:r w:rsidRPr="003E29FB">
        <w:rPr>
          <w:i/>
          <w:iCs/>
          <w:vertAlign w:val="subscript"/>
          <w:lang w:val="en-GB"/>
        </w:rPr>
        <w:t>air</w:t>
      </w:r>
      <w:r w:rsidRPr="003E29FB">
        <w:rPr>
          <w:lang w:val="en-GB"/>
        </w:rPr>
        <w:t xml:space="preserve">. An anemometric measure would be impossible due to a not-isokinetic configuration of the valves; </w:t>
      </w:r>
      <w:r w:rsidR="000C5EC3" w:rsidRPr="003E29FB">
        <w:rPr>
          <w:lang w:val="en-GB"/>
        </w:rPr>
        <w:t>moreover,</w:t>
      </w:r>
      <w:r w:rsidRPr="003E29FB">
        <w:rPr>
          <w:lang w:val="en-GB"/>
        </w:rPr>
        <w:t xml:space="preserve"> the emitted airflow is very variable due to the various logistic conditions of each tank. </w:t>
      </w:r>
    </w:p>
    <w:p w14:paraId="0AD4CF6D" w14:textId="29598FEC" w:rsidR="00AE3CA9" w:rsidRPr="003E29FB" w:rsidRDefault="00AE3CA9" w:rsidP="00AE3CA9">
      <w:pPr>
        <w:pStyle w:val="CETBodytext"/>
        <w:rPr>
          <w:lang w:val="en-GB"/>
        </w:rPr>
      </w:pPr>
      <w:r w:rsidRPr="003E29FB">
        <w:rPr>
          <w:lang w:val="en-GB"/>
        </w:rPr>
        <w:t>Considering the narrow range of the pressure that can be usuall</w:t>
      </w:r>
      <w:r w:rsidR="0021397E" w:rsidRPr="003E29FB">
        <w:rPr>
          <w:lang w:val="en-GB"/>
        </w:rPr>
        <w:t>y found in these tanks (i.e. ± 10</w:t>
      </w:r>
      <w:r w:rsidRPr="003E29FB">
        <w:rPr>
          <w:lang w:val="en-GB"/>
        </w:rPr>
        <w:t>0 mmH</w:t>
      </w:r>
      <w:r w:rsidRPr="003E29FB">
        <w:rPr>
          <w:vertAlign w:val="subscript"/>
          <w:lang w:val="en-GB"/>
        </w:rPr>
        <w:t>2</w:t>
      </w:r>
      <w:r w:rsidRPr="003E29FB">
        <w:rPr>
          <w:lang w:val="en-GB"/>
        </w:rPr>
        <w:t>O), we can assume a volume equivalence of the liquid throughout and the emitted airflow rate, following what is proposed by U.S. EPA in Eq</w:t>
      </w:r>
      <w:r w:rsidR="003E29FB" w:rsidRPr="003E29FB">
        <w:rPr>
          <w:lang w:val="en-GB"/>
        </w:rPr>
        <w:t>(</w:t>
      </w:r>
      <w:r w:rsidR="000C5EC3" w:rsidRPr="003E29FB">
        <w:rPr>
          <w:lang w:val="en-GB"/>
        </w:rPr>
        <w:t>1</w:t>
      </w:r>
      <w:r w:rsidR="003E29FB" w:rsidRPr="003E29FB">
        <w:rPr>
          <w:lang w:val="en-GB"/>
        </w:rPr>
        <w:t>)</w:t>
      </w:r>
      <w:r w:rsidRPr="003E29FB">
        <w:rPr>
          <w:lang w:val="en-GB"/>
        </w:rPr>
        <w:t xml:space="preserve">. </w:t>
      </w:r>
    </w:p>
    <w:p w14:paraId="21263D0D" w14:textId="1E5C55BF" w:rsidR="00AE3CA9" w:rsidRPr="003E29FB" w:rsidRDefault="00AE3CA9" w:rsidP="00AE3CA9">
      <w:pPr>
        <w:pStyle w:val="CETBodytext"/>
        <w:rPr>
          <w:lang w:val="en-GB"/>
        </w:rPr>
      </w:pPr>
      <w:r w:rsidRPr="003E29FB">
        <w:rPr>
          <w:lang w:val="en-GB"/>
        </w:rPr>
        <w:t>Usually, the annual throughput for each tank is</w:t>
      </w:r>
      <w:r w:rsidR="003E29FB" w:rsidRPr="003E29FB">
        <w:rPr>
          <w:lang w:val="en-GB"/>
        </w:rPr>
        <w:t xml:space="preserve"> an</w:t>
      </w:r>
      <w:r w:rsidRPr="003E29FB">
        <w:rPr>
          <w:lang w:val="en-GB"/>
        </w:rPr>
        <w:t xml:space="preserve"> easily available</w:t>
      </w:r>
      <w:r w:rsidR="0021397E" w:rsidRPr="003E29FB">
        <w:rPr>
          <w:lang w:val="en-GB"/>
        </w:rPr>
        <w:t xml:space="preserve"> data</w:t>
      </w:r>
      <w:r w:rsidRPr="003E29FB">
        <w:rPr>
          <w:lang w:val="en-GB"/>
        </w:rPr>
        <w:t xml:space="preserve">, due to its usage for AP-42 calculation: this can be useful for the determination of annual emission inventory, but it shed information crucial for the odour impact assessment. Odour nuisance is characterized by few peak events through the whole year (i.e. the limits are fixed as percentiles of odour hours over a year </w:t>
      </w:r>
      <w:r w:rsidRPr="003E29FB">
        <w:rPr>
          <w:lang w:val="en-GB"/>
        </w:rPr>
        <w:fldChar w:fldCharType="begin" w:fldLock="1"/>
      </w:r>
      <w:r w:rsidR="00BC5318" w:rsidRPr="003E29FB">
        <w:rPr>
          <w:lang w:val="en-GB"/>
        </w:rPr>
        <w:instrText>ADDIN CSL_CITATION {"citationItems":[{"id":"ITEM-1","itemData":{"DOI":"10.1016/j.chemosphere.2016.11.160","abstract":"© 2016 Elsevier Ltd Exposure to environmental odour can result in annoyance, health effects and depreciation of property values. Therefore, many jurisdictions classify odour as an atmospheric pollutant and regulate emissions and/or impacts from odour generating activities at a national, state or municipal level. In this work, a critical review of odour regulations in selected jurisdictions of 28 countries is presented. Individual approaches were identified as: comparing ambient air odour concentration and individual chemicals statistics against impact criteria (maximum impact standard); using fixed and variable separation distances (separation distance standard); maximum emission rate for mixtures of odorants and individual chemical species (maximum emission standard); number of complaints received or annoyance level determined via community surveys (maximum annoyance standard); and requiring use of best available technologies (BAT) to minimize odour emissions (technology standard). The comparison of model-predicted odour concentration statistics against odour impact criteria (OIC) is identified as one of the most common tools used by regulators to evaluate the risk of odour impacts in planning stage assessments and is also used to inform assessment of odour impacts of existing facilities. Special emphasis is given to summarizing OIC (concentration percentile and threshold) and the manner in which they are applied. The way short term odour peak to model time-step mean (peak-to-mean) effects is also captured. Furthermore, the fundamentals of odorant properties, dimensions of nuisance odour, odour sampling and analysis methods and dispersion modelling guidance are provided. Common elements of mature and effective odour regulation frameworks are identified and an integrated multi-tool strategy is recommended.","author":[{"dropping-particle":"","family":"Brancher","given":"M.","non-dropping-particle":"","parse-names":false,"suffix":""},{"dropping-particle":"","family":"Griffiths","given":"K.D.","non-dropping-particle":"","parse-names":false,"suffix":""},{"dropping-particle":"","family":"Franco","given":"D.","non-dropping-particle":"","parse-names":false,"suffix":""},{"dropping-particle":"","family":"Melo Lisboa","given":"H.","non-dropping-particle":"de","parse-names":false,"suffix":""}],"container-title":"Chemosphere","id":"ITEM-1","issued":{"date-parts":[["2017"]]},"page":"1531-1570","title":"A review of odour impact criteria in selected countries around the world","type":"article-journal","volume":"168"},"uris":["http://www.mendeley.com/documents/?uuid=f6ef4a18-5319-3e7f-a272-38f962958315"]},{"id":"ITEM-2","itemData":{"DOI":"10.3303/CET1654029","abstract":"© 2016, AIDIC Servizi S.r.l. Environmental odour exposure that results from anthropic activities may cause an adverse effect on human health. The exposure is frequently classified as airborne pollutant and therefore mainly regulated by federal or state jurisdictions. The goal of the regulations is the limitation of odour exposure to avoid nuisance. For this purpose, odour impact criteria (OIC) are formed by an odour concentration threshold and an accepted probability of exceedance of this concentration (i.e., percentile) to define compliance. Dispersion models generally calculate time series of hourly-mean concentration values at receptors surrounding odour sources. To mimic odour perception of the human nose, short-time peak concentrations derived from one-hour mean values may also be considered in OIC by using the peak-to-mean concept. In this paper, a review of OIC applied in jurisdictions throughout South America is provided according to the desired level of protection. The focus is on OIC which are used predominantly for the evaluation of the time series of ambient odour concentration, calculated by dispersion models. Particularly, the odour framework in countries such as Brazil, Chile and Colombia is presented. Sampling and analysis methods of odours and technical guidance associated with odour modelling will also be presented when mentioned in the regulations or technical guides. Furthermore, the importance of establishing exposure limits is discussed, to provide regulatory agencies and industry an effective and objective tool for the realization of odour impact assessment studies. Undeniably, olfactometric methodologies combined with criteria for impact assessment are essential instruments for managing conflicts arising from odour episodes and to achieve compliance for new, existing or expansion of facilities.","author":[{"dropping-particle":"","family":"Brancher","given":"M.","non-dropping-particle":"","parse-names":false,"suffix":""},{"dropping-particle":"","family":"Schauberger","given":"G.","non-dropping-particle":"","parse-names":false,"suffix":""},{"dropping-particle":"","family":"Franco","given":"D.","non-dropping-particle":"","parse-names":false,"suffix":""},{"dropping-particle":"","family":"Melo Lisboa","given":"H.","non-dropping-particle":"De","parse-names":false,"suffix":""}],"container-title":"Chemical Engineering Transactions","id":"ITEM-2","issued":{"date-parts":[["2016"]]},"page":"169-174","title":"Odour impact criteria in south American regulations","type":"article-journal","volume":"54"},"uris":["http://www.mendeley.com/documents/?uuid=0915abf3-b02f-39f7-83e3-e225b7f7153b"]}],"mendeley":{"formattedCitation":"(Brancher et al., 2017, 2016)","plainTextFormattedCitation":"(Brancher et al., 2017, 2016)","previouslyFormattedCitation":"(Brancher et al., 2017, 2016)"},"properties":{"noteIndex":0},"schema":"https://github.com/citation-style-language/schema/raw/master/csl-citation.json"}</w:instrText>
      </w:r>
      <w:r w:rsidRPr="003E29FB">
        <w:rPr>
          <w:lang w:val="en-GB"/>
        </w:rPr>
        <w:fldChar w:fldCharType="separate"/>
      </w:r>
      <w:r w:rsidR="006A3DB7" w:rsidRPr="003E29FB">
        <w:rPr>
          <w:noProof/>
          <w:lang w:val="en-GB"/>
        </w:rPr>
        <w:t>(Brancher et al., 2017, 2016)</w:t>
      </w:r>
      <w:r w:rsidRPr="003E29FB">
        <w:rPr>
          <w:lang w:val="en-GB"/>
        </w:rPr>
        <w:fldChar w:fldCharType="end"/>
      </w:r>
      <w:r w:rsidR="003E29FB" w:rsidRPr="003E29FB">
        <w:rPr>
          <w:lang w:val="en-GB"/>
        </w:rPr>
        <w:t>)</w:t>
      </w:r>
      <w:r w:rsidRPr="003E29FB">
        <w:rPr>
          <w:lang w:val="en-GB"/>
        </w:rPr>
        <w:t xml:space="preserve">: an annual average emission describes scarcely the possible odour impact. This is particularly true for the storage tanks: the emission is due to filling and withdrawal requirement, making the real OER particularly variable. </w:t>
      </w:r>
    </w:p>
    <w:p w14:paraId="3255C0C2" w14:textId="37299469" w:rsidR="00CF21DA" w:rsidRPr="003E29FB" w:rsidRDefault="00AE3CA9" w:rsidP="00AE3CA9">
      <w:pPr>
        <w:pStyle w:val="CETBodytext"/>
        <w:rPr>
          <w:lang w:val="en-GB"/>
        </w:rPr>
      </w:pPr>
      <w:r w:rsidRPr="003E29FB">
        <w:rPr>
          <w:lang w:val="en-GB"/>
        </w:rPr>
        <w:t>The solution here proposed is to obtain the hourly level dataset from the Distributed Control System (DCS) of the refinery: by the variation of the level is possible to assess if the tank has been filled or not, and so calculate the emitted portion of the headspace into the atmosphere. A real-case example of the volume trend of a fuel oil FRT is reported in</w:t>
      </w:r>
      <w:r w:rsidR="002E4298" w:rsidRPr="003E29FB">
        <w:rPr>
          <w:lang w:val="en-GB"/>
        </w:rPr>
        <w:t xml:space="preserve"> </w:t>
      </w:r>
      <w:r w:rsidR="002E4298" w:rsidRPr="003E29FB">
        <w:rPr>
          <w:lang w:val="en-GB"/>
        </w:rPr>
        <w:fldChar w:fldCharType="begin"/>
      </w:r>
      <w:r w:rsidR="002E4298" w:rsidRPr="003E29FB">
        <w:rPr>
          <w:lang w:val="en-GB"/>
        </w:rPr>
        <w:instrText xml:space="preserve"> REF _Ref61619310 \h </w:instrText>
      </w:r>
      <w:r w:rsidR="002E4298" w:rsidRPr="003E29FB">
        <w:rPr>
          <w:lang w:val="en-GB"/>
        </w:rPr>
      </w:r>
      <w:r w:rsidR="002E4298" w:rsidRPr="003E29FB">
        <w:rPr>
          <w:lang w:val="en-GB"/>
        </w:rPr>
        <w:fldChar w:fldCharType="separate"/>
      </w:r>
      <w:r w:rsidR="002E4298" w:rsidRPr="003E29FB">
        <w:rPr>
          <w:lang w:val="en-GB"/>
        </w:rPr>
        <w:t xml:space="preserve">Figure </w:t>
      </w:r>
      <w:r w:rsidR="002E4298" w:rsidRPr="003E29FB">
        <w:rPr>
          <w:noProof/>
          <w:lang w:val="en-GB"/>
        </w:rPr>
        <w:t>3</w:t>
      </w:r>
      <w:r w:rsidR="002E4298" w:rsidRPr="003E29FB">
        <w:rPr>
          <w:lang w:val="en-GB"/>
        </w:rPr>
        <w:fldChar w:fldCharType="end"/>
      </w:r>
      <w:r w:rsidR="00863C6D">
        <w:rPr>
          <w:lang w:val="en-GB"/>
        </w:rPr>
        <w:t>a</w:t>
      </w:r>
      <w:r w:rsidRPr="003E29FB">
        <w:rPr>
          <w:lang w:val="en-GB"/>
        </w:rPr>
        <w:t>. As it is clear to understand, the emission from FRT is far from const</w:t>
      </w:r>
      <w:r w:rsidR="0021397E" w:rsidRPr="003E29FB">
        <w:rPr>
          <w:lang w:val="en-GB"/>
        </w:rPr>
        <w:t>ant</w:t>
      </w:r>
      <w:r w:rsidR="003E29FB" w:rsidRPr="003E29FB">
        <w:rPr>
          <w:lang w:val="en-GB"/>
        </w:rPr>
        <w:t>,</w:t>
      </w:r>
      <w:r w:rsidRPr="003E29FB">
        <w:rPr>
          <w:lang w:val="en-GB"/>
        </w:rPr>
        <w:t xml:space="preserve"> and it is linked to few particular periods when the tank is filled. </w:t>
      </w:r>
    </w:p>
    <w:p w14:paraId="3324F40B" w14:textId="78F56DB6" w:rsidR="00AE3CA9" w:rsidRPr="003E29FB" w:rsidRDefault="00AE3CA9" w:rsidP="00AE3CA9">
      <w:pPr>
        <w:pStyle w:val="CETBodytext"/>
        <w:rPr>
          <w:lang w:val="en-GB"/>
        </w:rPr>
      </w:pPr>
      <w:r w:rsidRPr="003E29FB">
        <w:rPr>
          <w:lang w:val="en-GB"/>
        </w:rPr>
        <w:t>By knowing the volume trend</w:t>
      </w:r>
      <w:r w:rsidR="008131E1" w:rsidRPr="003E29FB">
        <w:rPr>
          <w:lang w:val="en-GB"/>
        </w:rPr>
        <w:t>,</w:t>
      </w:r>
      <w:r w:rsidRPr="003E29FB">
        <w:rPr>
          <w:lang w:val="en-GB"/>
        </w:rPr>
        <w:t xml:space="preserve"> it is then possible to </w:t>
      </w:r>
      <w:r w:rsidR="003E29FB" w:rsidRPr="003E29FB">
        <w:rPr>
          <w:lang w:val="en-GB"/>
        </w:rPr>
        <w:t>obtain a dataset for the hourly-</w:t>
      </w:r>
      <w:r w:rsidRPr="003E29FB">
        <w:rPr>
          <w:lang w:val="en-GB"/>
        </w:rPr>
        <w:t xml:space="preserve">averaged air flowrate, calculated </w:t>
      </w:r>
      <w:r w:rsidR="003E29FB" w:rsidRPr="003E29FB">
        <w:rPr>
          <w:lang w:val="en-GB"/>
        </w:rPr>
        <w:t>as the difference of the hourly-</w:t>
      </w:r>
      <w:r w:rsidRPr="003E29FB">
        <w:rPr>
          <w:lang w:val="en-GB"/>
        </w:rPr>
        <w:t xml:space="preserve">averaged liquid volumes. Of </w:t>
      </w:r>
      <w:r w:rsidR="00CF21DA" w:rsidRPr="003E29FB">
        <w:rPr>
          <w:lang w:val="en-GB"/>
        </w:rPr>
        <w:t>course,</w:t>
      </w:r>
      <w:r w:rsidRPr="003E29FB">
        <w:rPr>
          <w:lang w:val="en-GB"/>
        </w:rPr>
        <w:t xml:space="preserve"> the emission is present only when the difference is positive (i.e. the amount of the stocked liquid increases). </w:t>
      </w:r>
    </w:p>
    <w:p w14:paraId="112674A5" w14:textId="712D3464" w:rsidR="00AE3CA9" w:rsidRPr="003E29FB" w:rsidRDefault="00CF21DA" w:rsidP="00AE3CA9">
      <w:pPr>
        <w:pStyle w:val="CETBodytext"/>
        <w:rPr>
          <w:lang w:val="en-GB"/>
        </w:rPr>
      </w:pPr>
      <w:r w:rsidRPr="003E29FB">
        <w:rPr>
          <w:lang w:val="en-GB"/>
        </w:rPr>
        <w:t>With these</w:t>
      </w:r>
      <w:r w:rsidR="00AE3CA9" w:rsidRPr="003E29FB">
        <w:rPr>
          <w:lang w:val="en-GB"/>
        </w:rPr>
        <w:t xml:space="preserve"> </w:t>
      </w:r>
      <w:r w:rsidR="003E29FB" w:rsidRPr="003E29FB">
        <w:rPr>
          <w:lang w:val="en-GB"/>
        </w:rPr>
        <w:t>airflow</w:t>
      </w:r>
      <w:r w:rsidR="00AE3CA9" w:rsidRPr="003E29FB">
        <w:rPr>
          <w:lang w:val="en-GB"/>
        </w:rPr>
        <w:t xml:space="preserve"> rate data, and </w:t>
      </w:r>
      <w:r w:rsidRPr="003E29FB">
        <w:rPr>
          <w:lang w:val="en-GB"/>
        </w:rPr>
        <w:t>by measuring a</w:t>
      </w:r>
      <w:r w:rsidR="00AE3CA9" w:rsidRPr="003E29FB">
        <w:rPr>
          <w:lang w:val="en-GB"/>
        </w:rPr>
        <w:t xml:space="preserve"> representative odour concentration of the emission (i.e. 120’000 ou</w:t>
      </w:r>
      <w:r w:rsidR="00AE3CA9" w:rsidRPr="003E29FB">
        <w:rPr>
          <w:vertAlign w:val="subscript"/>
          <w:lang w:val="en-GB"/>
        </w:rPr>
        <w:t>E</w:t>
      </w:r>
      <w:r w:rsidR="00AE3CA9" w:rsidRPr="003E29FB">
        <w:rPr>
          <w:lang w:val="en-GB"/>
        </w:rPr>
        <w:t>/m</w:t>
      </w:r>
      <w:r w:rsidR="00AE3CA9" w:rsidRPr="003E29FB">
        <w:rPr>
          <w:vertAlign w:val="superscript"/>
          <w:lang w:val="en-GB"/>
        </w:rPr>
        <w:t>3</w:t>
      </w:r>
      <w:r w:rsidR="00AE3CA9" w:rsidRPr="003E29FB">
        <w:rPr>
          <w:lang w:val="en-GB"/>
        </w:rPr>
        <w:t>), with Equation</w:t>
      </w:r>
      <w:r w:rsidR="002E4298" w:rsidRPr="003E29FB">
        <w:rPr>
          <w:lang w:val="en-GB"/>
        </w:rPr>
        <w:t xml:space="preserve"> 2</w:t>
      </w:r>
      <w:r w:rsidRPr="003E29FB">
        <w:rPr>
          <w:lang w:val="en-GB"/>
        </w:rPr>
        <w:t xml:space="preserve"> </w:t>
      </w:r>
      <w:r w:rsidR="00AE3CA9" w:rsidRPr="003E29FB">
        <w:rPr>
          <w:lang w:val="en-GB"/>
        </w:rPr>
        <w:t xml:space="preserve">it is then possible to calculate the hourly variable OER. </w:t>
      </w:r>
    </w:p>
    <w:p w14:paraId="6E0038CC" w14:textId="216DC0C8" w:rsidR="00AE3CA9" w:rsidRPr="003E29FB" w:rsidRDefault="00AE3CA9" w:rsidP="00AE3CA9">
      <w:pPr>
        <w:pStyle w:val="CETBodytext"/>
        <w:rPr>
          <w:lang w:val="en-GB"/>
        </w:rPr>
      </w:pPr>
      <w:r w:rsidRPr="003E29FB">
        <w:rPr>
          <w:lang w:val="en-GB"/>
        </w:rPr>
        <w:lastRenderedPageBreak/>
        <w:t>In</w:t>
      </w:r>
      <w:r w:rsidR="002E4298" w:rsidRPr="003E29FB">
        <w:rPr>
          <w:lang w:val="en-GB"/>
        </w:rPr>
        <w:t xml:space="preserve"> </w:t>
      </w:r>
      <w:r w:rsidR="002E4298" w:rsidRPr="003E29FB">
        <w:rPr>
          <w:lang w:val="en-GB"/>
        </w:rPr>
        <w:fldChar w:fldCharType="begin"/>
      </w:r>
      <w:r w:rsidR="002E4298" w:rsidRPr="003E29FB">
        <w:rPr>
          <w:lang w:val="en-GB"/>
        </w:rPr>
        <w:instrText xml:space="preserve"> REF _Ref61619310 \h </w:instrText>
      </w:r>
      <w:r w:rsidR="002E4298" w:rsidRPr="003E29FB">
        <w:rPr>
          <w:lang w:val="en-GB"/>
        </w:rPr>
      </w:r>
      <w:r w:rsidR="002E4298" w:rsidRPr="003E29FB">
        <w:rPr>
          <w:lang w:val="en-GB"/>
        </w:rPr>
        <w:fldChar w:fldCharType="separate"/>
      </w:r>
      <w:r w:rsidR="002E4298" w:rsidRPr="003E29FB">
        <w:rPr>
          <w:lang w:val="en-GB"/>
        </w:rPr>
        <w:t xml:space="preserve">Figure </w:t>
      </w:r>
      <w:r w:rsidR="002E4298" w:rsidRPr="003E29FB">
        <w:rPr>
          <w:noProof/>
          <w:lang w:val="en-GB"/>
        </w:rPr>
        <w:t>3</w:t>
      </w:r>
      <w:r w:rsidR="002E4298" w:rsidRPr="003E29FB">
        <w:rPr>
          <w:lang w:val="en-GB"/>
        </w:rPr>
        <w:fldChar w:fldCharType="end"/>
      </w:r>
      <w:r w:rsidR="00863C6D">
        <w:rPr>
          <w:lang w:val="en-GB"/>
        </w:rPr>
        <w:t>b</w:t>
      </w:r>
      <w:r w:rsidR="002E4298" w:rsidRPr="003E29FB">
        <w:rPr>
          <w:lang w:val="en-GB"/>
        </w:rPr>
        <w:t>,</w:t>
      </w:r>
      <w:r w:rsidRPr="003E29FB">
        <w:rPr>
          <w:lang w:val="en-GB"/>
        </w:rPr>
        <w:t xml:space="preserve"> </w:t>
      </w:r>
      <w:r w:rsidR="002E4298" w:rsidRPr="003E29FB">
        <w:rPr>
          <w:lang w:val="en-GB"/>
        </w:rPr>
        <w:t>green</w:t>
      </w:r>
      <w:r w:rsidRPr="003E29FB">
        <w:rPr>
          <w:lang w:val="en-GB"/>
        </w:rPr>
        <w:t xml:space="preserve"> dots represent the obtained hourly, compared with the mean data (red) that would have been obtained using the annual throughput. Analysing the data, we can observe that, for the 44% of the hours, the emission flow rate is null (due to no changes of decrease in the liquid volume), and the 52% have an OER &lt; 500 ou</w:t>
      </w:r>
      <w:r w:rsidRPr="003E29FB">
        <w:rPr>
          <w:vertAlign w:val="subscript"/>
          <w:lang w:val="en-GB"/>
        </w:rPr>
        <w:t>E</w:t>
      </w:r>
      <w:r w:rsidRPr="003E29FB">
        <w:rPr>
          <w:lang w:val="en-GB"/>
        </w:rPr>
        <w:t>/s. The</w:t>
      </w:r>
      <w:r w:rsidR="0006672D" w:rsidRPr="003E29FB">
        <w:rPr>
          <w:lang w:val="en-GB"/>
        </w:rPr>
        <w:t xml:space="preserve"> overall average is 2818 ou</w:t>
      </w:r>
      <w:r w:rsidR="0006672D" w:rsidRPr="003E29FB">
        <w:rPr>
          <w:vertAlign w:val="subscript"/>
          <w:lang w:val="en-GB"/>
        </w:rPr>
        <w:t>E</w:t>
      </w:r>
      <w:r w:rsidR="0006672D" w:rsidRPr="003E29FB">
        <w:rPr>
          <w:lang w:val="en-GB"/>
        </w:rPr>
        <w:t>/s, while</w:t>
      </w:r>
      <w:r w:rsidRPr="003E29FB">
        <w:rPr>
          <w:lang w:val="en-GB"/>
        </w:rPr>
        <w:t xml:space="preserve"> 90</w:t>
      </w:r>
      <w:r w:rsidRPr="003E29FB">
        <w:rPr>
          <w:vertAlign w:val="superscript"/>
          <w:lang w:val="en-GB"/>
        </w:rPr>
        <w:t>th</w:t>
      </w:r>
      <w:r w:rsidRPr="003E29FB">
        <w:rPr>
          <w:lang w:val="en-GB"/>
        </w:rPr>
        <w:t>, 98</w:t>
      </w:r>
      <w:r w:rsidRPr="003E29FB">
        <w:rPr>
          <w:vertAlign w:val="superscript"/>
          <w:lang w:val="en-GB"/>
        </w:rPr>
        <w:t>th</w:t>
      </w:r>
      <w:r w:rsidRPr="003E29FB">
        <w:rPr>
          <w:lang w:val="en-GB"/>
        </w:rPr>
        <w:t xml:space="preserve"> and 99</w:t>
      </w:r>
      <w:r w:rsidRPr="003E29FB">
        <w:rPr>
          <w:vertAlign w:val="superscript"/>
          <w:lang w:val="en-GB"/>
        </w:rPr>
        <w:t>th</w:t>
      </w:r>
      <w:r w:rsidRPr="003E29FB">
        <w:rPr>
          <w:lang w:val="en-GB"/>
        </w:rPr>
        <w:t xml:space="preserve"> percentile of the OER dataset are 5084, 15674 and 19701 ou</w:t>
      </w:r>
      <w:r w:rsidRPr="003E29FB">
        <w:rPr>
          <w:vertAlign w:val="subscript"/>
          <w:lang w:val="en-GB"/>
        </w:rPr>
        <w:t>E</w:t>
      </w:r>
      <w:r w:rsidRPr="003E29FB">
        <w:rPr>
          <w:lang w:val="en-GB"/>
        </w:rPr>
        <w:t xml:space="preserve">/s respectively. </w:t>
      </w:r>
    </w:p>
    <w:p w14:paraId="7A184CCB" w14:textId="313AF027" w:rsidR="009E735D" w:rsidRPr="003E29FB" w:rsidRDefault="009E735D" w:rsidP="00AE3CA9">
      <w:pPr>
        <w:pStyle w:val="CETBodytext"/>
        <w:rPr>
          <w:lang w:val="en-GB"/>
        </w:rPr>
      </w:pPr>
    </w:p>
    <w:p w14:paraId="3143F07E" w14:textId="35395D69" w:rsidR="009E735D" w:rsidRPr="003E29FB" w:rsidRDefault="00863C6D" w:rsidP="00AE3CA9">
      <w:pPr>
        <w:pStyle w:val="CETBodytext"/>
        <w:rPr>
          <w:lang w:val="en-GB"/>
        </w:rPr>
      </w:pPr>
      <w:r>
        <w:rPr>
          <w:noProof/>
          <w:lang w:val="it-IT" w:eastAsia="it-IT"/>
        </w:rPr>
        <w:drawing>
          <wp:inline distT="0" distB="0" distL="0" distR="0" wp14:anchorId="5A299CF5" wp14:editId="1912D2DD">
            <wp:extent cx="5580000" cy="1713426"/>
            <wp:effectExtent l="0" t="0" r="1905" b="127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0000" cy="1713426"/>
                    </a:xfrm>
                    <a:prstGeom prst="rect">
                      <a:avLst/>
                    </a:prstGeom>
                    <a:noFill/>
                  </pic:spPr>
                </pic:pic>
              </a:graphicData>
            </a:graphic>
          </wp:inline>
        </w:drawing>
      </w:r>
    </w:p>
    <w:p w14:paraId="78C5ED41" w14:textId="1EDFFE3F" w:rsidR="00CF21DA" w:rsidRPr="003E29FB" w:rsidRDefault="00CF21DA" w:rsidP="00CF21DA">
      <w:pPr>
        <w:pStyle w:val="CETCaption"/>
      </w:pPr>
      <w:bookmarkStart w:id="10" w:name="_Ref61619310"/>
      <w:r w:rsidRPr="003E29FB">
        <w:t xml:space="preserve">Figure </w:t>
      </w:r>
      <w:r w:rsidRPr="003E29FB">
        <w:fldChar w:fldCharType="begin"/>
      </w:r>
      <w:r w:rsidRPr="003E29FB">
        <w:instrText xml:space="preserve"> SEQ Figure \* ARABIC </w:instrText>
      </w:r>
      <w:r w:rsidRPr="003E29FB">
        <w:fldChar w:fldCharType="separate"/>
      </w:r>
      <w:r w:rsidR="002E4298" w:rsidRPr="003E29FB">
        <w:rPr>
          <w:noProof/>
        </w:rPr>
        <w:t>3</w:t>
      </w:r>
      <w:r w:rsidRPr="003E29FB">
        <w:fldChar w:fldCharType="end"/>
      </w:r>
      <w:bookmarkEnd w:id="10"/>
      <w:r w:rsidR="00394164" w:rsidRPr="003E29FB">
        <w:t>:</w:t>
      </w:r>
      <w:r w:rsidRPr="003E29FB">
        <w:t xml:space="preserve"> </w:t>
      </w:r>
      <w:r w:rsidR="00863C6D">
        <w:t>a.</w:t>
      </w:r>
      <w:r w:rsidRPr="003E29FB">
        <w:t xml:space="preserve"> Real-case yearly trend of liquid volume of a refinery’s FRT.</w:t>
      </w:r>
      <w:r w:rsidR="00863C6D">
        <w:t xml:space="preserve"> b.</w:t>
      </w:r>
      <w:r w:rsidRPr="003E29FB">
        <w:t xml:space="preserve"> Comparison of variable (green) and constant (red) OER from FRT. </w:t>
      </w:r>
    </w:p>
    <w:p w14:paraId="5FE85E49" w14:textId="77777777" w:rsidR="00AE3CA9" w:rsidRPr="003E29FB" w:rsidRDefault="00AE3CA9" w:rsidP="00AE3CA9">
      <w:pPr>
        <w:pStyle w:val="CETBodytext"/>
        <w:rPr>
          <w:lang w:val="en-GB"/>
        </w:rPr>
      </w:pPr>
      <w:r w:rsidRPr="003E29FB">
        <w:rPr>
          <w:lang w:val="en-GB"/>
        </w:rPr>
        <w:t xml:space="preserve">Due to this, the operation of annual averaging of all the loadings would lead to a strong underestimation of the possible odour impact that can derive from the operation of FRTs. </w:t>
      </w:r>
    </w:p>
    <w:p w14:paraId="70760D81" w14:textId="62F2DA3A" w:rsidR="00AE3CA9" w:rsidRPr="003E29FB" w:rsidRDefault="00AE3CA9" w:rsidP="00AE3CA9">
      <w:pPr>
        <w:pStyle w:val="CETBodytext"/>
        <w:rPr>
          <w:lang w:val="en-GB"/>
        </w:rPr>
      </w:pPr>
      <w:r w:rsidRPr="003E29FB">
        <w:rPr>
          <w:lang w:val="en-GB"/>
        </w:rPr>
        <w:t>In order to obtain increasingly reliable odour impact assessments of</w:t>
      </w:r>
      <w:r w:rsidR="0006672D" w:rsidRPr="003E29FB">
        <w:rPr>
          <w:lang w:val="en-GB"/>
        </w:rPr>
        <w:t xml:space="preserve"> oil</w:t>
      </w:r>
      <w:r w:rsidRPr="003E29FB">
        <w:rPr>
          <w:lang w:val="en-GB"/>
        </w:rPr>
        <w:t xml:space="preserve"> refineries, especially due to the great relevance that these tools are gaining from permitting authorities, it appears strongly recommended to consider, for the calculation o</w:t>
      </w:r>
      <w:r w:rsidR="003E29FB">
        <w:rPr>
          <w:lang w:val="en-GB"/>
        </w:rPr>
        <w:t>f the OER from FRTs, the hourly-</w:t>
      </w:r>
      <w:r w:rsidRPr="003E29FB">
        <w:rPr>
          <w:lang w:val="en-GB"/>
        </w:rPr>
        <w:t xml:space="preserve">average liquid trends, in order to avoid the obtainment of misleading odour dispersion modelling results. </w:t>
      </w:r>
    </w:p>
    <w:p w14:paraId="7BF0F8C8" w14:textId="77777777" w:rsidR="00AE3CA9" w:rsidRPr="003E29FB" w:rsidRDefault="00AE3CA9" w:rsidP="007E788A">
      <w:pPr>
        <w:pStyle w:val="CETHeading1"/>
        <w:rPr>
          <w:lang w:val="en-GB"/>
        </w:rPr>
      </w:pPr>
      <w:bookmarkStart w:id="11" w:name="_Ref60739749"/>
      <w:bookmarkStart w:id="12" w:name="_Toc61363131"/>
      <w:r w:rsidRPr="003E29FB">
        <w:rPr>
          <w:lang w:val="en-GB"/>
        </w:rPr>
        <w:t>Floating roof tanks</w:t>
      </w:r>
      <w:bookmarkEnd w:id="11"/>
      <w:bookmarkEnd w:id="12"/>
    </w:p>
    <w:p w14:paraId="53C2CF8C" w14:textId="519AA765" w:rsidR="004365ED" w:rsidRPr="003E29FB" w:rsidRDefault="00AE3CA9" w:rsidP="004365ED">
      <w:pPr>
        <w:pStyle w:val="CETBodytext"/>
        <w:rPr>
          <w:lang w:val="en-GB"/>
        </w:rPr>
      </w:pPr>
      <w:r w:rsidRPr="003E29FB">
        <w:rPr>
          <w:lang w:val="en-GB"/>
        </w:rPr>
        <w:t xml:space="preserve">External Floating Roof Tanks (EFRTs) are constructed with the upper part, i.e. the roof, that lays on the liquid surface and therefore moves jointly with the liquid </w:t>
      </w:r>
      <w:r w:rsidRPr="003E29FB">
        <w:rPr>
          <w:lang w:val="en-GB"/>
        </w:rPr>
        <w:fldChar w:fldCharType="begin" w:fldLock="1"/>
      </w:r>
      <w:r w:rsidRPr="003E29FB">
        <w:rPr>
          <w:lang w:val="en-GB"/>
        </w:rPr>
        <w:instrText>ADDIN CSL_CITATION {"citationItems":[{"id":"ITEM-1","itemData":{"author":[{"dropping-particle":"","family":"U.S. EPA","given":"","non-dropping-particle":"","parse-names":false,"suffix":""}],"id":"ITEM-1","issued":{"date-parts":[["2006"]]},"number-of-pages":"Section 7.1","title":"Emission Factor Documentation for AP-42 Organic Liquid Storage Tanks Final Report","type":"report"},"uris":["http://www.mendeley.com/documents/?uuid=f7e7486c-52ec-4cf1-9e89-fca274903e80"]}],"mendeley":{"formattedCitation":"(U.S. EPA, 2006)","plainTextFormattedCitation":"(U.S. EPA, 2006)","previouslyFormattedCitation":"(U.S. EPA, 2006)"},"properties":{"noteIndex":0},"schema":"https://github.com/citation-style-language/schema/raw/master/csl-citation.json"}</w:instrText>
      </w:r>
      <w:r w:rsidRPr="003E29FB">
        <w:rPr>
          <w:lang w:val="en-GB"/>
        </w:rPr>
        <w:fldChar w:fldCharType="separate"/>
      </w:r>
      <w:r w:rsidRPr="003E29FB">
        <w:rPr>
          <w:noProof/>
          <w:lang w:val="en-GB"/>
        </w:rPr>
        <w:t>(U.S. EPA, 2006)</w:t>
      </w:r>
      <w:r w:rsidRPr="003E29FB">
        <w:rPr>
          <w:lang w:val="en-GB"/>
        </w:rPr>
        <w:fldChar w:fldCharType="end"/>
      </w:r>
      <w:r w:rsidRPr="003E29FB">
        <w:rPr>
          <w:lang w:val="en-GB"/>
        </w:rPr>
        <w:t>.</w:t>
      </w:r>
      <w:r w:rsidR="002E4298" w:rsidRPr="003E29FB">
        <w:rPr>
          <w:lang w:val="en-GB"/>
        </w:rPr>
        <w:t xml:space="preserve"> </w:t>
      </w:r>
      <w:r w:rsidRPr="003E29FB">
        <w:rPr>
          <w:lang w:val="en-GB"/>
        </w:rPr>
        <w:t>Typically, the liquid contained in this type of tank is a light hydrocarbon with a vapour pressure above 14 kPa</w:t>
      </w:r>
      <w:r w:rsidR="00CF21DA" w:rsidRPr="003E29FB">
        <w:rPr>
          <w:lang w:val="en-GB"/>
        </w:rPr>
        <w:t xml:space="preserve"> </w:t>
      </w:r>
      <w:r w:rsidR="00CF21DA" w:rsidRPr="003E29FB">
        <w:rPr>
          <w:lang w:val="en-GB"/>
        </w:rPr>
        <w:fldChar w:fldCharType="begin" w:fldLock="1"/>
      </w:r>
      <w:r w:rsidR="002E4298" w:rsidRPr="003E29FB">
        <w:rPr>
          <w:lang w:val="en-GB"/>
        </w:rPr>
        <w:instrText>ADDIN CSL_CITATION {"citationItems":[{"id":"ITEM-1","itemData":{"DOI":"10.2791/010758","ISBN":"9789279461989","abstract":"The BREF entitled ‘Refining of Mineral Oil and Gas’ forms part of a series presenting the results of an exchange of information between EU Member States, the industries concerned, non-governmental organisations promoting environmental protection, and the Commission, to draw up, review, and where necessary, update BAT reference documents as required by Article 13(1) of the Industrial Emissions Directive (2010/75/EU). This document is published by the European Commission pursuant to Article 13(6) of the Directive. This BREF for the refining of mineral oil and gas covers certain industrial activities specified in Section 1.2 of Annex I to Directive 2010/75/EU, namely the energy industries of the refining of mineral oil and gas sector. In particular, this document covers the following refineries processes and activities: - Alkylation - Base oil production - Bitumen production - Catalytic cracking - Catalytic reforming - Coking - Cooling - Desalting - Combustion of refinery fuels for energy production - Etherification - Gas separation - Hydrogen consuming processes - Hydrogen production - Isomerisation - Natural gas plants - Polymerisation - Primary distillation - Product treatments - Storage and handling of refinery materials - Visbreaking and other thermal conversions - Waste gas treatment - Waste water treatment - Waste management. Important issues for the implementation of Directive 2010/75/EU in the refining of mineral oil and gas sector are the emissions to air of volatile organic substances, nitrogen oxides, sulphur oxides, hydrofluoric acid, ammonia, carbon monoxide, dioxins and furans, and dust; emissions to water of oils, benzene, suspended solids, COD, nitrogen, metals (lead, cadmium, nickel, mercury); energy efficiency; and the prevention of emissions to soil and groundwater. The BREF document contains seven chapters. Chapters 1 and 2 provide general information on the refining of mineral oil and gas industry and on the industrial processes and techniques used within this sector. Chapter 3 provides data and information concerning the environmental performance of installations in terms of current emissions, consumption of raw materials, water and energy, and generation of waste. Chapter 4 describes the techniques to prevent or reduce emissions from installations in the sector. In Chapter 5 the BAT conclusions, as defined in Article 3(12) of the Directive, are presented for the refining of mineral oil and gas industry. Chapters 6 and 7 are dedicate…","author":[{"dropping-particle":"","family":"European Commission","given":"","non-dropping-particle":"","parse-names":false,"suffix":""}],"id":"ITEM-1","issued":{"date-parts":[["2015"]]},"number-of-pages":"754","title":"Best Available Techniques (BAT) Reference Document for the Refining of Mineral Oil and Gas","type":"book"},"uris":["http://www.mendeley.com/documents/?uuid=a4e75789-75dc-4938-8d2c-e89373932915"]}],"mendeley":{"formattedCitation":"(European Commission, 2015)","plainTextFormattedCitation":"(European Commission, 2015)","previouslyFormattedCitation":"(European Commission, 2015)"},"properties":{"noteIndex":0},"schema":"https://github.com/citation-style-language/schema/raw/master/csl-citation.json"}</w:instrText>
      </w:r>
      <w:r w:rsidR="00CF21DA" w:rsidRPr="003E29FB">
        <w:rPr>
          <w:lang w:val="en-GB"/>
        </w:rPr>
        <w:fldChar w:fldCharType="separate"/>
      </w:r>
      <w:r w:rsidR="00CF21DA" w:rsidRPr="003E29FB">
        <w:rPr>
          <w:noProof/>
          <w:lang w:val="en-GB"/>
        </w:rPr>
        <w:t>(European Commission, 2015)</w:t>
      </w:r>
      <w:r w:rsidR="00CF21DA" w:rsidRPr="003E29FB">
        <w:rPr>
          <w:lang w:val="en-GB"/>
        </w:rPr>
        <w:fldChar w:fldCharType="end"/>
      </w:r>
      <w:r w:rsidRPr="003E29FB">
        <w:rPr>
          <w:lang w:val="en-GB"/>
        </w:rPr>
        <w:t xml:space="preserve">. The roof floats on the stored liquid (e.g. mineral oil or gasoline) in order to prevent the formation of air-fuel mixtures, which could fall within the explosive limits of the mixture itself. </w:t>
      </w:r>
      <w:r w:rsidR="004365ED" w:rsidRPr="003E29FB">
        <w:rPr>
          <w:lang w:val="en-GB"/>
        </w:rPr>
        <w:t xml:space="preserve">Moreover, an EFRT can provide a 95% reduction in total losses compared to a FRT and therefore a consequent saving also in terms of product stocks </w:t>
      </w:r>
      <w:r w:rsidR="004365ED" w:rsidRPr="003E29FB">
        <w:rPr>
          <w:lang w:val="en-GB"/>
        </w:rPr>
        <w:fldChar w:fldCharType="begin" w:fldLock="1"/>
      </w:r>
      <w:r w:rsidR="007E788A" w:rsidRPr="003E29FB">
        <w:rPr>
          <w:lang w:val="en-GB"/>
        </w:rPr>
        <w:instrText>ADDIN CSL_CITATION {"citationItems":[{"id":"ITEM-1","itemData":{"DOI":"10.2791/010758","ISBN":"9789279461989","abstract":"The BREF entitled ‘Refining of Mineral Oil and Gas’ forms part of a series presenting the results of an exchange of information between EU Member States, the industries concerned, non-governmental organisations promoting environmental protection, and the Commission, to draw up, review, and where necessary, update BAT reference documents as required by Article 13(1) of the Industrial Emissions Directive (2010/75/EU). This document is published by the European Commission pursuant to Article 13(6) of the Directive. This BREF for the refining of mineral oil and gas covers certain industrial activities specified in Section 1.2 of Annex I to Directive 2010/75/EU, namely the energy industries of the refining of mineral oil and gas sector. In particular, this document covers the following refineries processes and activities: - Alkylation - Base oil production - Bitumen production - Catalytic cracking - Catalytic reforming - Coking - Cooling - Desalting - Combustion of refinery fuels for energy production - Etherification - Gas separation - Hydrogen consuming processes - Hydrogen production - Isomerisation - Natural gas plants - Polymerisation - Primary distillation - Product treatments - Storage and handling of refinery materials - Visbreaking and other thermal conversions - Waste gas treatment - Waste water treatment - Waste management. Important issues for the implementation of Directive 2010/75/EU in the refining of mineral oil and gas sector are the emissions to air of volatile organic substances, nitrogen oxides, sulphur oxides, hydrofluoric acid, ammonia, carbon monoxide, dioxins and furans, and dust; emissions to water of oils, benzene, suspended solids, COD, nitrogen, metals (lead, cadmium, nickel, mercury); energy efficiency; and the prevention of emissions to soil and groundwater. The BREF document contains seven chapters. Chapters 1 and 2 provide general information on the refining of mineral oil and gas industry and on the industrial processes and techniques used within this sector. Chapter 3 provides data and information concerning the environmental performance of installations in terms of current emissions, consumption of raw materials, water and energy, and generation of waste. Chapter 4 describes the techniques to prevent or reduce emissions from installations in the sector. In Chapter 5 the BAT conclusions, as defined in Article 3(12) of the Directive, are presented for the refining of mineral oil and gas industry. Chapters 6 and 7 are dedicate…","author":[{"dropping-particle":"","family":"European Commission","given":"","non-dropping-particle":"","parse-names":false,"suffix":""}],"id":"ITEM-1","issued":{"date-parts":[["2015"]]},"number-of-pages":"754","title":"Best Available Techniques (BAT) Reference Document for the Refining of Mineral Oil and Gas","type":"book"},"uris":["http://www.mendeley.com/documents/?uuid=a4e75789-75dc-4938-8d2c-e89373932915"]}],"mendeley":{"formattedCitation":"(European Commission, 2015)","plainTextFormattedCitation":"(European Commission, 2015)","previouslyFormattedCitation":"(European Commission, 2015)"},"properties":{"noteIndex":0},"schema":"https://github.com/citation-style-language/schema/raw/master/csl-citation.json"}</w:instrText>
      </w:r>
      <w:r w:rsidR="004365ED" w:rsidRPr="003E29FB">
        <w:rPr>
          <w:lang w:val="en-GB"/>
        </w:rPr>
        <w:fldChar w:fldCharType="separate"/>
      </w:r>
      <w:r w:rsidR="004365ED" w:rsidRPr="003E29FB">
        <w:rPr>
          <w:noProof/>
          <w:lang w:val="en-GB"/>
        </w:rPr>
        <w:t>(European Commission, 2015)</w:t>
      </w:r>
      <w:r w:rsidR="004365ED" w:rsidRPr="003E29FB">
        <w:rPr>
          <w:lang w:val="en-GB"/>
        </w:rPr>
        <w:fldChar w:fldCharType="end"/>
      </w:r>
      <w:r w:rsidR="004365ED" w:rsidRPr="003E29FB">
        <w:rPr>
          <w:lang w:val="en-GB"/>
        </w:rPr>
        <w:t>.</w:t>
      </w:r>
    </w:p>
    <w:p w14:paraId="3AE364E3" w14:textId="5D9F3B68" w:rsidR="00AE3CA9" w:rsidRPr="003E29FB" w:rsidRDefault="00AE3CA9" w:rsidP="00AE3CA9">
      <w:pPr>
        <w:pStyle w:val="CETBodytext"/>
        <w:rPr>
          <w:lang w:val="en-GB"/>
        </w:rPr>
      </w:pPr>
      <w:r w:rsidRPr="003E29FB">
        <w:rPr>
          <w:lang w:val="en-GB"/>
        </w:rPr>
        <w:t xml:space="preserve">These tanks have different vapour losses with respect </w:t>
      </w:r>
      <w:r w:rsidR="00CF21DA" w:rsidRPr="003E29FB">
        <w:rPr>
          <w:lang w:val="en-GB"/>
        </w:rPr>
        <w:t>to FRTs</w:t>
      </w:r>
      <w:r w:rsidR="0006672D" w:rsidRPr="003E29FB">
        <w:rPr>
          <w:lang w:val="en-GB"/>
        </w:rPr>
        <w:t>,</w:t>
      </w:r>
      <w:r w:rsidR="00CF21DA" w:rsidRPr="003E29FB">
        <w:rPr>
          <w:lang w:val="en-GB"/>
        </w:rPr>
        <w:t xml:space="preserve"> and they are related to</w:t>
      </w:r>
      <w:r w:rsidRPr="003E29FB">
        <w:rPr>
          <w:lang w:val="en-GB"/>
        </w:rPr>
        <w:t>:</w:t>
      </w:r>
    </w:p>
    <w:p w14:paraId="40A22651" w14:textId="4A0B093F" w:rsidR="00AE3CA9" w:rsidRPr="003E29FB" w:rsidRDefault="00CF21DA" w:rsidP="00CF21DA">
      <w:pPr>
        <w:pStyle w:val="CETBodytext"/>
        <w:numPr>
          <w:ilvl w:val="0"/>
          <w:numId w:val="40"/>
        </w:numPr>
        <w:rPr>
          <w:lang w:val="en-GB"/>
        </w:rPr>
      </w:pPr>
      <w:r w:rsidRPr="003E29FB">
        <w:rPr>
          <w:lang w:val="en-GB"/>
        </w:rPr>
        <w:t xml:space="preserve">Standing Losses: </w:t>
      </w:r>
      <w:r w:rsidR="00AE3CA9" w:rsidRPr="003E29FB">
        <w:rPr>
          <w:lang w:val="en-GB"/>
        </w:rPr>
        <w:t>losses from the rim seals and roof equipment</w:t>
      </w:r>
      <w:r w:rsidR="002E4298" w:rsidRPr="003E29FB">
        <w:rPr>
          <w:lang w:val="en-GB"/>
        </w:rPr>
        <w:t>. T</w:t>
      </w:r>
      <w:r w:rsidR="00AE3CA9" w:rsidRPr="003E29FB">
        <w:rPr>
          <w:lang w:val="en-GB"/>
        </w:rPr>
        <w:t>hese are mainly influenced by the stock vapour pressure</w:t>
      </w:r>
      <w:r w:rsidRPr="003E29FB">
        <w:rPr>
          <w:lang w:val="en-GB"/>
        </w:rPr>
        <w:t>;</w:t>
      </w:r>
    </w:p>
    <w:p w14:paraId="27A4C0B4" w14:textId="1AE91837" w:rsidR="00AE3CA9" w:rsidRPr="003E29FB" w:rsidRDefault="00CF21DA" w:rsidP="00AE3CA9">
      <w:pPr>
        <w:pStyle w:val="CETBodytext"/>
        <w:numPr>
          <w:ilvl w:val="0"/>
          <w:numId w:val="40"/>
        </w:numPr>
        <w:rPr>
          <w:lang w:val="en-GB"/>
        </w:rPr>
      </w:pPr>
      <w:r w:rsidRPr="003E29FB">
        <w:rPr>
          <w:lang w:val="en-GB"/>
        </w:rPr>
        <w:t xml:space="preserve">Handling Losses: called also </w:t>
      </w:r>
      <w:r w:rsidR="002E4298" w:rsidRPr="003E29FB">
        <w:rPr>
          <w:lang w:val="en-GB"/>
        </w:rPr>
        <w:t>wall losses. D</w:t>
      </w:r>
      <w:r w:rsidR="00AE3CA9" w:rsidRPr="003E29FB">
        <w:rPr>
          <w:lang w:val="en-GB"/>
        </w:rPr>
        <w:t>uring the emptying phase of the tank, a liquid film is left ‘clinging’ to the walls, and its evaporation causes emissions into the atmosphere.</w:t>
      </w:r>
    </w:p>
    <w:p w14:paraId="78D191F6" w14:textId="5FB6D90E" w:rsidR="004365ED" w:rsidRPr="003E29FB" w:rsidRDefault="00863C6D" w:rsidP="00AE3CA9">
      <w:pPr>
        <w:pStyle w:val="CETBodytext"/>
        <w:rPr>
          <w:lang w:val="en-GB"/>
        </w:rPr>
      </w:pPr>
      <w:r>
        <w:rPr>
          <w:lang w:val="en-GB"/>
        </w:rPr>
        <w:t>In</w:t>
      </w:r>
      <w:r w:rsidR="002E4298" w:rsidRPr="003E29FB">
        <w:rPr>
          <w:lang w:val="en-GB"/>
        </w:rPr>
        <w:t xml:space="preserve"> </w:t>
      </w:r>
      <w:r w:rsidR="002E4298" w:rsidRPr="003E29FB">
        <w:rPr>
          <w:lang w:val="en-GB"/>
        </w:rPr>
        <w:fldChar w:fldCharType="begin"/>
      </w:r>
      <w:r w:rsidR="002E4298" w:rsidRPr="003E29FB">
        <w:rPr>
          <w:lang w:val="en-GB"/>
        </w:rPr>
        <w:instrText xml:space="preserve"> REF _Ref61619226 \h </w:instrText>
      </w:r>
      <w:r w:rsidR="002E4298" w:rsidRPr="003E29FB">
        <w:rPr>
          <w:lang w:val="en-GB"/>
        </w:rPr>
      </w:r>
      <w:r w:rsidR="002E4298" w:rsidRPr="003E29FB">
        <w:rPr>
          <w:lang w:val="en-GB"/>
        </w:rPr>
        <w:fldChar w:fldCharType="separate"/>
      </w:r>
      <w:r w:rsidR="002E4298" w:rsidRPr="003E29FB">
        <w:rPr>
          <w:lang w:val="en-GB"/>
        </w:rPr>
        <w:t xml:space="preserve">Figure </w:t>
      </w:r>
      <w:r w:rsidR="002E4298" w:rsidRPr="003E29FB">
        <w:rPr>
          <w:noProof/>
          <w:lang w:val="en-GB"/>
        </w:rPr>
        <w:t>2</w:t>
      </w:r>
      <w:r w:rsidR="002E4298" w:rsidRPr="003E29FB">
        <w:rPr>
          <w:lang w:val="en-GB"/>
        </w:rPr>
        <w:fldChar w:fldCharType="end"/>
      </w:r>
      <w:r>
        <w:rPr>
          <w:lang w:val="en-GB"/>
        </w:rPr>
        <w:t>b</w:t>
      </w:r>
      <w:r w:rsidR="002E4298" w:rsidRPr="003E29FB">
        <w:rPr>
          <w:lang w:val="en-GB"/>
        </w:rPr>
        <w:t xml:space="preserve"> </w:t>
      </w:r>
      <w:r w:rsidR="00AE3CA9" w:rsidRPr="003E29FB">
        <w:rPr>
          <w:lang w:val="en-GB"/>
        </w:rPr>
        <w:t>is reported a distribution of a real-case emission estimation from EFRTs of the</w:t>
      </w:r>
      <w:r w:rsidR="002E4298" w:rsidRPr="003E29FB">
        <w:rPr>
          <w:lang w:val="en-GB"/>
        </w:rPr>
        <w:t xml:space="preserve"> cited</w:t>
      </w:r>
      <w:r w:rsidR="00AE3CA9" w:rsidRPr="003E29FB">
        <w:rPr>
          <w:lang w:val="en-GB"/>
        </w:rPr>
        <w:t xml:space="preserve"> refinery. Differently from the case of FRT</w:t>
      </w:r>
      <w:r w:rsidR="0006672D" w:rsidRPr="003E29FB">
        <w:rPr>
          <w:lang w:val="en-GB"/>
        </w:rPr>
        <w:t>s</w:t>
      </w:r>
      <w:r w:rsidR="00AE3CA9" w:rsidRPr="003E29FB">
        <w:rPr>
          <w:lang w:val="en-GB"/>
        </w:rPr>
        <w:t xml:space="preserve">, </w:t>
      </w:r>
      <w:r w:rsidR="0006672D" w:rsidRPr="003E29FB">
        <w:rPr>
          <w:lang w:val="en-GB"/>
        </w:rPr>
        <w:t>for</w:t>
      </w:r>
      <w:r w:rsidR="00AE3CA9" w:rsidRPr="003E29FB">
        <w:rPr>
          <w:lang w:val="en-GB"/>
        </w:rPr>
        <w:t xml:space="preserve"> EFRT</w:t>
      </w:r>
      <w:r w:rsidR="0006672D" w:rsidRPr="003E29FB">
        <w:rPr>
          <w:lang w:val="en-GB"/>
        </w:rPr>
        <w:t>s</w:t>
      </w:r>
      <w:r w:rsidR="00AE3CA9" w:rsidRPr="003E29FB">
        <w:rPr>
          <w:lang w:val="en-GB"/>
        </w:rPr>
        <w:t xml:space="preserve"> the main contributions to the emission app</w:t>
      </w:r>
      <w:r w:rsidR="0006672D" w:rsidRPr="003E29FB">
        <w:rPr>
          <w:lang w:val="en-GB"/>
        </w:rPr>
        <w:t xml:space="preserve">ears to be the Standing Losses (i.e. </w:t>
      </w:r>
      <w:r w:rsidR="00AE3CA9" w:rsidRPr="003E29FB">
        <w:rPr>
          <w:lang w:val="en-GB"/>
        </w:rPr>
        <w:t>the evaporation through fittings and rim seal</w:t>
      </w:r>
      <w:r w:rsidR="0006672D" w:rsidRPr="003E29FB">
        <w:rPr>
          <w:lang w:val="en-GB"/>
        </w:rPr>
        <w:t>)</w:t>
      </w:r>
      <w:r w:rsidR="00AE3CA9" w:rsidRPr="003E29FB">
        <w:rPr>
          <w:lang w:val="en-GB"/>
        </w:rPr>
        <w:t xml:space="preserve">. This is due to the high vapour pressure of the mixtures usually stocked in EFRTs. </w:t>
      </w:r>
    </w:p>
    <w:p w14:paraId="2F8A99C1" w14:textId="1AD98447" w:rsidR="00AE3CA9" w:rsidRPr="003E29FB" w:rsidRDefault="00AE3CA9" w:rsidP="00AE3CA9">
      <w:pPr>
        <w:pStyle w:val="CETBodytext"/>
        <w:rPr>
          <w:lang w:val="en-GB"/>
        </w:rPr>
      </w:pPr>
      <w:r w:rsidRPr="003E29FB">
        <w:rPr>
          <w:lang w:val="en-GB"/>
        </w:rPr>
        <w:t xml:space="preserve">Despite the advantage of a sensible reduction of the VOC emission, in the case of EFRT none stream of conveyed emission is present: the emission is completely diffuse. This fact makes impossible the olfactometric sampling of an air portion representative of the emission: the European Standard EN13725:2003, is valid only for the measurement of the emission concentration, and not for the ambient odour concentration </w:t>
      </w:r>
      <w:r w:rsidRPr="003E29FB">
        <w:rPr>
          <w:lang w:val="en-GB"/>
        </w:rPr>
        <w:fldChar w:fldCharType="begin" w:fldLock="1"/>
      </w:r>
      <w:r w:rsidRPr="003E29FB">
        <w:rPr>
          <w:lang w:val="en-GB"/>
        </w:rPr>
        <w:instrText>ADDIN CSL_CITATION {"citationItems":[{"id":"ITEM-1","itemData":{"DOI":"https://dx.doi.org/10.31030/3036135","author":[{"dropping-particle":"","family":"CEN","given":"","non-dropping-particle":"","parse-names":false,"suffix":""}],"id":"ITEM-1","issued":{"date-parts":[["2003"]]},"title":"EN 13725:2003 - Air quality - Determination of odour concentration by dynamic olfactometry","type":"article"},"uris":["http://www.mendeley.com/documents/?uuid=1b2a61e7-9136-4afc-a4d2-f06c8ab8b959"]}],"mendeley":{"formattedCitation":"(CEN, 2003)","plainTextFormattedCitation":"(CEN, 2003)","previouslyFormattedCitation":"(CEN, 2003)"},"properties":{"noteIndex":0},"schema":"https://github.com/citation-style-language/schema/raw/master/csl-citation.json"}</w:instrText>
      </w:r>
      <w:r w:rsidRPr="003E29FB">
        <w:rPr>
          <w:lang w:val="en-GB"/>
        </w:rPr>
        <w:fldChar w:fldCharType="separate"/>
      </w:r>
      <w:r w:rsidRPr="003E29FB">
        <w:rPr>
          <w:noProof/>
          <w:lang w:val="en-GB"/>
        </w:rPr>
        <w:t>(CEN, 2003)</w:t>
      </w:r>
      <w:r w:rsidRPr="003E29FB">
        <w:rPr>
          <w:lang w:val="en-GB"/>
        </w:rPr>
        <w:fldChar w:fldCharType="end"/>
      </w:r>
      <w:r w:rsidRPr="003E29FB">
        <w:rPr>
          <w:lang w:val="en-GB"/>
        </w:rPr>
        <w:t xml:space="preserve">. </w:t>
      </w:r>
      <w:r w:rsidR="002E4298" w:rsidRPr="003E29FB">
        <w:rPr>
          <w:lang w:val="en-GB"/>
        </w:rPr>
        <w:t xml:space="preserve">A solution is found in the assessment of the experimental parameter HCOEC </w:t>
      </w:r>
      <w:r w:rsidR="002E4298" w:rsidRPr="003E29FB">
        <w:rPr>
          <w:lang w:val="en-GB"/>
        </w:rPr>
        <w:fldChar w:fldCharType="begin" w:fldLock="1"/>
      </w:r>
      <w:r w:rsidR="004365ED" w:rsidRPr="003E29FB">
        <w:rPr>
          <w:lang w:val="en-GB"/>
        </w:rPr>
        <w:instrText>ADDIN CSL_CITATION {"citationItems":[{"id":"ITEM-1","itemData":{"DOI":"10.3303/CET1868009","ISBN":"9788895608655","abstract":"Oil refineries are one of the greatest type of industrial plant which can lead to emission of VOC and sulphur compounds. Such emissions often originate a problem of odour pollution in the human settlements located around the refinery. In many cases, odour nuisances lead the local authorities to intervene, sometimes by closing the whole plant. Odour emissions in refineries typically arise from the operating process: The aim of this work is to propose a method for the evaluation of the Odour Emission Rates from the different sources of a refinery. More in detail, the proposed method aims to quantify the Odour Emission Rate from the fugitive emissions relevant to storage tanks, whose evaluation is very complex due to the difficulty of determining both a representative odour concentration and an emitted air flow representative of this kind of sources. This method first quantifies the mass emission from the tanks, by means of the software US EPA TANKS 4.09, and after the so called \"Hydrocarbon Odour Emission Capacity\", associated with different hydrocarbons mixtures. By coupling this information, it is finally possible to give an estimate of the Odour Emission Rate deriving from a storage tank and use it in an atmospheric dispersion model. © 2018, AIDIC Servizi S.r.l.","author":[{"dropping-particle":"","family":"Invernizzi","given":"M","non-dropping-particle":"","parse-names":false,"suffix":""},{"dropping-particle":"","family":"Ilare","given":"J","non-dropping-particle":"","parse-names":false,"suffix":""},{"dropping-particle":"","family":"Capelli","given":"L","non-dropping-particle":"","parse-names":false,"suffix":""},{"dropping-particle":"","family":"Sironi","given":"S","non-dropping-particle":"","parse-names":false,"suffix":""}],"container-title":"Chemical Engineering Transactions","id":"ITEM-1","issued":{"date-parts":[["2018"]]},"page":"49-54","title":"Proposal of a method for evaluating odour emissions from refinery storage tanks","type":"article-journal","volume":"68"},"uris":["http://www.mendeley.com/documents/?uuid=f041f5ba-640b-41ed-9072-0a731384ee79"]}],"mendeley":{"formattedCitation":"(Invernizzi et al., 2018)","plainTextFormattedCitation":"(Invernizzi et al., 2018)","previouslyFormattedCitation":"(Invernizzi et al., 2018)"},"properties":{"noteIndex":0},"schema":"https://github.com/citation-style-language/schema/raw/master/csl-citation.json"}</w:instrText>
      </w:r>
      <w:r w:rsidR="002E4298" w:rsidRPr="003E29FB">
        <w:rPr>
          <w:lang w:val="en-GB"/>
        </w:rPr>
        <w:fldChar w:fldCharType="separate"/>
      </w:r>
      <w:r w:rsidR="002E4298" w:rsidRPr="003E29FB">
        <w:rPr>
          <w:noProof/>
          <w:lang w:val="en-GB"/>
        </w:rPr>
        <w:t>(Invernizzi et al., 2018)</w:t>
      </w:r>
      <w:r w:rsidR="002E4298" w:rsidRPr="003E29FB">
        <w:rPr>
          <w:lang w:val="en-GB"/>
        </w:rPr>
        <w:fldChar w:fldCharType="end"/>
      </w:r>
      <w:r w:rsidR="002E4298" w:rsidRPr="003E29FB">
        <w:rPr>
          <w:lang w:val="en-GB"/>
        </w:rPr>
        <w:t xml:space="preserve">. </w:t>
      </w:r>
      <w:r w:rsidRPr="003E29FB">
        <w:rPr>
          <w:lang w:val="en-GB"/>
        </w:rPr>
        <w:t>This parameter represents the quantity of odour (ou</w:t>
      </w:r>
      <w:r w:rsidRPr="003E29FB">
        <w:rPr>
          <w:vertAlign w:val="subscript"/>
          <w:lang w:val="en-GB"/>
        </w:rPr>
        <w:t>E</w:t>
      </w:r>
      <w:r w:rsidRPr="003E29FB">
        <w:rPr>
          <w:lang w:val="en-GB"/>
        </w:rPr>
        <w:t xml:space="preserve">) that can be associated to the evaporation of a certain quantity of hydrocarbon mixture (kg). </w:t>
      </w:r>
    </w:p>
    <w:p w14:paraId="733946B8" w14:textId="7B0193BF" w:rsidR="00AE3CA9" w:rsidRPr="003E29FB" w:rsidRDefault="00AE3CA9" w:rsidP="00AE3CA9">
      <w:pPr>
        <w:pStyle w:val="CETBodytext"/>
        <w:rPr>
          <w:lang w:val="en-GB"/>
        </w:rPr>
      </w:pPr>
      <w:r w:rsidRPr="003E29FB">
        <w:rPr>
          <w:lang w:val="en-GB"/>
        </w:rPr>
        <w:t xml:space="preserve">By coupling this experimental parameter and the emission estimation due to thermodynamic simulations </w:t>
      </w:r>
      <w:r w:rsidRPr="003E29FB">
        <w:rPr>
          <w:lang w:val="en-GB"/>
        </w:rPr>
        <w:fldChar w:fldCharType="begin" w:fldLock="1"/>
      </w:r>
      <w:r w:rsidRPr="003E29FB">
        <w:rPr>
          <w:lang w:val="en-GB"/>
        </w:rPr>
        <w:instrText>ADDIN CSL_CITATION {"citationItems":[{"id":"ITEM-1","itemData":{"author":[{"dropping-particle":"","family":"U.S. EPA","given":"","non-dropping-particle":"","parse-names":false,"suffix":""}],"id":"ITEM-1","issued":{"date-parts":[["2006"]]},"number-of-pages":"Section 7.1","title":"Emission Factor Documentation for AP-42 Organic Liquid Storage Tanks Final Report","type":"report"},"uris":["http://www.mendeley.com/documents/?uuid=f7e7486c-52ec-4cf1-9e89-fca274903e80"]}],"mendeley":{"formattedCitation":"(U.S. EPA, 2006)","plainTextFormattedCitation":"(U.S. EPA, 2006)","previouslyFormattedCitation":"(U.S. EPA, 2006)"},"properties":{"noteIndex":0},"schema":"https://github.com/citation-style-language/schema/raw/master/csl-citation.json"}</w:instrText>
      </w:r>
      <w:r w:rsidRPr="003E29FB">
        <w:rPr>
          <w:lang w:val="en-GB"/>
        </w:rPr>
        <w:fldChar w:fldCharType="separate"/>
      </w:r>
      <w:r w:rsidRPr="003E29FB">
        <w:rPr>
          <w:noProof/>
          <w:lang w:val="en-GB"/>
        </w:rPr>
        <w:t>(U.S. EPA, 2006)</w:t>
      </w:r>
      <w:r w:rsidRPr="003E29FB">
        <w:rPr>
          <w:lang w:val="en-GB"/>
        </w:rPr>
        <w:fldChar w:fldCharType="end"/>
      </w:r>
      <w:r w:rsidRPr="003E29FB">
        <w:rPr>
          <w:lang w:val="en-GB"/>
        </w:rPr>
        <w:t xml:space="preserve">, it is then possible to estimate the OER from EFRT: </w:t>
      </w:r>
    </w:p>
    <w:tbl>
      <w:tblPr>
        <w:tblW w:w="5000" w:type="pct"/>
        <w:tblLook w:val="04A0" w:firstRow="1" w:lastRow="0" w:firstColumn="1" w:lastColumn="0" w:noHBand="0" w:noVBand="1"/>
      </w:tblPr>
      <w:tblGrid>
        <w:gridCol w:w="8188"/>
        <w:gridCol w:w="815"/>
      </w:tblGrid>
      <w:tr w:rsidR="00634FFC" w:rsidRPr="003E29FB" w14:paraId="1CED38F1" w14:textId="77777777" w:rsidTr="001F0BB4">
        <w:tc>
          <w:tcPr>
            <w:tcW w:w="8188" w:type="dxa"/>
            <w:shd w:val="clear" w:color="auto" w:fill="auto"/>
            <w:vAlign w:val="center"/>
          </w:tcPr>
          <w:p w14:paraId="34F22630" w14:textId="05A23540" w:rsidR="00634FFC" w:rsidRPr="003E29FB" w:rsidRDefault="00CC64B4" w:rsidP="001F0BB4">
            <w:pPr>
              <w:pStyle w:val="CETEquation"/>
            </w:pPr>
            <m:oMathPara>
              <m:oMathParaPr>
                <m:jc m:val="left"/>
              </m:oMathParaPr>
              <m:oMath>
                <m:sSub>
                  <m:sSubPr>
                    <m:ctrlPr>
                      <w:rPr>
                        <w:rFonts w:ascii="Cambria Math" w:hAnsi="Cambria Math"/>
                        <w:i/>
                      </w:rPr>
                    </m:ctrlPr>
                  </m:sSubPr>
                  <m:e>
                    <m:r>
                      <w:rPr>
                        <w:rFonts w:ascii="Cambria Math" w:hAnsi="Cambria Math"/>
                      </w:rPr>
                      <m:t>OER</m:t>
                    </m:r>
                  </m:e>
                  <m:sub>
                    <m:r>
                      <w:rPr>
                        <w:rFonts w:ascii="Cambria Math" w:hAnsi="Cambria Math"/>
                      </w:rPr>
                      <m:t>EFRT</m:t>
                    </m:r>
                  </m:sub>
                </m:sSub>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ou</m:t>
                            </m:r>
                          </m:e>
                          <m:sub>
                            <m:r>
                              <w:rPr>
                                <w:rFonts w:ascii="Cambria Math" w:hAnsi="Cambria Math"/>
                              </w:rPr>
                              <m:t>E</m:t>
                            </m:r>
                          </m:sub>
                        </m:sSub>
                      </m:num>
                      <m:den>
                        <m:r>
                          <w:rPr>
                            <w:rFonts w:ascii="Cambria Math" w:hAnsi="Cambria Math"/>
                          </w:rPr>
                          <m:t>s</m:t>
                        </m:r>
                      </m:den>
                    </m:f>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tot</m:t>
                    </m:r>
                  </m:sub>
                </m:sSub>
                <m:d>
                  <m:dPr>
                    <m:begChr m:val="["/>
                    <m:endChr m:val="]"/>
                    <m:ctrlPr>
                      <w:rPr>
                        <w:rFonts w:ascii="Cambria Math" w:hAnsi="Cambria Math"/>
                        <w:i/>
                      </w:rPr>
                    </m:ctrlPr>
                  </m:dPr>
                  <m:e>
                    <m:f>
                      <m:fPr>
                        <m:ctrlPr>
                          <w:rPr>
                            <w:rFonts w:ascii="Cambria Math" w:hAnsi="Cambria Math"/>
                            <w:i/>
                          </w:rPr>
                        </m:ctrlPr>
                      </m:fPr>
                      <m:num>
                        <m:r>
                          <w:rPr>
                            <w:rFonts w:ascii="Cambria Math" w:hAnsi="Cambria Math"/>
                          </w:rPr>
                          <m:t>kg</m:t>
                        </m:r>
                      </m:num>
                      <m:den>
                        <m:r>
                          <w:rPr>
                            <w:rFonts w:ascii="Cambria Math" w:hAnsi="Cambria Math"/>
                          </w:rPr>
                          <m:t>s</m:t>
                        </m:r>
                      </m:den>
                    </m:f>
                  </m:e>
                </m:d>
                <m:r>
                  <w:rPr>
                    <w:rFonts w:ascii="Cambria Math" w:hAnsi="Cambria Math"/>
                  </w:rPr>
                  <m:t>∙HCOEC</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ou</m:t>
                            </m:r>
                          </m:e>
                          <m:sub>
                            <m:r>
                              <w:rPr>
                                <w:rFonts w:ascii="Cambria Math" w:hAnsi="Cambria Math"/>
                              </w:rPr>
                              <m:t>E</m:t>
                            </m:r>
                          </m:sub>
                        </m:sSub>
                      </m:num>
                      <m:den>
                        <m:r>
                          <w:rPr>
                            <w:rFonts w:ascii="Cambria Math" w:hAnsi="Cambria Math"/>
                          </w:rPr>
                          <m:t>kg</m:t>
                        </m:r>
                      </m:den>
                    </m:f>
                  </m:e>
                </m:d>
              </m:oMath>
            </m:oMathPara>
          </w:p>
        </w:tc>
        <w:tc>
          <w:tcPr>
            <w:tcW w:w="815" w:type="dxa"/>
            <w:shd w:val="clear" w:color="auto" w:fill="auto"/>
            <w:vAlign w:val="center"/>
          </w:tcPr>
          <w:p w14:paraId="48AFD78E" w14:textId="49A5B929" w:rsidR="00634FFC" w:rsidRPr="003E29FB" w:rsidRDefault="00634FFC" w:rsidP="001F0BB4">
            <w:pPr>
              <w:pStyle w:val="CETEquation"/>
              <w:jc w:val="right"/>
            </w:pPr>
            <w:r w:rsidRPr="003E29FB">
              <w:t>(3)</w:t>
            </w:r>
          </w:p>
        </w:tc>
      </w:tr>
    </w:tbl>
    <w:p w14:paraId="009F7639" w14:textId="008AE140" w:rsidR="00AE3CA9" w:rsidRPr="003E29FB" w:rsidRDefault="00AE3CA9" w:rsidP="00AE3CA9">
      <w:pPr>
        <w:pStyle w:val="CETBodytext"/>
        <w:rPr>
          <w:lang w:val="en-GB"/>
        </w:rPr>
      </w:pPr>
      <w:r w:rsidRPr="003E29FB">
        <w:rPr>
          <w:lang w:val="en-GB"/>
        </w:rPr>
        <w:lastRenderedPageBreak/>
        <w:t xml:space="preserve">Where </w:t>
      </w:r>
      <w:r w:rsidRPr="003E29FB">
        <w:rPr>
          <w:i/>
          <w:iCs/>
          <w:lang w:val="en-GB"/>
        </w:rPr>
        <w:t>L</w:t>
      </w:r>
      <w:r w:rsidRPr="003E29FB">
        <w:rPr>
          <w:i/>
          <w:iCs/>
          <w:vertAlign w:val="subscript"/>
          <w:lang w:val="en-GB"/>
        </w:rPr>
        <w:t>tot</w:t>
      </w:r>
      <w:r w:rsidRPr="003E29FB">
        <w:rPr>
          <w:lang w:val="en-GB"/>
        </w:rPr>
        <w:t xml:space="preserve"> </w:t>
      </w:r>
      <w:r w:rsidR="00634FFC" w:rsidRPr="003E29FB">
        <w:rPr>
          <w:lang w:val="en-GB"/>
        </w:rPr>
        <w:t xml:space="preserve">is </w:t>
      </w:r>
      <w:r w:rsidRPr="003E29FB">
        <w:rPr>
          <w:lang w:val="en-GB"/>
        </w:rPr>
        <w:t xml:space="preserve">the </w:t>
      </w:r>
      <w:r w:rsidR="00634FFC" w:rsidRPr="003E29FB">
        <w:rPr>
          <w:lang w:val="en-GB"/>
        </w:rPr>
        <w:t xml:space="preserve">estimated </w:t>
      </w:r>
      <w:r w:rsidRPr="003E29FB">
        <w:rPr>
          <w:lang w:val="en-GB"/>
        </w:rPr>
        <w:t xml:space="preserve">total hydrocarbon mass losses from the tank and </w:t>
      </w:r>
      <w:r w:rsidRPr="003E29FB">
        <w:rPr>
          <w:i/>
          <w:iCs/>
          <w:lang w:val="en-GB"/>
        </w:rPr>
        <w:t>HCOEC</w:t>
      </w:r>
      <w:r w:rsidRPr="003E29FB">
        <w:rPr>
          <w:lang w:val="en-GB"/>
        </w:rPr>
        <w:t xml:space="preserve"> is the Hydrocarbon Odour Emission Capacity stored in the considered tank.</w:t>
      </w:r>
    </w:p>
    <w:p w14:paraId="008711EC" w14:textId="77777777" w:rsidR="00AE3CA9" w:rsidRPr="003E29FB" w:rsidRDefault="00AE3CA9" w:rsidP="007E788A">
      <w:pPr>
        <w:pStyle w:val="CETheadingx"/>
        <w:rPr>
          <w:lang w:val="en-GB"/>
        </w:rPr>
      </w:pPr>
      <w:bookmarkStart w:id="13" w:name="_Toc61363132"/>
      <w:r w:rsidRPr="003E29FB">
        <w:rPr>
          <w:lang w:val="en-GB"/>
        </w:rPr>
        <w:t>EFRT: U.S. EPA TANKS emission estimation</w:t>
      </w:r>
      <w:bookmarkEnd w:id="13"/>
      <w:r w:rsidRPr="003E29FB">
        <w:rPr>
          <w:lang w:val="en-GB"/>
        </w:rPr>
        <w:t xml:space="preserve"> </w:t>
      </w:r>
    </w:p>
    <w:p w14:paraId="3D4EA18B" w14:textId="30E04BE3" w:rsidR="00AE3CA9" w:rsidRPr="003E29FB" w:rsidRDefault="00A577A4" w:rsidP="00AE3CA9">
      <w:pPr>
        <w:pStyle w:val="CETBodytext"/>
        <w:rPr>
          <w:lang w:val="en-GB"/>
        </w:rPr>
      </w:pPr>
      <w:r w:rsidRPr="003E29FB">
        <w:rPr>
          <w:lang w:val="en-GB"/>
        </w:rPr>
        <w:t xml:space="preserve">As mentioned, </w:t>
      </w:r>
      <w:r w:rsidR="008456A9">
        <w:rPr>
          <w:lang w:val="en-GB"/>
        </w:rPr>
        <w:t>Standing L</w:t>
      </w:r>
      <w:r w:rsidR="00C101D8" w:rsidRPr="003E29FB">
        <w:rPr>
          <w:lang w:val="en-GB"/>
        </w:rPr>
        <w:t>osses from EFRTs (</w:t>
      </w:r>
      <w:r w:rsidR="00AE3CA9" w:rsidRPr="003E29FB">
        <w:rPr>
          <w:lang w:val="en-GB"/>
        </w:rPr>
        <w:t>rim seal and deck fitting losses</w:t>
      </w:r>
      <w:r w:rsidR="00C101D8" w:rsidRPr="003E29FB">
        <w:rPr>
          <w:lang w:val="en-GB"/>
        </w:rPr>
        <w:t>)</w:t>
      </w:r>
      <w:r w:rsidR="00AE3CA9" w:rsidRPr="003E29FB">
        <w:rPr>
          <w:lang w:val="en-GB"/>
        </w:rPr>
        <w:t xml:space="preserve"> are independent</w:t>
      </w:r>
      <w:r w:rsidRPr="003E29FB">
        <w:rPr>
          <w:lang w:val="en-GB"/>
        </w:rPr>
        <w:t xml:space="preserve"> from tank logistics but are due to the vapour pressure of the stored liquid. </w:t>
      </w:r>
      <w:r w:rsidR="00AE3CA9" w:rsidRPr="003E29FB">
        <w:rPr>
          <w:lang w:val="en-GB"/>
        </w:rPr>
        <w:t xml:space="preserve">As it is easy to imagine, the vapour pressure is temperature-dependent, and it is theoretically calculated at the liquid surface temperature. </w:t>
      </w:r>
    </w:p>
    <w:p w14:paraId="55BE9A6E" w14:textId="4921752A" w:rsidR="00AE3CA9" w:rsidRPr="003E29FB" w:rsidRDefault="00AE3CA9" w:rsidP="00AE3CA9">
      <w:pPr>
        <w:pStyle w:val="CETBodytext"/>
        <w:rPr>
          <w:lang w:val="en-GB"/>
        </w:rPr>
      </w:pPr>
      <w:r w:rsidRPr="003E29FB">
        <w:rPr>
          <w:lang w:val="en-GB"/>
        </w:rPr>
        <w:t xml:space="preserve">For this calculations U.S. EPA provide different libraries: historically, the vapour pressure data were provided only </w:t>
      </w:r>
      <w:r w:rsidR="008456A9">
        <w:rPr>
          <w:lang w:val="en-GB"/>
        </w:rPr>
        <w:t xml:space="preserve">for </w:t>
      </w:r>
      <w:r w:rsidRPr="003E29FB">
        <w:rPr>
          <w:lang w:val="en-GB"/>
        </w:rPr>
        <w:t xml:space="preserve">discretized points </w:t>
      </w:r>
      <w:r w:rsidRPr="003E29FB">
        <w:rPr>
          <w:lang w:val="en-GB"/>
        </w:rPr>
        <w:fldChar w:fldCharType="begin" w:fldLock="1"/>
      </w:r>
      <w:r w:rsidRPr="003E29FB">
        <w:rPr>
          <w:lang w:val="en-GB"/>
        </w:rPr>
        <w:instrText>ADDIN CSL_CITATION {"citationItems":[{"id":"ITEM-1","itemData":{"author":[{"dropping-particle":"","family":"U.S. EPA","given":"","non-dropping-particle":"","parse-names":false,"suffix":""}],"id":"ITEM-1","issued":{"date-parts":[["1997"]]},"number-of-pages":"103","title":"Emission Factor Documentation for AP-42 Organic Liquid Storage Tanks Final Report","type":"report"},"uris":["http://www.mendeley.com/documents/?uuid=1ba55b62-d2d2-40dc-986c-4c44c88803fb"]},{"id":"ITEM-2","itemData":{"author":[{"dropping-particle":"","family":"U.S. EPA","given":"","non-dropping-particle":"","parse-names":false,"suffix":""}],"id":"ITEM-2","issued":{"date-parts":[["2006"]]},"number-of-pages":"Section 7.1","title":"Emission Factor Documentation for AP-42 Organic Liquid Storage Tanks Final Report","type":"report"},"uris":["http://www.mendeley.com/documents/?uuid=f7e7486c-52ec-4cf1-9e89-fca274903e80"]}],"mendeley":{"formattedCitation":"(U.S. EPA, 2006, 1997)","plainTextFormattedCitation":"(U.S. EPA, 2006, 1997)","previouslyFormattedCitation":"(U.S. EPA, 2006, 1997)"},"properties":{"noteIndex":0},"schema":"https://github.com/citation-style-language/schema/raw/master/csl-citation.json"}</w:instrText>
      </w:r>
      <w:r w:rsidRPr="003E29FB">
        <w:rPr>
          <w:lang w:val="en-GB"/>
        </w:rPr>
        <w:fldChar w:fldCharType="separate"/>
      </w:r>
      <w:r w:rsidRPr="003E29FB">
        <w:rPr>
          <w:noProof/>
          <w:lang w:val="en-GB"/>
        </w:rPr>
        <w:t>(U.S. EPA, 2006, 1997)</w:t>
      </w:r>
      <w:r w:rsidRPr="003E29FB">
        <w:rPr>
          <w:lang w:val="en-GB"/>
        </w:rPr>
        <w:fldChar w:fldCharType="end"/>
      </w:r>
      <w:r w:rsidRPr="003E29FB">
        <w:rPr>
          <w:lang w:val="en-GB"/>
        </w:rPr>
        <w:t xml:space="preserve">. The modelling software </w:t>
      </w:r>
      <w:r w:rsidR="006A3DB7" w:rsidRPr="003E29FB">
        <w:rPr>
          <w:lang w:val="en-GB"/>
        </w:rPr>
        <w:t>TANKS 4.09D</w:t>
      </w:r>
      <w:r w:rsidRPr="003E29FB">
        <w:rPr>
          <w:lang w:val="en-GB"/>
        </w:rPr>
        <w:t xml:space="preserve"> used to interpolate these data to estimate </w:t>
      </w:r>
      <w:r w:rsidRPr="003E29FB">
        <w:rPr>
          <w:i/>
          <w:lang w:val="en-GB"/>
        </w:rPr>
        <w:t>P</w:t>
      </w:r>
      <w:r w:rsidRPr="003E29FB">
        <w:rPr>
          <w:i/>
          <w:vertAlign w:val="subscript"/>
          <w:lang w:val="en-GB"/>
        </w:rPr>
        <w:t>VA</w:t>
      </w:r>
      <w:r w:rsidRPr="003E29FB">
        <w:rPr>
          <w:lang w:val="en-GB"/>
        </w:rPr>
        <w:t xml:space="preserve">. The huge problem was that </w:t>
      </w:r>
      <w:r w:rsidR="0006672D" w:rsidRPr="003E29FB">
        <w:rPr>
          <w:lang w:val="en-GB"/>
        </w:rPr>
        <w:t xml:space="preserve">if </w:t>
      </w:r>
      <w:r w:rsidRPr="003E29FB">
        <w:rPr>
          <w:lang w:val="en-GB"/>
        </w:rPr>
        <w:t xml:space="preserve">the temperature was </w:t>
      </w:r>
      <w:r w:rsidR="0006672D" w:rsidRPr="003E29FB">
        <w:rPr>
          <w:lang w:val="en-GB"/>
        </w:rPr>
        <w:t>higher than 100 °F (</w:t>
      </w:r>
      <w:r w:rsidR="0006672D" w:rsidRPr="003E29FB">
        <w:rPr>
          <w:rFonts w:cs="Arial"/>
          <w:lang w:val="en-GB"/>
        </w:rPr>
        <w:t>~</w:t>
      </w:r>
      <w:r w:rsidR="0006672D" w:rsidRPr="003E29FB">
        <w:rPr>
          <w:lang w:val="en-GB"/>
        </w:rPr>
        <w:t>38</w:t>
      </w:r>
      <w:r w:rsidRPr="003E29FB">
        <w:rPr>
          <w:lang w:val="en-GB"/>
        </w:rPr>
        <w:t xml:space="preserve"> °C), the vapour pressure used for the calculations was the maximum available, and so the one at 100 °F. </w:t>
      </w:r>
    </w:p>
    <w:p w14:paraId="0C37507F" w14:textId="77777777" w:rsidR="00AE3CA9" w:rsidRPr="003E29FB" w:rsidRDefault="00AE3CA9" w:rsidP="00AE3CA9">
      <w:pPr>
        <w:pStyle w:val="CETBodytext"/>
        <w:rPr>
          <w:lang w:val="en-GB"/>
        </w:rPr>
      </w:pPr>
      <w:r w:rsidRPr="003E29FB">
        <w:rPr>
          <w:lang w:val="en-GB"/>
        </w:rPr>
        <w:t xml:space="preserve">Despite this, in the case of real heated tanks, the storage temperature can reach also 100 °C (212 °F): in these situations, the mass flux estimation, obtained by the cited thermodynamic model, would lead to a strong underestimation. </w:t>
      </w:r>
    </w:p>
    <w:p w14:paraId="48194126" w14:textId="7A0ACF84" w:rsidR="00AE3CA9" w:rsidRPr="003E29FB" w:rsidRDefault="00A577A4" w:rsidP="00AE3CA9">
      <w:pPr>
        <w:pStyle w:val="CETBodytext"/>
        <w:rPr>
          <w:lang w:val="en-GB"/>
        </w:rPr>
      </w:pPr>
      <w:r w:rsidRPr="003E29FB">
        <w:rPr>
          <w:lang w:val="en-GB"/>
        </w:rPr>
        <w:t>To fix this</w:t>
      </w:r>
      <w:r w:rsidR="00AE3CA9" w:rsidRPr="003E29FB">
        <w:rPr>
          <w:lang w:val="en-GB"/>
        </w:rPr>
        <w:t xml:space="preserve"> shortcoming, a new version of AP-42 protocol was</w:t>
      </w:r>
      <w:r w:rsidR="0006672D" w:rsidRPr="003E29FB">
        <w:rPr>
          <w:lang w:val="en-GB"/>
        </w:rPr>
        <w:t xml:space="preserve"> recently</w:t>
      </w:r>
      <w:r w:rsidR="00AE3CA9" w:rsidRPr="003E29FB">
        <w:rPr>
          <w:lang w:val="en-GB"/>
        </w:rPr>
        <w:t xml:space="preserve"> released </w:t>
      </w:r>
      <w:r w:rsidR="00AE3CA9" w:rsidRPr="003E29FB">
        <w:rPr>
          <w:lang w:val="en-GB"/>
        </w:rPr>
        <w:fldChar w:fldCharType="begin" w:fldLock="1"/>
      </w:r>
      <w:r w:rsidR="00AE3CA9" w:rsidRPr="003E29FB">
        <w:rPr>
          <w:lang w:val="en-GB"/>
        </w:rPr>
        <w:instrText>ADDIN CSL_CITATION {"citationItems":[{"id":"ITEM-1","itemData":{"author":[{"dropping-particle":"","family":"U.S. EPA","given":"","non-dropping-particle":"","parse-names":false,"suffix":""}],"id":"ITEM-1","issued":{"date-parts":[["2020"]]},"number-of-pages":"203","title":"Emission Factor Documentation for AP-42 Organic Liquid Storage Tanks Final Report","type":"report"},"uris":["http://www.mendeley.com/documents/?uuid=75f72d48-6ce8-4915-94ac-0681a4cb851c"]}],"mendeley":{"formattedCitation":"(U.S. EPA, 2020)","plainTextFormattedCitation":"(U.S. EPA, 2020)","previouslyFormattedCitation":"(U.S. EPA, 2020)"},"properties":{"noteIndex":0},"schema":"https://github.com/citation-style-language/schema/raw/master/csl-citation.json"}</w:instrText>
      </w:r>
      <w:r w:rsidR="00AE3CA9" w:rsidRPr="003E29FB">
        <w:rPr>
          <w:lang w:val="en-GB"/>
        </w:rPr>
        <w:fldChar w:fldCharType="separate"/>
      </w:r>
      <w:r w:rsidR="00AE3CA9" w:rsidRPr="003E29FB">
        <w:rPr>
          <w:noProof/>
          <w:lang w:val="en-GB"/>
        </w:rPr>
        <w:t>(U.S. EPA, 2020)</w:t>
      </w:r>
      <w:r w:rsidR="00AE3CA9" w:rsidRPr="003E29FB">
        <w:rPr>
          <w:lang w:val="en-GB"/>
        </w:rPr>
        <w:fldChar w:fldCharType="end"/>
      </w:r>
      <w:r w:rsidRPr="003E29FB">
        <w:rPr>
          <w:lang w:val="en-GB"/>
        </w:rPr>
        <w:t xml:space="preserve">: </w:t>
      </w:r>
      <w:r w:rsidR="00AE3CA9" w:rsidRPr="003E29FB">
        <w:rPr>
          <w:lang w:val="en-GB"/>
        </w:rPr>
        <w:t>t</w:t>
      </w:r>
      <w:r w:rsidRPr="003E29FB">
        <w:rPr>
          <w:lang w:val="en-GB"/>
        </w:rPr>
        <w:t>he</w:t>
      </w:r>
      <w:r w:rsidR="00AE3CA9" w:rsidRPr="003E29FB">
        <w:rPr>
          <w:lang w:val="en-GB"/>
        </w:rPr>
        <w:t xml:space="preserve"> new version of the protocol provides analytical 2</w:t>
      </w:r>
      <w:r w:rsidR="0006672D" w:rsidRPr="003E29FB">
        <w:rPr>
          <w:lang w:val="en-GB"/>
        </w:rPr>
        <w:t>-parameters Antoine’s equation</w:t>
      </w:r>
      <w:r w:rsidR="00AE3CA9" w:rsidRPr="003E29FB">
        <w:rPr>
          <w:lang w:val="en-GB"/>
        </w:rPr>
        <w:t xml:space="preserve">, instead of discretized points, to calculate </w:t>
      </w:r>
      <w:r w:rsidR="00AE3CA9" w:rsidRPr="003E29FB">
        <w:rPr>
          <w:i/>
          <w:lang w:val="en-GB"/>
        </w:rPr>
        <w:t>P</w:t>
      </w:r>
      <w:r w:rsidR="00AE3CA9" w:rsidRPr="003E29FB">
        <w:rPr>
          <w:i/>
          <w:vertAlign w:val="subscript"/>
          <w:lang w:val="en-GB"/>
        </w:rPr>
        <w:t>VA</w:t>
      </w:r>
      <w:r w:rsidR="00AE3CA9" w:rsidRPr="003E29FB">
        <w:rPr>
          <w:lang w:val="en-GB"/>
        </w:rPr>
        <w:t xml:space="preserve">. </w:t>
      </w:r>
    </w:p>
    <w:p w14:paraId="5901A8A5" w14:textId="4C9BC64F" w:rsidR="00AE3CA9" w:rsidRPr="003E29FB" w:rsidRDefault="00AE3CA9" w:rsidP="00AE3CA9">
      <w:pPr>
        <w:pStyle w:val="CETBodytext"/>
        <w:rPr>
          <w:lang w:val="en-GB"/>
        </w:rPr>
      </w:pPr>
      <w:r w:rsidRPr="003E29FB">
        <w:rPr>
          <w:lang w:val="en-GB"/>
        </w:rPr>
        <w:t xml:space="preserve">Despite this theoretical improvement, the software </w:t>
      </w:r>
      <w:r w:rsidR="006A3DB7" w:rsidRPr="003E29FB">
        <w:rPr>
          <w:lang w:val="en-GB"/>
        </w:rPr>
        <w:t>TANKS 4.09D</w:t>
      </w:r>
      <w:r w:rsidRPr="003E29FB">
        <w:rPr>
          <w:lang w:val="en-GB"/>
        </w:rPr>
        <w:t xml:space="preserve"> still incorporates the old discretized dataset </w:t>
      </w:r>
      <w:r w:rsidRPr="003E29FB">
        <w:rPr>
          <w:lang w:val="en-GB"/>
        </w:rPr>
        <w:fldChar w:fldCharType="begin" w:fldLock="1"/>
      </w:r>
      <w:r w:rsidRPr="003E29FB">
        <w:rPr>
          <w:lang w:val="en-GB"/>
        </w:rPr>
        <w:instrText>ADDIN CSL_CITATION {"citationItems":[{"id":"ITEM-1","itemData":{"author":[{"dropping-particle":"","family":"U.S. EPA","given":"","non-dropping-particle":"","parse-names":false,"suffix":""}],"id":"ITEM-1","issued":{"date-parts":[["1997"]]},"number-of-pages":"103","title":"Emission Factor Documentation for AP-42 Organic Liquid Storage Tanks Final Report","type":"report"},"uris":["http://www.mendeley.com/documents/?uuid=1ba55b62-d2d2-40dc-986c-4c44c88803fb"]}],"mendeley":{"formattedCitation":"(U.S. EPA, 1997)","plainTextFormattedCitation":"(U.S. EPA, 1997)","previouslyFormattedCitation":"(U.S. EPA, 1997)"},"properties":{"noteIndex":0},"schema":"https://github.com/citation-style-language/schema/raw/master/csl-citation.json"}</w:instrText>
      </w:r>
      <w:r w:rsidRPr="003E29FB">
        <w:rPr>
          <w:lang w:val="en-GB"/>
        </w:rPr>
        <w:fldChar w:fldCharType="separate"/>
      </w:r>
      <w:r w:rsidRPr="003E29FB">
        <w:rPr>
          <w:noProof/>
          <w:lang w:val="en-GB"/>
        </w:rPr>
        <w:t>(U.S. EPA, 1997)</w:t>
      </w:r>
      <w:r w:rsidRPr="003E29FB">
        <w:rPr>
          <w:lang w:val="en-GB"/>
        </w:rPr>
        <w:fldChar w:fldCharType="end"/>
      </w:r>
      <w:r w:rsidRPr="003E29FB">
        <w:rPr>
          <w:lang w:val="en-GB"/>
        </w:rPr>
        <w:t xml:space="preserve">, and nevertheless is often still used for the assessment of VOC emission inventory. </w:t>
      </w:r>
    </w:p>
    <w:p w14:paraId="2FAFB0D6" w14:textId="77777777" w:rsidR="00AE3CA9" w:rsidRPr="003E29FB" w:rsidRDefault="00AE3CA9" w:rsidP="00AE3CA9">
      <w:pPr>
        <w:pStyle w:val="CETBodytext"/>
        <w:rPr>
          <w:lang w:val="en-GB"/>
        </w:rPr>
      </w:pPr>
      <w:r w:rsidRPr="003E29FB">
        <w:rPr>
          <w:lang w:val="en-GB"/>
        </w:rPr>
        <w:t xml:space="preserve">This choice can be acceptable when the tanks are maintained at ambient temperature, but would provide underestimated results in the case of heated tanks. </w:t>
      </w:r>
    </w:p>
    <w:p w14:paraId="1A3AC02F" w14:textId="01706662" w:rsidR="00AE3CA9" w:rsidRPr="003E29FB" w:rsidRDefault="00AE3CA9" w:rsidP="00AE3CA9">
      <w:pPr>
        <w:pStyle w:val="CETBodytext"/>
        <w:rPr>
          <w:lang w:val="en-GB"/>
        </w:rPr>
      </w:pPr>
      <w:r w:rsidRPr="003E29FB">
        <w:rPr>
          <w:lang w:val="en-GB"/>
        </w:rPr>
        <w:t xml:space="preserve">In order to assess the importance of the implementation of the new correlations for the calculation of vapour pressure, an algorithm was developed in order to implement all the correlations of the recent AP-42 protocol </w:t>
      </w:r>
      <w:r w:rsidRPr="003E29FB">
        <w:rPr>
          <w:lang w:val="en-GB"/>
        </w:rPr>
        <w:fldChar w:fldCharType="begin" w:fldLock="1"/>
      </w:r>
      <w:r w:rsidRPr="003E29FB">
        <w:rPr>
          <w:lang w:val="en-GB"/>
        </w:rPr>
        <w:instrText>ADDIN CSL_CITATION {"citationItems":[{"id":"ITEM-1","itemData":{"author":[{"dropping-particle":"","family":"U.S. EPA","given":"","non-dropping-particle":"","parse-names":false,"suffix":""}],"id":"ITEM-1","issued":{"date-parts":[["2020"]]},"number-of-pages":"203","title":"Emission Factor Documentation for AP-42 Organic Liquid Storage Tanks Final Report","type":"report"},"uris":["http://www.mendeley.com/documents/?uuid=75f72d48-6ce8-4915-94ac-0681a4cb851c"]}],"mendeley":{"formattedCitation":"(U.S. EPA, 2020)","plainTextFormattedCitation":"(U.S. EPA, 2020)","previouslyFormattedCitation":"(U.S. EPA, 2020)"},"properties":{"noteIndex":0},"schema":"https://github.com/citation-style-language/schema/raw/master/csl-citation.json"}</w:instrText>
      </w:r>
      <w:r w:rsidRPr="003E29FB">
        <w:rPr>
          <w:lang w:val="en-GB"/>
        </w:rPr>
        <w:fldChar w:fldCharType="separate"/>
      </w:r>
      <w:r w:rsidRPr="003E29FB">
        <w:rPr>
          <w:noProof/>
          <w:lang w:val="en-GB"/>
        </w:rPr>
        <w:t>(U.S. EPA, 2020)</w:t>
      </w:r>
      <w:r w:rsidRPr="003E29FB">
        <w:rPr>
          <w:lang w:val="en-GB"/>
        </w:rPr>
        <w:fldChar w:fldCharType="end"/>
      </w:r>
      <w:r w:rsidRPr="003E29FB">
        <w:rPr>
          <w:lang w:val="en-GB"/>
        </w:rPr>
        <w:t xml:space="preserve">, and compare it with the old correlations of </w:t>
      </w:r>
      <w:r w:rsidR="006A3DB7" w:rsidRPr="003E29FB">
        <w:rPr>
          <w:lang w:val="en-GB"/>
        </w:rPr>
        <w:t>TANKS 4.09D</w:t>
      </w:r>
      <w:r w:rsidRPr="003E29FB">
        <w:rPr>
          <w:lang w:val="en-GB"/>
        </w:rPr>
        <w:t xml:space="preserve"> </w:t>
      </w:r>
      <w:r w:rsidRPr="003E29FB">
        <w:rPr>
          <w:lang w:val="en-GB"/>
        </w:rPr>
        <w:fldChar w:fldCharType="begin" w:fldLock="1"/>
      </w:r>
      <w:r w:rsidRPr="003E29FB">
        <w:rPr>
          <w:lang w:val="en-GB"/>
        </w:rPr>
        <w:instrText>ADDIN CSL_CITATION {"citationItems":[{"id":"ITEM-1","itemData":{"author":[{"dropping-particle":"","family":"U.S. EPA","given":"","non-dropping-particle":"","parse-names":false,"suffix":""}],"id":"ITEM-1","issued":{"date-parts":[["1997"]]},"number-of-pages":"103","title":"Emission Factor Documentation for AP-42 Organic Liquid Storage Tanks Final Report","type":"report"},"uris":["http://www.mendeley.com/documents/?uuid=1ba55b62-d2d2-40dc-986c-4c44c88803fb"]}],"mendeley":{"formattedCitation":"(U.S. EPA, 1997)","plainTextFormattedCitation":"(U.S. EPA, 1997)","previouslyFormattedCitation":"(U.S. EPA, 1997)"},"properties":{"noteIndex":0},"schema":"https://github.com/citation-style-language/schema/raw/master/csl-citation.json"}</w:instrText>
      </w:r>
      <w:r w:rsidRPr="003E29FB">
        <w:rPr>
          <w:lang w:val="en-GB"/>
        </w:rPr>
        <w:fldChar w:fldCharType="separate"/>
      </w:r>
      <w:r w:rsidRPr="003E29FB">
        <w:rPr>
          <w:noProof/>
          <w:lang w:val="en-GB"/>
        </w:rPr>
        <w:t>(U.S. EPA, 1997)</w:t>
      </w:r>
      <w:r w:rsidRPr="003E29FB">
        <w:rPr>
          <w:lang w:val="en-GB"/>
        </w:rPr>
        <w:fldChar w:fldCharType="end"/>
      </w:r>
      <w:r w:rsidRPr="003E29FB">
        <w:rPr>
          <w:lang w:val="en-GB"/>
        </w:rPr>
        <w:t xml:space="preserve">. For the calculations, real-case data were used, in terms of meteorology, logistics, dimensions and physical data. </w:t>
      </w:r>
    </w:p>
    <w:p w14:paraId="5AEB8F7C" w14:textId="1D6DD48F" w:rsidR="00AE3CA9" w:rsidRPr="003E29FB" w:rsidRDefault="00AE3CA9" w:rsidP="00AE3CA9">
      <w:pPr>
        <w:pStyle w:val="CETBodytext"/>
        <w:rPr>
          <w:lang w:val="en-GB"/>
        </w:rPr>
      </w:pPr>
      <w:r w:rsidRPr="003E29FB">
        <w:rPr>
          <w:lang w:val="en-GB"/>
        </w:rPr>
        <w:t xml:space="preserve">The results are reported in </w:t>
      </w:r>
      <w:r w:rsidRPr="003E29FB">
        <w:rPr>
          <w:lang w:val="en-GB"/>
        </w:rPr>
        <w:fldChar w:fldCharType="begin"/>
      </w:r>
      <w:r w:rsidRPr="003E29FB">
        <w:rPr>
          <w:lang w:val="en-GB"/>
        </w:rPr>
        <w:instrText xml:space="preserve"> REF _Ref60687478 \h </w:instrText>
      </w:r>
      <w:r w:rsidRPr="003E29FB">
        <w:rPr>
          <w:lang w:val="en-GB"/>
        </w:rPr>
      </w:r>
      <w:r w:rsidRPr="003E29FB">
        <w:rPr>
          <w:lang w:val="en-GB"/>
        </w:rPr>
        <w:fldChar w:fldCharType="separate"/>
      </w:r>
      <w:r w:rsidRPr="003E29FB">
        <w:rPr>
          <w:lang w:val="en-GB"/>
        </w:rPr>
        <w:t>Table 1</w:t>
      </w:r>
      <w:r w:rsidRPr="003E29FB">
        <w:rPr>
          <w:lang w:val="en-GB"/>
        </w:rPr>
        <w:fldChar w:fldCharType="end"/>
      </w:r>
      <w:r w:rsidRPr="003E29FB">
        <w:rPr>
          <w:lang w:val="en-GB"/>
        </w:rPr>
        <w:t xml:space="preserve">, grouped for hydrocarbon cut categories. </w:t>
      </w:r>
    </w:p>
    <w:p w14:paraId="19803FEA" w14:textId="1E847488" w:rsidR="00AE1F10" w:rsidRPr="003E29FB" w:rsidRDefault="00AE1F10" w:rsidP="00AD415E">
      <w:pPr>
        <w:pStyle w:val="CETTabletitle"/>
      </w:pPr>
      <w:bookmarkStart w:id="14" w:name="_Ref60687478"/>
      <w:r w:rsidRPr="003E29FB">
        <w:t xml:space="preserve">Table </w:t>
      </w:r>
      <w:r w:rsidRPr="003E29FB">
        <w:fldChar w:fldCharType="begin"/>
      </w:r>
      <w:r w:rsidRPr="003E29FB">
        <w:instrText xml:space="preserve"> SEQ Table \* ARABIC </w:instrText>
      </w:r>
      <w:r w:rsidRPr="003E29FB">
        <w:fldChar w:fldCharType="separate"/>
      </w:r>
      <w:r w:rsidRPr="003E29FB">
        <w:t>1</w:t>
      </w:r>
      <w:r w:rsidRPr="003E29FB">
        <w:fldChar w:fldCharType="end"/>
      </w:r>
      <w:bookmarkEnd w:id="14"/>
      <w:r w:rsidR="00394164" w:rsidRPr="003E29FB">
        <w:t>:</w:t>
      </w:r>
      <w:r w:rsidRPr="003E29FB">
        <w:t xml:space="preserve"> Emission estimation comparison between TANKS 4.09D and new protocol AP-42 </w:t>
      </w:r>
      <w:r w:rsidRPr="003E29FB">
        <w:fldChar w:fldCharType="begin" w:fldLock="1"/>
      </w:r>
      <w:r w:rsidRPr="003E29FB">
        <w:instrText>ADDIN CSL_CITATION {"citationItems":[{"id":"ITEM-1","itemData":{"author":[{"dropping-particle":"","family":"U.S. EPA","given":"","non-dropping-particle":"","parse-names":false,"suffix":""}],"id":"ITEM-1","issued":{"date-parts":[["2020"]]},"number-of-pages":"203","title":"Emission Factor Documentation for AP-42 Organic Liquid Storage Tanks Final Report","type":"report"},"uris":["http://www.mendeley.com/documents/?uuid=75f72d48-6ce8-4915-94ac-0681a4cb851c"]}],"mendeley":{"formattedCitation":"(U.S. EPA, 2020)","plainTextFormattedCitation":"(U.S. EPA, 2020)","previouslyFormattedCitation":"(U.S. EPA, 2020)"},"properties":{"noteIndex":0},"schema":"https://github.com/citation-style-language/schema/raw/master/csl-citation.json"}</w:instrText>
      </w:r>
      <w:r w:rsidRPr="003E29FB">
        <w:fldChar w:fldCharType="separate"/>
      </w:r>
      <w:r w:rsidRPr="003E29FB">
        <w:rPr>
          <w:noProof/>
        </w:rPr>
        <w:t>(U.S. EPA, 2020)</w:t>
      </w:r>
      <w:r w:rsidRPr="003E29FB">
        <w:fldChar w:fldCharType="end"/>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27"/>
        <w:gridCol w:w="1134"/>
        <w:gridCol w:w="1559"/>
        <w:gridCol w:w="1417"/>
        <w:gridCol w:w="1134"/>
        <w:gridCol w:w="1416"/>
      </w:tblGrid>
      <w:tr w:rsidR="006B16FE" w:rsidRPr="003E29FB" w14:paraId="2BE11696" w14:textId="528198D6" w:rsidTr="006B16FE">
        <w:tc>
          <w:tcPr>
            <w:tcW w:w="2127" w:type="dxa"/>
            <w:tcBorders>
              <w:top w:val="single" w:sz="12" w:space="0" w:color="008000"/>
              <w:bottom w:val="single" w:sz="6" w:space="0" w:color="008000"/>
            </w:tcBorders>
            <w:shd w:val="clear" w:color="auto" w:fill="FFFFFF"/>
            <w:vAlign w:val="center"/>
          </w:tcPr>
          <w:p w14:paraId="0BA6053D" w14:textId="10E07D17" w:rsidR="006B16FE" w:rsidRPr="003E29FB" w:rsidRDefault="006B16FE" w:rsidP="006B16FE">
            <w:pPr>
              <w:pStyle w:val="CETBodytext"/>
              <w:rPr>
                <w:lang w:val="en-GB"/>
              </w:rPr>
            </w:pPr>
            <w:r w:rsidRPr="003E29FB">
              <w:rPr>
                <w:lang w:val="en-GB"/>
              </w:rPr>
              <w:t>Cut</w:t>
            </w:r>
          </w:p>
        </w:tc>
        <w:tc>
          <w:tcPr>
            <w:tcW w:w="1134" w:type="dxa"/>
            <w:tcBorders>
              <w:top w:val="single" w:sz="12" w:space="0" w:color="008000"/>
              <w:bottom w:val="single" w:sz="6" w:space="0" w:color="008000"/>
            </w:tcBorders>
            <w:shd w:val="clear" w:color="auto" w:fill="FFFFFF"/>
            <w:vAlign w:val="center"/>
          </w:tcPr>
          <w:p w14:paraId="7B239EAB" w14:textId="65C46D48" w:rsidR="006B16FE" w:rsidRPr="003E29FB" w:rsidRDefault="009E735D" w:rsidP="006B16FE">
            <w:pPr>
              <w:pStyle w:val="CETBodytext"/>
              <w:rPr>
                <w:lang w:val="en-GB"/>
              </w:rPr>
            </w:pPr>
            <w:r w:rsidRPr="003E29FB">
              <w:rPr>
                <w:lang w:val="en-GB"/>
              </w:rPr>
              <w:t>N</w:t>
            </w:r>
            <w:r w:rsidR="006B16FE" w:rsidRPr="003E29FB">
              <w:rPr>
                <w:lang w:val="en-GB"/>
              </w:rPr>
              <w:t xml:space="preserve"> EFRTs</w:t>
            </w:r>
          </w:p>
        </w:tc>
        <w:tc>
          <w:tcPr>
            <w:tcW w:w="1559" w:type="dxa"/>
            <w:tcBorders>
              <w:top w:val="single" w:sz="12" w:space="0" w:color="008000"/>
              <w:bottom w:val="single" w:sz="6" w:space="0" w:color="008000"/>
            </w:tcBorders>
            <w:shd w:val="clear" w:color="auto" w:fill="FFFFFF"/>
            <w:vAlign w:val="center"/>
          </w:tcPr>
          <w:p w14:paraId="208AF817" w14:textId="7543484D" w:rsidR="006B16FE" w:rsidRPr="003E29FB" w:rsidRDefault="006B16FE" w:rsidP="006B16FE">
            <w:pPr>
              <w:pStyle w:val="CETBodytext"/>
              <w:jc w:val="left"/>
              <w:rPr>
                <w:lang w:val="en-GB"/>
              </w:rPr>
            </w:pPr>
            <w:r w:rsidRPr="003E29FB">
              <w:rPr>
                <w:lang w:val="en-GB"/>
              </w:rPr>
              <w:t xml:space="preserve">(U.S. EPA, 2020)  </w:t>
            </w:r>
            <w:r w:rsidRPr="003E29FB">
              <w:rPr>
                <w:i/>
                <w:lang w:val="en-GB"/>
              </w:rPr>
              <w:t>L</w:t>
            </w:r>
            <w:r w:rsidRPr="003E29FB">
              <w:rPr>
                <w:i/>
                <w:vertAlign w:val="subscript"/>
                <w:lang w:val="en-GB"/>
              </w:rPr>
              <w:t>tot</w:t>
            </w:r>
            <w:r w:rsidRPr="003E29FB">
              <w:rPr>
                <w:lang w:val="en-GB"/>
              </w:rPr>
              <w:t xml:space="preserve"> [kg/y]</w:t>
            </w:r>
          </w:p>
        </w:tc>
        <w:tc>
          <w:tcPr>
            <w:tcW w:w="1417" w:type="dxa"/>
            <w:tcBorders>
              <w:top w:val="single" w:sz="12" w:space="0" w:color="008000"/>
              <w:bottom w:val="single" w:sz="6" w:space="0" w:color="008000"/>
            </w:tcBorders>
            <w:shd w:val="clear" w:color="auto" w:fill="FFFFFF"/>
            <w:vAlign w:val="center"/>
          </w:tcPr>
          <w:p w14:paraId="4293DD3C" w14:textId="3A994592" w:rsidR="006B16FE" w:rsidRPr="003E29FB" w:rsidRDefault="006A3DB7" w:rsidP="006B16FE">
            <w:pPr>
              <w:pStyle w:val="CETBodytext"/>
              <w:ind w:right="-1"/>
              <w:rPr>
                <w:lang w:val="en-GB"/>
              </w:rPr>
            </w:pPr>
            <w:r w:rsidRPr="003E29FB">
              <w:rPr>
                <w:lang w:val="en-GB"/>
              </w:rPr>
              <w:t>TANKS 4.09D</w:t>
            </w:r>
            <w:r w:rsidR="006B16FE" w:rsidRPr="003E29FB">
              <w:rPr>
                <w:lang w:val="en-GB"/>
              </w:rPr>
              <w:t xml:space="preserve"> </w:t>
            </w:r>
          </w:p>
          <w:p w14:paraId="0E5C4879" w14:textId="1E15BA2C" w:rsidR="006B16FE" w:rsidRPr="003E29FB" w:rsidRDefault="006B16FE" w:rsidP="006B16FE">
            <w:pPr>
              <w:pStyle w:val="CETBodytext"/>
              <w:ind w:right="-1"/>
              <w:rPr>
                <w:rFonts w:cs="Arial"/>
                <w:szCs w:val="18"/>
                <w:lang w:val="en-GB"/>
              </w:rPr>
            </w:pPr>
            <w:r w:rsidRPr="003E29FB">
              <w:rPr>
                <w:i/>
                <w:lang w:val="en-GB"/>
              </w:rPr>
              <w:t>L</w:t>
            </w:r>
            <w:r w:rsidRPr="003E29FB">
              <w:rPr>
                <w:i/>
                <w:vertAlign w:val="subscript"/>
                <w:lang w:val="en-GB"/>
              </w:rPr>
              <w:t>tot</w:t>
            </w:r>
            <w:r w:rsidRPr="003E29FB">
              <w:rPr>
                <w:lang w:val="en-GB"/>
              </w:rPr>
              <w:t xml:space="preserve"> [kg/y]</w:t>
            </w:r>
          </w:p>
        </w:tc>
        <w:tc>
          <w:tcPr>
            <w:tcW w:w="1134" w:type="dxa"/>
            <w:tcBorders>
              <w:top w:val="single" w:sz="12" w:space="0" w:color="008000"/>
              <w:bottom w:val="single" w:sz="6" w:space="0" w:color="008000"/>
            </w:tcBorders>
            <w:shd w:val="clear" w:color="auto" w:fill="FFFFFF"/>
            <w:vAlign w:val="center"/>
          </w:tcPr>
          <w:p w14:paraId="7B833019" w14:textId="75D7F402" w:rsidR="006B16FE" w:rsidRPr="003E29FB" w:rsidRDefault="006B16FE" w:rsidP="006B16FE">
            <w:pPr>
              <w:pStyle w:val="CETBodytext"/>
              <w:rPr>
                <w:lang w:val="en-GB"/>
              </w:rPr>
            </w:pPr>
            <w:r w:rsidRPr="003E29FB">
              <w:rPr>
                <w:lang w:val="en-GB"/>
              </w:rPr>
              <w:t>Under</w:t>
            </w:r>
          </w:p>
          <w:p w14:paraId="055513B1" w14:textId="72D91967" w:rsidR="006B16FE" w:rsidRPr="003E29FB" w:rsidRDefault="006B16FE" w:rsidP="006B16FE">
            <w:pPr>
              <w:pStyle w:val="CETBodytext"/>
              <w:ind w:right="-1"/>
              <w:rPr>
                <w:rFonts w:cs="Arial"/>
                <w:szCs w:val="18"/>
                <w:lang w:val="en-GB"/>
              </w:rPr>
            </w:pPr>
            <w:r w:rsidRPr="003E29FB">
              <w:rPr>
                <w:lang w:val="en-GB"/>
              </w:rPr>
              <w:t>estimation</w:t>
            </w:r>
          </w:p>
        </w:tc>
        <w:tc>
          <w:tcPr>
            <w:tcW w:w="1416" w:type="dxa"/>
            <w:tcBorders>
              <w:top w:val="single" w:sz="12" w:space="0" w:color="008000"/>
              <w:bottom w:val="single" w:sz="6" w:space="0" w:color="008000"/>
            </w:tcBorders>
            <w:shd w:val="clear" w:color="auto" w:fill="FFFFFF"/>
            <w:vAlign w:val="center"/>
          </w:tcPr>
          <w:p w14:paraId="50D11AD0" w14:textId="0DB07B08" w:rsidR="006B16FE" w:rsidRPr="003E29FB" w:rsidRDefault="006B16FE" w:rsidP="006B16FE">
            <w:pPr>
              <w:pStyle w:val="CETBodytext"/>
              <w:ind w:right="-1"/>
              <w:rPr>
                <w:rFonts w:cs="Arial"/>
                <w:szCs w:val="18"/>
                <w:lang w:val="en-GB"/>
              </w:rPr>
            </w:pPr>
            <w:r w:rsidRPr="003E29FB">
              <w:rPr>
                <w:lang w:val="en-GB"/>
              </w:rPr>
              <w:t>Average stock temperature [°C]</w:t>
            </w:r>
          </w:p>
        </w:tc>
      </w:tr>
      <w:tr w:rsidR="006B16FE" w:rsidRPr="003E29FB" w14:paraId="1B1A26E1" w14:textId="00FE8BF0" w:rsidTr="006B16FE">
        <w:tc>
          <w:tcPr>
            <w:tcW w:w="2127" w:type="dxa"/>
            <w:shd w:val="clear" w:color="auto" w:fill="FFFFFF"/>
            <w:vAlign w:val="center"/>
          </w:tcPr>
          <w:p w14:paraId="752C558D" w14:textId="51C4FE94" w:rsidR="006B16FE" w:rsidRPr="003E29FB" w:rsidRDefault="006B16FE" w:rsidP="006B16FE">
            <w:pPr>
              <w:pStyle w:val="CETBodytext"/>
              <w:rPr>
                <w:lang w:val="en-GB"/>
              </w:rPr>
            </w:pPr>
            <w:r w:rsidRPr="003E29FB">
              <w:rPr>
                <w:lang w:val="en-GB"/>
              </w:rPr>
              <w:t>Crude oil RVP 5</w:t>
            </w:r>
          </w:p>
        </w:tc>
        <w:tc>
          <w:tcPr>
            <w:tcW w:w="1134" w:type="dxa"/>
            <w:shd w:val="clear" w:color="auto" w:fill="FFFFFF"/>
            <w:vAlign w:val="center"/>
          </w:tcPr>
          <w:p w14:paraId="40DAF2FD" w14:textId="0D675AA5" w:rsidR="006B16FE" w:rsidRPr="003E29FB" w:rsidRDefault="006B16FE" w:rsidP="006B16FE">
            <w:pPr>
              <w:pStyle w:val="CETBodytext"/>
              <w:rPr>
                <w:lang w:val="en-GB"/>
              </w:rPr>
            </w:pPr>
            <w:r w:rsidRPr="003E29FB">
              <w:rPr>
                <w:lang w:val="en-GB"/>
              </w:rPr>
              <w:t>10</w:t>
            </w:r>
          </w:p>
        </w:tc>
        <w:tc>
          <w:tcPr>
            <w:tcW w:w="1559" w:type="dxa"/>
            <w:shd w:val="clear" w:color="auto" w:fill="FFFFFF"/>
            <w:vAlign w:val="center"/>
          </w:tcPr>
          <w:p w14:paraId="2AA8BBFD" w14:textId="510D2E7A" w:rsidR="006B16FE" w:rsidRPr="003E29FB" w:rsidRDefault="006B16FE" w:rsidP="006B16FE">
            <w:pPr>
              <w:pStyle w:val="CETBodytext"/>
              <w:rPr>
                <w:lang w:val="en-GB"/>
              </w:rPr>
            </w:pPr>
            <w:r w:rsidRPr="003E29FB">
              <w:rPr>
                <w:lang w:val="en-GB"/>
              </w:rPr>
              <w:t>30025</w:t>
            </w:r>
          </w:p>
        </w:tc>
        <w:tc>
          <w:tcPr>
            <w:tcW w:w="1417" w:type="dxa"/>
            <w:shd w:val="clear" w:color="auto" w:fill="FFFFFF"/>
            <w:vAlign w:val="center"/>
          </w:tcPr>
          <w:p w14:paraId="264097DA" w14:textId="01BCE38D" w:rsidR="006B16FE" w:rsidRPr="003E29FB" w:rsidRDefault="006B16FE" w:rsidP="006B16FE">
            <w:pPr>
              <w:pStyle w:val="CETBodytext"/>
              <w:ind w:right="-1"/>
              <w:rPr>
                <w:rFonts w:cs="Arial"/>
                <w:szCs w:val="18"/>
                <w:lang w:val="en-GB"/>
              </w:rPr>
            </w:pPr>
            <w:r w:rsidRPr="003E29FB">
              <w:rPr>
                <w:lang w:val="en-GB"/>
              </w:rPr>
              <w:t>30025</w:t>
            </w:r>
          </w:p>
        </w:tc>
        <w:tc>
          <w:tcPr>
            <w:tcW w:w="1134" w:type="dxa"/>
            <w:shd w:val="clear" w:color="auto" w:fill="FFFFFF"/>
            <w:vAlign w:val="center"/>
          </w:tcPr>
          <w:p w14:paraId="170E4FDA" w14:textId="46725AE9" w:rsidR="006B16FE" w:rsidRPr="003E29FB" w:rsidRDefault="006B16FE" w:rsidP="006B16FE">
            <w:pPr>
              <w:pStyle w:val="CETBodytext"/>
              <w:ind w:right="-1"/>
              <w:rPr>
                <w:rFonts w:cs="Arial"/>
                <w:szCs w:val="18"/>
                <w:lang w:val="en-GB"/>
              </w:rPr>
            </w:pPr>
            <w:r w:rsidRPr="003E29FB">
              <w:rPr>
                <w:lang w:val="en-GB"/>
              </w:rPr>
              <w:t>0%</w:t>
            </w:r>
          </w:p>
        </w:tc>
        <w:tc>
          <w:tcPr>
            <w:tcW w:w="1416" w:type="dxa"/>
            <w:shd w:val="clear" w:color="auto" w:fill="FFFFFF"/>
            <w:vAlign w:val="center"/>
          </w:tcPr>
          <w:p w14:paraId="404B18A8" w14:textId="2C166973" w:rsidR="006B16FE" w:rsidRPr="003E29FB" w:rsidRDefault="006B16FE" w:rsidP="006B16FE">
            <w:pPr>
              <w:pStyle w:val="CETBodytext"/>
              <w:ind w:right="-1"/>
              <w:rPr>
                <w:rFonts w:cs="Arial"/>
                <w:szCs w:val="18"/>
                <w:lang w:val="en-GB"/>
              </w:rPr>
            </w:pPr>
            <w:r w:rsidRPr="003E29FB">
              <w:rPr>
                <w:lang w:val="en-GB"/>
              </w:rPr>
              <w:t>30</w:t>
            </w:r>
          </w:p>
        </w:tc>
      </w:tr>
      <w:tr w:rsidR="006B16FE" w:rsidRPr="003E29FB" w14:paraId="4E06F938" w14:textId="1BFDADCA" w:rsidTr="006B16FE">
        <w:tc>
          <w:tcPr>
            <w:tcW w:w="2127" w:type="dxa"/>
            <w:shd w:val="clear" w:color="auto" w:fill="FFFFFF"/>
            <w:vAlign w:val="center"/>
          </w:tcPr>
          <w:p w14:paraId="5552408E" w14:textId="72D83239" w:rsidR="006B16FE" w:rsidRPr="003E29FB" w:rsidRDefault="006B16FE" w:rsidP="006B16FE">
            <w:pPr>
              <w:pStyle w:val="CETBodytext"/>
              <w:ind w:right="-1"/>
              <w:rPr>
                <w:rFonts w:cs="Arial"/>
                <w:szCs w:val="18"/>
                <w:lang w:val="en-GB"/>
              </w:rPr>
            </w:pPr>
            <w:r w:rsidRPr="003E29FB">
              <w:rPr>
                <w:lang w:val="en-GB"/>
              </w:rPr>
              <w:t>Motor Gasoline RVP 7</w:t>
            </w:r>
          </w:p>
        </w:tc>
        <w:tc>
          <w:tcPr>
            <w:tcW w:w="1134" w:type="dxa"/>
            <w:shd w:val="clear" w:color="auto" w:fill="FFFFFF"/>
            <w:vAlign w:val="center"/>
          </w:tcPr>
          <w:p w14:paraId="4F8377FA" w14:textId="6B0B9F8D" w:rsidR="006B16FE" w:rsidRPr="003E29FB" w:rsidRDefault="006B16FE" w:rsidP="006B16FE">
            <w:pPr>
              <w:pStyle w:val="CETBodytext"/>
              <w:ind w:right="-1"/>
              <w:rPr>
                <w:rFonts w:cs="Arial"/>
                <w:szCs w:val="18"/>
                <w:lang w:val="en-GB"/>
              </w:rPr>
            </w:pPr>
            <w:r w:rsidRPr="003E29FB">
              <w:rPr>
                <w:lang w:val="en-GB"/>
              </w:rPr>
              <w:t>9</w:t>
            </w:r>
          </w:p>
        </w:tc>
        <w:tc>
          <w:tcPr>
            <w:tcW w:w="1559" w:type="dxa"/>
            <w:shd w:val="clear" w:color="auto" w:fill="FFFFFF"/>
            <w:vAlign w:val="center"/>
          </w:tcPr>
          <w:p w14:paraId="019E9D59" w14:textId="37F4E553" w:rsidR="006B16FE" w:rsidRPr="003E29FB" w:rsidRDefault="006B16FE" w:rsidP="006B16FE">
            <w:pPr>
              <w:pStyle w:val="CETBodytext"/>
              <w:ind w:right="-1"/>
              <w:rPr>
                <w:rFonts w:cs="Arial"/>
                <w:szCs w:val="18"/>
                <w:lang w:val="en-GB"/>
              </w:rPr>
            </w:pPr>
            <w:r w:rsidRPr="003E29FB">
              <w:rPr>
                <w:lang w:val="en-GB"/>
              </w:rPr>
              <w:t>60169</w:t>
            </w:r>
          </w:p>
        </w:tc>
        <w:tc>
          <w:tcPr>
            <w:tcW w:w="1417" w:type="dxa"/>
            <w:shd w:val="clear" w:color="auto" w:fill="FFFFFF"/>
            <w:vAlign w:val="center"/>
          </w:tcPr>
          <w:p w14:paraId="3D07058C" w14:textId="490E79CB" w:rsidR="006B16FE" w:rsidRPr="003E29FB" w:rsidRDefault="006B16FE" w:rsidP="006B16FE">
            <w:pPr>
              <w:pStyle w:val="CETBodytext"/>
              <w:ind w:right="-1"/>
              <w:rPr>
                <w:rFonts w:cs="Arial"/>
                <w:szCs w:val="18"/>
                <w:lang w:val="en-GB"/>
              </w:rPr>
            </w:pPr>
            <w:r w:rsidRPr="003E29FB">
              <w:rPr>
                <w:lang w:val="en-GB"/>
              </w:rPr>
              <w:t>60169</w:t>
            </w:r>
          </w:p>
        </w:tc>
        <w:tc>
          <w:tcPr>
            <w:tcW w:w="1134" w:type="dxa"/>
            <w:shd w:val="clear" w:color="auto" w:fill="FFFFFF"/>
            <w:vAlign w:val="center"/>
          </w:tcPr>
          <w:p w14:paraId="516C97C3" w14:textId="4B633604" w:rsidR="006B16FE" w:rsidRPr="003E29FB" w:rsidRDefault="006B16FE" w:rsidP="006B16FE">
            <w:pPr>
              <w:pStyle w:val="CETBodytext"/>
              <w:ind w:right="-1"/>
              <w:rPr>
                <w:rFonts w:cs="Arial"/>
                <w:szCs w:val="18"/>
                <w:lang w:val="en-GB"/>
              </w:rPr>
            </w:pPr>
            <w:r w:rsidRPr="003E29FB">
              <w:rPr>
                <w:lang w:val="en-GB"/>
              </w:rPr>
              <w:t>0%</w:t>
            </w:r>
          </w:p>
        </w:tc>
        <w:tc>
          <w:tcPr>
            <w:tcW w:w="1416" w:type="dxa"/>
            <w:shd w:val="clear" w:color="auto" w:fill="FFFFFF"/>
            <w:vAlign w:val="center"/>
          </w:tcPr>
          <w:p w14:paraId="6E00EBA2" w14:textId="381C060E" w:rsidR="006B16FE" w:rsidRPr="003E29FB" w:rsidRDefault="006B16FE" w:rsidP="006B16FE">
            <w:pPr>
              <w:pStyle w:val="CETBodytext"/>
              <w:ind w:right="-1"/>
              <w:rPr>
                <w:rFonts w:cs="Arial"/>
                <w:szCs w:val="18"/>
                <w:lang w:val="en-GB"/>
              </w:rPr>
            </w:pPr>
            <w:r w:rsidRPr="003E29FB">
              <w:rPr>
                <w:lang w:val="en-GB"/>
              </w:rPr>
              <w:t>25</w:t>
            </w:r>
          </w:p>
        </w:tc>
      </w:tr>
      <w:tr w:rsidR="006B16FE" w:rsidRPr="003E29FB" w14:paraId="2E8AFA6E" w14:textId="77777777" w:rsidTr="006B16FE">
        <w:tc>
          <w:tcPr>
            <w:tcW w:w="2127" w:type="dxa"/>
            <w:shd w:val="clear" w:color="auto" w:fill="FFFFFF"/>
            <w:vAlign w:val="center"/>
          </w:tcPr>
          <w:p w14:paraId="38A12BD0" w14:textId="26210F52" w:rsidR="006B16FE" w:rsidRPr="003E29FB" w:rsidRDefault="006B16FE" w:rsidP="006B16FE">
            <w:pPr>
              <w:pStyle w:val="CETBodytext"/>
              <w:ind w:right="-1"/>
              <w:rPr>
                <w:rFonts w:cs="Arial"/>
                <w:szCs w:val="18"/>
                <w:lang w:val="en-GB"/>
              </w:rPr>
            </w:pPr>
            <w:r w:rsidRPr="003E29FB">
              <w:rPr>
                <w:lang w:val="en-GB"/>
              </w:rPr>
              <w:t>Motor Gasoline RVP 10</w:t>
            </w:r>
          </w:p>
        </w:tc>
        <w:tc>
          <w:tcPr>
            <w:tcW w:w="1134" w:type="dxa"/>
            <w:shd w:val="clear" w:color="auto" w:fill="FFFFFF"/>
            <w:vAlign w:val="center"/>
          </w:tcPr>
          <w:p w14:paraId="1A1AAA8C" w14:textId="5D557429" w:rsidR="006B16FE" w:rsidRPr="003E29FB" w:rsidRDefault="006B16FE" w:rsidP="006B16FE">
            <w:pPr>
              <w:pStyle w:val="CETBodytext"/>
              <w:ind w:right="-1"/>
              <w:rPr>
                <w:rFonts w:cs="Arial"/>
                <w:szCs w:val="18"/>
                <w:lang w:val="en-GB"/>
              </w:rPr>
            </w:pPr>
            <w:r w:rsidRPr="003E29FB">
              <w:rPr>
                <w:lang w:val="en-GB"/>
              </w:rPr>
              <w:t>9</w:t>
            </w:r>
          </w:p>
        </w:tc>
        <w:tc>
          <w:tcPr>
            <w:tcW w:w="1559" w:type="dxa"/>
            <w:shd w:val="clear" w:color="auto" w:fill="FFFFFF"/>
            <w:vAlign w:val="center"/>
          </w:tcPr>
          <w:p w14:paraId="0C0D8A7D" w14:textId="32562BA7" w:rsidR="006B16FE" w:rsidRPr="003E29FB" w:rsidRDefault="006B16FE" w:rsidP="006B16FE">
            <w:pPr>
              <w:pStyle w:val="CETBodytext"/>
              <w:ind w:right="-1"/>
              <w:rPr>
                <w:rFonts w:cs="Arial"/>
                <w:szCs w:val="18"/>
                <w:lang w:val="en-GB"/>
              </w:rPr>
            </w:pPr>
            <w:r w:rsidRPr="003E29FB">
              <w:rPr>
                <w:lang w:val="en-GB"/>
              </w:rPr>
              <w:t>89827</w:t>
            </w:r>
          </w:p>
        </w:tc>
        <w:tc>
          <w:tcPr>
            <w:tcW w:w="1417" w:type="dxa"/>
            <w:shd w:val="clear" w:color="auto" w:fill="FFFFFF"/>
            <w:vAlign w:val="center"/>
          </w:tcPr>
          <w:p w14:paraId="7E8697C7" w14:textId="2ED56895" w:rsidR="006B16FE" w:rsidRPr="003E29FB" w:rsidRDefault="006B16FE" w:rsidP="006B16FE">
            <w:pPr>
              <w:pStyle w:val="CETBodytext"/>
              <w:ind w:right="-1"/>
              <w:rPr>
                <w:rFonts w:cs="Arial"/>
                <w:szCs w:val="18"/>
                <w:lang w:val="en-GB"/>
              </w:rPr>
            </w:pPr>
            <w:r w:rsidRPr="003E29FB">
              <w:rPr>
                <w:lang w:val="en-GB"/>
              </w:rPr>
              <w:t>89827</w:t>
            </w:r>
          </w:p>
        </w:tc>
        <w:tc>
          <w:tcPr>
            <w:tcW w:w="1134" w:type="dxa"/>
            <w:shd w:val="clear" w:color="auto" w:fill="FFFFFF"/>
            <w:vAlign w:val="center"/>
          </w:tcPr>
          <w:p w14:paraId="0C799A3E" w14:textId="4C19D779" w:rsidR="006B16FE" w:rsidRPr="003E29FB" w:rsidRDefault="006B16FE" w:rsidP="006B16FE">
            <w:pPr>
              <w:pStyle w:val="CETBodytext"/>
              <w:ind w:right="-1"/>
              <w:rPr>
                <w:rFonts w:cs="Arial"/>
                <w:szCs w:val="18"/>
                <w:lang w:val="en-GB"/>
              </w:rPr>
            </w:pPr>
            <w:r w:rsidRPr="003E29FB">
              <w:rPr>
                <w:lang w:val="en-GB"/>
              </w:rPr>
              <w:t>0%</w:t>
            </w:r>
          </w:p>
        </w:tc>
        <w:tc>
          <w:tcPr>
            <w:tcW w:w="1416" w:type="dxa"/>
            <w:shd w:val="clear" w:color="auto" w:fill="FFFFFF"/>
            <w:vAlign w:val="center"/>
          </w:tcPr>
          <w:p w14:paraId="301EF432" w14:textId="166C1167" w:rsidR="006B16FE" w:rsidRPr="003E29FB" w:rsidRDefault="006B16FE" w:rsidP="006B16FE">
            <w:pPr>
              <w:pStyle w:val="CETBodytext"/>
              <w:ind w:right="-1"/>
              <w:rPr>
                <w:rFonts w:cs="Arial"/>
                <w:szCs w:val="18"/>
                <w:lang w:val="en-GB"/>
              </w:rPr>
            </w:pPr>
            <w:r w:rsidRPr="003E29FB">
              <w:rPr>
                <w:lang w:val="en-GB"/>
              </w:rPr>
              <w:t>25</w:t>
            </w:r>
          </w:p>
        </w:tc>
      </w:tr>
      <w:tr w:rsidR="006B16FE" w:rsidRPr="003E29FB" w14:paraId="0ADA3050" w14:textId="77777777" w:rsidTr="006B16FE">
        <w:tc>
          <w:tcPr>
            <w:tcW w:w="2127" w:type="dxa"/>
            <w:shd w:val="clear" w:color="auto" w:fill="FFFFFF"/>
            <w:vAlign w:val="center"/>
          </w:tcPr>
          <w:p w14:paraId="139E494F" w14:textId="4AE46B18" w:rsidR="006B16FE" w:rsidRPr="003E29FB" w:rsidRDefault="006B16FE" w:rsidP="006B16FE">
            <w:pPr>
              <w:pStyle w:val="CETBodytext"/>
              <w:ind w:right="-1"/>
              <w:rPr>
                <w:rFonts w:cs="Arial"/>
                <w:szCs w:val="18"/>
                <w:lang w:val="en-GB"/>
              </w:rPr>
            </w:pPr>
            <w:r w:rsidRPr="003E29FB">
              <w:rPr>
                <w:lang w:val="en-GB"/>
              </w:rPr>
              <w:t>Motor Gasoline RVP 13</w:t>
            </w:r>
          </w:p>
        </w:tc>
        <w:tc>
          <w:tcPr>
            <w:tcW w:w="1134" w:type="dxa"/>
            <w:shd w:val="clear" w:color="auto" w:fill="FFFFFF"/>
            <w:vAlign w:val="center"/>
          </w:tcPr>
          <w:p w14:paraId="3A6F16AB" w14:textId="37ED46EB" w:rsidR="006B16FE" w:rsidRPr="003E29FB" w:rsidRDefault="006B16FE" w:rsidP="006B16FE">
            <w:pPr>
              <w:pStyle w:val="CETBodytext"/>
              <w:ind w:right="-1"/>
              <w:rPr>
                <w:rFonts w:cs="Arial"/>
                <w:szCs w:val="18"/>
                <w:lang w:val="en-GB"/>
              </w:rPr>
            </w:pPr>
            <w:r w:rsidRPr="003E29FB">
              <w:rPr>
                <w:lang w:val="en-GB"/>
              </w:rPr>
              <w:t>1</w:t>
            </w:r>
          </w:p>
        </w:tc>
        <w:tc>
          <w:tcPr>
            <w:tcW w:w="1559" w:type="dxa"/>
            <w:shd w:val="clear" w:color="auto" w:fill="FFFFFF"/>
            <w:vAlign w:val="center"/>
          </w:tcPr>
          <w:p w14:paraId="52C57616" w14:textId="24C67EFD" w:rsidR="006B16FE" w:rsidRPr="003E29FB" w:rsidRDefault="006B16FE" w:rsidP="006B16FE">
            <w:pPr>
              <w:pStyle w:val="CETBodytext"/>
              <w:ind w:right="-1"/>
              <w:rPr>
                <w:rFonts w:cs="Arial"/>
                <w:szCs w:val="18"/>
                <w:lang w:val="en-GB"/>
              </w:rPr>
            </w:pPr>
            <w:r w:rsidRPr="003E29FB">
              <w:rPr>
                <w:lang w:val="en-GB"/>
              </w:rPr>
              <w:t>16907</w:t>
            </w:r>
          </w:p>
        </w:tc>
        <w:tc>
          <w:tcPr>
            <w:tcW w:w="1417" w:type="dxa"/>
            <w:shd w:val="clear" w:color="auto" w:fill="FFFFFF"/>
            <w:vAlign w:val="center"/>
          </w:tcPr>
          <w:p w14:paraId="7C500D45" w14:textId="6E026CAD" w:rsidR="006B16FE" w:rsidRPr="003E29FB" w:rsidRDefault="006B16FE" w:rsidP="006B16FE">
            <w:pPr>
              <w:pStyle w:val="CETBodytext"/>
              <w:ind w:right="-1"/>
              <w:rPr>
                <w:rFonts w:cs="Arial"/>
                <w:szCs w:val="18"/>
                <w:lang w:val="en-GB"/>
              </w:rPr>
            </w:pPr>
            <w:r w:rsidRPr="003E29FB">
              <w:rPr>
                <w:lang w:val="en-GB"/>
              </w:rPr>
              <w:t>16907</w:t>
            </w:r>
          </w:p>
        </w:tc>
        <w:tc>
          <w:tcPr>
            <w:tcW w:w="1134" w:type="dxa"/>
            <w:shd w:val="clear" w:color="auto" w:fill="FFFFFF"/>
            <w:vAlign w:val="center"/>
          </w:tcPr>
          <w:p w14:paraId="261A03C2" w14:textId="6E100E99" w:rsidR="006B16FE" w:rsidRPr="003E29FB" w:rsidRDefault="006B16FE" w:rsidP="006B16FE">
            <w:pPr>
              <w:pStyle w:val="CETBodytext"/>
              <w:ind w:right="-1"/>
              <w:rPr>
                <w:rFonts w:cs="Arial"/>
                <w:szCs w:val="18"/>
                <w:lang w:val="en-GB"/>
              </w:rPr>
            </w:pPr>
            <w:r w:rsidRPr="003E29FB">
              <w:rPr>
                <w:lang w:val="en-GB"/>
              </w:rPr>
              <w:t>0%</w:t>
            </w:r>
          </w:p>
        </w:tc>
        <w:tc>
          <w:tcPr>
            <w:tcW w:w="1416" w:type="dxa"/>
            <w:shd w:val="clear" w:color="auto" w:fill="FFFFFF"/>
            <w:vAlign w:val="center"/>
          </w:tcPr>
          <w:p w14:paraId="4F0EEE56" w14:textId="790CF731" w:rsidR="006B16FE" w:rsidRPr="003E29FB" w:rsidRDefault="006B16FE" w:rsidP="006B16FE">
            <w:pPr>
              <w:pStyle w:val="CETBodytext"/>
              <w:ind w:right="-1"/>
              <w:rPr>
                <w:rFonts w:cs="Arial"/>
                <w:szCs w:val="18"/>
                <w:lang w:val="en-GB"/>
              </w:rPr>
            </w:pPr>
            <w:r w:rsidRPr="003E29FB">
              <w:rPr>
                <w:lang w:val="en-GB"/>
              </w:rPr>
              <w:t>25</w:t>
            </w:r>
          </w:p>
        </w:tc>
      </w:tr>
      <w:tr w:rsidR="006B16FE" w:rsidRPr="003E29FB" w14:paraId="444C9736" w14:textId="77777777" w:rsidTr="006B16FE">
        <w:tc>
          <w:tcPr>
            <w:tcW w:w="2127" w:type="dxa"/>
            <w:shd w:val="clear" w:color="auto" w:fill="FFFFFF"/>
            <w:vAlign w:val="center"/>
          </w:tcPr>
          <w:p w14:paraId="21D5DAFA" w14:textId="01741D7F" w:rsidR="006B16FE" w:rsidRPr="003E29FB" w:rsidRDefault="006B16FE" w:rsidP="006B16FE">
            <w:pPr>
              <w:pStyle w:val="CETBodytext"/>
              <w:ind w:right="-1"/>
              <w:rPr>
                <w:rFonts w:cs="Arial"/>
                <w:szCs w:val="18"/>
                <w:lang w:val="en-GB"/>
              </w:rPr>
            </w:pPr>
            <w:r w:rsidRPr="003E29FB">
              <w:rPr>
                <w:lang w:val="en-GB"/>
              </w:rPr>
              <w:t>Jet naphtha (JP-4)</w:t>
            </w:r>
          </w:p>
        </w:tc>
        <w:tc>
          <w:tcPr>
            <w:tcW w:w="1134" w:type="dxa"/>
            <w:shd w:val="clear" w:color="auto" w:fill="FFFFFF"/>
            <w:vAlign w:val="center"/>
          </w:tcPr>
          <w:p w14:paraId="243E661D" w14:textId="5E9C4D01" w:rsidR="006B16FE" w:rsidRPr="003E29FB" w:rsidRDefault="006B16FE" w:rsidP="006B16FE">
            <w:pPr>
              <w:pStyle w:val="CETBodytext"/>
              <w:ind w:right="-1"/>
              <w:rPr>
                <w:rFonts w:cs="Arial"/>
                <w:szCs w:val="18"/>
                <w:lang w:val="en-GB"/>
              </w:rPr>
            </w:pPr>
            <w:r w:rsidRPr="003E29FB">
              <w:rPr>
                <w:lang w:val="en-GB"/>
              </w:rPr>
              <w:t>9</w:t>
            </w:r>
          </w:p>
        </w:tc>
        <w:tc>
          <w:tcPr>
            <w:tcW w:w="1559" w:type="dxa"/>
            <w:shd w:val="clear" w:color="auto" w:fill="FFFFFF"/>
            <w:vAlign w:val="center"/>
          </w:tcPr>
          <w:p w14:paraId="08E03BD8" w14:textId="2D42FE3A" w:rsidR="006B16FE" w:rsidRPr="003E29FB" w:rsidRDefault="006B16FE" w:rsidP="006B16FE">
            <w:pPr>
              <w:pStyle w:val="CETBodytext"/>
              <w:ind w:right="-1"/>
              <w:rPr>
                <w:rFonts w:cs="Arial"/>
                <w:szCs w:val="18"/>
                <w:lang w:val="en-GB"/>
              </w:rPr>
            </w:pPr>
            <w:r w:rsidRPr="003E29FB">
              <w:rPr>
                <w:lang w:val="en-GB"/>
              </w:rPr>
              <w:t>16957</w:t>
            </w:r>
          </w:p>
        </w:tc>
        <w:tc>
          <w:tcPr>
            <w:tcW w:w="1417" w:type="dxa"/>
            <w:shd w:val="clear" w:color="auto" w:fill="FFFFFF"/>
            <w:vAlign w:val="center"/>
          </w:tcPr>
          <w:p w14:paraId="1D648C60" w14:textId="7E1FB45C" w:rsidR="006B16FE" w:rsidRPr="003E29FB" w:rsidRDefault="006B16FE" w:rsidP="006B16FE">
            <w:pPr>
              <w:pStyle w:val="CETBodytext"/>
              <w:ind w:right="-1"/>
              <w:rPr>
                <w:rFonts w:cs="Arial"/>
                <w:szCs w:val="18"/>
                <w:lang w:val="en-GB"/>
              </w:rPr>
            </w:pPr>
            <w:r w:rsidRPr="003E29FB">
              <w:rPr>
                <w:lang w:val="en-GB"/>
              </w:rPr>
              <w:t>16413</w:t>
            </w:r>
          </w:p>
        </w:tc>
        <w:tc>
          <w:tcPr>
            <w:tcW w:w="1134" w:type="dxa"/>
            <w:shd w:val="clear" w:color="auto" w:fill="FFFFFF"/>
            <w:vAlign w:val="center"/>
          </w:tcPr>
          <w:p w14:paraId="3569F1DD" w14:textId="21571D97" w:rsidR="006B16FE" w:rsidRPr="003E29FB" w:rsidRDefault="006B16FE" w:rsidP="006B16FE">
            <w:pPr>
              <w:pStyle w:val="CETBodytext"/>
              <w:ind w:right="-1"/>
              <w:rPr>
                <w:rFonts w:cs="Arial"/>
                <w:szCs w:val="18"/>
                <w:lang w:val="en-GB"/>
              </w:rPr>
            </w:pPr>
            <w:r w:rsidRPr="003E29FB">
              <w:rPr>
                <w:lang w:val="en-GB"/>
              </w:rPr>
              <w:t>3%</w:t>
            </w:r>
          </w:p>
        </w:tc>
        <w:tc>
          <w:tcPr>
            <w:tcW w:w="1416" w:type="dxa"/>
            <w:shd w:val="clear" w:color="auto" w:fill="FFFFFF"/>
            <w:vAlign w:val="center"/>
          </w:tcPr>
          <w:p w14:paraId="3C708935" w14:textId="2617008D" w:rsidR="006B16FE" w:rsidRPr="003E29FB" w:rsidRDefault="006B16FE" w:rsidP="006B16FE">
            <w:pPr>
              <w:pStyle w:val="CETBodytext"/>
              <w:ind w:right="-1"/>
              <w:rPr>
                <w:rFonts w:cs="Arial"/>
                <w:szCs w:val="18"/>
                <w:lang w:val="en-GB"/>
              </w:rPr>
            </w:pPr>
            <w:r w:rsidRPr="003E29FB">
              <w:rPr>
                <w:lang w:val="en-GB"/>
              </w:rPr>
              <w:t>26</w:t>
            </w:r>
          </w:p>
        </w:tc>
      </w:tr>
      <w:tr w:rsidR="006B16FE" w:rsidRPr="003E29FB" w14:paraId="78172F74" w14:textId="77777777" w:rsidTr="006B16FE">
        <w:tc>
          <w:tcPr>
            <w:tcW w:w="2127" w:type="dxa"/>
            <w:shd w:val="clear" w:color="auto" w:fill="FFFFFF"/>
            <w:vAlign w:val="center"/>
          </w:tcPr>
          <w:p w14:paraId="538372F0" w14:textId="5B7CDAC4" w:rsidR="006B16FE" w:rsidRPr="003E29FB" w:rsidRDefault="006B16FE" w:rsidP="006B16FE">
            <w:pPr>
              <w:pStyle w:val="CETBodytext"/>
              <w:ind w:right="-1"/>
              <w:rPr>
                <w:rFonts w:cs="Arial"/>
                <w:szCs w:val="18"/>
                <w:lang w:val="en-GB"/>
              </w:rPr>
            </w:pPr>
            <w:r w:rsidRPr="003E29FB">
              <w:rPr>
                <w:lang w:val="en-GB"/>
              </w:rPr>
              <w:t>Jet kerosene</w:t>
            </w:r>
          </w:p>
        </w:tc>
        <w:tc>
          <w:tcPr>
            <w:tcW w:w="1134" w:type="dxa"/>
            <w:shd w:val="clear" w:color="auto" w:fill="FFFFFF"/>
            <w:vAlign w:val="center"/>
          </w:tcPr>
          <w:p w14:paraId="74DD5433" w14:textId="5FE17E39" w:rsidR="006B16FE" w:rsidRPr="003E29FB" w:rsidRDefault="006B16FE" w:rsidP="006B16FE">
            <w:pPr>
              <w:pStyle w:val="CETBodytext"/>
              <w:ind w:right="-1"/>
              <w:rPr>
                <w:rFonts w:cs="Arial"/>
                <w:szCs w:val="18"/>
                <w:lang w:val="en-GB"/>
              </w:rPr>
            </w:pPr>
            <w:r w:rsidRPr="003E29FB">
              <w:rPr>
                <w:lang w:val="en-GB"/>
              </w:rPr>
              <w:t>9</w:t>
            </w:r>
          </w:p>
        </w:tc>
        <w:tc>
          <w:tcPr>
            <w:tcW w:w="1559" w:type="dxa"/>
            <w:shd w:val="clear" w:color="auto" w:fill="FFFFFF"/>
            <w:vAlign w:val="center"/>
          </w:tcPr>
          <w:p w14:paraId="69F421C2" w14:textId="68B4358F" w:rsidR="006B16FE" w:rsidRPr="003E29FB" w:rsidRDefault="006B16FE" w:rsidP="006B16FE">
            <w:pPr>
              <w:pStyle w:val="CETBodytext"/>
              <w:ind w:right="-1"/>
              <w:rPr>
                <w:rFonts w:cs="Arial"/>
                <w:szCs w:val="18"/>
                <w:lang w:val="en-GB"/>
              </w:rPr>
            </w:pPr>
            <w:r w:rsidRPr="003E29FB">
              <w:rPr>
                <w:lang w:val="en-GB"/>
              </w:rPr>
              <w:t>542</w:t>
            </w:r>
          </w:p>
        </w:tc>
        <w:tc>
          <w:tcPr>
            <w:tcW w:w="1417" w:type="dxa"/>
            <w:shd w:val="clear" w:color="auto" w:fill="FFFFFF"/>
            <w:vAlign w:val="center"/>
          </w:tcPr>
          <w:p w14:paraId="55C00BC8" w14:textId="64779B85" w:rsidR="006B16FE" w:rsidRPr="003E29FB" w:rsidRDefault="006B16FE" w:rsidP="006B16FE">
            <w:pPr>
              <w:pStyle w:val="CETBodytext"/>
              <w:ind w:right="-1"/>
              <w:rPr>
                <w:rFonts w:cs="Arial"/>
                <w:szCs w:val="18"/>
                <w:lang w:val="en-GB"/>
              </w:rPr>
            </w:pPr>
            <w:r w:rsidRPr="003E29FB">
              <w:rPr>
                <w:lang w:val="en-GB"/>
              </w:rPr>
              <w:t>533</w:t>
            </w:r>
          </w:p>
        </w:tc>
        <w:tc>
          <w:tcPr>
            <w:tcW w:w="1134" w:type="dxa"/>
            <w:shd w:val="clear" w:color="auto" w:fill="FFFFFF"/>
            <w:vAlign w:val="center"/>
          </w:tcPr>
          <w:p w14:paraId="4390DE9C" w14:textId="5B961EB9" w:rsidR="006B16FE" w:rsidRPr="003E29FB" w:rsidRDefault="006B16FE" w:rsidP="006B16FE">
            <w:pPr>
              <w:pStyle w:val="CETBodytext"/>
              <w:ind w:right="-1"/>
              <w:rPr>
                <w:rFonts w:cs="Arial"/>
                <w:szCs w:val="18"/>
                <w:lang w:val="en-GB"/>
              </w:rPr>
            </w:pPr>
            <w:r w:rsidRPr="003E29FB">
              <w:rPr>
                <w:lang w:val="en-GB"/>
              </w:rPr>
              <w:t>2%</w:t>
            </w:r>
          </w:p>
        </w:tc>
        <w:tc>
          <w:tcPr>
            <w:tcW w:w="1416" w:type="dxa"/>
            <w:shd w:val="clear" w:color="auto" w:fill="FFFFFF"/>
            <w:vAlign w:val="center"/>
          </w:tcPr>
          <w:p w14:paraId="27B8D02E" w14:textId="29257E25" w:rsidR="006B16FE" w:rsidRPr="003E29FB" w:rsidRDefault="006B16FE" w:rsidP="006B16FE">
            <w:pPr>
              <w:pStyle w:val="CETBodytext"/>
              <w:ind w:right="-1"/>
              <w:rPr>
                <w:rFonts w:cs="Arial"/>
                <w:szCs w:val="18"/>
                <w:lang w:val="en-GB"/>
              </w:rPr>
            </w:pPr>
            <w:r w:rsidRPr="003E29FB">
              <w:rPr>
                <w:lang w:val="en-GB"/>
              </w:rPr>
              <w:t>27</w:t>
            </w:r>
          </w:p>
        </w:tc>
      </w:tr>
      <w:tr w:rsidR="006B16FE" w:rsidRPr="003E29FB" w14:paraId="13627F70" w14:textId="77777777" w:rsidTr="006B16FE">
        <w:tc>
          <w:tcPr>
            <w:tcW w:w="2127" w:type="dxa"/>
            <w:shd w:val="clear" w:color="auto" w:fill="FFFFFF"/>
            <w:vAlign w:val="center"/>
          </w:tcPr>
          <w:p w14:paraId="223C3FE8" w14:textId="1E650A3D" w:rsidR="006B16FE" w:rsidRPr="003E29FB" w:rsidRDefault="006B16FE" w:rsidP="006B16FE">
            <w:pPr>
              <w:pStyle w:val="CETBodytext"/>
              <w:ind w:right="-1"/>
              <w:rPr>
                <w:rFonts w:cs="Arial"/>
                <w:szCs w:val="18"/>
                <w:lang w:val="en-GB"/>
              </w:rPr>
            </w:pPr>
            <w:r w:rsidRPr="003E29FB">
              <w:rPr>
                <w:lang w:val="en-GB"/>
              </w:rPr>
              <w:t>Distillate fuel oil No. 2</w:t>
            </w:r>
          </w:p>
        </w:tc>
        <w:tc>
          <w:tcPr>
            <w:tcW w:w="1134" w:type="dxa"/>
            <w:shd w:val="clear" w:color="auto" w:fill="FFFFFF"/>
            <w:vAlign w:val="center"/>
          </w:tcPr>
          <w:p w14:paraId="7C6C67DE" w14:textId="254693DD" w:rsidR="006B16FE" w:rsidRPr="003E29FB" w:rsidRDefault="006B16FE" w:rsidP="006B16FE">
            <w:pPr>
              <w:pStyle w:val="CETBodytext"/>
              <w:ind w:right="-1"/>
              <w:rPr>
                <w:rFonts w:cs="Arial"/>
                <w:szCs w:val="18"/>
                <w:lang w:val="en-GB"/>
              </w:rPr>
            </w:pPr>
            <w:r w:rsidRPr="003E29FB">
              <w:rPr>
                <w:lang w:val="en-GB"/>
              </w:rPr>
              <w:t>30</w:t>
            </w:r>
          </w:p>
        </w:tc>
        <w:tc>
          <w:tcPr>
            <w:tcW w:w="1559" w:type="dxa"/>
            <w:shd w:val="clear" w:color="auto" w:fill="FFFFFF"/>
            <w:vAlign w:val="center"/>
          </w:tcPr>
          <w:p w14:paraId="65D99F84" w14:textId="1FA346A0" w:rsidR="006B16FE" w:rsidRPr="003E29FB" w:rsidRDefault="006B16FE" w:rsidP="006B16FE">
            <w:pPr>
              <w:pStyle w:val="CETBodytext"/>
              <w:ind w:right="-1"/>
              <w:rPr>
                <w:rFonts w:cs="Arial"/>
                <w:szCs w:val="18"/>
                <w:lang w:val="en-GB"/>
              </w:rPr>
            </w:pPr>
            <w:r w:rsidRPr="003E29FB">
              <w:rPr>
                <w:lang w:val="en-GB"/>
              </w:rPr>
              <w:t>2485</w:t>
            </w:r>
          </w:p>
        </w:tc>
        <w:tc>
          <w:tcPr>
            <w:tcW w:w="1417" w:type="dxa"/>
            <w:shd w:val="clear" w:color="auto" w:fill="FFFFFF"/>
            <w:vAlign w:val="center"/>
          </w:tcPr>
          <w:p w14:paraId="68C96C22" w14:textId="55D92A96" w:rsidR="006B16FE" w:rsidRPr="003E29FB" w:rsidRDefault="006B16FE" w:rsidP="006B16FE">
            <w:pPr>
              <w:pStyle w:val="CETBodytext"/>
              <w:ind w:right="-1"/>
              <w:rPr>
                <w:rFonts w:cs="Arial"/>
                <w:szCs w:val="18"/>
                <w:lang w:val="en-GB"/>
              </w:rPr>
            </w:pPr>
            <w:r w:rsidRPr="003E29FB">
              <w:rPr>
                <w:lang w:val="en-GB"/>
              </w:rPr>
              <w:t>1753</w:t>
            </w:r>
          </w:p>
        </w:tc>
        <w:tc>
          <w:tcPr>
            <w:tcW w:w="1134" w:type="dxa"/>
            <w:shd w:val="clear" w:color="auto" w:fill="FFFFFF"/>
            <w:vAlign w:val="center"/>
          </w:tcPr>
          <w:p w14:paraId="124644BF" w14:textId="07439AC1" w:rsidR="006B16FE" w:rsidRPr="003E29FB" w:rsidRDefault="006B16FE" w:rsidP="006B16FE">
            <w:pPr>
              <w:pStyle w:val="CETBodytext"/>
              <w:ind w:right="-1"/>
              <w:rPr>
                <w:rFonts w:cs="Arial"/>
                <w:szCs w:val="18"/>
                <w:lang w:val="en-GB"/>
              </w:rPr>
            </w:pPr>
            <w:r w:rsidRPr="003E29FB">
              <w:rPr>
                <w:lang w:val="en-GB"/>
              </w:rPr>
              <w:t>29%</w:t>
            </w:r>
          </w:p>
        </w:tc>
        <w:tc>
          <w:tcPr>
            <w:tcW w:w="1416" w:type="dxa"/>
            <w:shd w:val="clear" w:color="auto" w:fill="FFFFFF"/>
            <w:vAlign w:val="center"/>
          </w:tcPr>
          <w:p w14:paraId="2CC8188C" w14:textId="4794A4EC" w:rsidR="006B16FE" w:rsidRPr="003E29FB" w:rsidRDefault="006B16FE" w:rsidP="006B16FE">
            <w:pPr>
              <w:pStyle w:val="CETBodytext"/>
              <w:ind w:right="-1"/>
              <w:rPr>
                <w:rFonts w:cs="Arial"/>
                <w:szCs w:val="18"/>
                <w:lang w:val="en-GB"/>
              </w:rPr>
            </w:pPr>
            <w:r w:rsidRPr="003E29FB">
              <w:rPr>
                <w:lang w:val="en-GB"/>
              </w:rPr>
              <w:t>41</w:t>
            </w:r>
          </w:p>
        </w:tc>
      </w:tr>
      <w:tr w:rsidR="006B16FE" w:rsidRPr="003E29FB" w14:paraId="745CAC21" w14:textId="77777777" w:rsidTr="006B16FE">
        <w:tc>
          <w:tcPr>
            <w:tcW w:w="2127" w:type="dxa"/>
            <w:shd w:val="clear" w:color="auto" w:fill="FFFFFF"/>
            <w:vAlign w:val="center"/>
          </w:tcPr>
          <w:p w14:paraId="791A65B2" w14:textId="2C87BE2A" w:rsidR="006B16FE" w:rsidRPr="003E29FB" w:rsidRDefault="006B16FE" w:rsidP="006B16FE">
            <w:pPr>
              <w:pStyle w:val="CETBodytext"/>
              <w:ind w:right="-1"/>
              <w:rPr>
                <w:rFonts w:cs="Arial"/>
                <w:szCs w:val="18"/>
                <w:lang w:val="en-GB"/>
              </w:rPr>
            </w:pPr>
            <w:r w:rsidRPr="003E29FB">
              <w:rPr>
                <w:lang w:val="en-GB"/>
              </w:rPr>
              <w:t>No. 6 fuel oil</w:t>
            </w:r>
          </w:p>
        </w:tc>
        <w:tc>
          <w:tcPr>
            <w:tcW w:w="1134" w:type="dxa"/>
            <w:shd w:val="clear" w:color="auto" w:fill="FFFFFF"/>
            <w:vAlign w:val="center"/>
          </w:tcPr>
          <w:p w14:paraId="04BC66C9" w14:textId="6E970F39" w:rsidR="006B16FE" w:rsidRPr="003E29FB" w:rsidRDefault="006B16FE" w:rsidP="006B16FE">
            <w:pPr>
              <w:pStyle w:val="CETBodytext"/>
              <w:ind w:right="-1"/>
              <w:rPr>
                <w:rFonts w:cs="Arial"/>
                <w:szCs w:val="18"/>
                <w:lang w:val="en-GB"/>
              </w:rPr>
            </w:pPr>
            <w:r w:rsidRPr="003E29FB">
              <w:rPr>
                <w:lang w:val="en-GB"/>
              </w:rPr>
              <w:t>12</w:t>
            </w:r>
          </w:p>
        </w:tc>
        <w:tc>
          <w:tcPr>
            <w:tcW w:w="1559" w:type="dxa"/>
            <w:shd w:val="clear" w:color="auto" w:fill="FFFFFF"/>
            <w:vAlign w:val="center"/>
          </w:tcPr>
          <w:p w14:paraId="4ABFF014" w14:textId="342FDFDD" w:rsidR="006B16FE" w:rsidRPr="003E29FB" w:rsidRDefault="006B16FE" w:rsidP="006B16FE">
            <w:pPr>
              <w:pStyle w:val="CETBodytext"/>
              <w:ind w:right="-1"/>
              <w:rPr>
                <w:rFonts w:cs="Arial"/>
                <w:szCs w:val="18"/>
                <w:lang w:val="en-GB"/>
              </w:rPr>
            </w:pPr>
            <w:r w:rsidRPr="003E29FB">
              <w:rPr>
                <w:lang w:val="en-GB"/>
              </w:rPr>
              <w:t>889</w:t>
            </w:r>
          </w:p>
        </w:tc>
        <w:tc>
          <w:tcPr>
            <w:tcW w:w="1417" w:type="dxa"/>
            <w:shd w:val="clear" w:color="auto" w:fill="FFFFFF"/>
            <w:vAlign w:val="center"/>
          </w:tcPr>
          <w:p w14:paraId="406A1EE9" w14:textId="2BABF954" w:rsidR="006B16FE" w:rsidRPr="003E29FB" w:rsidRDefault="006B16FE" w:rsidP="006B16FE">
            <w:pPr>
              <w:pStyle w:val="CETBodytext"/>
              <w:ind w:right="-1"/>
              <w:rPr>
                <w:rFonts w:cs="Arial"/>
                <w:szCs w:val="18"/>
                <w:lang w:val="en-GB"/>
              </w:rPr>
            </w:pPr>
            <w:r w:rsidRPr="003E29FB">
              <w:rPr>
                <w:lang w:val="en-GB"/>
              </w:rPr>
              <w:t>386</w:t>
            </w:r>
          </w:p>
        </w:tc>
        <w:tc>
          <w:tcPr>
            <w:tcW w:w="1134" w:type="dxa"/>
            <w:shd w:val="clear" w:color="auto" w:fill="FFFFFF"/>
            <w:vAlign w:val="center"/>
          </w:tcPr>
          <w:p w14:paraId="42309CD9" w14:textId="7F88CF66" w:rsidR="006B16FE" w:rsidRPr="003E29FB" w:rsidRDefault="006B16FE" w:rsidP="006B16FE">
            <w:pPr>
              <w:pStyle w:val="CETBodytext"/>
              <w:ind w:right="-1"/>
              <w:rPr>
                <w:rFonts w:cs="Arial"/>
                <w:szCs w:val="18"/>
                <w:lang w:val="en-GB"/>
              </w:rPr>
            </w:pPr>
            <w:r w:rsidRPr="003E29FB">
              <w:rPr>
                <w:lang w:val="en-GB"/>
              </w:rPr>
              <w:t>57%</w:t>
            </w:r>
          </w:p>
        </w:tc>
        <w:tc>
          <w:tcPr>
            <w:tcW w:w="1416" w:type="dxa"/>
            <w:shd w:val="clear" w:color="auto" w:fill="FFFFFF"/>
            <w:vAlign w:val="center"/>
          </w:tcPr>
          <w:p w14:paraId="5DFE0041" w14:textId="3E896BA0" w:rsidR="006B16FE" w:rsidRPr="003E29FB" w:rsidRDefault="006B16FE" w:rsidP="006B16FE">
            <w:pPr>
              <w:pStyle w:val="CETBodytext"/>
              <w:ind w:right="-1"/>
              <w:rPr>
                <w:rFonts w:cs="Arial"/>
                <w:szCs w:val="18"/>
                <w:lang w:val="en-GB"/>
              </w:rPr>
            </w:pPr>
            <w:r w:rsidRPr="003E29FB">
              <w:rPr>
                <w:lang w:val="en-GB"/>
              </w:rPr>
              <w:t>64</w:t>
            </w:r>
          </w:p>
        </w:tc>
      </w:tr>
      <w:tr w:rsidR="006B16FE" w:rsidRPr="003E29FB" w14:paraId="26E7446C" w14:textId="77777777" w:rsidTr="00920FCA">
        <w:tc>
          <w:tcPr>
            <w:tcW w:w="2127" w:type="dxa"/>
            <w:shd w:val="clear" w:color="auto" w:fill="FFFFFF"/>
            <w:vAlign w:val="center"/>
          </w:tcPr>
          <w:p w14:paraId="359C1A8D" w14:textId="7B655A7C" w:rsidR="006B16FE" w:rsidRPr="003E29FB" w:rsidRDefault="006B16FE" w:rsidP="006B16FE">
            <w:pPr>
              <w:pStyle w:val="CETBodytext"/>
              <w:ind w:right="-1"/>
              <w:rPr>
                <w:lang w:val="en-GB"/>
              </w:rPr>
            </w:pPr>
            <w:r w:rsidRPr="003E29FB">
              <w:rPr>
                <w:b/>
                <w:lang w:val="en-GB"/>
              </w:rPr>
              <w:t>TOTAL</w:t>
            </w:r>
          </w:p>
        </w:tc>
        <w:tc>
          <w:tcPr>
            <w:tcW w:w="1134" w:type="dxa"/>
            <w:shd w:val="clear" w:color="auto" w:fill="FFFFFF"/>
          </w:tcPr>
          <w:p w14:paraId="40B363C5" w14:textId="7A4D421D" w:rsidR="006B16FE" w:rsidRPr="003E29FB" w:rsidRDefault="006B16FE" w:rsidP="006B16FE">
            <w:pPr>
              <w:pStyle w:val="CETBodytext"/>
              <w:ind w:right="-1"/>
              <w:rPr>
                <w:lang w:val="en-GB"/>
              </w:rPr>
            </w:pPr>
            <w:r w:rsidRPr="003E29FB">
              <w:rPr>
                <w:b/>
                <w:lang w:val="en-GB"/>
              </w:rPr>
              <w:t>89</w:t>
            </w:r>
          </w:p>
        </w:tc>
        <w:tc>
          <w:tcPr>
            <w:tcW w:w="1559" w:type="dxa"/>
            <w:shd w:val="clear" w:color="auto" w:fill="FFFFFF"/>
          </w:tcPr>
          <w:p w14:paraId="3D076085" w14:textId="00EE4CE6" w:rsidR="006B16FE" w:rsidRPr="003E29FB" w:rsidRDefault="006B16FE" w:rsidP="006B16FE">
            <w:pPr>
              <w:pStyle w:val="CETBodytext"/>
              <w:ind w:right="-1"/>
              <w:rPr>
                <w:lang w:val="en-GB"/>
              </w:rPr>
            </w:pPr>
            <w:r w:rsidRPr="003E29FB">
              <w:rPr>
                <w:b/>
                <w:lang w:val="en-GB"/>
              </w:rPr>
              <w:t>217801</w:t>
            </w:r>
          </w:p>
        </w:tc>
        <w:tc>
          <w:tcPr>
            <w:tcW w:w="1417" w:type="dxa"/>
            <w:shd w:val="clear" w:color="auto" w:fill="FFFFFF"/>
          </w:tcPr>
          <w:p w14:paraId="5F0EB3FE" w14:textId="5108B87E" w:rsidR="006B16FE" w:rsidRPr="003E29FB" w:rsidRDefault="006B16FE" w:rsidP="006B16FE">
            <w:pPr>
              <w:pStyle w:val="CETBodytext"/>
              <w:ind w:right="-1"/>
              <w:rPr>
                <w:lang w:val="en-GB"/>
              </w:rPr>
            </w:pPr>
            <w:r w:rsidRPr="003E29FB">
              <w:rPr>
                <w:b/>
                <w:lang w:val="en-GB"/>
              </w:rPr>
              <w:t>216014</w:t>
            </w:r>
          </w:p>
        </w:tc>
        <w:tc>
          <w:tcPr>
            <w:tcW w:w="1134" w:type="dxa"/>
            <w:shd w:val="clear" w:color="auto" w:fill="FFFFFF"/>
          </w:tcPr>
          <w:p w14:paraId="521C03C5" w14:textId="569AA8AB" w:rsidR="006B16FE" w:rsidRPr="003E29FB" w:rsidRDefault="006B16FE" w:rsidP="006B16FE">
            <w:pPr>
              <w:pStyle w:val="CETBodytext"/>
              <w:ind w:right="-1"/>
              <w:rPr>
                <w:lang w:val="en-GB"/>
              </w:rPr>
            </w:pPr>
            <w:r w:rsidRPr="003E29FB">
              <w:rPr>
                <w:b/>
                <w:lang w:val="en-GB"/>
              </w:rPr>
              <w:t>1%</w:t>
            </w:r>
          </w:p>
        </w:tc>
        <w:tc>
          <w:tcPr>
            <w:tcW w:w="1416" w:type="dxa"/>
            <w:shd w:val="clear" w:color="auto" w:fill="FFFFFF"/>
          </w:tcPr>
          <w:p w14:paraId="17C97702" w14:textId="064586D6" w:rsidR="006B16FE" w:rsidRPr="003E29FB" w:rsidRDefault="006B16FE" w:rsidP="006B16FE">
            <w:pPr>
              <w:pStyle w:val="CETBodytext"/>
              <w:ind w:right="-1"/>
              <w:rPr>
                <w:lang w:val="en-GB"/>
              </w:rPr>
            </w:pPr>
            <w:r w:rsidRPr="003E29FB">
              <w:rPr>
                <w:b/>
                <w:lang w:val="en-GB"/>
              </w:rPr>
              <w:t>37</w:t>
            </w:r>
          </w:p>
        </w:tc>
      </w:tr>
    </w:tbl>
    <w:p w14:paraId="381F0ABE" w14:textId="629F4B83" w:rsidR="00AE3CA9" w:rsidRPr="003E29FB" w:rsidRDefault="00AE3CA9" w:rsidP="00AE3CA9">
      <w:pPr>
        <w:pStyle w:val="CETBodytext"/>
        <w:rPr>
          <w:lang w:val="en-GB"/>
        </w:rPr>
      </w:pPr>
      <w:r w:rsidRPr="003E29FB">
        <w:rPr>
          <w:lang w:val="en-GB"/>
        </w:rPr>
        <w:t>The overall estimation of the VOC flux from EFRT seems not to be very sensitive to the new method for the calculation of the vapour pressure: the greatest amount of VOC emission is due to light mixture (e.g. gasolines) because of their high vapour pressure. In order to minimize VOC emission</w:t>
      </w:r>
      <w:r w:rsidR="009F7B10">
        <w:rPr>
          <w:lang w:val="en-GB"/>
        </w:rPr>
        <w:t>,</w:t>
      </w:r>
      <w:r w:rsidRPr="003E29FB">
        <w:rPr>
          <w:lang w:val="en-GB"/>
        </w:rPr>
        <w:t xml:space="preserve"> their stock temperature i</w:t>
      </w:r>
      <w:r w:rsidR="006B16FE" w:rsidRPr="003E29FB">
        <w:rPr>
          <w:lang w:val="en-GB"/>
        </w:rPr>
        <w:t>s always less than 37°C. In these</w:t>
      </w:r>
      <w:r w:rsidRPr="003E29FB">
        <w:rPr>
          <w:lang w:val="en-GB"/>
        </w:rPr>
        <w:t xml:space="preserve"> case</w:t>
      </w:r>
      <w:r w:rsidR="006B16FE" w:rsidRPr="003E29FB">
        <w:rPr>
          <w:lang w:val="en-GB"/>
        </w:rPr>
        <w:t>s,</w:t>
      </w:r>
      <w:r w:rsidRPr="003E29FB">
        <w:rPr>
          <w:lang w:val="en-GB"/>
        </w:rPr>
        <w:t xml:space="preserve"> the use of Antoine’s equation does not affect the results perceptibly. </w:t>
      </w:r>
    </w:p>
    <w:p w14:paraId="19EBDD7D" w14:textId="5A3BAD3C" w:rsidR="00AE3CA9" w:rsidRPr="003E29FB" w:rsidRDefault="00AE3CA9" w:rsidP="00AE3CA9">
      <w:pPr>
        <w:pStyle w:val="CETBodytext"/>
        <w:rPr>
          <w:lang w:val="en-GB"/>
        </w:rPr>
      </w:pPr>
      <w:r w:rsidRPr="003E29FB">
        <w:rPr>
          <w:lang w:val="en-GB"/>
        </w:rPr>
        <w:t xml:space="preserve">On the other hand, the oil cut which are stored at high temperature (up to 80°C), like fuel oil, show high differences with the use of new correlations: it is clear that the vapour pressure, calculated at the real temperature of each tank, is much higher than the maximum available </w:t>
      </w:r>
      <w:r w:rsidR="006B16FE" w:rsidRPr="003E29FB">
        <w:rPr>
          <w:lang w:val="en-GB"/>
        </w:rPr>
        <w:t>at 100 °F</w:t>
      </w:r>
      <w:r w:rsidRPr="003E29FB">
        <w:rPr>
          <w:lang w:val="en-GB"/>
        </w:rPr>
        <w:t xml:space="preserve"> </w:t>
      </w:r>
      <w:r w:rsidRPr="003E29FB">
        <w:rPr>
          <w:lang w:val="en-GB"/>
        </w:rPr>
        <w:fldChar w:fldCharType="begin" w:fldLock="1"/>
      </w:r>
      <w:r w:rsidRPr="003E29FB">
        <w:rPr>
          <w:lang w:val="en-GB"/>
        </w:rPr>
        <w:instrText>ADDIN CSL_CITATION {"citationItems":[{"id":"ITEM-1","itemData":{"author":[{"dropping-particle":"","family":"U.S. EPA","given":"","non-dropping-particle":"","parse-names":false,"suffix":""}],"id":"ITEM-1","issued":{"date-parts":[["2006"]]},"number-of-pages":"Section 7.1","title":"Emission Factor Documentation for AP-42 Organic Liquid Storage Tanks Final Report","type":"report"},"uris":["http://www.mendeley.com/documents/?uuid=f7e7486c-52ec-4cf1-9e89-fca274903e80"]}],"mendeley":{"formattedCitation":"(U.S. EPA, 2006)","plainTextFormattedCitation":"(U.S. EPA, 2006)","previouslyFormattedCitation":"(U.S. EPA, 2006)"},"properties":{"noteIndex":0},"schema":"https://github.com/citation-style-language/schema/raw/master/csl-citation.json"}</w:instrText>
      </w:r>
      <w:r w:rsidRPr="003E29FB">
        <w:rPr>
          <w:lang w:val="en-GB"/>
        </w:rPr>
        <w:fldChar w:fldCharType="separate"/>
      </w:r>
      <w:r w:rsidRPr="003E29FB">
        <w:rPr>
          <w:noProof/>
          <w:lang w:val="en-GB"/>
        </w:rPr>
        <w:t>(U.S. EPA, 2006)</w:t>
      </w:r>
      <w:r w:rsidRPr="003E29FB">
        <w:rPr>
          <w:lang w:val="en-GB"/>
        </w:rPr>
        <w:fldChar w:fldCharType="end"/>
      </w:r>
      <w:r w:rsidRPr="003E29FB">
        <w:rPr>
          <w:lang w:val="en-GB"/>
        </w:rPr>
        <w:t xml:space="preserve">. </w:t>
      </w:r>
    </w:p>
    <w:p w14:paraId="089CBC4F" w14:textId="5A07EC80" w:rsidR="00AE3CA9" w:rsidRPr="003E29FB" w:rsidRDefault="00AE3CA9" w:rsidP="00AE3CA9">
      <w:pPr>
        <w:pStyle w:val="CETBodytext"/>
        <w:rPr>
          <w:lang w:val="en-GB"/>
        </w:rPr>
      </w:pPr>
      <w:r w:rsidRPr="003E29FB">
        <w:rPr>
          <w:lang w:val="en-GB"/>
        </w:rPr>
        <w:t>Due to these findings, in order to correctly calculate the emission from heavy hydrocarbon tanks, it is s</w:t>
      </w:r>
      <w:r w:rsidR="00BA0451" w:rsidRPr="003E29FB">
        <w:rPr>
          <w:lang w:val="en-GB"/>
        </w:rPr>
        <w:t>trongly recommended the use of</w:t>
      </w:r>
      <w:r w:rsidRPr="003E29FB">
        <w:rPr>
          <w:lang w:val="en-GB"/>
        </w:rPr>
        <w:t xml:space="preserve"> most recent AP-42 correlations, in order to consider the proper vapour pressure</w:t>
      </w:r>
      <w:r w:rsidR="00BA0451" w:rsidRPr="003E29FB">
        <w:rPr>
          <w:lang w:val="en-GB"/>
        </w:rPr>
        <w:t>, above all</w:t>
      </w:r>
      <w:r w:rsidRPr="003E29FB">
        <w:rPr>
          <w:lang w:val="en-GB"/>
        </w:rPr>
        <w:t xml:space="preserve"> in case of heated tanks. </w:t>
      </w:r>
    </w:p>
    <w:p w14:paraId="7FF0E981" w14:textId="77777777" w:rsidR="00AE3CA9" w:rsidRPr="003E29FB" w:rsidRDefault="00AE3CA9" w:rsidP="006B16FE">
      <w:pPr>
        <w:pStyle w:val="CETheadingx"/>
        <w:rPr>
          <w:lang w:val="en-GB"/>
        </w:rPr>
      </w:pPr>
      <w:bookmarkStart w:id="15" w:name="_Toc61363134"/>
      <w:r w:rsidRPr="003E29FB">
        <w:rPr>
          <w:lang w:val="en-GB"/>
        </w:rPr>
        <w:t>EFRT: The problem of emission averaging time</w:t>
      </w:r>
      <w:bookmarkEnd w:id="15"/>
    </w:p>
    <w:p w14:paraId="583AECA7" w14:textId="48CB5AF4" w:rsidR="00AE3CA9" w:rsidRPr="003E29FB" w:rsidRDefault="00AE3CA9" w:rsidP="00AE3CA9">
      <w:pPr>
        <w:pStyle w:val="CETBodytext"/>
        <w:rPr>
          <w:lang w:val="en-GB"/>
        </w:rPr>
      </w:pPr>
      <w:r w:rsidRPr="003E29FB">
        <w:rPr>
          <w:lang w:val="en-GB"/>
        </w:rPr>
        <w:t xml:space="preserve">Despite the importance of the averaging time </w:t>
      </w:r>
      <w:r w:rsidR="00BA0451" w:rsidRPr="003E29FB">
        <w:rPr>
          <w:lang w:val="en-GB"/>
        </w:rPr>
        <w:t>on OER</w:t>
      </w:r>
      <w:r w:rsidRPr="003E29FB">
        <w:rPr>
          <w:lang w:val="en-GB"/>
        </w:rPr>
        <w:t xml:space="preserve">, discussed in Section </w:t>
      </w:r>
      <w:r w:rsidR="00BA0451" w:rsidRPr="003E29FB">
        <w:rPr>
          <w:lang w:val="en-GB"/>
        </w:rPr>
        <w:fldChar w:fldCharType="begin"/>
      </w:r>
      <w:r w:rsidR="00BA0451" w:rsidRPr="003E29FB">
        <w:rPr>
          <w:lang w:val="en-GB"/>
        </w:rPr>
        <w:instrText xml:space="preserve"> REF _Ref61975360 \n \h </w:instrText>
      </w:r>
      <w:r w:rsidR="00BA0451" w:rsidRPr="003E29FB">
        <w:rPr>
          <w:lang w:val="en-GB"/>
        </w:rPr>
      </w:r>
      <w:r w:rsidR="00BA0451" w:rsidRPr="003E29FB">
        <w:rPr>
          <w:lang w:val="en-GB"/>
        </w:rPr>
        <w:fldChar w:fldCharType="separate"/>
      </w:r>
      <w:r w:rsidR="00BA0451" w:rsidRPr="003E29FB">
        <w:rPr>
          <w:lang w:val="en-GB"/>
        </w:rPr>
        <w:t>2.2</w:t>
      </w:r>
      <w:r w:rsidR="00BA0451" w:rsidRPr="003E29FB">
        <w:rPr>
          <w:lang w:val="en-GB"/>
        </w:rPr>
        <w:fldChar w:fldCharType="end"/>
      </w:r>
      <w:r w:rsidR="00BA0451" w:rsidRPr="003E29FB">
        <w:rPr>
          <w:lang w:val="en-GB"/>
        </w:rPr>
        <w:t xml:space="preserve">, </w:t>
      </w:r>
      <w:r w:rsidRPr="003E29FB">
        <w:rPr>
          <w:lang w:val="en-GB"/>
        </w:rPr>
        <w:t>for FR</w:t>
      </w:r>
      <w:r w:rsidR="00BA0451" w:rsidRPr="003E29FB">
        <w:rPr>
          <w:lang w:val="en-GB"/>
        </w:rPr>
        <w:t>Ts, all AP-42 protocols state</w:t>
      </w:r>
      <w:r w:rsidRPr="003E29FB">
        <w:rPr>
          <w:lang w:val="en-GB"/>
        </w:rPr>
        <w:t xml:space="preserve"> </w:t>
      </w:r>
      <w:r w:rsidRPr="003E29FB">
        <w:rPr>
          <w:lang w:val="en-GB"/>
        </w:rPr>
        <w:fldChar w:fldCharType="begin" w:fldLock="1"/>
      </w:r>
      <w:r w:rsidRPr="003E29FB">
        <w:rPr>
          <w:lang w:val="en-GB"/>
        </w:rPr>
        <w:instrText>ADDIN CSL_CITATION {"citationItems":[{"id":"ITEM-1","itemData":{"author":[{"dropping-particle":"","family":"U.S. EPA","given":"","non-dropping-particle":"","parse-names":false,"suffix":""}],"id":"ITEM-1","issued":{"date-parts":[["2020"]]},"number-of-pages":"203","title":"Emission Factor Documentation for AP-42 Organic Liquid Storage Tanks Final Report","type":"report"},"uris":["http://www.mendeley.com/documents/?uuid=75f72d48-6ce8-4915-94ac-0681a4cb851c"]},{"id":"ITEM-2","itemData":{"author":[{"dropping-particle":"","family":"U.S. EPA","given":"","non-dropping-particle":"","parse-names":false,"suffix":""}],"id":"ITEM-2","issued":{"date-parts":[["1997"]]},"number-of-pages":"103","title":"Emission Factor Documentation for AP-42 Organic Liquid Storage Tanks Final Report","type":"report"},"uris":["http://www.mendeley.com/documents/?uuid=1ba55b62-d2d2-40dc-986c-4c44c88803fb"]}],"mendeley":{"formattedCitation":"(U.S. EPA, 2020, 1997)","plainTextFormattedCitation":"(U.S. EPA, 2020, 1997)","previouslyFormattedCitation":"(U.S. EPA, 2020, 1997)"},"properties":{"noteIndex":0},"schema":"https://github.com/citation-style-language/schema/raw/master/csl-citation.json"}</w:instrText>
      </w:r>
      <w:r w:rsidRPr="003E29FB">
        <w:rPr>
          <w:lang w:val="en-GB"/>
        </w:rPr>
        <w:fldChar w:fldCharType="separate"/>
      </w:r>
      <w:r w:rsidRPr="003E29FB">
        <w:rPr>
          <w:noProof/>
          <w:lang w:val="en-GB"/>
        </w:rPr>
        <w:t>(U.S. EPA, 2020, 1997)</w:t>
      </w:r>
      <w:r w:rsidRPr="003E29FB">
        <w:rPr>
          <w:lang w:val="en-GB"/>
        </w:rPr>
        <w:fldChar w:fldCharType="end"/>
      </w:r>
      <w:r w:rsidRPr="003E29FB">
        <w:rPr>
          <w:lang w:val="en-GB"/>
        </w:rPr>
        <w:t xml:space="preserve"> : </w:t>
      </w:r>
    </w:p>
    <w:p w14:paraId="6795A6FF" w14:textId="5BF42581" w:rsidR="00AE3CA9" w:rsidRPr="003E29FB" w:rsidRDefault="00AE3CA9" w:rsidP="00AE3CA9">
      <w:pPr>
        <w:pStyle w:val="CETBodytext"/>
        <w:rPr>
          <w:i/>
          <w:lang w:val="en-GB"/>
        </w:rPr>
      </w:pPr>
      <w:r w:rsidRPr="003E29FB">
        <w:rPr>
          <w:i/>
          <w:lang w:val="en-GB"/>
        </w:rPr>
        <w:t xml:space="preserve">“All of the emission estimation procedures </w:t>
      </w:r>
      <w:r w:rsidR="00BA0451" w:rsidRPr="003E29FB">
        <w:rPr>
          <w:i/>
          <w:lang w:val="en-GB"/>
        </w:rPr>
        <w:t>[…]</w:t>
      </w:r>
      <w:r w:rsidRPr="003E29FB">
        <w:rPr>
          <w:i/>
          <w:lang w:val="en-GB"/>
        </w:rPr>
        <w:t xml:space="preserve"> can be used to estimate emissions for shorter time periods by manipulating the inputs to the equations for the time period in question […]. It is important to note that a 1-month time frame is recommended as the shortest time period for which emissions should be estimated using these methodologies”.  </w:t>
      </w:r>
    </w:p>
    <w:p w14:paraId="733466CA" w14:textId="7093CD2D" w:rsidR="00AE3CA9" w:rsidRPr="003E29FB" w:rsidRDefault="00AE3CA9" w:rsidP="00AE3CA9">
      <w:pPr>
        <w:pStyle w:val="CETBodytext"/>
        <w:rPr>
          <w:lang w:val="en-GB"/>
        </w:rPr>
      </w:pPr>
      <w:r w:rsidRPr="003E29FB">
        <w:rPr>
          <w:lang w:val="en-GB"/>
        </w:rPr>
        <w:lastRenderedPageBreak/>
        <w:t>Differently from FRT’s correlations, that consider a vapour-liquid equilibrium and a mass balance for the emission, the equations for EFRT are completely semi-empirical</w:t>
      </w:r>
      <w:r w:rsidR="006B16FE" w:rsidRPr="003E29FB">
        <w:rPr>
          <w:lang w:val="en-GB"/>
        </w:rPr>
        <w:t>.</w:t>
      </w:r>
      <w:r w:rsidRPr="003E29FB">
        <w:rPr>
          <w:lang w:val="en-GB"/>
        </w:rPr>
        <w:t xml:space="preserve"> The development of these data was based on long lasting campaigns, thus appears reasonable the indication of monthly calculations as the shortest as possible. </w:t>
      </w:r>
    </w:p>
    <w:p w14:paraId="3C5851A3" w14:textId="261C0A9F" w:rsidR="00AE3CA9" w:rsidRPr="003E29FB" w:rsidRDefault="00AE3CA9" w:rsidP="00AE3CA9">
      <w:pPr>
        <w:pStyle w:val="CETBodytext"/>
        <w:rPr>
          <w:lang w:val="en-GB"/>
        </w:rPr>
      </w:pPr>
      <w:r w:rsidRPr="003E29FB">
        <w:rPr>
          <w:lang w:val="en-GB"/>
        </w:rPr>
        <w:t>In this way, the use of monthly data is recommended particularly in case of not-heated tanks. As reported in</w:t>
      </w:r>
      <w:r w:rsidR="00BA0451" w:rsidRPr="003E29FB">
        <w:rPr>
          <w:lang w:val="en-GB"/>
        </w:rPr>
        <w:t xml:space="preserve"> </w:t>
      </w:r>
      <w:r w:rsidR="00BA0451" w:rsidRPr="003E29FB">
        <w:rPr>
          <w:lang w:val="en-GB"/>
        </w:rPr>
        <w:fldChar w:fldCharType="begin"/>
      </w:r>
      <w:r w:rsidR="00BA0451" w:rsidRPr="003E29FB">
        <w:rPr>
          <w:lang w:val="en-GB"/>
        </w:rPr>
        <w:instrText xml:space="preserve"> REF _Ref60739490 \h </w:instrText>
      </w:r>
      <w:r w:rsidR="00BA0451" w:rsidRPr="003E29FB">
        <w:rPr>
          <w:lang w:val="en-GB"/>
        </w:rPr>
      </w:r>
      <w:r w:rsidR="00BA0451" w:rsidRPr="003E29FB">
        <w:rPr>
          <w:lang w:val="en-GB"/>
        </w:rPr>
        <w:fldChar w:fldCharType="separate"/>
      </w:r>
      <w:r w:rsidR="00BA0451" w:rsidRPr="003E29FB">
        <w:rPr>
          <w:lang w:val="en-GB"/>
        </w:rPr>
        <w:t xml:space="preserve">Figure </w:t>
      </w:r>
      <w:r w:rsidR="00BA0451" w:rsidRPr="003E29FB">
        <w:rPr>
          <w:noProof/>
          <w:lang w:val="en-GB"/>
        </w:rPr>
        <w:t>4</w:t>
      </w:r>
      <w:r w:rsidR="00BA0451" w:rsidRPr="003E29FB">
        <w:rPr>
          <w:lang w:val="en-GB"/>
        </w:rPr>
        <w:fldChar w:fldCharType="end"/>
      </w:r>
      <w:r w:rsidRPr="003E29FB">
        <w:rPr>
          <w:lang w:val="en-GB"/>
        </w:rPr>
        <w:t>, a not-insulated, not-heated</w:t>
      </w:r>
      <w:r w:rsidR="00BA0451" w:rsidRPr="003E29FB">
        <w:rPr>
          <w:lang w:val="en-GB"/>
        </w:rPr>
        <w:t xml:space="preserve"> jet-naphtha</w:t>
      </w:r>
      <w:r w:rsidRPr="003E29FB">
        <w:rPr>
          <w:lang w:val="en-GB"/>
        </w:rPr>
        <w:t xml:space="preserve"> </w:t>
      </w:r>
      <w:r w:rsidR="009F7B10" w:rsidRPr="003E29FB">
        <w:rPr>
          <w:lang w:val="en-GB"/>
        </w:rPr>
        <w:t>tank</w:t>
      </w:r>
      <w:r w:rsidRPr="003E29FB">
        <w:rPr>
          <w:lang w:val="en-GB"/>
        </w:rPr>
        <w:t xml:space="preserve"> may vary its stock temperature by 2</w:t>
      </w:r>
      <w:r w:rsidR="00BA0451" w:rsidRPr="003E29FB">
        <w:rPr>
          <w:lang w:val="en-GB"/>
        </w:rPr>
        <w:t>5</w:t>
      </w:r>
      <w:r w:rsidRPr="003E29FB">
        <w:rPr>
          <w:lang w:val="en-GB"/>
        </w:rPr>
        <w:t xml:space="preserve"> °C during the year, meaning a variation </w:t>
      </w:r>
      <w:r w:rsidR="00BA0451" w:rsidRPr="003E29FB">
        <w:rPr>
          <w:lang w:val="en-GB"/>
        </w:rPr>
        <w:t>VOC emission</w:t>
      </w:r>
      <w:r w:rsidRPr="003E29FB">
        <w:rPr>
          <w:i/>
          <w:vertAlign w:val="subscript"/>
          <w:lang w:val="en-GB"/>
        </w:rPr>
        <w:t xml:space="preserve"> </w:t>
      </w:r>
      <w:r w:rsidR="00BA0451" w:rsidRPr="003E29FB">
        <w:rPr>
          <w:lang w:val="en-GB"/>
        </w:rPr>
        <w:t>by a factor 2</w:t>
      </w:r>
      <w:r w:rsidRPr="003E29FB">
        <w:rPr>
          <w:lang w:val="en-GB"/>
        </w:rPr>
        <w:t xml:space="preserve">. </w:t>
      </w:r>
    </w:p>
    <w:p w14:paraId="6E09A08A" w14:textId="66DAD6E5" w:rsidR="00BA0451" w:rsidRPr="003E29FB" w:rsidRDefault="00771BE5" w:rsidP="00AE3CA9">
      <w:pPr>
        <w:pStyle w:val="CETBodytext"/>
        <w:rPr>
          <w:lang w:val="en-GB"/>
        </w:rPr>
      </w:pPr>
      <w:r>
        <w:rPr>
          <w:noProof/>
          <w:lang w:val="it-IT" w:eastAsia="it-IT"/>
        </w:rPr>
        <w:drawing>
          <wp:inline distT="0" distB="0" distL="0" distR="0" wp14:anchorId="5C456376" wp14:editId="2835893B">
            <wp:extent cx="5580000" cy="1701464"/>
            <wp:effectExtent l="0" t="0" r="190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0000" cy="1701464"/>
                    </a:xfrm>
                    <a:prstGeom prst="rect">
                      <a:avLst/>
                    </a:prstGeom>
                    <a:noFill/>
                  </pic:spPr>
                </pic:pic>
              </a:graphicData>
            </a:graphic>
          </wp:inline>
        </w:drawing>
      </w:r>
    </w:p>
    <w:p w14:paraId="53472103" w14:textId="5AD528CC" w:rsidR="00BA0451" w:rsidRPr="003E29FB" w:rsidRDefault="00AE3CA9" w:rsidP="00BA0451">
      <w:pPr>
        <w:pStyle w:val="CETCaption"/>
      </w:pPr>
      <w:bookmarkStart w:id="16" w:name="_Ref60739490"/>
      <w:r w:rsidRPr="003E29FB">
        <w:t xml:space="preserve">Figure </w:t>
      </w:r>
      <w:r w:rsidRPr="003E29FB">
        <w:fldChar w:fldCharType="begin"/>
      </w:r>
      <w:r w:rsidRPr="003E29FB">
        <w:instrText xml:space="preserve"> SEQ Figure \* ARABIC </w:instrText>
      </w:r>
      <w:r w:rsidRPr="003E29FB">
        <w:fldChar w:fldCharType="separate"/>
      </w:r>
      <w:r w:rsidR="00BA0451" w:rsidRPr="003E29FB">
        <w:rPr>
          <w:noProof/>
        </w:rPr>
        <w:t>4</w:t>
      </w:r>
      <w:r w:rsidRPr="003E29FB">
        <w:fldChar w:fldCharType="end"/>
      </w:r>
      <w:bookmarkEnd w:id="16"/>
      <w:r w:rsidR="00394164" w:rsidRPr="003E29FB">
        <w:t>:</w:t>
      </w:r>
      <w:r w:rsidRPr="003E29FB">
        <w:t xml:space="preserve"> </w:t>
      </w:r>
      <w:r w:rsidR="00863C6D">
        <w:t>a.</w:t>
      </w:r>
      <w:r w:rsidR="00BA0451" w:rsidRPr="003E29FB">
        <w:t xml:space="preserve"> </w:t>
      </w:r>
      <w:r w:rsidRPr="003E29FB">
        <w:t>Real-case jet</w:t>
      </w:r>
      <w:r w:rsidR="00394164" w:rsidRPr="003E29FB">
        <w:t xml:space="preserve"> naphta</w:t>
      </w:r>
      <w:r w:rsidRPr="003E29FB">
        <w:t xml:space="preserve"> EFRT annual temperature trend</w:t>
      </w:r>
      <w:r w:rsidR="00BA0451" w:rsidRPr="003E29FB">
        <w:t xml:space="preserve">. </w:t>
      </w:r>
      <w:r w:rsidR="00863C6D">
        <w:t>b.</w:t>
      </w:r>
      <w:r w:rsidR="00BA0451" w:rsidRPr="003E29FB">
        <w:t xml:space="preserve"> Real-case jet n</w:t>
      </w:r>
      <w:r w:rsidR="002B4919" w:rsidRPr="003E29FB">
        <w:t>a</w:t>
      </w:r>
      <w:r w:rsidR="00BA0451" w:rsidRPr="003E29FB">
        <w:t>phtha EFRT annual VOC emission trend</w:t>
      </w:r>
    </w:p>
    <w:p w14:paraId="2AB58AAD" w14:textId="77777777" w:rsidR="00AE3CA9" w:rsidRPr="003E29FB" w:rsidRDefault="00AE3CA9" w:rsidP="007E788A">
      <w:pPr>
        <w:pStyle w:val="CETHeading1"/>
        <w:rPr>
          <w:lang w:val="en-GB"/>
        </w:rPr>
      </w:pPr>
      <w:bookmarkStart w:id="17" w:name="_Toc61363135"/>
      <w:r w:rsidRPr="003E29FB">
        <w:rPr>
          <w:lang w:val="en-GB"/>
        </w:rPr>
        <w:t>Conclusions</w:t>
      </w:r>
      <w:bookmarkEnd w:id="17"/>
    </w:p>
    <w:p w14:paraId="1195D0CA" w14:textId="1E4C0417" w:rsidR="00AE3CA9" w:rsidRPr="003E29FB" w:rsidRDefault="00AE3CA9" w:rsidP="00AE3CA9">
      <w:pPr>
        <w:pStyle w:val="CETBodytext"/>
        <w:rPr>
          <w:lang w:val="en-GB"/>
        </w:rPr>
      </w:pPr>
      <w:r w:rsidRPr="003E29FB">
        <w:rPr>
          <w:lang w:val="en-GB"/>
        </w:rPr>
        <w:t>Thermodynamic modelling represents the state of the art for the quantification of VOC ER from hydrocarbon tanks. The correlations</w:t>
      </w:r>
      <w:r w:rsidR="009F7B10">
        <w:rPr>
          <w:lang w:val="en-GB"/>
        </w:rPr>
        <w:t>,</w:t>
      </w:r>
      <w:r w:rsidRPr="003E29FB">
        <w:rPr>
          <w:lang w:val="en-GB"/>
        </w:rPr>
        <w:t xml:space="preserve"> proposed by U.S. EPA</w:t>
      </w:r>
      <w:r w:rsidR="009F7B10">
        <w:rPr>
          <w:lang w:val="en-GB"/>
        </w:rPr>
        <w:t>,</w:t>
      </w:r>
      <w:r w:rsidRPr="003E29FB">
        <w:rPr>
          <w:lang w:val="en-GB"/>
        </w:rPr>
        <w:t xml:space="preserve"> have undergone a number of revisions over the years. </w:t>
      </w:r>
    </w:p>
    <w:p w14:paraId="3B7782DD" w14:textId="4B3589D0" w:rsidR="00AE3CA9" w:rsidRPr="003E29FB" w:rsidRDefault="00AE3CA9" w:rsidP="00AE3CA9">
      <w:pPr>
        <w:pStyle w:val="CETBodytext"/>
        <w:rPr>
          <w:lang w:val="en-GB"/>
        </w:rPr>
      </w:pPr>
      <w:r w:rsidRPr="003E29FB">
        <w:rPr>
          <w:lang w:val="en-GB"/>
        </w:rPr>
        <w:t xml:space="preserve">In the case of FRT, the olfactometric characterisation is feasible with a sampling at the vent. In order to obtain an OER trend as </w:t>
      </w:r>
      <w:r w:rsidR="00F21465" w:rsidRPr="003E29FB">
        <w:rPr>
          <w:lang w:val="en-GB"/>
        </w:rPr>
        <w:t>accurate</w:t>
      </w:r>
      <w:r w:rsidRPr="003E29FB">
        <w:rPr>
          <w:lang w:val="en-GB"/>
        </w:rPr>
        <w:t xml:space="preserve"> as possible, the emission should be linked to the hourly change of the liquid level. This approach avoids the risk of an overall emission average that could shed possible odour events. </w:t>
      </w:r>
    </w:p>
    <w:p w14:paraId="72E43BF0" w14:textId="0AA2ED9C" w:rsidR="00AE3CA9" w:rsidRPr="003E29FB" w:rsidRDefault="00AE3CA9" w:rsidP="00AE3CA9">
      <w:pPr>
        <w:pStyle w:val="CETBodytext"/>
        <w:rPr>
          <w:lang w:val="en-GB"/>
        </w:rPr>
      </w:pPr>
      <w:r w:rsidRPr="003E29FB">
        <w:rPr>
          <w:lang w:val="en-GB"/>
        </w:rPr>
        <w:t xml:space="preserve">In </w:t>
      </w:r>
      <w:r w:rsidR="009F7B10" w:rsidRPr="003E29FB">
        <w:rPr>
          <w:lang w:val="en-GB"/>
        </w:rPr>
        <w:t>EFRT,</w:t>
      </w:r>
      <w:r w:rsidRPr="003E29FB">
        <w:rPr>
          <w:lang w:val="en-GB"/>
        </w:rPr>
        <w:t xml:space="preserve"> only diffuse emissions are present: in this </w:t>
      </w:r>
      <w:r w:rsidR="009F7B10" w:rsidRPr="003E29FB">
        <w:rPr>
          <w:lang w:val="en-GB"/>
        </w:rPr>
        <w:t>instance,</w:t>
      </w:r>
      <w:r w:rsidRPr="003E29FB">
        <w:rPr>
          <w:lang w:val="en-GB"/>
        </w:rPr>
        <w:t xml:space="preserve"> only an indirect approach is possible, </w:t>
      </w:r>
      <w:r w:rsidR="00F21465" w:rsidRPr="003E29FB">
        <w:rPr>
          <w:lang w:val="en-GB"/>
        </w:rPr>
        <w:t>coupling</w:t>
      </w:r>
      <w:r w:rsidRPr="003E29FB">
        <w:rPr>
          <w:lang w:val="en-GB"/>
        </w:rPr>
        <w:t xml:space="preserve"> an</w:t>
      </w:r>
      <w:r w:rsidR="00F21465" w:rsidRPr="003E29FB">
        <w:rPr>
          <w:lang w:val="en-GB"/>
        </w:rPr>
        <w:t xml:space="preserve"> experimental parameter, HCOEC</w:t>
      </w:r>
      <w:r w:rsidRPr="003E29FB">
        <w:rPr>
          <w:lang w:val="en-GB"/>
        </w:rPr>
        <w:t xml:space="preserve">, and VOC ER estimation. </w:t>
      </w:r>
      <w:r w:rsidR="00F21465" w:rsidRPr="003E29FB">
        <w:rPr>
          <w:lang w:val="en-GB"/>
        </w:rPr>
        <w:t xml:space="preserve">Monthly temperature variation can lead to a variation in ER by a factor 2: the consideration of a monthly trend is crucial for odour impact assessment. </w:t>
      </w:r>
    </w:p>
    <w:p w14:paraId="55AFFCBB" w14:textId="743CCB25" w:rsidR="009E735D" w:rsidRPr="003E29FB" w:rsidRDefault="009E735D" w:rsidP="009E735D">
      <w:pPr>
        <w:pStyle w:val="CETReference"/>
      </w:pPr>
      <w:r w:rsidRPr="003E29FB">
        <w:t>References</w:t>
      </w:r>
    </w:p>
    <w:p w14:paraId="35789689" w14:textId="0FC9F3D8" w:rsidR="00BC5318" w:rsidRPr="000F5DD1" w:rsidRDefault="007E788A" w:rsidP="00BC5318">
      <w:pPr>
        <w:widowControl w:val="0"/>
        <w:autoSpaceDE w:val="0"/>
        <w:autoSpaceDN w:val="0"/>
        <w:adjustRightInd w:val="0"/>
        <w:spacing w:line="240" w:lineRule="auto"/>
        <w:ind w:left="480" w:hanging="480"/>
        <w:rPr>
          <w:rFonts w:cs="Arial"/>
          <w:noProof/>
          <w:szCs w:val="24"/>
          <w:lang w:val="en-US"/>
        </w:rPr>
      </w:pPr>
      <w:r w:rsidRPr="003E29FB">
        <w:fldChar w:fldCharType="begin" w:fldLock="1"/>
      </w:r>
      <w:r w:rsidRPr="000F5DD1">
        <w:rPr>
          <w:lang w:val="it-IT"/>
        </w:rPr>
        <w:instrText xml:space="preserve">ADDIN Mendeley Bibliography CSL_BIBLIOGRAPHY </w:instrText>
      </w:r>
      <w:r w:rsidRPr="003E29FB">
        <w:fldChar w:fldCharType="separate"/>
      </w:r>
      <w:r w:rsidR="00BC5318" w:rsidRPr="000F5DD1">
        <w:rPr>
          <w:rFonts w:cs="Arial"/>
          <w:noProof/>
          <w:szCs w:val="24"/>
          <w:lang w:val="it-IT"/>
        </w:rPr>
        <w:t xml:space="preserve">Brancher, M., Griffiths, K.D., Franco, D., de Melo Lisboa, H., 2017. </w:t>
      </w:r>
      <w:r w:rsidR="00BC5318" w:rsidRPr="003E29FB">
        <w:rPr>
          <w:rFonts w:cs="Arial"/>
          <w:noProof/>
          <w:szCs w:val="24"/>
        </w:rPr>
        <w:t xml:space="preserve">A review of odour impact criteria in selected countries around the world. </w:t>
      </w:r>
      <w:r w:rsidR="00BC5318" w:rsidRPr="000F5DD1">
        <w:rPr>
          <w:rFonts w:cs="Arial"/>
          <w:noProof/>
          <w:szCs w:val="24"/>
          <w:lang w:val="en-US"/>
        </w:rPr>
        <w:t>Chemosphere 168, 1531–1570. https://doi.org/10.1016/j.chemosphere.2016.11.160</w:t>
      </w:r>
    </w:p>
    <w:p w14:paraId="6E33D078" w14:textId="77777777" w:rsidR="00BC5318" w:rsidRPr="006822C4" w:rsidRDefault="00BC5318" w:rsidP="00BC5318">
      <w:pPr>
        <w:widowControl w:val="0"/>
        <w:autoSpaceDE w:val="0"/>
        <w:autoSpaceDN w:val="0"/>
        <w:adjustRightInd w:val="0"/>
        <w:spacing w:line="240" w:lineRule="auto"/>
        <w:ind w:left="480" w:hanging="480"/>
        <w:rPr>
          <w:rFonts w:cs="Arial"/>
          <w:noProof/>
          <w:szCs w:val="24"/>
          <w:lang w:val="it-IT"/>
        </w:rPr>
      </w:pPr>
      <w:r w:rsidRPr="000F5DD1">
        <w:rPr>
          <w:rFonts w:cs="Arial"/>
          <w:noProof/>
          <w:szCs w:val="24"/>
          <w:lang w:val="en-US"/>
        </w:rPr>
        <w:t xml:space="preserve">Brancher, M., Schauberger, G., Franco, D., De Melo Lisboa, H., 2016. </w:t>
      </w:r>
      <w:r w:rsidRPr="003E29FB">
        <w:rPr>
          <w:rFonts w:cs="Arial"/>
          <w:noProof/>
          <w:szCs w:val="24"/>
        </w:rPr>
        <w:t xml:space="preserve">Odour impact criteria in south American regulations. </w:t>
      </w:r>
      <w:r w:rsidRPr="000F5DD1">
        <w:rPr>
          <w:rFonts w:cs="Arial"/>
          <w:noProof/>
          <w:szCs w:val="24"/>
          <w:lang w:val="it-IT"/>
        </w:rPr>
        <w:t xml:space="preserve">Chem. Eng. Trans. </w:t>
      </w:r>
      <w:r w:rsidRPr="006822C4">
        <w:rPr>
          <w:rFonts w:cs="Arial"/>
          <w:noProof/>
          <w:szCs w:val="24"/>
          <w:lang w:val="it-IT"/>
        </w:rPr>
        <w:t>54, 169–174. https://doi.org/10.3303/CET1654029</w:t>
      </w:r>
    </w:p>
    <w:p w14:paraId="54D18F77" w14:textId="77777777" w:rsidR="00BC5318" w:rsidRPr="003E29FB" w:rsidRDefault="00BC5318" w:rsidP="00BC5318">
      <w:pPr>
        <w:widowControl w:val="0"/>
        <w:autoSpaceDE w:val="0"/>
        <w:autoSpaceDN w:val="0"/>
        <w:adjustRightInd w:val="0"/>
        <w:spacing w:line="240" w:lineRule="auto"/>
        <w:ind w:left="480" w:hanging="480"/>
        <w:rPr>
          <w:rFonts w:cs="Arial"/>
          <w:noProof/>
          <w:szCs w:val="24"/>
        </w:rPr>
      </w:pPr>
      <w:r w:rsidRPr="006822C4">
        <w:rPr>
          <w:rFonts w:cs="Arial"/>
          <w:noProof/>
          <w:szCs w:val="24"/>
          <w:lang w:val="it-IT"/>
        </w:rPr>
        <w:t xml:space="preserve">Capelli, L., Sironi, S., del Rosso, R., 2013. </w:t>
      </w:r>
      <w:r w:rsidRPr="003E29FB">
        <w:rPr>
          <w:rFonts w:cs="Arial"/>
          <w:noProof/>
          <w:szCs w:val="24"/>
        </w:rPr>
        <w:t>Odor sampling: Techniques and strategies for the estimation of odor emission rates from different source types. Sensors (Switzerland) 13, 938–955. https://doi.org/10.3390/s130100938</w:t>
      </w:r>
    </w:p>
    <w:p w14:paraId="0679BC73" w14:textId="77777777" w:rsidR="00BC5318" w:rsidRPr="003E29FB" w:rsidRDefault="00BC5318" w:rsidP="00BC5318">
      <w:pPr>
        <w:widowControl w:val="0"/>
        <w:autoSpaceDE w:val="0"/>
        <w:autoSpaceDN w:val="0"/>
        <w:adjustRightInd w:val="0"/>
        <w:spacing w:line="240" w:lineRule="auto"/>
        <w:ind w:left="480" w:hanging="480"/>
        <w:rPr>
          <w:rFonts w:cs="Arial"/>
          <w:noProof/>
          <w:szCs w:val="24"/>
        </w:rPr>
      </w:pPr>
      <w:r w:rsidRPr="003E29FB">
        <w:rPr>
          <w:rFonts w:cs="Arial"/>
          <w:noProof/>
          <w:szCs w:val="24"/>
        </w:rPr>
        <w:t>CEN, 2003. EN 13725:2003 - Air quality - Determination of odour concentration by dynamic olfactometry. https://doi.org/https://dx.doi.org/10.31030/3036135</w:t>
      </w:r>
    </w:p>
    <w:p w14:paraId="073F30B1" w14:textId="042B5B4C" w:rsidR="00BC5318" w:rsidRPr="003E29FB" w:rsidRDefault="00BC5318" w:rsidP="00BC5318">
      <w:pPr>
        <w:widowControl w:val="0"/>
        <w:autoSpaceDE w:val="0"/>
        <w:autoSpaceDN w:val="0"/>
        <w:adjustRightInd w:val="0"/>
        <w:spacing w:line="240" w:lineRule="auto"/>
        <w:ind w:left="480" w:hanging="480"/>
        <w:rPr>
          <w:rFonts w:cs="Arial"/>
          <w:noProof/>
          <w:szCs w:val="24"/>
        </w:rPr>
      </w:pPr>
      <w:r w:rsidRPr="003E29FB">
        <w:rPr>
          <w:rFonts w:cs="Arial"/>
          <w:noProof/>
          <w:szCs w:val="24"/>
        </w:rPr>
        <w:t xml:space="preserve">Elizaryev, A., Tarakanov, Dmitry, Aksenov, S., Tarakanov, Denis, Elizareva, E., Nasyrova, E., Nazyrov, A., 2020. Influence of seasonal changes in climatic conditions on losses at oil tanks filling (on example of the Republic of Bashkortostan). E3S Web Conf. 175. </w:t>
      </w:r>
      <w:r w:rsidRPr="003E29FB">
        <w:rPr>
          <w:rFonts w:cs="Arial"/>
          <w:noProof/>
          <w:szCs w:val="24"/>
        </w:rPr>
        <w:tab/>
        <w:t>https://doi.org/10.1051/e3sconf/202017512021.</w:t>
      </w:r>
    </w:p>
    <w:p w14:paraId="1E3BB086" w14:textId="77777777" w:rsidR="00BC5318" w:rsidRPr="003E29FB" w:rsidRDefault="00BC5318" w:rsidP="00BC5318">
      <w:pPr>
        <w:widowControl w:val="0"/>
        <w:autoSpaceDE w:val="0"/>
        <w:autoSpaceDN w:val="0"/>
        <w:adjustRightInd w:val="0"/>
        <w:spacing w:line="240" w:lineRule="auto"/>
        <w:ind w:left="480" w:hanging="480"/>
        <w:rPr>
          <w:rFonts w:cs="Arial"/>
          <w:noProof/>
          <w:szCs w:val="24"/>
        </w:rPr>
      </w:pPr>
      <w:r w:rsidRPr="003E29FB">
        <w:rPr>
          <w:rFonts w:cs="Arial"/>
          <w:noProof/>
          <w:szCs w:val="24"/>
        </w:rPr>
        <w:t>European Commission, 2015. Best Available Techniques (BAT) Reference Document for the Refining of Mineral Oil and Gas. https://doi.org/10.2791/010758</w:t>
      </w:r>
    </w:p>
    <w:p w14:paraId="72EFBD53" w14:textId="77777777" w:rsidR="00BC5318" w:rsidRPr="003E29FB" w:rsidRDefault="00BC5318" w:rsidP="00BC5318">
      <w:pPr>
        <w:widowControl w:val="0"/>
        <w:autoSpaceDE w:val="0"/>
        <w:autoSpaceDN w:val="0"/>
        <w:adjustRightInd w:val="0"/>
        <w:spacing w:line="240" w:lineRule="auto"/>
        <w:ind w:left="480" w:hanging="480"/>
        <w:rPr>
          <w:rFonts w:cs="Arial"/>
          <w:noProof/>
          <w:szCs w:val="24"/>
        </w:rPr>
      </w:pPr>
      <w:r w:rsidRPr="003E29FB">
        <w:rPr>
          <w:rFonts w:cs="Arial"/>
          <w:noProof/>
          <w:szCs w:val="24"/>
        </w:rPr>
        <w:t>Howari, F.M., 2015. Evaporation losses and dispersion of volatile organic compounds from tank farms. Environ. Monit. Assess. 187, 273. https://doi.org/10.1007/s10661-015-4456-z</w:t>
      </w:r>
    </w:p>
    <w:p w14:paraId="723EFF47" w14:textId="77777777" w:rsidR="00BC5318" w:rsidRPr="003E29FB" w:rsidRDefault="00BC5318" w:rsidP="00BC5318">
      <w:pPr>
        <w:widowControl w:val="0"/>
        <w:autoSpaceDE w:val="0"/>
        <w:autoSpaceDN w:val="0"/>
        <w:adjustRightInd w:val="0"/>
        <w:spacing w:line="240" w:lineRule="auto"/>
        <w:ind w:left="480" w:hanging="480"/>
        <w:rPr>
          <w:rFonts w:cs="Arial"/>
          <w:noProof/>
          <w:szCs w:val="24"/>
        </w:rPr>
      </w:pPr>
      <w:r w:rsidRPr="003E29FB">
        <w:rPr>
          <w:rFonts w:cs="Arial"/>
          <w:noProof/>
          <w:szCs w:val="24"/>
        </w:rPr>
        <w:t>Invernizzi, M., Ilare, J., Capelli, L., Sironi, S., 2018. Proposal of a method for evaluating odour emissions from refinery storage tanks. Chem. Eng. Trans. 68, 49–54. https://doi.org/10.3303/CET1868009</w:t>
      </w:r>
    </w:p>
    <w:p w14:paraId="75D436CF" w14:textId="77777777" w:rsidR="00BC5318" w:rsidRPr="003E29FB" w:rsidRDefault="00BC5318" w:rsidP="00BC5318">
      <w:pPr>
        <w:widowControl w:val="0"/>
        <w:autoSpaceDE w:val="0"/>
        <w:autoSpaceDN w:val="0"/>
        <w:adjustRightInd w:val="0"/>
        <w:spacing w:line="240" w:lineRule="auto"/>
        <w:ind w:left="480" w:hanging="480"/>
        <w:rPr>
          <w:rFonts w:cs="Arial"/>
          <w:noProof/>
          <w:szCs w:val="24"/>
        </w:rPr>
      </w:pPr>
      <w:r w:rsidRPr="003E29FB">
        <w:rPr>
          <w:rFonts w:cs="Arial"/>
          <w:noProof/>
          <w:szCs w:val="24"/>
        </w:rPr>
        <w:t>Lu, C., Huang, H., Chang, S., Hsu, S., 2013. Emission characteristics of VOCs from three fixed-roof p-xylene liquid storage tanks. Environ. Monit. Assess. 185, 6819–6830. https://doi.org/10.1007/s10661-013-3067-9</w:t>
      </w:r>
    </w:p>
    <w:p w14:paraId="69479251" w14:textId="77777777" w:rsidR="00BC5318" w:rsidRPr="003E29FB" w:rsidRDefault="00BC5318" w:rsidP="00BC5318">
      <w:pPr>
        <w:widowControl w:val="0"/>
        <w:autoSpaceDE w:val="0"/>
        <w:autoSpaceDN w:val="0"/>
        <w:adjustRightInd w:val="0"/>
        <w:spacing w:line="240" w:lineRule="auto"/>
        <w:ind w:left="480" w:hanging="480"/>
        <w:rPr>
          <w:rFonts w:cs="Arial"/>
          <w:noProof/>
          <w:szCs w:val="24"/>
        </w:rPr>
      </w:pPr>
      <w:r w:rsidRPr="003E29FB">
        <w:rPr>
          <w:rFonts w:cs="Arial"/>
          <w:noProof/>
          <w:szCs w:val="24"/>
        </w:rPr>
        <w:t>U.S. EPA, 2020. Emission Factor Documentation for AP-42 Organic Liquid Storage Tanks Final Report.</w:t>
      </w:r>
    </w:p>
    <w:p w14:paraId="79C515A6" w14:textId="77777777" w:rsidR="00BC5318" w:rsidRPr="003E29FB" w:rsidRDefault="00BC5318" w:rsidP="00BC5318">
      <w:pPr>
        <w:widowControl w:val="0"/>
        <w:autoSpaceDE w:val="0"/>
        <w:autoSpaceDN w:val="0"/>
        <w:adjustRightInd w:val="0"/>
        <w:spacing w:line="240" w:lineRule="auto"/>
        <w:ind w:left="480" w:hanging="480"/>
        <w:rPr>
          <w:rFonts w:cs="Arial"/>
          <w:noProof/>
          <w:szCs w:val="24"/>
        </w:rPr>
      </w:pPr>
      <w:r w:rsidRPr="003E29FB">
        <w:rPr>
          <w:rFonts w:cs="Arial"/>
          <w:noProof/>
          <w:szCs w:val="24"/>
        </w:rPr>
        <w:t>U.S. EPA, 2006. Emission Factor Documentation for AP-42 Organic Liquid Storage Tanks Final Report.</w:t>
      </w:r>
    </w:p>
    <w:p w14:paraId="18DC748C" w14:textId="77777777" w:rsidR="00BC5318" w:rsidRPr="003E29FB" w:rsidRDefault="00BC5318" w:rsidP="00BC5318">
      <w:pPr>
        <w:widowControl w:val="0"/>
        <w:autoSpaceDE w:val="0"/>
        <w:autoSpaceDN w:val="0"/>
        <w:adjustRightInd w:val="0"/>
        <w:spacing w:line="240" w:lineRule="auto"/>
        <w:ind w:left="480" w:hanging="480"/>
        <w:rPr>
          <w:rFonts w:cs="Arial"/>
          <w:noProof/>
          <w:szCs w:val="24"/>
        </w:rPr>
      </w:pPr>
      <w:r w:rsidRPr="003E29FB">
        <w:rPr>
          <w:rFonts w:cs="Arial"/>
          <w:noProof/>
          <w:szCs w:val="24"/>
        </w:rPr>
        <w:t>U.S. EPA, 1999. User’s guide to TANKS Storage Tank Emissions Calculation Software Version 4.0.</w:t>
      </w:r>
    </w:p>
    <w:p w14:paraId="70C140EF" w14:textId="0E5A24E4" w:rsidR="00507945" w:rsidRPr="003E29FB" w:rsidRDefault="00BC5318" w:rsidP="00BC5318">
      <w:pPr>
        <w:widowControl w:val="0"/>
        <w:autoSpaceDE w:val="0"/>
        <w:autoSpaceDN w:val="0"/>
        <w:adjustRightInd w:val="0"/>
        <w:spacing w:line="240" w:lineRule="auto"/>
        <w:ind w:left="480" w:hanging="480"/>
      </w:pPr>
      <w:r w:rsidRPr="003E29FB">
        <w:rPr>
          <w:rFonts w:cs="Arial"/>
          <w:noProof/>
          <w:szCs w:val="24"/>
        </w:rPr>
        <w:t>U.S. EPA, 1997. Emission Factor Documentation for AP-42 Organic Liquid Storage Tanks Final Report.</w:t>
      </w:r>
      <w:r w:rsidR="007E788A" w:rsidRPr="003E29FB">
        <w:fldChar w:fldCharType="end"/>
      </w:r>
    </w:p>
    <w:sectPr w:rsidR="00507945" w:rsidRPr="003E29FB"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A8568" w14:textId="77777777" w:rsidR="00CC64B4" w:rsidRDefault="00CC64B4" w:rsidP="004F5E36">
      <w:r>
        <w:separator/>
      </w:r>
    </w:p>
  </w:endnote>
  <w:endnote w:type="continuationSeparator" w:id="0">
    <w:p w14:paraId="55A6C0C7" w14:textId="77777777" w:rsidR="00CC64B4" w:rsidRDefault="00CC64B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___WRD_EMBED_SUB_43">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
    <w:altName w:val="Calibri"/>
    <w:charset w:val="00"/>
    <w:family w:val="auto"/>
    <w:pitch w:val="variable"/>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C4785" w14:textId="77777777" w:rsidR="00CC64B4" w:rsidRDefault="00CC64B4" w:rsidP="004F5E36">
      <w:r>
        <w:separator/>
      </w:r>
    </w:p>
  </w:footnote>
  <w:footnote w:type="continuationSeparator" w:id="0">
    <w:p w14:paraId="4E376E09" w14:textId="77777777" w:rsidR="00CC64B4" w:rsidRDefault="00CC64B4"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19E2FEE"/>
    <w:multiLevelType w:val="hybridMultilevel"/>
    <w:tmpl w:val="743A6A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42643F5"/>
    <w:multiLevelType w:val="hybridMultilevel"/>
    <w:tmpl w:val="0F80EDB6"/>
    <w:lvl w:ilvl="0" w:tplc="AF2CD806">
      <w:start w:val="200"/>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5F252BD"/>
    <w:multiLevelType w:val="singleLevel"/>
    <w:tmpl w:val="BA76B1B4"/>
    <w:lvl w:ilvl="0">
      <w:start w:val="1"/>
      <w:numFmt w:val="decimal"/>
      <w:pStyle w:val="BiblioEntry"/>
      <w:lvlText w:val="[%1]"/>
      <w:lvlJc w:val="left"/>
      <w:pPr>
        <w:ind w:left="663" w:hanging="663"/>
      </w:pPr>
      <w:rPr>
        <w:rFonts w:hint="default"/>
      </w:rPr>
    </w:lvl>
  </w:abstractNum>
  <w:abstractNum w:abstractNumId="13" w15:restartNumberingAfterBreak="0">
    <w:nsid w:val="06691A29"/>
    <w:multiLevelType w:val="hybridMultilevel"/>
    <w:tmpl w:val="9BEC5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08FC56E1"/>
    <w:multiLevelType w:val="multilevel"/>
    <w:tmpl w:val="79B6C70E"/>
    <w:lvl w:ilvl="0">
      <w:start w:val="1"/>
      <w:numFmt w:val="decimal"/>
      <w:suff w:val="nothing"/>
      <w:lvlText w:val="Chapter %1"/>
      <w:lvlJc w:val="left"/>
      <w:pPr>
        <w:ind w:left="-624" w:firstLine="0"/>
      </w:pPr>
      <w:rPr>
        <w:rFonts w:ascii="Georgia" w:hAnsi="Georgia" w:hint="default"/>
        <w:lang w:val="en-GB"/>
      </w:rPr>
    </w:lvl>
    <w:lvl w:ilvl="1">
      <w:start w:val="1"/>
      <w:numFmt w:val="decimal"/>
      <w:suff w:val="space"/>
      <w:lvlText w:val="%1.%2"/>
      <w:lvlJc w:val="left"/>
      <w:pPr>
        <w:ind w:left="-624" w:firstLine="0"/>
      </w:pPr>
      <w:rPr>
        <w:rFonts w:hint="default"/>
      </w:rPr>
    </w:lvl>
    <w:lvl w:ilvl="2">
      <w:start w:val="1"/>
      <w:numFmt w:val="decimal"/>
      <w:suff w:val="space"/>
      <w:lvlText w:val="%1.%2.%3"/>
      <w:lvlJc w:val="left"/>
      <w:pPr>
        <w:ind w:left="-624" w:firstLine="0"/>
      </w:pPr>
      <w:rPr>
        <w:rFonts w:hint="default"/>
      </w:rPr>
    </w:lvl>
    <w:lvl w:ilvl="3">
      <w:start w:val="1"/>
      <w:numFmt w:val="decimal"/>
      <w:suff w:val="space"/>
      <w:lvlText w:val="%1.%2.%3.%4"/>
      <w:lvlJc w:val="left"/>
      <w:pPr>
        <w:ind w:left="-624" w:firstLine="0"/>
      </w:pPr>
      <w:rPr>
        <w:rFonts w:hint="default"/>
      </w:rPr>
    </w:lvl>
    <w:lvl w:ilvl="4">
      <w:start w:val="1"/>
      <w:numFmt w:val="decimal"/>
      <w:suff w:val="space"/>
      <w:lvlText w:val="%1.%2.%3.%4.%5"/>
      <w:lvlJc w:val="left"/>
      <w:pPr>
        <w:ind w:left="-624" w:firstLine="0"/>
      </w:pPr>
      <w:rPr>
        <w:rFonts w:hint="default"/>
      </w:rPr>
    </w:lvl>
    <w:lvl w:ilvl="5">
      <w:start w:val="1"/>
      <w:numFmt w:val="decimal"/>
      <w:suff w:val="space"/>
      <w:lvlText w:val="%1.%2.%3.%4.%5.%6"/>
      <w:lvlJc w:val="left"/>
      <w:pPr>
        <w:ind w:left="-624" w:firstLine="0"/>
      </w:pPr>
      <w:rPr>
        <w:rFonts w:hint="default"/>
      </w:rPr>
    </w:lvl>
    <w:lvl w:ilvl="6">
      <w:start w:val="1"/>
      <w:numFmt w:val="decimal"/>
      <w:suff w:val="space"/>
      <w:lvlText w:val="%1.%2.%3.%4.%5.%6.%7"/>
      <w:lvlJc w:val="left"/>
      <w:pPr>
        <w:ind w:left="-624" w:firstLine="0"/>
      </w:pPr>
      <w:rPr>
        <w:rFonts w:hint="default"/>
      </w:rPr>
    </w:lvl>
    <w:lvl w:ilvl="7">
      <w:start w:val="1"/>
      <w:numFmt w:val="decimal"/>
      <w:suff w:val="space"/>
      <w:lvlText w:val="%1.%2.%3.%4.%5.%6.%7.%8"/>
      <w:lvlJc w:val="left"/>
      <w:pPr>
        <w:ind w:left="-624" w:firstLine="0"/>
      </w:pPr>
      <w:rPr>
        <w:rFonts w:hint="default"/>
      </w:rPr>
    </w:lvl>
    <w:lvl w:ilvl="8">
      <w:start w:val="1"/>
      <w:numFmt w:val="decimal"/>
      <w:suff w:val="space"/>
      <w:lvlText w:val="%1.%2.%3.%4.%5.%6.%7.%8.%9"/>
      <w:lvlJc w:val="left"/>
      <w:pPr>
        <w:ind w:left="-624" w:firstLine="0"/>
      </w:pPr>
      <w:rPr>
        <w:rFonts w:hint="default"/>
      </w:rPr>
    </w:lvl>
  </w:abstractNum>
  <w:abstractNum w:abstractNumId="15" w15:restartNumberingAfterBreak="0">
    <w:nsid w:val="10B224CB"/>
    <w:multiLevelType w:val="hybridMultilevel"/>
    <w:tmpl w:val="89028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2DC41B3"/>
    <w:multiLevelType w:val="hybridMultilevel"/>
    <w:tmpl w:val="5BFEB406"/>
    <w:lvl w:ilvl="0" w:tplc="AF2CD806">
      <w:start w:val="200"/>
      <w:numFmt w:val="bullet"/>
      <w:lvlText w:val="-"/>
      <w:lvlJc w:val="left"/>
      <w:pPr>
        <w:ind w:left="1434" w:hanging="360"/>
      </w:pPr>
      <w:rPr>
        <w:rFonts w:ascii="Arial" w:eastAsiaTheme="minorEastAsia" w:hAnsi="Arial" w:cs="Arial"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7" w15:restartNumberingAfterBreak="0">
    <w:nsid w:val="14327138"/>
    <w:multiLevelType w:val="hybridMultilevel"/>
    <w:tmpl w:val="A6FC9B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6C830AB"/>
    <w:multiLevelType w:val="hybridMultilevel"/>
    <w:tmpl w:val="772C7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AAC7E4D"/>
    <w:multiLevelType w:val="hybridMultilevel"/>
    <w:tmpl w:val="472E28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C907C1E"/>
    <w:multiLevelType w:val="hybridMultilevel"/>
    <w:tmpl w:val="D1984D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DE80EE5"/>
    <w:multiLevelType w:val="hybridMultilevel"/>
    <w:tmpl w:val="28F463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FE53930"/>
    <w:multiLevelType w:val="hybridMultilevel"/>
    <w:tmpl w:val="89807134"/>
    <w:lvl w:ilvl="0" w:tplc="5F56F9BE">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4" w15:restartNumberingAfterBreak="0">
    <w:nsid w:val="30242033"/>
    <w:multiLevelType w:val="hybridMultilevel"/>
    <w:tmpl w:val="128E1BE4"/>
    <w:lvl w:ilvl="0" w:tplc="88221FC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3F61298F"/>
    <w:multiLevelType w:val="multilevel"/>
    <w:tmpl w:val="6322A5AA"/>
    <w:lvl w:ilvl="0">
      <w:start w:val="1"/>
      <w:numFmt w:val="upperLetter"/>
      <w:pStyle w:val="Appendicetitolo1"/>
      <w:suff w:val="nothing"/>
      <w:lvlText w:val="Appendice %1"/>
      <w:lvlJc w:val="left"/>
      <w:pPr>
        <w:ind w:left="-624" w:firstLine="0"/>
      </w:pPr>
      <w:rPr>
        <w:rFonts w:hint="default"/>
      </w:rPr>
    </w:lvl>
    <w:lvl w:ilvl="1">
      <w:start w:val="1"/>
      <w:numFmt w:val="decimal"/>
      <w:pStyle w:val="Appendicetitolo2"/>
      <w:suff w:val="space"/>
      <w:lvlText w:val="%1.%2"/>
      <w:lvlJc w:val="left"/>
      <w:pPr>
        <w:ind w:left="-624" w:firstLine="0"/>
      </w:pPr>
      <w:rPr>
        <w:rFonts w:hint="default"/>
      </w:rPr>
    </w:lvl>
    <w:lvl w:ilvl="2">
      <w:start w:val="1"/>
      <w:numFmt w:val="decimal"/>
      <w:pStyle w:val="Appendicetitolo3"/>
      <w:suff w:val="space"/>
      <w:lvlText w:val="%1.%2.%3"/>
      <w:lvlJc w:val="left"/>
      <w:pPr>
        <w:ind w:left="-624" w:firstLine="0"/>
      </w:pPr>
      <w:rPr>
        <w:rFonts w:hint="default"/>
      </w:rPr>
    </w:lvl>
    <w:lvl w:ilvl="3">
      <w:start w:val="1"/>
      <w:numFmt w:val="decimal"/>
      <w:suff w:val="space"/>
      <w:lvlText w:val="%1.%2.%3.%4"/>
      <w:lvlJc w:val="left"/>
      <w:pPr>
        <w:ind w:left="-624" w:firstLine="0"/>
      </w:pPr>
      <w:rPr>
        <w:rFonts w:hint="default"/>
      </w:rPr>
    </w:lvl>
    <w:lvl w:ilvl="4">
      <w:start w:val="1"/>
      <w:numFmt w:val="decimal"/>
      <w:suff w:val="space"/>
      <w:lvlText w:val="%1.%2.%3.%4.%5"/>
      <w:lvlJc w:val="left"/>
      <w:pPr>
        <w:ind w:left="-624" w:firstLine="0"/>
      </w:pPr>
      <w:rPr>
        <w:rFonts w:hint="default"/>
      </w:rPr>
    </w:lvl>
    <w:lvl w:ilvl="5">
      <w:start w:val="1"/>
      <w:numFmt w:val="decimal"/>
      <w:suff w:val="space"/>
      <w:lvlText w:val="%1.%2.%3.%4.%5.%6"/>
      <w:lvlJc w:val="left"/>
      <w:pPr>
        <w:ind w:left="-624" w:firstLine="0"/>
      </w:pPr>
      <w:rPr>
        <w:rFonts w:hint="default"/>
      </w:rPr>
    </w:lvl>
    <w:lvl w:ilvl="6">
      <w:start w:val="1"/>
      <w:numFmt w:val="decimal"/>
      <w:suff w:val="space"/>
      <w:lvlText w:val="%1.%2.%3.%4.%5.%6.%7"/>
      <w:lvlJc w:val="left"/>
      <w:pPr>
        <w:ind w:left="-624" w:firstLine="0"/>
      </w:pPr>
      <w:rPr>
        <w:rFonts w:hint="default"/>
      </w:rPr>
    </w:lvl>
    <w:lvl w:ilvl="7">
      <w:start w:val="1"/>
      <w:numFmt w:val="decimal"/>
      <w:suff w:val="space"/>
      <w:lvlText w:val="%1.%2.%3.%4.%5.%6.%7.%8"/>
      <w:lvlJc w:val="left"/>
      <w:pPr>
        <w:ind w:left="-624" w:firstLine="0"/>
      </w:pPr>
      <w:rPr>
        <w:rFonts w:hint="default"/>
      </w:rPr>
    </w:lvl>
    <w:lvl w:ilvl="8">
      <w:start w:val="1"/>
      <w:numFmt w:val="decimal"/>
      <w:suff w:val="space"/>
      <w:lvlText w:val="%1.%2.%3.%4.%5.%6.%7.%8.%9"/>
      <w:lvlJc w:val="left"/>
      <w:pPr>
        <w:ind w:left="-624" w:firstLine="0"/>
      </w:pPr>
      <w:rPr>
        <w:rFonts w:hint="default"/>
      </w:rPr>
    </w:lvl>
  </w:abstractNum>
  <w:abstractNum w:abstractNumId="29" w15:restartNumberingAfterBreak="0">
    <w:nsid w:val="404C7005"/>
    <w:multiLevelType w:val="hybridMultilevel"/>
    <w:tmpl w:val="9912C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11F0B7F"/>
    <w:multiLevelType w:val="hybridMultilevel"/>
    <w:tmpl w:val="64687B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4373EEC"/>
    <w:multiLevelType w:val="multilevel"/>
    <w:tmpl w:val="1DC44D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48202679"/>
    <w:multiLevelType w:val="hybridMultilevel"/>
    <w:tmpl w:val="3F6205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6"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E231D5C"/>
    <w:multiLevelType w:val="hybridMultilevel"/>
    <w:tmpl w:val="01546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466629E"/>
    <w:multiLevelType w:val="hybridMultilevel"/>
    <w:tmpl w:val="281C29BC"/>
    <w:lvl w:ilvl="0" w:tplc="AF2CD806">
      <w:start w:val="200"/>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4A30BB3"/>
    <w:multiLevelType w:val="hybridMultilevel"/>
    <w:tmpl w:val="26E0B9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7697BAD"/>
    <w:multiLevelType w:val="hybridMultilevel"/>
    <w:tmpl w:val="BBFEA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B65614B"/>
    <w:multiLevelType w:val="multilevel"/>
    <w:tmpl w:val="5F826582"/>
    <w:lvl w:ilvl="0">
      <w:start w:val="4"/>
      <w:numFmt w:val="decimal"/>
      <w:lvlText w:val="%1"/>
      <w:lvlJc w:val="left"/>
      <w:pPr>
        <w:ind w:left="644" w:hanging="360"/>
      </w:pPr>
      <w:rPr>
        <w:rFonts w:hint="default"/>
        <w:color w:val="auto"/>
      </w:rPr>
    </w:lvl>
    <w:lvl w:ilvl="1">
      <w:start w:val="3"/>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7800" w:hanging="1800"/>
      </w:pPr>
      <w:rPr>
        <w:rFonts w:hint="default"/>
      </w:rPr>
    </w:lvl>
  </w:abstractNum>
  <w:abstractNum w:abstractNumId="44" w15:restartNumberingAfterBreak="0">
    <w:nsid w:val="6C472682"/>
    <w:multiLevelType w:val="hybridMultilevel"/>
    <w:tmpl w:val="F2ECD2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20C79D5"/>
    <w:multiLevelType w:val="hybridMultilevel"/>
    <w:tmpl w:val="837CA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31B1B5D"/>
    <w:multiLevelType w:val="hybridMultilevel"/>
    <w:tmpl w:val="ED72E6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35"/>
  </w:num>
  <w:num w:numId="13">
    <w:abstractNumId w:val="26"/>
  </w:num>
  <w:num w:numId="14">
    <w:abstractNumId w:val="36"/>
  </w:num>
  <w:num w:numId="15">
    <w:abstractNumId w:val="42"/>
  </w:num>
  <w:num w:numId="16">
    <w:abstractNumId w:val="40"/>
  </w:num>
  <w:num w:numId="17">
    <w:abstractNumId w:val="25"/>
  </w:num>
  <w:num w:numId="18">
    <w:abstractNumId w:val="26"/>
    <w:lvlOverride w:ilvl="0">
      <w:startOverride w:val="1"/>
    </w:lvlOverride>
  </w:num>
  <w:num w:numId="19">
    <w:abstractNumId w:val="34"/>
  </w:num>
  <w:num w:numId="20">
    <w:abstractNumId w:val="33"/>
  </w:num>
  <w:num w:numId="21">
    <w:abstractNumId w:val="27"/>
  </w:num>
  <w:num w:numId="22">
    <w:abstractNumId w:val="24"/>
  </w:num>
  <w:num w:numId="23">
    <w:abstractNumId w:val="14"/>
  </w:num>
  <w:num w:numId="24">
    <w:abstractNumId w:val="28"/>
  </w:num>
  <w:num w:numId="25">
    <w:abstractNumId w:val="12"/>
  </w:num>
  <w:num w:numId="26">
    <w:abstractNumId w:val="45"/>
  </w:num>
  <w:num w:numId="27">
    <w:abstractNumId w:val="31"/>
  </w:num>
  <w:num w:numId="28">
    <w:abstractNumId w:val="41"/>
  </w:num>
  <w:num w:numId="29">
    <w:abstractNumId w:val="19"/>
  </w:num>
  <w:num w:numId="30">
    <w:abstractNumId w:val="22"/>
  </w:num>
  <w:num w:numId="31">
    <w:abstractNumId w:val="38"/>
  </w:num>
  <w:num w:numId="32">
    <w:abstractNumId w:val="21"/>
  </w:num>
  <w:num w:numId="33">
    <w:abstractNumId w:val="18"/>
  </w:num>
  <w:num w:numId="34">
    <w:abstractNumId w:val="39"/>
  </w:num>
  <w:num w:numId="35">
    <w:abstractNumId w:val="43"/>
  </w:num>
  <w:num w:numId="36">
    <w:abstractNumId w:val="46"/>
  </w:num>
  <w:num w:numId="37">
    <w:abstractNumId w:val="29"/>
  </w:num>
  <w:num w:numId="38">
    <w:abstractNumId w:val="44"/>
  </w:num>
  <w:num w:numId="39">
    <w:abstractNumId w:val="17"/>
  </w:num>
  <w:num w:numId="40">
    <w:abstractNumId w:val="15"/>
  </w:num>
  <w:num w:numId="41">
    <w:abstractNumId w:val="10"/>
  </w:num>
  <w:num w:numId="42">
    <w:abstractNumId w:val="32"/>
  </w:num>
  <w:num w:numId="43">
    <w:abstractNumId w:val="20"/>
  </w:num>
  <w:num w:numId="44">
    <w:abstractNumId w:val="13"/>
  </w:num>
  <w:num w:numId="45">
    <w:abstractNumId w:val="37"/>
  </w:num>
  <w:num w:numId="46">
    <w:abstractNumId w:val="11"/>
  </w:num>
  <w:num w:numId="47">
    <w:abstractNumId w:val="30"/>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4516E"/>
    <w:rsid w:val="00051566"/>
    <w:rsid w:val="00062A9A"/>
    <w:rsid w:val="00065058"/>
    <w:rsid w:val="0006672D"/>
    <w:rsid w:val="00086C39"/>
    <w:rsid w:val="000A03B2"/>
    <w:rsid w:val="000C5EC3"/>
    <w:rsid w:val="000D34BE"/>
    <w:rsid w:val="000E102F"/>
    <w:rsid w:val="000E36F1"/>
    <w:rsid w:val="000E3A73"/>
    <w:rsid w:val="000E414A"/>
    <w:rsid w:val="000F093C"/>
    <w:rsid w:val="000F5DD1"/>
    <w:rsid w:val="000F787B"/>
    <w:rsid w:val="0012091F"/>
    <w:rsid w:val="00126BC2"/>
    <w:rsid w:val="001308B6"/>
    <w:rsid w:val="0013121F"/>
    <w:rsid w:val="00131FE6"/>
    <w:rsid w:val="0013263F"/>
    <w:rsid w:val="00134DE4"/>
    <w:rsid w:val="0014034D"/>
    <w:rsid w:val="0014464F"/>
    <w:rsid w:val="00150E59"/>
    <w:rsid w:val="00152DE3"/>
    <w:rsid w:val="00164CF9"/>
    <w:rsid w:val="00180860"/>
    <w:rsid w:val="00184AD6"/>
    <w:rsid w:val="001A5B78"/>
    <w:rsid w:val="001A66B6"/>
    <w:rsid w:val="001B0349"/>
    <w:rsid w:val="001B65C1"/>
    <w:rsid w:val="001C684B"/>
    <w:rsid w:val="001D53FC"/>
    <w:rsid w:val="001F0BB4"/>
    <w:rsid w:val="001F42A5"/>
    <w:rsid w:val="001F7B9D"/>
    <w:rsid w:val="00205DD1"/>
    <w:rsid w:val="0021397E"/>
    <w:rsid w:val="002224B4"/>
    <w:rsid w:val="002447EF"/>
    <w:rsid w:val="00251550"/>
    <w:rsid w:val="00263B05"/>
    <w:rsid w:val="0027221A"/>
    <w:rsid w:val="00275B61"/>
    <w:rsid w:val="00282656"/>
    <w:rsid w:val="00296B83"/>
    <w:rsid w:val="002B4919"/>
    <w:rsid w:val="002B78CE"/>
    <w:rsid w:val="002C2FB6"/>
    <w:rsid w:val="002E4298"/>
    <w:rsid w:val="0030029D"/>
    <w:rsid w:val="003009B7"/>
    <w:rsid w:val="00300E56"/>
    <w:rsid w:val="0030469C"/>
    <w:rsid w:val="00321CA6"/>
    <w:rsid w:val="00334C09"/>
    <w:rsid w:val="003723D4"/>
    <w:rsid w:val="00383F4B"/>
    <w:rsid w:val="00384CC8"/>
    <w:rsid w:val="003871FD"/>
    <w:rsid w:val="00394164"/>
    <w:rsid w:val="003A1E30"/>
    <w:rsid w:val="003A7D1C"/>
    <w:rsid w:val="003B304B"/>
    <w:rsid w:val="003B3146"/>
    <w:rsid w:val="003E29FB"/>
    <w:rsid w:val="003F015E"/>
    <w:rsid w:val="00400414"/>
    <w:rsid w:val="00410532"/>
    <w:rsid w:val="0041446B"/>
    <w:rsid w:val="0041550A"/>
    <w:rsid w:val="004365ED"/>
    <w:rsid w:val="0044329C"/>
    <w:rsid w:val="00450D11"/>
    <w:rsid w:val="004577FE"/>
    <w:rsid w:val="00457B9C"/>
    <w:rsid w:val="0046164A"/>
    <w:rsid w:val="004628D2"/>
    <w:rsid w:val="00462DCD"/>
    <w:rsid w:val="004648AD"/>
    <w:rsid w:val="004703A9"/>
    <w:rsid w:val="004760DE"/>
    <w:rsid w:val="004A004E"/>
    <w:rsid w:val="004A24CF"/>
    <w:rsid w:val="004C3D1D"/>
    <w:rsid w:val="004C7913"/>
    <w:rsid w:val="004E4DD6"/>
    <w:rsid w:val="004F5E36"/>
    <w:rsid w:val="00507945"/>
    <w:rsid w:val="00507B47"/>
    <w:rsid w:val="00507CC9"/>
    <w:rsid w:val="005119A5"/>
    <w:rsid w:val="00516D93"/>
    <w:rsid w:val="005278B7"/>
    <w:rsid w:val="00532016"/>
    <w:rsid w:val="005346C8"/>
    <w:rsid w:val="00543E7D"/>
    <w:rsid w:val="00547A68"/>
    <w:rsid w:val="005531C9"/>
    <w:rsid w:val="00584CD8"/>
    <w:rsid w:val="0059214F"/>
    <w:rsid w:val="005A3E9C"/>
    <w:rsid w:val="005B2110"/>
    <w:rsid w:val="005B61E6"/>
    <w:rsid w:val="005C77E1"/>
    <w:rsid w:val="005D6A2F"/>
    <w:rsid w:val="005E1A82"/>
    <w:rsid w:val="005E794C"/>
    <w:rsid w:val="005F0A28"/>
    <w:rsid w:val="005F0E5E"/>
    <w:rsid w:val="00600535"/>
    <w:rsid w:val="00604128"/>
    <w:rsid w:val="00610CD6"/>
    <w:rsid w:val="00617A27"/>
    <w:rsid w:val="00620C11"/>
    <w:rsid w:val="00620DEE"/>
    <w:rsid w:val="00621F92"/>
    <w:rsid w:val="0062435A"/>
    <w:rsid w:val="00625639"/>
    <w:rsid w:val="00631B33"/>
    <w:rsid w:val="00634FFC"/>
    <w:rsid w:val="0064184D"/>
    <w:rsid w:val="00660C76"/>
    <w:rsid w:val="00660E3E"/>
    <w:rsid w:val="00662E74"/>
    <w:rsid w:val="00680C23"/>
    <w:rsid w:val="006822C4"/>
    <w:rsid w:val="00693766"/>
    <w:rsid w:val="006A3281"/>
    <w:rsid w:val="006A3DB7"/>
    <w:rsid w:val="006B16FE"/>
    <w:rsid w:val="006B4888"/>
    <w:rsid w:val="006C2E45"/>
    <w:rsid w:val="006C359C"/>
    <w:rsid w:val="006C5579"/>
    <w:rsid w:val="006E737D"/>
    <w:rsid w:val="00720A24"/>
    <w:rsid w:val="00732386"/>
    <w:rsid w:val="00736A8E"/>
    <w:rsid w:val="007447F3"/>
    <w:rsid w:val="0075499F"/>
    <w:rsid w:val="0075647F"/>
    <w:rsid w:val="007661C8"/>
    <w:rsid w:val="0077096C"/>
    <w:rsid w:val="0077098D"/>
    <w:rsid w:val="00771BE5"/>
    <w:rsid w:val="007A7BBA"/>
    <w:rsid w:val="007B0C50"/>
    <w:rsid w:val="007C1A43"/>
    <w:rsid w:val="007E788A"/>
    <w:rsid w:val="008131E1"/>
    <w:rsid w:val="00813288"/>
    <w:rsid w:val="008168FC"/>
    <w:rsid w:val="00830996"/>
    <w:rsid w:val="008345F1"/>
    <w:rsid w:val="008456A9"/>
    <w:rsid w:val="00854733"/>
    <w:rsid w:val="00863C6D"/>
    <w:rsid w:val="00865B07"/>
    <w:rsid w:val="008667EA"/>
    <w:rsid w:val="00873D70"/>
    <w:rsid w:val="0087637F"/>
    <w:rsid w:val="00892AD5"/>
    <w:rsid w:val="008A1512"/>
    <w:rsid w:val="008D433B"/>
    <w:rsid w:val="008E566E"/>
    <w:rsid w:val="0090161A"/>
    <w:rsid w:val="00901EB6"/>
    <w:rsid w:val="00904C62"/>
    <w:rsid w:val="00924DAC"/>
    <w:rsid w:val="00927058"/>
    <w:rsid w:val="009450CE"/>
    <w:rsid w:val="00947179"/>
    <w:rsid w:val="0095164B"/>
    <w:rsid w:val="00954090"/>
    <w:rsid w:val="009573E7"/>
    <w:rsid w:val="00963E05"/>
    <w:rsid w:val="00967D54"/>
    <w:rsid w:val="00996483"/>
    <w:rsid w:val="00996F5A"/>
    <w:rsid w:val="009B041A"/>
    <w:rsid w:val="009C7C86"/>
    <w:rsid w:val="009D2FF7"/>
    <w:rsid w:val="009E735D"/>
    <w:rsid w:val="009E7884"/>
    <w:rsid w:val="009E788A"/>
    <w:rsid w:val="009F0E08"/>
    <w:rsid w:val="009F7B10"/>
    <w:rsid w:val="009F7F64"/>
    <w:rsid w:val="00A1763D"/>
    <w:rsid w:val="00A17CEC"/>
    <w:rsid w:val="00A27EF0"/>
    <w:rsid w:val="00A50B20"/>
    <w:rsid w:val="00A51390"/>
    <w:rsid w:val="00A577A4"/>
    <w:rsid w:val="00A60D13"/>
    <w:rsid w:val="00A72745"/>
    <w:rsid w:val="00A76EFC"/>
    <w:rsid w:val="00A85B78"/>
    <w:rsid w:val="00A91010"/>
    <w:rsid w:val="00A97F29"/>
    <w:rsid w:val="00AA37A2"/>
    <w:rsid w:val="00AA489F"/>
    <w:rsid w:val="00AA702E"/>
    <w:rsid w:val="00AB0964"/>
    <w:rsid w:val="00AB5011"/>
    <w:rsid w:val="00AC7368"/>
    <w:rsid w:val="00AD16B9"/>
    <w:rsid w:val="00AD415E"/>
    <w:rsid w:val="00AE1F10"/>
    <w:rsid w:val="00AE377D"/>
    <w:rsid w:val="00AE3CA9"/>
    <w:rsid w:val="00B17FBD"/>
    <w:rsid w:val="00B315A6"/>
    <w:rsid w:val="00B31813"/>
    <w:rsid w:val="00B33365"/>
    <w:rsid w:val="00B57B36"/>
    <w:rsid w:val="00B8686D"/>
    <w:rsid w:val="00B86DCD"/>
    <w:rsid w:val="00BA0451"/>
    <w:rsid w:val="00BC30C9"/>
    <w:rsid w:val="00BC5318"/>
    <w:rsid w:val="00BE3E58"/>
    <w:rsid w:val="00BF2E07"/>
    <w:rsid w:val="00C01616"/>
    <w:rsid w:val="00C0162B"/>
    <w:rsid w:val="00C101D8"/>
    <w:rsid w:val="00C345B1"/>
    <w:rsid w:val="00C40142"/>
    <w:rsid w:val="00C57182"/>
    <w:rsid w:val="00C57863"/>
    <w:rsid w:val="00C655FD"/>
    <w:rsid w:val="00C71FB5"/>
    <w:rsid w:val="00C870A8"/>
    <w:rsid w:val="00C94434"/>
    <w:rsid w:val="00CA0D75"/>
    <w:rsid w:val="00CA1C95"/>
    <w:rsid w:val="00CA5A9C"/>
    <w:rsid w:val="00CC51AC"/>
    <w:rsid w:val="00CC64B4"/>
    <w:rsid w:val="00CD5FE2"/>
    <w:rsid w:val="00CE7C68"/>
    <w:rsid w:val="00CF21DA"/>
    <w:rsid w:val="00D02B4C"/>
    <w:rsid w:val="00D040C4"/>
    <w:rsid w:val="00D57C84"/>
    <w:rsid w:val="00D6057D"/>
    <w:rsid w:val="00D76457"/>
    <w:rsid w:val="00D84576"/>
    <w:rsid w:val="00DA1399"/>
    <w:rsid w:val="00DA24C6"/>
    <w:rsid w:val="00DA4D7B"/>
    <w:rsid w:val="00DA65A9"/>
    <w:rsid w:val="00DE264A"/>
    <w:rsid w:val="00E02D18"/>
    <w:rsid w:val="00E041E7"/>
    <w:rsid w:val="00E23CA1"/>
    <w:rsid w:val="00E409A8"/>
    <w:rsid w:val="00E50C12"/>
    <w:rsid w:val="00E65B91"/>
    <w:rsid w:val="00E7209D"/>
    <w:rsid w:val="00E77223"/>
    <w:rsid w:val="00E8528B"/>
    <w:rsid w:val="00E85B94"/>
    <w:rsid w:val="00E87E13"/>
    <w:rsid w:val="00E978D0"/>
    <w:rsid w:val="00EA4613"/>
    <w:rsid w:val="00EA7F91"/>
    <w:rsid w:val="00EB1523"/>
    <w:rsid w:val="00EC0E49"/>
    <w:rsid w:val="00EC6199"/>
    <w:rsid w:val="00EE0131"/>
    <w:rsid w:val="00EF2394"/>
    <w:rsid w:val="00F21465"/>
    <w:rsid w:val="00F30C64"/>
    <w:rsid w:val="00F32CDB"/>
    <w:rsid w:val="00F63A70"/>
    <w:rsid w:val="00FA21D0"/>
    <w:rsid w:val="00FA5F5F"/>
    <w:rsid w:val="00FB730C"/>
    <w:rsid w:val="00FC2695"/>
    <w:rsid w:val="00FC3E03"/>
    <w:rsid w:val="00FC3FC1"/>
    <w:rsid w:val="00FE02D1"/>
    <w:rsid w:val="00FE480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43547CB8-9B9B-472C-A641-A8A71271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qFormat/>
    <w:rsid w:val="004F5E36"/>
    <w:pPr>
      <w:tabs>
        <w:tab w:val="clear" w:pos="360"/>
        <w:tab w:val="right" w:pos="7100"/>
      </w:tabs>
      <w:jc w:val="both"/>
      <w:outlineLvl w:val="0"/>
    </w:pPr>
    <w:rPr>
      <w:lang w:val="en-GB"/>
    </w:rPr>
  </w:style>
  <w:style w:type="paragraph" w:styleId="Titolo2">
    <w:name w:val="heading 2"/>
    <w:basedOn w:val="Normale"/>
    <w:next w:val="Normale"/>
    <w:link w:val="Titolo2Carattere"/>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unhideWhenUsed/>
    <w:rsid w:val="004577FE"/>
    <w:rPr>
      <w:sz w:val="16"/>
      <w:szCs w:val="16"/>
    </w:rPr>
  </w:style>
  <w:style w:type="paragraph" w:styleId="Testofumetto">
    <w:name w:val="Balloon Text"/>
    <w:basedOn w:val="Normale"/>
    <w:link w:val="TestofumettoCarattere"/>
    <w:uiPriority w:val="99"/>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rsid w:val="000D34BE"/>
    <w:rPr>
      <w:rFonts w:ascii="Tahoma" w:hAnsi="Tahoma" w:cs="Tahoma"/>
      <w:sz w:val="16"/>
      <w:szCs w:val="16"/>
    </w:rPr>
  </w:style>
  <w:style w:type="paragraph" w:styleId="Bibliografia">
    <w:name w:val="Bibliography"/>
    <w:basedOn w:val="CETReferencetext"/>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nhideWhenUsed/>
    <w:rsid w:val="0003148D"/>
    <w:pPr>
      <w:spacing w:after="120"/>
    </w:pPr>
  </w:style>
  <w:style w:type="character" w:customStyle="1" w:styleId="CorpotestoCarattere">
    <w:name w:val="Corpo testo Carattere"/>
    <w:basedOn w:val="Carpredefinitoparagrafo"/>
    <w:link w:val="Corpotesto"/>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link w:val="DidascaliaCarattere"/>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unhideWhenUsed/>
    <w:rsid w:val="0003148D"/>
    <w:rPr>
      <w:b/>
      <w:bCs/>
    </w:rPr>
  </w:style>
  <w:style w:type="character" w:customStyle="1" w:styleId="SoggettocommentoCarattere">
    <w:name w:val="Soggetto commento Carattere"/>
    <w:basedOn w:val="TestocommentoCarattere"/>
    <w:link w:val="Soggettocommento"/>
    <w:uiPriority w:val="99"/>
    <w:rsid w:val="0003148D"/>
    <w:rPr>
      <w:b/>
      <w:bCs/>
      <w:sz w:val="20"/>
      <w:szCs w:val="20"/>
    </w:rPr>
  </w:style>
  <w:style w:type="paragraph" w:styleId="Sommario1">
    <w:name w:val="toc 1"/>
    <w:basedOn w:val="Normale"/>
    <w:next w:val="Normale"/>
    <w:autoRedefine/>
    <w:uiPriority w:val="39"/>
    <w:unhideWhenUsed/>
    <w:rsid w:val="0003148D"/>
    <w:pPr>
      <w:spacing w:after="100"/>
    </w:pPr>
  </w:style>
  <w:style w:type="paragraph" w:styleId="Sommario2">
    <w:name w:val="toc 2"/>
    <w:basedOn w:val="Normale"/>
    <w:next w:val="Normale"/>
    <w:autoRedefine/>
    <w:uiPriority w:val="39"/>
    <w:unhideWhenUsed/>
    <w:rsid w:val="0003148D"/>
    <w:pPr>
      <w:spacing w:after="100"/>
      <w:ind w:left="220"/>
    </w:pPr>
  </w:style>
  <w:style w:type="paragraph" w:styleId="Sommario3">
    <w:name w:val="toc 3"/>
    <w:basedOn w:val="Normale"/>
    <w:next w:val="Normale"/>
    <w:autoRedefine/>
    <w:uiPriority w:val="39"/>
    <w:unhideWhenUsed/>
    <w:rsid w:val="0003148D"/>
    <w:pPr>
      <w:spacing w:after="100"/>
      <w:ind w:left="440"/>
    </w:pPr>
  </w:style>
  <w:style w:type="paragraph" w:styleId="Sommario4">
    <w:name w:val="toc 4"/>
    <w:basedOn w:val="Normale"/>
    <w:next w:val="Normale"/>
    <w:autoRedefine/>
    <w:semiHidden/>
    <w:unhideWhenUsed/>
    <w:rsid w:val="0003148D"/>
    <w:pPr>
      <w:spacing w:after="100"/>
      <w:ind w:left="660"/>
    </w:pPr>
  </w:style>
  <w:style w:type="paragraph" w:styleId="Sommario5">
    <w:name w:val="toc 5"/>
    <w:basedOn w:val="Normale"/>
    <w:next w:val="Normale"/>
    <w:autoRedefine/>
    <w:semiHidden/>
    <w:unhideWhenUsed/>
    <w:rsid w:val="0003148D"/>
    <w:pPr>
      <w:spacing w:after="100"/>
      <w:ind w:left="880"/>
    </w:pPr>
  </w:style>
  <w:style w:type="paragraph" w:styleId="Sommario6">
    <w:name w:val="toc 6"/>
    <w:basedOn w:val="Normale"/>
    <w:next w:val="Normale"/>
    <w:autoRedefine/>
    <w:semiHidden/>
    <w:unhideWhenUsed/>
    <w:rsid w:val="0003148D"/>
    <w:pPr>
      <w:spacing w:after="100"/>
      <w:ind w:left="1100"/>
    </w:pPr>
  </w:style>
  <w:style w:type="paragraph" w:styleId="Sommario7">
    <w:name w:val="toc 7"/>
    <w:basedOn w:val="Normale"/>
    <w:next w:val="Normale"/>
    <w:autoRedefine/>
    <w:semiHidden/>
    <w:unhideWhenUsed/>
    <w:rsid w:val="0003148D"/>
    <w:pPr>
      <w:spacing w:after="100"/>
      <w:ind w:left="1320"/>
    </w:pPr>
  </w:style>
  <w:style w:type="paragraph" w:styleId="Sommario8">
    <w:name w:val="toc 8"/>
    <w:basedOn w:val="Normale"/>
    <w:next w:val="Normale"/>
    <w:autoRedefine/>
    <w:semiHidden/>
    <w:unhideWhenUsed/>
    <w:rsid w:val="0003148D"/>
    <w:pPr>
      <w:spacing w:after="100"/>
      <w:ind w:left="1540"/>
    </w:pPr>
  </w:style>
  <w:style w:type="paragraph" w:styleId="Sommario9">
    <w:name w:val="toc 9"/>
    <w:basedOn w:val="Normale"/>
    <w:next w:val="Normale"/>
    <w:autoRedefine/>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Numeropagina">
    <w:name w:val="page number"/>
    <w:basedOn w:val="Carpredefinitoparagrafo"/>
    <w:rsid w:val="00AE3CA9"/>
  </w:style>
  <w:style w:type="paragraph" w:styleId="Titolo">
    <w:name w:val="Title"/>
    <w:basedOn w:val="Normale"/>
    <w:next w:val="Normale"/>
    <w:link w:val="TitoloCarattere"/>
    <w:uiPriority w:val="10"/>
    <w:qFormat/>
    <w:rsid w:val="00AE3CA9"/>
    <w:pPr>
      <w:keepNext/>
      <w:tabs>
        <w:tab w:val="clear" w:pos="7100"/>
      </w:tabs>
      <w:spacing w:before="720" w:after="840" w:line="240" w:lineRule="auto"/>
      <w:jc w:val="center"/>
      <w:outlineLvl w:val="0"/>
    </w:pPr>
    <w:rPr>
      <w:rFonts w:ascii="Georgia" w:hAnsi="Georgia"/>
      <w:b/>
      <w:bCs/>
      <w:caps/>
      <w:sz w:val="40"/>
      <w:szCs w:val="24"/>
      <w:lang w:val="it-IT" w:eastAsia="it-IT"/>
    </w:rPr>
  </w:style>
  <w:style w:type="character" w:customStyle="1" w:styleId="TitoloCarattere">
    <w:name w:val="Titolo Carattere"/>
    <w:basedOn w:val="Carpredefinitoparagrafo"/>
    <w:link w:val="Titolo"/>
    <w:uiPriority w:val="10"/>
    <w:rsid w:val="00AE3CA9"/>
    <w:rPr>
      <w:rFonts w:ascii="Georgia" w:eastAsia="Times New Roman" w:hAnsi="Georgia" w:cs="Times New Roman"/>
      <w:b/>
      <w:bCs/>
      <w:caps/>
      <w:sz w:val="40"/>
      <w:szCs w:val="24"/>
      <w:lang w:eastAsia="it-IT"/>
    </w:rPr>
  </w:style>
  <w:style w:type="paragraph" w:customStyle="1" w:styleId="figura">
    <w:name w:val="figura"/>
    <w:basedOn w:val="Normale"/>
    <w:next w:val="Normale"/>
    <w:autoRedefine/>
    <w:rsid w:val="00AE3CA9"/>
    <w:pPr>
      <w:keepNext/>
      <w:tabs>
        <w:tab w:val="clear" w:pos="7100"/>
      </w:tabs>
      <w:spacing w:before="240" w:line="360" w:lineRule="auto"/>
      <w:jc w:val="center"/>
    </w:pPr>
    <w:rPr>
      <w:rFonts w:ascii="Palatino Linotype" w:hAnsi="Palatino Linotype"/>
      <w:sz w:val="20"/>
      <w:lang w:val="it-IT" w:eastAsia="it-IT"/>
    </w:rPr>
  </w:style>
  <w:style w:type="paragraph" w:customStyle="1" w:styleId="equazione">
    <w:name w:val="equazione"/>
    <w:basedOn w:val="Normale"/>
    <w:next w:val="Normale"/>
    <w:autoRedefine/>
    <w:rsid w:val="00AE3CA9"/>
    <w:pPr>
      <w:tabs>
        <w:tab w:val="clear" w:pos="7100"/>
        <w:tab w:val="right" w:pos="8222"/>
      </w:tabs>
      <w:spacing w:before="120" w:after="120" w:line="240" w:lineRule="auto"/>
    </w:pPr>
    <w:rPr>
      <w:rFonts w:ascii="Palatino Linotype" w:hAnsi="Palatino Linotype"/>
      <w:position w:val="-24"/>
      <w:sz w:val="24"/>
      <w:lang w:val="it-IT" w:eastAsia="it-IT"/>
    </w:rPr>
  </w:style>
  <w:style w:type="character" w:styleId="Collegamentovisitato">
    <w:name w:val="FollowedHyperlink"/>
    <w:uiPriority w:val="99"/>
    <w:rsid w:val="00AE3CA9"/>
    <w:rPr>
      <w:color w:val="800080"/>
      <w:u w:val="single"/>
    </w:rPr>
  </w:style>
  <w:style w:type="paragraph" w:customStyle="1" w:styleId="cella">
    <w:name w:val="cella"/>
    <w:basedOn w:val="Normale"/>
    <w:rsid w:val="00AE3CA9"/>
    <w:pPr>
      <w:keepNext/>
      <w:tabs>
        <w:tab w:val="clear" w:pos="7100"/>
      </w:tabs>
      <w:spacing w:line="240" w:lineRule="auto"/>
      <w:jc w:val="center"/>
    </w:pPr>
    <w:rPr>
      <w:rFonts w:ascii="Arial Narrow" w:hAnsi="Arial Narrow" w:cs="Arial"/>
      <w:sz w:val="20"/>
      <w:lang w:val="it-IT" w:eastAsia="it-IT"/>
    </w:rPr>
  </w:style>
  <w:style w:type="paragraph" w:styleId="Paragrafoelenco">
    <w:name w:val="List Paragraph"/>
    <w:basedOn w:val="Normale"/>
    <w:uiPriority w:val="34"/>
    <w:qFormat/>
    <w:rsid w:val="00AE3CA9"/>
    <w:pPr>
      <w:tabs>
        <w:tab w:val="clear" w:pos="7100"/>
      </w:tabs>
      <w:spacing w:after="160" w:line="360" w:lineRule="auto"/>
      <w:contextualSpacing/>
    </w:pPr>
    <w:rPr>
      <w:rFonts w:ascii="Palatino Linotype" w:eastAsia="Calibri" w:hAnsi="Palatino Linotype"/>
      <w:sz w:val="24"/>
      <w:szCs w:val="24"/>
      <w:lang w:val="en-US"/>
    </w:rPr>
  </w:style>
  <w:style w:type="paragraph" w:customStyle="1" w:styleId="didascaliatabella">
    <w:name w:val="didascalia tabella"/>
    <w:basedOn w:val="Didascalia"/>
    <w:next w:val="Normale"/>
    <w:autoRedefine/>
    <w:rsid w:val="00AE3CA9"/>
    <w:pPr>
      <w:keepNext/>
      <w:keepLines/>
      <w:widowControl w:val="0"/>
      <w:tabs>
        <w:tab w:val="clear" w:pos="7100"/>
      </w:tabs>
      <w:spacing w:before="120"/>
      <w:jc w:val="center"/>
    </w:pPr>
    <w:rPr>
      <w:rFonts w:ascii="Palatino Linotype" w:hAnsi="Palatino Linotype"/>
      <w:snapToGrid w:val="0"/>
      <w:color w:val="auto"/>
      <w:sz w:val="20"/>
      <w:szCs w:val="20"/>
      <w:lang w:val="en-US" w:eastAsia="it-IT"/>
    </w:rPr>
  </w:style>
  <w:style w:type="paragraph" w:customStyle="1" w:styleId="titoloindice0">
    <w:name w:val="titolo_indice"/>
    <w:basedOn w:val="Titolo"/>
    <w:next w:val="Normale"/>
    <w:autoRedefine/>
    <w:rsid w:val="00AE3CA9"/>
  </w:style>
  <w:style w:type="paragraph" w:customStyle="1" w:styleId="celladestra">
    <w:name w:val="cella_destra"/>
    <w:basedOn w:val="cella"/>
    <w:next w:val="Normale"/>
    <w:rsid w:val="00AE3CA9"/>
  </w:style>
  <w:style w:type="paragraph" w:customStyle="1" w:styleId="cellagrassetto">
    <w:name w:val="cella_grassetto"/>
    <w:basedOn w:val="cella"/>
    <w:next w:val="Normale"/>
    <w:rsid w:val="00AE3CA9"/>
  </w:style>
  <w:style w:type="paragraph" w:customStyle="1" w:styleId="cellaverticale">
    <w:name w:val="cella_verticale"/>
    <w:basedOn w:val="cella"/>
    <w:next w:val="Normale"/>
    <w:rsid w:val="00AE3CA9"/>
  </w:style>
  <w:style w:type="paragraph" w:customStyle="1" w:styleId="primoparagrafo">
    <w:name w:val="primo paragrafo"/>
    <w:basedOn w:val="Corpotesto"/>
    <w:next w:val="Corpotesto"/>
    <w:link w:val="primoparagrafoCarattere"/>
    <w:rsid w:val="00AE3CA9"/>
  </w:style>
  <w:style w:type="paragraph" w:customStyle="1" w:styleId="cellaintestazione">
    <w:name w:val="cella intestazione"/>
    <w:basedOn w:val="cella"/>
    <w:autoRedefine/>
    <w:rsid w:val="00AE3CA9"/>
  </w:style>
  <w:style w:type="character" w:customStyle="1" w:styleId="primoparagrafoCarattere">
    <w:name w:val="primo paragrafo Carattere"/>
    <w:basedOn w:val="CorpotestoCarattere"/>
    <w:link w:val="primoparagrafo"/>
    <w:rsid w:val="00AE3CA9"/>
    <w:rPr>
      <w:rFonts w:ascii="Arial" w:eastAsia="Times New Roman" w:hAnsi="Arial" w:cs="Times New Roman"/>
      <w:sz w:val="18"/>
      <w:szCs w:val="20"/>
      <w:lang w:val="en-GB"/>
    </w:rPr>
  </w:style>
  <w:style w:type="paragraph" w:customStyle="1" w:styleId="Appendicetitolo1">
    <w:name w:val="Appendice titolo 1"/>
    <w:basedOn w:val="Titolo1"/>
    <w:next w:val="primoparagrafo"/>
    <w:rsid w:val="00AE3CA9"/>
    <w:pPr>
      <w:pageBreakBefore/>
      <w:widowControl w:val="0"/>
      <w:numPr>
        <w:ilvl w:val="0"/>
        <w:numId w:val="24"/>
      </w:numPr>
      <w:tabs>
        <w:tab w:val="clear" w:pos="7100"/>
        <w:tab w:val="right" w:pos="2268"/>
      </w:tabs>
      <w:suppressAutoHyphens w:val="0"/>
      <w:spacing w:after="3000" w:line="360" w:lineRule="auto"/>
      <w:jc w:val="right"/>
    </w:pPr>
    <w:rPr>
      <w:rFonts w:ascii="Georgia" w:hAnsi="Georgia"/>
      <w:snapToGrid w:val="0"/>
      <w:sz w:val="40"/>
      <w:lang w:eastAsia="it-IT"/>
    </w:rPr>
  </w:style>
  <w:style w:type="paragraph" w:customStyle="1" w:styleId="cellaintestazioneverticale">
    <w:name w:val="cella intestazione verticale"/>
    <w:basedOn w:val="cella"/>
    <w:autoRedefine/>
    <w:rsid w:val="00AE3CA9"/>
  </w:style>
  <w:style w:type="character" w:styleId="Testosegnaposto">
    <w:name w:val="Placeholder Text"/>
    <w:uiPriority w:val="99"/>
    <w:semiHidden/>
    <w:rsid w:val="00AE3CA9"/>
    <w:rPr>
      <w:color w:val="808080"/>
    </w:rPr>
  </w:style>
  <w:style w:type="paragraph" w:customStyle="1" w:styleId="Appendicetitolo2">
    <w:name w:val="Appendice titolo 2"/>
    <w:basedOn w:val="Titolo2"/>
    <w:next w:val="primoparagrafo"/>
    <w:rsid w:val="00AE3CA9"/>
    <w:pPr>
      <w:keepLines w:val="0"/>
      <w:widowControl w:val="0"/>
      <w:numPr>
        <w:ilvl w:val="1"/>
        <w:numId w:val="24"/>
      </w:numPr>
      <w:tabs>
        <w:tab w:val="clear" w:pos="7100"/>
      </w:tabs>
      <w:spacing w:before="360" w:after="240" w:line="360" w:lineRule="auto"/>
    </w:pPr>
    <w:rPr>
      <w:rFonts w:ascii="Palatino Linotype" w:eastAsia="Times New Roman" w:hAnsi="Palatino Linotype" w:cs="Times New Roman"/>
      <w:bCs w:val="0"/>
      <w:snapToGrid w:val="0"/>
      <w:color w:val="auto"/>
      <w:sz w:val="32"/>
      <w:szCs w:val="20"/>
      <w:lang w:val="en-US" w:eastAsia="it-IT"/>
    </w:rPr>
  </w:style>
  <w:style w:type="paragraph" w:customStyle="1" w:styleId="Appendicetitolo3">
    <w:name w:val="Appendice titolo 3"/>
    <w:basedOn w:val="Titolo3"/>
    <w:next w:val="primoparagrafo"/>
    <w:rsid w:val="00AE3CA9"/>
    <w:pPr>
      <w:keepLines w:val="0"/>
      <w:widowControl w:val="0"/>
      <w:numPr>
        <w:ilvl w:val="2"/>
        <w:numId w:val="24"/>
      </w:numPr>
      <w:tabs>
        <w:tab w:val="clear" w:pos="7100"/>
      </w:tabs>
      <w:spacing w:before="240" w:after="240" w:line="360" w:lineRule="auto"/>
    </w:pPr>
    <w:rPr>
      <w:rFonts w:ascii="Palatino Linotype" w:eastAsia="Times New Roman" w:hAnsi="Palatino Linotype" w:cs="Times New Roman"/>
      <w:bCs w:val="0"/>
      <w:snapToGrid w:val="0"/>
      <w:color w:val="auto"/>
      <w:sz w:val="28"/>
      <w:lang w:val="en-US" w:eastAsia="it-IT"/>
    </w:rPr>
  </w:style>
  <w:style w:type="paragraph" w:customStyle="1" w:styleId="Default">
    <w:name w:val="Default"/>
    <w:rsid w:val="00AE3CA9"/>
    <w:pPr>
      <w:autoSpaceDE w:val="0"/>
      <w:autoSpaceDN w:val="0"/>
      <w:adjustRightInd w:val="0"/>
      <w:spacing w:after="0" w:line="240" w:lineRule="auto"/>
    </w:pPr>
    <w:rPr>
      <w:rFonts w:ascii="___WRD_EMBED_SUB_43" w:eastAsia="Calibri" w:hAnsi="___WRD_EMBED_SUB_43" w:cs="___WRD_EMBED_SUB_43"/>
      <w:color w:val="000000"/>
      <w:sz w:val="24"/>
      <w:szCs w:val="24"/>
    </w:rPr>
  </w:style>
  <w:style w:type="table" w:styleId="Tabellasemplice-2">
    <w:name w:val="Plain Table 2"/>
    <w:basedOn w:val="Tabellanormale"/>
    <w:uiPriority w:val="42"/>
    <w:rsid w:val="00AE3CA9"/>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Rimandonotaapidipagina">
    <w:name w:val="footnote reference"/>
    <w:uiPriority w:val="99"/>
    <w:rsid w:val="00AE3CA9"/>
    <w:rPr>
      <w:vertAlign w:val="superscript"/>
    </w:rPr>
  </w:style>
  <w:style w:type="paragraph" w:styleId="Citazione">
    <w:name w:val="Quote"/>
    <w:basedOn w:val="Normale"/>
    <w:next w:val="Normale"/>
    <w:link w:val="CitazioneCarattere"/>
    <w:uiPriority w:val="29"/>
    <w:qFormat/>
    <w:rsid w:val="00AE3CA9"/>
    <w:pPr>
      <w:tabs>
        <w:tab w:val="clear" w:pos="7100"/>
      </w:tabs>
      <w:spacing w:before="200" w:after="160" w:line="360" w:lineRule="auto"/>
      <w:ind w:left="864" w:right="864"/>
      <w:jc w:val="center"/>
    </w:pPr>
    <w:rPr>
      <w:rFonts w:ascii="Palatino Linotype" w:hAnsi="Palatino Linotype"/>
      <w:i/>
      <w:iCs/>
      <w:sz w:val="24"/>
      <w:lang w:val="it-IT" w:eastAsia="it-IT"/>
    </w:rPr>
  </w:style>
  <w:style w:type="character" w:customStyle="1" w:styleId="CitazioneCarattere">
    <w:name w:val="Citazione Carattere"/>
    <w:basedOn w:val="Carpredefinitoparagrafo"/>
    <w:link w:val="Citazione"/>
    <w:uiPriority w:val="29"/>
    <w:rsid w:val="00AE3CA9"/>
    <w:rPr>
      <w:rFonts w:ascii="Palatino Linotype" w:eastAsia="Times New Roman" w:hAnsi="Palatino Linotype" w:cs="Times New Roman"/>
      <w:i/>
      <w:iCs/>
      <w:sz w:val="24"/>
      <w:szCs w:val="20"/>
      <w:lang w:eastAsia="it-IT"/>
    </w:rPr>
  </w:style>
  <w:style w:type="table" w:styleId="Tabellasemplice-1">
    <w:name w:val="Plain Table 1"/>
    <w:basedOn w:val="Tabellanormale"/>
    <w:uiPriority w:val="41"/>
    <w:rsid w:val="00AE3CA9"/>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3">
    <w:name w:val="Plain Table 3"/>
    <w:basedOn w:val="Tabellanormale"/>
    <w:uiPriority w:val="43"/>
    <w:rsid w:val="00AE3CA9"/>
    <w:pPr>
      <w:spacing w:after="0" w:line="240" w:lineRule="auto"/>
    </w:pPr>
    <w:rPr>
      <w:rFonts w:ascii="Times New Roman" w:eastAsia="Times New Roman" w:hAnsi="Times New Roman" w:cs="Times New Roman"/>
      <w:sz w:val="20"/>
      <w:szCs w:val="20"/>
      <w:lang w:eastAsia="it-IT"/>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5">
    <w:name w:val="Plain Table 5"/>
    <w:basedOn w:val="Tabellanormale"/>
    <w:uiPriority w:val="45"/>
    <w:rsid w:val="00AE3CA9"/>
    <w:pPr>
      <w:spacing w:after="0" w:line="240" w:lineRule="auto"/>
    </w:pPr>
    <w:rPr>
      <w:rFonts w:ascii="Times New Roman" w:eastAsia="Times New Roman" w:hAnsi="Times New Roman" w:cs="Times New Roman"/>
      <w:sz w:val="20"/>
      <w:szCs w:val="20"/>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
    <w:name w:val="Unresolved Mention"/>
    <w:basedOn w:val="Carpredefinitoparagrafo"/>
    <w:uiPriority w:val="99"/>
    <w:semiHidden/>
    <w:unhideWhenUsed/>
    <w:rsid w:val="00AE3CA9"/>
    <w:rPr>
      <w:color w:val="605E5C"/>
      <w:shd w:val="clear" w:color="auto" w:fill="E1DFDD"/>
    </w:rPr>
  </w:style>
  <w:style w:type="paragraph" w:customStyle="1" w:styleId="dl">
    <w:name w:val="dl"/>
    <w:basedOn w:val="Normale"/>
    <w:rsid w:val="00AE3CA9"/>
    <w:pPr>
      <w:tabs>
        <w:tab w:val="clear" w:pos="7100"/>
      </w:tabs>
      <w:spacing w:after="240" w:line="230" w:lineRule="atLeast"/>
      <w:ind w:left="800" w:hanging="400"/>
    </w:pPr>
    <w:rPr>
      <w:rFonts w:ascii="Cambria" w:eastAsia="MS Mincho" w:hAnsi="Cambria" w:cs="Cambria"/>
      <w:sz w:val="22"/>
      <w:lang w:eastAsia="fr-FR"/>
    </w:rPr>
  </w:style>
  <w:style w:type="paragraph" w:customStyle="1" w:styleId="Special">
    <w:name w:val="Special"/>
    <w:basedOn w:val="Normale"/>
    <w:next w:val="Normale"/>
    <w:rsid w:val="00AE3CA9"/>
    <w:pPr>
      <w:tabs>
        <w:tab w:val="clear" w:pos="7100"/>
      </w:tabs>
      <w:spacing w:after="240" w:line="230" w:lineRule="atLeast"/>
    </w:pPr>
    <w:rPr>
      <w:rFonts w:ascii="Cambria" w:eastAsia="MS Mincho" w:hAnsi="Cambria" w:cs="Cambria"/>
      <w:sz w:val="22"/>
      <w:lang w:eastAsia="fr-FR"/>
    </w:rPr>
  </w:style>
  <w:style w:type="paragraph" w:customStyle="1" w:styleId="TableText">
    <w:name w:val="TableText"/>
    <w:basedOn w:val="Normale"/>
    <w:rsid w:val="00AE3CA9"/>
    <w:pPr>
      <w:framePr w:hSpace="187" w:wrap="around" w:vAnchor="text" w:hAnchor="text" w:y="1"/>
      <w:tabs>
        <w:tab w:val="clear" w:pos="7100"/>
      </w:tabs>
      <w:overflowPunct w:val="0"/>
      <w:autoSpaceDE w:val="0"/>
      <w:autoSpaceDN w:val="0"/>
      <w:adjustRightInd w:val="0"/>
      <w:spacing w:before="120" w:line="240" w:lineRule="auto"/>
      <w:jc w:val="left"/>
      <w:textAlignment w:val="baseline"/>
    </w:pPr>
  </w:style>
  <w:style w:type="paragraph" w:customStyle="1" w:styleId="BiblioEntry">
    <w:name w:val="Biblio Entry"/>
    <w:basedOn w:val="Normale"/>
    <w:rsid w:val="00AE3CA9"/>
    <w:pPr>
      <w:numPr>
        <w:numId w:val="25"/>
      </w:numPr>
      <w:tabs>
        <w:tab w:val="clear" w:pos="7100"/>
        <w:tab w:val="left" w:pos="660"/>
      </w:tabs>
      <w:spacing w:after="240" w:line="230" w:lineRule="atLeast"/>
    </w:pPr>
    <w:rPr>
      <w:rFonts w:ascii="Cambria" w:eastAsia="MS Mincho" w:hAnsi="Cambria" w:cs="Cambria"/>
      <w:sz w:val="22"/>
      <w:lang w:eastAsia="fr-FR"/>
    </w:rPr>
  </w:style>
  <w:style w:type="paragraph" w:customStyle="1" w:styleId="Formula">
    <w:name w:val="Formula"/>
    <w:basedOn w:val="Normale"/>
    <w:next w:val="Normale"/>
    <w:rsid w:val="00AE3CA9"/>
    <w:pPr>
      <w:tabs>
        <w:tab w:val="clear" w:pos="7100"/>
        <w:tab w:val="right" w:pos="9752"/>
      </w:tabs>
      <w:spacing w:after="220" w:line="230" w:lineRule="atLeast"/>
      <w:ind w:left="403"/>
      <w:jc w:val="left"/>
    </w:pPr>
    <w:rPr>
      <w:rFonts w:ascii="Cambria" w:eastAsia="MS Mincho" w:hAnsi="Cambria" w:cs="Cambria"/>
      <w:sz w:val="22"/>
      <w:lang w:eastAsia="fr-FR"/>
    </w:rPr>
  </w:style>
  <w:style w:type="paragraph" w:customStyle="1" w:styleId="BodyText2">
    <w:name w:val="Body Text2"/>
    <w:basedOn w:val="Normale"/>
    <w:rsid w:val="00AE3CA9"/>
    <w:pPr>
      <w:tabs>
        <w:tab w:val="clear" w:pos="7100"/>
      </w:tabs>
      <w:spacing w:after="240" w:line="240" w:lineRule="atLeast"/>
    </w:pPr>
    <w:rPr>
      <w:sz w:val="20"/>
      <w:szCs w:val="24"/>
      <w:lang w:eastAsia="it-IT"/>
    </w:rPr>
  </w:style>
  <w:style w:type="paragraph" w:customStyle="1" w:styleId="MDPI3aequationnumber">
    <w:name w:val="MDPI_3.a_equation_number"/>
    <w:qFormat/>
    <w:rsid w:val="00AE3CA9"/>
    <w:pPr>
      <w:spacing w:before="120" w:after="120" w:line="240" w:lineRule="auto"/>
      <w:jc w:val="right"/>
    </w:pPr>
    <w:rPr>
      <w:rFonts w:ascii="Palatino Linotype" w:eastAsia="Times New Roman" w:hAnsi="Palatino Linotype" w:cs="Times New Roman"/>
      <w:snapToGrid w:val="0"/>
      <w:color w:val="000000"/>
      <w:sz w:val="20"/>
      <w:lang w:val="en-US" w:eastAsia="de-DE" w:bidi="en-US"/>
    </w:rPr>
  </w:style>
  <w:style w:type="character" w:styleId="Numeroriga">
    <w:name w:val="line number"/>
    <w:basedOn w:val="Carpredefinitoparagrafo"/>
    <w:uiPriority w:val="99"/>
    <w:unhideWhenUsed/>
    <w:rsid w:val="00AE3CA9"/>
  </w:style>
  <w:style w:type="paragraph" w:styleId="Revisione">
    <w:name w:val="Revision"/>
    <w:hidden/>
    <w:uiPriority w:val="99"/>
    <w:semiHidden/>
    <w:rsid w:val="00AE3CA9"/>
    <w:pPr>
      <w:spacing w:after="0" w:line="240" w:lineRule="auto"/>
    </w:pPr>
    <w:rPr>
      <w:rFonts w:eastAsiaTheme="minorEastAsia"/>
      <w:lang w:eastAsia="it-IT"/>
    </w:rPr>
  </w:style>
  <w:style w:type="paragraph" w:styleId="Sottotitolo">
    <w:name w:val="Subtitle"/>
    <w:basedOn w:val="Normale"/>
    <w:next w:val="Normale"/>
    <w:link w:val="SottotitoloCarattere"/>
    <w:uiPriority w:val="11"/>
    <w:qFormat/>
    <w:rsid w:val="00AE3CA9"/>
    <w:pPr>
      <w:numPr>
        <w:ilvl w:val="1"/>
      </w:numPr>
      <w:tabs>
        <w:tab w:val="clear" w:pos="7100"/>
      </w:tabs>
      <w:spacing w:before="120" w:after="240" w:line="240" w:lineRule="auto"/>
      <w:jc w:val="left"/>
    </w:pPr>
    <w:rPr>
      <w:rFonts w:asciiTheme="majorHAnsi" w:eastAsiaTheme="majorEastAsia" w:hAnsiTheme="majorHAnsi" w:cstheme="majorBidi"/>
      <w:color w:val="4F81BD" w:themeColor="accent1"/>
      <w:sz w:val="28"/>
      <w:szCs w:val="28"/>
    </w:rPr>
  </w:style>
  <w:style w:type="character" w:customStyle="1" w:styleId="SottotitoloCarattere">
    <w:name w:val="Sottotitolo Carattere"/>
    <w:basedOn w:val="Carpredefinitoparagrafo"/>
    <w:link w:val="Sottotitolo"/>
    <w:uiPriority w:val="11"/>
    <w:rsid w:val="00AE3CA9"/>
    <w:rPr>
      <w:rFonts w:asciiTheme="majorHAnsi" w:eastAsiaTheme="majorEastAsia" w:hAnsiTheme="majorHAnsi" w:cstheme="majorBidi"/>
      <w:color w:val="4F81BD" w:themeColor="accent1"/>
      <w:sz w:val="28"/>
      <w:szCs w:val="28"/>
      <w:lang w:val="en-GB"/>
    </w:rPr>
  </w:style>
  <w:style w:type="character" w:styleId="Enfasigrassetto">
    <w:name w:val="Strong"/>
    <w:basedOn w:val="Carpredefinitoparagrafo"/>
    <w:uiPriority w:val="22"/>
    <w:qFormat/>
    <w:rsid w:val="00AE3CA9"/>
    <w:rPr>
      <w:b/>
      <w:bCs/>
    </w:rPr>
  </w:style>
  <w:style w:type="character" w:styleId="Enfasicorsivo">
    <w:name w:val="Emphasis"/>
    <w:basedOn w:val="Carpredefinitoparagrafo"/>
    <w:uiPriority w:val="20"/>
    <w:qFormat/>
    <w:rsid w:val="00AE3CA9"/>
    <w:rPr>
      <w:i/>
      <w:iCs/>
    </w:rPr>
  </w:style>
  <w:style w:type="paragraph" w:styleId="Nessunaspaziatura">
    <w:name w:val="No Spacing"/>
    <w:uiPriority w:val="1"/>
    <w:qFormat/>
    <w:rsid w:val="00AE3CA9"/>
    <w:pPr>
      <w:spacing w:after="0" w:line="240" w:lineRule="auto"/>
    </w:pPr>
    <w:rPr>
      <w:rFonts w:eastAsiaTheme="minorEastAsia"/>
      <w:lang w:val="en-GB"/>
    </w:rPr>
  </w:style>
  <w:style w:type="paragraph" w:styleId="Citazioneintensa">
    <w:name w:val="Intense Quote"/>
    <w:basedOn w:val="Normale"/>
    <w:next w:val="Normale"/>
    <w:link w:val="CitazioneintensaCarattere"/>
    <w:uiPriority w:val="30"/>
    <w:qFormat/>
    <w:rsid w:val="00AE3CA9"/>
    <w:pPr>
      <w:tabs>
        <w:tab w:val="clear" w:pos="7100"/>
      </w:tabs>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zioneintensaCarattere">
    <w:name w:val="Citazione intensa Carattere"/>
    <w:basedOn w:val="Carpredefinitoparagrafo"/>
    <w:link w:val="Citazioneintensa"/>
    <w:uiPriority w:val="30"/>
    <w:rsid w:val="00AE3CA9"/>
    <w:rPr>
      <w:rFonts w:asciiTheme="majorHAnsi" w:eastAsiaTheme="majorEastAsia" w:hAnsiTheme="majorHAnsi" w:cstheme="majorBidi"/>
      <w:color w:val="1F497D" w:themeColor="text2"/>
      <w:spacing w:val="-6"/>
      <w:sz w:val="32"/>
      <w:szCs w:val="32"/>
      <w:lang w:val="en-GB"/>
    </w:rPr>
  </w:style>
  <w:style w:type="character" w:styleId="Enfasidelicata">
    <w:name w:val="Subtle Emphasis"/>
    <w:basedOn w:val="Carpredefinitoparagrafo"/>
    <w:uiPriority w:val="19"/>
    <w:qFormat/>
    <w:rsid w:val="00AE3CA9"/>
    <w:rPr>
      <w:i/>
      <w:iCs/>
      <w:color w:val="595959" w:themeColor="text1" w:themeTint="A6"/>
    </w:rPr>
  </w:style>
  <w:style w:type="character" w:styleId="Enfasiintensa">
    <w:name w:val="Intense Emphasis"/>
    <w:basedOn w:val="Carpredefinitoparagrafo"/>
    <w:uiPriority w:val="21"/>
    <w:qFormat/>
    <w:rsid w:val="00AE3CA9"/>
    <w:rPr>
      <w:b/>
      <w:bCs/>
      <w:i/>
      <w:iCs/>
    </w:rPr>
  </w:style>
  <w:style w:type="character" w:styleId="Riferimentodelicato">
    <w:name w:val="Subtle Reference"/>
    <w:basedOn w:val="Carpredefinitoparagrafo"/>
    <w:uiPriority w:val="31"/>
    <w:qFormat/>
    <w:rsid w:val="00AE3CA9"/>
    <w:rPr>
      <w:smallCaps/>
      <w:color w:val="595959" w:themeColor="text1" w:themeTint="A6"/>
      <w:u w:val="none" w:color="7F7F7F" w:themeColor="text1" w:themeTint="80"/>
      <w:bdr w:val="none" w:sz="0" w:space="0" w:color="auto"/>
    </w:rPr>
  </w:style>
  <w:style w:type="character" w:styleId="Riferimentointenso">
    <w:name w:val="Intense Reference"/>
    <w:basedOn w:val="Carpredefinitoparagrafo"/>
    <w:uiPriority w:val="32"/>
    <w:qFormat/>
    <w:rsid w:val="00AE3CA9"/>
    <w:rPr>
      <w:b/>
      <w:bCs/>
      <w:smallCaps/>
      <w:color w:val="1F497D" w:themeColor="text2"/>
      <w:u w:val="single"/>
    </w:rPr>
  </w:style>
  <w:style w:type="character" w:styleId="Titolodellibro">
    <w:name w:val="Book Title"/>
    <w:basedOn w:val="Carpredefinitoparagrafo"/>
    <w:uiPriority w:val="33"/>
    <w:qFormat/>
    <w:rsid w:val="00AE3CA9"/>
    <w:rPr>
      <w:b/>
      <w:bCs/>
      <w:smallCaps/>
      <w:spacing w:val="10"/>
    </w:rPr>
  </w:style>
  <w:style w:type="table" w:customStyle="1" w:styleId="Grigliatabellachiara1">
    <w:name w:val="Griglia tabella chiara1"/>
    <w:basedOn w:val="Tabellanormale"/>
    <w:uiPriority w:val="40"/>
    <w:rsid w:val="00AE3CA9"/>
    <w:pPr>
      <w:widowControl w:val="0"/>
      <w:autoSpaceDN w:val="0"/>
      <w:spacing w:after="0" w:line="240" w:lineRule="auto"/>
      <w:textAlignment w:val="baseline"/>
    </w:pPr>
    <w:rPr>
      <w:rFonts w:ascii="Calibri" w:eastAsia="SimSun" w:hAnsi="Calibri" w:cs="F"/>
      <w:kern w:val="3"/>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agriglia1chiara1">
    <w:name w:val="Tabella griglia 1 chiara1"/>
    <w:basedOn w:val="Tabellanormale"/>
    <w:uiPriority w:val="46"/>
    <w:rsid w:val="00AE3CA9"/>
    <w:pPr>
      <w:spacing w:after="0" w:line="240" w:lineRule="auto"/>
    </w:pPr>
    <w:rPr>
      <w:rFonts w:eastAsiaTheme="minorEastAsia"/>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DidascaliaCarattere">
    <w:name w:val="Didascalia Carattere"/>
    <w:basedOn w:val="Carpredefinitoparagrafo"/>
    <w:link w:val="Didascalia"/>
    <w:rsid w:val="00AE3CA9"/>
    <w:rPr>
      <w:rFonts w:ascii="Arial" w:eastAsia="Times New Roman" w:hAnsi="Arial" w:cs="Times New Roman"/>
      <w:b/>
      <w:bCs/>
      <w:color w:val="4F81BD" w:themeColor="accent1"/>
      <w:sz w:val="18"/>
      <w:szCs w:val="18"/>
      <w:lang w:val="en-GB"/>
    </w:rPr>
  </w:style>
  <w:style w:type="numbering" w:customStyle="1" w:styleId="Nessunelenco1">
    <w:name w:val="Nessun elenco1"/>
    <w:next w:val="Nessunelenco"/>
    <w:uiPriority w:val="99"/>
    <w:semiHidden/>
    <w:unhideWhenUsed/>
    <w:rsid w:val="00AE3CA9"/>
  </w:style>
  <w:style w:type="paragraph" w:customStyle="1" w:styleId="Didascalia1">
    <w:name w:val="Didascalia1"/>
    <w:basedOn w:val="Normale"/>
    <w:next w:val="Normale"/>
    <w:uiPriority w:val="35"/>
    <w:unhideWhenUsed/>
    <w:qFormat/>
    <w:rsid w:val="00AE3CA9"/>
    <w:pPr>
      <w:tabs>
        <w:tab w:val="clear" w:pos="7100"/>
      </w:tabs>
      <w:spacing w:after="200" w:line="240" w:lineRule="auto"/>
      <w:jc w:val="left"/>
    </w:pPr>
    <w:rPr>
      <w:rFonts w:ascii="Georgia" w:eastAsia="Calibri" w:hAnsi="Georgia" w:cstheme="minorBidi"/>
      <w:i/>
      <w:iCs/>
      <w:color w:val="44546A"/>
      <w:szCs w:val="18"/>
    </w:rPr>
  </w:style>
  <w:style w:type="paragraph" w:customStyle="1" w:styleId="PreformattatoHTML1">
    <w:name w:val="Preformattato HTML1"/>
    <w:basedOn w:val="Normale"/>
    <w:next w:val="PreformattatoHTML"/>
    <w:uiPriority w:val="99"/>
    <w:semiHidden/>
    <w:unhideWhenUsed/>
    <w:rsid w:val="00AE3CA9"/>
    <w:pPr>
      <w:tabs>
        <w:tab w:val="clear" w:pos="7100"/>
      </w:tabs>
      <w:spacing w:line="240" w:lineRule="auto"/>
      <w:jc w:val="left"/>
    </w:pPr>
    <w:rPr>
      <w:rFonts w:ascii="Consolas" w:eastAsiaTheme="minorEastAsia" w:hAnsi="Consolas" w:cstheme="minorBidi"/>
      <w:sz w:val="20"/>
    </w:rPr>
  </w:style>
  <w:style w:type="character" w:customStyle="1" w:styleId="PreformattatoHTMLCarattere1">
    <w:name w:val="Preformattato HTML Carattere1"/>
    <w:basedOn w:val="Carpredefinitoparagrafo"/>
    <w:uiPriority w:val="99"/>
    <w:rsid w:val="00AE3CA9"/>
    <w:rPr>
      <w:rFonts w:ascii="Consolas" w:eastAsiaTheme="minorEastAsia" w:hAnsi="Consolas" w:cstheme="minorBidi"/>
      <w:lang w:val="en-GB" w:eastAsia="en-US"/>
    </w:rPr>
  </w:style>
  <w:style w:type="paragraph" w:customStyle="1" w:styleId="Didascaliaarial">
    <w:name w:val="Didascalia arial"/>
    <w:basedOn w:val="Normale"/>
    <w:link w:val="DidascaliaarialCarattere"/>
    <w:qFormat/>
    <w:rsid w:val="00AE3CA9"/>
    <w:pPr>
      <w:tabs>
        <w:tab w:val="clear" w:pos="7100"/>
      </w:tabs>
      <w:spacing w:after="200" w:line="480" w:lineRule="auto"/>
      <w:jc w:val="center"/>
    </w:pPr>
    <w:rPr>
      <w:rFonts w:eastAsia="Calibri" w:cs="Arial"/>
      <w:i/>
      <w:iCs/>
      <w:color w:val="44546A"/>
      <w:szCs w:val="18"/>
    </w:rPr>
  </w:style>
  <w:style w:type="character" w:customStyle="1" w:styleId="DidascaliaarialCarattere">
    <w:name w:val="Didascalia arial Carattere"/>
    <w:basedOn w:val="Carpredefinitoparagrafo"/>
    <w:link w:val="Didascaliaarial"/>
    <w:rsid w:val="00AE3CA9"/>
    <w:rPr>
      <w:rFonts w:ascii="Arial" w:eastAsia="Calibri" w:hAnsi="Arial" w:cs="Arial"/>
      <w:i/>
      <w:iCs/>
      <w:color w:val="44546A"/>
      <w:sz w:val="18"/>
      <w:szCs w:val="18"/>
      <w:lang w:val="en-GB"/>
    </w:rPr>
  </w:style>
  <w:style w:type="paragraph" w:customStyle="1" w:styleId="EndNoteBibliographyTitle">
    <w:name w:val="EndNote Bibliography Title"/>
    <w:basedOn w:val="Normale"/>
    <w:link w:val="EndNoteBibliographyTitleZchn"/>
    <w:rsid w:val="00AE3CA9"/>
    <w:pPr>
      <w:tabs>
        <w:tab w:val="clear" w:pos="7100"/>
      </w:tabs>
      <w:spacing w:line="480" w:lineRule="auto"/>
      <w:jc w:val="center"/>
    </w:pPr>
    <w:rPr>
      <w:rFonts w:eastAsiaTheme="minorEastAsia" w:cs="Arial"/>
      <w:noProof/>
      <w:sz w:val="24"/>
      <w:szCs w:val="22"/>
      <w:lang w:val="it-IT" w:eastAsia="it-IT"/>
    </w:rPr>
  </w:style>
  <w:style w:type="character" w:customStyle="1" w:styleId="EndNoteBibliographyTitleZchn">
    <w:name w:val="EndNote Bibliography Title Zchn"/>
    <w:basedOn w:val="Carpredefinitoparagrafo"/>
    <w:link w:val="EndNoteBibliographyTitle"/>
    <w:rsid w:val="00AE3CA9"/>
    <w:rPr>
      <w:rFonts w:ascii="Arial" w:eastAsiaTheme="minorEastAsia" w:hAnsi="Arial" w:cs="Arial"/>
      <w:noProof/>
      <w:sz w:val="24"/>
      <w:lang w:eastAsia="it-IT"/>
    </w:rPr>
  </w:style>
  <w:style w:type="paragraph" w:customStyle="1" w:styleId="EndNoteBibliography">
    <w:name w:val="EndNote Bibliography"/>
    <w:basedOn w:val="Normale"/>
    <w:link w:val="EndNoteBibliographyZchn"/>
    <w:rsid w:val="00AE3CA9"/>
    <w:pPr>
      <w:tabs>
        <w:tab w:val="clear" w:pos="7100"/>
      </w:tabs>
      <w:spacing w:line="240" w:lineRule="auto"/>
    </w:pPr>
    <w:rPr>
      <w:rFonts w:eastAsiaTheme="minorEastAsia" w:cs="Arial"/>
      <w:noProof/>
      <w:sz w:val="24"/>
      <w:szCs w:val="22"/>
      <w:lang w:val="it-IT" w:eastAsia="it-IT"/>
    </w:rPr>
  </w:style>
  <w:style w:type="character" w:customStyle="1" w:styleId="EndNoteBibliographyZchn">
    <w:name w:val="EndNote Bibliography Zchn"/>
    <w:basedOn w:val="Carpredefinitoparagrafo"/>
    <w:link w:val="EndNoteBibliography"/>
    <w:rsid w:val="00AE3CA9"/>
    <w:rPr>
      <w:rFonts w:ascii="Arial" w:eastAsiaTheme="minorEastAsia" w:hAnsi="Arial" w:cs="Arial"/>
      <w:noProof/>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123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9EA67-E7FE-450E-B66B-BF3E0755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9895</Words>
  <Characters>56402</Characters>
  <Application>Microsoft Office Word</Application>
  <DocSecurity>0</DocSecurity>
  <Lines>470</Lines>
  <Paragraphs>132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66165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2015-05-12T18:31:00Z</cp:lastPrinted>
  <dcterms:created xsi:type="dcterms:W3CDTF">2021-02-15T11:42:00Z</dcterms:created>
  <dcterms:modified xsi:type="dcterms:W3CDTF">2021-02-15T11:42:00Z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9b6e8a34-4d02-3e9d-91f7-f84284eb4be8</vt:lpwstr>
  </property>
  <property fmtid="{D5CDD505-2E9C-101B-9397-08002B2CF9AE}" pid="6" name="Mendeley Citation Style_1">
    <vt:lpwstr>http://www.zotero.org/styles/atmospheric-environment</vt:lpwstr>
  </property>
  <property fmtid="{D5CDD505-2E9C-101B-9397-08002B2CF9AE}" pid="7" name="Mendeley Recent Style Id 0_1">
    <vt:lpwstr>http://www.zotero.org/styles/american-political-science-association</vt:lpwstr>
  </property>
  <property fmtid="{D5CDD505-2E9C-101B-9397-08002B2CF9AE}" pid="8" name="Mendeley Recent Style Name 0_1">
    <vt:lpwstr>American Political Science Association</vt:lpwstr>
  </property>
  <property fmtid="{D5CDD505-2E9C-101B-9397-08002B2CF9AE}" pid="9" name="Mendeley Recent Style Id 1_1">
    <vt:lpwstr>http://www.zotero.org/styles/apa</vt:lpwstr>
  </property>
  <property fmtid="{D5CDD505-2E9C-101B-9397-08002B2CF9AE}" pid="10" name="Mendeley Recent Style Name 1_1">
    <vt:lpwstr>American Psychological Association 6th edition</vt:lpwstr>
  </property>
  <property fmtid="{D5CDD505-2E9C-101B-9397-08002B2CF9AE}" pid="11" name="Mendeley Recent Style Id 2_1">
    <vt:lpwstr>http://www.zotero.org/styles/american-sociological-association</vt:lpwstr>
  </property>
  <property fmtid="{D5CDD505-2E9C-101B-9397-08002B2CF9AE}" pid="12" name="Mendeley Recent Style Name 2_1">
    <vt:lpwstr>American Sociological Association</vt:lpwstr>
  </property>
  <property fmtid="{D5CDD505-2E9C-101B-9397-08002B2CF9AE}" pid="13" name="Mendeley Recent Style Id 3_1">
    <vt:lpwstr>http://www.zotero.org/styles/applied-sciences</vt:lpwstr>
  </property>
  <property fmtid="{D5CDD505-2E9C-101B-9397-08002B2CF9AE}" pid="14" name="Mendeley Recent Style Name 3_1">
    <vt:lpwstr>Applied Sciences</vt:lpwstr>
  </property>
  <property fmtid="{D5CDD505-2E9C-101B-9397-08002B2CF9AE}" pid="15" name="Mendeley Recent Style Id 4_1">
    <vt:lpwstr>http://www.zotero.org/styles/atmospheric-environment</vt:lpwstr>
  </property>
  <property fmtid="{D5CDD505-2E9C-101B-9397-08002B2CF9AE}" pid="16" name="Mendeley Recent Style Name 4_1">
    <vt:lpwstr>Atmospheric Environment</vt:lpwstr>
  </property>
  <property fmtid="{D5CDD505-2E9C-101B-9397-08002B2CF9AE}" pid="17" name="Mendeley Recent Style Id 5_1">
    <vt:lpwstr>http://www.zotero.org/styles/chemosphere</vt:lpwstr>
  </property>
  <property fmtid="{D5CDD505-2E9C-101B-9397-08002B2CF9AE}" pid="18" name="Mendeley Recent Style Name 5_1">
    <vt:lpwstr>Chemosphere</vt:lpwstr>
  </property>
  <property fmtid="{D5CDD505-2E9C-101B-9397-08002B2CF9AE}" pid="19" name="Mendeley Recent Style Id 6_1">
    <vt:lpwstr>http://www.zotero.org/styles/chicago-author-date</vt:lpwstr>
  </property>
  <property fmtid="{D5CDD505-2E9C-101B-9397-08002B2CF9AE}" pid="20" name="Mendeley Recent Style Name 6_1">
    <vt:lpwstr>Chicago Manual of Style 17th edition (author-date)</vt:lpwstr>
  </property>
  <property fmtid="{D5CDD505-2E9C-101B-9397-08002B2CF9AE}" pid="21" name="Mendeley Recent Style Id 7_1">
    <vt:lpwstr>http://www.zotero.org/styles/harvard-cite-them-right</vt:lpwstr>
  </property>
  <property fmtid="{D5CDD505-2E9C-101B-9397-08002B2CF9AE}" pid="22" name="Mendeley Recent Style Name 7_1">
    <vt:lpwstr>Cite Them Right 10th edition - Harvard</vt:lpwstr>
  </property>
  <property fmtid="{D5CDD505-2E9C-101B-9397-08002B2CF9AE}" pid="23" name="Mendeley Recent Style Id 8_1">
    <vt:lpwstr>http://www.zotero.org/styles/environment-international</vt:lpwstr>
  </property>
  <property fmtid="{D5CDD505-2E9C-101B-9397-08002B2CF9AE}" pid="24" name="Mendeley Recent Style Name 8_1">
    <vt:lpwstr>Environment International</vt:lpwstr>
  </property>
  <property fmtid="{D5CDD505-2E9C-101B-9397-08002B2CF9AE}" pid="25" name="Mendeley Recent Style Id 9_1">
    <vt:lpwstr>http://www.zotero.org/styles/fuel</vt:lpwstr>
  </property>
  <property fmtid="{D5CDD505-2E9C-101B-9397-08002B2CF9AE}" pid="26" name="Mendeley Recent Style Name 9_1">
    <vt:lpwstr>Fuel</vt:lpwstr>
  </property>
</Properties>
</file>