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527F03">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45691A1"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C93353">
              <w:rPr>
                <w:rFonts w:cs="Arial"/>
                <w:b/>
                <w:bCs/>
                <w:i/>
                <w:iCs/>
                <w:color w:val="000066"/>
                <w:sz w:val="22"/>
                <w:szCs w:val="22"/>
                <w:lang w:eastAsia="it-IT"/>
              </w:rPr>
              <w:t>5</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93353">
              <w:rPr>
                <w:rFonts w:cs="Arial"/>
                <w:b/>
                <w:bCs/>
                <w:i/>
                <w:iCs/>
                <w:color w:val="000066"/>
                <w:sz w:val="22"/>
                <w:szCs w:val="22"/>
                <w:lang w:eastAsia="it-IT"/>
              </w:rPr>
              <w:t>1</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27F03">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527F03" w:rsidRDefault="005A3E9C" w:rsidP="00CD5FE2">
            <w:pPr>
              <w:spacing w:line="140" w:lineRule="atLeast"/>
              <w:jc w:val="right"/>
              <w:rPr>
                <w:sz w:val="13"/>
              </w:rPr>
            </w:pPr>
            <w:r w:rsidRPr="000D0268">
              <w:rPr>
                <w:rFonts w:cs="Arial"/>
                <w:sz w:val="13"/>
                <w:szCs w:val="13"/>
              </w:rPr>
              <w:t>Online at www.cetjournal.it</w:t>
            </w:r>
          </w:p>
        </w:tc>
      </w:tr>
      <w:tr w:rsidR="000A03B2" w:rsidRPr="00B57B36" w14:paraId="2D1B7169" w14:textId="77777777" w:rsidTr="00527F03">
        <w:trPr>
          <w:trHeight w:val="68"/>
          <w:jc w:val="center"/>
        </w:trPr>
        <w:tc>
          <w:tcPr>
            <w:tcW w:w="8789" w:type="dxa"/>
            <w:gridSpan w:val="2"/>
          </w:tcPr>
          <w:p w14:paraId="4B0BB442" w14:textId="182AD288" w:rsidR="00300E56" w:rsidRPr="00527F03" w:rsidRDefault="00300E56" w:rsidP="00527F03">
            <w:pPr>
              <w:ind w:left="-107"/>
              <w:rPr>
                <w:rFonts w:ascii="Times New Roman" w:hAnsi="Times New Roman"/>
                <w:sz w:val="24"/>
                <w:lang w:val="it-IT"/>
              </w:rPr>
            </w:pPr>
            <w:r w:rsidRPr="00527F03">
              <w:rPr>
                <w:rFonts w:ascii="Tahoma" w:hAnsi="Tahoma"/>
                <w:color w:val="333333"/>
                <w:sz w:val="14"/>
                <w:lang w:val="it-IT"/>
              </w:rPr>
              <w:t>Guest Editors:</w:t>
            </w:r>
            <w:r w:rsidR="00904C62" w:rsidRPr="00527F03">
              <w:rPr>
                <w:rFonts w:ascii="Tahoma" w:hAnsi="Tahoma"/>
                <w:color w:val="333333"/>
                <w:sz w:val="14"/>
                <w:lang w:val="it-IT"/>
              </w:rPr>
              <w:t xml:space="preserve"> </w:t>
            </w:r>
            <w:r w:rsidR="00EC1D9F" w:rsidRPr="00FE5F89">
              <w:rPr>
                <w:rFonts w:ascii="Tahoma" w:hAnsi="Tahoma" w:cs="Tahoma"/>
                <w:iCs/>
                <w:color w:val="333333"/>
                <w:sz w:val="14"/>
                <w:szCs w:val="14"/>
                <w:lang w:val="it-IT" w:eastAsia="it-IT"/>
              </w:rPr>
              <w:t>Selena Sironi, Laura Capelli</w:t>
            </w:r>
          </w:p>
          <w:p w14:paraId="1B0F1814" w14:textId="5463B35B" w:rsidR="000A03B2" w:rsidRPr="00B57B36" w:rsidRDefault="0014464F" w:rsidP="00527F03">
            <w:pPr>
              <w:tabs>
                <w:tab w:val="left" w:pos="-108"/>
              </w:tabs>
              <w:spacing w:line="140" w:lineRule="atLeast"/>
              <w:ind w:left="-107"/>
              <w:jc w:val="left"/>
            </w:pPr>
            <w:r>
              <w:rPr>
                <w:rFonts w:ascii="Tahoma" w:hAnsi="Tahoma" w:cs="Tahoma"/>
                <w:iCs/>
                <w:color w:val="333333"/>
                <w:sz w:val="14"/>
                <w:szCs w:val="14"/>
                <w:lang w:eastAsia="it-IT"/>
              </w:rPr>
              <w:t xml:space="preserve">Copyright © </w:t>
            </w:r>
            <w:r w:rsidR="00FA5F5F">
              <w:rPr>
                <w:rFonts w:ascii="Tahoma" w:hAnsi="Tahoma" w:cs="Tahoma"/>
                <w:iCs/>
                <w:color w:val="333333"/>
                <w:sz w:val="14"/>
                <w:szCs w:val="14"/>
                <w:lang w:eastAsia="it-IT"/>
              </w:rPr>
              <w:t>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99157F">
              <w:rPr>
                <w:rFonts w:ascii="Tahoma" w:hAnsi="Tahoma" w:cs="Tahoma"/>
                <w:sz w:val="14"/>
                <w:szCs w:val="14"/>
              </w:rPr>
              <w:t>978-88-</w:t>
            </w:r>
            <w:r w:rsidR="0099157F" w:rsidRPr="00EF06D9">
              <w:rPr>
                <w:rFonts w:ascii="Tahoma" w:hAnsi="Tahoma" w:cs="Tahoma"/>
                <w:sz w:val="14"/>
                <w:szCs w:val="14"/>
              </w:rPr>
              <w:t>95608-8</w:t>
            </w:r>
            <w:r w:rsidR="0099157F">
              <w:rPr>
                <w:rFonts w:ascii="Tahoma" w:hAnsi="Tahoma" w:cs="Tahoma"/>
                <w:sz w:val="14"/>
                <w:szCs w:val="14"/>
              </w:rPr>
              <w:t>3</w:t>
            </w:r>
            <w:r w:rsidR="0099157F" w:rsidRPr="00EF06D9">
              <w:rPr>
                <w:rFonts w:ascii="Tahoma" w:hAnsi="Tahoma" w:cs="Tahoma"/>
                <w:sz w:val="14"/>
                <w:szCs w:val="14"/>
              </w:rPr>
              <w:t>-</w:t>
            </w:r>
            <w:r w:rsidR="0099157F">
              <w:rPr>
                <w:rFonts w:ascii="Tahoma" w:hAnsi="Tahoma" w:cs="Tahoma"/>
                <w:sz w:val="14"/>
                <w:szCs w:val="14"/>
              </w:rPr>
              <w:t>9</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default" r:id="rId10"/>
          <w:footerReference w:type="default" r:id="rId11"/>
          <w:type w:val="continuous"/>
          <w:pgSz w:w="11906" w:h="16838" w:code="9"/>
          <w:pgMar w:top="1701" w:right="1418" w:bottom="1701" w:left="1701" w:header="1701" w:footer="0" w:gutter="0"/>
          <w:cols w:space="708"/>
          <w:titlePg/>
          <w:docGrid w:linePitch="360"/>
        </w:sectPr>
      </w:pPr>
    </w:p>
    <w:p w14:paraId="20861EA0" w14:textId="34B7728B" w:rsidR="00516B7C" w:rsidRPr="00ED465B" w:rsidRDefault="00516B7C" w:rsidP="00516B7C">
      <w:pPr>
        <w:pStyle w:val="CETTitle"/>
      </w:pPr>
      <w:r w:rsidRPr="00967B03">
        <w:t xml:space="preserve">Odorous VOCs </w:t>
      </w:r>
      <w:r w:rsidR="00AA4CD9">
        <w:t>I</w:t>
      </w:r>
      <w:r w:rsidRPr="00967B03">
        <w:t xml:space="preserve">dentification from </w:t>
      </w:r>
      <w:r w:rsidR="00AA4CD9">
        <w:t>A</w:t>
      </w:r>
      <w:r w:rsidRPr="00967B03">
        <w:t xml:space="preserve">geing </w:t>
      </w:r>
      <w:r w:rsidR="00AA4CD9">
        <w:t>D</w:t>
      </w:r>
      <w:r w:rsidRPr="00967B03">
        <w:t xml:space="preserve">ewatered </w:t>
      </w:r>
      <w:r w:rsidR="00AA4CD9">
        <w:t>A</w:t>
      </w:r>
      <w:r w:rsidRPr="00967B03">
        <w:t xml:space="preserve">naerobically </w:t>
      </w:r>
      <w:r w:rsidR="00AA4CD9">
        <w:t>S</w:t>
      </w:r>
      <w:r w:rsidRPr="00967B03">
        <w:t xml:space="preserve">tabilised </w:t>
      </w:r>
      <w:r w:rsidR="00AA4CD9">
        <w:t>B</w:t>
      </w:r>
      <w:r w:rsidRPr="00967B03">
        <w:t xml:space="preserve">iosolids from </w:t>
      </w:r>
      <w:r w:rsidR="00AA4CD9">
        <w:t>P</w:t>
      </w:r>
      <w:r w:rsidRPr="00967B03">
        <w:t xml:space="preserve">olish WWTP by </w:t>
      </w:r>
      <w:r w:rsidR="00AA4CD9">
        <w:t>T</w:t>
      </w:r>
      <w:r w:rsidRPr="00967B03">
        <w:t xml:space="preserve">wo-dimensional </w:t>
      </w:r>
      <w:r w:rsidR="00AA4CD9">
        <w:t>G</w:t>
      </w:r>
      <w:r w:rsidRPr="00967B03">
        <w:t xml:space="preserve">as </w:t>
      </w:r>
      <w:r w:rsidR="00AA4CD9">
        <w:t>C</w:t>
      </w:r>
      <w:r w:rsidRPr="00967B03">
        <w:t xml:space="preserve">hromatography </w:t>
      </w:r>
      <w:r w:rsidR="00AA4CD9">
        <w:t>C</w:t>
      </w:r>
      <w:r w:rsidRPr="00967B03">
        <w:t xml:space="preserve">ouple with </w:t>
      </w:r>
      <w:r w:rsidR="00AA4CD9">
        <w:t>T</w:t>
      </w:r>
      <w:r w:rsidRPr="00967B03">
        <w:t>ime-of-</w:t>
      </w:r>
      <w:r w:rsidR="00C93353">
        <w:t>F</w:t>
      </w:r>
      <w:r w:rsidRPr="00967B03">
        <w:t xml:space="preserve">light </w:t>
      </w:r>
      <w:r w:rsidR="00AA4CD9">
        <w:t>Ma</w:t>
      </w:r>
      <w:r w:rsidRPr="00967B03">
        <w:t xml:space="preserve">ss </w:t>
      </w:r>
      <w:r w:rsidR="00AA4CD9">
        <w:t>S</w:t>
      </w:r>
      <w:r w:rsidRPr="00967B03">
        <w:t>pectrometry</w:t>
      </w:r>
    </w:p>
    <w:p w14:paraId="5451934D" w14:textId="77777777" w:rsidR="00516B7C" w:rsidRPr="007C0DA9" w:rsidRDefault="00516B7C" w:rsidP="00516B7C">
      <w:pPr>
        <w:rPr>
          <w:rFonts w:ascii="Times New Roman" w:hAnsi="Times New Roman"/>
          <w:sz w:val="24"/>
          <w:szCs w:val="24"/>
        </w:rPr>
      </w:pPr>
      <w:r w:rsidRPr="007C0DA9">
        <w:rPr>
          <w:rFonts w:ascii="Times New Roman" w:hAnsi="Times New Roman"/>
          <w:sz w:val="24"/>
          <w:szCs w:val="24"/>
        </w:rPr>
        <w:t>Radosław J. Barczak*, Hubert Byliński**, Tomasz Dymerski***, Jacek Gębicki***, Jacek Namieśnik***</w:t>
      </w:r>
    </w:p>
    <w:p w14:paraId="588CCD22" w14:textId="744AAB7D" w:rsidR="00516B7C" w:rsidRPr="00967B03" w:rsidRDefault="00516B7C" w:rsidP="00516B7C">
      <w:pPr>
        <w:pStyle w:val="CETBodytext"/>
        <w:rPr>
          <w:noProof/>
          <w:sz w:val="16"/>
          <w:szCs w:val="16"/>
          <w:lang w:val="en-GB"/>
        </w:rPr>
      </w:pPr>
      <w:r w:rsidRPr="00967B03">
        <w:rPr>
          <w:noProof/>
          <w:sz w:val="16"/>
          <w:szCs w:val="16"/>
          <w:lang w:val="en-GB"/>
        </w:rPr>
        <w:t xml:space="preserve">* </w:t>
      </w:r>
      <w:r w:rsidR="001E1B31" w:rsidRPr="001E1B31">
        <w:rPr>
          <w:noProof/>
          <w:sz w:val="16"/>
          <w:szCs w:val="16"/>
          <w:lang w:val="en-GB"/>
        </w:rPr>
        <w:t xml:space="preserve">UNSW Water Research Centre, School of Civil and Environmental Engineering, The University of New South Wales, </w:t>
      </w:r>
      <w:r w:rsidR="00095B1B">
        <w:rPr>
          <w:noProof/>
          <w:sz w:val="16"/>
          <w:szCs w:val="16"/>
          <w:lang w:val="en-GB"/>
        </w:rPr>
        <w:t xml:space="preserve">NSW 2052, Sydney, </w:t>
      </w:r>
      <w:r w:rsidR="001E1B31" w:rsidRPr="001E1B31">
        <w:rPr>
          <w:noProof/>
          <w:sz w:val="16"/>
          <w:szCs w:val="16"/>
          <w:lang w:val="en-GB"/>
        </w:rPr>
        <w:t>Australia</w:t>
      </w:r>
      <w:r w:rsidR="001E1B31">
        <w:rPr>
          <w:noProof/>
          <w:sz w:val="16"/>
          <w:szCs w:val="16"/>
          <w:lang w:val="en-GB"/>
        </w:rPr>
        <w:t xml:space="preserve">; </w:t>
      </w:r>
      <w:r w:rsidRPr="00967B03">
        <w:rPr>
          <w:noProof/>
          <w:sz w:val="16"/>
          <w:szCs w:val="16"/>
          <w:lang w:val="en-GB"/>
        </w:rPr>
        <w:t>Warsaw</w:t>
      </w:r>
      <w:r w:rsidR="001E1B31">
        <w:rPr>
          <w:noProof/>
          <w:sz w:val="16"/>
          <w:szCs w:val="16"/>
          <w:lang w:val="en-GB"/>
        </w:rPr>
        <w:t xml:space="preserve"> University of Technology, </w:t>
      </w:r>
      <w:r w:rsidR="008D5624" w:rsidRPr="008D5624">
        <w:rPr>
          <w:noProof/>
          <w:sz w:val="16"/>
          <w:szCs w:val="16"/>
          <w:lang w:val="en-GB"/>
        </w:rPr>
        <w:t>Faculty of Building Services, Hydro and Environmental Engineering</w:t>
      </w:r>
      <w:r w:rsidRPr="00967B03">
        <w:rPr>
          <w:noProof/>
          <w:sz w:val="16"/>
          <w:szCs w:val="16"/>
          <w:lang w:val="en-GB"/>
        </w:rPr>
        <w:t xml:space="preserve">, </w:t>
      </w:r>
      <w:r w:rsidR="008D5624">
        <w:rPr>
          <w:noProof/>
          <w:sz w:val="16"/>
          <w:szCs w:val="16"/>
          <w:lang w:val="en-GB"/>
        </w:rPr>
        <w:t>Nowowiejska 20 Street, 00-653,</w:t>
      </w:r>
      <w:r w:rsidR="008D5624" w:rsidRPr="00967B03">
        <w:rPr>
          <w:noProof/>
          <w:sz w:val="16"/>
          <w:szCs w:val="16"/>
          <w:lang w:val="en-GB"/>
        </w:rPr>
        <w:t xml:space="preserve"> </w:t>
      </w:r>
      <w:r w:rsidRPr="00967B03">
        <w:rPr>
          <w:noProof/>
          <w:sz w:val="16"/>
          <w:szCs w:val="16"/>
          <w:lang w:val="en-GB"/>
        </w:rPr>
        <w:t>Warsaw, Poland</w:t>
      </w:r>
    </w:p>
    <w:p w14:paraId="2CA67B3A" w14:textId="77777777" w:rsidR="00516B7C" w:rsidRPr="00967B03" w:rsidRDefault="00516B7C" w:rsidP="00516B7C">
      <w:pPr>
        <w:pStyle w:val="CETBodytext"/>
        <w:rPr>
          <w:noProof/>
          <w:sz w:val="16"/>
          <w:szCs w:val="16"/>
          <w:lang w:val="en-GB"/>
        </w:rPr>
      </w:pPr>
      <w:r w:rsidRPr="00967B03">
        <w:rPr>
          <w:noProof/>
          <w:sz w:val="16"/>
          <w:szCs w:val="16"/>
          <w:lang w:val="en-GB"/>
        </w:rPr>
        <w:t>** Gdansk University of Technology, Faculty of Civil and Environmental Engineering, Narutowicza 11/12 Street, 80-233, Gdańsk, Poland</w:t>
      </w:r>
    </w:p>
    <w:p w14:paraId="09D22CCD" w14:textId="588EB6AE" w:rsidR="00516B7C" w:rsidRDefault="00516B7C" w:rsidP="00516B7C">
      <w:pPr>
        <w:pStyle w:val="CETBodytext"/>
        <w:rPr>
          <w:noProof/>
          <w:sz w:val="16"/>
          <w:szCs w:val="16"/>
          <w:lang w:val="en-GB"/>
        </w:rPr>
      </w:pPr>
      <w:r w:rsidRPr="00967B03">
        <w:rPr>
          <w:noProof/>
          <w:sz w:val="16"/>
          <w:szCs w:val="16"/>
          <w:lang w:val="en-GB"/>
        </w:rPr>
        <w:t>*** Gdansk University of Technology, Faculty of Chemistry, Narutowicza 11/12 Street, 80-233, Gdańsk, Poland</w:t>
      </w:r>
    </w:p>
    <w:p w14:paraId="760306DA" w14:textId="7CB20347" w:rsidR="00E91FAB" w:rsidRPr="00E91FAB" w:rsidRDefault="00E91FAB" w:rsidP="00516B7C">
      <w:pPr>
        <w:pStyle w:val="CETBodytext"/>
        <w:rPr>
          <w:noProof/>
          <w:sz w:val="16"/>
          <w:szCs w:val="16"/>
          <w:lang w:val="en-GB"/>
        </w:rPr>
      </w:pPr>
      <w:r w:rsidRPr="00E91FAB">
        <w:rPr>
          <w:sz w:val="16"/>
          <w:szCs w:val="16"/>
        </w:rPr>
        <w:t>r.barczak@unsw.edu.au</w:t>
      </w:r>
    </w:p>
    <w:p w14:paraId="5F0D67F2" w14:textId="77777777" w:rsidR="00516B7C" w:rsidRDefault="00516B7C" w:rsidP="00516B7C">
      <w:pPr>
        <w:pStyle w:val="CETBodytext"/>
        <w:rPr>
          <w:noProof/>
          <w:sz w:val="16"/>
          <w:szCs w:val="16"/>
          <w:lang w:val="en-GB"/>
        </w:rPr>
      </w:pPr>
    </w:p>
    <w:p w14:paraId="2059A6F4" w14:textId="03764C59" w:rsidR="00516B7C" w:rsidRPr="00ED465B" w:rsidRDefault="00E91FAB" w:rsidP="00516B7C">
      <w:pPr>
        <w:pStyle w:val="CETBodytext"/>
        <w:rPr>
          <w:lang w:val="en-GB"/>
        </w:rPr>
      </w:pPr>
      <w:r w:rsidRPr="00E91FAB">
        <w:rPr>
          <w:rFonts w:cs="Arial"/>
          <w:szCs w:val="18"/>
          <w:lang w:val="en-GB"/>
        </w:rPr>
        <w:t>Odour from biosolids emission is a complicated matrix. Still a little is known about chemical composition of odours from biosolids and which compounds are responsible for overall odour. Apart from well-known odorants such as sulfur compounds and ammonia, participation of volatile organic compounds (VOCs) in overall odour may be of importance. Especially, if those chemicals have a low or unknown odour threshold, exist in low concentrations and their identification possesses an analytical challenge. In this work two anaerobically stabilised dewatered biosolids samples from wastewater treatment plant in Poland were stored over 21 days under ambient conditions. Emissions from biosolids samples were collected in triplicate onto Tenax TA sorbent tubes using a U.S. EPA flux hood method on days 1, 7, 10, 14 and 21. The 55 VOCs coming from different chemical compounds categories such as aliphatic and aromatic hydrocarbons, alcohols, aldehydes, ketones, sulphides and esters were identified by two-dimensional gas chromatography couple with time-of-flight mass spectrometry. The results for both biosolids samples vary. For example, during the first day of the biosolids storage 2-methylthiophene and 2-methylheptane were detected in both biosolids cakes whilst methanethiol and methyl ethyl sulphide in the biosolids cake no. 1 only. Only a few compounds were presented during the entire storage period: toluene, styrene, dimethyl sulphide (apart from the first day from biosolids cake no 1) and hexadecanal (apart from the seventh day from biosolids cake no 2). Most of the compounds were detected on an irregular basis across the whole measurement period</w:t>
      </w:r>
      <w:r w:rsidR="00516B7C" w:rsidRPr="00967B03">
        <w:rPr>
          <w:rFonts w:cs="Arial"/>
          <w:szCs w:val="18"/>
          <w:lang w:val="en-GB"/>
        </w:rPr>
        <w:t>.</w:t>
      </w:r>
    </w:p>
    <w:p w14:paraId="2A6691AB" w14:textId="77777777" w:rsidR="00516B7C" w:rsidRPr="00ED465B" w:rsidRDefault="00516B7C" w:rsidP="00516B7C">
      <w:pPr>
        <w:pStyle w:val="CETHeading1"/>
        <w:rPr>
          <w:lang w:val="en-GB"/>
        </w:rPr>
      </w:pPr>
      <w:r w:rsidRPr="00ED465B">
        <w:rPr>
          <w:lang w:val="en-GB"/>
        </w:rPr>
        <w:t>Introduction</w:t>
      </w:r>
    </w:p>
    <w:p w14:paraId="1906F934" w14:textId="2A11DC2F" w:rsidR="00914419" w:rsidRPr="00914419" w:rsidRDefault="009D46D9" w:rsidP="00516B7C">
      <w:pPr>
        <w:pStyle w:val="ListParagraph"/>
        <w:ind w:left="0"/>
      </w:pPr>
      <w:r w:rsidRPr="009D46D9">
        <w:t>Odours are a common occurrence at and around biosolids processing facilities and biosolids application locations (Visan &amp; Parker, 2004). In order to develop strategies for minimising odour impact on local communities (Hayes et al., 2017), it is necessary to identify odorous compounds and their fate during the biosolids processing, storage and land application. Odour from biosolids emission is a complicated matrix which produces many odorous chemical compounds, mainly volatile sulphur compounds, volatile nitrogenous compounds and volatile organic compounds (VOCs) or others (Fisher et al., 2018</w:t>
      </w:r>
      <w:r w:rsidR="00F726D8">
        <w:t>a</w:t>
      </w:r>
      <w:r w:rsidRPr="009D46D9">
        <w:t xml:space="preserve">; Byliński et al., 2019; Fisher et al., 2017). Still a little is known about chemical composition of odours from biosolids and which compounds are responsible for overall odour (Barczak et al., 2018). Due to the variability in individual chemical properties of odorants from the biosolids emission, no analytical technique can be applied universally for odorants assessment. None of the methodologies can be self-sufficient to obtain the most complete and exhaustive comprehension of the odorants emission taking into account the necessary high-time resolution, sensitivity, reliability, and reproducibility (Giungato et al., 2018). Apart from the well-known odorants </w:t>
      </w:r>
      <w:r w:rsidRPr="009D46D9">
        <w:lastRenderedPageBreak/>
        <w:t>associated organic matter degradation, such as sulfur compounds and ammonia, the participation of other VOCs in the overall odour may be of importance (Barczak et al., 2019). Especially, if those chemicals have a low or unknown odour threshold, exist in low concentrations and their identification possesses an analytical challenge. Such compounds can contribute to the overall odour properties of emissions, as even low-impact odorants that are considered unimportant in odour perception can have great significance in total odour perception (Ryan et al., 2008). It is therefore essential to identify and quantify the trace VOCs, as these compounds can contribute to the overall odour (Zhou et al., 2016). For example, Barczak et al. (2019) reported importance of 2,4,6-Trichloroanisole (TCA) as a potentially important odorant in the emissions from anaerobically stabilized dewatered biosolids. In that study TCA was hardly detected by GC-MS, whilst commonly detected by sensory examination.</w:t>
      </w:r>
      <w:r w:rsidR="00516B7C" w:rsidRPr="00914419">
        <w:t xml:space="preserve"> </w:t>
      </w:r>
    </w:p>
    <w:p w14:paraId="5EF8F115" w14:textId="6A93122E" w:rsidR="00516B7C" w:rsidRDefault="009D46D9" w:rsidP="00516B7C">
      <w:pPr>
        <w:pStyle w:val="ListParagraph"/>
        <w:ind w:left="0"/>
      </w:pPr>
      <w:r w:rsidRPr="009D46D9">
        <w:t>To obtain a full picture of the odour and its odorants components require using different analytical methods with highest resolution and accuracy. In the case of separation of complex mixtures of chemical compounds, one-dimensional chromatographic analysis seemed to be insufficient for the identification of a wide spectrum of the substances presented in the samples. Better resolution allows two-dimensional gas chromatography coupled with time-of-flight mass spectrometry (GCxGC–TOF–MS). The GCxGC technique provides the information about a composition of the investigated samples characterized by a complex matrix composition.</w:t>
      </w:r>
      <w:r w:rsidR="00914419">
        <w:t xml:space="preserve"> </w:t>
      </w:r>
      <w:r w:rsidR="00583B06">
        <w:t>The aim of this paper was to qualitatively identified VOCs</w:t>
      </w:r>
      <w:r w:rsidR="007C7DCD">
        <w:t xml:space="preserve"> from an emission from ageing biosolids samples.</w:t>
      </w:r>
    </w:p>
    <w:p w14:paraId="0F45A4F9" w14:textId="77777777" w:rsidR="00516B7C" w:rsidRDefault="00516B7C" w:rsidP="00516B7C">
      <w:pPr>
        <w:pStyle w:val="ListParagraph"/>
        <w:ind w:left="0"/>
      </w:pPr>
      <w:r>
        <w:t xml:space="preserve">The knowledge about full chemical speciation will allow to elaborate effective deodorization methods. </w:t>
      </w:r>
      <w:r w:rsidRPr="001F04B3">
        <w:t>Odour production in biosolids is a complex process influenced by several factors including, but not limited to, process variables within anaerobic digestion and dewatering processes, as well as the relationships between odour perception and the concentration of odorants (Adams, 2004).</w:t>
      </w:r>
    </w:p>
    <w:p w14:paraId="7DD69EF9" w14:textId="77777777" w:rsidR="00516B7C" w:rsidRPr="00112DA9" w:rsidRDefault="00516B7C" w:rsidP="00516B7C">
      <w:pPr>
        <w:pStyle w:val="CETHeading1"/>
        <w:tabs>
          <w:tab w:val="clear" w:pos="360"/>
          <w:tab w:val="right" w:pos="7100"/>
        </w:tabs>
        <w:jc w:val="both"/>
        <w:rPr>
          <w:rFonts w:cs="Arial"/>
          <w:lang w:val="en-GB"/>
        </w:rPr>
      </w:pPr>
      <w:r w:rsidRPr="00112DA9">
        <w:rPr>
          <w:rFonts w:cs="Arial"/>
          <w:lang w:val="en-GB"/>
        </w:rPr>
        <w:t>Methodology</w:t>
      </w:r>
    </w:p>
    <w:p w14:paraId="2D9DB157" w14:textId="76660256" w:rsidR="00516B7C" w:rsidRPr="00DA09F2" w:rsidRDefault="00583B06" w:rsidP="00E3482B">
      <w:pPr>
        <w:pStyle w:val="CETBodytext"/>
        <w:rPr>
          <w:rFonts w:cs="Arial"/>
          <w:szCs w:val="18"/>
          <w:lang w:val="en-GB"/>
        </w:rPr>
      </w:pPr>
      <w:r w:rsidRPr="00583B06">
        <w:rPr>
          <w:rFonts w:cs="Arial"/>
          <w:szCs w:val="18"/>
          <w:lang w:val="en-GB"/>
        </w:rPr>
        <w:t>Biosolids samples were collected from a WWTP with average daily flow Qav equal to 92 200 m3/d in Gdańsk, Poland. The mechanical part of WWTP consists of four mechanical screens (two hook-belt screens with 6-mm clearance and two scraper screens with 10-mm clearance), two sand traps (30 m × 10.4 m × 4.5 m thickness) and three primary settling tanks (diameter ca. 50 m each). The six bioreactors (summary 158,100 m3) and secondary settling tanks are part of the biological section. Primary sludge and waste activated sludge stabilization process is conducted in an anaerobic mesophilic fermentation in the temperature 37 °C in the closed digester chambers with the retention time of 21–28 days. The two dewatered biosolids cakes</w:t>
      </w:r>
      <w:r w:rsidR="007A2FAD">
        <w:rPr>
          <w:rFonts w:cs="Arial"/>
          <w:szCs w:val="18"/>
          <w:lang w:val="en-GB"/>
        </w:rPr>
        <w:t>, namely</w:t>
      </w:r>
      <w:r w:rsidRPr="00583B06">
        <w:rPr>
          <w:rFonts w:cs="Arial"/>
          <w:szCs w:val="18"/>
          <w:lang w:val="en-GB"/>
        </w:rPr>
        <w:t xml:space="preserve"> B1 and B2 with the approximate capacity of 10L were collected from the conveying line connecting </w:t>
      </w:r>
      <w:r w:rsidR="007C7DCD" w:rsidRPr="007C7DCD">
        <w:rPr>
          <w:rFonts w:cs="Arial"/>
          <w:szCs w:val="18"/>
          <w:lang w:val="en-GB"/>
        </w:rPr>
        <w:t xml:space="preserve">thickener </w:t>
      </w:r>
      <w:r w:rsidRPr="00583B06">
        <w:rPr>
          <w:rFonts w:cs="Arial"/>
          <w:szCs w:val="18"/>
          <w:lang w:val="en-GB"/>
        </w:rPr>
        <w:t xml:space="preserve">and combustion chamber. The dry mass of dewatered biosolids was </w:t>
      </w:r>
      <w:r w:rsidR="007A2FAD">
        <w:rPr>
          <w:rFonts w:cs="Arial"/>
          <w:szCs w:val="18"/>
          <w:lang w:val="en-GB"/>
        </w:rPr>
        <w:t xml:space="preserve">in the range of </w:t>
      </w:r>
      <w:r w:rsidR="007A2FAD" w:rsidRPr="007A2FAD">
        <w:rPr>
          <w:rFonts w:cs="Arial"/>
          <w:szCs w:val="18"/>
          <w:lang w:val="en-GB"/>
        </w:rPr>
        <w:t>19 - 22%</w:t>
      </w:r>
      <w:r w:rsidRPr="00583B06">
        <w:rPr>
          <w:rFonts w:cs="Arial"/>
          <w:szCs w:val="18"/>
          <w:lang w:val="en-GB"/>
        </w:rPr>
        <w:t>. Sampling was conducted in two consecutive days in the springtime.</w:t>
      </w:r>
      <w:r>
        <w:rPr>
          <w:rFonts w:cs="Arial"/>
          <w:szCs w:val="18"/>
          <w:lang w:val="en-GB"/>
        </w:rPr>
        <w:t xml:space="preserve"> </w:t>
      </w:r>
      <w:r w:rsidR="00024892" w:rsidRPr="00024892">
        <w:rPr>
          <w:rFonts w:cs="Arial"/>
          <w:szCs w:val="18"/>
          <w:lang w:val="en-GB"/>
        </w:rPr>
        <w:t xml:space="preserve">Biosolids samples were transported in polypropylene bucket to the laboratory. Each sample was stored in a bucket, creating about 15 cm thin layer of biosolids. The samples were processed for the first emission analysis within 6 hours of sampling. Emission from the stored biosolids samples were captured using </w:t>
      </w:r>
      <w:r w:rsidR="007C7DCD">
        <w:rPr>
          <w:rFonts w:cs="Arial"/>
          <w:szCs w:val="18"/>
          <w:lang w:val="en-GB"/>
        </w:rPr>
        <w:t>the</w:t>
      </w:r>
      <w:r w:rsidR="00024892" w:rsidRPr="00024892">
        <w:rPr>
          <w:rFonts w:cs="Arial"/>
          <w:szCs w:val="18"/>
          <w:lang w:val="en-GB"/>
        </w:rPr>
        <w:t xml:space="preserve"> US EPA dynamic flux hoods.</w:t>
      </w:r>
      <w:r w:rsidR="00516B7C" w:rsidRPr="00DA09F2">
        <w:rPr>
          <w:rFonts w:cs="Arial"/>
          <w:szCs w:val="18"/>
          <w:lang w:val="en-GB"/>
        </w:rPr>
        <w:t xml:space="preserve"> The hood volume was 0.03 m</w:t>
      </w:r>
      <w:r w:rsidR="00516B7C" w:rsidRPr="00782665">
        <w:rPr>
          <w:rFonts w:cs="Arial"/>
          <w:szCs w:val="18"/>
          <w:vertAlign w:val="superscript"/>
          <w:lang w:val="en-GB"/>
        </w:rPr>
        <w:t>3</w:t>
      </w:r>
      <w:r w:rsidR="00516B7C" w:rsidRPr="00DA09F2">
        <w:rPr>
          <w:rFonts w:cs="Arial"/>
          <w:szCs w:val="18"/>
          <w:lang w:val="en-GB"/>
        </w:rPr>
        <w:t xml:space="preserve"> and enclosed 0.13 m</w:t>
      </w:r>
      <w:r w:rsidR="00516B7C" w:rsidRPr="00782665">
        <w:rPr>
          <w:rFonts w:cs="Arial"/>
          <w:szCs w:val="18"/>
          <w:vertAlign w:val="superscript"/>
          <w:lang w:val="en-GB"/>
        </w:rPr>
        <w:t>2</w:t>
      </w:r>
      <w:r w:rsidR="00516B7C" w:rsidRPr="00DA09F2">
        <w:rPr>
          <w:rFonts w:cs="Arial"/>
          <w:szCs w:val="18"/>
          <w:lang w:val="en-GB"/>
        </w:rPr>
        <w:t xml:space="preserve"> of surface area. Emission samples were collected at a constant flow rate (100 mL/min for 10 mins) onto Tenax TA</w:t>
      </w:r>
      <w:r w:rsidR="00516B7C">
        <w:rPr>
          <w:rFonts w:cs="Arial"/>
          <w:szCs w:val="18"/>
          <w:lang w:val="en-GB"/>
        </w:rPr>
        <w:t xml:space="preserve"> </w:t>
      </w:r>
      <w:r w:rsidR="00516B7C" w:rsidRPr="00DA09F2">
        <w:rPr>
          <w:rFonts w:cs="Arial"/>
          <w:szCs w:val="18"/>
          <w:lang w:val="en-GB"/>
        </w:rPr>
        <w:t>sorbent tubes in triplicate.</w:t>
      </w:r>
      <w:r w:rsidR="00516B7C">
        <w:rPr>
          <w:rFonts w:cs="Arial"/>
          <w:szCs w:val="18"/>
          <w:lang w:val="en-GB"/>
        </w:rPr>
        <w:t xml:space="preserve"> N</w:t>
      </w:r>
      <w:r w:rsidR="00516B7C" w:rsidRPr="00DA09F2">
        <w:rPr>
          <w:rFonts w:cs="Arial"/>
          <w:szCs w:val="18"/>
          <w:lang w:val="en-GB"/>
        </w:rPr>
        <w:t xml:space="preserve">itrogen gas, </w:t>
      </w:r>
      <w:r w:rsidR="00516B7C">
        <w:rPr>
          <w:rFonts w:cs="Arial"/>
          <w:szCs w:val="18"/>
          <w:lang w:val="en-GB"/>
        </w:rPr>
        <w:t xml:space="preserve">with the constant flow </w:t>
      </w:r>
      <w:r w:rsidR="00516B7C" w:rsidRPr="00DA09F2">
        <w:rPr>
          <w:rFonts w:cs="Arial"/>
          <w:szCs w:val="18"/>
          <w:lang w:val="en-GB"/>
        </w:rPr>
        <w:t>at 5 L/min, was used to purge the hood for 30 mins before the emission samples</w:t>
      </w:r>
      <w:r w:rsidR="00024892">
        <w:rPr>
          <w:rFonts w:cs="Arial"/>
          <w:szCs w:val="18"/>
          <w:lang w:val="en-GB"/>
        </w:rPr>
        <w:t>,</w:t>
      </w:r>
      <w:r w:rsidR="00516B7C" w:rsidRPr="00DA09F2">
        <w:rPr>
          <w:rFonts w:cs="Arial"/>
          <w:szCs w:val="18"/>
          <w:lang w:val="en-GB"/>
        </w:rPr>
        <w:t xml:space="preserve"> which allowed the flux</w:t>
      </w:r>
      <w:r w:rsidR="00024892">
        <w:rPr>
          <w:rFonts w:cs="Arial"/>
          <w:szCs w:val="18"/>
          <w:lang w:val="en-GB"/>
        </w:rPr>
        <w:t xml:space="preserve"> </w:t>
      </w:r>
      <w:r w:rsidR="00516B7C" w:rsidRPr="00DA09F2">
        <w:rPr>
          <w:rFonts w:cs="Arial"/>
          <w:szCs w:val="18"/>
          <w:lang w:val="en-GB"/>
        </w:rPr>
        <w:t>hood headspace to change five times.</w:t>
      </w:r>
      <w:r w:rsidR="00516B7C">
        <w:rPr>
          <w:rFonts w:cs="Arial"/>
          <w:szCs w:val="18"/>
          <w:lang w:val="en-GB"/>
        </w:rPr>
        <w:t xml:space="preserve"> </w:t>
      </w:r>
      <w:r w:rsidR="00516B7C" w:rsidRPr="00DA09F2">
        <w:rPr>
          <w:rFonts w:cs="Arial"/>
          <w:szCs w:val="18"/>
          <w:lang w:val="en-GB"/>
        </w:rPr>
        <w:t>Aged emission samples were captured on day 1, 7, 10, 14</w:t>
      </w:r>
      <w:r w:rsidR="00516B7C">
        <w:rPr>
          <w:rFonts w:cs="Arial"/>
          <w:szCs w:val="18"/>
          <w:lang w:val="en-GB"/>
        </w:rPr>
        <w:t>, and</w:t>
      </w:r>
      <w:r w:rsidR="00516B7C" w:rsidRPr="00DA09F2">
        <w:rPr>
          <w:rFonts w:cs="Arial"/>
          <w:szCs w:val="18"/>
          <w:lang w:val="en-GB"/>
        </w:rPr>
        <w:t xml:space="preserve"> 21. Between emission sampling, the trays were loosely sealed with a lid allowing moisture loss. The individual samples were stored in aerobic conditions without stirring. </w:t>
      </w:r>
    </w:p>
    <w:p w14:paraId="15A92C40" w14:textId="0160E172" w:rsidR="00516B7C" w:rsidRDefault="00516B7C" w:rsidP="00516B7C">
      <w:pPr>
        <w:pStyle w:val="CETBodytext"/>
        <w:rPr>
          <w:rFonts w:cs="Arial"/>
          <w:szCs w:val="18"/>
          <w:lang w:val="en-GB"/>
        </w:rPr>
      </w:pPr>
      <w:r w:rsidRPr="00F5534F">
        <w:rPr>
          <w:rFonts w:cs="Arial"/>
          <w:szCs w:val="18"/>
          <w:lang w:val="en-GB"/>
        </w:rPr>
        <w:t xml:space="preserve">Analysis of samples containing </w:t>
      </w:r>
      <w:r w:rsidR="005F1E33" w:rsidRPr="00F5534F">
        <w:rPr>
          <w:rFonts w:cs="Arial"/>
          <w:szCs w:val="18"/>
          <w:lang w:val="en-GB"/>
        </w:rPr>
        <w:t>odo</w:t>
      </w:r>
      <w:r w:rsidR="005F1E33">
        <w:rPr>
          <w:rFonts w:cs="Arial"/>
          <w:szCs w:val="18"/>
          <w:lang w:val="en-GB"/>
        </w:rPr>
        <w:t>rous VOC</w:t>
      </w:r>
      <w:r>
        <w:rPr>
          <w:rFonts w:cs="Arial"/>
          <w:szCs w:val="18"/>
          <w:lang w:val="en-GB"/>
        </w:rPr>
        <w:t xml:space="preserve">s </w:t>
      </w:r>
      <w:r w:rsidRPr="00F5534F">
        <w:rPr>
          <w:rFonts w:cs="Arial"/>
          <w:szCs w:val="18"/>
          <w:lang w:val="en-GB"/>
        </w:rPr>
        <w:t xml:space="preserve">released from </w:t>
      </w:r>
      <w:r>
        <w:rPr>
          <w:rFonts w:cs="Arial"/>
          <w:szCs w:val="18"/>
          <w:lang w:val="en-GB"/>
        </w:rPr>
        <w:t>biosolids</w:t>
      </w:r>
      <w:r w:rsidRPr="00F5534F">
        <w:rPr>
          <w:rFonts w:cs="Arial"/>
          <w:szCs w:val="18"/>
          <w:lang w:val="en-GB"/>
        </w:rPr>
        <w:t xml:space="preserve"> was performed using two-dimensional gas chromatography (Agilent Technologies, Palo Alto, CA, USA) coupled with a mass spectrometer and fragment ion passage time analy</w:t>
      </w:r>
      <w:r>
        <w:rPr>
          <w:rFonts w:cs="Arial"/>
          <w:szCs w:val="18"/>
          <w:lang w:val="en-GB"/>
        </w:rPr>
        <w:t>s</w:t>
      </w:r>
      <w:r w:rsidRPr="00F5534F">
        <w:rPr>
          <w:rFonts w:cs="Arial"/>
          <w:szCs w:val="18"/>
          <w:lang w:val="en-GB"/>
        </w:rPr>
        <w:t>er (LECO Corp., St. Joseph, MI, USA)</w:t>
      </w:r>
      <w:r>
        <w:rPr>
          <w:rFonts w:cs="Arial"/>
          <w:szCs w:val="18"/>
          <w:lang w:val="en-GB"/>
        </w:rPr>
        <w:t>.</w:t>
      </w:r>
      <w:r w:rsidRPr="00F5534F">
        <w:rPr>
          <w:rFonts w:cs="Arial"/>
          <w:szCs w:val="18"/>
          <w:lang w:val="en-GB"/>
        </w:rPr>
        <w:t xml:space="preserve"> The set of chromatographic columns consisted of the first column (30</w:t>
      </w:r>
      <w:r w:rsidR="00D11ED3">
        <w:rPr>
          <w:rFonts w:cs="Arial"/>
          <w:szCs w:val="18"/>
          <w:lang w:val="en-GB"/>
        </w:rPr>
        <w:t xml:space="preserve"> </w:t>
      </w:r>
      <w:r w:rsidRPr="00F5534F">
        <w:rPr>
          <w:rFonts w:cs="Arial"/>
          <w:szCs w:val="18"/>
          <w:lang w:val="en-GB"/>
        </w:rPr>
        <w:t>m x 0.25</w:t>
      </w:r>
      <w:r w:rsidR="00D11ED3">
        <w:rPr>
          <w:rFonts w:cs="Arial"/>
          <w:szCs w:val="18"/>
          <w:lang w:val="en-GB"/>
        </w:rPr>
        <w:t xml:space="preserve"> </w:t>
      </w:r>
      <w:r w:rsidRPr="00F5534F">
        <w:rPr>
          <w:rFonts w:cs="Arial"/>
          <w:szCs w:val="18"/>
          <w:lang w:val="en-GB"/>
        </w:rPr>
        <w:t>mm x 0.25</w:t>
      </w:r>
      <w:r w:rsidR="00D11ED3">
        <w:rPr>
          <w:rFonts w:cs="Arial"/>
          <w:szCs w:val="18"/>
          <w:lang w:val="en-GB"/>
        </w:rPr>
        <w:t xml:space="preserve"> </w:t>
      </w:r>
      <w:r w:rsidRPr="00F5534F">
        <w:rPr>
          <w:rFonts w:cs="Arial"/>
          <w:szCs w:val="18"/>
          <w:lang w:val="en-GB"/>
        </w:rPr>
        <w:t>µm; stationary phase type Equity 1 (Sigma Aldrich, USA)) and the second column (2.0</w:t>
      </w:r>
      <w:r w:rsidR="00D11ED3">
        <w:rPr>
          <w:rFonts w:cs="Arial"/>
          <w:szCs w:val="18"/>
          <w:lang w:val="en-GB"/>
        </w:rPr>
        <w:t xml:space="preserve"> </w:t>
      </w:r>
      <w:r w:rsidRPr="00F5534F">
        <w:rPr>
          <w:rFonts w:cs="Arial"/>
          <w:szCs w:val="18"/>
          <w:lang w:val="en-GB"/>
        </w:rPr>
        <w:t>m</w:t>
      </w:r>
      <w:r w:rsidR="00D11ED3">
        <w:rPr>
          <w:rFonts w:cs="Arial"/>
          <w:szCs w:val="18"/>
          <w:lang w:val="en-GB"/>
        </w:rPr>
        <w:t xml:space="preserve"> </w:t>
      </w:r>
      <w:r w:rsidRPr="00F5534F">
        <w:rPr>
          <w:rFonts w:cs="Arial"/>
          <w:szCs w:val="18"/>
          <w:lang w:val="en-GB"/>
        </w:rPr>
        <w:t>x 0.10</w:t>
      </w:r>
      <w:r w:rsidR="00D11ED3">
        <w:rPr>
          <w:rFonts w:cs="Arial"/>
          <w:szCs w:val="18"/>
          <w:lang w:val="en-GB"/>
        </w:rPr>
        <w:t xml:space="preserve"> </w:t>
      </w:r>
      <w:r w:rsidRPr="00F5534F">
        <w:rPr>
          <w:rFonts w:cs="Arial"/>
          <w:szCs w:val="18"/>
          <w:lang w:val="en-GB"/>
        </w:rPr>
        <w:t>mm x 0.10</w:t>
      </w:r>
      <w:r w:rsidR="00D11ED3">
        <w:rPr>
          <w:rFonts w:cs="Arial"/>
          <w:szCs w:val="18"/>
          <w:lang w:val="en-GB"/>
        </w:rPr>
        <w:t xml:space="preserve"> </w:t>
      </w:r>
      <w:r w:rsidRPr="00F5534F">
        <w:rPr>
          <w:rFonts w:cs="Arial"/>
          <w:szCs w:val="18"/>
          <w:lang w:val="en-GB"/>
        </w:rPr>
        <w:t>µm; stationary phase sol gel type Wax (SGE Analytical Science, Australia)). The temperature program used during the chromatographic analy</w:t>
      </w:r>
      <w:r w:rsidR="005F1E33">
        <w:rPr>
          <w:rFonts w:cs="Arial"/>
          <w:szCs w:val="18"/>
          <w:lang w:val="en-GB"/>
        </w:rPr>
        <w:t>s</w:t>
      </w:r>
      <w:r w:rsidRPr="00F5534F">
        <w:rPr>
          <w:rFonts w:cs="Arial"/>
          <w:szCs w:val="18"/>
          <w:lang w:val="en-GB"/>
        </w:rPr>
        <w:t>es is summarized in Table 1.</w:t>
      </w:r>
    </w:p>
    <w:p w14:paraId="4C30E44B" w14:textId="7EB9F928" w:rsidR="00D11ED3" w:rsidRDefault="00D11ED3" w:rsidP="00516B7C">
      <w:pPr>
        <w:pStyle w:val="CETBodytext"/>
        <w:rPr>
          <w:rFonts w:cs="Arial"/>
          <w:szCs w:val="18"/>
          <w:lang w:val="en-GB"/>
        </w:rPr>
      </w:pPr>
      <w:r w:rsidRPr="00D11ED3">
        <w:rPr>
          <w:rFonts w:cs="Arial"/>
          <w:szCs w:val="18"/>
          <w:lang w:val="en-GB"/>
        </w:rPr>
        <w:t>The total time of a single chromatographic analysis was 65 minutes. Hydrogen supplied to the system with a constant flow rate of 1 cm3 / min was used as the carrier gas. The modulation time was 5 seconds. The detector voltage was 1600V and the mass range recorded during the analyses was m/z = 40-500 amu. Data obtained as a result of the chromatographic analyses were processed using the LECO ChromaTOF ™ 4.44 software (LECO Corporation St. Joseph, MI, USA). With the minimum probability of 85% chromatographic peaks were tentatively identified by comparing the spectra obtained with those in the NIST (National Institute of Standards and Technology) spectrum library and information on the retention times of individual compounds.</w:t>
      </w:r>
    </w:p>
    <w:p w14:paraId="16135E55" w14:textId="77777777" w:rsidR="00516B7C" w:rsidRDefault="00516B7C" w:rsidP="00516B7C">
      <w:pPr>
        <w:pStyle w:val="CET-table-title"/>
        <w:rPr>
          <w:lang w:val="en-GB"/>
        </w:rPr>
      </w:pPr>
      <w:r w:rsidRPr="00347EB5">
        <w:rPr>
          <w:lang w:val="en-GB"/>
        </w:rPr>
        <w:lastRenderedPageBreak/>
        <w:t xml:space="preserve">Table 1: </w:t>
      </w:r>
      <w:r>
        <w:rPr>
          <w:lang w:val="en-GB"/>
        </w:rPr>
        <w:t>Two-dimensional gas chromatography analyses parameters</w:t>
      </w:r>
    </w:p>
    <w:tbl>
      <w:tblPr>
        <w:tblW w:w="87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2976"/>
        <w:gridCol w:w="3100"/>
      </w:tblGrid>
      <w:tr w:rsidR="00516B7C" w:rsidRPr="00B57B36" w14:paraId="33AEF17F" w14:textId="77777777" w:rsidTr="00E91FAB">
        <w:trPr>
          <w:trHeight w:val="220"/>
        </w:trPr>
        <w:tc>
          <w:tcPr>
            <w:tcW w:w="2694" w:type="dxa"/>
            <w:tcBorders>
              <w:top w:val="single" w:sz="12" w:space="0" w:color="008000"/>
              <w:bottom w:val="single" w:sz="12" w:space="0" w:color="008000"/>
            </w:tcBorders>
            <w:shd w:val="clear" w:color="auto" w:fill="FFFFFF"/>
          </w:tcPr>
          <w:p w14:paraId="00169682" w14:textId="77777777" w:rsidR="00516B7C" w:rsidRPr="00B57B36" w:rsidRDefault="00516B7C" w:rsidP="00E91FAB">
            <w:pPr>
              <w:pStyle w:val="CETBodytext"/>
              <w:rPr>
                <w:lang w:val="en-GB"/>
              </w:rPr>
            </w:pPr>
            <w:r w:rsidRPr="00791B35">
              <w:t>Paramet</w:t>
            </w:r>
            <w:r>
              <w:t>e</w:t>
            </w:r>
            <w:r w:rsidRPr="00791B35">
              <w:t>r</w:t>
            </w:r>
          </w:p>
        </w:tc>
        <w:tc>
          <w:tcPr>
            <w:tcW w:w="2976" w:type="dxa"/>
            <w:tcBorders>
              <w:top w:val="single" w:sz="12" w:space="0" w:color="008000"/>
              <w:bottom w:val="single" w:sz="12" w:space="0" w:color="008000"/>
            </w:tcBorders>
            <w:shd w:val="clear" w:color="auto" w:fill="FFFFFF"/>
          </w:tcPr>
          <w:p w14:paraId="7D98B278" w14:textId="77777777" w:rsidR="00516B7C" w:rsidRPr="00B57B36" w:rsidRDefault="00516B7C" w:rsidP="00E91FAB">
            <w:pPr>
              <w:pStyle w:val="CETBodytext"/>
              <w:rPr>
                <w:lang w:val="en-GB"/>
              </w:rPr>
            </w:pPr>
            <w:r w:rsidRPr="00791B35">
              <w:t>first column</w:t>
            </w:r>
          </w:p>
        </w:tc>
        <w:tc>
          <w:tcPr>
            <w:tcW w:w="3100" w:type="dxa"/>
            <w:tcBorders>
              <w:top w:val="single" w:sz="12" w:space="0" w:color="008000"/>
              <w:bottom w:val="single" w:sz="12" w:space="0" w:color="008000"/>
            </w:tcBorders>
            <w:shd w:val="clear" w:color="auto" w:fill="FFFFFF"/>
          </w:tcPr>
          <w:p w14:paraId="66039D1B" w14:textId="77777777" w:rsidR="00516B7C" w:rsidRPr="00B57B36" w:rsidRDefault="00516B7C" w:rsidP="00E91FAB">
            <w:pPr>
              <w:pStyle w:val="CETBodytext"/>
              <w:rPr>
                <w:lang w:val="en-GB"/>
              </w:rPr>
            </w:pPr>
            <w:r w:rsidRPr="00791B35">
              <w:t>second column</w:t>
            </w:r>
          </w:p>
        </w:tc>
      </w:tr>
      <w:tr w:rsidR="00516B7C" w:rsidRPr="00B57B36" w14:paraId="67C9E63E" w14:textId="77777777" w:rsidTr="00F0565E">
        <w:trPr>
          <w:trHeight w:val="200"/>
        </w:trPr>
        <w:tc>
          <w:tcPr>
            <w:tcW w:w="2694" w:type="dxa"/>
            <w:tcBorders>
              <w:top w:val="single" w:sz="12" w:space="0" w:color="008000"/>
              <w:bottom w:val="single" w:sz="4" w:space="0" w:color="008000"/>
            </w:tcBorders>
            <w:shd w:val="clear" w:color="auto" w:fill="FFFFFF"/>
          </w:tcPr>
          <w:p w14:paraId="59736310" w14:textId="77777777" w:rsidR="00516B7C" w:rsidRPr="00B57B36" w:rsidRDefault="00516B7C" w:rsidP="00E91FAB">
            <w:pPr>
              <w:pStyle w:val="CETBodytext"/>
              <w:rPr>
                <w:lang w:val="en-GB"/>
              </w:rPr>
            </w:pPr>
            <w:r w:rsidRPr="00EB7CA9">
              <w:t>Initial temperature</w:t>
            </w:r>
          </w:p>
        </w:tc>
        <w:tc>
          <w:tcPr>
            <w:tcW w:w="2976" w:type="dxa"/>
            <w:tcBorders>
              <w:top w:val="single" w:sz="12" w:space="0" w:color="008000"/>
              <w:bottom w:val="single" w:sz="4" w:space="0" w:color="008000"/>
            </w:tcBorders>
            <w:shd w:val="clear" w:color="auto" w:fill="FFFFFF"/>
          </w:tcPr>
          <w:p w14:paraId="3AAC330E" w14:textId="77777777" w:rsidR="00516B7C" w:rsidRPr="00B57B36" w:rsidRDefault="00516B7C" w:rsidP="00E91FAB">
            <w:pPr>
              <w:pStyle w:val="CETBodytext"/>
              <w:rPr>
                <w:lang w:val="en-GB"/>
              </w:rPr>
            </w:pPr>
            <w:r w:rsidRPr="00EB7CA9">
              <w:t>40°C</w:t>
            </w:r>
          </w:p>
        </w:tc>
        <w:tc>
          <w:tcPr>
            <w:tcW w:w="3100" w:type="dxa"/>
            <w:tcBorders>
              <w:top w:val="single" w:sz="12" w:space="0" w:color="008000"/>
              <w:bottom w:val="single" w:sz="4" w:space="0" w:color="008000"/>
            </w:tcBorders>
            <w:shd w:val="clear" w:color="auto" w:fill="FFFFFF"/>
          </w:tcPr>
          <w:p w14:paraId="7B2F7C8B" w14:textId="77777777" w:rsidR="00516B7C" w:rsidRPr="00B57B36" w:rsidRDefault="00516B7C" w:rsidP="00E91FAB">
            <w:pPr>
              <w:pStyle w:val="CETBodytext"/>
              <w:rPr>
                <w:lang w:val="en-GB"/>
              </w:rPr>
            </w:pPr>
            <w:r w:rsidRPr="00EB7CA9">
              <w:t>45°C</w:t>
            </w:r>
          </w:p>
        </w:tc>
      </w:tr>
      <w:tr w:rsidR="00516B7C" w:rsidRPr="00B57B36" w14:paraId="3B375758" w14:textId="77777777" w:rsidTr="00E91FAB">
        <w:trPr>
          <w:trHeight w:val="220"/>
        </w:trPr>
        <w:tc>
          <w:tcPr>
            <w:tcW w:w="2694" w:type="dxa"/>
            <w:tcBorders>
              <w:top w:val="single" w:sz="4" w:space="0" w:color="008000"/>
              <w:bottom w:val="single" w:sz="4" w:space="0" w:color="008000"/>
            </w:tcBorders>
            <w:shd w:val="clear" w:color="auto" w:fill="FFFFFF"/>
            <w:vAlign w:val="center"/>
          </w:tcPr>
          <w:p w14:paraId="4792BB34" w14:textId="77777777" w:rsidR="00516B7C" w:rsidRPr="00B57B36" w:rsidRDefault="00516B7C" w:rsidP="00E91FAB">
            <w:pPr>
              <w:pStyle w:val="CETBodytext"/>
              <w:rPr>
                <w:lang w:val="en-GB"/>
              </w:rPr>
            </w:pPr>
            <w:r>
              <w:rPr>
                <w:rFonts w:cs="Arial"/>
                <w:szCs w:val="18"/>
                <w:lang w:val="pl-PL"/>
              </w:rPr>
              <w:t>Initial temperature holding time</w:t>
            </w:r>
          </w:p>
        </w:tc>
        <w:tc>
          <w:tcPr>
            <w:tcW w:w="2976" w:type="dxa"/>
            <w:tcBorders>
              <w:top w:val="single" w:sz="4" w:space="0" w:color="008000"/>
              <w:bottom w:val="single" w:sz="4" w:space="0" w:color="008000"/>
            </w:tcBorders>
            <w:shd w:val="clear" w:color="auto" w:fill="FFFFFF"/>
            <w:vAlign w:val="center"/>
          </w:tcPr>
          <w:p w14:paraId="63249C32" w14:textId="77777777" w:rsidR="00516B7C" w:rsidRPr="00B57B36" w:rsidRDefault="00516B7C" w:rsidP="00E91FAB">
            <w:pPr>
              <w:pStyle w:val="CETBodytext"/>
              <w:rPr>
                <w:lang w:val="en-GB"/>
              </w:rPr>
            </w:pPr>
            <w:r w:rsidRPr="007050D1">
              <w:rPr>
                <w:rFonts w:cs="Arial"/>
                <w:szCs w:val="18"/>
                <w:lang w:val="pl-PL"/>
              </w:rPr>
              <w:t>1min</w:t>
            </w:r>
          </w:p>
        </w:tc>
        <w:tc>
          <w:tcPr>
            <w:tcW w:w="3100" w:type="dxa"/>
            <w:tcBorders>
              <w:top w:val="single" w:sz="4" w:space="0" w:color="008000"/>
              <w:bottom w:val="single" w:sz="4" w:space="0" w:color="008000"/>
            </w:tcBorders>
            <w:shd w:val="clear" w:color="auto" w:fill="FFFFFF"/>
            <w:vAlign w:val="center"/>
          </w:tcPr>
          <w:p w14:paraId="0E890FFF" w14:textId="77777777" w:rsidR="00516B7C" w:rsidRPr="00B57B36" w:rsidRDefault="00516B7C" w:rsidP="00E91FAB">
            <w:pPr>
              <w:pStyle w:val="CETBodytext"/>
              <w:rPr>
                <w:lang w:val="en-GB"/>
              </w:rPr>
            </w:pPr>
            <w:r w:rsidRPr="007050D1">
              <w:rPr>
                <w:rFonts w:cs="Arial"/>
                <w:szCs w:val="18"/>
                <w:lang w:val="pl-PL"/>
              </w:rPr>
              <w:t>1min</w:t>
            </w:r>
          </w:p>
        </w:tc>
      </w:tr>
      <w:tr w:rsidR="00516B7C" w:rsidRPr="00B57B36" w14:paraId="2ABD36F6" w14:textId="77777777" w:rsidTr="00E91FAB">
        <w:trPr>
          <w:trHeight w:val="210"/>
        </w:trPr>
        <w:tc>
          <w:tcPr>
            <w:tcW w:w="2694" w:type="dxa"/>
            <w:tcBorders>
              <w:top w:val="single" w:sz="4" w:space="0" w:color="008000"/>
              <w:bottom w:val="single" w:sz="4" w:space="0" w:color="008000"/>
            </w:tcBorders>
            <w:shd w:val="clear" w:color="auto" w:fill="FFFFFF"/>
            <w:vAlign w:val="center"/>
          </w:tcPr>
          <w:p w14:paraId="551E9D2A" w14:textId="77777777" w:rsidR="00516B7C" w:rsidRPr="00B57B36" w:rsidRDefault="00516B7C" w:rsidP="00E91FAB">
            <w:pPr>
              <w:pStyle w:val="CETBodytext"/>
              <w:ind w:right="-1"/>
              <w:rPr>
                <w:rFonts w:cs="Arial"/>
                <w:szCs w:val="18"/>
                <w:lang w:val="en-GB"/>
              </w:rPr>
            </w:pPr>
            <w:r>
              <w:rPr>
                <w:rFonts w:cs="Arial"/>
                <w:szCs w:val="18"/>
                <w:lang w:val="pl-PL"/>
              </w:rPr>
              <w:t>First temperature programe</w:t>
            </w:r>
          </w:p>
        </w:tc>
        <w:tc>
          <w:tcPr>
            <w:tcW w:w="2976" w:type="dxa"/>
            <w:tcBorders>
              <w:top w:val="single" w:sz="4" w:space="0" w:color="008000"/>
              <w:bottom w:val="single" w:sz="4" w:space="0" w:color="008000"/>
            </w:tcBorders>
            <w:shd w:val="clear" w:color="auto" w:fill="FFFFFF"/>
            <w:vAlign w:val="center"/>
          </w:tcPr>
          <w:p w14:paraId="12803811" w14:textId="77777777" w:rsidR="00516B7C" w:rsidRPr="00B57B36" w:rsidRDefault="00516B7C" w:rsidP="00E91FAB">
            <w:pPr>
              <w:pStyle w:val="CETBodytext"/>
              <w:ind w:right="-1"/>
              <w:rPr>
                <w:rFonts w:cs="Arial"/>
                <w:szCs w:val="18"/>
                <w:lang w:val="en-GB"/>
              </w:rPr>
            </w:pPr>
            <w:r w:rsidRPr="00DA09F2">
              <w:rPr>
                <w:rFonts w:cs="Arial"/>
                <w:szCs w:val="18"/>
                <w:lang w:val="en-GB"/>
              </w:rPr>
              <w:t xml:space="preserve">raised at a rate of </w:t>
            </w:r>
            <w:r w:rsidRPr="007050D1">
              <w:rPr>
                <w:rFonts w:cs="Arial"/>
                <w:szCs w:val="18"/>
                <w:lang w:val="pl-PL"/>
              </w:rPr>
              <w:t xml:space="preserve">10°C/min </w:t>
            </w:r>
            <w:r>
              <w:rPr>
                <w:rFonts w:cs="Arial"/>
                <w:szCs w:val="18"/>
                <w:lang w:val="pl-PL"/>
              </w:rPr>
              <w:t xml:space="preserve">to </w:t>
            </w:r>
            <w:r w:rsidRPr="007050D1">
              <w:rPr>
                <w:rFonts w:cs="Arial"/>
                <w:szCs w:val="18"/>
                <w:lang w:val="pl-PL"/>
              </w:rPr>
              <w:t>90°C</w:t>
            </w:r>
          </w:p>
        </w:tc>
        <w:tc>
          <w:tcPr>
            <w:tcW w:w="3100" w:type="dxa"/>
            <w:tcBorders>
              <w:top w:val="single" w:sz="4" w:space="0" w:color="008000"/>
              <w:bottom w:val="single" w:sz="4" w:space="0" w:color="008000"/>
            </w:tcBorders>
            <w:shd w:val="clear" w:color="auto" w:fill="FFFFFF"/>
            <w:vAlign w:val="center"/>
          </w:tcPr>
          <w:p w14:paraId="5BF3958D" w14:textId="77777777" w:rsidR="00516B7C" w:rsidRPr="00B57B36" w:rsidRDefault="00516B7C" w:rsidP="00E91FAB">
            <w:pPr>
              <w:pStyle w:val="CETBodytext"/>
              <w:ind w:right="-1"/>
              <w:rPr>
                <w:rFonts w:cs="Arial"/>
                <w:szCs w:val="18"/>
                <w:lang w:val="en-GB"/>
              </w:rPr>
            </w:pPr>
            <w:r w:rsidRPr="00DA09F2">
              <w:rPr>
                <w:rFonts w:cs="Arial"/>
                <w:szCs w:val="18"/>
                <w:lang w:val="en-GB"/>
              </w:rPr>
              <w:t xml:space="preserve">raised at a rate of </w:t>
            </w:r>
            <w:r w:rsidRPr="007050D1">
              <w:rPr>
                <w:rFonts w:cs="Arial"/>
                <w:szCs w:val="18"/>
                <w:lang w:val="pl-PL"/>
              </w:rPr>
              <w:t>10°C/min 95°C</w:t>
            </w:r>
          </w:p>
        </w:tc>
      </w:tr>
      <w:tr w:rsidR="00516B7C" w:rsidRPr="00B57B36" w14:paraId="7090AD3A" w14:textId="77777777" w:rsidTr="00E91FAB">
        <w:trPr>
          <w:trHeight w:val="210"/>
        </w:trPr>
        <w:tc>
          <w:tcPr>
            <w:tcW w:w="2694" w:type="dxa"/>
            <w:tcBorders>
              <w:top w:val="single" w:sz="4" w:space="0" w:color="008000"/>
              <w:bottom w:val="single" w:sz="4" w:space="0" w:color="008000"/>
            </w:tcBorders>
            <w:shd w:val="clear" w:color="auto" w:fill="FFFFFF"/>
            <w:vAlign w:val="center"/>
          </w:tcPr>
          <w:p w14:paraId="37F2550F" w14:textId="77777777" w:rsidR="00516B7C" w:rsidRDefault="00516B7C" w:rsidP="00E91FAB">
            <w:pPr>
              <w:pStyle w:val="CETBodytext"/>
              <w:ind w:right="-1"/>
              <w:rPr>
                <w:rFonts w:cs="Arial"/>
                <w:szCs w:val="18"/>
                <w:lang w:val="pl-PL"/>
              </w:rPr>
            </w:pPr>
            <w:r>
              <w:rPr>
                <w:rFonts w:cs="Arial"/>
                <w:szCs w:val="18"/>
                <w:lang w:val="pl-PL"/>
              </w:rPr>
              <w:t>Second temperature programe</w:t>
            </w:r>
          </w:p>
        </w:tc>
        <w:tc>
          <w:tcPr>
            <w:tcW w:w="2976" w:type="dxa"/>
            <w:tcBorders>
              <w:top w:val="single" w:sz="4" w:space="0" w:color="008000"/>
              <w:bottom w:val="single" w:sz="4" w:space="0" w:color="008000"/>
            </w:tcBorders>
            <w:shd w:val="clear" w:color="auto" w:fill="FFFFFF"/>
            <w:vAlign w:val="center"/>
          </w:tcPr>
          <w:p w14:paraId="66B5E42F" w14:textId="77777777" w:rsidR="00516B7C" w:rsidRPr="00B57B36" w:rsidRDefault="00516B7C" w:rsidP="00E91FAB">
            <w:pPr>
              <w:pStyle w:val="CETBodytext"/>
              <w:ind w:right="-1"/>
              <w:rPr>
                <w:rFonts w:cs="Arial"/>
                <w:szCs w:val="18"/>
                <w:lang w:val="en-GB"/>
              </w:rPr>
            </w:pPr>
            <w:r w:rsidRPr="00DA09F2">
              <w:rPr>
                <w:rFonts w:cs="Arial"/>
                <w:szCs w:val="18"/>
                <w:lang w:val="en-GB"/>
              </w:rPr>
              <w:t xml:space="preserve">raised at a rate of </w:t>
            </w:r>
            <w:r w:rsidRPr="007050D1">
              <w:rPr>
                <w:rFonts w:cs="Arial"/>
                <w:szCs w:val="18"/>
                <w:lang w:val="pl-PL"/>
              </w:rPr>
              <w:t xml:space="preserve">3°C/min </w:t>
            </w:r>
            <w:r>
              <w:rPr>
                <w:rFonts w:cs="Arial"/>
                <w:szCs w:val="18"/>
                <w:lang w:val="pl-PL"/>
              </w:rPr>
              <w:t>to</w:t>
            </w:r>
            <w:r w:rsidRPr="007050D1">
              <w:rPr>
                <w:rFonts w:cs="Arial"/>
                <w:szCs w:val="18"/>
                <w:lang w:val="pl-PL"/>
              </w:rPr>
              <w:t xml:space="preserve"> 240°C</w:t>
            </w:r>
          </w:p>
        </w:tc>
        <w:tc>
          <w:tcPr>
            <w:tcW w:w="3100" w:type="dxa"/>
            <w:tcBorders>
              <w:top w:val="single" w:sz="4" w:space="0" w:color="008000"/>
              <w:bottom w:val="single" w:sz="4" w:space="0" w:color="008000"/>
            </w:tcBorders>
            <w:shd w:val="clear" w:color="auto" w:fill="FFFFFF"/>
            <w:vAlign w:val="center"/>
          </w:tcPr>
          <w:p w14:paraId="6AFFC0B4" w14:textId="77777777" w:rsidR="00516B7C" w:rsidRPr="00B57B36" w:rsidRDefault="00516B7C" w:rsidP="00E91FAB">
            <w:pPr>
              <w:pStyle w:val="CETBodytext"/>
              <w:ind w:right="-1"/>
              <w:rPr>
                <w:rFonts w:cs="Arial"/>
                <w:szCs w:val="18"/>
                <w:lang w:val="en-GB"/>
              </w:rPr>
            </w:pPr>
            <w:r w:rsidRPr="00DA09F2">
              <w:rPr>
                <w:rFonts w:cs="Arial"/>
                <w:szCs w:val="18"/>
                <w:lang w:val="en-GB"/>
              </w:rPr>
              <w:t xml:space="preserve">raised at a rate of </w:t>
            </w:r>
            <w:r w:rsidRPr="007050D1">
              <w:rPr>
                <w:rFonts w:cs="Arial"/>
                <w:szCs w:val="18"/>
                <w:lang w:val="pl-PL"/>
              </w:rPr>
              <w:t xml:space="preserve">3°C/min </w:t>
            </w:r>
            <w:r>
              <w:rPr>
                <w:rFonts w:cs="Arial"/>
                <w:szCs w:val="18"/>
                <w:lang w:val="pl-PL"/>
              </w:rPr>
              <w:t>t</w:t>
            </w:r>
            <w:r w:rsidRPr="007050D1">
              <w:rPr>
                <w:rFonts w:cs="Arial"/>
                <w:szCs w:val="18"/>
                <w:lang w:val="pl-PL"/>
              </w:rPr>
              <w:t>o</w:t>
            </w:r>
            <w:r>
              <w:rPr>
                <w:rFonts w:cs="Arial"/>
                <w:szCs w:val="18"/>
                <w:lang w:val="pl-PL"/>
              </w:rPr>
              <w:t xml:space="preserve"> </w:t>
            </w:r>
            <w:r w:rsidRPr="007050D1">
              <w:rPr>
                <w:rFonts w:cs="Arial"/>
                <w:szCs w:val="18"/>
                <w:lang w:val="pl-PL"/>
              </w:rPr>
              <w:t>245°C</w:t>
            </w:r>
          </w:p>
        </w:tc>
      </w:tr>
      <w:tr w:rsidR="00516B7C" w:rsidRPr="00B57B36" w14:paraId="2F5F1627" w14:textId="77777777" w:rsidTr="00E91FAB">
        <w:trPr>
          <w:trHeight w:val="210"/>
        </w:trPr>
        <w:tc>
          <w:tcPr>
            <w:tcW w:w="2694" w:type="dxa"/>
            <w:tcBorders>
              <w:top w:val="single" w:sz="4" w:space="0" w:color="008000"/>
              <w:bottom w:val="single" w:sz="4" w:space="0" w:color="008000"/>
            </w:tcBorders>
            <w:shd w:val="clear" w:color="auto" w:fill="FFFFFF"/>
            <w:vAlign w:val="center"/>
          </w:tcPr>
          <w:p w14:paraId="79528360" w14:textId="77777777" w:rsidR="00516B7C" w:rsidRDefault="00516B7C" w:rsidP="00E91FAB">
            <w:pPr>
              <w:pStyle w:val="CETBodytext"/>
              <w:ind w:right="-1"/>
              <w:rPr>
                <w:rFonts w:cs="Arial"/>
                <w:szCs w:val="18"/>
                <w:lang w:val="pl-PL"/>
              </w:rPr>
            </w:pPr>
            <w:r>
              <w:rPr>
                <w:rFonts w:cs="Arial"/>
                <w:szCs w:val="18"/>
                <w:lang w:val="pl-PL"/>
              </w:rPr>
              <w:t>Temperature holding time</w:t>
            </w:r>
          </w:p>
        </w:tc>
        <w:tc>
          <w:tcPr>
            <w:tcW w:w="2976" w:type="dxa"/>
            <w:tcBorders>
              <w:top w:val="single" w:sz="4" w:space="0" w:color="008000"/>
              <w:bottom w:val="single" w:sz="4" w:space="0" w:color="008000"/>
            </w:tcBorders>
            <w:shd w:val="clear" w:color="auto" w:fill="FFFFFF"/>
            <w:vAlign w:val="center"/>
          </w:tcPr>
          <w:p w14:paraId="6D86FD12" w14:textId="77777777" w:rsidR="00516B7C" w:rsidRPr="00B57B36" w:rsidRDefault="00516B7C" w:rsidP="00E91FAB">
            <w:pPr>
              <w:pStyle w:val="CETBodytext"/>
              <w:ind w:right="-1"/>
              <w:rPr>
                <w:rFonts w:cs="Arial"/>
                <w:szCs w:val="18"/>
                <w:lang w:val="en-GB"/>
              </w:rPr>
            </w:pPr>
            <w:r w:rsidRPr="007050D1">
              <w:rPr>
                <w:rFonts w:cs="Arial"/>
                <w:szCs w:val="18"/>
                <w:lang w:val="pl-PL"/>
              </w:rPr>
              <w:t>5 min</w:t>
            </w:r>
          </w:p>
        </w:tc>
        <w:tc>
          <w:tcPr>
            <w:tcW w:w="3100" w:type="dxa"/>
            <w:tcBorders>
              <w:top w:val="single" w:sz="4" w:space="0" w:color="008000"/>
              <w:bottom w:val="single" w:sz="4" w:space="0" w:color="008000"/>
            </w:tcBorders>
            <w:shd w:val="clear" w:color="auto" w:fill="FFFFFF"/>
            <w:vAlign w:val="center"/>
          </w:tcPr>
          <w:p w14:paraId="6EA79DD6" w14:textId="77777777" w:rsidR="00516B7C" w:rsidRPr="00B57B36" w:rsidRDefault="00516B7C" w:rsidP="00E91FAB">
            <w:pPr>
              <w:pStyle w:val="CETBodytext"/>
              <w:ind w:right="-1"/>
              <w:rPr>
                <w:rFonts w:cs="Arial"/>
                <w:szCs w:val="18"/>
                <w:lang w:val="en-GB"/>
              </w:rPr>
            </w:pPr>
            <w:r w:rsidRPr="007050D1">
              <w:rPr>
                <w:rFonts w:cs="Arial"/>
                <w:szCs w:val="18"/>
                <w:lang w:val="pl-PL"/>
              </w:rPr>
              <w:t>5min</w:t>
            </w:r>
          </w:p>
        </w:tc>
      </w:tr>
      <w:tr w:rsidR="00516B7C" w:rsidRPr="00B57B36" w14:paraId="38BE2F64" w14:textId="77777777" w:rsidTr="00E91FAB">
        <w:trPr>
          <w:trHeight w:val="210"/>
        </w:trPr>
        <w:tc>
          <w:tcPr>
            <w:tcW w:w="2694" w:type="dxa"/>
            <w:tcBorders>
              <w:top w:val="single" w:sz="4" w:space="0" w:color="008000"/>
              <w:bottom w:val="single" w:sz="4" w:space="0" w:color="008000"/>
            </w:tcBorders>
            <w:shd w:val="clear" w:color="auto" w:fill="FFFFFF"/>
            <w:vAlign w:val="center"/>
          </w:tcPr>
          <w:p w14:paraId="6DE18FEF" w14:textId="77777777" w:rsidR="00516B7C" w:rsidRDefault="00516B7C" w:rsidP="00E91FAB">
            <w:pPr>
              <w:pStyle w:val="CETBodytext"/>
              <w:ind w:right="-1"/>
              <w:rPr>
                <w:rFonts w:cs="Arial"/>
                <w:szCs w:val="18"/>
                <w:lang w:val="pl-PL"/>
              </w:rPr>
            </w:pPr>
            <w:r>
              <w:rPr>
                <w:rFonts w:cs="Arial"/>
                <w:szCs w:val="18"/>
                <w:lang w:val="pl-PL"/>
              </w:rPr>
              <w:t>Transfer line temperature</w:t>
            </w:r>
          </w:p>
        </w:tc>
        <w:tc>
          <w:tcPr>
            <w:tcW w:w="6076" w:type="dxa"/>
            <w:gridSpan w:val="2"/>
            <w:tcBorders>
              <w:top w:val="single" w:sz="4" w:space="0" w:color="008000"/>
              <w:bottom w:val="single" w:sz="4" w:space="0" w:color="008000"/>
            </w:tcBorders>
            <w:shd w:val="clear" w:color="auto" w:fill="FFFFFF"/>
            <w:vAlign w:val="center"/>
          </w:tcPr>
          <w:p w14:paraId="015BC5C1" w14:textId="77777777" w:rsidR="00516B7C" w:rsidRPr="00B57B36" w:rsidRDefault="00516B7C" w:rsidP="00E91FAB">
            <w:pPr>
              <w:pStyle w:val="CETBodytext"/>
              <w:ind w:right="-1"/>
              <w:jc w:val="center"/>
              <w:rPr>
                <w:rFonts w:cs="Arial"/>
                <w:szCs w:val="18"/>
                <w:lang w:val="en-GB"/>
              </w:rPr>
            </w:pPr>
            <w:r w:rsidRPr="007050D1">
              <w:rPr>
                <w:rFonts w:cs="Arial"/>
                <w:szCs w:val="18"/>
                <w:lang w:val="pl-PL"/>
              </w:rPr>
              <w:t>250°C</w:t>
            </w:r>
          </w:p>
        </w:tc>
      </w:tr>
      <w:tr w:rsidR="00516B7C" w:rsidRPr="00B57B36" w14:paraId="7541EFAA" w14:textId="77777777" w:rsidTr="00E91FAB">
        <w:trPr>
          <w:trHeight w:val="210"/>
        </w:trPr>
        <w:tc>
          <w:tcPr>
            <w:tcW w:w="2694" w:type="dxa"/>
            <w:tcBorders>
              <w:top w:val="single" w:sz="4" w:space="0" w:color="008000"/>
              <w:bottom w:val="single" w:sz="12" w:space="0" w:color="008000"/>
            </w:tcBorders>
            <w:shd w:val="clear" w:color="auto" w:fill="FFFFFF"/>
            <w:vAlign w:val="center"/>
          </w:tcPr>
          <w:p w14:paraId="732CE498" w14:textId="77777777" w:rsidR="00516B7C" w:rsidRDefault="00516B7C" w:rsidP="00E91FAB">
            <w:pPr>
              <w:pStyle w:val="CETBodytext"/>
              <w:ind w:right="-1"/>
              <w:rPr>
                <w:rFonts w:cs="Arial"/>
                <w:szCs w:val="18"/>
                <w:lang w:val="pl-PL"/>
              </w:rPr>
            </w:pPr>
            <w:r>
              <w:rPr>
                <w:rFonts w:cs="Arial"/>
                <w:szCs w:val="18"/>
                <w:lang w:val="pl-PL"/>
              </w:rPr>
              <w:t>Ion source temperature</w:t>
            </w:r>
          </w:p>
        </w:tc>
        <w:tc>
          <w:tcPr>
            <w:tcW w:w="6076" w:type="dxa"/>
            <w:gridSpan w:val="2"/>
            <w:tcBorders>
              <w:top w:val="single" w:sz="4" w:space="0" w:color="008000"/>
              <w:bottom w:val="single" w:sz="12" w:space="0" w:color="008000"/>
            </w:tcBorders>
            <w:shd w:val="clear" w:color="auto" w:fill="FFFFFF"/>
            <w:vAlign w:val="center"/>
          </w:tcPr>
          <w:p w14:paraId="1C4A9BA6" w14:textId="77777777" w:rsidR="00516B7C" w:rsidRPr="00B57B36" w:rsidRDefault="00516B7C" w:rsidP="00E91FAB">
            <w:pPr>
              <w:pStyle w:val="CETBodytext"/>
              <w:ind w:right="-1"/>
              <w:jc w:val="center"/>
              <w:rPr>
                <w:rFonts w:cs="Arial"/>
                <w:szCs w:val="18"/>
                <w:lang w:val="en-GB"/>
              </w:rPr>
            </w:pPr>
            <w:r w:rsidRPr="007050D1">
              <w:rPr>
                <w:rFonts w:cs="Arial"/>
                <w:szCs w:val="18"/>
                <w:lang w:val="pl-PL"/>
              </w:rPr>
              <w:t>250°C</w:t>
            </w:r>
          </w:p>
        </w:tc>
      </w:tr>
    </w:tbl>
    <w:p w14:paraId="3D846940" w14:textId="77777777" w:rsidR="00516B7C" w:rsidRPr="00ED465B" w:rsidRDefault="00516B7C" w:rsidP="00516B7C">
      <w:pPr>
        <w:pStyle w:val="CETHeading1"/>
        <w:tabs>
          <w:tab w:val="clear" w:pos="360"/>
          <w:tab w:val="right" w:pos="7100"/>
        </w:tabs>
        <w:jc w:val="both"/>
        <w:rPr>
          <w:lang w:val="en-GB"/>
        </w:rPr>
      </w:pPr>
      <w:r w:rsidRPr="00ED465B">
        <w:rPr>
          <w:lang w:val="en-GB"/>
        </w:rPr>
        <w:t>Results and discussion</w:t>
      </w:r>
    </w:p>
    <w:p w14:paraId="722A87A5" w14:textId="0A38D2B7" w:rsidR="00796AEC" w:rsidRDefault="00796AEC" w:rsidP="00796AEC">
      <w:pPr>
        <w:pStyle w:val="ListParagraph"/>
        <w:ind w:left="0"/>
        <w:rPr>
          <w:bCs/>
          <w:szCs w:val="18"/>
        </w:rPr>
      </w:pPr>
      <w:r w:rsidRPr="00796AEC">
        <w:rPr>
          <w:bCs/>
          <w:szCs w:val="18"/>
        </w:rPr>
        <w:t>Figure 1 presents an example of a chromatogram illustrating the degree of separation obtained that would not have been possible to achieve using classical one-dimensional gas chromatography.</w:t>
      </w:r>
      <w:r w:rsidRPr="00796AEC">
        <w:rPr>
          <w:b/>
          <w:bCs/>
          <w:szCs w:val="18"/>
        </w:rPr>
        <w:t xml:space="preserve"> </w:t>
      </w:r>
      <w:r w:rsidRPr="00796AEC">
        <w:rPr>
          <w:szCs w:val="18"/>
        </w:rPr>
        <w:t>Most of the present studies related to analysis of volatile odorous compounds base on one dimensional GC (Fisher et al., 2018</w:t>
      </w:r>
      <w:r w:rsidR="00F726D8">
        <w:rPr>
          <w:szCs w:val="18"/>
        </w:rPr>
        <w:t>a</w:t>
      </w:r>
      <w:r w:rsidRPr="00796AEC">
        <w:rPr>
          <w:szCs w:val="18"/>
        </w:rPr>
        <w:t>; Wu et al., 2018; Brattoli et al., 2013). The technique of two-dimensional gas chromatography coupled with a TOF-MS is an</w:t>
      </w:r>
      <w:r w:rsidRPr="00796AEC">
        <w:rPr>
          <w:bCs/>
          <w:szCs w:val="18"/>
        </w:rPr>
        <w:t xml:space="preserve"> analytical tool that allows achieving a high degree of separation of complex mixtures of chemical compounds. </w:t>
      </w:r>
    </w:p>
    <w:p w14:paraId="2A3043FC" w14:textId="7E7E753B" w:rsidR="00796AEC" w:rsidRPr="00CF5A5B" w:rsidRDefault="002C0906" w:rsidP="00796AEC">
      <w:pPr>
        <w:rPr>
          <w:color w:val="000000" w:themeColor="text1"/>
        </w:rPr>
      </w:pPr>
      <w:r w:rsidRPr="002C0906">
        <w:rPr>
          <w:color w:val="000000" w:themeColor="text1"/>
        </w:rPr>
        <w:t>The proposed two-dimensional GC allow to identify compounds which likely would be co-eluted using only one chromatographic column. It allowed to separate pairs of compounds with the same retention times (RT) at the first chromatographic column, such as 1-propanol and 2-butene, 2-methylthiophene and toluene, heptanal and o-xylene, tetradecane and 3-octanone</w:t>
      </w:r>
      <w:r w:rsidR="00796AEC" w:rsidRPr="00CF5A5B">
        <w:rPr>
          <w:color w:val="000000" w:themeColor="text1"/>
        </w:rPr>
        <w:t>.</w:t>
      </w:r>
    </w:p>
    <w:p w14:paraId="64A2A6B9" w14:textId="77777777" w:rsidR="00796AEC" w:rsidRPr="000B6E27" w:rsidRDefault="00796AEC" w:rsidP="00796AEC">
      <w:pPr>
        <w:pStyle w:val="CETBodytext"/>
        <w:rPr>
          <w:lang w:val="en-GB"/>
        </w:rPr>
      </w:pPr>
    </w:p>
    <w:p w14:paraId="4EE2E2B2" w14:textId="77777777" w:rsidR="00796AEC" w:rsidRPr="00CE6CFC" w:rsidRDefault="00796AEC" w:rsidP="00796AEC">
      <w:pPr>
        <w:pStyle w:val="CETBodytext"/>
      </w:pPr>
      <w:r>
        <w:rPr>
          <w:rFonts w:ascii="Times New Roman" w:hAnsi="Times New Roman"/>
          <w:noProof/>
          <w:sz w:val="24"/>
          <w:lang w:val="en-GB" w:eastAsia="en-GB"/>
        </w:rPr>
        <w:drawing>
          <wp:inline distT="0" distB="0" distL="0" distR="0" wp14:anchorId="641E34E3" wp14:editId="75DFE55E">
            <wp:extent cx="5114260" cy="269468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adeca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2734" cy="2699148"/>
                    </a:xfrm>
                    <a:prstGeom prst="rect">
                      <a:avLst/>
                    </a:prstGeom>
                  </pic:spPr>
                </pic:pic>
              </a:graphicData>
            </a:graphic>
          </wp:inline>
        </w:drawing>
      </w:r>
    </w:p>
    <w:p w14:paraId="711F982F" w14:textId="77777777" w:rsidR="00796AEC" w:rsidRPr="00CE6CFC" w:rsidRDefault="00796AEC" w:rsidP="00796AEC">
      <w:pPr>
        <w:pStyle w:val="CETBodytext"/>
        <w:rPr>
          <w:i/>
        </w:rPr>
      </w:pPr>
      <w:r w:rsidRPr="00CE6CFC">
        <w:rPr>
          <w:i/>
        </w:rPr>
        <w:t>Figure 1: Chromatogram obtained as a result of GCxGC analysis (the peak is derived from octadecanal).</w:t>
      </w:r>
    </w:p>
    <w:p w14:paraId="686AAAB3" w14:textId="77777777" w:rsidR="00796AEC" w:rsidRDefault="00796AEC" w:rsidP="00516B7C">
      <w:pPr>
        <w:rPr>
          <w:rStyle w:val="FontStyle29"/>
          <w:rFonts w:ascii="Arial" w:hAnsi="Arial" w:cs="Arial"/>
          <w:sz w:val="18"/>
          <w:szCs w:val="18"/>
        </w:rPr>
      </w:pPr>
    </w:p>
    <w:p w14:paraId="1BC68C33" w14:textId="40F86F93" w:rsidR="00516B7C" w:rsidRDefault="002C0906" w:rsidP="00516B7C">
      <w:r w:rsidRPr="002C0906">
        <w:rPr>
          <w:rStyle w:val="FontStyle29"/>
          <w:rFonts w:ascii="Arial" w:hAnsi="Arial" w:cs="Arial"/>
          <w:sz w:val="18"/>
          <w:szCs w:val="18"/>
        </w:rPr>
        <w:t>Obtained results of biosolids emission analyses using GCxGC–TOF–MS are presented in the Table 2. The 55 volatile odorous organic compounds belonging to different chemical groups were identified. The variety of chemical odorous compounds are representatives of aliphatic and aromatic hydrocarbons, alcohols, aldehydes, ketones, esters, sulphides or others. This shows the complexity of the volatile fraction from stabilized dewatered biosolids. Similar groups of chemical compounds detected in anaerobic digested dewatered biosolids were reported in works of Fisher et al. (Fisher et al., 2018</w:t>
      </w:r>
      <w:r w:rsidR="00F726D8">
        <w:rPr>
          <w:rStyle w:val="FontStyle29"/>
          <w:rFonts w:ascii="Arial" w:hAnsi="Arial" w:cs="Arial"/>
          <w:sz w:val="18"/>
          <w:szCs w:val="18"/>
        </w:rPr>
        <w:t>a</w:t>
      </w:r>
      <w:r w:rsidRPr="002C0906">
        <w:rPr>
          <w:rStyle w:val="FontStyle29"/>
          <w:rFonts w:ascii="Arial" w:hAnsi="Arial" w:cs="Arial"/>
          <w:sz w:val="18"/>
          <w:szCs w:val="18"/>
        </w:rPr>
        <w:t>; Fisher et al., 2017). However, some potential odorants of concern detected by other authors such as volatile fatty acid, indole, skatole and p-cresol were not detected in this study. Moreover, using the method proposed in this study was not possible to detect inorganic odorous compounds such as hydrogen sulphide and ammonia</w:t>
      </w:r>
      <w:r w:rsidR="00516B7C">
        <w:t xml:space="preserve">. </w:t>
      </w:r>
    </w:p>
    <w:p w14:paraId="2AFD531A" w14:textId="626B4663" w:rsidR="00516B7C" w:rsidRPr="0092167F" w:rsidRDefault="00A1783B" w:rsidP="00516B7C">
      <w:pPr>
        <w:rPr>
          <w:color w:val="000000" w:themeColor="text1"/>
        </w:rPr>
      </w:pPr>
      <w:r w:rsidRPr="00A1783B">
        <w:t xml:space="preserve">Results for both biosolids samples vary. For example, during the first day of the biosolids storage 2-methylthiophene, 2-methylheptane, indane, tetrahydrolinalool and 3-methylheptane were detected in both biosolids cakes whilst methanethiol and methyl ethyl sulphide in the biosolids cake B1 only. Only a few compounds were presented during the entire storage period: toluene, styrene, dimethyl sulphide and </w:t>
      </w:r>
      <w:r w:rsidRPr="00A1783B">
        <w:lastRenderedPageBreak/>
        <w:t>hexadecanal. Only the exemptions of presence of dimethyl sulfide and hexanal were the first day from biosolids cake B1 and the seventh day from biosolids cake B2, respectively. Additionally, chemical compounds have not been detected in every of the triplicate emission samples. Most of the compounds were detected on an irregular basis across the whole measurement period. In general, the majority of the odorants were detectable from the beginning of the storage time and its presence decrease</w:t>
      </w:r>
      <w:r>
        <w:t>d</w:t>
      </w:r>
      <w:r w:rsidRPr="00A1783B">
        <w:t xml:space="preserve"> following the storage period. However, it is not the rule for all identified chemicals. For example, 1-heptane was detected from day 7 whilst acetophenone was present in both biosolids cakes from day 14.</w:t>
      </w:r>
      <w:r w:rsidR="00516B7C" w:rsidRPr="0092167F">
        <w:rPr>
          <w:color w:val="000000" w:themeColor="text1"/>
        </w:rPr>
        <w:t xml:space="preserve"> </w:t>
      </w:r>
    </w:p>
    <w:p w14:paraId="5369C65D" w14:textId="1335530B" w:rsidR="00516B7C" w:rsidRPr="0092167F" w:rsidRDefault="00A1783B" w:rsidP="00516B7C">
      <w:pPr>
        <w:rPr>
          <w:rStyle w:val="hps"/>
          <w:color w:val="000000" w:themeColor="text1"/>
        </w:rPr>
      </w:pPr>
      <w:r w:rsidRPr="00A1783B">
        <w:rPr>
          <w:rStyle w:val="hps"/>
          <w:color w:val="000000" w:themeColor="text1"/>
        </w:rPr>
        <w:t>In the work of Fisher (Fisher et al., 2017) commonalities between the two cakes were seen in the gradual reduction in presence of most odorants. Concentrations in the top layer decrease as the compounds are stripped with ageing, thereby limiting emission of compounds from the surface</w:t>
      </w:r>
      <w:r w:rsidR="00516B7C" w:rsidRPr="0092167F">
        <w:rPr>
          <w:rStyle w:val="hps"/>
          <w:color w:val="000000" w:themeColor="text1"/>
        </w:rPr>
        <w:t xml:space="preserve">. </w:t>
      </w:r>
    </w:p>
    <w:p w14:paraId="3F490BC5" w14:textId="074D1FEE" w:rsidR="00516B7C" w:rsidRDefault="00516B7C" w:rsidP="00516B7C">
      <w:pPr>
        <w:pStyle w:val="CET-table-title"/>
        <w:jc w:val="both"/>
        <w:rPr>
          <w:lang w:val="en-GB"/>
        </w:rPr>
      </w:pPr>
      <w:r w:rsidRPr="00347EB5">
        <w:rPr>
          <w:lang w:val="en-GB"/>
        </w:rPr>
        <w:t xml:space="preserve">Table </w:t>
      </w:r>
      <w:r w:rsidR="00673C65">
        <w:rPr>
          <w:lang w:val="en-GB"/>
        </w:rPr>
        <w:t>2</w:t>
      </w:r>
      <w:r w:rsidRPr="00347EB5">
        <w:rPr>
          <w:lang w:val="en-GB"/>
        </w:rPr>
        <w:t xml:space="preserve">: </w:t>
      </w:r>
      <w:r>
        <w:rPr>
          <w:lang w:val="en-GB"/>
        </w:rPr>
        <w:t xml:space="preserve">Frequently detection of volatile odorous compounds in biosolids emission samples. </w:t>
      </w:r>
      <w:r w:rsidRPr="0067169B">
        <w:rPr>
          <w:lang w:val="en-GB"/>
        </w:rPr>
        <w:t xml:space="preserve">Three </w:t>
      </w:r>
      <w:r>
        <w:rPr>
          <w:lang w:val="en-GB"/>
        </w:rPr>
        <w:t>“+” m</w:t>
      </w:r>
      <w:r w:rsidRPr="0067169B">
        <w:rPr>
          <w:lang w:val="en-GB"/>
        </w:rPr>
        <w:t xml:space="preserve">ean that a given compound was present in each of the 3 </w:t>
      </w:r>
      <w:r>
        <w:rPr>
          <w:lang w:val="en-GB"/>
        </w:rPr>
        <w:t xml:space="preserve">replicates, </w:t>
      </w:r>
      <w:r w:rsidRPr="0067169B">
        <w:rPr>
          <w:lang w:val="en-GB"/>
        </w:rPr>
        <w:t xml:space="preserve">two mean that it was present in 2 out of 3 </w:t>
      </w:r>
      <w:r>
        <w:rPr>
          <w:lang w:val="en-GB"/>
        </w:rPr>
        <w:t>replicates</w:t>
      </w:r>
      <w:r w:rsidRPr="0067169B">
        <w:rPr>
          <w:lang w:val="en-GB"/>
        </w:rPr>
        <w:t xml:space="preserve">, while 1 means that only one of 3 </w:t>
      </w:r>
      <w:r>
        <w:rPr>
          <w:lang w:val="en-GB"/>
        </w:rPr>
        <w:t>replicates</w:t>
      </w:r>
      <w:r w:rsidRPr="0067169B">
        <w:rPr>
          <w:lang w:val="en-GB"/>
        </w:rPr>
        <w:t>. The sign "-" means that the compound was present in the sample at concentrations below the limit of detection (&lt;LOD).</w:t>
      </w:r>
    </w:p>
    <w:tbl>
      <w:tblPr>
        <w:tblW w:w="8661" w:type="dxa"/>
        <w:tblInd w:w="250" w:type="dxa"/>
        <w:tblBorders>
          <w:top w:val="single" w:sz="12" w:space="0" w:color="008000"/>
          <w:bottom w:val="single" w:sz="12" w:space="0" w:color="008000"/>
          <w:insideH w:val="single" w:sz="4" w:space="0" w:color="008000"/>
        </w:tblBorders>
        <w:tblLayout w:type="fixed"/>
        <w:tblCellMar>
          <w:left w:w="10" w:type="dxa"/>
          <w:right w:w="10" w:type="dxa"/>
        </w:tblCellMar>
        <w:tblLook w:val="0000" w:firstRow="0" w:lastRow="0" w:firstColumn="0" w:lastColumn="0" w:noHBand="0" w:noVBand="0"/>
      </w:tblPr>
      <w:tblGrid>
        <w:gridCol w:w="457"/>
        <w:gridCol w:w="719"/>
        <w:gridCol w:w="680"/>
        <w:gridCol w:w="2113"/>
        <w:gridCol w:w="565"/>
        <w:gridCol w:w="457"/>
        <w:gridCol w:w="457"/>
        <w:gridCol w:w="457"/>
        <w:gridCol w:w="458"/>
        <w:gridCol w:w="457"/>
        <w:gridCol w:w="457"/>
        <w:gridCol w:w="457"/>
        <w:gridCol w:w="457"/>
        <w:gridCol w:w="455"/>
        <w:gridCol w:w="15"/>
      </w:tblGrid>
      <w:tr w:rsidR="00527F03" w:rsidRPr="00A50215" w14:paraId="0150B32B" w14:textId="77777777" w:rsidTr="00E91FAB">
        <w:trPr>
          <w:gridAfter w:val="1"/>
          <w:wAfter w:w="15" w:type="dxa"/>
          <w:trHeight w:val="276"/>
        </w:trPr>
        <w:tc>
          <w:tcPr>
            <w:tcW w:w="3969" w:type="dxa"/>
            <w:gridSpan w:val="4"/>
            <w:tcBorders>
              <w:top w:val="single" w:sz="12" w:space="0" w:color="008000"/>
              <w:bottom w:val="single" w:sz="12" w:space="0" w:color="008000"/>
            </w:tcBorders>
            <w:shd w:val="clear" w:color="auto" w:fill="auto"/>
            <w:tcMar>
              <w:top w:w="0" w:type="dxa"/>
              <w:left w:w="108" w:type="dxa"/>
              <w:bottom w:w="0" w:type="dxa"/>
              <w:right w:w="108" w:type="dxa"/>
            </w:tcMar>
          </w:tcPr>
          <w:p w14:paraId="70554CA5"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Day of storage</w:t>
            </w:r>
          </w:p>
        </w:tc>
        <w:tc>
          <w:tcPr>
            <w:tcW w:w="1022" w:type="dxa"/>
            <w:gridSpan w:val="2"/>
            <w:tcBorders>
              <w:top w:val="single" w:sz="12" w:space="0" w:color="008000"/>
              <w:bottom w:val="single" w:sz="12" w:space="0" w:color="008000"/>
            </w:tcBorders>
            <w:shd w:val="clear" w:color="auto" w:fill="auto"/>
            <w:tcMar>
              <w:top w:w="0" w:type="dxa"/>
              <w:left w:w="108" w:type="dxa"/>
              <w:bottom w:w="0" w:type="dxa"/>
              <w:right w:w="108" w:type="dxa"/>
            </w:tcMar>
          </w:tcPr>
          <w:p w14:paraId="136A4C1B"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1</w:t>
            </w:r>
          </w:p>
        </w:tc>
        <w:tc>
          <w:tcPr>
            <w:tcW w:w="914" w:type="dxa"/>
            <w:gridSpan w:val="2"/>
            <w:tcBorders>
              <w:top w:val="single" w:sz="12" w:space="0" w:color="008000"/>
              <w:bottom w:val="single" w:sz="12" w:space="0" w:color="008000"/>
            </w:tcBorders>
            <w:shd w:val="clear" w:color="auto" w:fill="auto"/>
          </w:tcPr>
          <w:p w14:paraId="6FF66C84"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7</w:t>
            </w:r>
          </w:p>
        </w:tc>
        <w:tc>
          <w:tcPr>
            <w:tcW w:w="915" w:type="dxa"/>
            <w:gridSpan w:val="2"/>
            <w:tcBorders>
              <w:top w:val="single" w:sz="12" w:space="0" w:color="008000"/>
              <w:bottom w:val="single" w:sz="12" w:space="0" w:color="008000"/>
            </w:tcBorders>
            <w:shd w:val="clear" w:color="auto" w:fill="auto"/>
          </w:tcPr>
          <w:p w14:paraId="5BADF372"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10</w:t>
            </w:r>
          </w:p>
        </w:tc>
        <w:tc>
          <w:tcPr>
            <w:tcW w:w="914" w:type="dxa"/>
            <w:gridSpan w:val="2"/>
            <w:tcBorders>
              <w:top w:val="single" w:sz="12" w:space="0" w:color="008000"/>
              <w:bottom w:val="single" w:sz="12" w:space="0" w:color="008000"/>
            </w:tcBorders>
            <w:shd w:val="clear" w:color="auto" w:fill="auto"/>
          </w:tcPr>
          <w:p w14:paraId="3B61410B"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14</w:t>
            </w:r>
          </w:p>
        </w:tc>
        <w:tc>
          <w:tcPr>
            <w:tcW w:w="912" w:type="dxa"/>
            <w:gridSpan w:val="2"/>
            <w:tcBorders>
              <w:top w:val="single" w:sz="12" w:space="0" w:color="008000"/>
              <w:bottom w:val="single" w:sz="12" w:space="0" w:color="008000"/>
            </w:tcBorders>
            <w:shd w:val="clear" w:color="auto" w:fill="auto"/>
          </w:tcPr>
          <w:p w14:paraId="1D091AAA"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21</w:t>
            </w:r>
          </w:p>
        </w:tc>
      </w:tr>
      <w:tr w:rsidR="00527F03" w:rsidRPr="00A50215" w14:paraId="564E21A7" w14:textId="77777777" w:rsidTr="00E91FAB">
        <w:trPr>
          <w:trHeight w:val="276"/>
        </w:trPr>
        <w:tc>
          <w:tcPr>
            <w:tcW w:w="3969" w:type="dxa"/>
            <w:gridSpan w:val="4"/>
            <w:tcBorders>
              <w:top w:val="single" w:sz="12" w:space="0" w:color="008000"/>
              <w:bottom w:val="single" w:sz="12" w:space="0" w:color="008000"/>
            </w:tcBorders>
            <w:shd w:val="clear" w:color="auto" w:fill="auto"/>
            <w:tcMar>
              <w:top w:w="0" w:type="dxa"/>
              <w:left w:w="108" w:type="dxa"/>
              <w:bottom w:w="0" w:type="dxa"/>
              <w:right w:w="108" w:type="dxa"/>
            </w:tcMar>
          </w:tcPr>
          <w:p w14:paraId="0FF63012"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Biosolids sample no</w:t>
            </w:r>
          </w:p>
        </w:tc>
        <w:tc>
          <w:tcPr>
            <w:tcW w:w="565" w:type="dxa"/>
            <w:tcBorders>
              <w:top w:val="single" w:sz="12" w:space="0" w:color="008000"/>
              <w:bottom w:val="single" w:sz="12" w:space="0" w:color="008000"/>
            </w:tcBorders>
            <w:shd w:val="clear" w:color="auto" w:fill="BFBFBF" w:themeFill="background1" w:themeFillShade="BF"/>
            <w:tcMar>
              <w:top w:w="0" w:type="dxa"/>
              <w:left w:w="108" w:type="dxa"/>
              <w:bottom w:w="0" w:type="dxa"/>
              <w:right w:w="108" w:type="dxa"/>
            </w:tcMar>
          </w:tcPr>
          <w:p w14:paraId="729EE5E6"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B1</w:t>
            </w:r>
          </w:p>
        </w:tc>
        <w:tc>
          <w:tcPr>
            <w:tcW w:w="457" w:type="dxa"/>
            <w:tcBorders>
              <w:top w:val="single" w:sz="12" w:space="0" w:color="008000"/>
              <w:bottom w:val="single" w:sz="12" w:space="0" w:color="008000"/>
            </w:tcBorders>
            <w:shd w:val="clear" w:color="auto" w:fill="auto"/>
          </w:tcPr>
          <w:p w14:paraId="54E69935"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B2</w:t>
            </w:r>
          </w:p>
        </w:tc>
        <w:tc>
          <w:tcPr>
            <w:tcW w:w="457" w:type="dxa"/>
            <w:tcBorders>
              <w:top w:val="single" w:sz="12" w:space="0" w:color="008000"/>
              <w:bottom w:val="single" w:sz="12" w:space="0" w:color="008000"/>
            </w:tcBorders>
            <w:shd w:val="clear" w:color="auto" w:fill="BFBFBF" w:themeFill="background1" w:themeFillShade="BF"/>
          </w:tcPr>
          <w:p w14:paraId="2D907706"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B1</w:t>
            </w:r>
          </w:p>
        </w:tc>
        <w:tc>
          <w:tcPr>
            <w:tcW w:w="457" w:type="dxa"/>
            <w:tcBorders>
              <w:top w:val="single" w:sz="12" w:space="0" w:color="008000"/>
              <w:bottom w:val="single" w:sz="12" w:space="0" w:color="008000"/>
            </w:tcBorders>
            <w:shd w:val="clear" w:color="auto" w:fill="auto"/>
          </w:tcPr>
          <w:p w14:paraId="1A32E2D2"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B2</w:t>
            </w:r>
          </w:p>
        </w:tc>
        <w:tc>
          <w:tcPr>
            <w:tcW w:w="458" w:type="dxa"/>
            <w:tcBorders>
              <w:top w:val="single" w:sz="12" w:space="0" w:color="008000"/>
              <w:bottom w:val="single" w:sz="12" w:space="0" w:color="008000"/>
            </w:tcBorders>
            <w:shd w:val="clear" w:color="auto" w:fill="BFBFBF" w:themeFill="background1" w:themeFillShade="BF"/>
          </w:tcPr>
          <w:p w14:paraId="2D344A43"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B1</w:t>
            </w:r>
          </w:p>
        </w:tc>
        <w:tc>
          <w:tcPr>
            <w:tcW w:w="457" w:type="dxa"/>
            <w:tcBorders>
              <w:top w:val="single" w:sz="12" w:space="0" w:color="008000"/>
              <w:bottom w:val="single" w:sz="12" w:space="0" w:color="008000"/>
            </w:tcBorders>
            <w:shd w:val="clear" w:color="auto" w:fill="auto"/>
          </w:tcPr>
          <w:p w14:paraId="4A11BA1D"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B2</w:t>
            </w:r>
          </w:p>
        </w:tc>
        <w:tc>
          <w:tcPr>
            <w:tcW w:w="457" w:type="dxa"/>
            <w:tcBorders>
              <w:top w:val="single" w:sz="12" w:space="0" w:color="008000"/>
              <w:bottom w:val="single" w:sz="12" w:space="0" w:color="008000"/>
            </w:tcBorders>
            <w:shd w:val="clear" w:color="auto" w:fill="BFBFBF" w:themeFill="background1" w:themeFillShade="BF"/>
          </w:tcPr>
          <w:p w14:paraId="251DD935"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B1</w:t>
            </w:r>
          </w:p>
        </w:tc>
        <w:tc>
          <w:tcPr>
            <w:tcW w:w="457" w:type="dxa"/>
            <w:tcBorders>
              <w:top w:val="single" w:sz="12" w:space="0" w:color="008000"/>
              <w:bottom w:val="single" w:sz="12" w:space="0" w:color="008000"/>
            </w:tcBorders>
            <w:shd w:val="clear" w:color="auto" w:fill="auto"/>
          </w:tcPr>
          <w:p w14:paraId="05228499"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B2</w:t>
            </w:r>
          </w:p>
        </w:tc>
        <w:tc>
          <w:tcPr>
            <w:tcW w:w="457" w:type="dxa"/>
            <w:tcBorders>
              <w:top w:val="single" w:sz="12" w:space="0" w:color="008000"/>
              <w:bottom w:val="single" w:sz="12" w:space="0" w:color="008000"/>
            </w:tcBorders>
            <w:shd w:val="clear" w:color="auto" w:fill="BFBFBF" w:themeFill="background1" w:themeFillShade="BF"/>
          </w:tcPr>
          <w:p w14:paraId="184599DB"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B1</w:t>
            </w:r>
          </w:p>
        </w:tc>
        <w:tc>
          <w:tcPr>
            <w:tcW w:w="470" w:type="dxa"/>
            <w:gridSpan w:val="2"/>
            <w:tcBorders>
              <w:top w:val="single" w:sz="12" w:space="0" w:color="008000"/>
              <w:bottom w:val="single" w:sz="12" w:space="0" w:color="008000"/>
            </w:tcBorders>
            <w:shd w:val="clear" w:color="auto" w:fill="auto"/>
          </w:tcPr>
          <w:p w14:paraId="412C29D8" w14:textId="77777777" w:rsidR="00516B7C" w:rsidRPr="00A50215" w:rsidRDefault="00516B7C" w:rsidP="00E91FAB">
            <w:pPr>
              <w:tabs>
                <w:tab w:val="clear" w:pos="7100"/>
              </w:tabs>
              <w:suppressAutoHyphens/>
              <w:autoSpaceDN w:val="0"/>
              <w:spacing w:line="240" w:lineRule="auto"/>
              <w:jc w:val="center"/>
              <w:textAlignment w:val="baseline"/>
              <w:rPr>
                <w:rFonts w:cs="Arial"/>
                <w:szCs w:val="18"/>
                <w:lang w:eastAsia="en-GB"/>
              </w:rPr>
            </w:pPr>
            <w:r w:rsidRPr="00A50215">
              <w:rPr>
                <w:rFonts w:cs="Arial"/>
                <w:szCs w:val="18"/>
                <w:lang w:eastAsia="en-GB"/>
              </w:rPr>
              <w:t>B2</w:t>
            </w:r>
          </w:p>
        </w:tc>
      </w:tr>
      <w:tr w:rsidR="00527F03" w:rsidRPr="00A50215" w14:paraId="7B8178C7" w14:textId="77777777" w:rsidTr="00E91FAB">
        <w:trPr>
          <w:trHeight w:val="276"/>
        </w:trPr>
        <w:tc>
          <w:tcPr>
            <w:tcW w:w="457" w:type="dxa"/>
            <w:tcBorders>
              <w:top w:val="single" w:sz="12" w:space="0" w:color="008000"/>
              <w:bottom w:val="single" w:sz="12" w:space="0" w:color="008000"/>
            </w:tcBorders>
            <w:shd w:val="clear" w:color="auto" w:fill="auto"/>
            <w:tcMar>
              <w:top w:w="0" w:type="dxa"/>
              <w:left w:w="108" w:type="dxa"/>
              <w:bottom w:w="0" w:type="dxa"/>
              <w:right w:w="108" w:type="dxa"/>
            </w:tcMar>
          </w:tcPr>
          <w:p w14:paraId="0E6DE9E0"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No</w:t>
            </w:r>
          </w:p>
        </w:tc>
        <w:tc>
          <w:tcPr>
            <w:tcW w:w="719" w:type="dxa"/>
            <w:tcBorders>
              <w:top w:val="single" w:sz="12" w:space="0" w:color="008000"/>
              <w:bottom w:val="single" w:sz="12" w:space="0" w:color="008000"/>
            </w:tcBorders>
            <w:shd w:val="clear" w:color="auto" w:fill="auto"/>
            <w:tcMar>
              <w:top w:w="0" w:type="dxa"/>
              <w:left w:w="108" w:type="dxa"/>
              <w:bottom w:w="0" w:type="dxa"/>
              <w:right w:w="108" w:type="dxa"/>
            </w:tcMar>
          </w:tcPr>
          <w:p w14:paraId="29B1E090"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 xml:space="preserve">1st RT/s </w:t>
            </w:r>
          </w:p>
        </w:tc>
        <w:tc>
          <w:tcPr>
            <w:tcW w:w="680" w:type="dxa"/>
            <w:tcBorders>
              <w:top w:val="single" w:sz="12" w:space="0" w:color="008000"/>
              <w:bottom w:val="single" w:sz="12" w:space="0" w:color="008000"/>
            </w:tcBorders>
            <w:shd w:val="clear" w:color="auto" w:fill="auto"/>
            <w:tcMar>
              <w:top w:w="0" w:type="dxa"/>
              <w:left w:w="108" w:type="dxa"/>
              <w:bottom w:w="0" w:type="dxa"/>
              <w:right w:w="108" w:type="dxa"/>
            </w:tcMar>
          </w:tcPr>
          <w:p w14:paraId="2800B1E8"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 xml:space="preserve">2nd RT/s </w:t>
            </w:r>
          </w:p>
        </w:tc>
        <w:tc>
          <w:tcPr>
            <w:tcW w:w="2113" w:type="dxa"/>
            <w:tcBorders>
              <w:top w:val="single" w:sz="12" w:space="0" w:color="008000"/>
              <w:bottom w:val="single" w:sz="12" w:space="0" w:color="008000"/>
            </w:tcBorders>
            <w:shd w:val="clear" w:color="auto" w:fill="auto"/>
            <w:tcMar>
              <w:top w:w="0" w:type="dxa"/>
              <w:left w:w="108" w:type="dxa"/>
              <w:bottom w:w="0" w:type="dxa"/>
              <w:right w:w="108" w:type="dxa"/>
            </w:tcMar>
          </w:tcPr>
          <w:p w14:paraId="3DB5D099"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r w:rsidRPr="00A50215">
              <w:rPr>
                <w:rFonts w:cs="Arial"/>
                <w:b/>
                <w:bCs/>
                <w:szCs w:val="18"/>
                <w:lang w:eastAsia="en-GB"/>
              </w:rPr>
              <w:t xml:space="preserve">Compound name </w:t>
            </w:r>
          </w:p>
        </w:tc>
        <w:tc>
          <w:tcPr>
            <w:tcW w:w="565" w:type="dxa"/>
            <w:tcBorders>
              <w:top w:val="single" w:sz="12" w:space="0" w:color="008000"/>
              <w:bottom w:val="single" w:sz="12" w:space="0" w:color="008000"/>
            </w:tcBorders>
            <w:shd w:val="clear" w:color="auto" w:fill="BFBFBF" w:themeFill="background1" w:themeFillShade="BF"/>
            <w:tcMar>
              <w:top w:w="0" w:type="dxa"/>
              <w:left w:w="108" w:type="dxa"/>
              <w:bottom w:w="0" w:type="dxa"/>
              <w:right w:w="108" w:type="dxa"/>
            </w:tcMar>
          </w:tcPr>
          <w:p w14:paraId="031043B8"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auto"/>
          </w:tcPr>
          <w:p w14:paraId="22029DEC"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BFBFBF" w:themeFill="background1" w:themeFillShade="BF"/>
          </w:tcPr>
          <w:p w14:paraId="5971236D"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auto"/>
          </w:tcPr>
          <w:p w14:paraId="64690262"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8" w:type="dxa"/>
            <w:tcBorders>
              <w:top w:val="single" w:sz="12" w:space="0" w:color="008000"/>
              <w:bottom w:val="single" w:sz="12" w:space="0" w:color="008000"/>
            </w:tcBorders>
            <w:shd w:val="clear" w:color="auto" w:fill="BFBFBF" w:themeFill="background1" w:themeFillShade="BF"/>
          </w:tcPr>
          <w:p w14:paraId="2B8D581F"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auto"/>
          </w:tcPr>
          <w:p w14:paraId="687A7407"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BFBFBF" w:themeFill="background1" w:themeFillShade="BF"/>
          </w:tcPr>
          <w:p w14:paraId="3CC2176C"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auto"/>
          </w:tcPr>
          <w:p w14:paraId="7D094CC4"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57" w:type="dxa"/>
            <w:tcBorders>
              <w:top w:val="single" w:sz="12" w:space="0" w:color="008000"/>
              <w:bottom w:val="single" w:sz="12" w:space="0" w:color="008000"/>
            </w:tcBorders>
            <w:shd w:val="clear" w:color="auto" w:fill="BFBFBF" w:themeFill="background1" w:themeFillShade="BF"/>
          </w:tcPr>
          <w:p w14:paraId="68D306CB"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c>
          <w:tcPr>
            <w:tcW w:w="470" w:type="dxa"/>
            <w:gridSpan w:val="2"/>
            <w:tcBorders>
              <w:top w:val="single" w:sz="12" w:space="0" w:color="008000"/>
              <w:bottom w:val="single" w:sz="12" w:space="0" w:color="008000"/>
            </w:tcBorders>
            <w:shd w:val="clear" w:color="auto" w:fill="auto"/>
          </w:tcPr>
          <w:p w14:paraId="02B882E0" w14:textId="77777777" w:rsidR="00516B7C" w:rsidRPr="00A50215" w:rsidRDefault="00516B7C" w:rsidP="00E91FAB">
            <w:pPr>
              <w:tabs>
                <w:tab w:val="clear" w:pos="7100"/>
              </w:tabs>
              <w:suppressAutoHyphens/>
              <w:autoSpaceDN w:val="0"/>
              <w:spacing w:line="240" w:lineRule="auto"/>
              <w:jc w:val="center"/>
              <w:textAlignment w:val="baseline"/>
              <w:rPr>
                <w:rFonts w:cs="Arial"/>
                <w:b/>
                <w:bCs/>
                <w:szCs w:val="18"/>
                <w:lang w:eastAsia="en-GB"/>
              </w:rPr>
            </w:pPr>
          </w:p>
        </w:tc>
      </w:tr>
      <w:tr w:rsidR="00527F03" w:rsidRPr="00A50215" w14:paraId="38EEB4DF" w14:textId="77777777" w:rsidTr="00E91FAB">
        <w:trPr>
          <w:trHeight w:val="276"/>
        </w:trPr>
        <w:tc>
          <w:tcPr>
            <w:tcW w:w="457" w:type="dxa"/>
            <w:tcBorders>
              <w:top w:val="single" w:sz="12" w:space="0" w:color="008000"/>
            </w:tcBorders>
            <w:shd w:val="clear" w:color="auto" w:fill="auto"/>
            <w:tcMar>
              <w:top w:w="0" w:type="dxa"/>
              <w:left w:w="108" w:type="dxa"/>
              <w:bottom w:w="0" w:type="dxa"/>
              <w:right w:w="108" w:type="dxa"/>
            </w:tcMar>
          </w:tcPr>
          <w:p w14:paraId="31036D59"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w:t>
            </w:r>
          </w:p>
        </w:tc>
        <w:tc>
          <w:tcPr>
            <w:tcW w:w="719" w:type="dxa"/>
            <w:tcBorders>
              <w:top w:val="single" w:sz="12" w:space="0" w:color="008000"/>
            </w:tcBorders>
            <w:shd w:val="clear" w:color="auto" w:fill="auto"/>
            <w:tcMar>
              <w:top w:w="0" w:type="dxa"/>
              <w:left w:w="108" w:type="dxa"/>
              <w:bottom w:w="0" w:type="dxa"/>
              <w:right w:w="108" w:type="dxa"/>
            </w:tcMar>
          </w:tcPr>
          <w:p w14:paraId="6B86ADE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278 </w:t>
            </w:r>
          </w:p>
        </w:tc>
        <w:tc>
          <w:tcPr>
            <w:tcW w:w="680" w:type="dxa"/>
            <w:tcBorders>
              <w:top w:val="single" w:sz="12" w:space="0" w:color="008000"/>
            </w:tcBorders>
            <w:shd w:val="clear" w:color="auto" w:fill="auto"/>
            <w:tcMar>
              <w:top w:w="0" w:type="dxa"/>
              <w:left w:w="108" w:type="dxa"/>
              <w:bottom w:w="0" w:type="dxa"/>
              <w:right w:w="108" w:type="dxa"/>
            </w:tcMar>
          </w:tcPr>
          <w:p w14:paraId="28CA1DBC"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1.23 </w:t>
            </w:r>
          </w:p>
        </w:tc>
        <w:tc>
          <w:tcPr>
            <w:tcW w:w="2113" w:type="dxa"/>
            <w:tcBorders>
              <w:top w:val="single" w:sz="12" w:space="0" w:color="008000"/>
            </w:tcBorders>
            <w:shd w:val="clear" w:color="auto" w:fill="auto"/>
            <w:tcMar>
              <w:top w:w="0" w:type="dxa"/>
              <w:left w:w="108" w:type="dxa"/>
              <w:bottom w:w="0" w:type="dxa"/>
              <w:right w:w="108" w:type="dxa"/>
            </w:tcMar>
          </w:tcPr>
          <w:p w14:paraId="6CE36C5E"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Methanethiol </w:t>
            </w:r>
          </w:p>
        </w:tc>
        <w:tc>
          <w:tcPr>
            <w:tcW w:w="565" w:type="dxa"/>
            <w:tcBorders>
              <w:top w:val="single" w:sz="12" w:space="0" w:color="008000"/>
            </w:tcBorders>
            <w:shd w:val="clear" w:color="auto" w:fill="BFBFBF" w:themeFill="background1" w:themeFillShade="BF"/>
            <w:tcMar>
              <w:top w:w="0" w:type="dxa"/>
              <w:left w:w="108" w:type="dxa"/>
              <w:bottom w:w="0" w:type="dxa"/>
              <w:right w:w="108" w:type="dxa"/>
            </w:tcMar>
          </w:tcPr>
          <w:p w14:paraId="6BC13F6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auto"/>
          </w:tcPr>
          <w:p w14:paraId="6FA9D93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BFBFBF" w:themeFill="background1" w:themeFillShade="BF"/>
          </w:tcPr>
          <w:p w14:paraId="61FFC10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auto"/>
          </w:tcPr>
          <w:p w14:paraId="2B9C97C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8" w:type="dxa"/>
            <w:tcBorders>
              <w:top w:val="single" w:sz="12" w:space="0" w:color="008000"/>
            </w:tcBorders>
            <w:shd w:val="clear" w:color="auto" w:fill="BFBFBF" w:themeFill="background1" w:themeFillShade="BF"/>
          </w:tcPr>
          <w:p w14:paraId="3177D1F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auto"/>
          </w:tcPr>
          <w:p w14:paraId="5CBF93D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BFBFBF" w:themeFill="background1" w:themeFillShade="BF"/>
          </w:tcPr>
          <w:p w14:paraId="3C96F95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auto"/>
          </w:tcPr>
          <w:p w14:paraId="06E869D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tcBorders>
              <w:top w:val="single" w:sz="12" w:space="0" w:color="008000"/>
            </w:tcBorders>
            <w:shd w:val="clear" w:color="auto" w:fill="BFBFBF" w:themeFill="background1" w:themeFillShade="BF"/>
          </w:tcPr>
          <w:p w14:paraId="1D30C11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70" w:type="dxa"/>
            <w:gridSpan w:val="2"/>
            <w:tcBorders>
              <w:top w:val="single" w:sz="12" w:space="0" w:color="008000"/>
            </w:tcBorders>
            <w:shd w:val="clear" w:color="auto" w:fill="auto"/>
          </w:tcPr>
          <w:p w14:paraId="726C1F0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r>
      <w:tr w:rsidR="00527F03" w:rsidRPr="00A50215" w14:paraId="75CB7116" w14:textId="77777777" w:rsidTr="00E91FAB">
        <w:trPr>
          <w:trHeight w:val="276"/>
        </w:trPr>
        <w:tc>
          <w:tcPr>
            <w:tcW w:w="457" w:type="dxa"/>
            <w:shd w:val="clear" w:color="auto" w:fill="auto"/>
            <w:tcMar>
              <w:top w:w="0" w:type="dxa"/>
              <w:left w:w="108" w:type="dxa"/>
              <w:bottom w:w="0" w:type="dxa"/>
              <w:right w:w="108" w:type="dxa"/>
            </w:tcMar>
          </w:tcPr>
          <w:p w14:paraId="389D8F60"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w:t>
            </w:r>
          </w:p>
        </w:tc>
        <w:tc>
          <w:tcPr>
            <w:tcW w:w="719" w:type="dxa"/>
            <w:shd w:val="clear" w:color="auto" w:fill="auto"/>
            <w:tcMar>
              <w:top w:w="0" w:type="dxa"/>
              <w:left w:w="108" w:type="dxa"/>
              <w:bottom w:w="0" w:type="dxa"/>
              <w:right w:w="108" w:type="dxa"/>
            </w:tcMar>
          </w:tcPr>
          <w:p w14:paraId="0F9230D7"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282 </w:t>
            </w:r>
          </w:p>
        </w:tc>
        <w:tc>
          <w:tcPr>
            <w:tcW w:w="680" w:type="dxa"/>
            <w:shd w:val="clear" w:color="auto" w:fill="auto"/>
            <w:tcMar>
              <w:top w:w="0" w:type="dxa"/>
              <w:left w:w="108" w:type="dxa"/>
              <w:bottom w:w="0" w:type="dxa"/>
              <w:right w:w="108" w:type="dxa"/>
            </w:tcMar>
          </w:tcPr>
          <w:p w14:paraId="76686F36"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1.79 </w:t>
            </w:r>
          </w:p>
        </w:tc>
        <w:tc>
          <w:tcPr>
            <w:tcW w:w="2113" w:type="dxa"/>
            <w:shd w:val="clear" w:color="auto" w:fill="auto"/>
            <w:tcMar>
              <w:top w:w="0" w:type="dxa"/>
              <w:left w:w="108" w:type="dxa"/>
              <w:bottom w:w="0" w:type="dxa"/>
              <w:right w:w="108" w:type="dxa"/>
            </w:tcMar>
          </w:tcPr>
          <w:p w14:paraId="1F7F52E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Ethanol </w:t>
            </w:r>
          </w:p>
        </w:tc>
        <w:tc>
          <w:tcPr>
            <w:tcW w:w="565" w:type="dxa"/>
            <w:shd w:val="clear" w:color="auto" w:fill="BFBFBF" w:themeFill="background1" w:themeFillShade="BF"/>
            <w:tcMar>
              <w:top w:w="0" w:type="dxa"/>
              <w:left w:w="108" w:type="dxa"/>
              <w:bottom w:w="0" w:type="dxa"/>
              <w:right w:w="108" w:type="dxa"/>
            </w:tcMar>
          </w:tcPr>
          <w:p w14:paraId="729CD53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auto"/>
          </w:tcPr>
          <w:p w14:paraId="05AC82A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BFBFBF" w:themeFill="background1" w:themeFillShade="BF"/>
          </w:tcPr>
          <w:p w14:paraId="461C712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auto"/>
          </w:tcPr>
          <w:p w14:paraId="4C2E632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8" w:type="dxa"/>
            <w:shd w:val="clear" w:color="auto" w:fill="BFBFBF" w:themeFill="background1" w:themeFillShade="BF"/>
          </w:tcPr>
          <w:p w14:paraId="2A9F860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auto"/>
          </w:tcPr>
          <w:p w14:paraId="44E645E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BFBFBF" w:themeFill="background1" w:themeFillShade="BF"/>
          </w:tcPr>
          <w:p w14:paraId="5113F2E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auto"/>
          </w:tcPr>
          <w:p w14:paraId="055A4EC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57" w:type="dxa"/>
            <w:shd w:val="clear" w:color="auto" w:fill="BFBFBF" w:themeFill="background1" w:themeFillShade="BF"/>
          </w:tcPr>
          <w:p w14:paraId="748DE1D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c>
          <w:tcPr>
            <w:tcW w:w="470" w:type="dxa"/>
            <w:gridSpan w:val="2"/>
            <w:shd w:val="clear" w:color="auto" w:fill="auto"/>
          </w:tcPr>
          <w:p w14:paraId="021EE1D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eastAsia="en-GB"/>
              </w:rPr>
              <w:t>+</w:t>
            </w:r>
          </w:p>
        </w:tc>
      </w:tr>
      <w:tr w:rsidR="00527F03" w:rsidRPr="00A50215" w14:paraId="4DB0693E" w14:textId="77777777" w:rsidTr="00E91FAB">
        <w:trPr>
          <w:trHeight w:val="276"/>
        </w:trPr>
        <w:tc>
          <w:tcPr>
            <w:tcW w:w="457" w:type="dxa"/>
            <w:shd w:val="clear" w:color="auto" w:fill="auto"/>
            <w:tcMar>
              <w:top w:w="0" w:type="dxa"/>
              <w:left w:w="108" w:type="dxa"/>
              <w:bottom w:w="0" w:type="dxa"/>
              <w:right w:w="108" w:type="dxa"/>
            </w:tcMar>
          </w:tcPr>
          <w:p w14:paraId="18BE53B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w:t>
            </w:r>
          </w:p>
        </w:tc>
        <w:tc>
          <w:tcPr>
            <w:tcW w:w="719" w:type="dxa"/>
            <w:shd w:val="clear" w:color="auto" w:fill="auto"/>
            <w:tcMar>
              <w:top w:w="0" w:type="dxa"/>
              <w:left w:w="108" w:type="dxa"/>
              <w:bottom w:w="0" w:type="dxa"/>
              <w:right w:w="108" w:type="dxa"/>
            </w:tcMar>
          </w:tcPr>
          <w:p w14:paraId="589EE55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298 </w:t>
            </w:r>
          </w:p>
        </w:tc>
        <w:tc>
          <w:tcPr>
            <w:tcW w:w="680" w:type="dxa"/>
            <w:shd w:val="clear" w:color="auto" w:fill="auto"/>
            <w:tcMar>
              <w:top w:w="0" w:type="dxa"/>
              <w:left w:w="108" w:type="dxa"/>
              <w:bottom w:w="0" w:type="dxa"/>
              <w:right w:w="108" w:type="dxa"/>
            </w:tcMar>
          </w:tcPr>
          <w:p w14:paraId="62D1A547"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1.26 </w:t>
            </w:r>
          </w:p>
        </w:tc>
        <w:tc>
          <w:tcPr>
            <w:tcW w:w="2113" w:type="dxa"/>
            <w:shd w:val="clear" w:color="auto" w:fill="auto"/>
            <w:tcMar>
              <w:top w:w="0" w:type="dxa"/>
              <w:left w:w="108" w:type="dxa"/>
              <w:bottom w:w="0" w:type="dxa"/>
              <w:right w:w="108" w:type="dxa"/>
            </w:tcMar>
          </w:tcPr>
          <w:p w14:paraId="1FBE911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Dimethyl sulfide </w:t>
            </w:r>
          </w:p>
        </w:tc>
        <w:tc>
          <w:tcPr>
            <w:tcW w:w="565" w:type="dxa"/>
            <w:shd w:val="clear" w:color="auto" w:fill="BFBFBF" w:themeFill="background1" w:themeFillShade="BF"/>
            <w:tcMar>
              <w:top w:w="0" w:type="dxa"/>
              <w:left w:w="108" w:type="dxa"/>
              <w:bottom w:w="0" w:type="dxa"/>
              <w:right w:w="108" w:type="dxa"/>
            </w:tcMar>
            <w:vAlign w:val="center"/>
          </w:tcPr>
          <w:p w14:paraId="6CD1530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56B49C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FFA121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795AC9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7409FBD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E0F0D5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27ECED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5D1F5F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2D5886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64DEAD6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70FD8A77" w14:textId="77777777" w:rsidTr="00E91FAB">
        <w:trPr>
          <w:trHeight w:val="276"/>
        </w:trPr>
        <w:tc>
          <w:tcPr>
            <w:tcW w:w="457" w:type="dxa"/>
            <w:shd w:val="clear" w:color="auto" w:fill="auto"/>
            <w:tcMar>
              <w:top w:w="0" w:type="dxa"/>
              <w:left w:w="108" w:type="dxa"/>
              <w:bottom w:w="0" w:type="dxa"/>
              <w:right w:w="108" w:type="dxa"/>
            </w:tcMar>
          </w:tcPr>
          <w:p w14:paraId="03C25B46"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w:t>
            </w:r>
          </w:p>
        </w:tc>
        <w:tc>
          <w:tcPr>
            <w:tcW w:w="719" w:type="dxa"/>
            <w:shd w:val="clear" w:color="auto" w:fill="auto"/>
            <w:tcMar>
              <w:top w:w="0" w:type="dxa"/>
              <w:left w:w="108" w:type="dxa"/>
              <w:bottom w:w="0" w:type="dxa"/>
              <w:right w:w="108" w:type="dxa"/>
            </w:tcMar>
          </w:tcPr>
          <w:p w14:paraId="5234478C"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306</w:t>
            </w:r>
          </w:p>
        </w:tc>
        <w:tc>
          <w:tcPr>
            <w:tcW w:w="680" w:type="dxa"/>
            <w:shd w:val="clear" w:color="auto" w:fill="auto"/>
            <w:tcMar>
              <w:top w:w="0" w:type="dxa"/>
              <w:left w:w="108" w:type="dxa"/>
              <w:bottom w:w="0" w:type="dxa"/>
              <w:right w:w="108" w:type="dxa"/>
            </w:tcMar>
          </w:tcPr>
          <w:p w14:paraId="3AA9ABC3"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1.25</w:t>
            </w:r>
          </w:p>
        </w:tc>
        <w:tc>
          <w:tcPr>
            <w:tcW w:w="2113" w:type="dxa"/>
            <w:shd w:val="clear" w:color="auto" w:fill="auto"/>
            <w:tcMar>
              <w:top w:w="0" w:type="dxa"/>
              <w:left w:w="108" w:type="dxa"/>
              <w:bottom w:w="0" w:type="dxa"/>
              <w:right w:w="108" w:type="dxa"/>
            </w:tcMar>
          </w:tcPr>
          <w:p w14:paraId="1A2F32E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Carbon disulfide</w:t>
            </w:r>
          </w:p>
        </w:tc>
        <w:tc>
          <w:tcPr>
            <w:tcW w:w="565" w:type="dxa"/>
            <w:shd w:val="clear" w:color="auto" w:fill="BFBFBF" w:themeFill="background1" w:themeFillShade="BF"/>
            <w:tcMar>
              <w:top w:w="0" w:type="dxa"/>
              <w:left w:w="108" w:type="dxa"/>
              <w:bottom w:w="0" w:type="dxa"/>
              <w:right w:w="108" w:type="dxa"/>
            </w:tcMar>
            <w:vAlign w:val="center"/>
          </w:tcPr>
          <w:p w14:paraId="1FBFAFD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7C8A2B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718273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4A655A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3C30E99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B7E44B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61EC17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4F02F9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D5FAE5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3AAF452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4E0871FB" w14:textId="77777777" w:rsidTr="00E91FAB">
        <w:trPr>
          <w:trHeight w:val="276"/>
        </w:trPr>
        <w:tc>
          <w:tcPr>
            <w:tcW w:w="457" w:type="dxa"/>
            <w:shd w:val="clear" w:color="auto" w:fill="auto"/>
            <w:tcMar>
              <w:top w:w="0" w:type="dxa"/>
              <w:left w:w="108" w:type="dxa"/>
              <w:bottom w:w="0" w:type="dxa"/>
              <w:right w:w="108" w:type="dxa"/>
            </w:tcMar>
          </w:tcPr>
          <w:p w14:paraId="49B5DD22"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w:t>
            </w:r>
          </w:p>
        </w:tc>
        <w:tc>
          <w:tcPr>
            <w:tcW w:w="719" w:type="dxa"/>
            <w:shd w:val="clear" w:color="auto" w:fill="auto"/>
            <w:tcMar>
              <w:top w:w="0" w:type="dxa"/>
              <w:left w:w="108" w:type="dxa"/>
              <w:bottom w:w="0" w:type="dxa"/>
              <w:right w:w="108" w:type="dxa"/>
            </w:tcMar>
          </w:tcPr>
          <w:p w14:paraId="60F13C63"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310 </w:t>
            </w:r>
          </w:p>
        </w:tc>
        <w:tc>
          <w:tcPr>
            <w:tcW w:w="680" w:type="dxa"/>
            <w:shd w:val="clear" w:color="auto" w:fill="auto"/>
            <w:tcMar>
              <w:top w:w="0" w:type="dxa"/>
              <w:left w:w="108" w:type="dxa"/>
              <w:bottom w:w="0" w:type="dxa"/>
              <w:right w:w="108" w:type="dxa"/>
            </w:tcMar>
          </w:tcPr>
          <w:p w14:paraId="21A69668"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2.31 </w:t>
            </w:r>
          </w:p>
        </w:tc>
        <w:tc>
          <w:tcPr>
            <w:tcW w:w="2113" w:type="dxa"/>
            <w:shd w:val="clear" w:color="auto" w:fill="auto"/>
            <w:tcMar>
              <w:top w:w="0" w:type="dxa"/>
              <w:left w:w="108" w:type="dxa"/>
              <w:bottom w:w="0" w:type="dxa"/>
              <w:right w:w="108" w:type="dxa"/>
            </w:tcMar>
          </w:tcPr>
          <w:p w14:paraId="0EE4D19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1-Propanol </w:t>
            </w:r>
          </w:p>
        </w:tc>
        <w:tc>
          <w:tcPr>
            <w:tcW w:w="565" w:type="dxa"/>
            <w:shd w:val="clear" w:color="auto" w:fill="BFBFBF" w:themeFill="background1" w:themeFillShade="BF"/>
            <w:tcMar>
              <w:top w:w="0" w:type="dxa"/>
              <w:left w:w="108" w:type="dxa"/>
              <w:bottom w:w="0" w:type="dxa"/>
              <w:right w:w="108" w:type="dxa"/>
            </w:tcMar>
            <w:vAlign w:val="center"/>
          </w:tcPr>
          <w:p w14:paraId="7B49AEC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4C3CE9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6D9EBF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3D826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FBF603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BDBC2F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8D2C65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910886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A4E584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0A9D426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654469C0" w14:textId="77777777" w:rsidTr="00E91FAB">
        <w:trPr>
          <w:trHeight w:val="276"/>
        </w:trPr>
        <w:tc>
          <w:tcPr>
            <w:tcW w:w="457" w:type="dxa"/>
            <w:shd w:val="clear" w:color="auto" w:fill="auto"/>
            <w:tcMar>
              <w:top w:w="0" w:type="dxa"/>
              <w:left w:w="108" w:type="dxa"/>
              <w:bottom w:w="0" w:type="dxa"/>
              <w:right w:w="108" w:type="dxa"/>
            </w:tcMar>
          </w:tcPr>
          <w:p w14:paraId="350995D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6</w:t>
            </w:r>
          </w:p>
        </w:tc>
        <w:tc>
          <w:tcPr>
            <w:tcW w:w="719" w:type="dxa"/>
            <w:shd w:val="clear" w:color="auto" w:fill="auto"/>
            <w:tcMar>
              <w:top w:w="0" w:type="dxa"/>
              <w:left w:w="108" w:type="dxa"/>
              <w:bottom w:w="0" w:type="dxa"/>
              <w:right w:w="108" w:type="dxa"/>
            </w:tcMar>
          </w:tcPr>
          <w:p w14:paraId="4BC6CD12"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310</w:t>
            </w:r>
          </w:p>
        </w:tc>
        <w:tc>
          <w:tcPr>
            <w:tcW w:w="680" w:type="dxa"/>
            <w:shd w:val="clear" w:color="auto" w:fill="auto"/>
            <w:tcMar>
              <w:top w:w="0" w:type="dxa"/>
              <w:left w:w="108" w:type="dxa"/>
              <w:bottom w:w="0" w:type="dxa"/>
              <w:right w:w="108" w:type="dxa"/>
            </w:tcMar>
          </w:tcPr>
          <w:p w14:paraId="24B6159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1.10</w:t>
            </w:r>
          </w:p>
        </w:tc>
        <w:tc>
          <w:tcPr>
            <w:tcW w:w="2113" w:type="dxa"/>
            <w:shd w:val="clear" w:color="auto" w:fill="auto"/>
            <w:tcMar>
              <w:top w:w="0" w:type="dxa"/>
              <w:left w:w="108" w:type="dxa"/>
              <w:bottom w:w="0" w:type="dxa"/>
              <w:right w:w="108" w:type="dxa"/>
            </w:tcMar>
          </w:tcPr>
          <w:p w14:paraId="78660FF9"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w:t>
            </w:r>
            <w:r>
              <w:rPr>
                <w:rFonts w:cs="Arial"/>
                <w:szCs w:val="18"/>
                <w:lang w:eastAsia="en-GB"/>
              </w:rPr>
              <w:t>B</w:t>
            </w:r>
            <w:r w:rsidRPr="00A50215">
              <w:rPr>
                <w:rFonts w:cs="Arial"/>
                <w:szCs w:val="18"/>
                <w:lang w:eastAsia="en-GB"/>
              </w:rPr>
              <w:t>uten</w:t>
            </w:r>
            <w:r>
              <w:rPr>
                <w:rFonts w:cs="Arial"/>
                <w:szCs w:val="18"/>
                <w:lang w:eastAsia="en-GB"/>
              </w:rPr>
              <w:t>e</w:t>
            </w:r>
          </w:p>
        </w:tc>
        <w:tc>
          <w:tcPr>
            <w:tcW w:w="565" w:type="dxa"/>
            <w:shd w:val="clear" w:color="auto" w:fill="BFBFBF" w:themeFill="background1" w:themeFillShade="BF"/>
            <w:tcMar>
              <w:top w:w="0" w:type="dxa"/>
              <w:left w:w="108" w:type="dxa"/>
              <w:bottom w:w="0" w:type="dxa"/>
              <w:right w:w="108" w:type="dxa"/>
            </w:tcMar>
            <w:vAlign w:val="center"/>
          </w:tcPr>
          <w:p w14:paraId="7E7FBB6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545CA5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171518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351E95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8723A2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2E9C5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42FFD0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00B16C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476190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11AAECA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2DB3E815" w14:textId="77777777" w:rsidTr="00E91FAB">
        <w:trPr>
          <w:trHeight w:val="276"/>
        </w:trPr>
        <w:tc>
          <w:tcPr>
            <w:tcW w:w="457" w:type="dxa"/>
            <w:shd w:val="clear" w:color="auto" w:fill="auto"/>
            <w:tcMar>
              <w:top w:w="0" w:type="dxa"/>
              <w:left w:w="108" w:type="dxa"/>
              <w:bottom w:w="0" w:type="dxa"/>
              <w:right w:w="108" w:type="dxa"/>
            </w:tcMar>
          </w:tcPr>
          <w:p w14:paraId="0C99CA5D"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7</w:t>
            </w:r>
          </w:p>
        </w:tc>
        <w:tc>
          <w:tcPr>
            <w:tcW w:w="719" w:type="dxa"/>
            <w:shd w:val="clear" w:color="auto" w:fill="auto"/>
            <w:tcMar>
              <w:top w:w="0" w:type="dxa"/>
              <w:left w:w="108" w:type="dxa"/>
              <w:bottom w:w="0" w:type="dxa"/>
              <w:right w:w="108" w:type="dxa"/>
            </w:tcMar>
          </w:tcPr>
          <w:p w14:paraId="02F4FC93"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338</w:t>
            </w:r>
          </w:p>
        </w:tc>
        <w:tc>
          <w:tcPr>
            <w:tcW w:w="680" w:type="dxa"/>
            <w:shd w:val="clear" w:color="auto" w:fill="auto"/>
            <w:tcMar>
              <w:top w:w="0" w:type="dxa"/>
              <w:left w:w="108" w:type="dxa"/>
              <w:bottom w:w="0" w:type="dxa"/>
              <w:right w:w="108" w:type="dxa"/>
            </w:tcMar>
          </w:tcPr>
          <w:p w14:paraId="0B8A3C04"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1.40</w:t>
            </w:r>
          </w:p>
        </w:tc>
        <w:tc>
          <w:tcPr>
            <w:tcW w:w="2113" w:type="dxa"/>
            <w:shd w:val="clear" w:color="auto" w:fill="auto"/>
            <w:tcMar>
              <w:top w:w="0" w:type="dxa"/>
              <w:left w:w="108" w:type="dxa"/>
              <w:bottom w:w="0" w:type="dxa"/>
              <w:right w:w="108" w:type="dxa"/>
            </w:tcMar>
          </w:tcPr>
          <w:p w14:paraId="512D2A2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Methyl ethyl sulfide</w:t>
            </w:r>
          </w:p>
        </w:tc>
        <w:tc>
          <w:tcPr>
            <w:tcW w:w="565" w:type="dxa"/>
            <w:shd w:val="clear" w:color="auto" w:fill="BFBFBF" w:themeFill="background1" w:themeFillShade="BF"/>
            <w:tcMar>
              <w:top w:w="0" w:type="dxa"/>
              <w:left w:w="108" w:type="dxa"/>
              <w:bottom w:w="0" w:type="dxa"/>
              <w:right w:w="108" w:type="dxa"/>
            </w:tcMar>
            <w:vAlign w:val="center"/>
          </w:tcPr>
          <w:p w14:paraId="4CB76D6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3EC14E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2E9D22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F2F266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EE07B1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4DFB52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535FDD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35855C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EDECAD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3418925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69937081" w14:textId="77777777" w:rsidTr="00E91FAB">
        <w:trPr>
          <w:trHeight w:val="276"/>
        </w:trPr>
        <w:tc>
          <w:tcPr>
            <w:tcW w:w="457" w:type="dxa"/>
            <w:shd w:val="clear" w:color="auto" w:fill="auto"/>
            <w:tcMar>
              <w:top w:w="0" w:type="dxa"/>
              <w:left w:w="108" w:type="dxa"/>
              <w:bottom w:w="0" w:type="dxa"/>
              <w:right w:w="108" w:type="dxa"/>
            </w:tcMar>
          </w:tcPr>
          <w:p w14:paraId="69DB2F7D"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8</w:t>
            </w:r>
          </w:p>
        </w:tc>
        <w:tc>
          <w:tcPr>
            <w:tcW w:w="719" w:type="dxa"/>
            <w:shd w:val="clear" w:color="auto" w:fill="auto"/>
            <w:tcMar>
              <w:top w:w="0" w:type="dxa"/>
              <w:left w:w="108" w:type="dxa"/>
              <w:bottom w:w="0" w:type="dxa"/>
              <w:right w:w="108" w:type="dxa"/>
            </w:tcMar>
            <w:vAlign w:val="center"/>
          </w:tcPr>
          <w:p w14:paraId="18B9C1A7"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394</w:t>
            </w:r>
          </w:p>
        </w:tc>
        <w:tc>
          <w:tcPr>
            <w:tcW w:w="680" w:type="dxa"/>
            <w:shd w:val="clear" w:color="auto" w:fill="auto"/>
            <w:tcMar>
              <w:top w:w="0" w:type="dxa"/>
              <w:left w:w="108" w:type="dxa"/>
              <w:bottom w:w="0" w:type="dxa"/>
              <w:right w:w="108" w:type="dxa"/>
            </w:tcMar>
            <w:vAlign w:val="center"/>
          </w:tcPr>
          <w:p w14:paraId="2946E515"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1,89</w:t>
            </w:r>
          </w:p>
        </w:tc>
        <w:tc>
          <w:tcPr>
            <w:tcW w:w="2113" w:type="dxa"/>
            <w:shd w:val="clear" w:color="auto" w:fill="auto"/>
            <w:tcMar>
              <w:top w:w="0" w:type="dxa"/>
              <w:left w:w="108" w:type="dxa"/>
              <w:bottom w:w="0" w:type="dxa"/>
              <w:right w:w="108" w:type="dxa"/>
            </w:tcMar>
            <w:vAlign w:val="center"/>
          </w:tcPr>
          <w:p w14:paraId="1FCF2010"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Pentanal</w:t>
            </w:r>
          </w:p>
        </w:tc>
        <w:tc>
          <w:tcPr>
            <w:tcW w:w="565" w:type="dxa"/>
            <w:shd w:val="clear" w:color="auto" w:fill="BFBFBF" w:themeFill="background1" w:themeFillShade="BF"/>
            <w:tcMar>
              <w:top w:w="0" w:type="dxa"/>
              <w:left w:w="108" w:type="dxa"/>
              <w:bottom w:w="0" w:type="dxa"/>
              <w:right w:w="108" w:type="dxa"/>
            </w:tcMar>
            <w:vAlign w:val="center"/>
          </w:tcPr>
          <w:p w14:paraId="680DB99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1959D0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3B6518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462EAE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71DB977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04E4C0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6C7915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20A16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BDCFFF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1854001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0D21069E" w14:textId="77777777" w:rsidTr="00E91FAB">
        <w:trPr>
          <w:trHeight w:val="276"/>
        </w:trPr>
        <w:tc>
          <w:tcPr>
            <w:tcW w:w="457" w:type="dxa"/>
            <w:shd w:val="clear" w:color="auto" w:fill="auto"/>
            <w:tcMar>
              <w:top w:w="0" w:type="dxa"/>
              <w:left w:w="108" w:type="dxa"/>
              <w:bottom w:w="0" w:type="dxa"/>
              <w:right w:w="108" w:type="dxa"/>
            </w:tcMar>
          </w:tcPr>
          <w:p w14:paraId="584FE70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9</w:t>
            </w:r>
          </w:p>
        </w:tc>
        <w:tc>
          <w:tcPr>
            <w:tcW w:w="719" w:type="dxa"/>
            <w:shd w:val="clear" w:color="auto" w:fill="auto"/>
            <w:tcMar>
              <w:top w:w="0" w:type="dxa"/>
              <w:left w:w="108" w:type="dxa"/>
              <w:bottom w:w="0" w:type="dxa"/>
              <w:right w:w="108" w:type="dxa"/>
            </w:tcMar>
            <w:vAlign w:val="center"/>
          </w:tcPr>
          <w:p w14:paraId="0C5E82B6"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398</w:t>
            </w:r>
          </w:p>
        </w:tc>
        <w:tc>
          <w:tcPr>
            <w:tcW w:w="680" w:type="dxa"/>
            <w:shd w:val="clear" w:color="auto" w:fill="auto"/>
            <w:tcMar>
              <w:top w:w="0" w:type="dxa"/>
              <w:left w:w="108" w:type="dxa"/>
              <w:bottom w:w="0" w:type="dxa"/>
              <w:right w:w="108" w:type="dxa"/>
            </w:tcMar>
            <w:vAlign w:val="center"/>
          </w:tcPr>
          <w:p w14:paraId="20C93611"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1,23</w:t>
            </w:r>
          </w:p>
        </w:tc>
        <w:tc>
          <w:tcPr>
            <w:tcW w:w="2113" w:type="dxa"/>
            <w:shd w:val="clear" w:color="auto" w:fill="auto"/>
            <w:tcMar>
              <w:top w:w="0" w:type="dxa"/>
              <w:left w:w="108" w:type="dxa"/>
              <w:bottom w:w="0" w:type="dxa"/>
              <w:right w:w="108" w:type="dxa"/>
            </w:tcMar>
            <w:vAlign w:val="center"/>
          </w:tcPr>
          <w:p w14:paraId="622BFB9F"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 xml:space="preserve">1-heptene </w:t>
            </w:r>
          </w:p>
        </w:tc>
        <w:tc>
          <w:tcPr>
            <w:tcW w:w="565" w:type="dxa"/>
            <w:shd w:val="clear" w:color="auto" w:fill="BFBFBF" w:themeFill="background1" w:themeFillShade="BF"/>
            <w:tcMar>
              <w:top w:w="0" w:type="dxa"/>
              <w:left w:w="108" w:type="dxa"/>
              <w:bottom w:w="0" w:type="dxa"/>
              <w:right w:w="108" w:type="dxa"/>
            </w:tcMar>
            <w:vAlign w:val="center"/>
          </w:tcPr>
          <w:p w14:paraId="4C60ED9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D88544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21558F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802F8A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509573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2629B7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BF3D61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468F58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99F958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6A384E4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3975635E" w14:textId="77777777" w:rsidTr="00E91FAB">
        <w:trPr>
          <w:trHeight w:val="276"/>
        </w:trPr>
        <w:tc>
          <w:tcPr>
            <w:tcW w:w="457" w:type="dxa"/>
            <w:shd w:val="clear" w:color="auto" w:fill="auto"/>
            <w:tcMar>
              <w:top w:w="0" w:type="dxa"/>
              <w:left w:w="108" w:type="dxa"/>
              <w:bottom w:w="0" w:type="dxa"/>
              <w:right w:w="108" w:type="dxa"/>
            </w:tcMar>
          </w:tcPr>
          <w:p w14:paraId="47078DAD"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10</w:t>
            </w:r>
          </w:p>
        </w:tc>
        <w:tc>
          <w:tcPr>
            <w:tcW w:w="719" w:type="dxa"/>
            <w:shd w:val="clear" w:color="auto" w:fill="auto"/>
            <w:tcMar>
              <w:top w:w="0" w:type="dxa"/>
              <w:left w:w="108" w:type="dxa"/>
              <w:bottom w:w="0" w:type="dxa"/>
              <w:right w:w="108" w:type="dxa"/>
            </w:tcMar>
            <w:vAlign w:val="center"/>
          </w:tcPr>
          <w:p w14:paraId="07D2FB1F"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410</w:t>
            </w:r>
          </w:p>
        </w:tc>
        <w:tc>
          <w:tcPr>
            <w:tcW w:w="680" w:type="dxa"/>
            <w:shd w:val="clear" w:color="auto" w:fill="auto"/>
            <w:tcMar>
              <w:top w:w="0" w:type="dxa"/>
              <w:left w:w="108" w:type="dxa"/>
              <w:bottom w:w="0" w:type="dxa"/>
              <w:right w:w="108" w:type="dxa"/>
            </w:tcMar>
            <w:vAlign w:val="center"/>
          </w:tcPr>
          <w:p w14:paraId="43F87C80"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1,19</w:t>
            </w:r>
          </w:p>
        </w:tc>
        <w:tc>
          <w:tcPr>
            <w:tcW w:w="2113" w:type="dxa"/>
            <w:shd w:val="clear" w:color="auto" w:fill="auto"/>
            <w:tcMar>
              <w:top w:w="0" w:type="dxa"/>
              <w:left w:w="108" w:type="dxa"/>
              <w:bottom w:w="0" w:type="dxa"/>
              <w:right w:w="108" w:type="dxa"/>
            </w:tcMar>
            <w:vAlign w:val="center"/>
          </w:tcPr>
          <w:p w14:paraId="2ECD02BB"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Heptane</w:t>
            </w:r>
          </w:p>
        </w:tc>
        <w:tc>
          <w:tcPr>
            <w:tcW w:w="565" w:type="dxa"/>
            <w:shd w:val="clear" w:color="auto" w:fill="BFBFBF" w:themeFill="background1" w:themeFillShade="BF"/>
            <w:tcMar>
              <w:top w:w="0" w:type="dxa"/>
              <w:left w:w="108" w:type="dxa"/>
              <w:bottom w:w="0" w:type="dxa"/>
              <w:right w:w="108" w:type="dxa"/>
            </w:tcMar>
            <w:vAlign w:val="center"/>
          </w:tcPr>
          <w:p w14:paraId="09EE9DA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2238BE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8B9F9A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AB370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06A428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787507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D25F49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42604A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18D376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0194831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7BABBCD0" w14:textId="77777777" w:rsidTr="00E91FAB">
        <w:trPr>
          <w:trHeight w:val="276"/>
        </w:trPr>
        <w:tc>
          <w:tcPr>
            <w:tcW w:w="457" w:type="dxa"/>
            <w:shd w:val="clear" w:color="auto" w:fill="auto"/>
            <w:tcMar>
              <w:top w:w="0" w:type="dxa"/>
              <w:left w:w="108" w:type="dxa"/>
              <w:bottom w:w="0" w:type="dxa"/>
              <w:right w:w="108" w:type="dxa"/>
            </w:tcMar>
          </w:tcPr>
          <w:p w14:paraId="6771E377"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11</w:t>
            </w:r>
          </w:p>
        </w:tc>
        <w:tc>
          <w:tcPr>
            <w:tcW w:w="719" w:type="dxa"/>
            <w:shd w:val="clear" w:color="auto" w:fill="auto"/>
            <w:tcMar>
              <w:top w:w="0" w:type="dxa"/>
              <w:left w:w="108" w:type="dxa"/>
              <w:bottom w:w="0" w:type="dxa"/>
              <w:right w:w="108" w:type="dxa"/>
            </w:tcMar>
          </w:tcPr>
          <w:p w14:paraId="17303B2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442 </w:t>
            </w:r>
          </w:p>
        </w:tc>
        <w:tc>
          <w:tcPr>
            <w:tcW w:w="680" w:type="dxa"/>
            <w:shd w:val="clear" w:color="auto" w:fill="auto"/>
            <w:tcMar>
              <w:top w:w="0" w:type="dxa"/>
              <w:left w:w="108" w:type="dxa"/>
              <w:bottom w:w="0" w:type="dxa"/>
              <w:right w:w="108" w:type="dxa"/>
            </w:tcMar>
          </w:tcPr>
          <w:p w14:paraId="30590DDF"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2.26 </w:t>
            </w:r>
          </w:p>
        </w:tc>
        <w:tc>
          <w:tcPr>
            <w:tcW w:w="2113" w:type="dxa"/>
            <w:shd w:val="clear" w:color="auto" w:fill="auto"/>
            <w:tcMar>
              <w:top w:w="0" w:type="dxa"/>
              <w:left w:w="108" w:type="dxa"/>
              <w:bottom w:w="0" w:type="dxa"/>
              <w:right w:w="108" w:type="dxa"/>
            </w:tcMar>
          </w:tcPr>
          <w:p w14:paraId="6375F648"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Dimethyl disulfide </w:t>
            </w:r>
          </w:p>
        </w:tc>
        <w:tc>
          <w:tcPr>
            <w:tcW w:w="565" w:type="dxa"/>
            <w:shd w:val="clear" w:color="auto" w:fill="BFBFBF" w:themeFill="background1" w:themeFillShade="BF"/>
            <w:tcMar>
              <w:top w:w="0" w:type="dxa"/>
              <w:left w:w="108" w:type="dxa"/>
              <w:bottom w:w="0" w:type="dxa"/>
              <w:right w:w="108" w:type="dxa"/>
            </w:tcMar>
            <w:vAlign w:val="center"/>
          </w:tcPr>
          <w:p w14:paraId="3F7612E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FC1081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B5FDC6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7964B6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6BD7AA4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BAC22E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5C50D0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392B0F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D9B0C1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402C39A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586CF5F1" w14:textId="77777777" w:rsidTr="00E91FAB">
        <w:trPr>
          <w:trHeight w:val="276"/>
        </w:trPr>
        <w:tc>
          <w:tcPr>
            <w:tcW w:w="457" w:type="dxa"/>
            <w:shd w:val="clear" w:color="auto" w:fill="auto"/>
            <w:tcMar>
              <w:top w:w="0" w:type="dxa"/>
              <w:left w:w="108" w:type="dxa"/>
              <w:bottom w:w="0" w:type="dxa"/>
              <w:right w:w="108" w:type="dxa"/>
            </w:tcMar>
          </w:tcPr>
          <w:p w14:paraId="067763E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12</w:t>
            </w:r>
          </w:p>
        </w:tc>
        <w:tc>
          <w:tcPr>
            <w:tcW w:w="719" w:type="dxa"/>
            <w:shd w:val="clear" w:color="auto" w:fill="auto"/>
            <w:tcMar>
              <w:top w:w="0" w:type="dxa"/>
              <w:left w:w="108" w:type="dxa"/>
              <w:bottom w:w="0" w:type="dxa"/>
              <w:right w:w="108" w:type="dxa"/>
            </w:tcMar>
            <w:vAlign w:val="center"/>
          </w:tcPr>
          <w:p w14:paraId="2D40AE4C"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478</w:t>
            </w:r>
          </w:p>
        </w:tc>
        <w:tc>
          <w:tcPr>
            <w:tcW w:w="680" w:type="dxa"/>
            <w:shd w:val="clear" w:color="auto" w:fill="auto"/>
            <w:tcMar>
              <w:top w:w="0" w:type="dxa"/>
              <w:left w:w="108" w:type="dxa"/>
              <w:bottom w:w="0" w:type="dxa"/>
              <w:right w:w="108" w:type="dxa"/>
            </w:tcMar>
            <w:vAlign w:val="center"/>
          </w:tcPr>
          <w:p w14:paraId="256B6C7B"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2,26</w:t>
            </w:r>
          </w:p>
        </w:tc>
        <w:tc>
          <w:tcPr>
            <w:tcW w:w="2113" w:type="dxa"/>
            <w:shd w:val="clear" w:color="auto" w:fill="auto"/>
            <w:tcMar>
              <w:top w:w="0" w:type="dxa"/>
              <w:left w:w="108" w:type="dxa"/>
              <w:bottom w:w="0" w:type="dxa"/>
              <w:right w:w="108" w:type="dxa"/>
            </w:tcMar>
            <w:vAlign w:val="center"/>
          </w:tcPr>
          <w:p w14:paraId="252D807A"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2-methylthiophene</w:t>
            </w:r>
          </w:p>
        </w:tc>
        <w:tc>
          <w:tcPr>
            <w:tcW w:w="565" w:type="dxa"/>
            <w:shd w:val="clear" w:color="auto" w:fill="BFBFBF" w:themeFill="background1" w:themeFillShade="BF"/>
            <w:tcMar>
              <w:top w:w="0" w:type="dxa"/>
              <w:left w:w="108" w:type="dxa"/>
              <w:bottom w:w="0" w:type="dxa"/>
              <w:right w:w="108" w:type="dxa"/>
            </w:tcMar>
            <w:vAlign w:val="center"/>
          </w:tcPr>
          <w:p w14:paraId="5DA6A15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C8831F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FF2974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8A1FC2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953F03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43230D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489567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3C603E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E902FA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3C81BE4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1FF92802" w14:textId="77777777" w:rsidTr="00E91FAB">
        <w:trPr>
          <w:trHeight w:val="276"/>
        </w:trPr>
        <w:tc>
          <w:tcPr>
            <w:tcW w:w="457" w:type="dxa"/>
            <w:shd w:val="clear" w:color="auto" w:fill="auto"/>
            <w:tcMar>
              <w:top w:w="0" w:type="dxa"/>
              <w:left w:w="108" w:type="dxa"/>
              <w:bottom w:w="0" w:type="dxa"/>
              <w:right w:w="108" w:type="dxa"/>
            </w:tcMar>
          </w:tcPr>
          <w:p w14:paraId="67240414"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13</w:t>
            </w:r>
          </w:p>
        </w:tc>
        <w:tc>
          <w:tcPr>
            <w:tcW w:w="719" w:type="dxa"/>
            <w:shd w:val="clear" w:color="auto" w:fill="auto"/>
            <w:tcMar>
              <w:top w:w="0" w:type="dxa"/>
              <w:left w:w="108" w:type="dxa"/>
              <w:bottom w:w="0" w:type="dxa"/>
              <w:right w:w="108" w:type="dxa"/>
            </w:tcMar>
          </w:tcPr>
          <w:p w14:paraId="6BBD51D3"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478 </w:t>
            </w:r>
          </w:p>
        </w:tc>
        <w:tc>
          <w:tcPr>
            <w:tcW w:w="680" w:type="dxa"/>
            <w:shd w:val="clear" w:color="auto" w:fill="auto"/>
            <w:tcMar>
              <w:top w:w="0" w:type="dxa"/>
              <w:left w:w="108" w:type="dxa"/>
              <w:bottom w:w="0" w:type="dxa"/>
              <w:right w:w="108" w:type="dxa"/>
            </w:tcMar>
          </w:tcPr>
          <w:p w14:paraId="58F8EE5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1.89 </w:t>
            </w:r>
          </w:p>
        </w:tc>
        <w:tc>
          <w:tcPr>
            <w:tcW w:w="2113" w:type="dxa"/>
            <w:shd w:val="clear" w:color="auto" w:fill="auto"/>
            <w:tcMar>
              <w:top w:w="0" w:type="dxa"/>
              <w:left w:w="108" w:type="dxa"/>
              <w:bottom w:w="0" w:type="dxa"/>
              <w:right w:w="108" w:type="dxa"/>
            </w:tcMar>
          </w:tcPr>
          <w:p w14:paraId="60DC1542"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Toluene </w:t>
            </w:r>
          </w:p>
        </w:tc>
        <w:tc>
          <w:tcPr>
            <w:tcW w:w="565" w:type="dxa"/>
            <w:shd w:val="clear" w:color="auto" w:fill="BFBFBF" w:themeFill="background1" w:themeFillShade="BF"/>
            <w:tcMar>
              <w:top w:w="0" w:type="dxa"/>
              <w:left w:w="108" w:type="dxa"/>
              <w:bottom w:w="0" w:type="dxa"/>
              <w:right w:w="108" w:type="dxa"/>
            </w:tcMar>
            <w:vAlign w:val="center"/>
          </w:tcPr>
          <w:p w14:paraId="762871C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8A188E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80CF26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3BB80D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B4B109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9C7A80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B85D91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8E69C1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1FE78D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3A6DC3B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3720DAB3" w14:textId="77777777" w:rsidTr="00E91FAB">
        <w:trPr>
          <w:trHeight w:val="276"/>
        </w:trPr>
        <w:tc>
          <w:tcPr>
            <w:tcW w:w="457" w:type="dxa"/>
            <w:shd w:val="clear" w:color="auto" w:fill="auto"/>
            <w:tcMar>
              <w:top w:w="0" w:type="dxa"/>
              <w:left w:w="108" w:type="dxa"/>
              <w:bottom w:w="0" w:type="dxa"/>
              <w:right w:w="108" w:type="dxa"/>
            </w:tcMar>
          </w:tcPr>
          <w:p w14:paraId="34808BE0"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14</w:t>
            </w:r>
          </w:p>
        </w:tc>
        <w:tc>
          <w:tcPr>
            <w:tcW w:w="719" w:type="dxa"/>
            <w:shd w:val="clear" w:color="auto" w:fill="auto"/>
            <w:tcMar>
              <w:top w:w="0" w:type="dxa"/>
              <w:left w:w="108" w:type="dxa"/>
              <w:bottom w:w="0" w:type="dxa"/>
              <w:right w:w="108" w:type="dxa"/>
            </w:tcMar>
            <w:vAlign w:val="center"/>
          </w:tcPr>
          <w:p w14:paraId="4282DE3A"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486</w:t>
            </w:r>
          </w:p>
        </w:tc>
        <w:tc>
          <w:tcPr>
            <w:tcW w:w="680" w:type="dxa"/>
            <w:shd w:val="clear" w:color="auto" w:fill="auto"/>
            <w:tcMar>
              <w:top w:w="0" w:type="dxa"/>
              <w:left w:w="108" w:type="dxa"/>
              <w:bottom w:w="0" w:type="dxa"/>
              <w:right w:w="108" w:type="dxa"/>
            </w:tcMar>
            <w:vAlign w:val="center"/>
          </w:tcPr>
          <w:p w14:paraId="31942658"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1,22</w:t>
            </w:r>
          </w:p>
        </w:tc>
        <w:tc>
          <w:tcPr>
            <w:tcW w:w="2113" w:type="dxa"/>
            <w:shd w:val="clear" w:color="auto" w:fill="auto"/>
            <w:tcMar>
              <w:top w:w="0" w:type="dxa"/>
              <w:left w:w="108" w:type="dxa"/>
              <w:bottom w:w="0" w:type="dxa"/>
              <w:right w:w="108" w:type="dxa"/>
            </w:tcMar>
            <w:vAlign w:val="center"/>
          </w:tcPr>
          <w:p w14:paraId="1B8FDE8E"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2-methylheptane</w:t>
            </w:r>
          </w:p>
        </w:tc>
        <w:tc>
          <w:tcPr>
            <w:tcW w:w="565" w:type="dxa"/>
            <w:shd w:val="clear" w:color="auto" w:fill="BFBFBF" w:themeFill="background1" w:themeFillShade="BF"/>
            <w:tcMar>
              <w:top w:w="0" w:type="dxa"/>
              <w:left w:w="108" w:type="dxa"/>
              <w:bottom w:w="0" w:type="dxa"/>
              <w:right w:w="108" w:type="dxa"/>
            </w:tcMar>
            <w:vAlign w:val="center"/>
          </w:tcPr>
          <w:p w14:paraId="7959A63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F4B0B8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D075CF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E865ED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3F1930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5A3735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A8C1EE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C8B59E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90459F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26FC464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05DB3CD6" w14:textId="77777777" w:rsidTr="00E91FAB">
        <w:trPr>
          <w:trHeight w:val="276"/>
        </w:trPr>
        <w:tc>
          <w:tcPr>
            <w:tcW w:w="457" w:type="dxa"/>
            <w:shd w:val="clear" w:color="auto" w:fill="auto"/>
            <w:tcMar>
              <w:top w:w="0" w:type="dxa"/>
              <w:left w:w="108" w:type="dxa"/>
              <w:bottom w:w="0" w:type="dxa"/>
              <w:right w:w="108" w:type="dxa"/>
            </w:tcMar>
          </w:tcPr>
          <w:p w14:paraId="0272D4C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15</w:t>
            </w:r>
          </w:p>
        </w:tc>
        <w:tc>
          <w:tcPr>
            <w:tcW w:w="719" w:type="dxa"/>
            <w:shd w:val="clear" w:color="auto" w:fill="auto"/>
            <w:tcMar>
              <w:top w:w="0" w:type="dxa"/>
              <w:left w:w="108" w:type="dxa"/>
              <w:bottom w:w="0" w:type="dxa"/>
              <w:right w:w="108" w:type="dxa"/>
            </w:tcMar>
            <w:vAlign w:val="center"/>
          </w:tcPr>
          <w:p w14:paraId="0A58ADC8"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494</w:t>
            </w:r>
          </w:p>
        </w:tc>
        <w:tc>
          <w:tcPr>
            <w:tcW w:w="680" w:type="dxa"/>
            <w:shd w:val="clear" w:color="auto" w:fill="auto"/>
            <w:tcMar>
              <w:top w:w="0" w:type="dxa"/>
              <w:left w:w="108" w:type="dxa"/>
              <w:bottom w:w="0" w:type="dxa"/>
              <w:right w:w="108" w:type="dxa"/>
            </w:tcMar>
            <w:vAlign w:val="center"/>
          </w:tcPr>
          <w:p w14:paraId="070F97F2"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3,00</w:t>
            </w:r>
          </w:p>
        </w:tc>
        <w:tc>
          <w:tcPr>
            <w:tcW w:w="2113" w:type="dxa"/>
            <w:shd w:val="clear" w:color="auto" w:fill="auto"/>
            <w:tcMar>
              <w:top w:w="0" w:type="dxa"/>
              <w:left w:w="108" w:type="dxa"/>
              <w:bottom w:w="0" w:type="dxa"/>
              <w:right w:w="108" w:type="dxa"/>
            </w:tcMar>
          </w:tcPr>
          <w:p w14:paraId="7C44D18E"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Pyridine</w:t>
            </w:r>
          </w:p>
        </w:tc>
        <w:tc>
          <w:tcPr>
            <w:tcW w:w="565" w:type="dxa"/>
            <w:shd w:val="clear" w:color="auto" w:fill="BFBFBF" w:themeFill="background1" w:themeFillShade="BF"/>
            <w:tcMar>
              <w:top w:w="0" w:type="dxa"/>
              <w:left w:w="108" w:type="dxa"/>
              <w:bottom w:w="0" w:type="dxa"/>
              <w:right w:w="108" w:type="dxa"/>
            </w:tcMar>
            <w:vAlign w:val="center"/>
          </w:tcPr>
          <w:p w14:paraId="77281D7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8FE375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B9ED75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7B89F7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0CA772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24A656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B21879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05AD3B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779F99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2D67E57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1A1239E6" w14:textId="77777777" w:rsidTr="00E91FAB">
        <w:trPr>
          <w:trHeight w:val="276"/>
        </w:trPr>
        <w:tc>
          <w:tcPr>
            <w:tcW w:w="457" w:type="dxa"/>
            <w:shd w:val="clear" w:color="auto" w:fill="auto"/>
            <w:tcMar>
              <w:top w:w="0" w:type="dxa"/>
              <w:left w:w="108" w:type="dxa"/>
              <w:bottom w:w="0" w:type="dxa"/>
              <w:right w:w="108" w:type="dxa"/>
            </w:tcMar>
          </w:tcPr>
          <w:p w14:paraId="46B9841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16</w:t>
            </w:r>
          </w:p>
        </w:tc>
        <w:tc>
          <w:tcPr>
            <w:tcW w:w="719" w:type="dxa"/>
            <w:shd w:val="clear" w:color="auto" w:fill="auto"/>
            <w:tcMar>
              <w:top w:w="0" w:type="dxa"/>
              <w:left w:w="108" w:type="dxa"/>
              <w:bottom w:w="0" w:type="dxa"/>
              <w:right w:w="108" w:type="dxa"/>
            </w:tcMar>
            <w:vAlign w:val="center"/>
          </w:tcPr>
          <w:p w14:paraId="560DD9A6"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498</w:t>
            </w:r>
          </w:p>
        </w:tc>
        <w:tc>
          <w:tcPr>
            <w:tcW w:w="680" w:type="dxa"/>
            <w:shd w:val="clear" w:color="auto" w:fill="auto"/>
            <w:tcMar>
              <w:top w:w="0" w:type="dxa"/>
              <w:left w:w="108" w:type="dxa"/>
              <w:bottom w:w="0" w:type="dxa"/>
              <w:right w:w="108" w:type="dxa"/>
            </w:tcMar>
            <w:vAlign w:val="center"/>
          </w:tcPr>
          <w:p w14:paraId="6C6386F9"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1,22</w:t>
            </w:r>
          </w:p>
        </w:tc>
        <w:tc>
          <w:tcPr>
            <w:tcW w:w="2113" w:type="dxa"/>
            <w:shd w:val="clear" w:color="auto" w:fill="auto"/>
            <w:tcMar>
              <w:top w:w="0" w:type="dxa"/>
              <w:left w:w="108" w:type="dxa"/>
              <w:bottom w:w="0" w:type="dxa"/>
              <w:right w:w="108" w:type="dxa"/>
            </w:tcMar>
            <w:vAlign w:val="center"/>
          </w:tcPr>
          <w:p w14:paraId="413DFE36"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3-methylheptane</w:t>
            </w:r>
          </w:p>
        </w:tc>
        <w:tc>
          <w:tcPr>
            <w:tcW w:w="565" w:type="dxa"/>
            <w:shd w:val="clear" w:color="auto" w:fill="BFBFBF" w:themeFill="background1" w:themeFillShade="BF"/>
            <w:tcMar>
              <w:top w:w="0" w:type="dxa"/>
              <w:left w:w="108" w:type="dxa"/>
              <w:bottom w:w="0" w:type="dxa"/>
              <w:right w:w="108" w:type="dxa"/>
            </w:tcMar>
            <w:vAlign w:val="center"/>
          </w:tcPr>
          <w:p w14:paraId="024E2BE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BF7A91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71EC59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28E90A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25035A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A2813F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E93276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E5B5C4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1F0031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5FB4118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031E94D9" w14:textId="77777777" w:rsidTr="00E91FAB">
        <w:trPr>
          <w:trHeight w:val="276"/>
        </w:trPr>
        <w:tc>
          <w:tcPr>
            <w:tcW w:w="457" w:type="dxa"/>
            <w:shd w:val="clear" w:color="auto" w:fill="auto"/>
            <w:tcMar>
              <w:top w:w="0" w:type="dxa"/>
              <w:left w:w="108" w:type="dxa"/>
              <w:bottom w:w="0" w:type="dxa"/>
              <w:right w:w="108" w:type="dxa"/>
            </w:tcMar>
          </w:tcPr>
          <w:p w14:paraId="4843E0B4"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17</w:t>
            </w:r>
          </w:p>
        </w:tc>
        <w:tc>
          <w:tcPr>
            <w:tcW w:w="719" w:type="dxa"/>
            <w:shd w:val="clear" w:color="auto" w:fill="auto"/>
            <w:tcMar>
              <w:top w:w="0" w:type="dxa"/>
              <w:left w:w="108" w:type="dxa"/>
              <w:bottom w:w="0" w:type="dxa"/>
              <w:right w:w="108" w:type="dxa"/>
            </w:tcMar>
            <w:vAlign w:val="center"/>
          </w:tcPr>
          <w:p w14:paraId="6F104369"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510</w:t>
            </w:r>
          </w:p>
        </w:tc>
        <w:tc>
          <w:tcPr>
            <w:tcW w:w="680" w:type="dxa"/>
            <w:shd w:val="clear" w:color="auto" w:fill="auto"/>
            <w:tcMar>
              <w:top w:w="0" w:type="dxa"/>
              <w:left w:w="108" w:type="dxa"/>
              <w:bottom w:w="0" w:type="dxa"/>
              <w:right w:w="108" w:type="dxa"/>
            </w:tcMar>
            <w:vAlign w:val="center"/>
          </w:tcPr>
          <w:p w14:paraId="5DF7142B"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2,08</w:t>
            </w:r>
          </w:p>
        </w:tc>
        <w:tc>
          <w:tcPr>
            <w:tcW w:w="2113" w:type="dxa"/>
            <w:shd w:val="clear" w:color="auto" w:fill="auto"/>
            <w:tcMar>
              <w:top w:w="0" w:type="dxa"/>
              <w:left w:w="108" w:type="dxa"/>
              <w:bottom w:w="0" w:type="dxa"/>
              <w:right w:w="108" w:type="dxa"/>
            </w:tcMar>
          </w:tcPr>
          <w:p w14:paraId="6ACDADB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Hexanal</w:t>
            </w:r>
          </w:p>
        </w:tc>
        <w:tc>
          <w:tcPr>
            <w:tcW w:w="565" w:type="dxa"/>
            <w:shd w:val="clear" w:color="auto" w:fill="BFBFBF" w:themeFill="background1" w:themeFillShade="BF"/>
            <w:tcMar>
              <w:top w:w="0" w:type="dxa"/>
              <w:left w:w="108" w:type="dxa"/>
              <w:bottom w:w="0" w:type="dxa"/>
              <w:right w:w="108" w:type="dxa"/>
            </w:tcMar>
            <w:vAlign w:val="center"/>
          </w:tcPr>
          <w:p w14:paraId="6F8EBF4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24D6A8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EFB8AA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3027CC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61790DE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C16E7D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5C971F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C2697A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F94C9F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2A1502F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07A13DDE" w14:textId="77777777" w:rsidTr="00E91FAB">
        <w:trPr>
          <w:trHeight w:val="276"/>
        </w:trPr>
        <w:tc>
          <w:tcPr>
            <w:tcW w:w="457" w:type="dxa"/>
            <w:shd w:val="clear" w:color="auto" w:fill="auto"/>
            <w:tcMar>
              <w:top w:w="0" w:type="dxa"/>
              <w:left w:w="108" w:type="dxa"/>
              <w:bottom w:w="0" w:type="dxa"/>
              <w:right w:w="108" w:type="dxa"/>
            </w:tcMar>
          </w:tcPr>
          <w:p w14:paraId="4740EC46"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18</w:t>
            </w:r>
          </w:p>
        </w:tc>
        <w:tc>
          <w:tcPr>
            <w:tcW w:w="719" w:type="dxa"/>
            <w:shd w:val="clear" w:color="auto" w:fill="auto"/>
            <w:tcMar>
              <w:top w:w="0" w:type="dxa"/>
              <w:left w:w="108" w:type="dxa"/>
              <w:bottom w:w="0" w:type="dxa"/>
              <w:right w:w="108" w:type="dxa"/>
            </w:tcMar>
            <w:vAlign w:val="center"/>
          </w:tcPr>
          <w:p w14:paraId="20B5100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626</w:t>
            </w:r>
          </w:p>
        </w:tc>
        <w:tc>
          <w:tcPr>
            <w:tcW w:w="680" w:type="dxa"/>
            <w:shd w:val="clear" w:color="auto" w:fill="auto"/>
            <w:tcMar>
              <w:top w:w="0" w:type="dxa"/>
              <w:left w:w="108" w:type="dxa"/>
              <w:bottom w:w="0" w:type="dxa"/>
              <w:right w:w="108" w:type="dxa"/>
            </w:tcMar>
            <w:vAlign w:val="center"/>
          </w:tcPr>
          <w:p w14:paraId="5D358C4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2,12</w:t>
            </w:r>
          </w:p>
        </w:tc>
        <w:tc>
          <w:tcPr>
            <w:tcW w:w="2113" w:type="dxa"/>
            <w:shd w:val="clear" w:color="auto" w:fill="auto"/>
            <w:tcMar>
              <w:top w:w="0" w:type="dxa"/>
              <w:left w:w="108" w:type="dxa"/>
              <w:bottom w:w="0" w:type="dxa"/>
              <w:right w:w="108" w:type="dxa"/>
            </w:tcMar>
            <w:vAlign w:val="center"/>
          </w:tcPr>
          <w:p w14:paraId="6A544E0C"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m-xylene</w:t>
            </w:r>
          </w:p>
        </w:tc>
        <w:tc>
          <w:tcPr>
            <w:tcW w:w="565" w:type="dxa"/>
            <w:shd w:val="clear" w:color="auto" w:fill="BFBFBF" w:themeFill="background1" w:themeFillShade="BF"/>
            <w:tcMar>
              <w:top w:w="0" w:type="dxa"/>
              <w:left w:w="108" w:type="dxa"/>
              <w:bottom w:w="0" w:type="dxa"/>
              <w:right w:w="108" w:type="dxa"/>
            </w:tcMar>
            <w:vAlign w:val="center"/>
          </w:tcPr>
          <w:p w14:paraId="3F4307A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989CE6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6C0813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228EF9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177D70C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25CE0E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02CF0D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720F3D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636BF9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1D6004B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5D9298BA" w14:textId="77777777" w:rsidTr="00E91FAB">
        <w:trPr>
          <w:trHeight w:val="276"/>
        </w:trPr>
        <w:tc>
          <w:tcPr>
            <w:tcW w:w="457" w:type="dxa"/>
            <w:shd w:val="clear" w:color="auto" w:fill="auto"/>
            <w:tcMar>
              <w:top w:w="0" w:type="dxa"/>
              <w:left w:w="108" w:type="dxa"/>
              <w:bottom w:w="0" w:type="dxa"/>
              <w:right w:w="108" w:type="dxa"/>
            </w:tcMar>
          </w:tcPr>
          <w:p w14:paraId="4FCF244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19</w:t>
            </w:r>
          </w:p>
        </w:tc>
        <w:tc>
          <w:tcPr>
            <w:tcW w:w="719" w:type="dxa"/>
            <w:shd w:val="clear" w:color="auto" w:fill="auto"/>
            <w:tcMar>
              <w:top w:w="0" w:type="dxa"/>
              <w:left w:w="108" w:type="dxa"/>
              <w:bottom w:w="0" w:type="dxa"/>
              <w:right w:w="108" w:type="dxa"/>
            </w:tcMar>
            <w:vAlign w:val="center"/>
          </w:tcPr>
          <w:p w14:paraId="58AF54D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658</w:t>
            </w:r>
          </w:p>
        </w:tc>
        <w:tc>
          <w:tcPr>
            <w:tcW w:w="680" w:type="dxa"/>
            <w:shd w:val="clear" w:color="auto" w:fill="auto"/>
            <w:tcMar>
              <w:top w:w="0" w:type="dxa"/>
              <w:left w:w="108" w:type="dxa"/>
              <w:bottom w:w="0" w:type="dxa"/>
              <w:right w:w="108" w:type="dxa"/>
            </w:tcMar>
            <w:vAlign w:val="center"/>
          </w:tcPr>
          <w:p w14:paraId="59578E68"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2,87</w:t>
            </w:r>
          </w:p>
        </w:tc>
        <w:tc>
          <w:tcPr>
            <w:tcW w:w="2113" w:type="dxa"/>
            <w:shd w:val="clear" w:color="auto" w:fill="auto"/>
            <w:tcMar>
              <w:top w:w="0" w:type="dxa"/>
              <w:left w:w="108" w:type="dxa"/>
              <w:bottom w:w="0" w:type="dxa"/>
              <w:right w:w="108" w:type="dxa"/>
            </w:tcMar>
            <w:vAlign w:val="center"/>
          </w:tcPr>
          <w:p w14:paraId="0EFF09BF"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S</w:t>
            </w:r>
            <w:r w:rsidRPr="00A50215">
              <w:rPr>
                <w:rFonts w:eastAsia="Calibri" w:cs="Arial"/>
                <w:szCs w:val="18"/>
                <w:lang w:val="pl-PL"/>
              </w:rPr>
              <w:t>tyrene</w:t>
            </w:r>
          </w:p>
        </w:tc>
        <w:tc>
          <w:tcPr>
            <w:tcW w:w="565" w:type="dxa"/>
            <w:shd w:val="clear" w:color="auto" w:fill="BFBFBF" w:themeFill="background1" w:themeFillShade="BF"/>
            <w:tcMar>
              <w:top w:w="0" w:type="dxa"/>
              <w:left w:w="108" w:type="dxa"/>
              <w:bottom w:w="0" w:type="dxa"/>
              <w:right w:w="108" w:type="dxa"/>
            </w:tcMar>
            <w:vAlign w:val="center"/>
          </w:tcPr>
          <w:p w14:paraId="69258F5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0F819B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8FECAD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B923C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69F4D0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85C0D4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E75DB3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A67D44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C48697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0102A57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2D3408DF" w14:textId="77777777" w:rsidTr="00E91FAB">
        <w:trPr>
          <w:trHeight w:val="276"/>
        </w:trPr>
        <w:tc>
          <w:tcPr>
            <w:tcW w:w="457" w:type="dxa"/>
            <w:shd w:val="clear" w:color="auto" w:fill="auto"/>
            <w:tcMar>
              <w:top w:w="0" w:type="dxa"/>
              <w:left w:w="108" w:type="dxa"/>
              <w:bottom w:w="0" w:type="dxa"/>
              <w:right w:w="108" w:type="dxa"/>
            </w:tcMar>
          </w:tcPr>
          <w:p w14:paraId="5BF9F0E2"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20</w:t>
            </w:r>
          </w:p>
        </w:tc>
        <w:tc>
          <w:tcPr>
            <w:tcW w:w="719" w:type="dxa"/>
            <w:shd w:val="clear" w:color="auto" w:fill="auto"/>
            <w:tcMar>
              <w:top w:w="0" w:type="dxa"/>
              <w:left w:w="108" w:type="dxa"/>
              <w:bottom w:w="0" w:type="dxa"/>
              <w:right w:w="108" w:type="dxa"/>
            </w:tcMar>
          </w:tcPr>
          <w:p w14:paraId="1E9B0730"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666</w:t>
            </w:r>
          </w:p>
        </w:tc>
        <w:tc>
          <w:tcPr>
            <w:tcW w:w="680" w:type="dxa"/>
            <w:shd w:val="clear" w:color="auto" w:fill="auto"/>
            <w:tcMar>
              <w:top w:w="0" w:type="dxa"/>
              <w:left w:w="108" w:type="dxa"/>
              <w:bottom w:w="0" w:type="dxa"/>
              <w:right w:w="108" w:type="dxa"/>
            </w:tcMar>
          </w:tcPr>
          <w:p w14:paraId="3C6F844B"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2.24</w:t>
            </w:r>
          </w:p>
        </w:tc>
        <w:tc>
          <w:tcPr>
            <w:tcW w:w="2113" w:type="dxa"/>
            <w:shd w:val="clear" w:color="auto" w:fill="auto"/>
            <w:tcMar>
              <w:top w:w="0" w:type="dxa"/>
              <w:left w:w="108" w:type="dxa"/>
              <w:bottom w:w="0" w:type="dxa"/>
              <w:right w:w="108" w:type="dxa"/>
            </w:tcMar>
          </w:tcPr>
          <w:p w14:paraId="1D33128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Heptanal</w:t>
            </w:r>
          </w:p>
        </w:tc>
        <w:tc>
          <w:tcPr>
            <w:tcW w:w="565" w:type="dxa"/>
            <w:shd w:val="clear" w:color="auto" w:fill="BFBFBF" w:themeFill="background1" w:themeFillShade="BF"/>
            <w:tcMar>
              <w:top w:w="0" w:type="dxa"/>
              <w:left w:w="108" w:type="dxa"/>
              <w:bottom w:w="0" w:type="dxa"/>
              <w:right w:w="108" w:type="dxa"/>
            </w:tcMar>
            <w:vAlign w:val="center"/>
          </w:tcPr>
          <w:p w14:paraId="4B59AFD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ABC725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A7AA71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E697F3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041401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2454CA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79BBF9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D1239A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F39C8A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6D38F7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202CDFD4" w14:textId="77777777" w:rsidTr="00E91FAB">
        <w:trPr>
          <w:trHeight w:val="276"/>
        </w:trPr>
        <w:tc>
          <w:tcPr>
            <w:tcW w:w="457" w:type="dxa"/>
            <w:shd w:val="clear" w:color="auto" w:fill="auto"/>
            <w:tcMar>
              <w:top w:w="0" w:type="dxa"/>
              <w:left w:w="108" w:type="dxa"/>
              <w:bottom w:w="0" w:type="dxa"/>
              <w:right w:w="108" w:type="dxa"/>
            </w:tcMar>
          </w:tcPr>
          <w:p w14:paraId="40452CD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21</w:t>
            </w:r>
          </w:p>
        </w:tc>
        <w:tc>
          <w:tcPr>
            <w:tcW w:w="719" w:type="dxa"/>
            <w:shd w:val="clear" w:color="auto" w:fill="auto"/>
            <w:tcMar>
              <w:top w:w="0" w:type="dxa"/>
              <w:left w:w="108" w:type="dxa"/>
              <w:bottom w:w="0" w:type="dxa"/>
              <w:right w:w="108" w:type="dxa"/>
            </w:tcMar>
            <w:vAlign w:val="center"/>
          </w:tcPr>
          <w:p w14:paraId="38D678DE"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666</w:t>
            </w:r>
          </w:p>
        </w:tc>
        <w:tc>
          <w:tcPr>
            <w:tcW w:w="680" w:type="dxa"/>
            <w:shd w:val="clear" w:color="auto" w:fill="auto"/>
            <w:tcMar>
              <w:top w:w="0" w:type="dxa"/>
              <w:left w:w="108" w:type="dxa"/>
              <w:bottom w:w="0" w:type="dxa"/>
              <w:right w:w="108" w:type="dxa"/>
            </w:tcMar>
            <w:vAlign w:val="center"/>
          </w:tcPr>
          <w:p w14:paraId="16E7B60A"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2,28</w:t>
            </w:r>
          </w:p>
        </w:tc>
        <w:tc>
          <w:tcPr>
            <w:tcW w:w="2113" w:type="dxa"/>
            <w:shd w:val="clear" w:color="auto" w:fill="auto"/>
            <w:tcMar>
              <w:top w:w="0" w:type="dxa"/>
              <w:left w:w="108" w:type="dxa"/>
              <w:bottom w:w="0" w:type="dxa"/>
              <w:right w:w="108" w:type="dxa"/>
            </w:tcMar>
            <w:vAlign w:val="center"/>
          </w:tcPr>
          <w:p w14:paraId="523F6BDB"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o-xylene</w:t>
            </w:r>
          </w:p>
        </w:tc>
        <w:tc>
          <w:tcPr>
            <w:tcW w:w="565" w:type="dxa"/>
            <w:shd w:val="clear" w:color="auto" w:fill="BFBFBF" w:themeFill="background1" w:themeFillShade="BF"/>
            <w:tcMar>
              <w:top w:w="0" w:type="dxa"/>
              <w:left w:w="108" w:type="dxa"/>
              <w:bottom w:w="0" w:type="dxa"/>
              <w:right w:w="108" w:type="dxa"/>
            </w:tcMar>
            <w:vAlign w:val="center"/>
          </w:tcPr>
          <w:p w14:paraId="6619A2A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08292D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C47898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F74214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352DF50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F1DE74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93F8C6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5FA28E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901005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675CC5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5CB7DFDD" w14:textId="77777777" w:rsidTr="00E91FAB">
        <w:trPr>
          <w:trHeight w:val="276"/>
        </w:trPr>
        <w:tc>
          <w:tcPr>
            <w:tcW w:w="457" w:type="dxa"/>
            <w:shd w:val="clear" w:color="auto" w:fill="auto"/>
            <w:tcMar>
              <w:top w:w="0" w:type="dxa"/>
              <w:left w:w="108" w:type="dxa"/>
              <w:bottom w:w="0" w:type="dxa"/>
              <w:right w:w="108" w:type="dxa"/>
            </w:tcMar>
          </w:tcPr>
          <w:p w14:paraId="749380BC"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22</w:t>
            </w:r>
          </w:p>
        </w:tc>
        <w:tc>
          <w:tcPr>
            <w:tcW w:w="719" w:type="dxa"/>
            <w:shd w:val="clear" w:color="auto" w:fill="auto"/>
            <w:tcMar>
              <w:top w:w="0" w:type="dxa"/>
              <w:left w:w="108" w:type="dxa"/>
              <w:bottom w:w="0" w:type="dxa"/>
              <w:right w:w="108" w:type="dxa"/>
            </w:tcMar>
            <w:vAlign w:val="center"/>
          </w:tcPr>
          <w:p w14:paraId="59BE9964"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742</w:t>
            </w:r>
          </w:p>
        </w:tc>
        <w:tc>
          <w:tcPr>
            <w:tcW w:w="680" w:type="dxa"/>
            <w:shd w:val="clear" w:color="auto" w:fill="auto"/>
            <w:tcMar>
              <w:top w:w="0" w:type="dxa"/>
              <w:left w:w="108" w:type="dxa"/>
              <w:bottom w:w="0" w:type="dxa"/>
              <w:right w:w="108" w:type="dxa"/>
            </w:tcMar>
            <w:vAlign w:val="center"/>
          </w:tcPr>
          <w:p w14:paraId="000F7D27"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1,47</w:t>
            </w:r>
          </w:p>
        </w:tc>
        <w:tc>
          <w:tcPr>
            <w:tcW w:w="2113" w:type="dxa"/>
            <w:shd w:val="clear" w:color="auto" w:fill="auto"/>
            <w:tcMar>
              <w:top w:w="0" w:type="dxa"/>
              <w:left w:w="108" w:type="dxa"/>
              <w:bottom w:w="0" w:type="dxa"/>
              <w:right w:w="108" w:type="dxa"/>
            </w:tcMar>
            <w:vAlign w:val="center"/>
          </w:tcPr>
          <w:p w14:paraId="6D410341"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α-Phellandrene</w:t>
            </w:r>
          </w:p>
        </w:tc>
        <w:tc>
          <w:tcPr>
            <w:tcW w:w="565" w:type="dxa"/>
            <w:shd w:val="clear" w:color="auto" w:fill="BFBFBF" w:themeFill="background1" w:themeFillShade="BF"/>
            <w:tcMar>
              <w:top w:w="0" w:type="dxa"/>
              <w:left w:w="108" w:type="dxa"/>
              <w:bottom w:w="0" w:type="dxa"/>
              <w:right w:w="108" w:type="dxa"/>
            </w:tcMar>
            <w:vAlign w:val="center"/>
          </w:tcPr>
          <w:p w14:paraId="7226B66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23029D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CC10AC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4C70B3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306538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4BE9F3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FEE8D3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DAB81F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7A4DF0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1B0CFFA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6DB704CE" w14:textId="77777777" w:rsidTr="00E91FAB">
        <w:trPr>
          <w:trHeight w:val="276"/>
        </w:trPr>
        <w:tc>
          <w:tcPr>
            <w:tcW w:w="457" w:type="dxa"/>
            <w:shd w:val="clear" w:color="auto" w:fill="auto"/>
            <w:tcMar>
              <w:top w:w="0" w:type="dxa"/>
              <w:left w:w="108" w:type="dxa"/>
              <w:bottom w:w="0" w:type="dxa"/>
              <w:right w:w="108" w:type="dxa"/>
            </w:tcMar>
          </w:tcPr>
          <w:p w14:paraId="1513FE59"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23</w:t>
            </w:r>
          </w:p>
        </w:tc>
        <w:tc>
          <w:tcPr>
            <w:tcW w:w="719" w:type="dxa"/>
            <w:shd w:val="clear" w:color="auto" w:fill="auto"/>
            <w:tcMar>
              <w:top w:w="0" w:type="dxa"/>
              <w:left w:w="108" w:type="dxa"/>
              <w:bottom w:w="0" w:type="dxa"/>
              <w:right w:w="108" w:type="dxa"/>
            </w:tcMar>
            <w:vAlign w:val="center"/>
          </w:tcPr>
          <w:p w14:paraId="3B1166B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746</w:t>
            </w:r>
          </w:p>
        </w:tc>
        <w:tc>
          <w:tcPr>
            <w:tcW w:w="680" w:type="dxa"/>
            <w:shd w:val="clear" w:color="auto" w:fill="auto"/>
            <w:tcMar>
              <w:top w:w="0" w:type="dxa"/>
              <w:left w:w="108" w:type="dxa"/>
              <w:bottom w:w="0" w:type="dxa"/>
              <w:right w:w="108" w:type="dxa"/>
            </w:tcMar>
            <w:vAlign w:val="center"/>
          </w:tcPr>
          <w:p w14:paraId="259F224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1,39</w:t>
            </w:r>
          </w:p>
        </w:tc>
        <w:tc>
          <w:tcPr>
            <w:tcW w:w="2113" w:type="dxa"/>
            <w:shd w:val="clear" w:color="auto" w:fill="auto"/>
            <w:tcMar>
              <w:top w:w="0" w:type="dxa"/>
              <w:left w:w="108" w:type="dxa"/>
              <w:bottom w:w="0" w:type="dxa"/>
              <w:right w:w="108" w:type="dxa"/>
            </w:tcMar>
            <w:vAlign w:val="center"/>
          </w:tcPr>
          <w:p w14:paraId="64F39BF1" w14:textId="2F0E3AC1" w:rsidR="00516B7C" w:rsidRPr="00A50215" w:rsidRDefault="0061628C" w:rsidP="00E91FAB">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P</w:t>
            </w:r>
            <w:r w:rsidRPr="0061628C">
              <w:rPr>
                <w:rFonts w:eastAsia="Calibri" w:cs="Arial"/>
                <w:szCs w:val="18"/>
                <w:lang w:val="pl-PL"/>
              </w:rPr>
              <w:t>ropylcyclohexane</w:t>
            </w:r>
          </w:p>
        </w:tc>
        <w:tc>
          <w:tcPr>
            <w:tcW w:w="565" w:type="dxa"/>
            <w:shd w:val="clear" w:color="auto" w:fill="BFBFBF" w:themeFill="background1" w:themeFillShade="BF"/>
            <w:tcMar>
              <w:top w:w="0" w:type="dxa"/>
              <w:left w:w="108" w:type="dxa"/>
              <w:bottom w:w="0" w:type="dxa"/>
              <w:right w:w="108" w:type="dxa"/>
            </w:tcMar>
            <w:vAlign w:val="center"/>
          </w:tcPr>
          <w:p w14:paraId="70B260B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6342E9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AECD51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AB7929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3F7FB6B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929BF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075759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52D2A8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0C53C8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19AF1B4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5649CF38" w14:textId="77777777" w:rsidTr="00E91FAB">
        <w:trPr>
          <w:trHeight w:val="276"/>
        </w:trPr>
        <w:tc>
          <w:tcPr>
            <w:tcW w:w="457" w:type="dxa"/>
            <w:shd w:val="clear" w:color="auto" w:fill="auto"/>
            <w:tcMar>
              <w:top w:w="0" w:type="dxa"/>
              <w:left w:w="108" w:type="dxa"/>
              <w:bottom w:w="0" w:type="dxa"/>
              <w:right w:w="108" w:type="dxa"/>
            </w:tcMar>
          </w:tcPr>
          <w:p w14:paraId="214036A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24</w:t>
            </w:r>
          </w:p>
        </w:tc>
        <w:tc>
          <w:tcPr>
            <w:tcW w:w="719" w:type="dxa"/>
            <w:shd w:val="clear" w:color="auto" w:fill="auto"/>
            <w:tcMar>
              <w:top w:w="0" w:type="dxa"/>
              <w:left w:w="108" w:type="dxa"/>
              <w:bottom w:w="0" w:type="dxa"/>
              <w:right w:w="108" w:type="dxa"/>
            </w:tcMar>
            <w:vAlign w:val="center"/>
          </w:tcPr>
          <w:p w14:paraId="377D0952"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758</w:t>
            </w:r>
          </w:p>
        </w:tc>
        <w:tc>
          <w:tcPr>
            <w:tcW w:w="680" w:type="dxa"/>
            <w:shd w:val="clear" w:color="auto" w:fill="auto"/>
            <w:tcMar>
              <w:top w:w="0" w:type="dxa"/>
              <w:left w:w="108" w:type="dxa"/>
              <w:bottom w:w="0" w:type="dxa"/>
              <w:right w:w="108" w:type="dxa"/>
            </w:tcMar>
            <w:vAlign w:val="center"/>
          </w:tcPr>
          <w:p w14:paraId="52DB5D2A"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1,27</w:t>
            </w:r>
          </w:p>
        </w:tc>
        <w:tc>
          <w:tcPr>
            <w:tcW w:w="2113" w:type="dxa"/>
            <w:shd w:val="clear" w:color="auto" w:fill="auto"/>
            <w:tcMar>
              <w:top w:w="0" w:type="dxa"/>
              <w:left w:w="108" w:type="dxa"/>
              <w:bottom w:w="0" w:type="dxa"/>
              <w:right w:w="108" w:type="dxa"/>
            </w:tcMar>
            <w:vAlign w:val="center"/>
          </w:tcPr>
          <w:p w14:paraId="4491EDF2"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2,6-dimethyloctane</w:t>
            </w:r>
          </w:p>
        </w:tc>
        <w:tc>
          <w:tcPr>
            <w:tcW w:w="565" w:type="dxa"/>
            <w:shd w:val="clear" w:color="auto" w:fill="BFBFBF" w:themeFill="background1" w:themeFillShade="BF"/>
            <w:tcMar>
              <w:top w:w="0" w:type="dxa"/>
              <w:left w:w="108" w:type="dxa"/>
              <w:bottom w:w="0" w:type="dxa"/>
              <w:right w:w="108" w:type="dxa"/>
            </w:tcMar>
            <w:vAlign w:val="center"/>
          </w:tcPr>
          <w:p w14:paraId="2D62470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E4B1FB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30CC9B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CA2115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081385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85B186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9C3129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BADCE8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5D9D60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0F3DBF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0169FFF6" w14:textId="77777777" w:rsidTr="00E91FAB">
        <w:trPr>
          <w:trHeight w:val="276"/>
        </w:trPr>
        <w:tc>
          <w:tcPr>
            <w:tcW w:w="457" w:type="dxa"/>
            <w:shd w:val="clear" w:color="auto" w:fill="auto"/>
            <w:tcMar>
              <w:top w:w="0" w:type="dxa"/>
              <w:left w:w="108" w:type="dxa"/>
              <w:bottom w:w="0" w:type="dxa"/>
              <w:right w:w="108" w:type="dxa"/>
            </w:tcMar>
          </w:tcPr>
          <w:p w14:paraId="689F7E5E"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25</w:t>
            </w:r>
          </w:p>
        </w:tc>
        <w:tc>
          <w:tcPr>
            <w:tcW w:w="719" w:type="dxa"/>
            <w:shd w:val="clear" w:color="auto" w:fill="auto"/>
            <w:tcMar>
              <w:top w:w="0" w:type="dxa"/>
              <w:left w:w="108" w:type="dxa"/>
              <w:bottom w:w="0" w:type="dxa"/>
              <w:right w:w="108" w:type="dxa"/>
            </w:tcMar>
            <w:vAlign w:val="center"/>
          </w:tcPr>
          <w:p w14:paraId="49BFD2FC"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778</w:t>
            </w:r>
          </w:p>
        </w:tc>
        <w:tc>
          <w:tcPr>
            <w:tcW w:w="680" w:type="dxa"/>
            <w:shd w:val="clear" w:color="auto" w:fill="auto"/>
            <w:tcMar>
              <w:top w:w="0" w:type="dxa"/>
              <w:left w:w="108" w:type="dxa"/>
              <w:bottom w:w="0" w:type="dxa"/>
              <w:right w:w="108" w:type="dxa"/>
            </w:tcMar>
            <w:vAlign w:val="center"/>
          </w:tcPr>
          <w:p w14:paraId="5F0DEA88"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1,55</w:t>
            </w:r>
          </w:p>
        </w:tc>
        <w:tc>
          <w:tcPr>
            <w:tcW w:w="2113" w:type="dxa"/>
            <w:shd w:val="clear" w:color="auto" w:fill="auto"/>
            <w:tcMar>
              <w:top w:w="0" w:type="dxa"/>
              <w:left w:w="108" w:type="dxa"/>
              <w:bottom w:w="0" w:type="dxa"/>
              <w:right w:w="108" w:type="dxa"/>
            </w:tcMar>
          </w:tcPr>
          <w:p w14:paraId="33EB4D35"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Camphene</w:t>
            </w:r>
          </w:p>
        </w:tc>
        <w:tc>
          <w:tcPr>
            <w:tcW w:w="565" w:type="dxa"/>
            <w:shd w:val="clear" w:color="auto" w:fill="BFBFBF" w:themeFill="background1" w:themeFillShade="BF"/>
            <w:tcMar>
              <w:top w:w="0" w:type="dxa"/>
              <w:left w:w="108" w:type="dxa"/>
              <w:bottom w:w="0" w:type="dxa"/>
              <w:right w:w="108" w:type="dxa"/>
            </w:tcMar>
            <w:vAlign w:val="center"/>
          </w:tcPr>
          <w:p w14:paraId="64FDB00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356410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F0A610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C38D9C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C08774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BD47E3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1F9D56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87C7B5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A95089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278052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6474BA22" w14:textId="77777777" w:rsidTr="00E91FAB">
        <w:trPr>
          <w:trHeight w:val="276"/>
        </w:trPr>
        <w:tc>
          <w:tcPr>
            <w:tcW w:w="457" w:type="dxa"/>
            <w:shd w:val="clear" w:color="auto" w:fill="auto"/>
            <w:tcMar>
              <w:top w:w="0" w:type="dxa"/>
              <w:left w:w="108" w:type="dxa"/>
              <w:bottom w:w="0" w:type="dxa"/>
              <w:right w:w="108" w:type="dxa"/>
            </w:tcMar>
          </w:tcPr>
          <w:p w14:paraId="5A8D37BD"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26</w:t>
            </w:r>
          </w:p>
        </w:tc>
        <w:tc>
          <w:tcPr>
            <w:tcW w:w="719" w:type="dxa"/>
            <w:shd w:val="clear" w:color="auto" w:fill="auto"/>
            <w:tcMar>
              <w:top w:w="0" w:type="dxa"/>
              <w:left w:w="108" w:type="dxa"/>
              <w:bottom w:w="0" w:type="dxa"/>
              <w:right w:w="108" w:type="dxa"/>
            </w:tcMar>
          </w:tcPr>
          <w:p w14:paraId="76A0306A"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826</w:t>
            </w:r>
          </w:p>
        </w:tc>
        <w:tc>
          <w:tcPr>
            <w:tcW w:w="680" w:type="dxa"/>
            <w:shd w:val="clear" w:color="auto" w:fill="auto"/>
            <w:tcMar>
              <w:top w:w="0" w:type="dxa"/>
              <w:left w:w="108" w:type="dxa"/>
              <w:bottom w:w="0" w:type="dxa"/>
              <w:right w:w="108" w:type="dxa"/>
            </w:tcMar>
          </w:tcPr>
          <w:p w14:paraId="7A6E473E"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1.61</w:t>
            </w:r>
          </w:p>
        </w:tc>
        <w:tc>
          <w:tcPr>
            <w:tcW w:w="2113" w:type="dxa"/>
            <w:shd w:val="clear" w:color="auto" w:fill="auto"/>
            <w:tcMar>
              <w:top w:w="0" w:type="dxa"/>
              <w:left w:w="108" w:type="dxa"/>
              <w:bottom w:w="0" w:type="dxa"/>
              <w:right w:w="108" w:type="dxa"/>
            </w:tcMar>
          </w:tcPr>
          <w:p w14:paraId="73B015B9"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 xml:space="preserve">α-Pinene </w:t>
            </w:r>
          </w:p>
        </w:tc>
        <w:tc>
          <w:tcPr>
            <w:tcW w:w="565" w:type="dxa"/>
            <w:shd w:val="clear" w:color="auto" w:fill="BFBFBF" w:themeFill="background1" w:themeFillShade="BF"/>
            <w:tcMar>
              <w:top w:w="0" w:type="dxa"/>
              <w:left w:w="108" w:type="dxa"/>
              <w:bottom w:w="0" w:type="dxa"/>
              <w:right w:w="108" w:type="dxa"/>
            </w:tcMar>
            <w:vAlign w:val="center"/>
          </w:tcPr>
          <w:p w14:paraId="453E5251"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2E8CDD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82E41F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1A69BA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FADE8C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DC7D9F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7025B2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06FF9B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2CC398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5FC6B0A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45C5E384" w14:textId="77777777" w:rsidTr="00E91FAB">
        <w:trPr>
          <w:trHeight w:val="276"/>
        </w:trPr>
        <w:tc>
          <w:tcPr>
            <w:tcW w:w="457" w:type="dxa"/>
            <w:shd w:val="clear" w:color="auto" w:fill="auto"/>
            <w:tcMar>
              <w:top w:w="0" w:type="dxa"/>
              <w:left w:w="108" w:type="dxa"/>
              <w:bottom w:w="0" w:type="dxa"/>
              <w:right w:w="108" w:type="dxa"/>
            </w:tcMar>
          </w:tcPr>
          <w:p w14:paraId="6D1589A8"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27</w:t>
            </w:r>
          </w:p>
        </w:tc>
        <w:tc>
          <w:tcPr>
            <w:tcW w:w="719" w:type="dxa"/>
            <w:shd w:val="clear" w:color="auto" w:fill="auto"/>
            <w:tcMar>
              <w:top w:w="0" w:type="dxa"/>
              <w:left w:w="108" w:type="dxa"/>
              <w:bottom w:w="0" w:type="dxa"/>
              <w:right w:w="108" w:type="dxa"/>
            </w:tcMar>
            <w:vAlign w:val="center"/>
          </w:tcPr>
          <w:p w14:paraId="6E4EF408"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846</w:t>
            </w:r>
          </w:p>
        </w:tc>
        <w:tc>
          <w:tcPr>
            <w:tcW w:w="680" w:type="dxa"/>
            <w:shd w:val="clear" w:color="auto" w:fill="auto"/>
            <w:tcMar>
              <w:top w:w="0" w:type="dxa"/>
              <w:left w:w="108" w:type="dxa"/>
              <w:bottom w:w="0" w:type="dxa"/>
              <w:right w:w="108" w:type="dxa"/>
            </w:tcMar>
            <w:vAlign w:val="center"/>
          </w:tcPr>
          <w:p w14:paraId="65F4B670"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1,48</w:t>
            </w:r>
          </w:p>
        </w:tc>
        <w:tc>
          <w:tcPr>
            <w:tcW w:w="2113" w:type="dxa"/>
            <w:shd w:val="clear" w:color="auto" w:fill="auto"/>
            <w:tcMar>
              <w:top w:w="0" w:type="dxa"/>
              <w:left w:w="108" w:type="dxa"/>
              <w:bottom w:w="0" w:type="dxa"/>
              <w:right w:w="108" w:type="dxa"/>
            </w:tcMar>
            <w:vAlign w:val="center"/>
          </w:tcPr>
          <w:p w14:paraId="7807D74D" w14:textId="0BE8E58C" w:rsidR="00516B7C" w:rsidRPr="00A50215" w:rsidRDefault="003D1E16" w:rsidP="00E91FAB">
            <w:pPr>
              <w:tabs>
                <w:tab w:val="clear" w:pos="7100"/>
              </w:tabs>
              <w:suppressAutoHyphens/>
              <w:autoSpaceDN w:val="0"/>
              <w:spacing w:line="240" w:lineRule="auto"/>
              <w:jc w:val="left"/>
              <w:textAlignment w:val="baseline"/>
              <w:rPr>
                <w:rFonts w:eastAsia="Calibri" w:cs="Arial"/>
                <w:szCs w:val="18"/>
              </w:rPr>
            </w:pPr>
            <w:r w:rsidRPr="003D1E16">
              <w:rPr>
                <w:rFonts w:eastAsia="Calibri" w:cs="Arial"/>
                <w:szCs w:val="18"/>
                <w:lang w:val="pl-PL"/>
              </w:rPr>
              <w:t>2,6-dimethyl-2,-octadiene</w:t>
            </w:r>
          </w:p>
        </w:tc>
        <w:tc>
          <w:tcPr>
            <w:tcW w:w="565" w:type="dxa"/>
            <w:shd w:val="clear" w:color="auto" w:fill="BFBFBF" w:themeFill="background1" w:themeFillShade="BF"/>
            <w:tcMar>
              <w:top w:w="0" w:type="dxa"/>
              <w:left w:w="108" w:type="dxa"/>
              <w:bottom w:w="0" w:type="dxa"/>
              <w:right w:w="108" w:type="dxa"/>
            </w:tcMar>
            <w:vAlign w:val="center"/>
          </w:tcPr>
          <w:p w14:paraId="5FDBA566"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86520C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AA7739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50B61D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0B669F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10B632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CE67FE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C6242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966B477"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042620D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47A58C79" w14:textId="77777777" w:rsidTr="00E91FAB">
        <w:trPr>
          <w:trHeight w:val="276"/>
        </w:trPr>
        <w:tc>
          <w:tcPr>
            <w:tcW w:w="457" w:type="dxa"/>
            <w:shd w:val="clear" w:color="auto" w:fill="auto"/>
            <w:tcMar>
              <w:top w:w="0" w:type="dxa"/>
              <w:left w:w="108" w:type="dxa"/>
              <w:bottom w:w="0" w:type="dxa"/>
              <w:right w:w="108" w:type="dxa"/>
            </w:tcMar>
          </w:tcPr>
          <w:p w14:paraId="53B626E1"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28</w:t>
            </w:r>
          </w:p>
        </w:tc>
        <w:tc>
          <w:tcPr>
            <w:tcW w:w="719" w:type="dxa"/>
            <w:shd w:val="clear" w:color="auto" w:fill="auto"/>
            <w:tcMar>
              <w:top w:w="0" w:type="dxa"/>
              <w:left w:w="108" w:type="dxa"/>
              <w:bottom w:w="0" w:type="dxa"/>
              <w:right w:w="108" w:type="dxa"/>
            </w:tcMar>
            <w:vAlign w:val="center"/>
          </w:tcPr>
          <w:p w14:paraId="0DFE5D1C"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870</w:t>
            </w:r>
          </w:p>
        </w:tc>
        <w:tc>
          <w:tcPr>
            <w:tcW w:w="680" w:type="dxa"/>
            <w:shd w:val="clear" w:color="auto" w:fill="auto"/>
            <w:tcMar>
              <w:top w:w="0" w:type="dxa"/>
              <w:left w:w="108" w:type="dxa"/>
              <w:bottom w:w="0" w:type="dxa"/>
              <w:right w:w="108" w:type="dxa"/>
            </w:tcMar>
            <w:vAlign w:val="center"/>
          </w:tcPr>
          <w:p w14:paraId="7246A6B4"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2,06</w:t>
            </w:r>
          </w:p>
        </w:tc>
        <w:tc>
          <w:tcPr>
            <w:tcW w:w="2113" w:type="dxa"/>
            <w:shd w:val="clear" w:color="auto" w:fill="auto"/>
            <w:tcMar>
              <w:top w:w="0" w:type="dxa"/>
              <w:left w:w="108" w:type="dxa"/>
              <w:bottom w:w="0" w:type="dxa"/>
              <w:right w:w="108" w:type="dxa"/>
            </w:tcMar>
            <w:vAlign w:val="center"/>
          </w:tcPr>
          <w:p w14:paraId="1B7635B0"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Hexyl acetate</w:t>
            </w:r>
          </w:p>
        </w:tc>
        <w:tc>
          <w:tcPr>
            <w:tcW w:w="565" w:type="dxa"/>
            <w:shd w:val="clear" w:color="auto" w:fill="BFBFBF" w:themeFill="background1" w:themeFillShade="BF"/>
            <w:tcMar>
              <w:top w:w="0" w:type="dxa"/>
              <w:left w:w="108" w:type="dxa"/>
              <w:bottom w:w="0" w:type="dxa"/>
              <w:right w:w="108" w:type="dxa"/>
            </w:tcMar>
            <w:vAlign w:val="center"/>
          </w:tcPr>
          <w:p w14:paraId="20F662CD"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7391F5A"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574811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189D89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0476615"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E24213F"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B1C6420"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B39EB3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801F479"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E0CAF14"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527F03" w:rsidRPr="00A50215" w14:paraId="44B1E956" w14:textId="77777777" w:rsidTr="00E91FAB">
        <w:trPr>
          <w:trHeight w:val="276"/>
        </w:trPr>
        <w:tc>
          <w:tcPr>
            <w:tcW w:w="457" w:type="dxa"/>
            <w:shd w:val="clear" w:color="auto" w:fill="auto"/>
            <w:tcMar>
              <w:top w:w="0" w:type="dxa"/>
              <w:left w:w="108" w:type="dxa"/>
              <w:bottom w:w="0" w:type="dxa"/>
              <w:right w:w="108" w:type="dxa"/>
            </w:tcMar>
          </w:tcPr>
          <w:p w14:paraId="350AE1B0"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29</w:t>
            </w:r>
          </w:p>
        </w:tc>
        <w:tc>
          <w:tcPr>
            <w:tcW w:w="719" w:type="dxa"/>
            <w:shd w:val="clear" w:color="auto" w:fill="auto"/>
            <w:tcMar>
              <w:top w:w="0" w:type="dxa"/>
              <w:left w:w="108" w:type="dxa"/>
              <w:bottom w:w="0" w:type="dxa"/>
              <w:right w:w="108" w:type="dxa"/>
            </w:tcMar>
            <w:vAlign w:val="center"/>
          </w:tcPr>
          <w:p w14:paraId="7D80EDB5"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894</w:t>
            </w:r>
          </w:p>
        </w:tc>
        <w:tc>
          <w:tcPr>
            <w:tcW w:w="680" w:type="dxa"/>
            <w:shd w:val="clear" w:color="auto" w:fill="auto"/>
            <w:tcMar>
              <w:top w:w="0" w:type="dxa"/>
              <w:left w:w="108" w:type="dxa"/>
              <w:bottom w:w="0" w:type="dxa"/>
              <w:right w:w="108" w:type="dxa"/>
            </w:tcMar>
            <w:vAlign w:val="center"/>
          </w:tcPr>
          <w:p w14:paraId="562C319D" w14:textId="77777777" w:rsidR="00516B7C" w:rsidRPr="00A50215" w:rsidRDefault="00516B7C" w:rsidP="00E91FAB">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2,49</w:t>
            </w:r>
          </w:p>
        </w:tc>
        <w:tc>
          <w:tcPr>
            <w:tcW w:w="2113" w:type="dxa"/>
            <w:shd w:val="clear" w:color="auto" w:fill="auto"/>
            <w:tcMar>
              <w:top w:w="0" w:type="dxa"/>
              <w:left w:w="108" w:type="dxa"/>
              <w:bottom w:w="0" w:type="dxa"/>
              <w:right w:w="108" w:type="dxa"/>
            </w:tcMar>
          </w:tcPr>
          <w:p w14:paraId="78782D6C" w14:textId="77777777" w:rsidR="00516B7C" w:rsidRPr="00A50215" w:rsidRDefault="00516B7C" w:rsidP="00E91FAB">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1,3,5-Trimethylbenzene</w:t>
            </w:r>
          </w:p>
        </w:tc>
        <w:tc>
          <w:tcPr>
            <w:tcW w:w="565" w:type="dxa"/>
            <w:shd w:val="clear" w:color="auto" w:fill="BFBFBF" w:themeFill="background1" w:themeFillShade="BF"/>
            <w:tcMar>
              <w:top w:w="0" w:type="dxa"/>
              <w:left w:w="108" w:type="dxa"/>
              <w:bottom w:w="0" w:type="dxa"/>
              <w:right w:w="108" w:type="dxa"/>
            </w:tcMar>
            <w:vAlign w:val="center"/>
          </w:tcPr>
          <w:p w14:paraId="35737CD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A887668"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0333FC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921D65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2295BF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7B90233"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F96033E"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9075282"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8F50C7C"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gridSpan w:val="2"/>
            <w:vAlign w:val="center"/>
          </w:tcPr>
          <w:p w14:paraId="7BECC0EB" w14:textId="77777777" w:rsidR="00516B7C" w:rsidRPr="00E553F4" w:rsidRDefault="00516B7C" w:rsidP="00E91FAB">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bl>
    <w:p w14:paraId="2B9CDCAB" w14:textId="55703CE3" w:rsidR="0092167F" w:rsidRPr="009363B8" w:rsidRDefault="009363B8" w:rsidP="00CF5A5B">
      <w:pPr>
        <w:rPr>
          <w:rStyle w:val="hps"/>
          <w:i/>
          <w:iCs/>
        </w:rPr>
      </w:pPr>
      <w:r w:rsidRPr="009363B8">
        <w:rPr>
          <w:rStyle w:val="hps"/>
          <w:i/>
          <w:iCs/>
        </w:rPr>
        <w:lastRenderedPageBreak/>
        <w:t>Continuation of Table 2</w:t>
      </w:r>
      <w:r>
        <w:rPr>
          <w:rStyle w:val="hps"/>
          <w:i/>
          <w:iCs/>
        </w:rPr>
        <w:t>.</w:t>
      </w:r>
    </w:p>
    <w:tbl>
      <w:tblPr>
        <w:tblW w:w="8661" w:type="dxa"/>
        <w:tblInd w:w="250" w:type="dxa"/>
        <w:tblBorders>
          <w:top w:val="single" w:sz="12" w:space="0" w:color="008000"/>
          <w:bottom w:val="single" w:sz="12" w:space="0" w:color="008000"/>
          <w:insideH w:val="single" w:sz="4" w:space="0" w:color="008000"/>
        </w:tblBorders>
        <w:tblLayout w:type="fixed"/>
        <w:tblCellMar>
          <w:left w:w="10" w:type="dxa"/>
          <w:right w:w="10" w:type="dxa"/>
        </w:tblCellMar>
        <w:tblLook w:val="0000" w:firstRow="0" w:lastRow="0" w:firstColumn="0" w:lastColumn="0" w:noHBand="0" w:noVBand="0"/>
      </w:tblPr>
      <w:tblGrid>
        <w:gridCol w:w="457"/>
        <w:gridCol w:w="719"/>
        <w:gridCol w:w="680"/>
        <w:gridCol w:w="2113"/>
        <w:gridCol w:w="565"/>
        <w:gridCol w:w="457"/>
        <w:gridCol w:w="457"/>
        <w:gridCol w:w="457"/>
        <w:gridCol w:w="458"/>
        <w:gridCol w:w="457"/>
        <w:gridCol w:w="457"/>
        <w:gridCol w:w="457"/>
        <w:gridCol w:w="457"/>
        <w:gridCol w:w="470"/>
      </w:tblGrid>
      <w:tr w:rsidR="009363B8" w:rsidRPr="00A50215" w14:paraId="3A75D0DF" w14:textId="77777777" w:rsidTr="00C93353">
        <w:trPr>
          <w:trHeight w:val="276"/>
        </w:trPr>
        <w:tc>
          <w:tcPr>
            <w:tcW w:w="457" w:type="dxa"/>
            <w:shd w:val="clear" w:color="auto" w:fill="auto"/>
            <w:tcMar>
              <w:top w:w="0" w:type="dxa"/>
              <w:left w:w="108" w:type="dxa"/>
              <w:bottom w:w="0" w:type="dxa"/>
              <w:right w:w="108" w:type="dxa"/>
            </w:tcMar>
          </w:tcPr>
          <w:p w14:paraId="00BB151A"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30</w:t>
            </w:r>
          </w:p>
        </w:tc>
        <w:tc>
          <w:tcPr>
            <w:tcW w:w="719" w:type="dxa"/>
            <w:shd w:val="clear" w:color="auto" w:fill="auto"/>
            <w:tcMar>
              <w:top w:w="0" w:type="dxa"/>
              <w:left w:w="108" w:type="dxa"/>
              <w:bottom w:w="0" w:type="dxa"/>
              <w:right w:w="108" w:type="dxa"/>
            </w:tcMar>
            <w:vAlign w:val="center"/>
          </w:tcPr>
          <w:p w14:paraId="2425277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914</w:t>
            </w:r>
          </w:p>
        </w:tc>
        <w:tc>
          <w:tcPr>
            <w:tcW w:w="680" w:type="dxa"/>
            <w:shd w:val="clear" w:color="auto" w:fill="auto"/>
            <w:tcMar>
              <w:top w:w="0" w:type="dxa"/>
              <w:left w:w="108" w:type="dxa"/>
              <w:bottom w:w="0" w:type="dxa"/>
              <w:right w:w="108" w:type="dxa"/>
            </w:tcMar>
            <w:vAlign w:val="center"/>
          </w:tcPr>
          <w:p w14:paraId="4068C439"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2,68</w:t>
            </w:r>
          </w:p>
        </w:tc>
        <w:tc>
          <w:tcPr>
            <w:tcW w:w="2113" w:type="dxa"/>
            <w:shd w:val="clear" w:color="auto" w:fill="auto"/>
            <w:tcMar>
              <w:top w:w="0" w:type="dxa"/>
              <w:left w:w="108" w:type="dxa"/>
              <w:bottom w:w="0" w:type="dxa"/>
              <w:right w:w="108" w:type="dxa"/>
            </w:tcMar>
            <w:vAlign w:val="center"/>
          </w:tcPr>
          <w:p w14:paraId="0E3C8D93"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Indane</w:t>
            </w:r>
          </w:p>
        </w:tc>
        <w:tc>
          <w:tcPr>
            <w:tcW w:w="565" w:type="dxa"/>
            <w:shd w:val="clear" w:color="auto" w:fill="BFBFBF" w:themeFill="background1" w:themeFillShade="BF"/>
            <w:tcMar>
              <w:top w:w="0" w:type="dxa"/>
              <w:left w:w="108" w:type="dxa"/>
              <w:bottom w:w="0" w:type="dxa"/>
              <w:right w:w="108" w:type="dxa"/>
            </w:tcMar>
            <w:vAlign w:val="center"/>
          </w:tcPr>
          <w:p w14:paraId="440FE78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13185C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3E4E59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F48158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B6F208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3ED8B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30DCFB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3E7298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631E05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4279170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136036BF" w14:textId="77777777" w:rsidTr="00C93353">
        <w:trPr>
          <w:trHeight w:val="276"/>
        </w:trPr>
        <w:tc>
          <w:tcPr>
            <w:tcW w:w="457" w:type="dxa"/>
            <w:shd w:val="clear" w:color="auto" w:fill="auto"/>
            <w:tcMar>
              <w:top w:w="0" w:type="dxa"/>
              <w:left w:w="108" w:type="dxa"/>
              <w:bottom w:w="0" w:type="dxa"/>
              <w:right w:w="108" w:type="dxa"/>
            </w:tcMar>
          </w:tcPr>
          <w:p w14:paraId="54DAC69D"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31</w:t>
            </w:r>
          </w:p>
        </w:tc>
        <w:tc>
          <w:tcPr>
            <w:tcW w:w="719" w:type="dxa"/>
            <w:shd w:val="clear" w:color="auto" w:fill="auto"/>
            <w:tcMar>
              <w:top w:w="0" w:type="dxa"/>
              <w:left w:w="108" w:type="dxa"/>
              <w:bottom w:w="0" w:type="dxa"/>
              <w:right w:w="108" w:type="dxa"/>
            </w:tcMar>
            <w:vAlign w:val="center"/>
          </w:tcPr>
          <w:p w14:paraId="68025970"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926</w:t>
            </w:r>
          </w:p>
        </w:tc>
        <w:tc>
          <w:tcPr>
            <w:tcW w:w="680" w:type="dxa"/>
            <w:shd w:val="clear" w:color="auto" w:fill="auto"/>
            <w:tcMar>
              <w:top w:w="0" w:type="dxa"/>
              <w:left w:w="108" w:type="dxa"/>
              <w:bottom w:w="0" w:type="dxa"/>
              <w:right w:w="108" w:type="dxa"/>
            </w:tcMar>
            <w:vAlign w:val="center"/>
          </w:tcPr>
          <w:p w14:paraId="3D2E06D0"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2,13</w:t>
            </w:r>
          </w:p>
        </w:tc>
        <w:tc>
          <w:tcPr>
            <w:tcW w:w="2113" w:type="dxa"/>
            <w:shd w:val="clear" w:color="auto" w:fill="auto"/>
            <w:tcMar>
              <w:top w:w="0" w:type="dxa"/>
              <w:left w:w="108" w:type="dxa"/>
              <w:bottom w:w="0" w:type="dxa"/>
              <w:right w:w="108" w:type="dxa"/>
            </w:tcMar>
            <w:vAlign w:val="center"/>
          </w:tcPr>
          <w:p w14:paraId="29C82D56"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p-cymene</w:t>
            </w:r>
          </w:p>
        </w:tc>
        <w:tc>
          <w:tcPr>
            <w:tcW w:w="565" w:type="dxa"/>
            <w:shd w:val="clear" w:color="auto" w:fill="BFBFBF" w:themeFill="background1" w:themeFillShade="BF"/>
            <w:tcMar>
              <w:top w:w="0" w:type="dxa"/>
              <w:left w:w="108" w:type="dxa"/>
              <w:bottom w:w="0" w:type="dxa"/>
              <w:right w:w="108" w:type="dxa"/>
            </w:tcMar>
            <w:vAlign w:val="center"/>
          </w:tcPr>
          <w:p w14:paraId="7F7FF29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A89729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5FE543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8F091E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01A03F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115F0D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1C656F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102B47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FD233A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4E14E9F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3A6E4ADE" w14:textId="77777777" w:rsidTr="00C93353">
        <w:trPr>
          <w:trHeight w:val="276"/>
        </w:trPr>
        <w:tc>
          <w:tcPr>
            <w:tcW w:w="457" w:type="dxa"/>
            <w:shd w:val="clear" w:color="auto" w:fill="auto"/>
            <w:tcMar>
              <w:top w:w="0" w:type="dxa"/>
              <w:left w:w="108" w:type="dxa"/>
              <w:bottom w:w="0" w:type="dxa"/>
              <w:right w:w="108" w:type="dxa"/>
            </w:tcMar>
          </w:tcPr>
          <w:p w14:paraId="6D20EF96"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32</w:t>
            </w:r>
          </w:p>
        </w:tc>
        <w:tc>
          <w:tcPr>
            <w:tcW w:w="719" w:type="dxa"/>
            <w:shd w:val="clear" w:color="auto" w:fill="auto"/>
            <w:tcMar>
              <w:top w:w="0" w:type="dxa"/>
              <w:left w:w="108" w:type="dxa"/>
              <w:bottom w:w="0" w:type="dxa"/>
              <w:right w:w="108" w:type="dxa"/>
            </w:tcMar>
            <w:vAlign w:val="center"/>
          </w:tcPr>
          <w:p w14:paraId="2394422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938</w:t>
            </w:r>
          </w:p>
        </w:tc>
        <w:tc>
          <w:tcPr>
            <w:tcW w:w="680" w:type="dxa"/>
            <w:shd w:val="clear" w:color="auto" w:fill="auto"/>
            <w:tcMar>
              <w:top w:w="0" w:type="dxa"/>
              <w:left w:w="108" w:type="dxa"/>
              <w:bottom w:w="0" w:type="dxa"/>
              <w:right w:w="108" w:type="dxa"/>
            </w:tcMar>
            <w:vAlign w:val="center"/>
          </w:tcPr>
          <w:p w14:paraId="09BACB5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1,30</w:t>
            </w:r>
          </w:p>
        </w:tc>
        <w:tc>
          <w:tcPr>
            <w:tcW w:w="2113" w:type="dxa"/>
            <w:shd w:val="clear" w:color="auto" w:fill="auto"/>
            <w:tcMar>
              <w:top w:w="0" w:type="dxa"/>
              <w:left w:w="108" w:type="dxa"/>
              <w:bottom w:w="0" w:type="dxa"/>
              <w:right w:w="108" w:type="dxa"/>
            </w:tcMar>
            <w:vAlign w:val="center"/>
          </w:tcPr>
          <w:p w14:paraId="5E172457"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Unde</w:t>
            </w:r>
            <w:r>
              <w:rPr>
                <w:rFonts w:eastAsia="Calibri" w:cs="Arial"/>
                <w:szCs w:val="18"/>
                <w:lang w:val="pl-PL"/>
              </w:rPr>
              <w:t>c</w:t>
            </w:r>
            <w:r w:rsidRPr="00A50215">
              <w:rPr>
                <w:rFonts w:eastAsia="Calibri" w:cs="Arial"/>
                <w:szCs w:val="18"/>
                <w:lang w:val="pl-PL"/>
              </w:rPr>
              <w:t xml:space="preserve">ane </w:t>
            </w:r>
          </w:p>
        </w:tc>
        <w:tc>
          <w:tcPr>
            <w:tcW w:w="565" w:type="dxa"/>
            <w:shd w:val="clear" w:color="auto" w:fill="BFBFBF" w:themeFill="background1" w:themeFillShade="BF"/>
            <w:tcMar>
              <w:top w:w="0" w:type="dxa"/>
              <w:left w:w="108" w:type="dxa"/>
              <w:bottom w:w="0" w:type="dxa"/>
              <w:right w:w="108" w:type="dxa"/>
            </w:tcMar>
            <w:vAlign w:val="center"/>
          </w:tcPr>
          <w:p w14:paraId="38D9FAB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D751C6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0CF329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7D3E9C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37BB350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3ED416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FF3D92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8DF606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C81123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1EA4FC4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7BD6039C" w14:textId="77777777" w:rsidTr="00C93353">
        <w:trPr>
          <w:trHeight w:val="276"/>
        </w:trPr>
        <w:tc>
          <w:tcPr>
            <w:tcW w:w="457" w:type="dxa"/>
            <w:shd w:val="clear" w:color="auto" w:fill="auto"/>
            <w:tcMar>
              <w:top w:w="0" w:type="dxa"/>
              <w:left w:w="108" w:type="dxa"/>
              <w:bottom w:w="0" w:type="dxa"/>
              <w:right w:w="108" w:type="dxa"/>
            </w:tcMar>
          </w:tcPr>
          <w:p w14:paraId="343AE6CA"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33</w:t>
            </w:r>
          </w:p>
        </w:tc>
        <w:tc>
          <w:tcPr>
            <w:tcW w:w="719" w:type="dxa"/>
            <w:shd w:val="clear" w:color="auto" w:fill="auto"/>
            <w:tcMar>
              <w:top w:w="0" w:type="dxa"/>
              <w:left w:w="108" w:type="dxa"/>
              <w:bottom w:w="0" w:type="dxa"/>
              <w:right w:w="108" w:type="dxa"/>
            </w:tcMar>
            <w:vAlign w:val="center"/>
          </w:tcPr>
          <w:p w14:paraId="52B4997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954</w:t>
            </w:r>
          </w:p>
        </w:tc>
        <w:tc>
          <w:tcPr>
            <w:tcW w:w="680" w:type="dxa"/>
            <w:shd w:val="clear" w:color="auto" w:fill="auto"/>
            <w:tcMar>
              <w:top w:w="0" w:type="dxa"/>
              <w:left w:w="108" w:type="dxa"/>
              <w:bottom w:w="0" w:type="dxa"/>
              <w:right w:w="108" w:type="dxa"/>
            </w:tcMar>
            <w:vAlign w:val="center"/>
          </w:tcPr>
          <w:p w14:paraId="756F578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1,96</w:t>
            </w:r>
          </w:p>
        </w:tc>
        <w:tc>
          <w:tcPr>
            <w:tcW w:w="2113" w:type="dxa"/>
            <w:shd w:val="clear" w:color="auto" w:fill="auto"/>
            <w:tcMar>
              <w:top w:w="0" w:type="dxa"/>
              <w:left w:w="108" w:type="dxa"/>
              <w:bottom w:w="0" w:type="dxa"/>
              <w:right w:w="108" w:type="dxa"/>
            </w:tcMar>
            <w:vAlign w:val="center"/>
          </w:tcPr>
          <w:p w14:paraId="4B7D707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Acetophenone</w:t>
            </w:r>
          </w:p>
        </w:tc>
        <w:tc>
          <w:tcPr>
            <w:tcW w:w="565" w:type="dxa"/>
            <w:shd w:val="clear" w:color="auto" w:fill="BFBFBF" w:themeFill="background1" w:themeFillShade="BF"/>
            <w:tcMar>
              <w:top w:w="0" w:type="dxa"/>
              <w:left w:w="108" w:type="dxa"/>
              <w:bottom w:w="0" w:type="dxa"/>
              <w:right w:w="108" w:type="dxa"/>
            </w:tcMar>
            <w:vAlign w:val="center"/>
          </w:tcPr>
          <w:p w14:paraId="2651704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D4C6FB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865995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CB96A3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02D7DC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C3E158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4CDA42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01F558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D2091A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357F9DD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16FA24BE" w14:textId="77777777" w:rsidTr="00C93353">
        <w:trPr>
          <w:trHeight w:val="276"/>
        </w:trPr>
        <w:tc>
          <w:tcPr>
            <w:tcW w:w="457" w:type="dxa"/>
            <w:shd w:val="clear" w:color="auto" w:fill="auto"/>
            <w:tcMar>
              <w:top w:w="0" w:type="dxa"/>
              <w:left w:w="108" w:type="dxa"/>
              <w:bottom w:w="0" w:type="dxa"/>
              <w:right w:w="108" w:type="dxa"/>
            </w:tcMar>
          </w:tcPr>
          <w:p w14:paraId="5C5569B6"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34</w:t>
            </w:r>
          </w:p>
        </w:tc>
        <w:tc>
          <w:tcPr>
            <w:tcW w:w="719" w:type="dxa"/>
            <w:shd w:val="clear" w:color="auto" w:fill="auto"/>
            <w:tcMar>
              <w:top w:w="0" w:type="dxa"/>
              <w:left w:w="108" w:type="dxa"/>
              <w:bottom w:w="0" w:type="dxa"/>
              <w:right w:w="108" w:type="dxa"/>
            </w:tcMar>
            <w:vAlign w:val="center"/>
          </w:tcPr>
          <w:p w14:paraId="53C556A3"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986</w:t>
            </w:r>
          </w:p>
        </w:tc>
        <w:tc>
          <w:tcPr>
            <w:tcW w:w="680" w:type="dxa"/>
            <w:shd w:val="clear" w:color="auto" w:fill="auto"/>
            <w:tcMar>
              <w:top w:w="0" w:type="dxa"/>
              <w:left w:w="108" w:type="dxa"/>
              <w:bottom w:w="0" w:type="dxa"/>
              <w:right w:w="108" w:type="dxa"/>
            </w:tcMar>
            <w:vAlign w:val="center"/>
          </w:tcPr>
          <w:p w14:paraId="54999E27"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2,84</w:t>
            </w:r>
          </w:p>
        </w:tc>
        <w:tc>
          <w:tcPr>
            <w:tcW w:w="2113" w:type="dxa"/>
            <w:shd w:val="clear" w:color="auto" w:fill="auto"/>
            <w:tcMar>
              <w:top w:w="0" w:type="dxa"/>
              <w:left w:w="108" w:type="dxa"/>
              <w:bottom w:w="0" w:type="dxa"/>
              <w:right w:w="108" w:type="dxa"/>
            </w:tcMar>
            <w:vAlign w:val="center"/>
          </w:tcPr>
          <w:p w14:paraId="24553070"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Dihydromyrcenol</w:t>
            </w:r>
          </w:p>
        </w:tc>
        <w:tc>
          <w:tcPr>
            <w:tcW w:w="565" w:type="dxa"/>
            <w:shd w:val="clear" w:color="auto" w:fill="BFBFBF" w:themeFill="background1" w:themeFillShade="BF"/>
            <w:tcMar>
              <w:top w:w="0" w:type="dxa"/>
              <w:left w:w="108" w:type="dxa"/>
              <w:bottom w:w="0" w:type="dxa"/>
              <w:right w:w="108" w:type="dxa"/>
            </w:tcMar>
            <w:vAlign w:val="center"/>
          </w:tcPr>
          <w:p w14:paraId="732FEC3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086B8C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B6C65D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88AD87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71A0443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C67030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6EACFE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93572A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27D60C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6EF70EA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D553630" w14:textId="77777777" w:rsidTr="00C93353">
        <w:trPr>
          <w:trHeight w:val="276"/>
        </w:trPr>
        <w:tc>
          <w:tcPr>
            <w:tcW w:w="457" w:type="dxa"/>
            <w:shd w:val="clear" w:color="auto" w:fill="auto"/>
            <w:tcMar>
              <w:top w:w="0" w:type="dxa"/>
              <w:left w:w="108" w:type="dxa"/>
              <w:bottom w:w="0" w:type="dxa"/>
              <w:right w:w="108" w:type="dxa"/>
            </w:tcMar>
          </w:tcPr>
          <w:p w14:paraId="15603B1B"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35</w:t>
            </w:r>
          </w:p>
        </w:tc>
        <w:tc>
          <w:tcPr>
            <w:tcW w:w="719" w:type="dxa"/>
            <w:shd w:val="clear" w:color="auto" w:fill="auto"/>
            <w:tcMar>
              <w:top w:w="0" w:type="dxa"/>
              <w:left w:w="108" w:type="dxa"/>
              <w:bottom w:w="0" w:type="dxa"/>
              <w:right w:w="108" w:type="dxa"/>
            </w:tcMar>
            <w:vAlign w:val="center"/>
          </w:tcPr>
          <w:p w14:paraId="27C8497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998</w:t>
            </w:r>
          </w:p>
        </w:tc>
        <w:tc>
          <w:tcPr>
            <w:tcW w:w="680" w:type="dxa"/>
            <w:shd w:val="clear" w:color="auto" w:fill="auto"/>
            <w:tcMar>
              <w:top w:w="0" w:type="dxa"/>
              <w:left w:w="108" w:type="dxa"/>
              <w:bottom w:w="0" w:type="dxa"/>
              <w:right w:w="108" w:type="dxa"/>
            </w:tcMar>
            <w:vAlign w:val="center"/>
          </w:tcPr>
          <w:p w14:paraId="49B7E93F"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2,24</w:t>
            </w:r>
          </w:p>
        </w:tc>
        <w:tc>
          <w:tcPr>
            <w:tcW w:w="2113" w:type="dxa"/>
            <w:shd w:val="clear" w:color="auto" w:fill="auto"/>
            <w:tcMar>
              <w:top w:w="0" w:type="dxa"/>
              <w:left w:w="108" w:type="dxa"/>
              <w:bottom w:w="0" w:type="dxa"/>
              <w:right w:w="108" w:type="dxa"/>
            </w:tcMar>
            <w:vAlign w:val="center"/>
          </w:tcPr>
          <w:p w14:paraId="2F7BEF8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o-cymene</w:t>
            </w:r>
          </w:p>
        </w:tc>
        <w:tc>
          <w:tcPr>
            <w:tcW w:w="565" w:type="dxa"/>
            <w:shd w:val="clear" w:color="auto" w:fill="BFBFBF" w:themeFill="background1" w:themeFillShade="BF"/>
            <w:tcMar>
              <w:top w:w="0" w:type="dxa"/>
              <w:left w:w="108" w:type="dxa"/>
              <w:bottom w:w="0" w:type="dxa"/>
              <w:right w:w="108" w:type="dxa"/>
            </w:tcMar>
            <w:vAlign w:val="center"/>
          </w:tcPr>
          <w:p w14:paraId="409FE4A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12DA3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B4B49A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254557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85EB37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418510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3E916C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01B30E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E2FBD4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587CF87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EF2270A" w14:textId="77777777" w:rsidTr="00C93353">
        <w:trPr>
          <w:trHeight w:val="276"/>
        </w:trPr>
        <w:tc>
          <w:tcPr>
            <w:tcW w:w="457" w:type="dxa"/>
            <w:shd w:val="clear" w:color="auto" w:fill="auto"/>
            <w:tcMar>
              <w:top w:w="0" w:type="dxa"/>
              <w:left w:w="108" w:type="dxa"/>
              <w:bottom w:w="0" w:type="dxa"/>
              <w:right w:w="108" w:type="dxa"/>
            </w:tcMar>
          </w:tcPr>
          <w:p w14:paraId="590CAF6B"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36</w:t>
            </w:r>
          </w:p>
        </w:tc>
        <w:tc>
          <w:tcPr>
            <w:tcW w:w="719" w:type="dxa"/>
            <w:shd w:val="clear" w:color="auto" w:fill="auto"/>
            <w:tcMar>
              <w:top w:w="0" w:type="dxa"/>
              <w:left w:w="108" w:type="dxa"/>
              <w:bottom w:w="0" w:type="dxa"/>
              <w:right w:w="108" w:type="dxa"/>
            </w:tcMar>
            <w:vAlign w:val="center"/>
          </w:tcPr>
          <w:p w14:paraId="56B28FD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1022</w:t>
            </w:r>
          </w:p>
        </w:tc>
        <w:tc>
          <w:tcPr>
            <w:tcW w:w="680" w:type="dxa"/>
            <w:shd w:val="clear" w:color="auto" w:fill="auto"/>
            <w:tcMar>
              <w:top w:w="0" w:type="dxa"/>
              <w:left w:w="108" w:type="dxa"/>
              <w:bottom w:w="0" w:type="dxa"/>
              <w:right w:w="108" w:type="dxa"/>
            </w:tcMar>
            <w:vAlign w:val="center"/>
          </w:tcPr>
          <w:p w14:paraId="1B45CBA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1,29</w:t>
            </w:r>
          </w:p>
        </w:tc>
        <w:tc>
          <w:tcPr>
            <w:tcW w:w="2113" w:type="dxa"/>
            <w:shd w:val="clear" w:color="auto" w:fill="auto"/>
            <w:tcMar>
              <w:top w:w="0" w:type="dxa"/>
              <w:left w:w="108" w:type="dxa"/>
              <w:bottom w:w="0" w:type="dxa"/>
              <w:right w:w="108" w:type="dxa"/>
            </w:tcMar>
            <w:vAlign w:val="center"/>
          </w:tcPr>
          <w:p w14:paraId="5FA2B29D"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Dodecane</w:t>
            </w:r>
          </w:p>
        </w:tc>
        <w:tc>
          <w:tcPr>
            <w:tcW w:w="565" w:type="dxa"/>
            <w:shd w:val="clear" w:color="auto" w:fill="BFBFBF" w:themeFill="background1" w:themeFillShade="BF"/>
            <w:tcMar>
              <w:top w:w="0" w:type="dxa"/>
              <w:left w:w="108" w:type="dxa"/>
              <w:bottom w:w="0" w:type="dxa"/>
              <w:right w:w="108" w:type="dxa"/>
            </w:tcMar>
            <w:vAlign w:val="center"/>
          </w:tcPr>
          <w:p w14:paraId="7FAB0EE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0683E1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A21CCD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DBC5CE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E45BD7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483A35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91DA07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0A1ABA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542146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2314C5B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B35A1BC" w14:textId="77777777" w:rsidTr="00C93353">
        <w:trPr>
          <w:trHeight w:val="276"/>
        </w:trPr>
        <w:tc>
          <w:tcPr>
            <w:tcW w:w="457" w:type="dxa"/>
            <w:shd w:val="clear" w:color="auto" w:fill="auto"/>
            <w:tcMar>
              <w:top w:w="0" w:type="dxa"/>
              <w:left w:w="108" w:type="dxa"/>
              <w:bottom w:w="0" w:type="dxa"/>
              <w:right w:w="108" w:type="dxa"/>
            </w:tcMar>
          </w:tcPr>
          <w:p w14:paraId="5AD0ACDB"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37</w:t>
            </w:r>
          </w:p>
        </w:tc>
        <w:tc>
          <w:tcPr>
            <w:tcW w:w="719" w:type="dxa"/>
            <w:shd w:val="clear" w:color="auto" w:fill="auto"/>
            <w:tcMar>
              <w:top w:w="0" w:type="dxa"/>
              <w:left w:w="108" w:type="dxa"/>
              <w:bottom w:w="0" w:type="dxa"/>
              <w:right w:w="108" w:type="dxa"/>
            </w:tcMar>
            <w:vAlign w:val="center"/>
          </w:tcPr>
          <w:p w14:paraId="12844213"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1038</w:t>
            </w:r>
          </w:p>
        </w:tc>
        <w:tc>
          <w:tcPr>
            <w:tcW w:w="680" w:type="dxa"/>
            <w:shd w:val="clear" w:color="auto" w:fill="auto"/>
            <w:tcMar>
              <w:top w:w="0" w:type="dxa"/>
              <w:left w:w="108" w:type="dxa"/>
              <w:bottom w:w="0" w:type="dxa"/>
              <w:right w:w="108" w:type="dxa"/>
            </w:tcMar>
            <w:vAlign w:val="center"/>
          </w:tcPr>
          <w:p w14:paraId="76E797AF"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2,34</w:t>
            </w:r>
          </w:p>
        </w:tc>
        <w:tc>
          <w:tcPr>
            <w:tcW w:w="2113" w:type="dxa"/>
            <w:shd w:val="clear" w:color="auto" w:fill="auto"/>
            <w:tcMar>
              <w:top w:w="0" w:type="dxa"/>
              <w:left w:w="108" w:type="dxa"/>
              <w:bottom w:w="0" w:type="dxa"/>
              <w:right w:w="108" w:type="dxa"/>
            </w:tcMar>
            <w:vAlign w:val="center"/>
          </w:tcPr>
          <w:p w14:paraId="2DB30B0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Tetrahydrolinalool</w:t>
            </w:r>
          </w:p>
        </w:tc>
        <w:tc>
          <w:tcPr>
            <w:tcW w:w="565" w:type="dxa"/>
            <w:shd w:val="clear" w:color="auto" w:fill="BFBFBF" w:themeFill="background1" w:themeFillShade="BF"/>
            <w:tcMar>
              <w:top w:w="0" w:type="dxa"/>
              <w:left w:w="108" w:type="dxa"/>
              <w:bottom w:w="0" w:type="dxa"/>
              <w:right w:w="108" w:type="dxa"/>
            </w:tcMar>
            <w:vAlign w:val="center"/>
          </w:tcPr>
          <w:p w14:paraId="48BB38D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80E23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872CB0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6E3486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185D32C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A716E8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CA93AE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344B8C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E71B1F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6AC60EE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56EE6C62" w14:textId="77777777" w:rsidTr="00C93353">
        <w:trPr>
          <w:trHeight w:val="276"/>
        </w:trPr>
        <w:tc>
          <w:tcPr>
            <w:tcW w:w="457" w:type="dxa"/>
            <w:shd w:val="clear" w:color="auto" w:fill="auto"/>
            <w:tcMar>
              <w:top w:w="0" w:type="dxa"/>
              <w:left w:w="108" w:type="dxa"/>
              <w:bottom w:w="0" w:type="dxa"/>
              <w:right w:w="108" w:type="dxa"/>
            </w:tcMar>
          </w:tcPr>
          <w:p w14:paraId="638A7499"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38</w:t>
            </w:r>
          </w:p>
        </w:tc>
        <w:tc>
          <w:tcPr>
            <w:tcW w:w="719" w:type="dxa"/>
            <w:shd w:val="clear" w:color="auto" w:fill="auto"/>
            <w:tcMar>
              <w:top w:w="0" w:type="dxa"/>
              <w:left w:w="108" w:type="dxa"/>
              <w:bottom w:w="0" w:type="dxa"/>
              <w:right w:w="108" w:type="dxa"/>
            </w:tcMar>
            <w:vAlign w:val="center"/>
          </w:tcPr>
          <w:p w14:paraId="51A8007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1042</w:t>
            </w:r>
          </w:p>
        </w:tc>
        <w:tc>
          <w:tcPr>
            <w:tcW w:w="680" w:type="dxa"/>
            <w:shd w:val="clear" w:color="auto" w:fill="auto"/>
            <w:tcMar>
              <w:top w:w="0" w:type="dxa"/>
              <w:left w:w="108" w:type="dxa"/>
              <w:bottom w:w="0" w:type="dxa"/>
              <w:right w:w="108" w:type="dxa"/>
            </w:tcMar>
            <w:vAlign w:val="center"/>
          </w:tcPr>
          <w:p w14:paraId="35271B9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1,39</w:t>
            </w:r>
          </w:p>
        </w:tc>
        <w:tc>
          <w:tcPr>
            <w:tcW w:w="2113" w:type="dxa"/>
            <w:shd w:val="clear" w:color="auto" w:fill="auto"/>
            <w:tcMar>
              <w:top w:w="0" w:type="dxa"/>
              <w:left w:w="108" w:type="dxa"/>
              <w:bottom w:w="0" w:type="dxa"/>
              <w:right w:w="108" w:type="dxa"/>
            </w:tcMar>
            <w:vAlign w:val="center"/>
          </w:tcPr>
          <w:p w14:paraId="38595BF3"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1-undecene</w:t>
            </w:r>
          </w:p>
        </w:tc>
        <w:tc>
          <w:tcPr>
            <w:tcW w:w="565" w:type="dxa"/>
            <w:shd w:val="clear" w:color="auto" w:fill="BFBFBF" w:themeFill="background1" w:themeFillShade="BF"/>
            <w:tcMar>
              <w:top w:w="0" w:type="dxa"/>
              <w:left w:w="108" w:type="dxa"/>
              <w:bottom w:w="0" w:type="dxa"/>
              <w:right w:w="108" w:type="dxa"/>
            </w:tcMar>
            <w:vAlign w:val="center"/>
          </w:tcPr>
          <w:p w14:paraId="57293DB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4305C8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E5BA8B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D63B13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491A0A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1CD308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7CBDA0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27710D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CCEA01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4DE14A5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170F8D8" w14:textId="77777777" w:rsidTr="00C93353">
        <w:trPr>
          <w:trHeight w:val="276"/>
        </w:trPr>
        <w:tc>
          <w:tcPr>
            <w:tcW w:w="457" w:type="dxa"/>
            <w:shd w:val="clear" w:color="auto" w:fill="auto"/>
            <w:tcMar>
              <w:top w:w="0" w:type="dxa"/>
              <w:left w:w="108" w:type="dxa"/>
              <w:bottom w:w="0" w:type="dxa"/>
              <w:right w:w="108" w:type="dxa"/>
            </w:tcMar>
          </w:tcPr>
          <w:p w14:paraId="13C0D7F3"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39</w:t>
            </w:r>
          </w:p>
        </w:tc>
        <w:tc>
          <w:tcPr>
            <w:tcW w:w="719" w:type="dxa"/>
            <w:shd w:val="clear" w:color="auto" w:fill="auto"/>
            <w:tcMar>
              <w:top w:w="0" w:type="dxa"/>
              <w:left w:w="108" w:type="dxa"/>
              <w:bottom w:w="0" w:type="dxa"/>
              <w:right w:w="108" w:type="dxa"/>
            </w:tcMar>
            <w:vAlign w:val="center"/>
          </w:tcPr>
          <w:p w14:paraId="682951C7"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1106</w:t>
            </w:r>
          </w:p>
        </w:tc>
        <w:tc>
          <w:tcPr>
            <w:tcW w:w="680" w:type="dxa"/>
            <w:shd w:val="clear" w:color="auto" w:fill="auto"/>
            <w:tcMar>
              <w:top w:w="0" w:type="dxa"/>
              <w:left w:w="108" w:type="dxa"/>
              <w:bottom w:w="0" w:type="dxa"/>
              <w:right w:w="108" w:type="dxa"/>
            </w:tcMar>
            <w:vAlign w:val="center"/>
          </w:tcPr>
          <w:p w14:paraId="14332A9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1,31</w:t>
            </w:r>
          </w:p>
        </w:tc>
        <w:tc>
          <w:tcPr>
            <w:tcW w:w="2113" w:type="dxa"/>
            <w:shd w:val="clear" w:color="auto" w:fill="auto"/>
            <w:tcMar>
              <w:top w:w="0" w:type="dxa"/>
              <w:left w:w="108" w:type="dxa"/>
              <w:bottom w:w="0" w:type="dxa"/>
              <w:right w:w="108" w:type="dxa"/>
            </w:tcMar>
            <w:vAlign w:val="center"/>
          </w:tcPr>
          <w:p w14:paraId="09F5C0E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3,7-Dimethyldecane</w:t>
            </w:r>
          </w:p>
        </w:tc>
        <w:tc>
          <w:tcPr>
            <w:tcW w:w="565" w:type="dxa"/>
            <w:shd w:val="clear" w:color="auto" w:fill="BFBFBF" w:themeFill="background1" w:themeFillShade="BF"/>
            <w:tcMar>
              <w:top w:w="0" w:type="dxa"/>
              <w:left w:w="108" w:type="dxa"/>
              <w:bottom w:w="0" w:type="dxa"/>
              <w:right w:w="108" w:type="dxa"/>
            </w:tcMar>
            <w:vAlign w:val="center"/>
          </w:tcPr>
          <w:p w14:paraId="33F5C31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64A488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ACC866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34E16A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5C9008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B271E4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6C169B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500E50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E5FE23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0F761E3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7346E3C" w14:textId="77777777" w:rsidTr="00C93353">
        <w:trPr>
          <w:trHeight w:val="276"/>
        </w:trPr>
        <w:tc>
          <w:tcPr>
            <w:tcW w:w="457" w:type="dxa"/>
            <w:shd w:val="clear" w:color="auto" w:fill="auto"/>
            <w:tcMar>
              <w:top w:w="0" w:type="dxa"/>
              <w:left w:w="108" w:type="dxa"/>
              <w:bottom w:w="0" w:type="dxa"/>
              <w:right w:w="108" w:type="dxa"/>
            </w:tcMar>
          </w:tcPr>
          <w:p w14:paraId="26075568"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40</w:t>
            </w:r>
          </w:p>
        </w:tc>
        <w:tc>
          <w:tcPr>
            <w:tcW w:w="719" w:type="dxa"/>
            <w:shd w:val="clear" w:color="auto" w:fill="auto"/>
            <w:tcMar>
              <w:top w:w="0" w:type="dxa"/>
              <w:left w:w="108" w:type="dxa"/>
              <w:bottom w:w="0" w:type="dxa"/>
              <w:right w:w="108" w:type="dxa"/>
            </w:tcMar>
            <w:vAlign w:val="center"/>
          </w:tcPr>
          <w:p w14:paraId="02642F9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1142</w:t>
            </w:r>
          </w:p>
        </w:tc>
        <w:tc>
          <w:tcPr>
            <w:tcW w:w="680" w:type="dxa"/>
            <w:shd w:val="clear" w:color="auto" w:fill="auto"/>
            <w:tcMar>
              <w:top w:w="0" w:type="dxa"/>
              <w:left w:w="108" w:type="dxa"/>
              <w:bottom w:w="0" w:type="dxa"/>
              <w:right w:w="108" w:type="dxa"/>
            </w:tcMar>
            <w:vAlign w:val="center"/>
          </w:tcPr>
          <w:p w14:paraId="58820E77"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2,30</w:t>
            </w:r>
          </w:p>
        </w:tc>
        <w:tc>
          <w:tcPr>
            <w:tcW w:w="2113" w:type="dxa"/>
            <w:shd w:val="clear" w:color="auto" w:fill="auto"/>
            <w:tcMar>
              <w:top w:w="0" w:type="dxa"/>
              <w:left w:w="108" w:type="dxa"/>
              <w:bottom w:w="0" w:type="dxa"/>
              <w:right w:w="108" w:type="dxa"/>
            </w:tcMar>
            <w:vAlign w:val="center"/>
          </w:tcPr>
          <w:p w14:paraId="1071D2F0"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2-pentylthiophene</w:t>
            </w:r>
          </w:p>
        </w:tc>
        <w:tc>
          <w:tcPr>
            <w:tcW w:w="565" w:type="dxa"/>
            <w:shd w:val="clear" w:color="auto" w:fill="BFBFBF" w:themeFill="background1" w:themeFillShade="BF"/>
            <w:tcMar>
              <w:top w:w="0" w:type="dxa"/>
              <w:left w:w="108" w:type="dxa"/>
              <w:bottom w:w="0" w:type="dxa"/>
              <w:right w:w="108" w:type="dxa"/>
            </w:tcMar>
            <w:vAlign w:val="center"/>
          </w:tcPr>
          <w:p w14:paraId="79B5F44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469901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0C916F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D8321C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AB3A88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955502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8F0035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ABC018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993A6B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206F419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F64E495" w14:textId="77777777" w:rsidTr="00C93353">
        <w:trPr>
          <w:trHeight w:val="276"/>
        </w:trPr>
        <w:tc>
          <w:tcPr>
            <w:tcW w:w="457" w:type="dxa"/>
            <w:shd w:val="clear" w:color="auto" w:fill="auto"/>
            <w:tcMar>
              <w:top w:w="0" w:type="dxa"/>
              <w:left w:w="108" w:type="dxa"/>
              <w:bottom w:w="0" w:type="dxa"/>
              <w:right w:w="108" w:type="dxa"/>
            </w:tcMar>
          </w:tcPr>
          <w:p w14:paraId="6175E3F6"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41</w:t>
            </w:r>
          </w:p>
        </w:tc>
        <w:tc>
          <w:tcPr>
            <w:tcW w:w="719" w:type="dxa"/>
            <w:shd w:val="clear" w:color="auto" w:fill="auto"/>
            <w:tcMar>
              <w:top w:w="0" w:type="dxa"/>
              <w:left w:w="108" w:type="dxa"/>
              <w:bottom w:w="0" w:type="dxa"/>
              <w:right w:w="108" w:type="dxa"/>
            </w:tcMar>
            <w:vAlign w:val="center"/>
          </w:tcPr>
          <w:p w14:paraId="02B7515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1230</w:t>
            </w:r>
          </w:p>
        </w:tc>
        <w:tc>
          <w:tcPr>
            <w:tcW w:w="680" w:type="dxa"/>
            <w:shd w:val="clear" w:color="auto" w:fill="auto"/>
            <w:tcMar>
              <w:top w:w="0" w:type="dxa"/>
              <w:left w:w="108" w:type="dxa"/>
              <w:bottom w:w="0" w:type="dxa"/>
              <w:right w:w="108" w:type="dxa"/>
            </w:tcMar>
            <w:vAlign w:val="center"/>
          </w:tcPr>
          <w:p w14:paraId="4DB89C4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1,33</w:t>
            </w:r>
          </w:p>
        </w:tc>
        <w:tc>
          <w:tcPr>
            <w:tcW w:w="2113" w:type="dxa"/>
            <w:shd w:val="clear" w:color="auto" w:fill="auto"/>
            <w:tcMar>
              <w:top w:w="0" w:type="dxa"/>
              <w:left w:w="108" w:type="dxa"/>
              <w:bottom w:w="0" w:type="dxa"/>
              <w:right w:w="108" w:type="dxa"/>
            </w:tcMar>
            <w:vAlign w:val="center"/>
          </w:tcPr>
          <w:p w14:paraId="3E4FF436"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T</w:t>
            </w:r>
            <w:r w:rsidRPr="00A50215">
              <w:rPr>
                <w:rFonts w:eastAsia="Calibri" w:cs="Arial"/>
                <w:szCs w:val="18"/>
                <w:lang w:val="pl-PL"/>
              </w:rPr>
              <w:t>etradecane</w:t>
            </w:r>
          </w:p>
        </w:tc>
        <w:tc>
          <w:tcPr>
            <w:tcW w:w="565" w:type="dxa"/>
            <w:shd w:val="clear" w:color="auto" w:fill="BFBFBF" w:themeFill="background1" w:themeFillShade="BF"/>
            <w:tcMar>
              <w:top w:w="0" w:type="dxa"/>
              <w:left w:w="108" w:type="dxa"/>
              <w:bottom w:w="0" w:type="dxa"/>
              <w:right w:w="108" w:type="dxa"/>
            </w:tcMar>
            <w:vAlign w:val="center"/>
          </w:tcPr>
          <w:p w14:paraId="1C5890B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CB5635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5B037A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452D21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85365F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27BC73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19666F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1F7FCD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1ABEDB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5BCC805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33E9868" w14:textId="77777777" w:rsidTr="00C93353">
        <w:trPr>
          <w:trHeight w:val="276"/>
        </w:trPr>
        <w:tc>
          <w:tcPr>
            <w:tcW w:w="457" w:type="dxa"/>
            <w:shd w:val="clear" w:color="auto" w:fill="auto"/>
            <w:tcMar>
              <w:top w:w="0" w:type="dxa"/>
              <w:left w:w="108" w:type="dxa"/>
              <w:bottom w:w="0" w:type="dxa"/>
              <w:right w:w="108" w:type="dxa"/>
            </w:tcMar>
          </w:tcPr>
          <w:p w14:paraId="6CA20F3A"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42</w:t>
            </w:r>
          </w:p>
        </w:tc>
        <w:tc>
          <w:tcPr>
            <w:tcW w:w="719" w:type="dxa"/>
            <w:shd w:val="clear" w:color="auto" w:fill="auto"/>
            <w:tcMar>
              <w:top w:w="0" w:type="dxa"/>
              <w:left w:w="108" w:type="dxa"/>
              <w:bottom w:w="0" w:type="dxa"/>
              <w:right w:w="108" w:type="dxa"/>
            </w:tcMar>
            <w:vAlign w:val="center"/>
          </w:tcPr>
          <w:p w14:paraId="202F21E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1230</w:t>
            </w:r>
          </w:p>
        </w:tc>
        <w:tc>
          <w:tcPr>
            <w:tcW w:w="680" w:type="dxa"/>
            <w:shd w:val="clear" w:color="auto" w:fill="auto"/>
            <w:tcMar>
              <w:top w:w="0" w:type="dxa"/>
              <w:left w:w="108" w:type="dxa"/>
              <w:bottom w:w="0" w:type="dxa"/>
              <w:right w:w="108" w:type="dxa"/>
            </w:tcMar>
            <w:vAlign w:val="center"/>
          </w:tcPr>
          <w:p w14:paraId="4B33675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1,90</w:t>
            </w:r>
          </w:p>
        </w:tc>
        <w:tc>
          <w:tcPr>
            <w:tcW w:w="2113" w:type="dxa"/>
            <w:shd w:val="clear" w:color="auto" w:fill="auto"/>
            <w:tcMar>
              <w:top w:w="0" w:type="dxa"/>
              <w:left w:w="108" w:type="dxa"/>
              <w:bottom w:w="0" w:type="dxa"/>
              <w:right w:w="108" w:type="dxa"/>
            </w:tcMar>
            <w:vAlign w:val="center"/>
          </w:tcPr>
          <w:p w14:paraId="0E0F593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3-octanone</w:t>
            </w:r>
          </w:p>
        </w:tc>
        <w:tc>
          <w:tcPr>
            <w:tcW w:w="565" w:type="dxa"/>
            <w:shd w:val="clear" w:color="auto" w:fill="BFBFBF" w:themeFill="background1" w:themeFillShade="BF"/>
            <w:tcMar>
              <w:top w:w="0" w:type="dxa"/>
              <w:left w:w="108" w:type="dxa"/>
              <w:bottom w:w="0" w:type="dxa"/>
              <w:right w:w="108" w:type="dxa"/>
            </w:tcMar>
            <w:vAlign w:val="center"/>
          </w:tcPr>
          <w:p w14:paraId="7DDE045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95A7A3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F106C2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412B10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7C1EE3C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81497D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911F17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06849D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BE5125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7DFCB87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CD382D2" w14:textId="77777777" w:rsidTr="00C93353">
        <w:trPr>
          <w:trHeight w:val="276"/>
        </w:trPr>
        <w:tc>
          <w:tcPr>
            <w:tcW w:w="457" w:type="dxa"/>
            <w:shd w:val="clear" w:color="auto" w:fill="auto"/>
            <w:tcMar>
              <w:top w:w="0" w:type="dxa"/>
              <w:left w:w="108" w:type="dxa"/>
              <w:bottom w:w="0" w:type="dxa"/>
              <w:right w:w="108" w:type="dxa"/>
            </w:tcMar>
          </w:tcPr>
          <w:p w14:paraId="7369B781"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43</w:t>
            </w:r>
          </w:p>
        </w:tc>
        <w:tc>
          <w:tcPr>
            <w:tcW w:w="719" w:type="dxa"/>
            <w:shd w:val="clear" w:color="auto" w:fill="auto"/>
            <w:tcMar>
              <w:top w:w="0" w:type="dxa"/>
              <w:left w:w="108" w:type="dxa"/>
              <w:bottom w:w="0" w:type="dxa"/>
              <w:right w:w="108" w:type="dxa"/>
            </w:tcMar>
            <w:vAlign w:val="center"/>
          </w:tcPr>
          <w:p w14:paraId="39B1B504"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1258</w:t>
            </w:r>
          </w:p>
        </w:tc>
        <w:tc>
          <w:tcPr>
            <w:tcW w:w="680" w:type="dxa"/>
            <w:shd w:val="clear" w:color="auto" w:fill="auto"/>
            <w:tcMar>
              <w:top w:w="0" w:type="dxa"/>
              <w:left w:w="108" w:type="dxa"/>
              <w:bottom w:w="0" w:type="dxa"/>
              <w:right w:w="108" w:type="dxa"/>
            </w:tcMar>
            <w:vAlign w:val="center"/>
          </w:tcPr>
          <w:p w14:paraId="717A3CA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1,31</w:t>
            </w:r>
          </w:p>
        </w:tc>
        <w:tc>
          <w:tcPr>
            <w:tcW w:w="2113" w:type="dxa"/>
            <w:shd w:val="clear" w:color="auto" w:fill="auto"/>
            <w:tcMar>
              <w:top w:w="0" w:type="dxa"/>
              <w:left w:w="108" w:type="dxa"/>
              <w:bottom w:w="0" w:type="dxa"/>
              <w:right w:w="108" w:type="dxa"/>
            </w:tcMar>
            <w:vAlign w:val="center"/>
          </w:tcPr>
          <w:p w14:paraId="7976E46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2,6-dimet</w:t>
            </w:r>
            <w:r>
              <w:rPr>
                <w:rFonts w:eastAsia="Calibri" w:cs="Arial"/>
                <w:szCs w:val="18"/>
                <w:lang w:val="pl-PL"/>
              </w:rPr>
              <w:t>h</w:t>
            </w:r>
            <w:r w:rsidRPr="00A50215">
              <w:rPr>
                <w:rFonts w:eastAsia="Calibri" w:cs="Arial"/>
                <w:szCs w:val="18"/>
                <w:lang w:val="pl-PL"/>
              </w:rPr>
              <w:t>ylunde</w:t>
            </w:r>
            <w:r>
              <w:rPr>
                <w:rFonts w:eastAsia="Calibri" w:cs="Arial"/>
                <w:szCs w:val="18"/>
                <w:lang w:val="pl-PL"/>
              </w:rPr>
              <w:t>c</w:t>
            </w:r>
            <w:r w:rsidRPr="00A50215">
              <w:rPr>
                <w:rFonts w:eastAsia="Calibri" w:cs="Arial"/>
                <w:szCs w:val="18"/>
                <w:lang w:val="pl-PL"/>
              </w:rPr>
              <w:t>an</w:t>
            </w:r>
            <w:r>
              <w:rPr>
                <w:rFonts w:eastAsia="Calibri" w:cs="Arial"/>
                <w:szCs w:val="18"/>
                <w:lang w:val="pl-PL"/>
              </w:rPr>
              <w:t>e</w:t>
            </w:r>
          </w:p>
        </w:tc>
        <w:tc>
          <w:tcPr>
            <w:tcW w:w="565" w:type="dxa"/>
            <w:shd w:val="clear" w:color="auto" w:fill="BFBFBF" w:themeFill="background1" w:themeFillShade="BF"/>
            <w:tcMar>
              <w:top w:w="0" w:type="dxa"/>
              <w:left w:w="108" w:type="dxa"/>
              <w:bottom w:w="0" w:type="dxa"/>
              <w:right w:w="108" w:type="dxa"/>
            </w:tcMar>
            <w:vAlign w:val="center"/>
          </w:tcPr>
          <w:p w14:paraId="61264EA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5A4AF9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9F119E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17BC24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63D823C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5E2A12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24C3C2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1ACF4B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334178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7078294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0125939" w14:textId="77777777" w:rsidTr="00C93353">
        <w:trPr>
          <w:trHeight w:val="276"/>
        </w:trPr>
        <w:tc>
          <w:tcPr>
            <w:tcW w:w="457" w:type="dxa"/>
            <w:shd w:val="clear" w:color="auto" w:fill="auto"/>
            <w:tcMar>
              <w:top w:w="0" w:type="dxa"/>
              <w:left w:w="108" w:type="dxa"/>
              <w:bottom w:w="0" w:type="dxa"/>
              <w:right w:w="108" w:type="dxa"/>
            </w:tcMar>
          </w:tcPr>
          <w:p w14:paraId="694E94D1"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44</w:t>
            </w:r>
          </w:p>
        </w:tc>
        <w:tc>
          <w:tcPr>
            <w:tcW w:w="719" w:type="dxa"/>
            <w:shd w:val="clear" w:color="auto" w:fill="auto"/>
            <w:tcMar>
              <w:top w:w="0" w:type="dxa"/>
              <w:left w:w="108" w:type="dxa"/>
              <w:bottom w:w="0" w:type="dxa"/>
              <w:right w:w="108" w:type="dxa"/>
            </w:tcMar>
            <w:vAlign w:val="center"/>
          </w:tcPr>
          <w:p w14:paraId="06B010A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1358</w:t>
            </w:r>
          </w:p>
        </w:tc>
        <w:tc>
          <w:tcPr>
            <w:tcW w:w="680" w:type="dxa"/>
            <w:shd w:val="clear" w:color="auto" w:fill="auto"/>
            <w:tcMar>
              <w:top w:w="0" w:type="dxa"/>
              <w:left w:w="108" w:type="dxa"/>
              <w:bottom w:w="0" w:type="dxa"/>
              <w:right w:w="108" w:type="dxa"/>
            </w:tcMar>
            <w:vAlign w:val="center"/>
          </w:tcPr>
          <w:p w14:paraId="2B7BEB1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1,30</w:t>
            </w:r>
          </w:p>
        </w:tc>
        <w:tc>
          <w:tcPr>
            <w:tcW w:w="2113" w:type="dxa"/>
            <w:shd w:val="clear" w:color="auto" w:fill="auto"/>
            <w:tcMar>
              <w:top w:w="0" w:type="dxa"/>
              <w:left w:w="108" w:type="dxa"/>
              <w:bottom w:w="0" w:type="dxa"/>
              <w:right w:w="108" w:type="dxa"/>
            </w:tcMar>
            <w:vAlign w:val="center"/>
          </w:tcPr>
          <w:p w14:paraId="4BF717C4"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2,3,7-trimethyloctane</w:t>
            </w:r>
          </w:p>
        </w:tc>
        <w:tc>
          <w:tcPr>
            <w:tcW w:w="565" w:type="dxa"/>
            <w:shd w:val="clear" w:color="auto" w:fill="BFBFBF" w:themeFill="background1" w:themeFillShade="BF"/>
            <w:tcMar>
              <w:top w:w="0" w:type="dxa"/>
              <w:left w:w="108" w:type="dxa"/>
              <w:bottom w:w="0" w:type="dxa"/>
              <w:right w:w="108" w:type="dxa"/>
            </w:tcMar>
            <w:vAlign w:val="center"/>
          </w:tcPr>
          <w:p w14:paraId="6157937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7C03CB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4E5996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73A364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F40BD9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1B669D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E06BC4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372274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D5A3BD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69B7826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0EE5C55" w14:textId="77777777" w:rsidTr="00C93353">
        <w:trPr>
          <w:trHeight w:val="276"/>
        </w:trPr>
        <w:tc>
          <w:tcPr>
            <w:tcW w:w="457" w:type="dxa"/>
            <w:shd w:val="clear" w:color="auto" w:fill="auto"/>
            <w:tcMar>
              <w:top w:w="0" w:type="dxa"/>
              <w:left w:w="108" w:type="dxa"/>
              <w:bottom w:w="0" w:type="dxa"/>
              <w:right w:w="108" w:type="dxa"/>
            </w:tcMar>
          </w:tcPr>
          <w:p w14:paraId="1AF5B534"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45</w:t>
            </w:r>
          </w:p>
        </w:tc>
        <w:tc>
          <w:tcPr>
            <w:tcW w:w="719" w:type="dxa"/>
            <w:shd w:val="clear" w:color="auto" w:fill="auto"/>
            <w:tcMar>
              <w:top w:w="0" w:type="dxa"/>
              <w:left w:w="108" w:type="dxa"/>
              <w:bottom w:w="0" w:type="dxa"/>
              <w:right w:w="108" w:type="dxa"/>
            </w:tcMar>
            <w:vAlign w:val="center"/>
          </w:tcPr>
          <w:p w14:paraId="5F35490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1366</w:t>
            </w:r>
          </w:p>
        </w:tc>
        <w:tc>
          <w:tcPr>
            <w:tcW w:w="680" w:type="dxa"/>
            <w:shd w:val="clear" w:color="auto" w:fill="auto"/>
            <w:tcMar>
              <w:top w:w="0" w:type="dxa"/>
              <w:left w:w="108" w:type="dxa"/>
              <w:bottom w:w="0" w:type="dxa"/>
              <w:right w:w="108" w:type="dxa"/>
            </w:tcMar>
            <w:vAlign w:val="center"/>
          </w:tcPr>
          <w:p w14:paraId="1A3F9A24"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0,50</w:t>
            </w:r>
          </w:p>
        </w:tc>
        <w:tc>
          <w:tcPr>
            <w:tcW w:w="2113" w:type="dxa"/>
            <w:shd w:val="clear" w:color="auto" w:fill="auto"/>
            <w:tcMar>
              <w:top w:w="0" w:type="dxa"/>
              <w:left w:w="108" w:type="dxa"/>
              <w:bottom w:w="0" w:type="dxa"/>
              <w:right w:w="108" w:type="dxa"/>
            </w:tcMar>
            <w:vAlign w:val="center"/>
          </w:tcPr>
          <w:p w14:paraId="15090F94"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1-Methylnaphthalene</w:t>
            </w:r>
          </w:p>
        </w:tc>
        <w:tc>
          <w:tcPr>
            <w:tcW w:w="565" w:type="dxa"/>
            <w:shd w:val="clear" w:color="auto" w:fill="BFBFBF" w:themeFill="background1" w:themeFillShade="BF"/>
            <w:tcMar>
              <w:top w:w="0" w:type="dxa"/>
              <w:left w:w="108" w:type="dxa"/>
              <w:bottom w:w="0" w:type="dxa"/>
              <w:right w:w="108" w:type="dxa"/>
            </w:tcMar>
            <w:vAlign w:val="center"/>
          </w:tcPr>
          <w:p w14:paraId="17A7529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918630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79C5DF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4CD6C5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7C2853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C7CBA7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80A1EE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7505C4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0F02FB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09641E6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5CDE0E09" w14:textId="77777777" w:rsidTr="00C93353">
        <w:trPr>
          <w:trHeight w:val="276"/>
        </w:trPr>
        <w:tc>
          <w:tcPr>
            <w:tcW w:w="457" w:type="dxa"/>
            <w:shd w:val="clear" w:color="auto" w:fill="auto"/>
            <w:tcMar>
              <w:top w:w="0" w:type="dxa"/>
              <w:left w:w="108" w:type="dxa"/>
              <w:bottom w:w="0" w:type="dxa"/>
              <w:right w:w="108" w:type="dxa"/>
            </w:tcMar>
          </w:tcPr>
          <w:p w14:paraId="335914B4"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46</w:t>
            </w:r>
          </w:p>
        </w:tc>
        <w:tc>
          <w:tcPr>
            <w:tcW w:w="719" w:type="dxa"/>
            <w:shd w:val="clear" w:color="auto" w:fill="auto"/>
            <w:tcMar>
              <w:top w:w="0" w:type="dxa"/>
              <w:left w:w="108" w:type="dxa"/>
              <w:bottom w:w="0" w:type="dxa"/>
              <w:right w:w="108" w:type="dxa"/>
            </w:tcMar>
            <w:vAlign w:val="center"/>
          </w:tcPr>
          <w:p w14:paraId="7B7BFF79"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1374</w:t>
            </w:r>
          </w:p>
        </w:tc>
        <w:tc>
          <w:tcPr>
            <w:tcW w:w="680" w:type="dxa"/>
            <w:shd w:val="clear" w:color="auto" w:fill="auto"/>
            <w:tcMar>
              <w:top w:w="0" w:type="dxa"/>
              <w:left w:w="108" w:type="dxa"/>
              <w:bottom w:w="0" w:type="dxa"/>
              <w:right w:w="108" w:type="dxa"/>
            </w:tcMar>
            <w:vAlign w:val="center"/>
          </w:tcPr>
          <w:p w14:paraId="5F04CD1A"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1,43</w:t>
            </w:r>
          </w:p>
        </w:tc>
        <w:tc>
          <w:tcPr>
            <w:tcW w:w="2113" w:type="dxa"/>
            <w:shd w:val="clear" w:color="auto" w:fill="auto"/>
            <w:tcMar>
              <w:top w:w="0" w:type="dxa"/>
              <w:left w:w="108" w:type="dxa"/>
              <w:bottom w:w="0" w:type="dxa"/>
              <w:right w:w="108" w:type="dxa"/>
            </w:tcMar>
            <w:vAlign w:val="center"/>
          </w:tcPr>
          <w:p w14:paraId="563D39EF"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3-tetradecen</w:t>
            </w:r>
          </w:p>
        </w:tc>
        <w:tc>
          <w:tcPr>
            <w:tcW w:w="565" w:type="dxa"/>
            <w:shd w:val="clear" w:color="auto" w:fill="BFBFBF" w:themeFill="background1" w:themeFillShade="BF"/>
            <w:tcMar>
              <w:top w:w="0" w:type="dxa"/>
              <w:left w:w="108" w:type="dxa"/>
              <w:bottom w:w="0" w:type="dxa"/>
              <w:right w:w="108" w:type="dxa"/>
            </w:tcMar>
            <w:vAlign w:val="center"/>
          </w:tcPr>
          <w:p w14:paraId="05E4575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3F7BCC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212417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167236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CC66C9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3413AA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873989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5B1D21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1D5922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195494D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40E52E1C" w14:textId="77777777" w:rsidTr="00C93353">
        <w:trPr>
          <w:trHeight w:val="276"/>
        </w:trPr>
        <w:tc>
          <w:tcPr>
            <w:tcW w:w="457" w:type="dxa"/>
            <w:shd w:val="clear" w:color="auto" w:fill="auto"/>
            <w:tcMar>
              <w:top w:w="0" w:type="dxa"/>
              <w:left w:w="108" w:type="dxa"/>
              <w:bottom w:w="0" w:type="dxa"/>
              <w:right w:w="108" w:type="dxa"/>
            </w:tcMar>
          </w:tcPr>
          <w:p w14:paraId="4DCD4FA0"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47</w:t>
            </w:r>
          </w:p>
        </w:tc>
        <w:tc>
          <w:tcPr>
            <w:tcW w:w="719" w:type="dxa"/>
            <w:shd w:val="clear" w:color="auto" w:fill="auto"/>
            <w:tcMar>
              <w:top w:w="0" w:type="dxa"/>
              <w:left w:w="108" w:type="dxa"/>
              <w:bottom w:w="0" w:type="dxa"/>
              <w:right w:w="108" w:type="dxa"/>
            </w:tcMar>
            <w:vAlign w:val="center"/>
          </w:tcPr>
          <w:p w14:paraId="58749D97"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1430</w:t>
            </w:r>
          </w:p>
        </w:tc>
        <w:tc>
          <w:tcPr>
            <w:tcW w:w="680" w:type="dxa"/>
            <w:shd w:val="clear" w:color="auto" w:fill="auto"/>
            <w:tcMar>
              <w:top w:w="0" w:type="dxa"/>
              <w:left w:w="108" w:type="dxa"/>
              <w:bottom w:w="0" w:type="dxa"/>
              <w:right w:w="108" w:type="dxa"/>
            </w:tcMar>
            <w:vAlign w:val="center"/>
          </w:tcPr>
          <w:p w14:paraId="0CCE9C59"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1,32</w:t>
            </w:r>
          </w:p>
        </w:tc>
        <w:tc>
          <w:tcPr>
            <w:tcW w:w="2113" w:type="dxa"/>
            <w:shd w:val="clear" w:color="auto" w:fill="auto"/>
            <w:tcMar>
              <w:top w:w="0" w:type="dxa"/>
              <w:left w:w="108" w:type="dxa"/>
              <w:bottom w:w="0" w:type="dxa"/>
              <w:right w:w="108" w:type="dxa"/>
            </w:tcMar>
            <w:vAlign w:val="center"/>
          </w:tcPr>
          <w:p w14:paraId="6D50CAC9"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T</w:t>
            </w:r>
            <w:r w:rsidRPr="00A50215">
              <w:rPr>
                <w:rFonts w:eastAsia="Calibri" w:cs="Arial"/>
                <w:szCs w:val="18"/>
                <w:lang w:val="pl-PL"/>
              </w:rPr>
              <w:t>ridecane</w:t>
            </w:r>
          </w:p>
        </w:tc>
        <w:tc>
          <w:tcPr>
            <w:tcW w:w="565" w:type="dxa"/>
            <w:shd w:val="clear" w:color="auto" w:fill="BFBFBF" w:themeFill="background1" w:themeFillShade="BF"/>
            <w:tcMar>
              <w:top w:w="0" w:type="dxa"/>
              <w:left w:w="108" w:type="dxa"/>
              <w:bottom w:w="0" w:type="dxa"/>
              <w:right w:w="108" w:type="dxa"/>
            </w:tcMar>
            <w:vAlign w:val="center"/>
          </w:tcPr>
          <w:p w14:paraId="4F8073A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DE1F0F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FE4F92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E3768C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EBC17D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0EBD37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21BA0A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8EF9B5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B260D5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4DDA0B0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9333424" w14:textId="77777777" w:rsidTr="00C93353">
        <w:trPr>
          <w:trHeight w:val="276"/>
        </w:trPr>
        <w:tc>
          <w:tcPr>
            <w:tcW w:w="457" w:type="dxa"/>
            <w:shd w:val="clear" w:color="auto" w:fill="auto"/>
            <w:tcMar>
              <w:top w:w="0" w:type="dxa"/>
              <w:left w:w="108" w:type="dxa"/>
              <w:bottom w:w="0" w:type="dxa"/>
              <w:right w:w="108" w:type="dxa"/>
            </w:tcMar>
          </w:tcPr>
          <w:p w14:paraId="3326AE9B"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48</w:t>
            </w:r>
          </w:p>
        </w:tc>
        <w:tc>
          <w:tcPr>
            <w:tcW w:w="719" w:type="dxa"/>
            <w:shd w:val="clear" w:color="auto" w:fill="auto"/>
            <w:tcMar>
              <w:top w:w="0" w:type="dxa"/>
              <w:left w:w="108" w:type="dxa"/>
              <w:bottom w:w="0" w:type="dxa"/>
              <w:right w:w="108" w:type="dxa"/>
            </w:tcMar>
            <w:vAlign w:val="center"/>
          </w:tcPr>
          <w:p w14:paraId="6E054041"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1494</w:t>
            </w:r>
          </w:p>
        </w:tc>
        <w:tc>
          <w:tcPr>
            <w:tcW w:w="680" w:type="dxa"/>
            <w:shd w:val="clear" w:color="auto" w:fill="auto"/>
            <w:tcMar>
              <w:top w:w="0" w:type="dxa"/>
              <w:left w:w="108" w:type="dxa"/>
              <w:bottom w:w="0" w:type="dxa"/>
              <w:right w:w="108" w:type="dxa"/>
            </w:tcMar>
            <w:vAlign w:val="center"/>
          </w:tcPr>
          <w:p w14:paraId="5A7EF68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1,34</w:t>
            </w:r>
          </w:p>
        </w:tc>
        <w:tc>
          <w:tcPr>
            <w:tcW w:w="2113" w:type="dxa"/>
            <w:shd w:val="clear" w:color="auto" w:fill="auto"/>
            <w:tcMar>
              <w:top w:w="0" w:type="dxa"/>
              <w:left w:w="108" w:type="dxa"/>
              <w:bottom w:w="0" w:type="dxa"/>
              <w:right w:w="108" w:type="dxa"/>
            </w:tcMar>
            <w:vAlign w:val="center"/>
          </w:tcPr>
          <w:p w14:paraId="53C5394B"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4-Methyl-tridecane</w:t>
            </w:r>
          </w:p>
        </w:tc>
        <w:tc>
          <w:tcPr>
            <w:tcW w:w="565" w:type="dxa"/>
            <w:shd w:val="clear" w:color="auto" w:fill="BFBFBF" w:themeFill="background1" w:themeFillShade="BF"/>
            <w:tcMar>
              <w:top w:w="0" w:type="dxa"/>
              <w:left w:w="108" w:type="dxa"/>
              <w:bottom w:w="0" w:type="dxa"/>
              <w:right w:w="108" w:type="dxa"/>
            </w:tcMar>
            <w:vAlign w:val="center"/>
          </w:tcPr>
          <w:p w14:paraId="5033C35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CD8E8C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867A2F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AE2C04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7F8587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D67795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5A6045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D00AD3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0E01A7E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709397C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7E1D2559" w14:textId="77777777" w:rsidTr="00C93353">
        <w:trPr>
          <w:trHeight w:val="276"/>
        </w:trPr>
        <w:tc>
          <w:tcPr>
            <w:tcW w:w="457" w:type="dxa"/>
            <w:shd w:val="clear" w:color="auto" w:fill="auto"/>
            <w:tcMar>
              <w:top w:w="0" w:type="dxa"/>
              <w:left w:w="108" w:type="dxa"/>
              <w:bottom w:w="0" w:type="dxa"/>
              <w:right w:w="108" w:type="dxa"/>
            </w:tcMar>
          </w:tcPr>
          <w:p w14:paraId="6C642A68"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49</w:t>
            </w:r>
          </w:p>
        </w:tc>
        <w:tc>
          <w:tcPr>
            <w:tcW w:w="719" w:type="dxa"/>
            <w:shd w:val="clear" w:color="auto" w:fill="auto"/>
            <w:tcMar>
              <w:top w:w="0" w:type="dxa"/>
              <w:left w:w="108" w:type="dxa"/>
              <w:bottom w:w="0" w:type="dxa"/>
              <w:right w:w="108" w:type="dxa"/>
            </w:tcMar>
            <w:vAlign w:val="center"/>
          </w:tcPr>
          <w:p w14:paraId="59BBD61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1546</w:t>
            </w:r>
          </w:p>
        </w:tc>
        <w:tc>
          <w:tcPr>
            <w:tcW w:w="680" w:type="dxa"/>
            <w:shd w:val="clear" w:color="auto" w:fill="auto"/>
            <w:tcMar>
              <w:top w:w="0" w:type="dxa"/>
              <w:left w:w="108" w:type="dxa"/>
              <w:bottom w:w="0" w:type="dxa"/>
              <w:right w:w="108" w:type="dxa"/>
            </w:tcMar>
            <w:vAlign w:val="center"/>
          </w:tcPr>
          <w:p w14:paraId="1611D39B"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2,17</w:t>
            </w:r>
          </w:p>
        </w:tc>
        <w:tc>
          <w:tcPr>
            <w:tcW w:w="2113" w:type="dxa"/>
            <w:shd w:val="clear" w:color="auto" w:fill="auto"/>
            <w:tcMar>
              <w:top w:w="0" w:type="dxa"/>
              <w:left w:w="108" w:type="dxa"/>
              <w:bottom w:w="0" w:type="dxa"/>
              <w:right w:w="108" w:type="dxa"/>
            </w:tcMar>
            <w:vAlign w:val="center"/>
          </w:tcPr>
          <w:p w14:paraId="44EF9635"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D</w:t>
            </w:r>
            <w:r w:rsidRPr="00A50215">
              <w:rPr>
                <w:rFonts w:eastAsia="Calibri" w:cs="Arial"/>
                <w:szCs w:val="18"/>
                <w:lang w:val="pl-PL"/>
              </w:rPr>
              <w:t>odecanal</w:t>
            </w:r>
          </w:p>
        </w:tc>
        <w:tc>
          <w:tcPr>
            <w:tcW w:w="565" w:type="dxa"/>
            <w:shd w:val="clear" w:color="auto" w:fill="BFBFBF" w:themeFill="background1" w:themeFillShade="BF"/>
            <w:tcMar>
              <w:top w:w="0" w:type="dxa"/>
              <w:left w:w="108" w:type="dxa"/>
              <w:bottom w:w="0" w:type="dxa"/>
              <w:right w:w="108" w:type="dxa"/>
            </w:tcMar>
            <w:vAlign w:val="center"/>
          </w:tcPr>
          <w:p w14:paraId="3662523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4F99F9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76D1F6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059A1E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9A4262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9598CB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1B778EA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4A7D45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58AC2C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775E778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76BE7CAD" w14:textId="77777777" w:rsidTr="00C93353">
        <w:trPr>
          <w:trHeight w:val="276"/>
        </w:trPr>
        <w:tc>
          <w:tcPr>
            <w:tcW w:w="457" w:type="dxa"/>
            <w:shd w:val="clear" w:color="auto" w:fill="auto"/>
            <w:tcMar>
              <w:top w:w="0" w:type="dxa"/>
              <w:left w:w="108" w:type="dxa"/>
              <w:bottom w:w="0" w:type="dxa"/>
              <w:right w:w="108" w:type="dxa"/>
            </w:tcMar>
          </w:tcPr>
          <w:p w14:paraId="3F2ED253"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50</w:t>
            </w:r>
          </w:p>
        </w:tc>
        <w:tc>
          <w:tcPr>
            <w:tcW w:w="719" w:type="dxa"/>
            <w:shd w:val="clear" w:color="auto" w:fill="auto"/>
            <w:tcMar>
              <w:top w:w="0" w:type="dxa"/>
              <w:left w:w="108" w:type="dxa"/>
              <w:bottom w:w="0" w:type="dxa"/>
              <w:right w:w="108" w:type="dxa"/>
            </w:tcMar>
            <w:vAlign w:val="center"/>
          </w:tcPr>
          <w:p w14:paraId="024791E6"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1550</w:t>
            </w:r>
          </w:p>
        </w:tc>
        <w:tc>
          <w:tcPr>
            <w:tcW w:w="680" w:type="dxa"/>
            <w:shd w:val="clear" w:color="auto" w:fill="auto"/>
            <w:tcMar>
              <w:top w:w="0" w:type="dxa"/>
              <w:left w:w="108" w:type="dxa"/>
              <w:bottom w:w="0" w:type="dxa"/>
              <w:right w:w="108" w:type="dxa"/>
            </w:tcMar>
            <w:vAlign w:val="center"/>
          </w:tcPr>
          <w:p w14:paraId="0EB4CC92"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1,33</w:t>
            </w:r>
          </w:p>
        </w:tc>
        <w:tc>
          <w:tcPr>
            <w:tcW w:w="2113" w:type="dxa"/>
            <w:shd w:val="clear" w:color="auto" w:fill="auto"/>
            <w:tcMar>
              <w:top w:w="0" w:type="dxa"/>
              <w:left w:w="108" w:type="dxa"/>
              <w:bottom w:w="0" w:type="dxa"/>
              <w:right w:w="108" w:type="dxa"/>
            </w:tcMar>
            <w:vAlign w:val="center"/>
          </w:tcPr>
          <w:p w14:paraId="4918B05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H</w:t>
            </w:r>
            <w:r w:rsidRPr="00A50215">
              <w:rPr>
                <w:rFonts w:eastAsia="Calibri" w:cs="Arial"/>
                <w:szCs w:val="18"/>
                <w:lang w:val="pl-PL"/>
              </w:rPr>
              <w:t>eptadecane</w:t>
            </w:r>
          </w:p>
        </w:tc>
        <w:tc>
          <w:tcPr>
            <w:tcW w:w="565" w:type="dxa"/>
            <w:shd w:val="clear" w:color="auto" w:fill="BFBFBF" w:themeFill="background1" w:themeFillShade="BF"/>
            <w:tcMar>
              <w:top w:w="0" w:type="dxa"/>
              <w:left w:w="108" w:type="dxa"/>
              <w:bottom w:w="0" w:type="dxa"/>
              <w:right w:w="108" w:type="dxa"/>
            </w:tcMar>
            <w:vAlign w:val="center"/>
          </w:tcPr>
          <w:p w14:paraId="5332E0E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1EA3D0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2342A3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64405F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AA60FA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FB4411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13279CE"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6877BB3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456E01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23E080E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9847473" w14:textId="77777777" w:rsidTr="00C93353">
        <w:trPr>
          <w:trHeight w:val="276"/>
        </w:trPr>
        <w:tc>
          <w:tcPr>
            <w:tcW w:w="457" w:type="dxa"/>
            <w:shd w:val="clear" w:color="auto" w:fill="auto"/>
            <w:tcMar>
              <w:top w:w="0" w:type="dxa"/>
              <w:left w:w="108" w:type="dxa"/>
              <w:bottom w:w="0" w:type="dxa"/>
              <w:right w:w="108" w:type="dxa"/>
            </w:tcMar>
          </w:tcPr>
          <w:p w14:paraId="04C1F9BA"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51</w:t>
            </w:r>
          </w:p>
        </w:tc>
        <w:tc>
          <w:tcPr>
            <w:tcW w:w="719" w:type="dxa"/>
            <w:shd w:val="clear" w:color="auto" w:fill="auto"/>
            <w:tcMar>
              <w:top w:w="0" w:type="dxa"/>
              <w:left w:w="108" w:type="dxa"/>
              <w:bottom w:w="0" w:type="dxa"/>
              <w:right w:w="108" w:type="dxa"/>
            </w:tcMar>
            <w:vAlign w:val="center"/>
          </w:tcPr>
          <w:p w14:paraId="2096183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1642</w:t>
            </w:r>
          </w:p>
        </w:tc>
        <w:tc>
          <w:tcPr>
            <w:tcW w:w="680" w:type="dxa"/>
            <w:shd w:val="clear" w:color="auto" w:fill="auto"/>
            <w:tcMar>
              <w:top w:w="0" w:type="dxa"/>
              <w:left w:w="108" w:type="dxa"/>
              <w:bottom w:w="0" w:type="dxa"/>
              <w:right w:w="108" w:type="dxa"/>
            </w:tcMar>
            <w:vAlign w:val="center"/>
          </w:tcPr>
          <w:p w14:paraId="392C6A19"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1,95</w:t>
            </w:r>
          </w:p>
        </w:tc>
        <w:tc>
          <w:tcPr>
            <w:tcW w:w="2113" w:type="dxa"/>
            <w:shd w:val="clear" w:color="auto" w:fill="auto"/>
            <w:tcMar>
              <w:top w:w="0" w:type="dxa"/>
              <w:left w:w="108" w:type="dxa"/>
              <w:bottom w:w="0" w:type="dxa"/>
              <w:right w:w="108" w:type="dxa"/>
            </w:tcMar>
            <w:vAlign w:val="center"/>
          </w:tcPr>
          <w:p w14:paraId="77EF12AD"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α-humulene</w:t>
            </w:r>
          </w:p>
        </w:tc>
        <w:tc>
          <w:tcPr>
            <w:tcW w:w="565" w:type="dxa"/>
            <w:shd w:val="clear" w:color="auto" w:fill="BFBFBF" w:themeFill="background1" w:themeFillShade="BF"/>
            <w:tcMar>
              <w:top w:w="0" w:type="dxa"/>
              <w:left w:w="108" w:type="dxa"/>
              <w:bottom w:w="0" w:type="dxa"/>
              <w:right w:w="108" w:type="dxa"/>
            </w:tcMar>
            <w:vAlign w:val="center"/>
          </w:tcPr>
          <w:p w14:paraId="29AC6FA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7436C3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09AABE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8C1B2C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19F471C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1BDD84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B1FE93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243151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28CBDB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5C55FAD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7AD76B63" w14:textId="77777777" w:rsidTr="00C93353">
        <w:trPr>
          <w:trHeight w:val="276"/>
        </w:trPr>
        <w:tc>
          <w:tcPr>
            <w:tcW w:w="457" w:type="dxa"/>
            <w:shd w:val="clear" w:color="auto" w:fill="auto"/>
            <w:tcMar>
              <w:top w:w="0" w:type="dxa"/>
              <w:left w:w="108" w:type="dxa"/>
              <w:bottom w:w="0" w:type="dxa"/>
              <w:right w:w="108" w:type="dxa"/>
            </w:tcMar>
          </w:tcPr>
          <w:p w14:paraId="19744D07"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52</w:t>
            </w:r>
          </w:p>
        </w:tc>
        <w:tc>
          <w:tcPr>
            <w:tcW w:w="719" w:type="dxa"/>
            <w:shd w:val="clear" w:color="auto" w:fill="auto"/>
            <w:tcMar>
              <w:top w:w="0" w:type="dxa"/>
              <w:left w:w="108" w:type="dxa"/>
              <w:bottom w:w="0" w:type="dxa"/>
              <w:right w:w="108" w:type="dxa"/>
            </w:tcMar>
            <w:vAlign w:val="center"/>
          </w:tcPr>
          <w:p w14:paraId="1DBBB294"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1842</w:t>
            </w:r>
          </w:p>
        </w:tc>
        <w:tc>
          <w:tcPr>
            <w:tcW w:w="680" w:type="dxa"/>
            <w:shd w:val="clear" w:color="auto" w:fill="auto"/>
            <w:tcMar>
              <w:top w:w="0" w:type="dxa"/>
              <w:left w:w="108" w:type="dxa"/>
              <w:bottom w:w="0" w:type="dxa"/>
              <w:right w:w="108" w:type="dxa"/>
            </w:tcMar>
            <w:vAlign w:val="center"/>
          </w:tcPr>
          <w:p w14:paraId="44BE919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2,14</w:t>
            </w:r>
          </w:p>
        </w:tc>
        <w:tc>
          <w:tcPr>
            <w:tcW w:w="2113" w:type="dxa"/>
            <w:shd w:val="clear" w:color="auto" w:fill="auto"/>
            <w:tcMar>
              <w:top w:w="0" w:type="dxa"/>
              <w:left w:w="108" w:type="dxa"/>
              <w:bottom w:w="0" w:type="dxa"/>
              <w:right w:w="108" w:type="dxa"/>
            </w:tcMar>
            <w:vAlign w:val="center"/>
          </w:tcPr>
          <w:p w14:paraId="5DE4F033"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O</w:t>
            </w:r>
            <w:r w:rsidRPr="00A50215">
              <w:rPr>
                <w:rFonts w:eastAsia="Calibri" w:cs="Arial"/>
                <w:szCs w:val="18"/>
                <w:lang w:val="pl-PL"/>
              </w:rPr>
              <w:t>ctadecanal</w:t>
            </w:r>
          </w:p>
        </w:tc>
        <w:tc>
          <w:tcPr>
            <w:tcW w:w="565" w:type="dxa"/>
            <w:shd w:val="clear" w:color="auto" w:fill="BFBFBF" w:themeFill="background1" w:themeFillShade="BF"/>
            <w:tcMar>
              <w:top w:w="0" w:type="dxa"/>
              <w:left w:w="108" w:type="dxa"/>
              <w:bottom w:w="0" w:type="dxa"/>
              <w:right w:w="108" w:type="dxa"/>
            </w:tcMar>
            <w:vAlign w:val="center"/>
          </w:tcPr>
          <w:p w14:paraId="32DFCF4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F1F050C"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41170A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C1C9C73"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50AACE8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3C105D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F095D1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05465691"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7673A62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4DBA302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507FC77" w14:textId="77777777" w:rsidTr="00C93353">
        <w:trPr>
          <w:trHeight w:val="276"/>
        </w:trPr>
        <w:tc>
          <w:tcPr>
            <w:tcW w:w="457" w:type="dxa"/>
            <w:shd w:val="clear" w:color="auto" w:fill="auto"/>
            <w:tcMar>
              <w:top w:w="0" w:type="dxa"/>
              <w:left w:w="108" w:type="dxa"/>
              <w:bottom w:w="0" w:type="dxa"/>
              <w:right w:w="108" w:type="dxa"/>
            </w:tcMar>
          </w:tcPr>
          <w:p w14:paraId="353FBFE2"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53</w:t>
            </w:r>
          </w:p>
        </w:tc>
        <w:tc>
          <w:tcPr>
            <w:tcW w:w="719" w:type="dxa"/>
            <w:shd w:val="clear" w:color="auto" w:fill="auto"/>
            <w:tcMar>
              <w:top w:w="0" w:type="dxa"/>
              <w:left w:w="108" w:type="dxa"/>
              <w:bottom w:w="0" w:type="dxa"/>
              <w:right w:w="108" w:type="dxa"/>
            </w:tcMar>
            <w:vAlign w:val="center"/>
          </w:tcPr>
          <w:p w14:paraId="69B111F2"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2110</w:t>
            </w:r>
          </w:p>
        </w:tc>
        <w:tc>
          <w:tcPr>
            <w:tcW w:w="680" w:type="dxa"/>
            <w:shd w:val="clear" w:color="auto" w:fill="auto"/>
            <w:tcMar>
              <w:top w:w="0" w:type="dxa"/>
              <w:left w:w="108" w:type="dxa"/>
              <w:bottom w:w="0" w:type="dxa"/>
              <w:right w:w="108" w:type="dxa"/>
            </w:tcMar>
            <w:vAlign w:val="center"/>
          </w:tcPr>
          <w:p w14:paraId="490A70B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2,11</w:t>
            </w:r>
          </w:p>
        </w:tc>
        <w:tc>
          <w:tcPr>
            <w:tcW w:w="2113" w:type="dxa"/>
            <w:shd w:val="clear" w:color="auto" w:fill="auto"/>
            <w:tcMar>
              <w:top w:w="0" w:type="dxa"/>
              <w:left w:w="108" w:type="dxa"/>
              <w:bottom w:w="0" w:type="dxa"/>
              <w:right w:w="108" w:type="dxa"/>
            </w:tcMar>
            <w:vAlign w:val="center"/>
          </w:tcPr>
          <w:p w14:paraId="3093FE3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H</w:t>
            </w:r>
            <w:r w:rsidRPr="00A50215">
              <w:rPr>
                <w:rFonts w:eastAsia="Calibri" w:cs="Arial"/>
                <w:szCs w:val="18"/>
                <w:lang w:val="pl-PL"/>
              </w:rPr>
              <w:t>e</w:t>
            </w:r>
            <w:r>
              <w:rPr>
                <w:rFonts w:eastAsia="Calibri" w:cs="Arial"/>
                <w:szCs w:val="18"/>
                <w:lang w:val="pl-PL"/>
              </w:rPr>
              <w:t>x</w:t>
            </w:r>
            <w:r w:rsidRPr="00A50215">
              <w:rPr>
                <w:rFonts w:eastAsia="Calibri" w:cs="Arial"/>
                <w:szCs w:val="18"/>
                <w:lang w:val="pl-PL"/>
              </w:rPr>
              <w:t>adecanal</w:t>
            </w:r>
          </w:p>
        </w:tc>
        <w:tc>
          <w:tcPr>
            <w:tcW w:w="565" w:type="dxa"/>
            <w:shd w:val="clear" w:color="auto" w:fill="BFBFBF" w:themeFill="background1" w:themeFillShade="BF"/>
            <w:tcMar>
              <w:top w:w="0" w:type="dxa"/>
              <w:left w:w="108" w:type="dxa"/>
              <w:bottom w:w="0" w:type="dxa"/>
              <w:right w:w="108" w:type="dxa"/>
            </w:tcMar>
            <w:vAlign w:val="center"/>
          </w:tcPr>
          <w:p w14:paraId="388C71F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EFD502B"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6F9855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D7D676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0EF4732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2F22A0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F435BB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462210A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23E6F2E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6E02306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61D6C75D" w14:textId="77777777" w:rsidTr="00C93353">
        <w:trPr>
          <w:trHeight w:val="276"/>
        </w:trPr>
        <w:tc>
          <w:tcPr>
            <w:tcW w:w="457" w:type="dxa"/>
            <w:shd w:val="clear" w:color="auto" w:fill="auto"/>
            <w:tcMar>
              <w:top w:w="0" w:type="dxa"/>
              <w:left w:w="108" w:type="dxa"/>
              <w:bottom w:w="0" w:type="dxa"/>
              <w:right w:w="108" w:type="dxa"/>
            </w:tcMar>
          </w:tcPr>
          <w:p w14:paraId="7E6D56A4"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54</w:t>
            </w:r>
          </w:p>
        </w:tc>
        <w:tc>
          <w:tcPr>
            <w:tcW w:w="719" w:type="dxa"/>
            <w:shd w:val="clear" w:color="auto" w:fill="auto"/>
            <w:tcMar>
              <w:top w:w="0" w:type="dxa"/>
              <w:left w:w="108" w:type="dxa"/>
              <w:bottom w:w="0" w:type="dxa"/>
              <w:right w:w="108" w:type="dxa"/>
            </w:tcMar>
            <w:vAlign w:val="center"/>
          </w:tcPr>
          <w:p w14:paraId="43A1C39E"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2246</w:t>
            </w:r>
          </w:p>
        </w:tc>
        <w:tc>
          <w:tcPr>
            <w:tcW w:w="680" w:type="dxa"/>
            <w:shd w:val="clear" w:color="auto" w:fill="auto"/>
            <w:tcMar>
              <w:top w:w="0" w:type="dxa"/>
              <w:left w:w="108" w:type="dxa"/>
              <w:bottom w:w="0" w:type="dxa"/>
              <w:right w:w="108" w:type="dxa"/>
            </w:tcMar>
            <w:vAlign w:val="center"/>
          </w:tcPr>
          <w:p w14:paraId="2FDA6FEC"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1,97</w:t>
            </w:r>
          </w:p>
        </w:tc>
        <w:tc>
          <w:tcPr>
            <w:tcW w:w="2113" w:type="dxa"/>
            <w:shd w:val="clear" w:color="auto" w:fill="auto"/>
            <w:tcMar>
              <w:top w:w="0" w:type="dxa"/>
              <w:left w:w="108" w:type="dxa"/>
              <w:bottom w:w="0" w:type="dxa"/>
              <w:right w:w="108" w:type="dxa"/>
            </w:tcMar>
            <w:vAlign w:val="center"/>
          </w:tcPr>
          <w:p w14:paraId="6A047D4F"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Methyl palmitate</w:t>
            </w:r>
          </w:p>
        </w:tc>
        <w:tc>
          <w:tcPr>
            <w:tcW w:w="565" w:type="dxa"/>
            <w:shd w:val="clear" w:color="auto" w:fill="BFBFBF" w:themeFill="background1" w:themeFillShade="BF"/>
            <w:tcMar>
              <w:top w:w="0" w:type="dxa"/>
              <w:left w:w="108" w:type="dxa"/>
              <w:bottom w:w="0" w:type="dxa"/>
              <w:right w:w="108" w:type="dxa"/>
            </w:tcMar>
            <w:vAlign w:val="center"/>
          </w:tcPr>
          <w:p w14:paraId="494831F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71B1AAA4"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47EC549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5075AD7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4D8CD08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E288F2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508A947"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852E80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3F9C2936"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64E5E03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r w:rsidR="009363B8" w:rsidRPr="00A50215" w14:paraId="0CB72D12" w14:textId="77777777" w:rsidTr="00C93353">
        <w:trPr>
          <w:trHeight w:val="276"/>
        </w:trPr>
        <w:tc>
          <w:tcPr>
            <w:tcW w:w="457" w:type="dxa"/>
            <w:shd w:val="clear" w:color="auto" w:fill="auto"/>
            <w:tcMar>
              <w:top w:w="0" w:type="dxa"/>
              <w:left w:w="108" w:type="dxa"/>
              <w:bottom w:w="0" w:type="dxa"/>
              <w:right w:w="108" w:type="dxa"/>
            </w:tcMar>
          </w:tcPr>
          <w:p w14:paraId="07AB1587" w14:textId="77777777" w:rsidR="009363B8" w:rsidRPr="00A50215" w:rsidRDefault="009363B8" w:rsidP="00C93353">
            <w:pPr>
              <w:tabs>
                <w:tab w:val="clear" w:pos="7100"/>
              </w:tabs>
              <w:suppressAutoHyphens/>
              <w:autoSpaceDN w:val="0"/>
              <w:spacing w:line="240" w:lineRule="auto"/>
              <w:jc w:val="left"/>
              <w:textAlignment w:val="baseline"/>
              <w:rPr>
                <w:rFonts w:cs="Arial"/>
                <w:szCs w:val="18"/>
                <w:lang w:eastAsia="en-GB"/>
              </w:rPr>
            </w:pPr>
            <w:r w:rsidRPr="00A50215">
              <w:rPr>
                <w:rFonts w:cs="Arial"/>
                <w:szCs w:val="18"/>
                <w:lang w:eastAsia="en-GB"/>
              </w:rPr>
              <w:t>55</w:t>
            </w:r>
          </w:p>
        </w:tc>
        <w:tc>
          <w:tcPr>
            <w:tcW w:w="719" w:type="dxa"/>
            <w:shd w:val="clear" w:color="auto" w:fill="auto"/>
            <w:tcMar>
              <w:top w:w="0" w:type="dxa"/>
              <w:left w:w="108" w:type="dxa"/>
              <w:bottom w:w="0" w:type="dxa"/>
              <w:right w:w="108" w:type="dxa"/>
            </w:tcMar>
            <w:vAlign w:val="center"/>
          </w:tcPr>
          <w:p w14:paraId="49658E3F"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2442</w:t>
            </w:r>
          </w:p>
        </w:tc>
        <w:tc>
          <w:tcPr>
            <w:tcW w:w="680" w:type="dxa"/>
            <w:shd w:val="clear" w:color="auto" w:fill="auto"/>
            <w:tcMar>
              <w:top w:w="0" w:type="dxa"/>
              <w:left w:w="108" w:type="dxa"/>
              <w:bottom w:w="0" w:type="dxa"/>
              <w:right w:w="108" w:type="dxa"/>
            </w:tcMar>
            <w:vAlign w:val="center"/>
          </w:tcPr>
          <w:p w14:paraId="580ED530"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sidRPr="00A50215">
              <w:rPr>
                <w:rFonts w:eastAsia="Calibri" w:cs="Arial"/>
                <w:szCs w:val="18"/>
                <w:lang w:val="pl-PL"/>
              </w:rPr>
              <w:t>3,64</w:t>
            </w:r>
          </w:p>
        </w:tc>
        <w:tc>
          <w:tcPr>
            <w:tcW w:w="2113" w:type="dxa"/>
            <w:shd w:val="clear" w:color="auto" w:fill="auto"/>
            <w:tcMar>
              <w:top w:w="0" w:type="dxa"/>
              <w:left w:w="108" w:type="dxa"/>
              <w:bottom w:w="0" w:type="dxa"/>
              <w:right w:w="108" w:type="dxa"/>
            </w:tcMar>
            <w:vAlign w:val="center"/>
          </w:tcPr>
          <w:p w14:paraId="4C156528" w14:textId="77777777" w:rsidR="009363B8" w:rsidRPr="00A50215" w:rsidRDefault="009363B8" w:rsidP="00C93353">
            <w:pPr>
              <w:tabs>
                <w:tab w:val="clear" w:pos="7100"/>
              </w:tabs>
              <w:suppressAutoHyphens/>
              <w:autoSpaceDN w:val="0"/>
              <w:spacing w:line="240" w:lineRule="auto"/>
              <w:jc w:val="left"/>
              <w:textAlignment w:val="baseline"/>
              <w:rPr>
                <w:rFonts w:eastAsia="Calibri" w:cs="Arial"/>
                <w:szCs w:val="18"/>
              </w:rPr>
            </w:pPr>
            <w:r>
              <w:rPr>
                <w:rFonts w:eastAsia="Calibri" w:cs="Arial"/>
                <w:szCs w:val="18"/>
                <w:lang w:val="pl-PL"/>
              </w:rPr>
              <w:t>F</w:t>
            </w:r>
            <w:r w:rsidRPr="00A50215">
              <w:rPr>
                <w:rFonts w:eastAsia="Calibri" w:cs="Arial"/>
                <w:szCs w:val="18"/>
                <w:lang w:val="pl-PL"/>
              </w:rPr>
              <w:t>arnesol</w:t>
            </w:r>
          </w:p>
        </w:tc>
        <w:tc>
          <w:tcPr>
            <w:tcW w:w="565" w:type="dxa"/>
            <w:shd w:val="clear" w:color="auto" w:fill="BFBFBF" w:themeFill="background1" w:themeFillShade="BF"/>
            <w:tcMar>
              <w:top w:w="0" w:type="dxa"/>
              <w:left w:w="108" w:type="dxa"/>
              <w:bottom w:w="0" w:type="dxa"/>
              <w:right w:w="108" w:type="dxa"/>
            </w:tcMar>
            <w:vAlign w:val="center"/>
          </w:tcPr>
          <w:p w14:paraId="6BD69DC0"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236EB002"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8630DDF"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B18195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8" w:type="dxa"/>
            <w:shd w:val="clear" w:color="auto" w:fill="BFBFBF" w:themeFill="background1" w:themeFillShade="BF"/>
            <w:vAlign w:val="center"/>
          </w:tcPr>
          <w:p w14:paraId="2691566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30AC9CEA"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690C7B45"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vAlign w:val="center"/>
          </w:tcPr>
          <w:p w14:paraId="1EE20419"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57" w:type="dxa"/>
            <w:shd w:val="clear" w:color="auto" w:fill="BFBFBF" w:themeFill="background1" w:themeFillShade="BF"/>
            <w:vAlign w:val="center"/>
          </w:tcPr>
          <w:p w14:paraId="5FC3FA7D"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c>
          <w:tcPr>
            <w:tcW w:w="470" w:type="dxa"/>
            <w:vAlign w:val="center"/>
          </w:tcPr>
          <w:p w14:paraId="7C6D6B38" w14:textId="77777777" w:rsidR="009363B8" w:rsidRPr="00E553F4" w:rsidRDefault="009363B8" w:rsidP="00C93353">
            <w:pPr>
              <w:tabs>
                <w:tab w:val="clear" w:pos="7100"/>
              </w:tabs>
              <w:suppressAutoHyphens/>
              <w:autoSpaceDN w:val="0"/>
              <w:spacing w:line="240" w:lineRule="auto"/>
              <w:jc w:val="center"/>
              <w:textAlignment w:val="baseline"/>
              <w:rPr>
                <w:rFonts w:ascii="Times New Roman" w:hAnsi="Times New Roman"/>
                <w:sz w:val="16"/>
                <w:szCs w:val="16"/>
                <w:lang w:eastAsia="en-GB"/>
              </w:rPr>
            </w:pPr>
            <w:r w:rsidRPr="00E553F4">
              <w:rPr>
                <w:rFonts w:ascii="Times New Roman" w:hAnsi="Times New Roman"/>
                <w:sz w:val="16"/>
                <w:szCs w:val="16"/>
                <w:lang w:val="pl-PL"/>
              </w:rPr>
              <w:t>+</w:t>
            </w:r>
          </w:p>
        </w:tc>
      </w:tr>
    </w:tbl>
    <w:p w14:paraId="17AF7FC9" w14:textId="77777777" w:rsidR="009363B8" w:rsidRDefault="009363B8" w:rsidP="00CF5A5B">
      <w:pPr>
        <w:rPr>
          <w:rStyle w:val="hps"/>
        </w:rPr>
      </w:pPr>
    </w:p>
    <w:p w14:paraId="1682A647" w14:textId="7B19611D" w:rsidR="00CF5A5B" w:rsidRPr="0092167F" w:rsidRDefault="00B61455" w:rsidP="00CF5A5B">
      <w:pPr>
        <w:rPr>
          <w:rStyle w:val="hps"/>
          <w:color w:val="000000" w:themeColor="text1"/>
        </w:rPr>
      </w:pPr>
      <w:r w:rsidRPr="00B61455">
        <w:rPr>
          <w:rStyle w:val="hps"/>
        </w:rPr>
        <w:t>At the first day of storage all detected terpenes (α-pinene, camphene, p-cymene, o-cymene, α-phellandrene and α-humulene) were observed and as the biosolids were stored their presence mostly decreased. Only two terpenes were observed until the end of the measurement campaign: the first one α-pinene, however without day 14 and α-phellandrene, however in the biosolids cake B2 only. Contradictory to works of other authors, limonene was not detected in this study (Fisher et al., 2017, Maulini-Duran et al., 2015, Yager et al., 2014)</w:t>
      </w:r>
      <w:r w:rsidR="00CF5A5B" w:rsidRPr="0092167F">
        <w:rPr>
          <w:rStyle w:val="hps"/>
          <w:color w:val="000000" w:themeColor="text1"/>
        </w:rPr>
        <w:t xml:space="preserve">. </w:t>
      </w:r>
    </w:p>
    <w:p w14:paraId="1119891C" w14:textId="77777777" w:rsidR="007A2FAD" w:rsidRDefault="00B61455" w:rsidP="00CF5A5B">
      <w:pPr>
        <w:rPr>
          <w:rStyle w:val="hps"/>
          <w:color w:val="000000" w:themeColor="text1"/>
        </w:rPr>
      </w:pPr>
      <w:r w:rsidRPr="00B61455">
        <w:rPr>
          <w:rStyle w:val="hps"/>
          <w:color w:val="000000" w:themeColor="text1"/>
        </w:rPr>
        <w:t xml:space="preserve">Some odorants such as farnesol, methyl palmitate, hexyl acetate, 2-pentylothiophene, 3-octanone were seldom reported in other studies. </w:t>
      </w:r>
      <w:r w:rsidR="00B0495B">
        <w:rPr>
          <w:rStyle w:val="hps"/>
          <w:color w:val="000000" w:themeColor="text1"/>
        </w:rPr>
        <w:t>Moreover, n</w:t>
      </w:r>
      <w:r w:rsidRPr="00B61455">
        <w:rPr>
          <w:rStyle w:val="hps"/>
          <w:color w:val="000000" w:themeColor="text1"/>
        </w:rPr>
        <w:t>ot any reliable data for their odour detection threshold exists in literature</w:t>
      </w:r>
      <w:r w:rsidR="000C5D5D">
        <w:rPr>
          <w:rStyle w:val="hps"/>
          <w:color w:val="000000" w:themeColor="text1"/>
        </w:rPr>
        <w:t>.</w:t>
      </w:r>
    </w:p>
    <w:p w14:paraId="6A71FCC4" w14:textId="5A1F598D" w:rsidR="00CF5A5B" w:rsidRPr="0092167F" w:rsidRDefault="004736EF" w:rsidP="00CF5A5B">
      <w:pPr>
        <w:rPr>
          <w:rStyle w:val="hps"/>
          <w:color w:val="000000" w:themeColor="text1"/>
        </w:rPr>
      </w:pPr>
      <w:r w:rsidRPr="004736EF">
        <w:rPr>
          <w:rStyle w:val="hps"/>
          <w:color w:val="000000" w:themeColor="text1"/>
        </w:rPr>
        <w:t>The differences with identification of VOCs from biosolids cakes B1 and B2 emission might be related with the batch coming from different digesters.</w:t>
      </w:r>
      <w:r w:rsidR="00FE3A26">
        <w:rPr>
          <w:rStyle w:val="hps"/>
          <w:color w:val="000000" w:themeColor="text1"/>
        </w:rPr>
        <w:t xml:space="preserve"> </w:t>
      </w:r>
      <w:r w:rsidR="00FE3A26" w:rsidRPr="00FE3A26">
        <w:rPr>
          <w:rStyle w:val="hps"/>
          <w:color w:val="000000" w:themeColor="text1"/>
        </w:rPr>
        <w:t>A variability in individual chemical compounds emission was observed in other studies</w:t>
      </w:r>
      <w:r w:rsidR="00F726D8">
        <w:rPr>
          <w:rStyle w:val="hps"/>
          <w:color w:val="000000" w:themeColor="text1"/>
        </w:rPr>
        <w:t xml:space="preserve"> (Fisher et al., 2018b)</w:t>
      </w:r>
      <w:r w:rsidR="00FE3A26" w:rsidRPr="00FE3A26">
        <w:rPr>
          <w:rStyle w:val="hps"/>
          <w:color w:val="000000" w:themeColor="text1"/>
        </w:rPr>
        <w:t xml:space="preserve">. It was likely affected by the complex interactions and changes in the chemical compound concentrations due to the varying microbial pathways and activities. The variability may also be affected by the inconsistency of the processes </w:t>
      </w:r>
      <w:r w:rsidR="00A12A47">
        <w:rPr>
          <w:rStyle w:val="hps"/>
          <w:color w:val="000000" w:themeColor="text1"/>
        </w:rPr>
        <w:t>because</w:t>
      </w:r>
      <w:r w:rsidR="00FE3A26" w:rsidRPr="00FE3A26">
        <w:rPr>
          <w:rStyle w:val="hps"/>
          <w:color w:val="000000" w:themeColor="text1"/>
        </w:rPr>
        <w:t xml:space="preserve"> of different inputs at different times.</w:t>
      </w:r>
      <w:r w:rsidRPr="004736EF">
        <w:rPr>
          <w:rStyle w:val="hps"/>
          <w:color w:val="000000" w:themeColor="text1"/>
        </w:rPr>
        <w:t xml:space="preserve"> Differences between emission sample replicates from the same cakes are likely related to presence of chemical compounds with concentrations closed to method detection limits. The triplicates sample was not taken simultaneously, but the next one following the previous one. In the trace analysis those time discrepancies might affect the concentrations of chemical substances</w:t>
      </w:r>
      <w:r w:rsidR="007752CC" w:rsidRPr="007752CC">
        <w:rPr>
          <w:rStyle w:val="hps"/>
          <w:color w:val="000000" w:themeColor="text1"/>
        </w:rPr>
        <w:t>.</w:t>
      </w:r>
    </w:p>
    <w:p w14:paraId="057939D9" w14:textId="77777777" w:rsidR="00516B7C" w:rsidRPr="00ED465B" w:rsidRDefault="00516B7C" w:rsidP="00516B7C">
      <w:pPr>
        <w:pStyle w:val="CETHeading1"/>
        <w:rPr>
          <w:lang w:val="en-GB"/>
        </w:rPr>
      </w:pPr>
      <w:r w:rsidRPr="00ED465B">
        <w:rPr>
          <w:lang w:val="en-GB"/>
        </w:rPr>
        <w:t>Conclusions</w:t>
      </w:r>
    </w:p>
    <w:p w14:paraId="16ACE0CC" w14:textId="298ED532" w:rsidR="00516B7C" w:rsidRPr="0092167F" w:rsidRDefault="00B0495B" w:rsidP="00421E80">
      <w:pPr>
        <w:rPr>
          <w:rFonts w:ascii="Times New Roman" w:hAnsi="Times New Roman"/>
          <w:color w:val="000000" w:themeColor="text1"/>
          <w:sz w:val="25"/>
          <w:szCs w:val="25"/>
          <w:lang w:eastAsia="en-AU"/>
        </w:rPr>
      </w:pPr>
      <w:r w:rsidRPr="00B0495B">
        <w:rPr>
          <w:color w:val="000000" w:themeColor="text1"/>
        </w:rPr>
        <w:t xml:space="preserve">In this study, 55 odorous VOCs were </w:t>
      </w:r>
      <w:r w:rsidR="008953BD">
        <w:rPr>
          <w:color w:val="000000" w:themeColor="text1"/>
        </w:rPr>
        <w:t>detected</w:t>
      </w:r>
      <w:r w:rsidRPr="00B0495B">
        <w:rPr>
          <w:color w:val="000000" w:themeColor="text1"/>
        </w:rPr>
        <w:t xml:space="preserve">. Apart from the well-known odorants such as methanethiol, ethanol, dimethyl sulphide, dimethyl disulphide, styrene, pyridine, α-pinene was identified some odorants without known odour detection threshold in air such as acetophenon. The range of odorous VOCs identified as </w:t>
      </w:r>
      <w:r w:rsidRPr="00B0495B">
        <w:rPr>
          <w:color w:val="000000" w:themeColor="text1"/>
        </w:rPr>
        <w:lastRenderedPageBreak/>
        <w:t>the anaerobically stabilised biosolids cakes are aged suggests they are present because of a range of factors, such as biotic and/or abiotic production as well as household or industrial inputs to the sewer catchment. The different identification of odorous VOCs between the biosolids cakes suggests temporal variation in biosolids properties should be an area of further research. The proposed GCxGC-TOF-MS methodology allow</w:t>
      </w:r>
      <w:r w:rsidR="009363B8">
        <w:rPr>
          <w:color w:val="000000" w:themeColor="text1"/>
        </w:rPr>
        <w:t>ed</w:t>
      </w:r>
      <w:r w:rsidRPr="00B0495B">
        <w:rPr>
          <w:color w:val="000000" w:themeColor="text1"/>
        </w:rPr>
        <w:t xml:space="preserve"> better identification of odorants compare to a GC-MS instrumentation</w:t>
      </w:r>
      <w:r w:rsidR="0059281D" w:rsidRPr="0092167F">
        <w:rPr>
          <w:color w:val="000000" w:themeColor="text1"/>
        </w:rPr>
        <w:t>.</w:t>
      </w:r>
    </w:p>
    <w:p w14:paraId="0138B6F9" w14:textId="77777777" w:rsidR="00516B7C" w:rsidRPr="00ED465B" w:rsidRDefault="00516B7C" w:rsidP="00516B7C">
      <w:pPr>
        <w:pStyle w:val="CETAcknowledgements"/>
      </w:pPr>
      <w:r w:rsidRPr="00ED465B">
        <w:t>Acknowledgments</w:t>
      </w:r>
    </w:p>
    <w:p w14:paraId="77D01F28" w14:textId="42F845E8" w:rsidR="00516B7C" w:rsidRPr="00ED465B" w:rsidRDefault="00516B7C" w:rsidP="00516B7C">
      <w:pPr>
        <w:pStyle w:val="CETBodytext"/>
        <w:rPr>
          <w:lang w:val="en-GB"/>
        </w:rPr>
      </w:pPr>
      <w:r w:rsidRPr="00ED465B">
        <w:rPr>
          <w:lang w:val="en-GB"/>
        </w:rPr>
        <w:t xml:space="preserve">This work was supported by a Marie Curie International Outgoing Fellowship under </w:t>
      </w:r>
      <w:r w:rsidRPr="00ED465B">
        <w:rPr>
          <w:lang w:val="en-GB" w:eastAsia="en-AU"/>
        </w:rPr>
        <w:t xml:space="preserve">the grant </w:t>
      </w:r>
      <w:r w:rsidRPr="00ED465B">
        <w:rPr>
          <w:lang w:val="en-GB"/>
        </w:rPr>
        <w:t>PIOF-GA-2013</w:t>
      </w:r>
      <w:r w:rsidR="001F7CB8">
        <w:rPr>
          <w:lang w:val="en-GB"/>
        </w:rPr>
        <w:t>-</w:t>
      </w:r>
      <w:r w:rsidRPr="00ED465B">
        <w:rPr>
          <w:lang w:val="en-GB"/>
        </w:rPr>
        <w:t>622523 OdourCOB within the seventh European Community Framework Programme.</w:t>
      </w:r>
    </w:p>
    <w:p w14:paraId="06484449" w14:textId="77777777" w:rsidR="00516B7C" w:rsidRPr="00ED465B" w:rsidRDefault="00516B7C" w:rsidP="00516B7C">
      <w:pPr>
        <w:pStyle w:val="CETReference"/>
      </w:pPr>
      <w:r w:rsidRPr="00ED465B">
        <w:t>Reference</w:t>
      </w:r>
      <w:r>
        <w:t>s</w:t>
      </w:r>
    </w:p>
    <w:p w14:paraId="1D706230" w14:textId="72A94437" w:rsidR="00516B7C" w:rsidRDefault="00516B7C" w:rsidP="00516B7C">
      <w:pPr>
        <w:pStyle w:val="CETReference-text"/>
        <w:spacing w:line="240" w:lineRule="auto"/>
        <w:rPr>
          <w:rFonts w:cs="Arial"/>
          <w:noProof/>
          <w:szCs w:val="18"/>
        </w:rPr>
      </w:pPr>
      <w:r w:rsidRPr="00B90DBC">
        <w:rPr>
          <w:rFonts w:cs="Arial"/>
          <w:noProof/>
          <w:szCs w:val="18"/>
        </w:rPr>
        <w:t xml:space="preserve">Adams G.M., </w:t>
      </w:r>
      <w:r w:rsidR="00D67CBA" w:rsidRPr="00D67CBA">
        <w:rPr>
          <w:rFonts w:cs="Arial"/>
          <w:noProof/>
          <w:szCs w:val="18"/>
        </w:rPr>
        <w:t>Witherspoon J.,</w:t>
      </w:r>
      <w:r w:rsidR="00D67CBA" w:rsidRPr="00D67CBA">
        <w:rPr>
          <w:rFonts w:cs="Arial"/>
          <w:noProof/>
          <w:szCs w:val="18"/>
        </w:rPr>
        <w:t xml:space="preserve"> </w:t>
      </w:r>
      <w:r w:rsidRPr="00B90DBC">
        <w:rPr>
          <w:rFonts w:cs="Arial"/>
          <w:noProof/>
          <w:szCs w:val="18"/>
        </w:rPr>
        <w:t>2004</w:t>
      </w:r>
      <w:r w:rsidR="00D67CBA">
        <w:rPr>
          <w:rFonts w:cs="Arial"/>
          <w:noProof/>
          <w:szCs w:val="18"/>
        </w:rPr>
        <w:t>,</w:t>
      </w:r>
      <w:r w:rsidRPr="00B90DBC">
        <w:rPr>
          <w:rFonts w:cs="Arial"/>
          <w:noProof/>
          <w:szCs w:val="18"/>
        </w:rPr>
        <w:t xml:space="preserve"> Identifying and Controlling Municipal Wastewater Odor: Phase I, Literature Search and Review</w:t>
      </w:r>
      <w:r w:rsidR="00D67CBA">
        <w:rPr>
          <w:rFonts w:cs="Arial"/>
          <w:noProof/>
          <w:szCs w:val="18"/>
        </w:rPr>
        <w:t>,</w:t>
      </w:r>
      <w:r w:rsidRPr="00B90DBC">
        <w:rPr>
          <w:rFonts w:cs="Arial"/>
          <w:noProof/>
          <w:szCs w:val="18"/>
        </w:rPr>
        <w:t xml:space="preserve"> </w:t>
      </w:r>
      <w:r w:rsidR="00D67CBA">
        <w:rPr>
          <w:rFonts w:cs="Arial"/>
          <w:noProof/>
          <w:szCs w:val="18"/>
        </w:rPr>
        <w:t>IWA Publishing.</w:t>
      </w:r>
    </w:p>
    <w:p w14:paraId="7B7391B8" w14:textId="07E8DA6C" w:rsidR="00516B7C" w:rsidRDefault="00516B7C" w:rsidP="00516B7C">
      <w:pPr>
        <w:pStyle w:val="CETReference-text"/>
        <w:spacing w:line="240" w:lineRule="auto"/>
        <w:rPr>
          <w:rFonts w:cs="Arial"/>
          <w:noProof/>
          <w:szCs w:val="18"/>
        </w:rPr>
      </w:pPr>
      <w:r w:rsidRPr="00F52153">
        <w:rPr>
          <w:rFonts w:cs="Arial"/>
          <w:noProof/>
          <w:szCs w:val="18"/>
        </w:rPr>
        <w:t>Barczak R.J., Fisher R.M., Wang X., Stuetz R.M., 2018</w:t>
      </w:r>
      <w:r w:rsidR="00C93353">
        <w:rPr>
          <w:rFonts w:cs="Arial"/>
          <w:noProof/>
          <w:szCs w:val="18"/>
        </w:rPr>
        <w:t>,</w:t>
      </w:r>
      <w:r w:rsidRPr="00F52153">
        <w:rPr>
          <w:rFonts w:cs="Arial"/>
          <w:noProof/>
          <w:szCs w:val="18"/>
        </w:rPr>
        <w:t xml:space="preserve"> Variations of odorous VOCs detected by different assessors via gas chromatography coupled with mass spectrometry and olfactory detection port (ODP) system</w:t>
      </w:r>
      <w:r w:rsidR="00D67CBA">
        <w:rPr>
          <w:rFonts w:cs="Arial"/>
          <w:noProof/>
          <w:szCs w:val="18"/>
        </w:rPr>
        <w:t>,</w:t>
      </w:r>
      <w:r w:rsidRPr="00F52153">
        <w:rPr>
          <w:rFonts w:cs="Arial"/>
          <w:noProof/>
          <w:szCs w:val="18"/>
        </w:rPr>
        <w:t xml:space="preserve"> Water </w:t>
      </w:r>
      <w:r>
        <w:rPr>
          <w:rFonts w:cs="Arial"/>
          <w:noProof/>
          <w:szCs w:val="18"/>
        </w:rPr>
        <w:t>S</w:t>
      </w:r>
      <w:r w:rsidRPr="00F52153">
        <w:rPr>
          <w:rFonts w:cs="Arial"/>
          <w:noProof/>
          <w:szCs w:val="18"/>
        </w:rPr>
        <w:t xml:space="preserve">cience and </w:t>
      </w:r>
      <w:r>
        <w:rPr>
          <w:rFonts w:cs="Arial"/>
          <w:noProof/>
          <w:szCs w:val="18"/>
        </w:rPr>
        <w:t>T</w:t>
      </w:r>
      <w:r w:rsidRPr="00F52153">
        <w:rPr>
          <w:rFonts w:cs="Arial"/>
          <w:noProof/>
          <w:szCs w:val="18"/>
        </w:rPr>
        <w:t>echnology</w:t>
      </w:r>
      <w:r w:rsidR="00D67CBA">
        <w:rPr>
          <w:rFonts w:cs="Arial"/>
          <w:noProof/>
          <w:szCs w:val="18"/>
        </w:rPr>
        <w:t>,</w:t>
      </w:r>
      <w:r w:rsidRPr="00F52153">
        <w:rPr>
          <w:rFonts w:cs="Arial"/>
          <w:noProof/>
          <w:szCs w:val="18"/>
        </w:rPr>
        <w:t xml:space="preserve"> 77, 759-765.</w:t>
      </w:r>
    </w:p>
    <w:p w14:paraId="1BAA2839" w14:textId="4F6ABA47" w:rsidR="00516B7C" w:rsidRDefault="00516B7C" w:rsidP="00516B7C">
      <w:pPr>
        <w:pStyle w:val="CETReference-text"/>
        <w:spacing w:line="240" w:lineRule="auto"/>
        <w:rPr>
          <w:rFonts w:cs="Arial"/>
          <w:noProof/>
          <w:szCs w:val="18"/>
        </w:rPr>
      </w:pPr>
      <w:r w:rsidRPr="004D58A0">
        <w:rPr>
          <w:rFonts w:cs="Arial"/>
          <w:noProof/>
          <w:szCs w:val="18"/>
        </w:rPr>
        <w:t>Barczak R.J., Fisher R.M., Le-Minh N., Stuetz R.M., 2019</w:t>
      </w:r>
      <w:r w:rsidR="00C93353">
        <w:rPr>
          <w:rFonts w:cs="Arial"/>
          <w:noProof/>
          <w:szCs w:val="18"/>
        </w:rPr>
        <w:t>,</w:t>
      </w:r>
      <w:r w:rsidRPr="004D58A0">
        <w:rPr>
          <w:rFonts w:cs="Arial"/>
          <w:noProof/>
          <w:szCs w:val="18"/>
        </w:rPr>
        <w:t xml:space="preserve"> Importance of 2,4,6-Trichloroanisole (TCA) as an odorant in the emissions from anaerobically stabilized dewatered biosolids</w:t>
      </w:r>
      <w:r w:rsidR="00D67CBA">
        <w:rPr>
          <w:rFonts w:cs="Arial"/>
          <w:noProof/>
          <w:szCs w:val="18"/>
        </w:rPr>
        <w:t>,</w:t>
      </w:r>
      <w:r w:rsidRPr="004D58A0">
        <w:rPr>
          <w:rFonts w:cs="Arial"/>
          <w:noProof/>
          <w:szCs w:val="18"/>
        </w:rPr>
        <w:t xml:space="preserve"> Chemosphere</w:t>
      </w:r>
      <w:r w:rsidR="00D67CBA">
        <w:rPr>
          <w:rFonts w:cs="Arial"/>
          <w:noProof/>
          <w:szCs w:val="18"/>
        </w:rPr>
        <w:t>,</w:t>
      </w:r>
      <w:r w:rsidRPr="004D58A0">
        <w:rPr>
          <w:rFonts w:cs="Arial"/>
          <w:noProof/>
          <w:szCs w:val="18"/>
        </w:rPr>
        <w:t xml:space="preserve"> 236, 124340.</w:t>
      </w:r>
    </w:p>
    <w:p w14:paraId="69D5C73B" w14:textId="339D72FE" w:rsidR="00516B7C" w:rsidRPr="00F52153" w:rsidRDefault="00516B7C" w:rsidP="00516B7C">
      <w:pPr>
        <w:pStyle w:val="CETReference-text"/>
        <w:spacing w:line="240" w:lineRule="auto"/>
        <w:rPr>
          <w:rFonts w:cs="Arial"/>
          <w:noProof/>
          <w:szCs w:val="18"/>
        </w:rPr>
      </w:pPr>
      <w:r w:rsidRPr="009942A1">
        <w:rPr>
          <w:rFonts w:cs="Arial"/>
          <w:noProof/>
          <w:szCs w:val="18"/>
        </w:rPr>
        <w:t>Brattoli M., Cisternino E., Dambruoso P.R., de Gennaro G., Giungato P., Mazzone A., Palmisani J., Tutino M., 2013</w:t>
      </w:r>
      <w:r w:rsidR="00C93353">
        <w:rPr>
          <w:rFonts w:cs="Arial"/>
          <w:noProof/>
          <w:szCs w:val="18"/>
        </w:rPr>
        <w:t>,</w:t>
      </w:r>
      <w:r w:rsidRPr="009942A1">
        <w:rPr>
          <w:rFonts w:cs="Arial"/>
          <w:noProof/>
          <w:szCs w:val="18"/>
        </w:rPr>
        <w:t xml:space="preserve"> Gas Chromatography Analysis with Olfactometric Detection (GC-O) as a Useful Methodology for Chemical Characterization of Odorous Compounds</w:t>
      </w:r>
      <w:r w:rsidR="00C93353">
        <w:rPr>
          <w:rFonts w:cs="Arial"/>
          <w:noProof/>
          <w:szCs w:val="18"/>
        </w:rPr>
        <w:t>,</w:t>
      </w:r>
      <w:r w:rsidRPr="009942A1">
        <w:rPr>
          <w:rFonts w:cs="Arial"/>
          <w:noProof/>
          <w:szCs w:val="18"/>
        </w:rPr>
        <w:t xml:space="preserve"> Sensors</w:t>
      </w:r>
      <w:r w:rsidR="00C93353">
        <w:rPr>
          <w:rFonts w:cs="Arial"/>
          <w:noProof/>
          <w:szCs w:val="18"/>
        </w:rPr>
        <w:t>,</w:t>
      </w:r>
      <w:r w:rsidRPr="009942A1">
        <w:rPr>
          <w:rFonts w:cs="Arial"/>
          <w:noProof/>
          <w:szCs w:val="18"/>
        </w:rPr>
        <w:t xml:space="preserve"> 13, 16759-16800.</w:t>
      </w:r>
    </w:p>
    <w:p w14:paraId="494908EF" w14:textId="4BD1FBB8" w:rsidR="00516B7C" w:rsidRPr="00F52153" w:rsidRDefault="00516B7C" w:rsidP="00C15190">
      <w:pPr>
        <w:pStyle w:val="CETReference-text"/>
        <w:spacing w:line="240" w:lineRule="auto"/>
        <w:rPr>
          <w:rFonts w:cs="Arial"/>
          <w:noProof/>
          <w:szCs w:val="18"/>
        </w:rPr>
      </w:pPr>
      <w:r w:rsidRPr="00F52153">
        <w:rPr>
          <w:rFonts w:cs="Arial"/>
          <w:noProof/>
          <w:szCs w:val="18"/>
        </w:rPr>
        <w:t>Byliński H., Barczak R.J., Gębicki J., Namieśnik</w:t>
      </w:r>
      <w:r w:rsidR="00C93353">
        <w:rPr>
          <w:rFonts w:cs="Arial"/>
          <w:noProof/>
          <w:szCs w:val="18"/>
        </w:rPr>
        <w:t xml:space="preserve"> J.,</w:t>
      </w:r>
      <w:r w:rsidRPr="00F52153">
        <w:rPr>
          <w:rFonts w:cs="Arial"/>
          <w:noProof/>
          <w:szCs w:val="18"/>
        </w:rPr>
        <w:t xml:space="preserve"> 2019</w:t>
      </w:r>
      <w:r w:rsidR="00C93353">
        <w:rPr>
          <w:rFonts w:cs="Arial"/>
          <w:noProof/>
          <w:szCs w:val="18"/>
        </w:rPr>
        <w:t>,</w:t>
      </w:r>
      <w:r w:rsidRPr="00F52153">
        <w:rPr>
          <w:rFonts w:cs="Arial"/>
          <w:noProof/>
          <w:szCs w:val="18"/>
        </w:rPr>
        <w:t xml:space="preserve"> Monitoring of odors emitted from stabilized dewatered sludge subjected to aging using proton transfer reaction–mass spectrometry</w:t>
      </w:r>
      <w:r w:rsidR="00C93353">
        <w:rPr>
          <w:rFonts w:cs="Arial"/>
          <w:noProof/>
          <w:szCs w:val="18"/>
        </w:rPr>
        <w:t>,</w:t>
      </w:r>
      <w:r w:rsidRPr="00F52153">
        <w:rPr>
          <w:rFonts w:cs="Arial"/>
          <w:noProof/>
          <w:szCs w:val="18"/>
        </w:rPr>
        <w:t xml:space="preserve">  </w:t>
      </w:r>
      <w:r w:rsidR="00C15190" w:rsidRPr="00C15190">
        <w:rPr>
          <w:rFonts w:cs="Arial"/>
          <w:noProof/>
          <w:szCs w:val="18"/>
        </w:rPr>
        <w:t>Environmental Science</w:t>
      </w:r>
      <w:r w:rsidR="00C15190">
        <w:rPr>
          <w:rFonts w:cs="Arial"/>
          <w:noProof/>
          <w:szCs w:val="18"/>
        </w:rPr>
        <w:t xml:space="preserve"> and </w:t>
      </w:r>
      <w:r w:rsidR="00C15190" w:rsidRPr="00C15190">
        <w:rPr>
          <w:rFonts w:cs="Arial"/>
          <w:noProof/>
          <w:szCs w:val="18"/>
        </w:rPr>
        <w:t>Pollution Research</w:t>
      </w:r>
      <w:r w:rsidR="00C93353">
        <w:rPr>
          <w:rFonts w:cs="Arial"/>
          <w:noProof/>
          <w:szCs w:val="18"/>
        </w:rPr>
        <w:t>,</w:t>
      </w:r>
      <w:r w:rsidR="00C15190">
        <w:rPr>
          <w:rFonts w:cs="Arial"/>
          <w:noProof/>
          <w:szCs w:val="18"/>
        </w:rPr>
        <w:t xml:space="preserve"> </w:t>
      </w:r>
      <w:r w:rsidRPr="00F52153">
        <w:rPr>
          <w:rFonts w:cs="Arial"/>
          <w:noProof/>
          <w:szCs w:val="18"/>
        </w:rPr>
        <w:t>26, 5500-5513.</w:t>
      </w:r>
    </w:p>
    <w:p w14:paraId="11E8A540" w14:textId="2F6C3EBC" w:rsidR="00516B7C" w:rsidRPr="00F52153" w:rsidRDefault="00516B7C" w:rsidP="00516B7C">
      <w:pPr>
        <w:pStyle w:val="CETReference-text"/>
        <w:spacing w:line="240" w:lineRule="auto"/>
        <w:rPr>
          <w:rFonts w:cs="Arial"/>
          <w:noProof/>
          <w:szCs w:val="18"/>
        </w:rPr>
      </w:pPr>
      <w:r w:rsidRPr="00F52153">
        <w:rPr>
          <w:rFonts w:cs="Arial"/>
          <w:noProof/>
          <w:szCs w:val="18"/>
        </w:rPr>
        <w:t>Fisher R.M., Barczak R.J., Alvarez Gaitan J.P., Le-Minh N., Stuetz R.M., 2017</w:t>
      </w:r>
      <w:r w:rsidR="00C93353">
        <w:rPr>
          <w:rFonts w:cs="Arial"/>
          <w:noProof/>
          <w:szCs w:val="18"/>
        </w:rPr>
        <w:t>,</w:t>
      </w:r>
      <w:r w:rsidRPr="00F52153">
        <w:rPr>
          <w:rFonts w:cs="Arial"/>
          <w:noProof/>
          <w:szCs w:val="18"/>
        </w:rPr>
        <w:t xml:space="preserve"> Odorous volatile organic compound (VOC) emissions from ageing anaerobically stabilised biosolids</w:t>
      </w:r>
      <w:r w:rsidR="00C93353">
        <w:rPr>
          <w:rFonts w:cs="Arial"/>
          <w:noProof/>
          <w:szCs w:val="18"/>
        </w:rPr>
        <w:t>,</w:t>
      </w:r>
      <w:r w:rsidRPr="00F52153">
        <w:rPr>
          <w:rFonts w:cs="Arial"/>
          <w:noProof/>
          <w:szCs w:val="18"/>
        </w:rPr>
        <w:t xml:space="preserve"> Water Science and Technology</w:t>
      </w:r>
      <w:r w:rsidR="00C93353">
        <w:rPr>
          <w:rFonts w:cs="Arial"/>
          <w:noProof/>
          <w:szCs w:val="18"/>
        </w:rPr>
        <w:t>,</w:t>
      </w:r>
      <w:r w:rsidRPr="00F52153">
        <w:rPr>
          <w:rFonts w:cs="Arial"/>
          <w:noProof/>
          <w:szCs w:val="18"/>
        </w:rPr>
        <w:t xml:space="preserve"> 75, 1617-1624.</w:t>
      </w:r>
    </w:p>
    <w:p w14:paraId="2518355C" w14:textId="12EE331D" w:rsidR="00516B7C" w:rsidRDefault="00516B7C" w:rsidP="00516B7C">
      <w:pPr>
        <w:pStyle w:val="CETReference-text"/>
        <w:spacing w:line="240" w:lineRule="auto"/>
        <w:rPr>
          <w:rFonts w:cs="Arial"/>
          <w:noProof/>
          <w:szCs w:val="18"/>
        </w:rPr>
      </w:pPr>
      <w:r w:rsidRPr="00F52153">
        <w:rPr>
          <w:rFonts w:cs="Arial"/>
          <w:noProof/>
          <w:szCs w:val="18"/>
        </w:rPr>
        <w:t>Fisher R.M., Barczak R.J., Suffet I.H.M., Hayes J.E., Stuetz R.M., 2018</w:t>
      </w:r>
      <w:r w:rsidR="00A12A47">
        <w:rPr>
          <w:rFonts w:cs="Arial"/>
          <w:noProof/>
          <w:szCs w:val="18"/>
        </w:rPr>
        <w:t>a</w:t>
      </w:r>
      <w:r w:rsidR="00C93353">
        <w:rPr>
          <w:rFonts w:cs="Arial"/>
          <w:noProof/>
          <w:szCs w:val="18"/>
        </w:rPr>
        <w:t>,</w:t>
      </w:r>
      <w:r w:rsidRPr="00F52153">
        <w:rPr>
          <w:rFonts w:cs="Arial"/>
          <w:noProof/>
          <w:szCs w:val="18"/>
        </w:rPr>
        <w:t xml:space="preserve"> Framework for the use of odour wheels to manage odours throughout wastewater biosolids processing</w:t>
      </w:r>
      <w:r w:rsidR="00C93353">
        <w:rPr>
          <w:rFonts w:cs="Arial"/>
          <w:noProof/>
          <w:szCs w:val="18"/>
        </w:rPr>
        <w:t>,</w:t>
      </w:r>
      <w:r w:rsidRPr="00F52153">
        <w:rPr>
          <w:rFonts w:cs="Arial"/>
          <w:noProof/>
          <w:szCs w:val="18"/>
        </w:rPr>
        <w:t xml:space="preserve"> Science of The Total Environment</w:t>
      </w:r>
      <w:r w:rsidR="00C93353">
        <w:rPr>
          <w:rFonts w:cs="Arial"/>
          <w:noProof/>
          <w:szCs w:val="18"/>
        </w:rPr>
        <w:t>,</w:t>
      </w:r>
      <w:r w:rsidRPr="00F52153">
        <w:rPr>
          <w:rFonts w:cs="Arial"/>
          <w:noProof/>
          <w:szCs w:val="18"/>
        </w:rPr>
        <w:t xml:space="preserve"> 634, 214-223.</w:t>
      </w:r>
    </w:p>
    <w:p w14:paraId="4CEB860D" w14:textId="572B88F8" w:rsidR="00F726D8" w:rsidRPr="00F52153" w:rsidRDefault="00F726D8" w:rsidP="00516B7C">
      <w:pPr>
        <w:pStyle w:val="CETReference-text"/>
        <w:spacing w:line="240" w:lineRule="auto"/>
        <w:rPr>
          <w:rFonts w:cs="Arial"/>
          <w:noProof/>
          <w:szCs w:val="18"/>
        </w:rPr>
      </w:pPr>
      <w:r w:rsidRPr="00F726D8">
        <w:rPr>
          <w:rFonts w:cs="Arial"/>
          <w:noProof/>
          <w:szCs w:val="18"/>
        </w:rPr>
        <w:t>Fisher R.M., Le-Minh N., Alvarez-Gaitan J.P., Moore S.J., Stuetz R.M., 2018</w:t>
      </w:r>
      <w:r w:rsidR="00A12A47">
        <w:rPr>
          <w:rFonts w:cs="Arial"/>
          <w:noProof/>
          <w:szCs w:val="18"/>
        </w:rPr>
        <w:t>b</w:t>
      </w:r>
      <w:r>
        <w:rPr>
          <w:rFonts w:cs="Arial"/>
          <w:noProof/>
          <w:szCs w:val="18"/>
        </w:rPr>
        <w:t>,</w:t>
      </w:r>
      <w:r w:rsidRPr="00F726D8">
        <w:rPr>
          <w:rFonts w:cs="Arial"/>
          <w:noProof/>
          <w:szCs w:val="18"/>
        </w:rPr>
        <w:t xml:space="preserve"> Emissions of volatile sulfur compounds (VSCs) throughout wastewater biosolids processing</w:t>
      </w:r>
      <w:r>
        <w:rPr>
          <w:rFonts w:cs="Arial"/>
          <w:noProof/>
          <w:szCs w:val="18"/>
        </w:rPr>
        <w:t>,</w:t>
      </w:r>
      <w:r w:rsidRPr="00F726D8">
        <w:rPr>
          <w:rFonts w:cs="Arial"/>
          <w:noProof/>
          <w:szCs w:val="18"/>
        </w:rPr>
        <w:t xml:space="preserve"> </w:t>
      </w:r>
      <w:r w:rsidRPr="00F52153">
        <w:rPr>
          <w:rFonts w:cs="Arial"/>
          <w:noProof/>
          <w:szCs w:val="18"/>
        </w:rPr>
        <w:t>Science of The Total Environment</w:t>
      </w:r>
      <w:r>
        <w:rPr>
          <w:rFonts w:cs="Arial"/>
          <w:noProof/>
          <w:szCs w:val="18"/>
        </w:rPr>
        <w:t>,</w:t>
      </w:r>
      <w:r w:rsidRPr="00F726D8">
        <w:rPr>
          <w:rFonts w:cs="Arial"/>
          <w:noProof/>
          <w:szCs w:val="18"/>
        </w:rPr>
        <w:t xml:space="preserve"> 616-617, 622-631.</w:t>
      </w:r>
    </w:p>
    <w:p w14:paraId="2CC3CB3D" w14:textId="6D3AD248" w:rsidR="00516B7C" w:rsidRDefault="00516B7C" w:rsidP="00516B7C">
      <w:pPr>
        <w:pStyle w:val="CETReference-text"/>
        <w:spacing w:line="240" w:lineRule="auto"/>
        <w:rPr>
          <w:rFonts w:cs="Arial"/>
          <w:noProof/>
          <w:szCs w:val="18"/>
        </w:rPr>
      </w:pPr>
      <w:r w:rsidRPr="00F52153">
        <w:rPr>
          <w:rFonts w:cs="Arial"/>
          <w:noProof/>
          <w:szCs w:val="18"/>
        </w:rPr>
        <w:t>Giungato P., Di Gilio A., Palmisani J., Marzocca A., Mazzone A., Brattoli M., Giua R., de Gennaro G., 2018</w:t>
      </w:r>
      <w:r w:rsidR="00C93353">
        <w:rPr>
          <w:rFonts w:cs="Arial"/>
          <w:noProof/>
          <w:szCs w:val="18"/>
        </w:rPr>
        <w:t>,</w:t>
      </w:r>
      <w:r w:rsidRPr="00F52153">
        <w:rPr>
          <w:rFonts w:cs="Arial"/>
          <w:noProof/>
          <w:szCs w:val="18"/>
        </w:rPr>
        <w:t xml:space="preserve"> Synergistic approaches for odor active compounds monitoring and identification: State of the art, integration, limits and potentialities of analytical and sensorial techniques</w:t>
      </w:r>
      <w:r w:rsidR="00C93353">
        <w:rPr>
          <w:rFonts w:cs="Arial"/>
          <w:noProof/>
          <w:szCs w:val="18"/>
        </w:rPr>
        <w:t>,</w:t>
      </w:r>
      <w:r w:rsidRPr="00F52153">
        <w:rPr>
          <w:rFonts w:cs="Arial"/>
          <w:noProof/>
          <w:szCs w:val="18"/>
        </w:rPr>
        <w:t xml:space="preserve"> TrAC Trends in Analytical Chemistry</w:t>
      </w:r>
      <w:r w:rsidR="00C93353">
        <w:rPr>
          <w:rFonts w:cs="Arial"/>
          <w:noProof/>
          <w:szCs w:val="18"/>
        </w:rPr>
        <w:t>,</w:t>
      </w:r>
      <w:r w:rsidRPr="00F52153">
        <w:rPr>
          <w:rFonts w:cs="Arial"/>
          <w:noProof/>
          <w:szCs w:val="18"/>
        </w:rPr>
        <w:t xml:space="preserve"> 107, 116-129.</w:t>
      </w:r>
    </w:p>
    <w:p w14:paraId="6E589B34" w14:textId="1A1F333E" w:rsidR="00516B7C" w:rsidRDefault="00516B7C" w:rsidP="00516B7C">
      <w:pPr>
        <w:pStyle w:val="CETReference-text"/>
        <w:spacing w:line="240" w:lineRule="auto"/>
        <w:rPr>
          <w:rFonts w:cs="Arial"/>
          <w:noProof/>
          <w:szCs w:val="18"/>
        </w:rPr>
      </w:pPr>
      <w:r w:rsidRPr="00C365A5">
        <w:rPr>
          <w:rFonts w:cs="Arial"/>
          <w:noProof/>
          <w:szCs w:val="18"/>
        </w:rPr>
        <w:t>Hayes J.E., Stevenson R.J., Stuetz R.M., 2014</w:t>
      </w:r>
      <w:r w:rsidR="00C93353">
        <w:rPr>
          <w:rFonts w:cs="Arial"/>
          <w:noProof/>
          <w:szCs w:val="18"/>
        </w:rPr>
        <w:t>,</w:t>
      </w:r>
      <w:r w:rsidRPr="00C365A5">
        <w:rPr>
          <w:rFonts w:cs="Arial"/>
          <w:noProof/>
          <w:szCs w:val="18"/>
        </w:rPr>
        <w:t xml:space="preserve"> The impact of malodour on communities: A review of assessment techniques</w:t>
      </w:r>
      <w:r w:rsidR="00C93353">
        <w:rPr>
          <w:rFonts w:cs="Arial"/>
          <w:noProof/>
          <w:szCs w:val="18"/>
        </w:rPr>
        <w:t>,</w:t>
      </w:r>
      <w:r w:rsidRPr="00C365A5">
        <w:rPr>
          <w:rFonts w:cs="Arial"/>
          <w:noProof/>
          <w:szCs w:val="18"/>
        </w:rPr>
        <w:t xml:space="preserve"> Science of The Total Environment</w:t>
      </w:r>
      <w:r w:rsidR="00C93353">
        <w:rPr>
          <w:rFonts w:cs="Arial"/>
          <w:noProof/>
          <w:szCs w:val="18"/>
        </w:rPr>
        <w:t>,</w:t>
      </w:r>
      <w:r w:rsidRPr="00C365A5">
        <w:rPr>
          <w:rFonts w:cs="Arial"/>
          <w:noProof/>
          <w:szCs w:val="18"/>
        </w:rPr>
        <w:t xml:space="preserve"> 500–501, 395-407.</w:t>
      </w:r>
    </w:p>
    <w:p w14:paraId="5C8FBB6F" w14:textId="404ABCA6" w:rsidR="00BA5636" w:rsidRDefault="00BA5636" w:rsidP="00516B7C">
      <w:pPr>
        <w:pStyle w:val="CETReference-text"/>
        <w:spacing w:line="240" w:lineRule="auto"/>
        <w:rPr>
          <w:rFonts w:cs="Arial"/>
          <w:noProof/>
          <w:szCs w:val="18"/>
        </w:rPr>
      </w:pPr>
      <w:r w:rsidRPr="00BA5636">
        <w:rPr>
          <w:rFonts w:cs="Arial"/>
          <w:noProof/>
          <w:szCs w:val="18"/>
        </w:rPr>
        <w:t>Maulini-Duran C., Abraham J., Rodríguez-Pérez S., Cerda A., Jiménez-Peñalver P., Gea T., Barrena R., Artola A., Font X., Sánchez A., 2015</w:t>
      </w:r>
      <w:r w:rsidR="00C93353">
        <w:rPr>
          <w:rFonts w:cs="Arial"/>
          <w:noProof/>
          <w:szCs w:val="18"/>
        </w:rPr>
        <w:t>,</w:t>
      </w:r>
      <w:r w:rsidRPr="00BA5636">
        <w:rPr>
          <w:rFonts w:cs="Arial"/>
          <w:noProof/>
          <w:szCs w:val="18"/>
        </w:rPr>
        <w:t xml:space="preserve"> Gaseous emissions during the solid state fermentation of different wastes for enzyme production at pilot scale</w:t>
      </w:r>
      <w:r w:rsidR="00C93353">
        <w:rPr>
          <w:rFonts w:cs="Arial"/>
          <w:noProof/>
          <w:szCs w:val="18"/>
        </w:rPr>
        <w:t>,</w:t>
      </w:r>
      <w:r w:rsidRPr="00BA5636">
        <w:rPr>
          <w:rFonts w:cs="Arial"/>
          <w:noProof/>
          <w:szCs w:val="18"/>
        </w:rPr>
        <w:t xml:space="preserve"> Bioresource Technology</w:t>
      </w:r>
      <w:r w:rsidR="00C93353">
        <w:rPr>
          <w:rFonts w:cs="Arial"/>
          <w:noProof/>
          <w:szCs w:val="18"/>
        </w:rPr>
        <w:t>,</w:t>
      </w:r>
      <w:r w:rsidRPr="00BA5636">
        <w:rPr>
          <w:rFonts w:cs="Arial"/>
          <w:noProof/>
          <w:szCs w:val="18"/>
        </w:rPr>
        <w:t xml:space="preserve"> 179, 211-218.</w:t>
      </w:r>
    </w:p>
    <w:p w14:paraId="584714FF" w14:textId="2F26EB5B" w:rsidR="00516B7C" w:rsidRDefault="00516B7C" w:rsidP="00516B7C">
      <w:pPr>
        <w:pStyle w:val="CETReference-text"/>
        <w:spacing w:line="240" w:lineRule="auto"/>
        <w:rPr>
          <w:rFonts w:cs="Arial"/>
          <w:noProof/>
          <w:szCs w:val="18"/>
        </w:rPr>
      </w:pPr>
      <w:r w:rsidRPr="00B90DBC">
        <w:rPr>
          <w:rFonts w:cs="Arial"/>
          <w:noProof/>
          <w:szCs w:val="18"/>
        </w:rPr>
        <w:t>Ryan D., Prenzler P.D., Saliba A.J., Scollary G.R., 2008</w:t>
      </w:r>
      <w:r w:rsidR="00C93353">
        <w:rPr>
          <w:rFonts w:cs="Arial"/>
          <w:noProof/>
          <w:szCs w:val="18"/>
        </w:rPr>
        <w:t>,</w:t>
      </w:r>
      <w:r w:rsidRPr="00B90DBC">
        <w:rPr>
          <w:rFonts w:cs="Arial"/>
          <w:noProof/>
          <w:szCs w:val="18"/>
        </w:rPr>
        <w:t xml:space="preserve"> The significance of low impact odorants in global odour perception</w:t>
      </w:r>
      <w:r w:rsidR="00C93353">
        <w:rPr>
          <w:rFonts w:cs="Arial"/>
          <w:noProof/>
          <w:szCs w:val="18"/>
        </w:rPr>
        <w:t>,</w:t>
      </w:r>
      <w:r w:rsidRPr="00B90DBC">
        <w:rPr>
          <w:rFonts w:cs="Arial"/>
          <w:noProof/>
          <w:szCs w:val="18"/>
        </w:rPr>
        <w:t xml:space="preserve"> Trends in Food Science and Technology</w:t>
      </w:r>
      <w:r w:rsidR="00C93353">
        <w:rPr>
          <w:rFonts w:cs="Arial"/>
          <w:noProof/>
          <w:szCs w:val="18"/>
        </w:rPr>
        <w:t>,</w:t>
      </w:r>
      <w:r w:rsidRPr="00B90DBC">
        <w:rPr>
          <w:rFonts w:cs="Arial"/>
          <w:noProof/>
          <w:szCs w:val="18"/>
        </w:rPr>
        <w:t xml:space="preserve"> 19, 383-389.</w:t>
      </w:r>
    </w:p>
    <w:p w14:paraId="39FD6543" w14:textId="0AC81621" w:rsidR="00516B7C" w:rsidRDefault="00516B7C" w:rsidP="00516B7C">
      <w:pPr>
        <w:pStyle w:val="CETReference-text"/>
        <w:spacing w:line="240" w:lineRule="auto"/>
        <w:rPr>
          <w:noProof/>
        </w:rPr>
      </w:pPr>
      <w:r w:rsidRPr="00FE117D">
        <w:rPr>
          <w:noProof/>
        </w:rPr>
        <w:t>Visan M., Parker W.J., 2004</w:t>
      </w:r>
      <w:r w:rsidR="00C93353">
        <w:rPr>
          <w:noProof/>
        </w:rPr>
        <w:t>,</w:t>
      </w:r>
      <w:r w:rsidRPr="00FE117D">
        <w:rPr>
          <w:noProof/>
        </w:rPr>
        <w:t xml:space="preserve"> An evaluation of solid phase microextraction for analysis of odorant emissions from stored biosolids cake</w:t>
      </w:r>
      <w:r w:rsidR="00C93353">
        <w:rPr>
          <w:noProof/>
        </w:rPr>
        <w:t>,</w:t>
      </w:r>
      <w:r w:rsidRPr="00FE117D">
        <w:rPr>
          <w:noProof/>
        </w:rPr>
        <w:t xml:space="preserve"> Water Research</w:t>
      </w:r>
      <w:r w:rsidR="00C93353">
        <w:rPr>
          <w:noProof/>
        </w:rPr>
        <w:t>,</w:t>
      </w:r>
      <w:r w:rsidRPr="00FE117D">
        <w:rPr>
          <w:noProof/>
        </w:rPr>
        <w:t xml:space="preserve"> 38, 3800-3808.</w:t>
      </w:r>
    </w:p>
    <w:p w14:paraId="49228106" w14:textId="16533373" w:rsidR="00516B7C" w:rsidRDefault="00516B7C" w:rsidP="00516B7C">
      <w:pPr>
        <w:pStyle w:val="CETReference-text"/>
        <w:spacing w:line="240" w:lineRule="auto"/>
        <w:rPr>
          <w:noProof/>
        </w:rPr>
      </w:pPr>
      <w:r w:rsidRPr="000B6E27">
        <w:rPr>
          <w:noProof/>
        </w:rPr>
        <w:t>Wu C., Liu J., Liu S., Li W., Yan L., Shu M., Zhao P., Zhou P., Cao W., 2018</w:t>
      </w:r>
      <w:r w:rsidR="00C93353">
        <w:rPr>
          <w:noProof/>
        </w:rPr>
        <w:t>,</w:t>
      </w:r>
      <w:r w:rsidRPr="000B6E27">
        <w:rPr>
          <w:noProof/>
        </w:rPr>
        <w:t xml:space="preserve"> Assessment of the health risks and odor concentration of volatile compounds from a municipal solid waste landfill in China</w:t>
      </w:r>
      <w:r w:rsidR="00C93353">
        <w:rPr>
          <w:noProof/>
        </w:rPr>
        <w:t>,</w:t>
      </w:r>
      <w:r w:rsidRPr="000B6E27">
        <w:rPr>
          <w:noProof/>
        </w:rPr>
        <w:t xml:space="preserve"> Chemosphere</w:t>
      </w:r>
      <w:r w:rsidR="00C93353">
        <w:rPr>
          <w:noProof/>
        </w:rPr>
        <w:t>,</w:t>
      </w:r>
      <w:r w:rsidRPr="000B6E27">
        <w:rPr>
          <w:noProof/>
        </w:rPr>
        <w:t xml:space="preserve"> 202, 1-8.</w:t>
      </w:r>
    </w:p>
    <w:p w14:paraId="435774CB" w14:textId="038E62FB" w:rsidR="00F61CB2" w:rsidRDefault="00F61CB2" w:rsidP="00516B7C">
      <w:pPr>
        <w:pStyle w:val="CETReference-text"/>
        <w:spacing w:line="240" w:lineRule="auto"/>
        <w:rPr>
          <w:noProof/>
        </w:rPr>
      </w:pPr>
      <w:r w:rsidRPr="00F61CB2">
        <w:rPr>
          <w:noProof/>
        </w:rPr>
        <w:t>Yager T.J.B., Furlong E.T., Kolpin D.W., Kinney C.A., Zaugg S.D., Burkhardt M.R., 2014</w:t>
      </w:r>
      <w:r w:rsidR="00C93353">
        <w:rPr>
          <w:noProof/>
        </w:rPr>
        <w:t>,</w:t>
      </w:r>
      <w:r w:rsidRPr="00F61CB2">
        <w:rPr>
          <w:noProof/>
        </w:rPr>
        <w:t xml:space="preserve"> Dissipation of Contaminants of Emerging Concern in Biosolids Applied to Nonirrigated Farmland in Eastern Colorado</w:t>
      </w:r>
      <w:r w:rsidR="00C93353">
        <w:rPr>
          <w:noProof/>
        </w:rPr>
        <w:t>,</w:t>
      </w:r>
      <w:r w:rsidRPr="00F61CB2">
        <w:rPr>
          <w:noProof/>
        </w:rPr>
        <w:t xml:space="preserve"> Journal of the American Water Resources Association</w:t>
      </w:r>
      <w:r w:rsidR="00C93353">
        <w:rPr>
          <w:noProof/>
        </w:rPr>
        <w:t>,</w:t>
      </w:r>
      <w:r w:rsidRPr="00F61CB2">
        <w:rPr>
          <w:noProof/>
        </w:rPr>
        <w:t xml:space="preserve"> 50, 343-357.</w:t>
      </w:r>
    </w:p>
    <w:p w14:paraId="4BBC9A2C" w14:textId="15CB204E" w:rsidR="00516B7C" w:rsidRPr="00ED465B" w:rsidRDefault="00516B7C" w:rsidP="00516B7C">
      <w:pPr>
        <w:pStyle w:val="CETReference-text"/>
        <w:spacing w:line="240" w:lineRule="auto"/>
        <w:rPr>
          <w:rFonts w:cs="Arial"/>
          <w:szCs w:val="18"/>
        </w:rPr>
      </w:pPr>
      <w:r w:rsidRPr="00B90DBC">
        <w:rPr>
          <w:rFonts w:cs="Arial"/>
          <w:szCs w:val="18"/>
        </w:rPr>
        <w:t>Zhou Y., Hallis S.A., Vitko T., Suffet I.H., 2016</w:t>
      </w:r>
      <w:r w:rsidR="00C93353">
        <w:rPr>
          <w:rFonts w:cs="Arial"/>
          <w:szCs w:val="18"/>
        </w:rPr>
        <w:t>,</w:t>
      </w:r>
      <w:r w:rsidRPr="00B90DBC">
        <w:rPr>
          <w:rFonts w:cs="Arial"/>
          <w:szCs w:val="18"/>
        </w:rPr>
        <w:t xml:space="preserve"> Identification, quantification and treatment of fecal odors released into the air at two wastewater treatment plants</w:t>
      </w:r>
      <w:r w:rsidR="00C93353">
        <w:rPr>
          <w:rFonts w:cs="Arial"/>
          <w:szCs w:val="18"/>
        </w:rPr>
        <w:t>,</w:t>
      </w:r>
      <w:r w:rsidRPr="00B90DBC">
        <w:rPr>
          <w:rFonts w:cs="Arial"/>
          <w:szCs w:val="18"/>
        </w:rPr>
        <w:t xml:space="preserve"> Journal of Environmental Management</w:t>
      </w:r>
      <w:r w:rsidR="00C93353">
        <w:rPr>
          <w:rFonts w:cs="Arial"/>
          <w:szCs w:val="18"/>
        </w:rPr>
        <w:t>,</w:t>
      </w:r>
      <w:r w:rsidRPr="00B90DBC">
        <w:rPr>
          <w:rFonts w:cs="Arial"/>
          <w:szCs w:val="18"/>
        </w:rPr>
        <w:t xml:space="preserve"> 180, 257-263.</w:t>
      </w:r>
    </w:p>
    <w:p w14:paraId="19C4FC68" w14:textId="77777777" w:rsidR="004628D2" w:rsidRDefault="004628D2" w:rsidP="00A70FC7">
      <w:pPr>
        <w:pStyle w:val="CETTitle"/>
      </w:pPr>
    </w:p>
    <w:sectPr w:rsidR="004628D2" w:rsidSect="00CA5A9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75B81" w14:textId="77777777" w:rsidR="004922FC" w:rsidRDefault="004922FC" w:rsidP="004F5E36">
      <w:r>
        <w:separator/>
      </w:r>
    </w:p>
  </w:endnote>
  <w:endnote w:type="continuationSeparator" w:id="0">
    <w:p w14:paraId="151C02BD" w14:textId="77777777" w:rsidR="004922FC" w:rsidRDefault="004922FC" w:rsidP="004F5E36">
      <w:r>
        <w:continuationSeparator/>
      </w:r>
    </w:p>
  </w:endnote>
  <w:endnote w:type="continuationNotice" w:id="1">
    <w:p w14:paraId="4F1B2776" w14:textId="77777777" w:rsidR="004922FC" w:rsidRDefault="004922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A5E2" w14:textId="77777777" w:rsidR="00C93353" w:rsidRDefault="00C9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BD8BA" w14:textId="77777777" w:rsidR="004922FC" w:rsidRDefault="004922FC" w:rsidP="004F5E36">
      <w:r>
        <w:separator/>
      </w:r>
    </w:p>
  </w:footnote>
  <w:footnote w:type="continuationSeparator" w:id="0">
    <w:p w14:paraId="0744B2EC" w14:textId="77777777" w:rsidR="004922FC" w:rsidRDefault="004922FC" w:rsidP="004F5E36">
      <w:r>
        <w:continuationSeparator/>
      </w:r>
    </w:p>
  </w:footnote>
  <w:footnote w:type="continuationNotice" w:id="1">
    <w:p w14:paraId="58DDD31D" w14:textId="77777777" w:rsidR="004922FC" w:rsidRDefault="004922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791A" w14:textId="77777777" w:rsidR="00C93353" w:rsidRDefault="00C9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4892"/>
    <w:rsid w:val="0003148D"/>
    <w:rsid w:val="00051566"/>
    <w:rsid w:val="00057236"/>
    <w:rsid w:val="00062A9A"/>
    <w:rsid w:val="00065058"/>
    <w:rsid w:val="00086C39"/>
    <w:rsid w:val="00095B1B"/>
    <w:rsid w:val="000A03B2"/>
    <w:rsid w:val="000A4D26"/>
    <w:rsid w:val="000B436C"/>
    <w:rsid w:val="000C5D5D"/>
    <w:rsid w:val="000D0268"/>
    <w:rsid w:val="000D34BE"/>
    <w:rsid w:val="000E102F"/>
    <w:rsid w:val="000E36F1"/>
    <w:rsid w:val="000E3A73"/>
    <w:rsid w:val="000E414A"/>
    <w:rsid w:val="000E740A"/>
    <w:rsid w:val="000F093C"/>
    <w:rsid w:val="000F787B"/>
    <w:rsid w:val="00111AD9"/>
    <w:rsid w:val="0012091F"/>
    <w:rsid w:val="00126BC2"/>
    <w:rsid w:val="001308B6"/>
    <w:rsid w:val="0013121F"/>
    <w:rsid w:val="00131FE6"/>
    <w:rsid w:val="0013263F"/>
    <w:rsid w:val="00134DE4"/>
    <w:rsid w:val="0014034D"/>
    <w:rsid w:val="0014464F"/>
    <w:rsid w:val="00150E59"/>
    <w:rsid w:val="00152DE3"/>
    <w:rsid w:val="00164CF9"/>
    <w:rsid w:val="001667A6"/>
    <w:rsid w:val="00184AD6"/>
    <w:rsid w:val="001A4AF7"/>
    <w:rsid w:val="001A5B78"/>
    <w:rsid w:val="001B0349"/>
    <w:rsid w:val="001B65C1"/>
    <w:rsid w:val="001C684B"/>
    <w:rsid w:val="001D53FC"/>
    <w:rsid w:val="001E1B31"/>
    <w:rsid w:val="001F42A5"/>
    <w:rsid w:val="001F7B9D"/>
    <w:rsid w:val="001F7CB8"/>
    <w:rsid w:val="002224B4"/>
    <w:rsid w:val="002447EF"/>
    <w:rsid w:val="00251550"/>
    <w:rsid w:val="00263B05"/>
    <w:rsid w:val="0027221A"/>
    <w:rsid w:val="00275B61"/>
    <w:rsid w:val="00282656"/>
    <w:rsid w:val="00296B83"/>
    <w:rsid w:val="002B78CE"/>
    <w:rsid w:val="002C0906"/>
    <w:rsid w:val="002C2FB6"/>
    <w:rsid w:val="002C6F9B"/>
    <w:rsid w:val="002F3309"/>
    <w:rsid w:val="002F35BB"/>
    <w:rsid w:val="002F63A6"/>
    <w:rsid w:val="003009B7"/>
    <w:rsid w:val="00300E56"/>
    <w:rsid w:val="0030469C"/>
    <w:rsid w:val="00321CA6"/>
    <w:rsid w:val="00334C09"/>
    <w:rsid w:val="003723D4"/>
    <w:rsid w:val="00381905"/>
    <w:rsid w:val="00383F4B"/>
    <w:rsid w:val="00384CC8"/>
    <w:rsid w:val="003871FD"/>
    <w:rsid w:val="00396746"/>
    <w:rsid w:val="003A1E30"/>
    <w:rsid w:val="003A7D1C"/>
    <w:rsid w:val="003B304B"/>
    <w:rsid w:val="003B3146"/>
    <w:rsid w:val="003D1E16"/>
    <w:rsid w:val="003E3524"/>
    <w:rsid w:val="003F015E"/>
    <w:rsid w:val="00400414"/>
    <w:rsid w:val="0040576E"/>
    <w:rsid w:val="0041446B"/>
    <w:rsid w:val="00421E80"/>
    <w:rsid w:val="0044329C"/>
    <w:rsid w:val="004577FE"/>
    <w:rsid w:val="00457B9C"/>
    <w:rsid w:val="0046164A"/>
    <w:rsid w:val="004628D2"/>
    <w:rsid w:val="00462DCD"/>
    <w:rsid w:val="004648AD"/>
    <w:rsid w:val="004703A9"/>
    <w:rsid w:val="004736EF"/>
    <w:rsid w:val="004760DE"/>
    <w:rsid w:val="004763D7"/>
    <w:rsid w:val="00482D22"/>
    <w:rsid w:val="004922FC"/>
    <w:rsid w:val="004A004E"/>
    <w:rsid w:val="004A24CF"/>
    <w:rsid w:val="004C14AA"/>
    <w:rsid w:val="004C3D1D"/>
    <w:rsid w:val="004C7913"/>
    <w:rsid w:val="004E4DD6"/>
    <w:rsid w:val="004F5E36"/>
    <w:rsid w:val="004F5EA2"/>
    <w:rsid w:val="00507B47"/>
    <w:rsid w:val="00507BEF"/>
    <w:rsid w:val="00507CC9"/>
    <w:rsid w:val="005119A5"/>
    <w:rsid w:val="00512B2E"/>
    <w:rsid w:val="00516B7C"/>
    <w:rsid w:val="00516D93"/>
    <w:rsid w:val="005278B7"/>
    <w:rsid w:val="00527F03"/>
    <w:rsid w:val="00532016"/>
    <w:rsid w:val="005346C8"/>
    <w:rsid w:val="00543E7D"/>
    <w:rsid w:val="00547A68"/>
    <w:rsid w:val="005531C9"/>
    <w:rsid w:val="00570C43"/>
    <w:rsid w:val="00583B06"/>
    <w:rsid w:val="0059281D"/>
    <w:rsid w:val="00597C7C"/>
    <w:rsid w:val="005A3E9C"/>
    <w:rsid w:val="005B2110"/>
    <w:rsid w:val="005B61E6"/>
    <w:rsid w:val="005C77E1"/>
    <w:rsid w:val="005D6A2F"/>
    <w:rsid w:val="005E1A82"/>
    <w:rsid w:val="005E794C"/>
    <w:rsid w:val="005F0A28"/>
    <w:rsid w:val="005F0E5E"/>
    <w:rsid w:val="005F1E33"/>
    <w:rsid w:val="00600535"/>
    <w:rsid w:val="00610CD6"/>
    <w:rsid w:val="0061628C"/>
    <w:rsid w:val="00620C11"/>
    <w:rsid w:val="00620DEE"/>
    <w:rsid w:val="00621F92"/>
    <w:rsid w:val="0062280A"/>
    <w:rsid w:val="00625639"/>
    <w:rsid w:val="00631B33"/>
    <w:rsid w:val="0064184D"/>
    <w:rsid w:val="006422CC"/>
    <w:rsid w:val="00660E3E"/>
    <w:rsid w:val="00662E74"/>
    <w:rsid w:val="00673C65"/>
    <w:rsid w:val="00680C23"/>
    <w:rsid w:val="00693766"/>
    <w:rsid w:val="006A3281"/>
    <w:rsid w:val="006B4888"/>
    <w:rsid w:val="006C2E45"/>
    <w:rsid w:val="006C359C"/>
    <w:rsid w:val="006C5579"/>
    <w:rsid w:val="006D6E8B"/>
    <w:rsid w:val="006E737D"/>
    <w:rsid w:val="00720A24"/>
    <w:rsid w:val="00732386"/>
    <w:rsid w:val="0073514D"/>
    <w:rsid w:val="0074145B"/>
    <w:rsid w:val="007447F3"/>
    <w:rsid w:val="0075499F"/>
    <w:rsid w:val="007661C8"/>
    <w:rsid w:val="0077098D"/>
    <w:rsid w:val="007752CC"/>
    <w:rsid w:val="007931FA"/>
    <w:rsid w:val="00796AEC"/>
    <w:rsid w:val="007A2FAD"/>
    <w:rsid w:val="007A4861"/>
    <w:rsid w:val="007A7BBA"/>
    <w:rsid w:val="007B0C50"/>
    <w:rsid w:val="007C1A43"/>
    <w:rsid w:val="007C7DCD"/>
    <w:rsid w:val="007E1181"/>
    <w:rsid w:val="0080013E"/>
    <w:rsid w:val="00813288"/>
    <w:rsid w:val="008168FC"/>
    <w:rsid w:val="00830996"/>
    <w:rsid w:val="008345F1"/>
    <w:rsid w:val="00836F4B"/>
    <w:rsid w:val="00865B07"/>
    <w:rsid w:val="008667EA"/>
    <w:rsid w:val="00873D70"/>
    <w:rsid w:val="0087637F"/>
    <w:rsid w:val="00892AD5"/>
    <w:rsid w:val="008953BD"/>
    <w:rsid w:val="008A1512"/>
    <w:rsid w:val="008D32B9"/>
    <w:rsid w:val="008D433B"/>
    <w:rsid w:val="008D5624"/>
    <w:rsid w:val="008E566E"/>
    <w:rsid w:val="0090161A"/>
    <w:rsid w:val="00901EB6"/>
    <w:rsid w:val="00904C62"/>
    <w:rsid w:val="00914419"/>
    <w:rsid w:val="0092167F"/>
    <w:rsid w:val="00922BA8"/>
    <w:rsid w:val="00924DAC"/>
    <w:rsid w:val="00927058"/>
    <w:rsid w:val="009363B8"/>
    <w:rsid w:val="00942750"/>
    <w:rsid w:val="009450CE"/>
    <w:rsid w:val="00947179"/>
    <w:rsid w:val="0095164B"/>
    <w:rsid w:val="00954090"/>
    <w:rsid w:val="009573E7"/>
    <w:rsid w:val="00963E05"/>
    <w:rsid w:val="00967D54"/>
    <w:rsid w:val="00971028"/>
    <w:rsid w:val="0099157F"/>
    <w:rsid w:val="00993135"/>
    <w:rsid w:val="00996483"/>
    <w:rsid w:val="00996F5A"/>
    <w:rsid w:val="009B041A"/>
    <w:rsid w:val="009C37C3"/>
    <w:rsid w:val="009C7C86"/>
    <w:rsid w:val="009D2FF7"/>
    <w:rsid w:val="009D46D9"/>
    <w:rsid w:val="009D4A85"/>
    <w:rsid w:val="009E7884"/>
    <w:rsid w:val="009E788A"/>
    <w:rsid w:val="009F0E08"/>
    <w:rsid w:val="009F7F64"/>
    <w:rsid w:val="00A12455"/>
    <w:rsid w:val="00A12A47"/>
    <w:rsid w:val="00A151F9"/>
    <w:rsid w:val="00A1763D"/>
    <w:rsid w:val="00A1783B"/>
    <w:rsid w:val="00A17CEC"/>
    <w:rsid w:val="00A27EF0"/>
    <w:rsid w:val="00A50B20"/>
    <w:rsid w:val="00A51390"/>
    <w:rsid w:val="00A60D13"/>
    <w:rsid w:val="00A70FC7"/>
    <w:rsid w:val="00A72745"/>
    <w:rsid w:val="00A76EFC"/>
    <w:rsid w:val="00A91010"/>
    <w:rsid w:val="00A97F29"/>
    <w:rsid w:val="00AA4CD9"/>
    <w:rsid w:val="00AA702E"/>
    <w:rsid w:val="00AB0964"/>
    <w:rsid w:val="00AB5011"/>
    <w:rsid w:val="00AB68E4"/>
    <w:rsid w:val="00AC7368"/>
    <w:rsid w:val="00AD16B9"/>
    <w:rsid w:val="00AD44F6"/>
    <w:rsid w:val="00AE377D"/>
    <w:rsid w:val="00AF0EBA"/>
    <w:rsid w:val="00B02C8A"/>
    <w:rsid w:val="00B0495B"/>
    <w:rsid w:val="00B17FBD"/>
    <w:rsid w:val="00B315A6"/>
    <w:rsid w:val="00B31813"/>
    <w:rsid w:val="00B33365"/>
    <w:rsid w:val="00B57B36"/>
    <w:rsid w:val="00B61455"/>
    <w:rsid w:val="00B866E0"/>
    <w:rsid w:val="00B8686D"/>
    <w:rsid w:val="00B9100C"/>
    <w:rsid w:val="00BA5636"/>
    <w:rsid w:val="00BB1DDC"/>
    <w:rsid w:val="00BC30C9"/>
    <w:rsid w:val="00BE3E58"/>
    <w:rsid w:val="00C01616"/>
    <w:rsid w:val="00C0162B"/>
    <w:rsid w:val="00C068ED"/>
    <w:rsid w:val="00C15190"/>
    <w:rsid w:val="00C345B1"/>
    <w:rsid w:val="00C40142"/>
    <w:rsid w:val="00C57182"/>
    <w:rsid w:val="00C57863"/>
    <w:rsid w:val="00C655FD"/>
    <w:rsid w:val="00C71FB5"/>
    <w:rsid w:val="00C75407"/>
    <w:rsid w:val="00C870A8"/>
    <w:rsid w:val="00C93353"/>
    <w:rsid w:val="00C94434"/>
    <w:rsid w:val="00CA0D75"/>
    <w:rsid w:val="00CA1C95"/>
    <w:rsid w:val="00CA5A9C"/>
    <w:rsid w:val="00CC4C20"/>
    <w:rsid w:val="00CD3517"/>
    <w:rsid w:val="00CD5FE2"/>
    <w:rsid w:val="00CE7C68"/>
    <w:rsid w:val="00CF5A5B"/>
    <w:rsid w:val="00D02B4C"/>
    <w:rsid w:val="00D040C4"/>
    <w:rsid w:val="00D11ED3"/>
    <w:rsid w:val="00D57C84"/>
    <w:rsid w:val="00D6057D"/>
    <w:rsid w:val="00D67CBA"/>
    <w:rsid w:val="00D836C5"/>
    <w:rsid w:val="00D84576"/>
    <w:rsid w:val="00DA1399"/>
    <w:rsid w:val="00DA24C6"/>
    <w:rsid w:val="00DA4D7B"/>
    <w:rsid w:val="00DA65A9"/>
    <w:rsid w:val="00DE264A"/>
    <w:rsid w:val="00DF5072"/>
    <w:rsid w:val="00E02D18"/>
    <w:rsid w:val="00E041E7"/>
    <w:rsid w:val="00E23CA1"/>
    <w:rsid w:val="00E3482B"/>
    <w:rsid w:val="00E409A8"/>
    <w:rsid w:val="00E50C12"/>
    <w:rsid w:val="00E65B91"/>
    <w:rsid w:val="00E7209D"/>
    <w:rsid w:val="00E77223"/>
    <w:rsid w:val="00E8528B"/>
    <w:rsid w:val="00E85B94"/>
    <w:rsid w:val="00E91FAB"/>
    <w:rsid w:val="00E978D0"/>
    <w:rsid w:val="00EA4613"/>
    <w:rsid w:val="00EA6ECC"/>
    <w:rsid w:val="00EA7F91"/>
    <w:rsid w:val="00EB1523"/>
    <w:rsid w:val="00EC0E49"/>
    <w:rsid w:val="00EC101F"/>
    <w:rsid w:val="00EC1D9F"/>
    <w:rsid w:val="00EC4D72"/>
    <w:rsid w:val="00EE0131"/>
    <w:rsid w:val="00EE17B0"/>
    <w:rsid w:val="00EF06D9"/>
    <w:rsid w:val="00EF2394"/>
    <w:rsid w:val="00F0565E"/>
    <w:rsid w:val="00F30344"/>
    <w:rsid w:val="00F30C64"/>
    <w:rsid w:val="00F32CDB"/>
    <w:rsid w:val="00F565FE"/>
    <w:rsid w:val="00F601A5"/>
    <w:rsid w:val="00F61CB2"/>
    <w:rsid w:val="00F63A70"/>
    <w:rsid w:val="00F726D8"/>
    <w:rsid w:val="00F75455"/>
    <w:rsid w:val="00FA21D0"/>
    <w:rsid w:val="00FA5F5F"/>
    <w:rsid w:val="00FB730C"/>
    <w:rsid w:val="00FC2695"/>
    <w:rsid w:val="00FC3E03"/>
    <w:rsid w:val="00FC3FC1"/>
    <w:rsid w:val="00FE3A26"/>
    <w:rsid w:val="00FE480D"/>
    <w:rsid w:val="00FE5F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D1CE643-548D-4CCE-B954-581677D1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CETReference-text">
    <w:name w:val="CET Reference-text"/>
    <w:rsid w:val="00516B7C"/>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516B7C"/>
    <w:pPr>
      <w:keepNext/>
      <w:spacing w:before="240" w:after="80" w:line="240" w:lineRule="exact"/>
    </w:pPr>
    <w:rPr>
      <w:rFonts w:ascii="Arial" w:eastAsia="Times New Roman" w:hAnsi="Arial" w:cs="Times New Roman"/>
      <w:i/>
      <w:sz w:val="18"/>
      <w:szCs w:val="20"/>
      <w:lang w:val="en-US"/>
    </w:rPr>
  </w:style>
  <w:style w:type="paragraph" w:customStyle="1" w:styleId="CETAcknowledgements">
    <w:name w:val="CET_Acknowledgements"/>
    <w:next w:val="CETBodytext"/>
    <w:qFormat/>
    <w:rsid w:val="00516B7C"/>
    <w:pPr>
      <w:spacing w:before="200" w:after="120"/>
    </w:pPr>
    <w:rPr>
      <w:rFonts w:ascii="Arial" w:eastAsia="Times New Roman" w:hAnsi="Arial" w:cs="Times New Roman"/>
      <w:b/>
      <w:sz w:val="18"/>
      <w:szCs w:val="20"/>
      <w:lang w:val="en-GB"/>
    </w:rPr>
  </w:style>
  <w:style w:type="paragraph" w:customStyle="1" w:styleId="cetbodytext0">
    <w:name w:val="cetbodytext"/>
    <w:basedOn w:val="Normal"/>
    <w:rsid w:val="00516B7C"/>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customStyle="1" w:styleId="FontStyle29">
    <w:name w:val="Font Style29"/>
    <w:uiPriority w:val="99"/>
    <w:rsid w:val="00516B7C"/>
    <w:rPr>
      <w:rFonts w:ascii="Times New Roman" w:hAnsi="Times New Roman" w:cs="Times New Roman"/>
      <w:sz w:val="22"/>
      <w:szCs w:val="22"/>
    </w:rPr>
  </w:style>
  <w:style w:type="character" w:customStyle="1" w:styleId="hps">
    <w:name w:val="hps"/>
    <w:rsid w:val="00516B7C"/>
  </w:style>
  <w:style w:type="paragraph" w:styleId="ListParagraph">
    <w:name w:val="List Paragraph"/>
    <w:basedOn w:val="Normal"/>
    <w:uiPriority w:val="34"/>
    <w:qFormat/>
    <w:rsid w:val="00516B7C"/>
    <w:pPr>
      <w:ind w:left="720"/>
      <w:contextualSpacing/>
    </w:pPr>
  </w:style>
  <w:style w:type="paragraph" w:customStyle="1" w:styleId="EndNoteBibliography">
    <w:name w:val="EndNote Bibliography"/>
    <w:basedOn w:val="Normal"/>
    <w:link w:val="EndNoteBibliographyChar"/>
    <w:rsid w:val="00516B7C"/>
    <w:pPr>
      <w:tabs>
        <w:tab w:val="clear" w:pos="7100"/>
      </w:tabs>
      <w:spacing w:line="240" w:lineRule="auto"/>
    </w:pPr>
    <w:rPr>
      <w:rFonts w:ascii="Times New Roman" w:hAnsi="Times New Roman"/>
      <w:noProof/>
      <w:sz w:val="24"/>
      <w:szCs w:val="24"/>
      <w:lang w:val="pl-PL" w:eastAsia="pl-PL"/>
    </w:rPr>
  </w:style>
  <w:style w:type="character" w:customStyle="1" w:styleId="EndNoteBibliographyChar">
    <w:name w:val="EndNote Bibliography Char"/>
    <w:link w:val="EndNoteBibliography"/>
    <w:rsid w:val="00516B7C"/>
    <w:rPr>
      <w:rFonts w:ascii="Times New Roman" w:eastAsia="Times New Roman" w:hAnsi="Times New Roman" w:cs="Times New Roman"/>
      <w:noProof/>
      <w:sz w:val="24"/>
      <w:szCs w:val="24"/>
      <w:lang w:val="pl-PL" w:eastAsia="pl-PL"/>
    </w:rPr>
  </w:style>
  <w:style w:type="paragraph" w:customStyle="1" w:styleId="Reference">
    <w:name w:val="Reference"/>
    <w:basedOn w:val="Normal"/>
    <w:rsid w:val="00516B7C"/>
    <w:pPr>
      <w:tabs>
        <w:tab w:val="clear" w:pos="7100"/>
      </w:tabs>
      <w:spacing w:line="240" w:lineRule="auto"/>
      <w:ind w:left="720" w:hanging="720"/>
    </w:pPr>
    <w:rPr>
      <w:rFonts w:ascii="Times New Roman" w:hAnsi="Times New Roman"/>
      <w:sz w:val="20"/>
    </w:rPr>
  </w:style>
  <w:style w:type="character" w:customStyle="1" w:styleId="st">
    <w:name w:val="st"/>
    <w:basedOn w:val="DefaultParagraphFont"/>
    <w:rsid w:val="00516B7C"/>
  </w:style>
  <w:style w:type="character" w:styleId="Emphasis">
    <w:name w:val="Emphasis"/>
    <w:basedOn w:val="DefaultParagraphFont"/>
    <w:uiPriority w:val="20"/>
    <w:qFormat/>
    <w:rsid w:val="00516B7C"/>
    <w:rPr>
      <w:i/>
      <w:iCs/>
    </w:rPr>
  </w:style>
  <w:style w:type="character" w:customStyle="1" w:styleId="Subtitle1">
    <w:name w:val="Subtitle1"/>
    <w:basedOn w:val="DefaultParagraphFont"/>
    <w:rsid w:val="0051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24BA-05E6-4467-AB0C-9E0B87DB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6</Pages>
  <Words>3440</Words>
  <Characters>19613</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Radosław Barczak</cp:lastModifiedBy>
  <cp:revision>6</cp:revision>
  <cp:lastPrinted>2015-05-12T18:31:00Z</cp:lastPrinted>
  <dcterms:created xsi:type="dcterms:W3CDTF">2021-02-02T08:20:00Z</dcterms:created>
  <dcterms:modified xsi:type="dcterms:W3CDTF">2021-02-03T11:51:00Z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