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trPr>
          <w:trHeight w:val="852"/>
          <w:jc w:val="center"/>
        </w:trPr>
        <w:tc>
          <w:tcPr>
            <w:tcW w:w="6946" w:type="dxa"/>
            <w:vMerge w:val="restart"/>
            <w:tcBorders>
              <w:right w:val="single" w:sz="4" w:space="0" w:color="auto"/>
            </w:tcBorders>
          </w:tcPr>
          <w:p>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val="es-CL" w:eastAsia="es-CL"/>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pPr>
              <w:tabs>
                <w:tab w:val="left" w:pos="-108"/>
              </w:tabs>
              <w:ind w:left="-108"/>
              <w:rPr>
                <w:rFonts w:cs="Arial"/>
                <w:b/>
                <w:bCs/>
                <w:i/>
                <w:iCs/>
                <w:color w:val="000066"/>
                <w:sz w:val="22"/>
                <w:szCs w:val="22"/>
                <w:lang w:eastAsia="it-IT"/>
              </w:rPr>
            </w:pPr>
            <w:r>
              <w:rPr>
                <w:rFonts w:cs="Arial"/>
                <w:b/>
                <w:bCs/>
                <w:i/>
                <w:iCs/>
                <w:color w:val="000066"/>
                <w:sz w:val="22"/>
                <w:szCs w:val="22"/>
                <w:lang w:eastAsia="it-IT"/>
              </w:rPr>
              <w:t>VOL. 85, 2021</w:t>
            </w:r>
          </w:p>
        </w:tc>
        <w:tc>
          <w:tcPr>
            <w:tcW w:w="1843" w:type="dxa"/>
            <w:tcBorders>
              <w:left w:val="single" w:sz="4" w:space="0" w:color="auto"/>
              <w:bottom w:val="nil"/>
              <w:right w:val="single" w:sz="4" w:space="0" w:color="auto"/>
            </w:tcBorders>
          </w:tcPr>
          <w:p>
            <w:pPr>
              <w:spacing w:line="140" w:lineRule="atLeast"/>
              <w:jc w:val="right"/>
              <w:rPr>
                <w:rFonts w:cs="Arial"/>
                <w:sz w:val="14"/>
                <w:szCs w:val="14"/>
              </w:rPr>
            </w:pPr>
            <w:r>
              <w:rPr>
                <w:rFonts w:cs="Arial"/>
                <w:sz w:val="14"/>
                <w:szCs w:val="14"/>
              </w:rPr>
              <w:t>A publication of</w:t>
            </w:r>
          </w:p>
          <w:p>
            <w:pPr>
              <w:jc w:val="right"/>
            </w:pPr>
            <w:r>
              <w:rPr>
                <w:noProof/>
                <w:lang w:val="es-CL" w:eastAsia="es-CL"/>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trPr>
          <w:trHeight w:val="567"/>
          <w:jc w:val="center"/>
        </w:trPr>
        <w:tc>
          <w:tcPr>
            <w:tcW w:w="6946" w:type="dxa"/>
            <w:vMerge/>
            <w:tcBorders>
              <w:right w:val="single" w:sz="4" w:space="0" w:color="auto"/>
            </w:tcBorders>
          </w:tcPr>
          <w:p>
            <w:pPr>
              <w:tabs>
                <w:tab w:val="left" w:pos="-108"/>
              </w:tabs>
            </w:pPr>
          </w:p>
        </w:tc>
        <w:tc>
          <w:tcPr>
            <w:tcW w:w="1843" w:type="dxa"/>
            <w:tcBorders>
              <w:left w:val="single" w:sz="4" w:space="0" w:color="auto"/>
              <w:bottom w:val="nil"/>
              <w:right w:val="single" w:sz="4" w:space="0" w:color="auto"/>
            </w:tcBorders>
          </w:tcPr>
          <w:p>
            <w:pPr>
              <w:spacing w:line="140" w:lineRule="atLeast"/>
              <w:jc w:val="right"/>
              <w:rPr>
                <w:rFonts w:cs="Arial"/>
                <w:sz w:val="14"/>
                <w:szCs w:val="14"/>
              </w:rPr>
            </w:pPr>
            <w:r>
              <w:rPr>
                <w:rFonts w:cs="Arial"/>
                <w:sz w:val="14"/>
                <w:szCs w:val="14"/>
              </w:rPr>
              <w:t>The Italian Association</w:t>
            </w:r>
          </w:p>
          <w:p>
            <w:pPr>
              <w:spacing w:line="140" w:lineRule="atLeast"/>
              <w:jc w:val="right"/>
              <w:rPr>
                <w:rFonts w:cs="Arial"/>
                <w:sz w:val="14"/>
                <w:szCs w:val="14"/>
              </w:rPr>
            </w:pPr>
            <w:r>
              <w:rPr>
                <w:rFonts w:cs="Arial"/>
                <w:sz w:val="14"/>
                <w:szCs w:val="14"/>
              </w:rPr>
              <w:t>of Chemical Engineering</w:t>
            </w:r>
          </w:p>
          <w:p>
            <w:pPr>
              <w:spacing w:line="140" w:lineRule="atLeast"/>
              <w:jc w:val="right"/>
              <w:rPr>
                <w:rFonts w:cs="Arial"/>
                <w:sz w:val="13"/>
                <w:szCs w:val="13"/>
              </w:rPr>
            </w:pPr>
            <w:r>
              <w:rPr>
                <w:rFonts w:cs="Arial"/>
                <w:sz w:val="13"/>
                <w:szCs w:val="13"/>
              </w:rPr>
              <w:t>Online at www.cetjournal.it</w:t>
            </w:r>
          </w:p>
        </w:tc>
      </w:tr>
      <w:tr>
        <w:trPr>
          <w:trHeight w:val="68"/>
          <w:jc w:val="center"/>
        </w:trPr>
        <w:tc>
          <w:tcPr>
            <w:tcW w:w="8789" w:type="dxa"/>
            <w:gridSpan w:val="2"/>
          </w:tcPr>
          <w:p>
            <w:pPr>
              <w:ind w:left="-107"/>
              <w:rPr>
                <w:rFonts w:ascii="Times New Roman" w:hAnsi="Times New Roman"/>
                <w:sz w:val="24"/>
                <w:szCs w:val="24"/>
                <w:lang w:val="it-IT" w:eastAsia="it-IT"/>
              </w:rPr>
            </w:pPr>
            <w:r>
              <w:rPr>
                <w:rFonts w:ascii="Tahoma" w:hAnsi="Tahoma" w:cs="Tahoma"/>
                <w:iCs/>
                <w:color w:val="333333"/>
                <w:sz w:val="14"/>
                <w:szCs w:val="14"/>
                <w:lang w:val="it-IT" w:eastAsia="it-IT"/>
              </w:rPr>
              <w:t>Guest Editors: Selena Sironi, Laura Capelli</w:t>
            </w:r>
          </w:p>
          <w:p>
            <w:pPr>
              <w:tabs>
                <w:tab w:val="left" w:pos="-108"/>
              </w:tabs>
              <w:spacing w:line="140" w:lineRule="atLeast"/>
              <w:ind w:left="-107"/>
              <w:jc w:val="left"/>
            </w:pPr>
            <w:r>
              <w:rPr>
                <w:rFonts w:ascii="Tahoma" w:hAnsi="Tahoma" w:cs="Tahoma"/>
                <w:iCs/>
                <w:color w:val="333333"/>
                <w:sz w:val="14"/>
                <w:szCs w:val="14"/>
                <w:lang w:eastAsia="it-IT"/>
              </w:rPr>
              <w:t xml:space="preserve">Copyright © 2021,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978-88-95608-83-9</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bookmarkStart w:id="0" w:name="_GoBack"/>
            <w:bookmarkEnd w:id="0"/>
          </w:p>
        </w:tc>
      </w:tr>
    </w:tbl>
    <w:p>
      <w:pPr>
        <w:pStyle w:val="CETAuthors"/>
        <w:sectPr>
          <w:type w:val="continuous"/>
          <w:pgSz w:w="11906" w:h="16838" w:code="9"/>
          <w:pgMar w:top="1701" w:right="1418" w:bottom="1701" w:left="1701" w:header="1701" w:footer="0" w:gutter="0"/>
          <w:cols w:space="708"/>
          <w:titlePg/>
          <w:docGrid w:linePitch="360"/>
        </w:sectPr>
      </w:pPr>
    </w:p>
    <w:p>
      <w:pPr>
        <w:pStyle w:val="CETTitle"/>
      </w:pPr>
      <w:r>
        <w:lastRenderedPageBreak/>
        <w:t>Outcomes of a citizen science methodology and traditional odour impact evaluation techniques applied in a Chilean pilot study</w:t>
      </w:r>
    </w:p>
    <w:p>
      <w:pPr>
        <w:pStyle w:val="CETAuthors"/>
        <w:rPr>
          <w:lang w:val="es-ES"/>
        </w:rPr>
      </w:pPr>
      <w:r>
        <w:rPr>
          <w:lang w:val="es-ES"/>
        </w:rPr>
        <w:t>Gerhard Schleenstein</w:t>
      </w:r>
      <w:r>
        <w:rPr>
          <w:vertAlign w:val="superscript"/>
          <w:lang w:val="es-ES"/>
        </w:rPr>
        <w:t>a,</w:t>
      </w:r>
      <w:r>
        <w:t>*</w:t>
      </w:r>
      <w:r>
        <w:rPr>
          <w:lang w:val="es-ES"/>
        </w:rPr>
        <w:t>, Natalia Muñoz</w:t>
      </w:r>
      <w:r>
        <w:rPr>
          <w:vertAlign w:val="superscript"/>
          <w:lang w:val="es-ES"/>
        </w:rPr>
        <w:t>a</w:t>
      </w:r>
      <w:r>
        <w:rPr>
          <w:lang w:val="es-ES"/>
        </w:rPr>
        <w:t>, Mara Balestrini</w:t>
      </w:r>
      <w:r>
        <w:rPr>
          <w:vertAlign w:val="superscript"/>
          <w:lang w:val="es-ES"/>
        </w:rPr>
        <w:t>b</w:t>
      </w:r>
      <w:r>
        <w:rPr>
          <w:lang w:val="es-ES"/>
        </w:rPr>
        <w:t>, Valeria Righi</w:t>
      </w:r>
      <w:r>
        <w:rPr>
          <w:vertAlign w:val="superscript"/>
          <w:lang w:val="es-ES"/>
        </w:rPr>
        <w:t>b</w:t>
      </w:r>
      <w:r>
        <w:rPr>
          <w:lang w:val="es-ES"/>
        </w:rPr>
        <w:t>, Lucia Errandonea</w:t>
      </w:r>
      <w:r>
        <w:rPr>
          <w:vertAlign w:val="superscript"/>
          <w:lang w:val="es-ES"/>
        </w:rPr>
        <w:t>b</w:t>
      </w:r>
    </w:p>
    <w:p>
      <w:pPr>
        <w:pStyle w:val="CETAddress"/>
      </w:pPr>
      <w:r>
        <w:rPr>
          <w:vertAlign w:val="superscript"/>
        </w:rPr>
        <w:t>a</w:t>
      </w:r>
      <w:r>
        <w:t xml:space="preserve">Ecotec Ingeniería, José Victorino Lastarria 70 of. 213, Santiago, Chile </w:t>
      </w:r>
    </w:p>
    <w:p>
      <w:pPr>
        <w:pStyle w:val="CETAddress"/>
      </w:pPr>
      <w:r>
        <w:rPr>
          <w:vertAlign w:val="superscript"/>
        </w:rPr>
        <w:t>b</w:t>
      </w:r>
      <w:r>
        <w:t>Ideas For Change, Ronda Universitat 33, 1, 1B, Barcelona, Spain</w:t>
      </w:r>
    </w:p>
    <w:p>
      <w:pPr>
        <w:pStyle w:val="CETemail"/>
      </w:pPr>
      <w:r>
        <w:t xml:space="preserve"> </w:t>
      </w:r>
      <w:r>
        <w:rPr>
          <w:rFonts w:eastAsia="Arial" w:cs="Arial"/>
          <w:noProof w:val="0"/>
          <w:szCs w:val="16"/>
          <w:lang w:eastAsia="es-ES_tradnl"/>
        </w:rPr>
        <w:t>gs@ecotec-ingenieria.cl</w:t>
      </w:r>
    </w:p>
    <w:p>
      <w:pPr>
        <w:pStyle w:val="CETBodytext"/>
        <w:rPr>
          <w:lang w:val="en-GB"/>
        </w:rPr>
      </w:pPr>
      <w:r>
        <w:rPr>
          <w:lang w:val="en-GB"/>
        </w:rPr>
        <w:t>The EU Horizon 2020 call ‘’Science with &amp; for Society’’ funded the D-NOSES project (Distributed Network for Odour Sensing, Empowerment and Sustainability), which aims to develop a methodology based on participatory strategies and collaboration among different stakeholders using an extreme citizen science approach. This paper presents the findings of this approach applied to a Chilean case study concerning a small community impacted by a municipal wastewater treatment plant. Results of odour observations gathered by citizens during a three-month period are compared with the traditional odour impact evaluation techniques such as field inspections. An adapted odour annoyance index showed a better accuracy for each assessment square compared to the odour impact characteristics. It also points out challenges of citizen participation and opportunities of combining both approaches.</w:t>
      </w:r>
    </w:p>
    <w:p>
      <w:pPr>
        <w:pStyle w:val="CETHeading1"/>
        <w:rPr>
          <w:lang w:val="en-GB"/>
        </w:rPr>
      </w:pPr>
      <w:r>
        <w:rPr>
          <w:lang w:val="en-GB"/>
        </w:rPr>
        <w:t>Introduction</w:t>
      </w:r>
    </w:p>
    <w:p>
      <w:pPr>
        <w:pStyle w:val="CETBodytext"/>
        <w:rPr>
          <w:lang w:val="en-GB"/>
        </w:rPr>
      </w:pPr>
      <w:r>
        <w:rPr>
          <w:lang w:val="en-GB"/>
        </w:rPr>
        <w:t>For more than 30 years, technical standards and criteria have been developed to quantify odour concentrations, and odour characteristics such as intensity, hedonic tone and odour impacts. Within these “traditional methods”, except for the VDI 3883 series, and most of the odour regulations around the world, the capacity and knowledge of citizens are largely excluded from the analysis. However, involving citizens in gathering data about odour nuisance can significantly reduce the cost of odour studies, while giving citizens the knowledge and tools to address the odour pollution that affect them.</w:t>
      </w:r>
    </w:p>
    <w:p>
      <w:pPr>
        <w:pStyle w:val="CETBodytext"/>
        <w:rPr>
          <w:lang w:val="en-GB"/>
        </w:rPr>
      </w:pPr>
    </w:p>
    <w:p>
      <w:pPr>
        <w:pStyle w:val="CETBodytext"/>
        <w:rPr>
          <w:lang w:val="en-GB"/>
        </w:rPr>
      </w:pPr>
      <w:r>
        <w:rPr>
          <w:lang w:val="en-GB"/>
        </w:rPr>
        <w:t>The D-NOSES project aims to investigate how citizen science approaches can empower citizens to take a leading role in tackling odour pollution. Building on action research and participatory design (Foth et al., 2006), the goal of the project is to support and guide a collaborative journey to tackle odour pollution with the active involvement of key stakeholders from the public sector, business, civil society, and academia. In the D-NOSES project, citizens are part of this process by framing odour issues in their affected areas. This is done through identifying local odour problems, collective data collection, collective analysis of the results and co-designing measures to tackle odour pollution. Data collected by citizens shows a real, local understanding of the problem, and reduces costs of odour pollution measurements at the same time.</w:t>
      </w:r>
    </w:p>
    <w:p>
      <w:pPr>
        <w:pStyle w:val="CETHeading1"/>
        <w:rPr>
          <w:lang w:val="en-GB"/>
        </w:rPr>
      </w:pPr>
      <w:r>
        <w:rPr>
          <w:lang w:val="en-GB"/>
        </w:rPr>
        <w:t>Materials and methods</w:t>
      </w:r>
    </w:p>
    <w:p>
      <w:pPr>
        <w:pStyle w:val="CETheadingx"/>
      </w:pPr>
      <w:r>
        <w:t>The studied site</w:t>
      </w:r>
    </w:p>
    <w:p>
      <w:pPr>
        <w:pStyle w:val="CETBodytext"/>
        <w:rPr>
          <w:lang w:val="en-GB"/>
        </w:rPr>
      </w:pPr>
      <w:r>
        <w:rPr>
          <w:lang w:val="en-GB"/>
        </w:rPr>
        <w:t xml:space="preserve">As part of the D-NOSES project, a pilot study has been conducted in Los Alamos, Chile. The city of Los Alamos (15.000 inhabitants) has a municipal wastewater treatment plant (WWTP) that has been operating for about 20 years. This WWTP and the surrounding neighbourhoods have been selected as a single-source case-study. Modifications to the WWTP were introduced in 2018, including a technology shift from SBR to Activated Sludge and scrubbers and biofilters for odour abatement. The closest inhabitant of Los Alamos lives </w:t>
      </w:r>
      <w:r>
        <w:rPr>
          <w:lang w:val="en-GB"/>
        </w:rPr>
        <w:lastRenderedPageBreak/>
        <w:t>on a 20 meter distance from the WWTP, and the WWTP impacts a total of three neighbourhoods with 1000 households, spread over two social housing neighbourhoods, Villa Esperanza (“hope” in Spanish) and Kintupi Ruca (“searching for a home” in the indigenous language Mapudungun) which were established in 2011 and 2015. As is visible in figure 1, these houses are located in the dominant wind direction and therefore impacted by the odours of the WWTP.</w:t>
      </w:r>
    </w:p>
    <w:p>
      <w:pPr>
        <w:pStyle w:val="CETBodytext"/>
        <w:rPr>
          <w:lang w:val="en-GB"/>
        </w:rPr>
      </w:pPr>
    </w:p>
    <w:p>
      <w:pPr>
        <w:pStyle w:val="CETBodytext"/>
        <w:rPr>
          <w:lang w:val="en-GB"/>
        </w:rPr>
      </w:pPr>
      <w:r>
        <w:rPr>
          <w:noProof/>
          <w:lang w:val="es-CL" w:eastAsia="es-CL"/>
        </w:rPr>
        <w:drawing>
          <wp:inline distT="114300" distB="114300" distL="114300" distR="114300">
            <wp:extent cx="4248785" cy="2529840"/>
            <wp:effectExtent l="0" t="0" r="5715"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1"/>
                    <a:srcRect t="6005" b="3366"/>
                    <a:stretch/>
                  </pic:blipFill>
                  <pic:spPr bwMode="auto">
                    <a:xfrm>
                      <a:off x="0" y="0"/>
                      <a:ext cx="4249303" cy="2530149"/>
                    </a:xfrm>
                    <a:prstGeom prst="rect">
                      <a:avLst/>
                    </a:prstGeom>
                    <a:ln>
                      <a:noFill/>
                    </a:ln>
                    <a:extLst>
                      <a:ext uri="{53640926-AAD7-44D8-BBD7-CCE9431645EC}">
                        <a14:shadowObscured xmlns:a14="http://schemas.microsoft.com/office/drawing/2010/main"/>
                      </a:ext>
                    </a:extLst>
                  </pic:spPr>
                </pic:pic>
              </a:graphicData>
            </a:graphic>
          </wp:inline>
        </w:drawing>
      </w:r>
    </w:p>
    <w:p>
      <w:pPr>
        <w:pStyle w:val="CETCaption"/>
      </w:pPr>
      <w:r>
        <w:t>Figure 1: Study site, indicating odour sources (yellow lines), residential areas and wind rose</w:t>
      </w:r>
    </w:p>
    <w:p>
      <w:pPr>
        <w:pStyle w:val="CETheadingx"/>
      </w:pPr>
      <w:proofErr w:type="spellStart"/>
      <w:r>
        <w:t>Odour</w:t>
      </w:r>
      <w:proofErr w:type="spellEnd"/>
      <w:r>
        <w:t xml:space="preserve"> annoyance assessment through questionnaires</w:t>
      </w:r>
    </w:p>
    <w:p>
      <w:pPr>
        <w:pStyle w:val="CETBodytext"/>
        <w:rPr>
          <w:lang w:val="en-GB"/>
        </w:rPr>
      </w:pPr>
      <w:r>
        <w:rPr>
          <w:lang w:val="en-GB"/>
        </w:rPr>
        <w:t>The case study started with an odour annoyance assessment questionnaire as described in VDI 3883 part 1, homologated in Chile by technical standard NCh 3387:2015 in June 2019. The sample questionnaire K module with core questions was used with some minor modifications. The questionnaire was administered by an interviewer. The areas where the survey was conducted are the three neighbourhoods presented in figure 1. The neighbourhood of Villa Caupolicán was divided in two parts households within close proximity to the WWTP and households within at least 200 meter distance to the odour sources. The aim of the odour annoyance assessment was to have a clear, not biased, image of the affected areas, in order to have an improved focus of the citizen engagement strategy.</w:t>
      </w:r>
    </w:p>
    <w:p>
      <w:pPr>
        <w:pStyle w:val="CETheadingx"/>
      </w:pPr>
      <w:r>
        <w:t>Field inspections</w:t>
      </w:r>
    </w:p>
    <w:p>
      <w:pPr>
        <w:pStyle w:val="CETBodytext"/>
        <w:rPr>
          <w:lang w:val="en-GB"/>
        </w:rPr>
      </w:pPr>
      <w:r>
        <w:rPr>
          <w:lang w:val="en-GB"/>
        </w:rPr>
        <w:t>Field inspections were carried out in December 2018 to determine the impact frequency of recognizable odours in terms of odour hours, using the grid method described in VDI 3940 part 1, which was homologated in Chile, with some slight differences, by technical standard NCh 3533/1:2017. In addition, the environmental license of the WWTP considered some deviations to the method: The survey period was seven consecutive days during one week, every three months (in December, March, June and September), with measurements being evenly distributed between 6 am and 12 pm. The assessment area covered the three neighbourhoods indicated in figure 1 with 17 assessment squares defined by 29 measurement points, following the regular street grid of 100 m x 100 m (figure 2).</w:t>
      </w:r>
    </w:p>
    <w:p>
      <w:pPr>
        <w:pStyle w:val="CETheadingx"/>
      </w:pPr>
      <w:r>
        <w:t>Participatory approach and citizen observations</w:t>
      </w:r>
    </w:p>
    <w:p>
      <w:pPr>
        <w:pStyle w:val="CETBodytext"/>
        <w:rPr>
          <w:lang w:val="en-GB"/>
        </w:rPr>
      </w:pPr>
      <w:r>
        <w:rPr>
          <w:lang w:val="en-GB"/>
        </w:rPr>
        <w:t>The D-NOSES methodology (Balestrini et al, 2018; Arias et al., 2019) aims to involve the affected communities to collect observations on episodes of odour nuisances. By following the D-Noses methodological framework, the Chilean pilot study has developed an engagement strategy that encompasses pilot design and data collection stages. The main stakeholders involved were: three neighbourhood organizations that legally represent the local residents, the local municipality, the WWTP operator and the D-NOSES consortium member that acted as mediator. A stakeholder map was elaborated to identify neighbourhood organizations, places of worship and other social and economic activities. The aim of this stage was to understand the hot spots where people usually gather and potential community champions.</w:t>
      </w:r>
    </w:p>
    <w:p>
      <w:pPr>
        <w:pStyle w:val="CETBodytext"/>
        <w:rPr>
          <w:lang w:val="en-GB"/>
        </w:rPr>
      </w:pPr>
      <w:r>
        <w:rPr>
          <w:lang w:val="en-GB"/>
        </w:rPr>
        <w:t xml:space="preserve">Data collection started at the end of November 2019. Participants were asked to use either OdourCollect, a smartphone app that allows to gather real-time odour observations, or a pen-and-paper odour diary to report episodes of odour when they occurred. However, despite substantial engagement efforts (e.g. meetings at </w:t>
      </w:r>
      <w:r>
        <w:rPr>
          <w:lang w:val="en-GB"/>
        </w:rPr>
        <w:lastRenderedPageBreak/>
        <w:t>neighbourhood centres, house-to-house visits), the motivation to participate was rather low. To overcome this issue, in addition to the random observations collected with the aforementioned methods, in mid-January 2020 a group of about eight local residents were trained as panellists to realize twice a day a predefined 1.8 km track covering 17 of the 29 measurement points considered in the field inspections (see figure 2 on the right), reporting odour observation by using the OdourCollect app. The citizen panellists were asked to remain at each point for about 2 to 3 minutes and then report the main odour they perceived. The app enables to report odours (“what does it smell like?”), sub-types of odours, intensity, hedonic tone, and comment on the duration of the odour episode and the potential source. Geographic coordinates, date and time of the odour observations are automatically recorded.</w:t>
      </w:r>
    </w:p>
    <w:p>
      <w:pPr>
        <w:pStyle w:val="CETHeading1"/>
        <w:rPr>
          <w:lang w:val="en-GB"/>
        </w:rPr>
      </w:pPr>
      <w:r>
        <w:rPr>
          <w:lang w:val="en-GB"/>
        </w:rPr>
        <w:t>Results and discussion</w:t>
      </w:r>
    </w:p>
    <w:p>
      <w:pPr>
        <w:pStyle w:val="CETheadingx"/>
      </w:pPr>
      <w:r>
        <w:t>Odour annoyance assessment through questionnaires</w:t>
      </w:r>
    </w:p>
    <w:p>
      <w:pPr>
        <w:pStyle w:val="CETBodytext"/>
        <w:rPr>
          <w:lang w:val="en-GB"/>
        </w:rPr>
      </w:pPr>
      <w:r>
        <w:rPr>
          <w:lang w:val="en-GB"/>
        </w:rPr>
        <w:t>From a sample of 55 participants, 41 had acceptable response rate; six interviews were excluded from further analysis due to implausible data while comparing the verbal and the thermometer scale. The Pearson product-moment (PM) correlation r was 0.96 which indicates a “strong” and plausible relation between odour annoyance values measured with the verbal and the thermometer scale. The latter ranges from 0 (not annoyed at all) to 10 (extremely annoyed).</w:t>
      </w:r>
    </w:p>
    <w:p>
      <w:pPr>
        <w:pStyle w:val="CETTabletitle"/>
      </w:pPr>
      <w:r>
        <w:t>Table 1: Description of the four survey zones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559"/>
        <w:gridCol w:w="1701"/>
        <w:gridCol w:w="1701"/>
        <w:gridCol w:w="1843"/>
      </w:tblGrid>
      <w:tr>
        <w:tc>
          <w:tcPr>
            <w:tcW w:w="1985" w:type="dxa"/>
            <w:tcBorders>
              <w:top w:val="single" w:sz="12" w:space="0" w:color="008000"/>
              <w:bottom w:val="single" w:sz="6" w:space="0" w:color="008000"/>
            </w:tcBorders>
            <w:shd w:val="clear" w:color="auto" w:fill="FFFFFF"/>
          </w:tcPr>
          <w:p>
            <w:pPr>
              <w:jc w:val="left"/>
            </w:pPr>
            <w:r>
              <w:t xml:space="preserve">Survey zone </w:t>
            </w:r>
          </w:p>
        </w:tc>
        <w:tc>
          <w:tcPr>
            <w:tcW w:w="1559" w:type="dxa"/>
            <w:tcBorders>
              <w:top w:val="single" w:sz="12" w:space="0" w:color="008000"/>
              <w:bottom w:val="single" w:sz="6" w:space="0" w:color="008000"/>
            </w:tcBorders>
            <w:shd w:val="clear" w:color="auto" w:fill="FFFFFF"/>
          </w:tcPr>
          <w:p>
            <w:pPr>
              <w:jc w:val="left"/>
            </w:pPr>
            <w:r>
              <w:t>Villa Esperanza</w:t>
            </w:r>
          </w:p>
        </w:tc>
        <w:tc>
          <w:tcPr>
            <w:tcW w:w="1701" w:type="dxa"/>
            <w:tcBorders>
              <w:top w:val="single" w:sz="12" w:space="0" w:color="008000"/>
              <w:bottom w:val="single" w:sz="6" w:space="0" w:color="008000"/>
            </w:tcBorders>
            <w:shd w:val="clear" w:color="auto" w:fill="FFFFFF"/>
          </w:tcPr>
          <w:p>
            <w:pPr>
              <w:jc w:val="left"/>
            </w:pPr>
            <w:r>
              <w:t>Villa Caupolicán (close to source)</w:t>
            </w:r>
          </w:p>
        </w:tc>
        <w:tc>
          <w:tcPr>
            <w:tcW w:w="1701" w:type="dxa"/>
            <w:tcBorders>
              <w:top w:val="single" w:sz="12" w:space="0" w:color="008000"/>
              <w:bottom w:val="single" w:sz="6" w:space="0" w:color="008000"/>
            </w:tcBorders>
            <w:shd w:val="clear" w:color="auto" w:fill="FFFFFF"/>
          </w:tcPr>
          <w:p>
            <w:pPr>
              <w:jc w:val="left"/>
            </w:pPr>
            <w:r>
              <w:t>Villa Caupolicán (distant to source)</w:t>
            </w:r>
          </w:p>
        </w:tc>
        <w:tc>
          <w:tcPr>
            <w:tcW w:w="1843" w:type="dxa"/>
            <w:tcBorders>
              <w:top w:val="single" w:sz="12" w:space="0" w:color="008000"/>
              <w:bottom w:val="single" w:sz="6" w:space="0" w:color="008000"/>
            </w:tcBorders>
            <w:shd w:val="clear" w:color="auto" w:fill="FFFFFF"/>
          </w:tcPr>
          <w:p>
            <w:pPr>
              <w:jc w:val="left"/>
            </w:pPr>
            <w:r>
              <w:t xml:space="preserve">Kintupi Ruca </w:t>
            </w:r>
          </w:p>
        </w:tc>
      </w:tr>
      <w:tr>
        <w:tc>
          <w:tcPr>
            <w:tcW w:w="1985" w:type="dxa"/>
            <w:shd w:val="clear" w:color="auto" w:fill="FFFFFF"/>
          </w:tcPr>
          <w:p>
            <w:r>
              <w:t>Assessment squares</w:t>
            </w:r>
          </w:p>
        </w:tc>
        <w:tc>
          <w:tcPr>
            <w:tcW w:w="1559" w:type="dxa"/>
            <w:shd w:val="clear" w:color="auto" w:fill="FFFFFF"/>
          </w:tcPr>
          <w:p>
            <w:r>
              <w:t>A, H, I, J</w:t>
            </w:r>
          </w:p>
        </w:tc>
        <w:tc>
          <w:tcPr>
            <w:tcW w:w="1701" w:type="dxa"/>
            <w:shd w:val="clear" w:color="auto" w:fill="FFFFFF"/>
          </w:tcPr>
          <w:p>
            <w:r>
              <w:t>B, C, D, E, F, P, Q</w:t>
            </w:r>
          </w:p>
        </w:tc>
        <w:tc>
          <w:tcPr>
            <w:tcW w:w="1701" w:type="dxa"/>
            <w:shd w:val="clear" w:color="auto" w:fill="FFFFFF"/>
          </w:tcPr>
          <w:p>
            <w:r>
              <w:t>K, L, M</w:t>
            </w:r>
          </w:p>
        </w:tc>
        <w:tc>
          <w:tcPr>
            <w:tcW w:w="1843" w:type="dxa"/>
            <w:shd w:val="clear" w:color="auto" w:fill="FFFFFF"/>
          </w:tcPr>
          <w:p>
            <w:r>
              <w:t>G, N, O</w:t>
            </w:r>
          </w:p>
        </w:tc>
      </w:tr>
      <w:tr>
        <w:tc>
          <w:tcPr>
            <w:tcW w:w="1985" w:type="dxa"/>
            <w:shd w:val="clear" w:color="auto" w:fill="FFFFFF"/>
          </w:tcPr>
          <w:p>
            <w:r>
              <w:t>Total households</w:t>
            </w:r>
          </w:p>
        </w:tc>
        <w:tc>
          <w:tcPr>
            <w:tcW w:w="1559" w:type="dxa"/>
            <w:shd w:val="clear" w:color="auto" w:fill="FFFFFF"/>
          </w:tcPr>
          <w:p>
            <w:r>
              <w:t>300</w:t>
            </w:r>
          </w:p>
        </w:tc>
        <w:tc>
          <w:tcPr>
            <w:tcW w:w="1701" w:type="dxa"/>
            <w:shd w:val="clear" w:color="auto" w:fill="FFFFFF"/>
          </w:tcPr>
          <w:p>
            <w:r>
              <w:t>approx. 275</w:t>
            </w:r>
          </w:p>
        </w:tc>
        <w:tc>
          <w:tcPr>
            <w:tcW w:w="1701" w:type="dxa"/>
            <w:shd w:val="clear" w:color="auto" w:fill="FFFFFF"/>
          </w:tcPr>
          <w:p>
            <w:r>
              <w:t>approx. 275</w:t>
            </w:r>
          </w:p>
        </w:tc>
        <w:tc>
          <w:tcPr>
            <w:tcW w:w="1843" w:type="dxa"/>
            <w:shd w:val="clear" w:color="auto" w:fill="FFFFFF"/>
          </w:tcPr>
          <w:p>
            <w:r>
              <w:t>150</w:t>
            </w:r>
          </w:p>
        </w:tc>
      </w:tr>
      <w:tr>
        <w:tc>
          <w:tcPr>
            <w:tcW w:w="1985" w:type="dxa"/>
            <w:shd w:val="clear" w:color="auto" w:fill="FFFFFF"/>
          </w:tcPr>
          <w:p>
            <w:r>
              <w:t>Survey area</w:t>
            </w:r>
          </w:p>
        </w:tc>
        <w:tc>
          <w:tcPr>
            <w:tcW w:w="1559" w:type="dxa"/>
            <w:shd w:val="clear" w:color="auto" w:fill="FFFFFF"/>
          </w:tcPr>
          <w:p>
            <w:r>
              <w:t>5 ha</w:t>
            </w:r>
          </w:p>
        </w:tc>
        <w:tc>
          <w:tcPr>
            <w:tcW w:w="1701" w:type="dxa"/>
            <w:shd w:val="clear" w:color="auto" w:fill="FFFFFF"/>
          </w:tcPr>
          <w:p>
            <w:r>
              <w:t>10 ha</w:t>
            </w:r>
          </w:p>
        </w:tc>
        <w:tc>
          <w:tcPr>
            <w:tcW w:w="1701" w:type="dxa"/>
            <w:shd w:val="clear" w:color="auto" w:fill="FFFFFF"/>
          </w:tcPr>
          <w:p>
            <w:r>
              <w:t>9 ha</w:t>
            </w:r>
          </w:p>
        </w:tc>
        <w:tc>
          <w:tcPr>
            <w:tcW w:w="1843" w:type="dxa"/>
            <w:shd w:val="clear" w:color="auto" w:fill="FFFFFF"/>
          </w:tcPr>
          <w:p>
            <w:r>
              <w:t>3 ha</w:t>
            </w:r>
          </w:p>
        </w:tc>
      </w:tr>
      <w:tr>
        <w:tc>
          <w:tcPr>
            <w:tcW w:w="1985" w:type="dxa"/>
            <w:shd w:val="clear" w:color="auto" w:fill="FFFFFF"/>
          </w:tcPr>
          <w:p>
            <w:r>
              <w:t>Number of interviews</w:t>
            </w:r>
          </w:p>
        </w:tc>
        <w:tc>
          <w:tcPr>
            <w:tcW w:w="1559" w:type="dxa"/>
            <w:shd w:val="clear" w:color="auto" w:fill="FFFFFF"/>
          </w:tcPr>
          <w:p>
            <w:r>
              <w:t>9</w:t>
            </w:r>
          </w:p>
        </w:tc>
        <w:tc>
          <w:tcPr>
            <w:tcW w:w="1701" w:type="dxa"/>
            <w:shd w:val="clear" w:color="auto" w:fill="FFFFFF"/>
          </w:tcPr>
          <w:p>
            <w:r>
              <w:t>12</w:t>
            </w:r>
          </w:p>
        </w:tc>
        <w:tc>
          <w:tcPr>
            <w:tcW w:w="1701" w:type="dxa"/>
            <w:shd w:val="clear" w:color="auto" w:fill="FFFFFF"/>
          </w:tcPr>
          <w:p>
            <w:r>
              <w:t>6</w:t>
            </w:r>
          </w:p>
        </w:tc>
        <w:tc>
          <w:tcPr>
            <w:tcW w:w="1843" w:type="dxa"/>
            <w:shd w:val="clear" w:color="auto" w:fill="FFFFFF"/>
          </w:tcPr>
          <w:p>
            <w:r>
              <w:t>8</w:t>
            </w:r>
          </w:p>
        </w:tc>
      </w:tr>
    </w:tbl>
    <w:p>
      <w:pPr>
        <w:pStyle w:val="CETBodytext"/>
        <w:rPr>
          <w:lang w:val="en-GB"/>
        </w:rPr>
      </w:pPr>
    </w:p>
    <w:p>
      <w:pPr>
        <w:pStyle w:val="CETBodytext"/>
        <w:rPr>
          <w:lang w:val="en-GB"/>
        </w:rPr>
      </w:pPr>
      <w:r>
        <w:rPr>
          <w:lang w:val="en-GB"/>
        </w:rPr>
        <w:t>The number of interviews in all survey zones was relatively low (Table 1). Still, the differences of arithmetic means between the Villa Caupolicán (close to source), Villa Caupolicán (distant to source) and Villa Esperanza are 3.0 and 3.1 respectively, thus highly exceeding the 0.7 criteria for significant differences.</w:t>
      </w:r>
    </w:p>
    <w:p>
      <w:pPr>
        <w:pStyle w:val="CETTabletitle"/>
      </w:pPr>
      <w:r>
        <w:t>Table 2: Odour annoyance on thermometer scale for the four survey zones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559"/>
        <w:gridCol w:w="1701"/>
        <w:gridCol w:w="1701"/>
        <w:gridCol w:w="1843"/>
      </w:tblGrid>
      <w:tr>
        <w:tc>
          <w:tcPr>
            <w:tcW w:w="1985" w:type="dxa"/>
            <w:tcBorders>
              <w:top w:val="single" w:sz="12" w:space="0" w:color="008000"/>
              <w:bottom w:val="single" w:sz="6" w:space="0" w:color="008000"/>
            </w:tcBorders>
            <w:shd w:val="clear" w:color="auto" w:fill="FFFFFF"/>
          </w:tcPr>
          <w:p>
            <w:pPr>
              <w:jc w:val="left"/>
            </w:pPr>
            <w:r>
              <w:t xml:space="preserve">Survey zone </w:t>
            </w:r>
          </w:p>
        </w:tc>
        <w:tc>
          <w:tcPr>
            <w:tcW w:w="1559" w:type="dxa"/>
            <w:tcBorders>
              <w:top w:val="single" w:sz="12" w:space="0" w:color="008000"/>
              <w:bottom w:val="single" w:sz="6" w:space="0" w:color="008000"/>
            </w:tcBorders>
            <w:shd w:val="clear" w:color="auto" w:fill="FFFFFF"/>
          </w:tcPr>
          <w:p>
            <w:pPr>
              <w:jc w:val="left"/>
            </w:pPr>
            <w:r>
              <w:t>Villa Esperanza</w:t>
            </w:r>
          </w:p>
        </w:tc>
        <w:tc>
          <w:tcPr>
            <w:tcW w:w="1701" w:type="dxa"/>
            <w:tcBorders>
              <w:top w:val="single" w:sz="12" w:space="0" w:color="008000"/>
              <w:bottom w:val="single" w:sz="6" w:space="0" w:color="008000"/>
            </w:tcBorders>
            <w:shd w:val="clear" w:color="auto" w:fill="FFFFFF"/>
          </w:tcPr>
          <w:p>
            <w:pPr>
              <w:jc w:val="left"/>
            </w:pPr>
            <w:r>
              <w:t>Villa Caupolicán (close to source)</w:t>
            </w:r>
          </w:p>
        </w:tc>
        <w:tc>
          <w:tcPr>
            <w:tcW w:w="1701" w:type="dxa"/>
            <w:tcBorders>
              <w:top w:val="single" w:sz="12" w:space="0" w:color="008000"/>
              <w:bottom w:val="single" w:sz="6" w:space="0" w:color="008000"/>
            </w:tcBorders>
            <w:shd w:val="clear" w:color="auto" w:fill="FFFFFF"/>
          </w:tcPr>
          <w:p>
            <w:pPr>
              <w:jc w:val="left"/>
            </w:pPr>
            <w:r>
              <w:t>Villa Caupolicán (distant to source)</w:t>
            </w:r>
          </w:p>
        </w:tc>
        <w:tc>
          <w:tcPr>
            <w:tcW w:w="1843" w:type="dxa"/>
            <w:tcBorders>
              <w:top w:val="single" w:sz="12" w:space="0" w:color="008000"/>
              <w:bottom w:val="single" w:sz="6" w:space="0" w:color="008000"/>
            </w:tcBorders>
            <w:shd w:val="clear" w:color="auto" w:fill="FFFFFF"/>
          </w:tcPr>
          <w:p>
            <w:pPr>
              <w:jc w:val="left"/>
            </w:pPr>
            <w:r>
              <w:t xml:space="preserve">Kintupi Ruca </w:t>
            </w:r>
          </w:p>
        </w:tc>
      </w:tr>
      <w:tr>
        <w:tc>
          <w:tcPr>
            <w:tcW w:w="1985" w:type="dxa"/>
            <w:shd w:val="clear" w:color="auto" w:fill="FFFFFF"/>
          </w:tcPr>
          <w:p>
            <w:r>
              <w:t>Arithmetic mean</w:t>
            </w:r>
          </w:p>
        </w:tc>
        <w:tc>
          <w:tcPr>
            <w:tcW w:w="1559" w:type="dxa"/>
            <w:shd w:val="clear" w:color="auto" w:fill="FFFFFF"/>
          </w:tcPr>
          <w:p>
            <w:r>
              <w:t>1.8</w:t>
            </w:r>
          </w:p>
        </w:tc>
        <w:tc>
          <w:tcPr>
            <w:tcW w:w="1701" w:type="dxa"/>
            <w:shd w:val="clear" w:color="auto" w:fill="FFFFFF"/>
          </w:tcPr>
          <w:p>
            <w:r>
              <w:t>5.7</w:t>
            </w:r>
          </w:p>
        </w:tc>
        <w:tc>
          <w:tcPr>
            <w:tcW w:w="1701" w:type="dxa"/>
            <w:shd w:val="clear" w:color="auto" w:fill="FFFFFF"/>
          </w:tcPr>
          <w:p>
            <w:r>
              <w:t>1.7</w:t>
            </w:r>
          </w:p>
        </w:tc>
        <w:tc>
          <w:tcPr>
            <w:tcW w:w="1843" w:type="dxa"/>
            <w:shd w:val="clear" w:color="auto" w:fill="FFFFFF"/>
          </w:tcPr>
          <w:p>
            <w:r>
              <w:t>3.4</w:t>
            </w:r>
          </w:p>
        </w:tc>
      </w:tr>
      <w:tr>
        <w:tc>
          <w:tcPr>
            <w:tcW w:w="1985" w:type="dxa"/>
            <w:shd w:val="clear" w:color="auto" w:fill="FFFFFF"/>
          </w:tcPr>
          <w:p>
            <w:r>
              <w:t>Standard deviation</w:t>
            </w:r>
          </w:p>
        </w:tc>
        <w:tc>
          <w:tcPr>
            <w:tcW w:w="1559" w:type="dxa"/>
            <w:shd w:val="clear" w:color="auto" w:fill="FFFFFF"/>
          </w:tcPr>
          <w:p>
            <w:r>
              <w:t>3.2</w:t>
            </w:r>
          </w:p>
        </w:tc>
        <w:tc>
          <w:tcPr>
            <w:tcW w:w="1701" w:type="dxa"/>
            <w:shd w:val="clear" w:color="auto" w:fill="FFFFFF"/>
          </w:tcPr>
          <w:p>
            <w:r>
              <w:t>3.4</w:t>
            </w:r>
          </w:p>
        </w:tc>
        <w:tc>
          <w:tcPr>
            <w:tcW w:w="1701" w:type="dxa"/>
            <w:shd w:val="clear" w:color="auto" w:fill="FFFFFF"/>
          </w:tcPr>
          <w:p>
            <w:r>
              <w:t>2.6</w:t>
            </w:r>
          </w:p>
        </w:tc>
        <w:tc>
          <w:tcPr>
            <w:tcW w:w="1843" w:type="dxa"/>
            <w:shd w:val="clear" w:color="auto" w:fill="FFFFFF"/>
          </w:tcPr>
          <w:p>
            <w:r>
              <w:t>3.2</w:t>
            </w:r>
          </w:p>
        </w:tc>
      </w:tr>
      <w:tr>
        <w:tc>
          <w:tcPr>
            <w:tcW w:w="1985" w:type="dxa"/>
            <w:shd w:val="clear" w:color="auto" w:fill="FFFFFF"/>
          </w:tcPr>
          <w:p>
            <w:r>
              <w:t>Min/Max</w:t>
            </w:r>
          </w:p>
        </w:tc>
        <w:tc>
          <w:tcPr>
            <w:tcW w:w="1559" w:type="dxa"/>
            <w:shd w:val="clear" w:color="auto" w:fill="FFFFFF"/>
          </w:tcPr>
          <w:p>
            <w:r>
              <w:t>0/9</w:t>
            </w:r>
          </w:p>
        </w:tc>
        <w:tc>
          <w:tcPr>
            <w:tcW w:w="1701" w:type="dxa"/>
            <w:shd w:val="clear" w:color="auto" w:fill="FFFFFF"/>
          </w:tcPr>
          <w:p>
            <w:r>
              <w:t>0/10</w:t>
            </w:r>
          </w:p>
        </w:tc>
        <w:tc>
          <w:tcPr>
            <w:tcW w:w="1701" w:type="dxa"/>
            <w:shd w:val="clear" w:color="auto" w:fill="FFFFFF"/>
          </w:tcPr>
          <w:p>
            <w:r>
              <w:t>0/5</w:t>
            </w:r>
          </w:p>
        </w:tc>
        <w:tc>
          <w:tcPr>
            <w:tcW w:w="1843" w:type="dxa"/>
            <w:shd w:val="clear" w:color="auto" w:fill="FFFFFF"/>
          </w:tcPr>
          <w:p>
            <w:r>
              <w:t>0/8</w:t>
            </w:r>
          </w:p>
        </w:tc>
      </w:tr>
      <w:tr>
        <w:tc>
          <w:tcPr>
            <w:tcW w:w="1985" w:type="dxa"/>
            <w:shd w:val="clear" w:color="auto" w:fill="FFFFFF"/>
          </w:tcPr>
          <w:p>
            <w:r>
              <w:t>Median</w:t>
            </w:r>
          </w:p>
        </w:tc>
        <w:tc>
          <w:tcPr>
            <w:tcW w:w="1559" w:type="dxa"/>
            <w:shd w:val="clear" w:color="auto" w:fill="FFFFFF"/>
          </w:tcPr>
          <w:p>
            <w:r>
              <w:t>0.0</w:t>
            </w:r>
          </w:p>
        </w:tc>
        <w:tc>
          <w:tcPr>
            <w:tcW w:w="1701" w:type="dxa"/>
            <w:shd w:val="clear" w:color="auto" w:fill="FFFFFF"/>
          </w:tcPr>
          <w:p>
            <w:r>
              <w:t>7.0</w:t>
            </w:r>
          </w:p>
        </w:tc>
        <w:tc>
          <w:tcPr>
            <w:tcW w:w="1701" w:type="dxa"/>
            <w:shd w:val="clear" w:color="auto" w:fill="FFFFFF"/>
          </w:tcPr>
          <w:p>
            <w:r>
              <w:t>0.0</w:t>
            </w:r>
          </w:p>
        </w:tc>
        <w:tc>
          <w:tcPr>
            <w:tcW w:w="1843" w:type="dxa"/>
            <w:shd w:val="clear" w:color="auto" w:fill="FFFFFF"/>
          </w:tcPr>
          <w:p>
            <w:r>
              <w:t>3.5</w:t>
            </w:r>
          </w:p>
        </w:tc>
      </w:tr>
    </w:tbl>
    <w:p>
      <w:pPr>
        <w:pStyle w:val="CETBodytext"/>
        <w:rPr>
          <w:lang w:val="en-GB"/>
        </w:rPr>
      </w:pPr>
    </w:p>
    <w:p>
      <w:pPr>
        <w:pStyle w:val="CETheadingx"/>
      </w:pPr>
      <w:r>
        <w:t>Field inspections</w:t>
      </w:r>
    </w:p>
    <w:p>
      <w:pPr>
        <w:pStyle w:val="CETBodytext"/>
        <w:rPr>
          <w:lang w:val="en-GB"/>
        </w:rPr>
      </w:pPr>
      <w:r>
        <w:rPr>
          <w:lang w:val="en-GB"/>
        </w:rPr>
        <w:t>The assessment square-related odour impact characteristic is shown in figure 2 (left). Sample size after five surveys was 35 for all assessment squares except for the triangle Q (45). No odour impact was observed for Villa Esperanza and distant to source zone at Villa Caupolicán. Close to the source zone at Villa Caupolicán and Kintupi Ruca largely have odour impact characteristics below the 10 % threshold value, but assessment squares P and G close to the pumping station exceed the threshold. The preliminary investigations revealed that the affected area was smaller than initially envisaged, this meant that the focus of citizen engagement would be the neighbourhoods Villa Caupolicán,and Kintupi Ruca, close to the WWTP and the most affected.</w:t>
      </w:r>
    </w:p>
    <w:p>
      <w:pPr>
        <w:pStyle w:val="CETBodytext"/>
        <w:rPr>
          <w:lang w:val="en-GB"/>
        </w:rPr>
      </w:pPr>
    </w:p>
    <w:p>
      <w:pPr>
        <w:pStyle w:val="CETBodytext"/>
        <w:rPr>
          <w:lang w:val="en-GB"/>
        </w:rPr>
      </w:pPr>
      <w:r>
        <w:rPr>
          <w:noProof/>
          <w:lang w:val="es-CL" w:eastAsia="es-CL"/>
        </w:rPr>
        <w:lastRenderedPageBreak/>
        <w:drawing>
          <wp:inline distT="114300" distB="114300" distL="114300" distR="114300">
            <wp:extent cx="2426797" cy="2636520"/>
            <wp:effectExtent l="0" t="0" r="0" b="508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l="15501" r="27378" b="5454"/>
                    <a:stretch>
                      <a:fillRect/>
                    </a:stretch>
                  </pic:blipFill>
                  <pic:spPr>
                    <a:xfrm>
                      <a:off x="0" y="0"/>
                      <a:ext cx="2438073" cy="2648771"/>
                    </a:xfrm>
                    <a:prstGeom prst="rect">
                      <a:avLst/>
                    </a:prstGeom>
                    <a:ln/>
                  </pic:spPr>
                </pic:pic>
              </a:graphicData>
            </a:graphic>
          </wp:inline>
        </w:drawing>
      </w:r>
      <w:r>
        <w:rPr>
          <w:lang w:val="en-GB"/>
        </w:rPr>
        <w:t xml:space="preserve"> </w:t>
      </w:r>
      <w:r>
        <w:rPr>
          <w:noProof/>
          <w:lang w:val="es-CL" w:eastAsia="es-CL"/>
        </w:rPr>
        <w:drawing>
          <wp:inline distT="114300" distB="114300" distL="114300" distR="114300">
            <wp:extent cx="2464489" cy="2651760"/>
            <wp:effectExtent l="0" t="0" r="0" b="254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470815" cy="2658567"/>
                    </a:xfrm>
                    <a:prstGeom prst="rect">
                      <a:avLst/>
                    </a:prstGeom>
                    <a:ln/>
                  </pic:spPr>
                </pic:pic>
              </a:graphicData>
            </a:graphic>
          </wp:inline>
        </w:drawing>
      </w:r>
    </w:p>
    <w:p>
      <w:pPr>
        <w:pStyle w:val="CETCaption"/>
      </w:pPr>
      <w:r>
        <w:t>Figure 2: Assessment square-related odour impact characteristics by field inspections with trained assessors (left). Walking route (orange) for coordinated citizen observations (right). Odour sources in yellow lines.</w:t>
      </w:r>
    </w:p>
    <w:p>
      <w:pPr>
        <w:pStyle w:val="CETheadingx"/>
      </w:pPr>
      <w:r>
        <w:t>Citizen observations</w:t>
      </w:r>
    </w:p>
    <w:p>
      <w:pPr>
        <w:pStyle w:val="CETBodytext"/>
        <w:rPr>
          <w:lang w:val="en-GB"/>
        </w:rPr>
      </w:pPr>
      <w:r>
        <w:rPr>
          <w:lang w:val="en-GB"/>
        </w:rPr>
        <w:t>Citizen motivation to participate in the pilot project was rather low, despite an engagement and communication campaign. Only 20 people used the OdourCollect app, most of them in rather few opportunities. After one month, in January, the most committed community champions were trained to become field inspectors and contributed to the methodology and characteristics of the WWTP while using the field olfactometer. Observation hours were not distributed evenly during the day, but at early mornings (7 am to 10 am consisted of 37 % of all observations) and evenings (6 pm to 8 pm, 32 %) with more adverse dispersion conditions. Data analysis comprises 2,209 individual observations made during ten weeks (end of January until beginning of April) by eight trained citizens (figure 3, right). Data pre-processing included assignment of observation coordinates to measurement points on the regular grid, amongst others. The OdourCollect app lacked a “no odour” observation; therefore an agreement had to be established to report absence of odour. Odour observations were grouped in nice (flowers, …), urban (smoke, waste, …) and waste water related odour. Observations frequencies were calculated for each assessment zone (see table 3), using the grid method evaluation described in VDI 3940 part 1. An odour hour was assumed for each positive “waste water” type observation. Figure 4 (left) shows the same findings for “waste water”. Observation frequencies for assessment zones A, J, K, L, M, N are overestimated (up to factor 2), as only two measurement points closer to the WWTP were considered on the route. Citizen had not been trained on VDI 3882 part 1 (odour intensity) nor on VDI 3882 part 2 (hedonic tone), but both characteristics can be reported with the OdourCollect app. The observed relation between hedonic tone and intensity can be described as linear functions as shown in figure 3 (left).</w:t>
      </w:r>
    </w:p>
    <w:p>
      <w:pPr>
        <w:pStyle w:val="CETBodytext"/>
        <w:rPr>
          <w:lang w:val="en-GB"/>
        </w:rPr>
      </w:pPr>
    </w:p>
    <w:p>
      <w:pPr>
        <w:pStyle w:val="CETBodytext"/>
        <w:rPr>
          <w:lang w:val="en-GB"/>
        </w:rPr>
      </w:pPr>
      <w:r>
        <w:rPr>
          <w:noProof/>
          <w:lang w:val="es-CL" w:eastAsia="es-CL"/>
        </w:rPr>
        <w:drawing>
          <wp:inline distT="114300" distB="114300" distL="114300" distR="114300">
            <wp:extent cx="3051158" cy="18288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50974" cy="1828690"/>
                    </a:xfrm>
                    <a:prstGeom prst="rect">
                      <a:avLst/>
                    </a:prstGeom>
                    <a:ln/>
                  </pic:spPr>
                </pic:pic>
              </a:graphicData>
            </a:graphic>
          </wp:inline>
        </w:drawing>
      </w:r>
      <w:r>
        <w:rPr>
          <w:lang w:val="en-GB"/>
        </w:rPr>
        <w:t xml:space="preserve"> </w:t>
      </w: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65pt;height:142.9pt">
            <v:imagedata r:id="rId15" o:title="OdourCollect"/>
          </v:shape>
        </w:pict>
      </w:r>
    </w:p>
    <w:p>
      <w:pPr>
        <w:pStyle w:val="CETCaption"/>
      </w:pPr>
      <w:r>
        <w:t>Figure 3: Relation between hedonic tone and perceived intensity (left). OdourCollect app observations (right).</w:t>
      </w:r>
    </w:p>
    <w:p>
      <w:pPr>
        <w:pStyle w:val="CETTabletitle"/>
      </w:pPr>
      <w:r>
        <w:lastRenderedPageBreak/>
        <w:t>Table 3: Observation frequencies for trained citizen observations</w:t>
      </w:r>
    </w:p>
    <w:tbl>
      <w:tblPr>
        <w:tblW w:w="881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2694"/>
        <w:gridCol w:w="709"/>
        <w:gridCol w:w="850"/>
        <w:gridCol w:w="709"/>
        <w:gridCol w:w="709"/>
        <w:gridCol w:w="992"/>
        <w:gridCol w:w="1021"/>
      </w:tblGrid>
      <w:tr>
        <w:tc>
          <w:tcPr>
            <w:tcW w:w="1134" w:type="dxa"/>
            <w:tcBorders>
              <w:top w:val="single" w:sz="12" w:space="0" w:color="008000"/>
              <w:bottom w:val="single" w:sz="6" w:space="0" w:color="008000"/>
            </w:tcBorders>
            <w:shd w:val="clear" w:color="auto" w:fill="FFFFFF"/>
          </w:tcPr>
          <w:p>
            <w:pPr>
              <w:jc w:val="left"/>
            </w:pPr>
            <w:r>
              <w:t xml:space="preserve">Assessment zone </w:t>
            </w:r>
          </w:p>
        </w:tc>
        <w:tc>
          <w:tcPr>
            <w:tcW w:w="2694" w:type="dxa"/>
            <w:tcBorders>
              <w:top w:val="single" w:sz="12" w:space="0" w:color="008000"/>
              <w:bottom w:val="single" w:sz="6" w:space="0" w:color="008000"/>
            </w:tcBorders>
            <w:shd w:val="clear" w:color="auto" w:fill="FFFFFF"/>
          </w:tcPr>
          <w:p>
            <w:pPr>
              <w:jc w:val="left"/>
            </w:pPr>
            <w:r>
              <w:t>Survey zone</w:t>
            </w:r>
          </w:p>
        </w:tc>
        <w:tc>
          <w:tcPr>
            <w:tcW w:w="709" w:type="dxa"/>
            <w:tcBorders>
              <w:top w:val="single" w:sz="12" w:space="0" w:color="008000"/>
              <w:bottom w:val="single" w:sz="6" w:space="0" w:color="008000"/>
            </w:tcBorders>
            <w:shd w:val="clear" w:color="auto" w:fill="FFFFFF"/>
          </w:tcPr>
          <w:p>
            <w:pPr>
              <w:jc w:val="left"/>
            </w:pPr>
            <w:r>
              <w:t>No odour</w:t>
            </w:r>
          </w:p>
        </w:tc>
        <w:tc>
          <w:tcPr>
            <w:tcW w:w="850" w:type="dxa"/>
            <w:tcBorders>
              <w:top w:val="single" w:sz="12" w:space="0" w:color="008000"/>
              <w:bottom w:val="single" w:sz="6" w:space="0" w:color="008000"/>
            </w:tcBorders>
            <w:shd w:val="clear" w:color="auto" w:fill="FFFFFF"/>
          </w:tcPr>
          <w:p>
            <w:pPr>
              <w:jc w:val="left"/>
            </w:pPr>
            <w:r>
              <w:t>Nice odours</w:t>
            </w:r>
          </w:p>
        </w:tc>
        <w:tc>
          <w:tcPr>
            <w:tcW w:w="709" w:type="dxa"/>
            <w:tcBorders>
              <w:top w:val="single" w:sz="12" w:space="0" w:color="008000"/>
              <w:bottom w:val="single" w:sz="6" w:space="0" w:color="008000"/>
            </w:tcBorders>
            <w:shd w:val="clear" w:color="auto" w:fill="FFFFFF"/>
          </w:tcPr>
          <w:p>
            <w:pPr>
              <w:jc w:val="left"/>
            </w:pPr>
            <w:r>
              <w:t>Urban odours</w:t>
            </w:r>
          </w:p>
        </w:tc>
        <w:tc>
          <w:tcPr>
            <w:tcW w:w="709" w:type="dxa"/>
            <w:tcBorders>
              <w:top w:val="single" w:sz="12" w:space="0" w:color="008000"/>
              <w:bottom w:val="single" w:sz="6" w:space="0" w:color="008000"/>
            </w:tcBorders>
            <w:shd w:val="clear" w:color="auto" w:fill="FFFFFF"/>
          </w:tcPr>
          <w:p>
            <w:pPr>
              <w:jc w:val="left"/>
            </w:pPr>
            <w:r>
              <w:t>Waste water</w:t>
            </w:r>
          </w:p>
        </w:tc>
        <w:tc>
          <w:tcPr>
            <w:tcW w:w="992" w:type="dxa"/>
            <w:tcBorders>
              <w:top w:val="single" w:sz="12" w:space="0" w:color="008000"/>
              <w:bottom w:val="single" w:sz="6" w:space="0" w:color="008000"/>
            </w:tcBorders>
            <w:shd w:val="clear" w:color="auto" w:fill="FFFFFF"/>
          </w:tcPr>
          <w:p>
            <w:pPr>
              <w:jc w:val="left"/>
            </w:pPr>
            <w:r>
              <w:t>Incoherent observation</w:t>
            </w:r>
          </w:p>
        </w:tc>
        <w:tc>
          <w:tcPr>
            <w:tcW w:w="1021" w:type="dxa"/>
            <w:tcBorders>
              <w:top w:val="single" w:sz="12" w:space="0" w:color="008000"/>
              <w:bottom w:val="single" w:sz="6" w:space="0" w:color="008000"/>
            </w:tcBorders>
            <w:shd w:val="clear" w:color="auto" w:fill="FFFFFF"/>
          </w:tcPr>
          <w:p>
            <w:pPr>
              <w:jc w:val="left"/>
            </w:pPr>
            <w:r>
              <w:t>Number of observations</w:t>
            </w:r>
          </w:p>
        </w:tc>
      </w:tr>
      <w:tr>
        <w:tc>
          <w:tcPr>
            <w:tcW w:w="1134" w:type="dxa"/>
            <w:shd w:val="clear" w:color="auto" w:fill="FFFFFF"/>
          </w:tcPr>
          <w:p>
            <w:r>
              <w:t>A*</w:t>
            </w:r>
          </w:p>
        </w:tc>
        <w:tc>
          <w:tcPr>
            <w:tcW w:w="2694" w:type="dxa"/>
            <w:shd w:val="clear" w:color="auto" w:fill="FFFFFF"/>
          </w:tcPr>
          <w:p>
            <w:r>
              <w:t>V. Esperanza</w:t>
            </w:r>
          </w:p>
        </w:tc>
        <w:tc>
          <w:tcPr>
            <w:tcW w:w="709" w:type="dxa"/>
            <w:shd w:val="clear" w:color="auto" w:fill="FFFFFF"/>
          </w:tcPr>
          <w:p>
            <w:r>
              <w:t>7 %</w:t>
            </w:r>
          </w:p>
        </w:tc>
        <w:tc>
          <w:tcPr>
            <w:tcW w:w="850" w:type="dxa"/>
            <w:shd w:val="clear" w:color="auto" w:fill="FFFFFF"/>
          </w:tcPr>
          <w:p>
            <w:r>
              <w:t>31 %</w:t>
            </w:r>
          </w:p>
        </w:tc>
        <w:tc>
          <w:tcPr>
            <w:tcW w:w="709" w:type="dxa"/>
            <w:shd w:val="clear" w:color="auto" w:fill="FFFFFF"/>
          </w:tcPr>
          <w:p>
            <w:r>
              <w:t>46 %</w:t>
            </w:r>
          </w:p>
        </w:tc>
        <w:tc>
          <w:tcPr>
            <w:tcW w:w="709" w:type="dxa"/>
            <w:shd w:val="clear" w:color="auto" w:fill="FFFFFF"/>
          </w:tcPr>
          <w:p>
            <w:r>
              <w:t>15 %</w:t>
            </w:r>
          </w:p>
        </w:tc>
        <w:tc>
          <w:tcPr>
            <w:tcW w:w="992" w:type="dxa"/>
            <w:shd w:val="clear" w:color="auto" w:fill="FFFFFF"/>
          </w:tcPr>
          <w:p>
            <w:r>
              <w:t>2 %</w:t>
            </w:r>
          </w:p>
        </w:tc>
        <w:tc>
          <w:tcPr>
            <w:tcW w:w="1021" w:type="dxa"/>
            <w:shd w:val="clear" w:color="auto" w:fill="FFFFFF"/>
          </w:tcPr>
          <w:p>
            <w:r>
              <w:t>280</w:t>
            </w:r>
          </w:p>
        </w:tc>
      </w:tr>
      <w:tr>
        <w:tc>
          <w:tcPr>
            <w:tcW w:w="1134" w:type="dxa"/>
            <w:shd w:val="clear" w:color="auto" w:fill="FFFFFF"/>
          </w:tcPr>
          <w:p>
            <w:r>
              <w:t>B</w:t>
            </w:r>
          </w:p>
        </w:tc>
        <w:tc>
          <w:tcPr>
            <w:tcW w:w="2694" w:type="dxa"/>
            <w:shd w:val="clear" w:color="auto" w:fill="FFFFFF"/>
          </w:tcPr>
          <w:p>
            <w:r>
              <w:t>V. Caupolicán (close to source)</w:t>
            </w:r>
          </w:p>
        </w:tc>
        <w:tc>
          <w:tcPr>
            <w:tcW w:w="709" w:type="dxa"/>
            <w:shd w:val="clear" w:color="auto" w:fill="FFFFFF"/>
          </w:tcPr>
          <w:p>
            <w:r>
              <w:t>7 %</w:t>
            </w:r>
          </w:p>
        </w:tc>
        <w:tc>
          <w:tcPr>
            <w:tcW w:w="850" w:type="dxa"/>
            <w:shd w:val="clear" w:color="auto" w:fill="FFFFFF"/>
          </w:tcPr>
          <w:p>
            <w:r>
              <w:t>28 %</w:t>
            </w:r>
          </w:p>
        </w:tc>
        <w:tc>
          <w:tcPr>
            <w:tcW w:w="709" w:type="dxa"/>
            <w:shd w:val="clear" w:color="auto" w:fill="FFFFFF"/>
          </w:tcPr>
          <w:p>
            <w:r>
              <w:t>44 %</w:t>
            </w:r>
          </w:p>
        </w:tc>
        <w:tc>
          <w:tcPr>
            <w:tcW w:w="709" w:type="dxa"/>
            <w:shd w:val="clear" w:color="auto" w:fill="FFFFFF"/>
          </w:tcPr>
          <w:p>
            <w:r>
              <w:t>20 %</w:t>
            </w:r>
          </w:p>
        </w:tc>
        <w:tc>
          <w:tcPr>
            <w:tcW w:w="992" w:type="dxa"/>
            <w:shd w:val="clear" w:color="auto" w:fill="FFFFFF"/>
          </w:tcPr>
          <w:p>
            <w:r>
              <w:t>1 %</w:t>
            </w:r>
          </w:p>
        </w:tc>
        <w:tc>
          <w:tcPr>
            <w:tcW w:w="1021" w:type="dxa"/>
            <w:shd w:val="clear" w:color="auto" w:fill="FFFFFF"/>
          </w:tcPr>
          <w:p>
            <w:r>
              <w:t>522</w:t>
            </w:r>
          </w:p>
        </w:tc>
      </w:tr>
      <w:tr>
        <w:tc>
          <w:tcPr>
            <w:tcW w:w="1134" w:type="dxa"/>
            <w:shd w:val="clear" w:color="auto" w:fill="FFFFFF"/>
          </w:tcPr>
          <w:p>
            <w:r>
              <w:t>C</w:t>
            </w:r>
          </w:p>
        </w:tc>
        <w:tc>
          <w:tcPr>
            <w:tcW w:w="2694" w:type="dxa"/>
            <w:shd w:val="clear" w:color="auto" w:fill="FFFFFF"/>
          </w:tcPr>
          <w:p>
            <w:r>
              <w:t>V. Caupolicán (close to source)</w:t>
            </w:r>
          </w:p>
        </w:tc>
        <w:tc>
          <w:tcPr>
            <w:tcW w:w="709" w:type="dxa"/>
            <w:shd w:val="clear" w:color="auto" w:fill="FFFFFF"/>
          </w:tcPr>
          <w:p>
            <w:r>
              <w:t>7 %</w:t>
            </w:r>
          </w:p>
        </w:tc>
        <w:tc>
          <w:tcPr>
            <w:tcW w:w="850" w:type="dxa"/>
            <w:shd w:val="clear" w:color="auto" w:fill="FFFFFF"/>
          </w:tcPr>
          <w:p>
            <w:r>
              <w:t>18 %</w:t>
            </w:r>
          </w:p>
        </w:tc>
        <w:tc>
          <w:tcPr>
            <w:tcW w:w="709" w:type="dxa"/>
            <w:shd w:val="clear" w:color="auto" w:fill="FFFFFF"/>
          </w:tcPr>
          <w:p>
            <w:r>
              <w:t>36 %</w:t>
            </w:r>
          </w:p>
        </w:tc>
        <w:tc>
          <w:tcPr>
            <w:tcW w:w="709" w:type="dxa"/>
            <w:shd w:val="clear" w:color="auto" w:fill="FFFFFF"/>
          </w:tcPr>
          <w:p>
            <w:r>
              <w:t>39 %</w:t>
            </w:r>
          </w:p>
        </w:tc>
        <w:tc>
          <w:tcPr>
            <w:tcW w:w="992" w:type="dxa"/>
            <w:shd w:val="clear" w:color="auto" w:fill="FFFFFF"/>
          </w:tcPr>
          <w:p>
            <w:r>
              <w:t>1 %</w:t>
            </w:r>
          </w:p>
        </w:tc>
        <w:tc>
          <w:tcPr>
            <w:tcW w:w="1021" w:type="dxa"/>
            <w:shd w:val="clear" w:color="auto" w:fill="FFFFFF"/>
          </w:tcPr>
          <w:p>
            <w:r>
              <w:t>503</w:t>
            </w:r>
          </w:p>
        </w:tc>
      </w:tr>
      <w:tr>
        <w:tc>
          <w:tcPr>
            <w:tcW w:w="1134" w:type="dxa"/>
            <w:shd w:val="clear" w:color="auto" w:fill="FFFFFF"/>
          </w:tcPr>
          <w:p>
            <w:r>
              <w:t>D</w:t>
            </w:r>
          </w:p>
        </w:tc>
        <w:tc>
          <w:tcPr>
            <w:tcW w:w="2694" w:type="dxa"/>
            <w:shd w:val="clear" w:color="auto" w:fill="FFFFFF"/>
          </w:tcPr>
          <w:p>
            <w:r>
              <w:t>V. Caupolicán (close to source)</w:t>
            </w:r>
          </w:p>
        </w:tc>
        <w:tc>
          <w:tcPr>
            <w:tcW w:w="709" w:type="dxa"/>
            <w:shd w:val="clear" w:color="auto" w:fill="FFFFFF"/>
          </w:tcPr>
          <w:p>
            <w:r>
              <w:t>10 %</w:t>
            </w:r>
          </w:p>
        </w:tc>
        <w:tc>
          <w:tcPr>
            <w:tcW w:w="850" w:type="dxa"/>
            <w:shd w:val="clear" w:color="auto" w:fill="FFFFFF"/>
          </w:tcPr>
          <w:p>
            <w:r>
              <w:t>35 %</w:t>
            </w:r>
          </w:p>
        </w:tc>
        <w:tc>
          <w:tcPr>
            <w:tcW w:w="709" w:type="dxa"/>
            <w:shd w:val="clear" w:color="auto" w:fill="FFFFFF"/>
          </w:tcPr>
          <w:p>
            <w:r>
              <w:t>44 %</w:t>
            </w:r>
          </w:p>
        </w:tc>
        <w:tc>
          <w:tcPr>
            <w:tcW w:w="709" w:type="dxa"/>
            <w:shd w:val="clear" w:color="auto" w:fill="FFFFFF"/>
          </w:tcPr>
          <w:p>
            <w:r>
              <w:t>9 %</w:t>
            </w:r>
          </w:p>
        </w:tc>
        <w:tc>
          <w:tcPr>
            <w:tcW w:w="992" w:type="dxa"/>
            <w:shd w:val="clear" w:color="auto" w:fill="FFFFFF"/>
          </w:tcPr>
          <w:p>
            <w:r>
              <w:t>1 %</w:t>
            </w:r>
          </w:p>
        </w:tc>
        <w:tc>
          <w:tcPr>
            <w:tcW w:w="1021" w:type="dxa"/>
            <w:shd w:val="clear" w:color="auto" w:fill="FFFFFF"/>
          </w:tcPr>
          <w:p>
            <w:r>
              <w:t>536</w:t>
            </w:r>
          </w:p>
        </w:tc>
      </w:tr>
      <w:tr>
        <w:tc>
          <w:tcPr>
            <w:tcW w:w="1134" w:type="dxa"/>
            <w:shd w:val="clear" w:color="auto" w:fill="FFFFFF"/>
          </w:tcPr>
          <w:p>
            <w:r>
              <w:t>E</w:t>
            </w:r>
          </w:p>
        </w:tc>
        <w:tc>
          <w:tcPr>
            <w:tcW w:w="2694" w:type="dxa"/>
            <w:shd w:val="clear" w:color="auto" w:fill="FFFFFF"/>
          </w:tcPr>
          <w:p>
            <w:r>
              <w:t>V. Caupolicán (close to source)</w:t>
            </w:r>
          </w:p>
        </w:tc>
        <w:tc>
          <w:tcPr>
            <w:tcW w:w="709" w:type="dxa"/>
            <w:shd w:val="clear" w:color="auto" w:fill="FFFFFF"/>
          </w:tcPr>
          <w:p>
            <w:r>
              <w:t>9 %</w:t>
            </w:r>
          </w:p>
        </w:tc>
        <w:tc>
          <w:tcPr>
            <w:tcW w:w="850" w:type="dxa"/>
            <w:shd w:val="clear" w:color="auto" w:fill="FFFFFF"/>
          </w:tcPr>
          <w:p>
            <w:r>
              <w:t>26 %</w:t>
            </w:r>
          </w:p>
        </w:tc>
        <w:tc>
          <w:tcPr>
            <w:tcW w:w="709" w:type="dxa"/>
            <w:shd w:val="clear" w:color="auto" w:fill="FFFFFF"/>
          </w:tcPr>
          <w:p>
            <w:r>
              <w:t>47 %</w:t>
            </w:r>
          </w:p>
        </w:tc>
        <w:tc>
          <w:tcPr>
            <w:tcW w:w="709" w:type="dxa"/>
            <w:shd w:val="clear" w:color="auto" w:fill="FFFFFF"/>
          </w:tcPr>
          <w:p>
            <w:r>
              <w:t>17 %</w:t>
            </w:r>
          </w:p>
        </w:tc>
        <w:tc>
          <w:tcPr>
            <w:tcW w:w="992" w:type="dxa"/>
            <w:shd w:val="clear" w:color="auto" w:fill="FFFFFF"/>
          </w:tcPr>
          <w:p>
            <w:r>
              <w:t>1 %</w:t>
            </w:r>
          </w:p>
        </w:tc>
        <w:tc>
          <w:tcPr>
            <w:tcW w:w="1021" w:type="dxa"/>
            <w:shd w:val="clear" w:color="auto" w:fill="FFFFFF"/>
          </w:tcPr>
          <w:p>
            <w:r>
              <w:t>541</w:t>
            </w:r>
          </w:p>
        </w:tc>
      </w:tr>
      <w:tr>
        <w:tc>
          <w:tcPr>
            <w:tcW w:w="1134" w:type="dxa"/>
            <w:shd w:val="clear" w:color="auto" w:fill="FFFFFF"/>
          </w:tcPr>
          <w:p>
            <w:r>
              <w:t>F</w:t>
            </w:r>
          </w:p>
        </w:tc>
        <w:tc>
          <w:tcPr>
            <w:tcW w:w="2694" w:type="dxa"/>
            <w:shd w:val="clear" w:color="auto" w:fill="FFFFFF"/>
          </w:tcPr>
          <w:p>
            <w:r>
              <w:t>V. Caupolicán (close to source)</w:t>
            </w:r>
          </w:p>
        </w:tc>
        <w:tc>
          <w:tcPr>
            <w:tcW w:w="709" w:type="dxa"/>
            <w:shd w:val="clear" w:color="auto" w:fill="FFFFFF"/>
          </w:tcPr>
          <w:p>
            <w:r>
              <w:t>6 %</w:t>
            </w:r>
          </w:p>
        </w:tc>
        <w:tc>
          <w:tcPr>
            <w:tcW w:w="850" w:type="dxa"/>
            <w:shd w:val="clear" w:color="auto" w:fill="FFFFFF"/>
          </w:tcPr>
          <w:p>
            <w:r>
              <w:t>17 %</w:t>
            </w:r>
          </w:p>
        </w:tc>
        <w:tc>
          <w:tcPr>
            <w:tcW w:w="709" w:type="dxa"/>
            <w:shd w:val="clear" w:color="auto" w:fill="FFFFFF"/>
          </w:tcPr>
          <w:p>
            <w:r>
              <w:t>37 %</w:t>
            </w:r>
          </w:p>
        </w:tc>
        <w:tc>
          <w:tcPr>
            <w:tcW w:w="709" w:type="dxa"/>
            <w:shd w:val="clear" w:color="auto" w:fill="FFFFFF"/>
          </w:tcPr>
          <w:p>
            <w:r>
              <w:t>39 %</w:t>
            </w:r>
          </w:p>
        </w:tc>
        <w:tc>
          <w:tcPr>
            <w:tcW w:w="992" w:type="dxa"/>
            <w:shd w:val="clear" w:color="auto" w:fill="FFFFFF"/>
          </w:tcPr>
          <w:p>
            <w:r>
              <w:t>1 %</w:t>
            </w:r>
          </w:p>
        </w:tc>
        <w:tc>
          <w:tcPr>
            <w:tcW w:w="1021" w:type="dxa"/>
            <w:shd w:val="clear" w:color="auto" w:fill="FFFFFF"/>
          </w:tcPr>
          <w:p>
            <w:r>
              <w:t>529</w:t>
            </w:r>
          </w:p>
        </w:tc>
      </w:tr>
      <w:tr>
        <w:tc>
          <w:tcPr>
            <w:tcW w:w="1134" w:type="dxa"/>
            <w:shd w:val="clear" w:color="auto" w:fill="FFFFFF"/>
          </w:tcPr>
          <w:p>
            <w:r>
              <w:t>G</w:t>
            </w:r>
          </w:p>
        </w:tc>
        <w:tc>
          <w:tcPr>
            <w:tcW w:w="2694" w:type="dxa"/>
            <w:shd w:val="clear" w:color="auto" w:fill="FFFFFF"/>
          </w:tcPr>
          <w:p>
            <w:r>
              <w:t>Kintupi Ruca</w:t>
            </w:r>
          </w:p>
        </w:tc>
        <w:tc>
          <w:tcPr>
            <w:tcW w:w="709" w:type="dxa"/>
            <w:shd w:val="clear" w:color="auto" w:fill="FFFFFF"/>
          </w:tcPr>
          <w:p>
            <w:r>
              <w:t>6 %</w:t>
            </w:r>
          </w:p>
        </w:tc>
        <w:tc>
          <w:tcPr>
            <w:tcW w:w="850" w:type="dxa"/>
            <w:shd w:val="clear" w:color="auto" w:fill="FFFFFF"/>
          </w:tcPr>
          <w:p>
            <w:r>
              <w:t>19 %</w:t>
            </w:r>
          </w:p>
        </w:tc>
        <w:tc>
          <w:tcPr>
            <w:tcW w:w="709" w:type="dxa"/>
            <w:shd w:val="clear" w:color="auto" w:fill="FFFFFF"/>
          </w:tcPr>
          <w:p>
            <w:r>
              <w:t>25 %</w:t>
            </w:r>
          </w:p>
        </w:tc>
        <w:tc>
          <w:tcPr>
            <w:tcW w:w="709" w:type="dxa"/>
            <w:shd w:val="clear" w:color="auto" w:fill="FFFFFF"/>
          </w:tcPr>
          <w:p>
            <w:r>
              <w:t>49 %</w:t>
            </w:r>
          </w:p>
        </w:tc>
        <w:tc>
          <w:tcPr>
            <w:tcW w:w="992" w:type="dxa"/>
            <w:shd w:val="clear" w:color="auto" w:fill="FFFFFF"/>
          </w:tcPr>
          <w:p>
            <w:r>
              <w:t>0 %</w:t>
            </w:r>
          </w:p>
        </w:tc>
        <w:tc>
          <w:tcPr>
            <w:tcW w:w="1021" w:type="dxa"/>
            <w:shd w:val="clear" w:color="auto" w:fill="FFFFFF"/>
          </w:tcPr>
          <w:p>
            <w:r>
              <w:t>534</w:t>
            </w:r>
          </w:p>
        </w:tc>
      </w:tr>
      <w:tr>
        <w:tc>
          <w:tcPr>
            <w:tcW w:w="1134" w:type="dxa"/>
            <w:shd w:val="clear" w:color="auto" w:fill="FFFFFF"/>
          </w:tcPr>
          <w:p>
            <w:r>
              <w:t>J*</w:t>
            </w:r>
          </w:p>
        </w:tc>
        <w:tc>
          <w:tcPr>
            <w:tcW w:w="2694" w:type="dxa"/>
            <w:shd w:val="clear" w:color="auto" w:fill="FFFFFF"/>
          </w:tcPr>
          <w:p>
            <w:r>
              <w:t>V. Esperanza</w:t>
            </w:r>
          </w:p>
        </w:tc>
        <w:tc>
          <w:tcPr>
            <w:tcW w:w="709" w:type="dxa"/>
            <w:shd w:val="clear" w:color="auto" w:fill="FFFFFF"/>
          </w:tcPr>
          <w:p>
            <w:r>
              <w:t>8 %</w:t>
            </w:r>
          </w:p>
        </w:tc>
        <w:tc>
          <w:tcPr>
            <w:tcW w:w="850" w:type="dxa"/>
            <w:shd w:val="clear" w:color="auto" w:fill="FFFFFF"/>
          </w:tcPr>
          <w:p>
            <w:r>
              <w:t>30 %</w:t>
            </w:r>
          </w:p>
        </w:tc>
        <w:tc>
          <w:tcPr>
            <w:tcW w:w="709" w:type="dxa"/>
            <w:shd w:val="clear" w:color="auto" w:fill="FFFFFF"/>
          </w:tcPr>
          <w:p>
            <w:r>
              <w:t>49 %</w:t>
            </w:r>
          </w:p>
        </w:tc>
        <w:tc>
          <w:tcPr>
            <w:tcW w:w="709" w:type="dxa"/>
            <w:shd w:val="clear" w:color="auto" w:fill="FFFFFF"/>
          </w:tcPr>
          <w:p>
            <w:r>
              <w:t>11 %</w:t>
            </w:r>
          </w:p>
        </w:tc>
        <w:tc>
          <w:tcPr>
            <w:tcW w:w="992" w:type="dxa"/>
            <w:shd w:val="clear" w:color="auto" w:fill="FFFFFF"/>
          </w:tcPr>
          <w:p>
            <w:r>
              <w:t>2 %</w:t>
            </w:r>
          </w:p>
        </w:tc>
        <w:tc>
          <w:tcPr>
            <w:tcW w:w="1021" w:type="dxa"/>
            <w:shd w:val="clear" w:color="auto" w:fill="FFFFFF"/>
          </w:tcPr>
          <w:p>
            <w:r>
              <w:t>265</w:t>
            </w:r>
          </w:p>
        </w:tc>
      </w:tr>
      <w:tr>
        <w:tc>
          <w:tcPr>
            <w:tcW w:w="1134" w:type="dxa"/>
            <w:shd w:val="clear" w:color="auto" w:fill="FFFFFF"/>
          </w:tcPr>
          <w:p>
            <w:r>
              <w:t>K*</w:t>
            </w:r>
          </w:p>
        </w:tc>
        <w:tc>
          <w:tcPr>
            <w:tcW w:w="2694" w:type="dxa"/>
            <w:shd w:val="clear" w:color="auto" w:fill="FFFFFF"/>
          </w:tcPr>
          <w:p>
            <w:r>
              <w:t>V. Caupolicán (distant to source)</w:t>
            </w:r>
          </w:p>
        </w:tc>
        <w:tc>
          <w:tcPr>
            <w:tcW w:w="709" w:type="dxa"/>
            <w:shd w:val="clear" w:color="auto" w:fill="FFFFFF"/>
          </w:tcPr>
          <w:p>
            <w:r>
              <w:t>12 %</w:t>
            </w:r>
          </w:p>
        </w:tc>
        <w:tc>
          <w:tcPr>
            <w:tcW w:w="850" w:type="dxa"/>
            <w:shd w:val="clear" w:color="auto" w:fill="FFFFFF"/>
          </w:tcPr>
          <w:p>
            <w:r>
              <w:t>39 %</w:t>
            </w:r>
          </w:p>
        </w:tc>
        <w:tc>
          <w:tcPr>
            <w:tcW w:w="709" w:type="dxa"/>
            <w:shd w:val="clear" w:color="auto" w:fill="FFFFFF"/>
          </w:tcPr>
          <w:p>
            <w:r>
              <w:t>39 %</w:t>
            </w:r>
          </w:p>
        </w:tc>
        <w:tc>
          <w:tcPr>
            <w:tcW w:w="709" w:type="dxa"/>
            <w:shd w:val="clear" w:color="auto" w:fill="FFFFFF"/>
          </w:tcPr>
          <w:p>
            <w:r>
              <w:t>9 %</w:t>
            </w:r>
          </w:p>
        </w:tc>
        <w:tc>
          <w:tcPr>
            <w:tcW w:w="992" w:type="dxa"/>
            <w:shd w:val="clear" w:color="auto" w:fill="FFFFFF"/>
          </w:tcPr>
          <w:p>
            <w:r>
              <w:t>1 %</w:t>
            </w:r>
          </w:p>
        </w:tc>
        <w:tc>
          <w:tcPr>
            <w:tcW w:w="1021" w:type="dxa"/>
            <w:shd w:val="clear" w:color="auto" w:fill="FFFFFF"/>
          </w:tcPr>
          <w:p>
            <w:r>
              <w:t>284</w:t>
            </w:r>
          </w:p>
        </w:tc>
      </w:tr>
      <w:tr>
        <w:tc>
          <w:tcPr>
            <w:tcW w:w="1134" w:type="dxa"/>
            <w:shd w:val="clear" w:color="auto" w:fill="FFFFFF"/>
          </w:tcPr>
          <w:p>
            <w:r>
              <w:t>L*</w:t>
            </w:r>
          </w:p>
        </w:tc>
        <w:tc>
          <w:tcPr>
            <w:tcW w:w="2694" w:type="dxa"/>
            <w:shd w:val="clear" w:color="auto" w:fill="FFFFFF"/>
          </w:tcPr>
          <w:p>
            <w:r>
              <w:t>V. Caupolicán (distant to source)</w:t>
            </w:r>
          </w:p>
        </w:tc>
        <w:tc>
          <w:tcPr>
            <w:tcW w:w="709" w:type="dxa"/>
            <w:shd w:val="clear" w:color="auto" w:fill="FFFFFF"/>
          </w:tcPr>
          <w:p>
            <w:r>
              <w:t>8 %</w:t>
            </w:r>
          </w:p>
        </w:tc>
        <w:tc>
          <w:tcPr>
            <w:tcW w:w="850" w:type="dxa"/>
            <w:shd w:val="clear" w:color="auto" w:fill="FFFFFF"/>
          </w:tcPr>
          <w:p>
            <w:r>
              <w:t>30 %</w:t>
            </w:r>
          </w:p>
        </w:tc>
        <w:tc>
          <w:tcPr>
            <w:tcW w:w="709" w:type="dxa"/>
            <w:shd w:val="clear" w:color="auto" w:fill="FFFFFF"/>
          </w:tcPr>
          <w:p>
            <w:r>
              <w:t>48 %</w:t>
            </w:r>
          </w:p>
        </w:tc>
        <w:tc>
          <w:tcPr>
            <w:tcW w:w="709" w:type="dxa"/>
            <w:shd w:val="clear" w:color="auto" w:fill="FFFFFF"/>
          </w:tcPr>
          <w:p>
            <w:r>
              <w:t>14 %</w:t>
            </w:r>
          </w:p>
        </w:tc>
        <w:tc>
          <w:tcPr>
            <w:tcW w:w="992" w:type="dxa"/>
            <w:shd w:val="clear" w:color="auto" w:fill="FFFFFF"/>
          </w:tcPr>
          <w:p>
            <w:r>
              <w:t>0 %</w:t>
            </w:r>
          </w:p>
        </w:tc>
        <w:tc>
          <w:tcPr>
            <w:tcW w:w="1021" w:type="dxa"/>
            <w:shd w:val="clear" w:color="auto" w:fill="FFFFFF"/>
          </w:tcPr>
          <w:p>
            <w:r>
              <w:t>276</w:t>
            </w:r>
          </w:p>
        </w:tc>
      </w:tr>
      <w:tr>
        <w:tc>
          <w:tcPr>
            <w:tcW w:w="1134" w:type="dxa"/>
            <w:shd w:val="clear" w:color="auto" w:fill="FFFFFF"/>
          </w:tcPr>
          <w:p>
            <w:r>
              <w:t>M*</w:t>
            </w:r>
          </w:p>
        </w:tc>
        <w:tc>
          <w:tcPr>
            <w:tcW w:w="2694" w:type="dxa"/>
            <w:shd w:val="clear" w:color="auto" w:fill="FFFFFF"/>
          </w:tcPr>
          <w:p>
            <w:r>
              <w:t>V. Caupolicán (distant to source)</w:t>
            </w:r>
          </w:p>
        </w:tc>
        <w:tc>
          <w:tcPr>
            <w:tcW w:w="709" w:type="dxa"/>
            <w:shd w:val="clear" w:color="auto" w:fill="FFFFFF"/>
          </w:tcPr>
          <w:p>
            <w:r>
              <w:t>5 %</w:t>
            </w:r>
          </w:p>
        </w:tc>
        <w:tc>
          <w:tcPr>
            <w:tcW w:w="850" w:type="dxa"/>
            <w:shd w:val="clear" w:color="auto" w:fill="FFFFFF"/>
          </w:tcPr>
          <w:p>
            <w:r>
              <w:t>18 %</w:t>
            </w:r>
          </w:p>
        </w:tc>
        <w:tc>
          <w:tcPr>
            <w:tcW w:w="709" w:type="dxa"/>
            <w:shd w:val="clear" w:color="auto" w:fill="FFFFFF"/>
          </w:tcPr>
          <w:p>
            <w:r>
              <w:t>41 %</w:t>
            </w:r>
          </w:p>
        </w:tc>
        <w:tc>
          <w:tcPr>
            <w:tcW w:w="709" w:type="dxa"/>
            <w:shd w:val="clear" w:color="auto" w:fill="FFFFFF"/>
          </w:tcPr>
          <w:p>
            <w:r>
              <w:t>35 %</w:t>
            </w:r>
          </w:p>
        </w:tc>
        <w:tc>
          <w:tcPr>
            <w:tcW w:w="992" w:type="dxa"/>
            <w:shd w:val="clear" w:color="auto" w:fill="FFFFFF"/>
          </w:tcPr>
          <w:p>
            <w:r>
              <w:t>0 %</w:t>
            </w:r>
          </w:p>
        </w:tc>
        <w:tc>
          <w:tcPr>
            <w:tcW w:w="1021" w:type="dxa"/>
            <w:shd w:val="clear" w:color="auto" w:fill="FFFFFF"/>
          </w:tcPr>
          <w:p>
            <w:r>
              <w:t>273</w:t>
            </w:r>
          </w:p>
        </w:tc>
      </w:tr>
      <w:tr>
        <w:tc>
          <w:tcPr>
            <w:tcW w:w="1134" w:type="dxa"/>
            <w:shd w:val="clear" w:color="auto" w:fill="FFFFFF"/>
          </w:tcPr>
          <w:p>
            <w:r>
              <w:t>N*</w:t>
            </w:r>
          </w:p>
        </w:tc>
        <w:tc>
          <w:tcPr>
            <w:tcW w:w="2694" w:type="dxa"/>
            <w:shd w:val="clear" w:color="auto" w:fill="FFFFFF"/>
          </w:tcPr>
          <w:p>
            <w:r>
              <w:t>Kintupi Ruca</w:t>
            </w:r>
          </w:p>
        </w:tc>
        <w:tc>
          <w:tcPr>
            <w:tcW w:w="709" w:type="dxa"/>
            <w:shd w:val="clear" w:color="auto" w:fill="FFFFFF"/>
          </w:tcPr>
          <w:p>
            <w:r>
              <w:t>8 %</w:t>
            </w:r>
          </w:p>
        </w:tc>
        <w:tc>
          <w:tcPr>
            <w:tcW w:w="850" w:type="dxa"/>
            <w:shd w:val="clear" w:color="auto" w:fill="FFFFFF"/>
          </w:tcPr>
          <w:p>
            <w:r>
              <w:t>23 %</w:t>
            </w:r>
          </w:p>
        </w:tc>
        <w:tc>
          <w:tcPr>
            <w:tcW w:w="709" w:type="dxa"/>
            <w:shd w:val="clear" w:color="auto" w:fill="FFFFFF"/>
          </w:tcPr>
          <w:p>
            <w:r>
              <w:t>31 %</w:t>
            </w:r>
          </w:p>
        </w:tc>
        <w:tc>
          <w:tcPr>
            <w:tcW w:w="709" w:type="dxa"/>
            <w:shd w:val="clear" w:color="auto" w:fill="FFFFFF"/>
          </w:tcPr>
          <w:p>
            <w:r>
              <w:t>39 %</w:t>
            </w:r>
          </w:p>
        </w:tc>
        <w:tc>
          <w:tcPr>
            <w:tcW w:w="992" w:type="dxa"/>
            <w:shd w:val="clear" w:color="auto" w:fill="FFFFFF"/>
          </w:tcPr>
          <w:p>
            <w:r>
              <w:t>0 %</w:t>
            </w:r>
          </w:p>
        </w:tc>
        <w:tc>
          <w:tcPr>
            <w:tcW w:w="1021" w:type="dxa"/>
            <w:shd w:val="clear" w:color="auto" w:fill="FFFFFF"/>
          </w:tcPr>
          <w:p>
            <w:r>
              <w:t>276</w:t>
            </w:r>
          </w:p>
        </w:tc>
      </w:tr>
      <w:tr>
        <w:tc>
          <w:tcPr>
            <w:tcW w:w="1134" w:type="dxa"/>
            <w:shd w:val="clear" w:color="auto" w:fill="FFFFFF"/>
          </w:tcPr>
          <w:p>
            <w:r>
              <w:t>O</w:t>
            </w:r>
          </w:p>
        </w:tc>
        <w:tc>
          <w:tcPr>
            <w:tcW w:w="2694" w:type="dxa"/>
            <w:shd w:val="clear" w:color="auto" w:fill="FFFFFF"/>
          </w:tcPr>
          <w:p>
            <w:r>
              <w:t>Kintupi Ruca</w:t>
            </w:r>
          </w:p>
        </w:tc>
        <w:tc>
          <w:tcPr>
            <w:tcW w:w="709" w:type="dxa"/>
            <w:shd w:val="clear" w:color="auto" w:fill="FFFFFF"/>
          </w:tcPr>
          <w:p>
            <w:r>
              <w:t>5 %</w:t>
            </w:r>
          </w:p>
        </w:tc>
        <w:tc>
          <w:tcPr>
            <w:tcW w:w="850" w:type="dxa"/>
            <w:shd w:val="clear" w:color="auto" w:fill="FFFFFF"/>
          </w:tcPr>
          <w:p>
            <w:r>
              <w:t>37 %</w:t>
            </w:r>
          </w:p>
        </w:tc>
        <w:tc>
          <w:tcPr>
            <w:tcW w:w="709" w:type="dxa"/>
            <w:shd w:val="clear" w:color="auto" w:fill="FFFFFF"/>
          </w:tcPr>
          <w:p>
            <w:r>
              <w:t>27 %</w:t>
            </w:r>
          </w:p>
        </w:tc>
        <w:tc>
          <w:tcPr>
            <w:tcW w:w="709" w:type="dxa"/>
            <w:shd w:val="clear" w:color="auto" w:fill="FFFFFF"/>
          </w:tcPr>
          <w:p>
            <w:r>
              <w:t>30 %</w:t>
            </w:r>
          </w:p>
        </w:tc>
        <w:tc>
          <w:tcPr>
            <w:tcW w:w="992" w:type="dxa"/>
            <w:shd w:val="clear" w:color="auto" w:fill="FFFFFF"/>
          </w:tcPr>
          <w:p>
            <w:r>
              <w:t>1 %</w:t>
            </w:r>
          </w:p>
        </w:tc>
        <w:tc>
          <w:tcPr>
            <w:tcW w:w="1021" w:type="dxa"/>
            <w:shd w:val="clear" w:color="auto" w:fill="FFFFFF"/>
          </w:tcPr>
          <w:p>
            <w:r>
              <w:t>528</w:t>
            </w:r>
          </w:p>
        </w:tc>
      </w:tr>
      <w:tr>
        <w:tc>
          <w:tcPr>
            <w:tcW w:w="1134" w:type="dxa"/>
            <w:shd w:val="clear" w:color="auto" w:fill="FFFFFF"/>
          </w:tcPr>
          <w:p>
            <w:r>
              <w:t>P*</w:t>
            </w:r>
          </w:p>
        </w:tc>
        <w:tc>
          <w:tcPr>
            <w:tcW w:w="2694" w:type="dxa"/>
            <w:shd w:val="clear" w:color="auto" w:fill="FFFFFF"/>
          </w:tcPr>
          <w:p>
            <w:r>
              <w:t>V. Caupolicán (close to source)</w:t>
            </w:r>
          </w:p>
        </w:tc>
        <w:tc>
          <w:tcPr>
            <w:tcW w:w="709" w:type="dxa"/>
            <w:shd w:val="clear" w:color="auto" w:fill="FFFFFF"/>
          </w:tcPr>
          <w:p>
            <w:r>
              <w:t>6 %</w:t>
            </w:r>
          </w:p>
        </w:tc>
        <w:tc>
          <w:tcPr>
            <w:tcW w:w="850" w:type="dxa"/>
            <w:shd w:val="clear" w:color="auto" w:fill="FFFFFF"/>
          </w:tcPr>
          <w:p>
            <w:r>
              <w:t>12 %</w:t>
            </w:r>
          </w:p>
        </w:tc>
        <w:tc>
          <w:tcPr>
            <w:tcW w:w="709" w:type="dxa"/>
            <w:shd w:val="clear" w:color="auto" w:fill="FFFFFF"/>
          </w:tcPr>
          <w:p>
            <w:r>
              <w:t>27 %</w:t>
            </w:r>
          </w:p>
        </w:tc>
        <w:tc>
          <w:tcPr>
            <w:tcW w:w="709" w:type="dxa"/>
            <w:shd w:val="clear" w:color="auto" w:fill="FFFFFF"/>
          </w:tcPr>
          <w:p>
            <w:r>
              <w:t>54 %</w:t>
            </w:r>
          </w:p>
        </w:tc>
        <w:tc>
          <w:tcPr>
            <w:tcW w:w="992" w:type="dxa"/>
            <w:shd w:val="clear" w:color="auto" w:fill="FFFFFF"/>
          </w:tcPr>
          <w:p>
            <w:r>
              <w:t>1 %</w:t>
            </w:r>
          </w:p>
        </w:tc>
        <w:tc>
          <w:tcPr>
            <w:tcW w:w="1021" w:type="dxa"/>
            <w:shd w:val="clear" w:color="auto" w:fill="FFFFFF"/>
          </w:tcPr>
          <w:p>
            <w:r>
              <w:t>368</w:t>
            </w:r>
          </w:p>
        </w:tc>
      </w:tr>
      <w:tr>
        <w:tc>
          <w:tcPr>
            <w:tcW w:w="1134" w:type="dxa"/>
            <w:shd w:val="clear" w:color="auto" w:fill="FFFFFF"/>
          </w:tcPr>
          <w:p>
            <w:r>
              <w:t>Q</w:t>
            </w:r>
          </w:p>
        </w:tc>
        <w:tc>
          <w:tcPr>
            <w:tcW w:w="2694" w:type="dxa"/>
            <w:shd w:val="clear" w:color="auto" w:fill="FFFFFF"/>
          </w:tcPr>
          <w:p>
            <w:r>
              <w:t>V. Caupolicán (close to source)</w:t>
            </w:r>
          </w:p>
        </w:tc>
        <w:tc>
          <w:tcPr>
            <w:tcW w:w="709" w:type="dxa"/>
            <w:shd w:val="clear" w:color="auto" w:fill="FFFFFF"/>
          </w:tcPr>
          <w:p>
            <w:r>
              <w:t>5 %</w:t>
            </w:r>
          </w:p>
        </w:tc>
        <w:tc>
          <w:tcPr>
            <w:tcW w:w="850" w:type="dxa"/>
            <w:shd w:val="clear" w:color="auto" w:fill="FFFFFF"/>
          </w:tcPr>
          <w:p>
            <w:r>
              <w:t>30 %</w:t>
            </w:r>
          </w:p>
        </w:tc>
        <w:tc>
          <w:tcPr>
            <w:tcW w:w="709" w:type="dxa"/>
            <w:shd w:val="clear" w:color="auto" w:fill="FFFFFF"/>
          </w:tcPr>
          <w:p>
            <w:r>
              <w:t>32 %</w:t>
            </w:r>
          </w:p>
        </w:tc>
        <w:tc>
          <w:tcPr>
            <w:tcW w:w="709" w:type="dxa"/>
            <w:shd w:val="clear" w:color="auto" w:fill="FFFFFF"/>
          </w:tcPr>
          <w:p>
            <w:r>
              <w:t>31 %</w:t>
            </w:r>
          </w:p>
        </w:tc>
        <w:tc>
          <w:tcPr>
            <w:tcW w:w="992" w:type="dxa"/>
            <w:shd w:val="clear" w:color="auto" w:fill="FFFFFF"/>
          </w:tcPr>
          <w:p>
            <w:r>
              <w:t>1 %</w:t>
            </w:r>
          </w:p>
        </w:tc>
        <w:tc>
          <w:tcPr>
            <w:tcW w:w="1021" w:type="dxa"/>
            <w:shd w:val="clear" w:color="auto" w:fill="FFFFFF"/>
          </w:tcPr>
          <w:p>
            <w:r>
              <w:t>616</w:t>
            </w:r>
          </w:p>
        </w:tc>
      </w:tr>
    </w:tbl>
    <w:p>
      <w:pPr>
        <w:pStyle w:val="CETBodytext"/>
        <w:rPr>
          <w:lang w:val="en-GB"/>
        </w:rPr>
      </w:pPr>
    </w:p>
    <w:p>
      <w:pPr>
        <w:pStyle w:val="CETBodytext"/>
        <w:rPr>
          <w:lang w:val="en-GB"/>
        </w:rPr>
      </w:pPr>
      <w:r>
        <w:rPr>
          <w:lang w:val="en-GB"/>
        </w:rPr>
        <w:t>VDI 3883 part 2 uses annoyance categories with weighting factors for calculation an annoyance index. This index is a stepped scale from 0 to 100 of the annoyance reactions averaged and weighted over all test subjects. To calculate an adapted annoyance index out of the data retrieved by the OdourCollect app, the simplifications show in table 4 for obtaining the annoyance category out of the odour intensity for waste water related odours were considered. Other odour types were associated to a weighting factor of zero.</w:t>
      </w:r>
    </w:p>
    <w:p>
      <w:pPr>
        <w:pStyle w:val="CETTabletitle"/>
      </w:pPr>
      <w:r>
        <w:t>Table 4: Adopted simple relation between odour intensity and annoyance category</w:t>
      </w:r>
    </w:p>
    <w:tbl>
      <w:tblPr>
        <w:tblW w:w="552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843"/>
        <w:gridCol w:w="1701"/>
      </w:tblGrid>
      <w:tr>
        <w:tc>
          <w:tcPr>
            <w:tcW w:w="1985" w:type="dxa"/>
            <w:tcBorders>
              <w:top w:val="single" w:sz="12" w:space="0" w:color="008000"/>
              <w:bottom w:val="single" w:sz="6" w:space="0" w:color="008000"/>
            </w:tcBorders>
            <w:shd w:val="clear" w:color="auto" w:fill="FFFFFF"/>
          </w:tcPr>
          <w:p>
            <w:r>
              <w:t xml:space="preserve">Odour intensity </w:t>
            </w:r>
          </w:p>
        </w:tc>
        <w:tc>
          <w:tcPr>
            <w:tcW w:w="1843" w:type="dxa"/>
            <w:tcBorders>
              <w:top w:val="single" w:sz="12" w:space="0" w:color="008000"/>
              <w:bottom w:val="single" w:sz="6" w:space="0" w:color="008000"/>
            </w:tcBorders>
            <w:shd w:val="clear" w:color="auto" w:fill="FFFFFF"/>
          </w:tcPr>
          <w:p>
            <w:r>
              <w:t>Annoyance category i</w:t>
            </w:r>
          </w:p>
        </w:tc>
        <w:tc>
          <w:tcPr>
            <w:tcW w:w="1701" w:type="dxa"/>
            <w:tcBorders>
              <w:top w:val="single" w:sz="12" w:space="0" w:color="008000"/>
              <w:bottom w:val="single" w:sz="6" w:space="0" w:color="008000"/>
            </w:tcBorders>
            <w:shd w:val="clear" w:color="auto" w:fill="FFFFFF"/>
          </w:tcPr>
          <w:p>
            <w:r>
              <w:t xml:space="preserve">Weighting factor </w:t>
            </w:r>
            <w:r>
              <w:rPr>
                <w:i/>
              </w:rPr>
              <w:t>W</w:t>
            </w:r>
            <w:r>
              <w:rPr>
                <w:i/>
                <w:vertAlign w:val="subscript"/>
              </w:rPr>
              <w:t>i</w:t>
            </w:r>
          </w:p>
        </w:tc>
      </w:tr>
      <w:tr>
        <w:tc>
          <w:tcPr>
            <w:tcW w:w="1985" w:type="dxa"/>
            <w:shd w:val="clear" w:color="auto" w:fill="FFFFFF"/>
          </w:tcPr>
          <w:p>
            <w:r>
              <w:t>0 not perceptible</w:t>
            </w:r>
          </w:p>
        </w:tc>
        <w:tc>
          <w:tcPr>
            <w:tcW w:w="1843" w:type="dxa"/>
            <w:shd w:val="clear" w:color="auto" w:fill="FFFFFF"/>
          </w:tcPr>
          <w:p>
            <w:r>
              <w:t>0 no odour</w:t>
            </w:r>
          </w:p>
        </w:tc>
        <w:tc>
          <w:tcPr>
            <w:tcW w:w="1701" w:type="dxa"/>
            <w:shd w:val="clear" w:color="auto" w:fill="FFFFFF"/>
          </w:tcPr>
          <w:p>
            <w:r>
              <w:t>0</w:t>
            </w:r>
          </w:p>
        </w:tc>
      </w:tr>
      <w:tr>
        <w:tc>
          <w:tcPr>
            <w:tcW w:w="1985" w:type="dxa"/>
            <w:shd w:val="clear" w:color="auto" w:fill="FFFFFF"/>
          </w:tcPr>
          <w:p>
            <w:r>
              <w:t>1 very weak</w:t>
            </w:r>
          </w:p>
        </w:tc>
        <w:tc>
          <w:tcPr>
            <w:tcW w:w="1843" w:type="dxa"/>
            <w:shd w:val="clear" w:color="auto" w:fill="FFFFFF"/>
          </w:tcPr>
          <w:p>
            <w:r>
              <w:t>0 no odour</w:t>
            </w:r>
          </w:p>
        </w:tc>
        <w:tc>
          <w:tcPr>
            <w:tcW w:w="1701" w:type="dxa"/>
            <w:shd w:val="clear" w:color="auto" w:fill="FFFFFF"/>
          </w:tcPr>
          <w:p>
            <w:r>
              <w:t>0</w:t>
            </w:r>
          </w:p>
        </w:tc>
      </w:tr>
      <w:tr>
        <w:tc>
          <w:tcPr>
            <w:tcW w:w="1985" w:type="dxa"/>
            <w:shd w:val="clear" w:color="auto" w:fill="FFFFFF"/>
          </w:tcPr>
          <w:p>
            <w:r>
              <w:t>2 weak</w:t>
            </w:r>
          </w:p>
        </w:tc>
        <w:tc>
          <w:tcPr>
            <w:tcW w:w="1843" w:type="dxa"/>
            <w:shd w:val="clear" w:color="auto" w:fill="FFFFFF"/>
          </w:tcPr>
          <w:p>
            <w:r>
              <w:t>1 not annoying</w:t>
            </w:r>
          </w:p>
        </w:tc>
        <w:tc>
          <w:tcPr>
            <w:tcW w:w="1701" w:type="dxa"/>
            <w:shd w:val="clear" w:color="auto" w:fill="FFFFFF"/>
          </w:tcPr>
          <w:p>
            <w:r>
              <w:t>0</w:t>
            </w:r>
          </w:p>
        </w:tc>
      </w:tr>
      <w:tr>
        <w:tc>
          <w:tcPr>
            <w:tcW w:w="1985" w:type="dxa"/>
            <w:shd w:val="clear" w:color="auto" w:fill="FFFFFF"/>
          </w:tcPr>
          <w:p>
            <w:r>
              <w:t>3 distinct</w:t>
            </w:r>
          </w:p>
        </w:tc>
        <w:tc>
          <w:tcPr>
            <w:tcW w:w="1843" w:type="dxa"/>
            <w:shd w:val="clear" w:color="auto" w:fill="FFFFFF"/>
          </w:tcPr>
          <w:p>
            <w:r>
              <w:t>2 slightly annoying</w:t>
            </w:r>
          </w:p>
        </w:tc>
        <w:tc>
          <w:tcPr>
            <w:tcW w:w="1701" w:type="dxa"/>
            <w:shd w:val="clear" w:color="auto" w:fill="FFFFFF"/>
          </w:tcPr>
          <w:p>
            <w:r>
              <w:t>25</w:t>
            </w:r>
          </w:p>
        </w:tc>
      </w:tr>
      <w:tr>
        <w:tc>
          <w:tcPr>
            <w:tcW w:w="1985" w:type="dxa"/>
            <w:shd w:val="clear" w:color="auto" w:fill="FFFFFF"/>
          </w:tcPr>
          <w:p>
            <w:r>
              <w:t>4 strong</w:t>
            </w:r>
          </w:p>
        </w:tc>
        <w:tc>
          <w:tcPr>
            <w:tcW w:w="1843" w:type="dxa"/>
            <w:shd w:val="clear" w:color="auto" w:fill="FFFFFF"/>
          </w:tcPr>
          <w:p>
            <w:r>
              <w:t>3 annoying</w:t>
            </w:r>
          </w:p>
        </w:tc>
        <w:tc>
          <w:tcPr>
            <w:tcW w:w="1701" w:type="dxa"/>
            <w:shd w:val="clear" w:color="auto" w:fill="FFFFFF"/>
          </w:tcPr>
          <w:p>
            <w:r>
              <w:t>50</w:t>
            </w:r>
          </w:p>
        </w:tc>
      </w:tr>
      <w:tr>
        <w:tc>
          <w:tcPr>
            <w:tcW w:w="1985" w:type="dxa"/>
            <w:shd w:val="clear" w:color="auto" w:fill="FFFFFF"/>
          </w:tcPr>
          <w:p>
            <w:r>
              <w:t>5 very strong</w:t>
            </w:r>
          </w:p>
        </w:tc>
        <w:tc>
          <w:tcPr>
            <w:tcW w:w="1843" w:type="dxa"/>
            <w:shd w:val="clear" w:color="auto" w:fill="FFFFFF"/>
          </w:tcPr>
          <w:p>
            <w:r>
              <w:t>4 very annoying</w:t>
            </w:r>
          </w:p>
        </w:tc>
        <w:tc>
          <w:tcPr>
            <w:tcW w:w="1701" w:type="dxa"/>
            <w:shd w:val="clear" w:color="auto" w:fill="FFFFFF"/>
          </w:tcPr>
          <w:p>
            <w:r>
              <w:t>75</w:t>
            </w:r>
          </w:p>
        </w:tc>
      </w:tr>
      <w:tr>
        <w:tc>
          <w:tcPr>
            <w:tcW w:w="1985" w:type="dxa"/>
            <w:shd w:val="clear" w:color="auto" w:fill="FFFFFF"/>
          </w:tcPr>
          <w:p>
            <w:r>
              <w:t>6 extremely strong</w:t>
            </w:r>
          </w:p>
        </w:tc>
        <w:tc>
          <w:tcPr>
            <w:tcW w:w="1843" w:type="dxa"/>
            <w:shd w:val="clear" w:color="auto" w:fill="FFFFFF"/>
          </w:tcPr>
          <w:p>
            <w:r>
              <w:t>5 extremely annoying</w:t>
            </w:r>
          </w:p>
        </w:tc>
        <w:tc>
          <w:tcPr>
            <w:tcW w:w="1701" w:type="dxa"/>
            <w:shd w:val="clear" w:color="auto" w:fill="FFFFFF"/>
          </w:tcPr>
          <w:p>
            <w:r>
              <w:t>100</w:t>
            </w:r>
          </w:p>
        </w:tc>
      </w:tr>
    </w:tbl>
    <w:p>
      <w:pPr>
        <w:pStyle w:val="CETBodytext"/>
        <w:rPr>
          <w:lang w:val="en-GB"/>
        </w:rPr>
      </w:pPr>
    </w:p>
    <w:p>
      <w:pPr>
        <w:pStyle w:val="CETBodytext"/>
      </w:pPr>
      <w:r>
        <w:rPr>
          <w:lang w:val="en-GB"/>
        </w:rPr>
        <w:t xml:space="preserve">The weekly annoyance index </w:t>
      </w:r>
      <w:r>
        <w:rPr>
          <w:i/>
          <w:lang w:val="en-GB"/>
        </w:rPr>
        <w:t>I</w:t>
      </w:r>
      <w:r>
        <w:rPr>
          <w:i/>
          <w:vertAlign w:val="subscript"/>
          <w:lang w:val="en-GB"/>
        </w:rPr>
        <w:t>k</w:t>
      </w:r>
      <w:r>
        <w:rPr>
          <w:lang w:val="en-GB"/>
        </w:rPr>
        <w:t xml:space="preserve"> in the k-th observation week was then calculated with Eq(1) for each assessment square. </w:t>
      </w:r>
      <w:r>
        <w:rPr>
          <w:i/>
          <w:lang w:val="en-GB"/>
        </w:rPr>
        <w:t>N</w:t>
      </w:r>
      <w:r>
        <w:rPr>
          <w:i/>
          <w:vertAlign w:val="subscript"/>
          <w:lang w:val="en-GB"/>
        </w:rPr>
        <w:t>k</w:t>
      </w:r>
      <w:r>
        <w:rPr>
          <w:lang w:val="en-GB"/>
        </w:rPr>
        <w:t xml:space="preserve"> refers to the total numbers of observations in the k-th week and </w:t>
      </w:r>
      <w:r>
        <w:rPr>
          <w:i/>
          <w:lang w:val="en-GB"/>
        </w:rPr>
        <w:t>N</w:t>
      </w:r>
      <w:r>
        <w:rPr>
          <w:i/>
          <w:vertAlign w:val="subscript"/>
          <w:lang w:val="en-GB"/>
        </w:rPr>
        <w:t>ik</w:t>
      </w:r>
      <w:r>
        <w:rPr>
          <w:lang w:val="en-GB"/>
        </w:rPr>
        <w:t xml:space="preserve"> to the number of observations in annoyance category </w:t>
      </w:r>
      <w:r>
        <w:rPr>
          <w:i/>
          <w:lang w:val="en-GB"/>
        </w:rPr>
        <w:t>i</w:t>
      </w:r>
      <w:r>
        <w:rPr>
          <w:lang w:val="en-GB"/>
        </w:rPr>
        <w:t xml:space="preserve"> in the k-th week. Results given in table 5 also include the median and the 90-percentile of the odour annoyance indices. The latter is the level which is exceeded 10 % of the time.</w:t>
      </w:r>
    </w:p>
    <w:tbl>
      <w:tblPr>
        <w:tblW w:w="4941" w:type="pct"/>
        <w:tblLayout w:type="fixed"/>
        <w:tblLook w:val="04A0" w:firstRow="1" w:lastRow="0" w:firstColumn="1" w:lastColumn="0" w:noHBand="0" w:noVBand="1"/>
      </w:tblPr>
      <w:tblGrid>
        <w:gridCol w:w="8187"/>
        <w:gridCol w:w="710"/>
      </w:tblGrid>
      <w:tr>
        <w:tc>
          <w:tcPr>
            <w:tcW w:w="8187" w:type="dxa"/>
            <w:shd w:val="clear" w:color="auto" w:fill="auto"/>
            <w:vAlign w:val="center"/>
          </w:tcPr>
          <w:p>
            <w:pPr>
              <w:pStyle w:val="CETEquation"/>
            </w:pPr>
            <w:r>
              <w:rPr>
                <w:noProof/>
                <w:lang w:val="es-CL" w:eastAsia="es-CL"/>
              </w:rPr>
              <w:drawing>
                <wp:inline distT="0" distB="0" distL="0" distR="0">
                  <wp:extent cx="1532467" cy="4063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7634" r="34901"/>
                          <a:stretch/>
                        </pic:blipFill>
                        <pic:spPr bwMode="auto">
                          <a:xfrm>
                            <a:off x="0" y="0"/>
                            <a:ext cx="1532525" cy="406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 w:type="dxa"/>
            <w:shd w:val="clear" w:color="auto" w:fill="auto"/>
            <w:vAlign w:val="center"/>
          </w:tcPr>
          <w:p>
            <w:pPr>
              <w:pStyle w:val="CETEquation"/>
              <w:jc w:val="right"/>
            </w:pPr>
            <w:r>
              <w:t>(1)</w:t>
            </w:r>
          </w:p>
        </w:tc>
      </w:tr>
    </w:tbl>
    <w:p>
      <w:pPr>
        <w:pStyle w:val="CETTabletitle"/>
      </w:pPr>
      <w:r>
        <w:t>Table 5: Weekly annoyance index for evaluation period 27/01/2020 to 05/04/2020</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26"/>
        <w:gridCol w:w="1384"/>
        <w:gridCol w:w="482"/>
        <w:gridCol w:w="482"/>
        <w:gridCol w:w="482"/>
        <w:gridCol w:w="482"/>
        <w:gridCol w:w="482"/>
        <w:gridCol w:w="482"/>
        <w:gridCol w:w="482"/>
        <w:gridCol w:w="482"/>
        <w:gridCol w:w="482"/>
        <w:gridCol w:w="482"/>
        <w:gridCol w:w="708"/>
        <w:gridCol w:w="849"/>
      </w:tblGrid>
      <w:tr>
        <w:tc>
          <w:tcPr>
            <w:tcW w:w="1026" w:type="dxa"/>
            <w:tcBorders>
              <w:top w:val="single" w:sz="12" w:space="0" w:color="008000"/>
              <w:bottom w:val="single" w:sz="6" w:space="0" w:color="008000"/>
            </w:tcBorders>
            <w:shd w:val="clear" w:color="auto" w:fill="FFFFFF"/>
          </w:tcPr>
          <w:p>
            <w:pPr>
              <w:jc w:val="left"/>
            </w:pPr>
            <w:r>
              <w:t xml:space="preserve">Assessment zone </w:t>
            </w:r>
          </w:p>
        </w:tc>
        <w:tc>
          <w:tcPr>
            <w:tcW w:w="1384" w:type="dxa"/>
            <w:tcBorders>
              <w:top w:val="single" w:sz="12" w:space="0" w:color="008000"/>
              <w:bottom w:val="single" w:sz="6" w:space="0" w:color="008000"/>
            </w:tcBorders>
            <w:shd w:val="clear" w:color="auto" w:fill="FFFFFF"/>
          </w:tcPr>
          <w:p>
            <w:pPr>
              <w:jc w:val="left"/>
            </w:pPr>
            <w:r>
              <w:t>Survey zone</w:t>
            </w:r>
          </w:p>
        </w:tc>
        <w:tc>
          <w:tcPr>
            <w:tcW w:w="482" w:type="dxa"/>
            <w:tcBorders>
              <w:top w:val="single" w:sz="12" w:space="0" w:color="008000"/>
              <w:bottom w:val="single" w:sz="6" w:space="0" w:color="008000"/>
            </w:tcBorders>
            <w:shd w:val="clear" w:color="auto" w:fill="FFFFFF"/>
          </w:tcPr>
          <w:p>
            <w:r>
              <w:t>W1</w:t>
            </w:r>
          </w:p>
        </w:tc>
        <w:tc>
          <w:tcPr>
            <w:tcW w:w="482" w:type="dxa"/>
            <w:tcBorders>
              <w:top w:val="single" w:sz="12" w:space="0" w:color="008000"/>
              <w:bottom w:val="single" w:sz="6" w:space="0" w:color="008000"/>
            </w:tcBorders>
            <w:shd w:val="clear" w:color="auto" w:fill="FFFFFF"/>
          </w:tcPr>
          <w:p>
            <w:r>
              <w:t>W2</w:t>
            </w:r>
          </w:p>
        </w:tc>
        <w:tc>
          <w:tcPr>
            <w:tcW w:w="482" w:type="dxa"/>
            <w:tcBorders>
              <w:top w:val="single" w:sz="12" w:space="0" w:color="008000"/>
              <w:bottom w:val="single" w:sz="6" w:space="0" w:color="008000"/>
            </w:tcBorders>
            <w:shd w:val="clear" w:color="auto" w:fill="FFFFFF"/>
          </w:tcPr>
          <w:p>
            <w:r>
              <w:t>W3</w:t>
            </w:r>
          </w:p>
        </w:tc>
        <w:tc>
          <w:tcPr>
            <w:tcW w:w="482" w:type="dxa"/>
            <w:tcBorders>
              <w:top w:val="single" w:sz="12" w:space="0" w:color="008000"/>
              <w:bottom w:val="single" w:sz="6" w:space="0" w:color="008000"/>
            </w:tcBorders>
            <w:shd w:val="clear" w:color="auto" w:fill="FFFFFF"/>
          </w:tcPr>
          <w:p>
            <w:r>
              <w:t>W4</w:t>
            </w:r>
          </w:p>
        </w:tc>
        <w:tc>
          <w:tcPr>
            <w:tcW w:w="482" w:type="dxa"/>
            <w:tcBorders>
              <w:top w:val="single" w:sz="12" w:space="0" w:color="008000"/>
              <w:bottom w:val="single" w:sz="6" w:space="0" w:color="008000"/>
            </w:tcBorders>
            <w:shd w:val="clear" w:color="auto" w:fill="FFFFFF"/>
          </w:tcPr>
          <w:p>
            <w:r>
              <w:t>W5</w:t>
            </w:r>
          </w:p>
        </w:tc>
        <w:tc>
          <w:tcPr>
            <w:tcW w:w="482" w:type="dxa"/>
            <w:tcBorders>
              <w:top w:val="single" w:sz="12" w:space="0" w:color="008000"/>
              <w:bottom w:val="single" w:sz="6" w:space="0" w:color="008000"/>
            </w:tcBorders>
            <w:shd w:val="clear" w:color="auto" w:fill="FFFFFF"/>
          </w:tcPr>
          <w:p>
            <w:r>
              <w:t>W6</w:t>
            </w:r>
          </w:p>
        </w:tc>
        <w:tc>
          <w:tcPr>
            <w:tcW w:w="482" w:type="dxa"/>
            <w:tcBorders>
              <w:top w:val="single" w:sz="12" w:space="0" w:color="008000"/>
              <w:bottom w:val="single" w:sz="6" w:space="0" w:color="008000"/>
            </w:tcBorders>
            <w:shd w:val="clear" w:color="auto" w:fill="FFFFFF"/>
          </w:tcPr>
          <w:p>
            <w:r>
              <w:t>W7</w:t>
            </w:r>
          </w:p>
        </w:tc>
        <w:tc>
          <w:tcPr>
            <w:tcW w:w="482" w:type="dxa"/>
            <w:tcBorders>
              <w:top w:val="single" w:sz="12" w:space="0" w:color="008000"/>
              <w:bottom w:val="single" w:sz="6" w:space="0" w:color="008000"/>
            </w:tcBorders>
            <w:shd w:val="clear" w:color="auto" w:fill="FFFFFF"/>
          </w:tcPr>
          <w:p>
            <w:r>
              <w:t>W8</w:t>
            </w:r>
          </w:p>
        </w:tc>
        <w:tc>
          <w:tcPr>
            <w:tcW w:w="482" w:type="dxa"/>
            <w:tcBorders>
              <w:top w:val="single" w:sz="12" w:space="0" w:color="008000"/>
              <w:bottom w:val="single" w:sz="6" w:space="0" w:color="008000"/>
            </w:tcBorders>
            <w:shd w:val="clear" w:color="auto" w:fill="FFFFFF"/>
          </w:tcPr>
          <w:p>
            <w:r>
              <w:t>W9</w:t>
            </w:r>
          </w:p>
        </w:tc>
        <w:tc>
          <w:tcPr>
            <w:tcW w:w="482" w:type="dxa"/>
            <w:tcBorders>
              <w:top w:val="single" w:sz="12" w:space="0" w:color="008000"/>
              <w:bottom w:val="single" w:sz="6" w:space="0" w:color="008000"/>
            </w:tcBorders>
            <w:shd w:val="clear" w:color="auto" w:fill="FFFFFF"/>
          </w:tcPr>
          <w:p>
            <w:r>
              <w:t>W10</w:t>
            </w:r>
          </w:p>
        </w:tc>
        <w:tc>
          <w:tcPr>
            <w:tcW w:w="708" w:type="dxa"/>
            <w:tcBorders>
              <w:top w:val="single" w:sz="12" w:space="0" w:color="008000"/>
              <w:bottom w:val="single" w:sz="6" w:space="0" w:color="008000"/>
            </w:tcBorders>
            <w:shd w:val="clear" w:color="auto" w:fill="FFFFFF"/>
          </w:tcPr>
          <w:p>
            <w:r>
              <w:t>Median</w:t>
            </w:r>
          </w:p>
        </w:tc>
        <w:tc>
          <w:tcPr>
            <w:tcW w:w="849" w:type="dxa"/>
            <w:tcBorders>
              <w:top w:val="single" w:sz="12" w:space="0" w:color="008000"/>
              <w:bottom w:val="single" w:sz="6" w:space="0" w:color="008000"/>
            </w:tcBorders>
            <w:shd w:val="clear" w:color="auto" w:fill="FFFFFF"/>
          </w:tcPr>
          <w:p>
            <w:r>
              <w:t>90-Percentile</w:t>
            </w:r>
          </w:p>
        </w:tc>
      </w:tr>
      <w:tr>
        <w:tc>
          <w:tcPr>
            <w:tcW w:w="1026" w:type="dxa"/>
            <w:shd w:val="clear" w:color="auto" w:fill="FFFFFF"/>
          </w:tcPr>
          <w:p>
            <w:r>
              <w:t>B</w:t>
            </w:r>
          </w:p>
        </w:tc>
        <w:tc>
          <w:tcPr>
            <w:tcW w:w="1384" w:type="dxa"/>
            <w:shd w:val="clear" w:color="auto" w:fill="FFFFFF"/>
          </w:tcPr>
          <w:p>
            <w:r>
              <w:t>V. Caupolicán</w:t>
            </w:r>
          </w:p>
        </w:tc>
        <w:tc>
          <w:tcPr>
            <w:tcW w:w="482" w:type="dxa"/>
            <w:shd w:val="clear" w:color="auto" w:fill="FFFFFF"/>
          </w:tcPr>
          <w:p>
            <w:r>
              <w:t>8.3</w:t>
            </w:r>
          </w:p>
        </w:tc>
        <w:tc>
          <w:tcPr>
            <w:tcW w:w="482" w:type="dxa"/>
            <w:shd w:val="clear" w:color="auto" w:fill="FFFFFF"/>
          </w:tcPr>
          <w:p>
            <w:r>
              <w:t>6.9</w:t>
            </w:r>
          </w:p>
        </w:tc>
        <w:tc>
          <w:tcPr>
            <w:tcW w:w="482" w:type="dxa"/>
            <w:shd w:val="clear" w:color="auto" w:fill="FFFFFF"/>
          </w:tcPr>
          <w:p>
            <w:r>
              <w:t>11.5</w:t>
            </w:r>
          </w:p>
        </w:tc>
        <w:tc>
          <w:tcPr>
            <w:tcW w:w="482" w:type="dxa"/>
            <w:shd w:val="clear" w:color="auto" w:fill="FFFFFF"/>
          </w:tcPr>
          <w:p>
            <w:r>
              <w:t>4.4</w:t>
            </w:r>
          </w:p>
        </w:tc>
        <w:tc>
          <w:tcPr>
            <w:tcW w:w="482" w:type="dxa"/>
            <w:shd w:val="clear" w:color="auto" w:fill="FFFFFF"/>
          </w:tcPr>
          <w:p>
            <w:r>
              <w:t>2.8</w:t>
            </w:r>
          </w:p>
        </w:tc>
        <w:tc>
          <w:tcPr>
            <w:tcW w:w="482" w:type="dxa"/>
            <w:shd w:val="clear" w:color="auto" w:fill="FFFFFF"/>
          </w:tcPr>
          <w:p>
            <w:r>
              <w:t>4.2</w:t>
            </w:r>
          </w:p>
        </w:tc>
        <w:tc>
          <w:tcPr>
            <w:tcW w:w="482" w:type="dxa"/>
            <w:shd w:val="clear" w:color="auto" w:fill="FFFFFF"/>
          </w:tcPr>
          <w:p>
            <w:r>
              <w:t>5.4</w:t>
            </w:r>
          </w:p>
        </w:tc>
        <w:tc>
          <w:tcPr>
            <w:tcW w:w="482" w:type="dxa"/>
            <w:shd w:val="clear" w:color="auto" w:fill="FFFFFF"/>
          </w:tcPr>
          <w:p>
            <w:r>
              <w:t>2.7</w:t>
            </w:r>
          </w:p>
        </w:tc>
        <w:tc>
          <w:tcPr>
            <w:tcW w:w="482" w:type="dxa"/>
            <w:shd w:val="clear" w:color="auto" w:fill="FFFFFF"/>
          </w:tcPr>
          <w:p>
            <w:r>
              <w:t>2.3</w:t>
            </w:r>
          </w:p>
        </w:tc>
        <w:tc>
          <w:tcPr>
            <w:tcW w:w="482" w:type="dxa"/>
            <w:shd w:val="clear" w:color="auto" w:fill="FFFFFF"/>
          </w:tcPr>
          <w:p>
            <w:r>
              <w:t>0.0</w:t>
            </w:r>
          </w:p>
        </w:tc>
        <w:tc>
          <w:tcPr>
            <w:tcW w:w="708" w:type="dxa"/>
            <w:shd w:val="clear" w:color="auto" w:fill="FFFFFF"/>
          </w:tcPr>
          <w:p>
            <w:r>
              <w:t>4.3</w:t>
            </w:r>
          </w:p>
        </w:tc>
        <w:tc>
          <w:tcPr>
            <w:tcW w:w="849" w:type="dxa"/>
            <w:shd w:val="clear" w:color="auto" w:fill="FFFFFF"/>
          </w:tcPr>
          <w:p>
            <w:r>
              <w:t>11.2</w:t>
            </w:r>
          </w:p>
        </w:tc>
      </w:tr>
      <w:tr>
        <w:tc>
          <w:tcPr>
            <w:tcW w:w="1026" w:type="dxa"/>
            <w:shd w:val="clear" w:color="auto" w:fill="FFFFFF"/>
          </w:tcPr>
          <w:p>
            <w:r>
              <w:t>C</w:t>
            </w:r>
          </w:p>
        </w:tc>
        <w:tc>
          <w:tcPr>
            <w:tcW w:w="1384" w:type="dxa"/>
            <w:shd w:val="clear" w:color="auto" w:fill="FFFFFF"/>
          </w:tcPr>
          <w:p>
            <w:r>
              <w:t>V. Caupolicán</w:t>
            </w:r>
          </w:p>
        </w:tc>
        <w:tc>
          <w:tcPr>
            <w:tcW w:w="482" w:type="dxa"/>
            <w:shd w:val="clear" w:color="auto" w:fill="FFFFFF"/>
          </w:tcPr>
          <w:p>
            <w:r>
              <w:t>20.1</w:t>
            </w:r>
          </w:p>
        </w:tc>
        <w:tc>
          <w:tcPr>
            <w:tcW w:w="482" w:type="dxa"/>
            <w:shd w:val="clear" w:color="auto" w:fill="FFFFFF"/>
          </w:tcPr>
          <w:p>
            <w:r>
              <w:t>22.0</w:t>
            </w:r>
          </w:p>
        </w:tc>
        <w:tc>
          <w:tcPr>
            <w:tcW w:w="482" w:type="dxa"/>
            <w:shd w:val="clear" w:color="auto" w:fill="FFFFFF"/>
          </w:tcPr>
          <w:p>
            <w:r>
              <w:t>27.2</w:t>
            </w:r>
          </w:p>
        </w:tc>
        <w:tc>
          <w:tcPr>
            <w:tcW w:w="482" w:type="dxa"/>
            <w:shd w:val="clear" w:color="auto" w:fill="FFFFFF"/>
          </w:tcPr>
          <w:p>
            <w:r>
              <w:t>17.7</w:t>
            </w:r>
          </w:p>
        </w:tc>
        <w:tc>
          <w:tcPr>
            <w:tcW w:w="482" w:type="dxa"/>
            <w:shd w:val="clear" w:color="auto" w:fill="FFFFFF"/>
          </w:tcPr>
          <w:p>
            <w:r>
              <w:t>14.8</w:t>
            </w:r>
          </w:p>
        </w:tc>
        <w:tc>
          <w:tcPr>
            <w:tcW w:w="482" w:type="dxa"/>
            <w:shd w:val="clear" w:color="auto" w:fill="FFFFFF"/>
          </w:tcPr>
          <w:p>
            <w:r>
              <w:t>17.5</w:t>
            </w:r>
          </w:p>
        </w:tc>
        <w:tc>
          <w:tcPr>
            <w:tcW w:w="482" w:type="dxa"/>
            <w:shd w:val="clear" w:color="auto" w:fill="FFFFFF"/>
          </w:tcPr>
          <w:p>
            <w:r>
              <w:t>13.7</w:t>
            </w:r>
          </w:p>
        </w:tc>
        <w:tc>
          <w:tcPr>
            <w:tcW w:w="482" w:type="dxa"/>
            <w:shd w:val="clear" w:color="auto" w:fill="FFFFFF"/>
          </w:tcPr>
          <w:p>
            <w:r>
              <w:t>10.7</w:t>
            </w:r>
          </w:p>
        </w:tc>
        <w:tc>
          <w:tcPr>
            <w:tcW w:w="482" w:type="dxa"/>
            <w:shd w:val="clear" w:color="auto" w:fill="FFFFFF"/>
          </w:tcPr>
          <w:p>
            <w:r>
              <w:t>11.0</w:t>
            </w:r>
          </w:p>
        </w:tc>
        <w:tc>
          <w:tcPr>
            <w:tcW w:w="482" w:type="dxa"/>
            <w:shd w:val="clear" w:color="auto" w:fill="FFFFFF"/>
          </w:tcPr>
          <w:p>
            <w:r>
              <w:t>2.5</w:t>
            </w:r>
          </w:p>
        </w:tc>
        <w:tc>
          <w:tcPr>
            <w:tcW w:w="708" w:type="dxa"/>
            <w:shd w:val="clear" w:color="auto" w:fill="FFFFFF"/>
          </w:tcPr>
          <w:p>
            <w:r>
              <w:t>16.1</w:t>
            </w:r>
          </w:p>
        </w:tc>
        <w:tc>
          <w:tcPr>
            <w:tcW w:w="849" w:type="dxa"/>
            <w:shd w:val="clear" w:color="auto" w:fill="FFFFFF"/>
          </w:tcPr>
          <w:p>
            <w:r>
              <w:t>26.7</w:t>
            </w:r>
          </w:p>
        </w:tc>
      </w:tr>
      <w:tr>
        <w:tc>
          <w:tcPr>
            <w:tcW w:w="1026" w:type="dxa"/>
            <w:shd w:val="clear" w:color="auto" w:fill="FFFFFF"/>
          </w:tcPr>
          <w:p>
            <w:r>
              <w:t>D</w:t>
            </w:r>
          </w:p>
        </w:tc>
        <w:tc>
          <w:tcPr>
            <w:tcW w:w="1384" w:type="dxa"/>
            <w:shd w:val="clear" w:color="auto" w:fill="FFFFFF"/>
          </w:tcPr>
          <w:p>
            <w:r>
              <w:t>V. Caupolicán</w:t>
            </w:r>
          </w:p>
        </w:tc>
        <w:tc>
          <w:tcPr>
            <w:tcW w:w="482" w:type="dxa"/>
            <w:shd w:val="clear" w:color="auto" w:fill="FFFFFF"/>
          </w:tcPr>
          <w:p>
            <w:r>
              <w:t>2.6</w:t>
            </w:r>
          </w:p>
        </w:tc>
        <w:tc>
          <w:tcPr>
            <w:tcW w:w="482" w:type="dxa"/>
            <w:shd w:val="clear" w:color="auto" w:fill="FFFFFF"/>
          </w:tcPr>
          <w:p>
            <w:r>
              <w:t>3.5</w:t>
            </w:r>
          </w:p>
        </w:tc>
        <w:tc>
          <w:tcPr>
            <w:tcW w:w="482" w:type="dxa"/>
            <w:shd w:val="clear" w:color="auto" w:fill="FFFFFF"/>
          </w:tcPr>
          <w:p>
            <w:r>
              <w:t>3.3</w:t>
            </w:r>
          </w:p>
        </w:tc>
        <w:tc>
          <w:tcPr>
            <w:tcW w:w="482" w:type="dxa"/>
            <w:shd w:val="clear" w:color="auto" w:fill="FFFFFF"/>
          </w:tcPr>
          <w:p>
            <w:r>
              <w:t>0.8</w:t>
            </w:r>
          </w:p>
        </w:tc>
        <w:tc>
          <w:tcPr>
            <w:tcW w:w="482" w:type="dxa"/>
            <w:shd w:val="clear" w:color="auto" w:fill="FFFFFF"/>
          </w:tcPr>
          <w:p>
            <w:r>
              <w:t>0.5</w:t>
            </w:r>
          </w:p>
        </w:tc>
        <w:tc>
          <w:tcPr>
            <w:tcW w:w="482" w:type="dxa"/>
            <w:shd w:val="clear" w:color="auto" w:fill="FFFFFF"/>
          </w:tcPr>
          <w:p>
            <w:r>
              <w:t>12.3</w:t>
            </w:r>
          </w:p>
        </w:tc>
        <w:tc>
          <w:tcPr>
            <w:tcW w:w="482" w:type="dxa"/>
            <w:shd w:val="clear" w:color="auto" w:fill="FFFFFF"/>
          </w:tcPr>
          <w:p>
            <w:r>
              <w:t>1.4</w:t>
            </w:r>
          </w:p>
        </w:tc>
        <w:tc>
          <w:tcPr>
            <w:tcW w:w="482" w:type="dxa"/>
            <w:shd w:val="clear" w:color="auto" w:fill="FFFFFF"/>
          </w:tcPr>
          <w:p>
            <w:r>
              <w:t>2.2</w:t>
            </w:r>
          </w:p>
        </w:tc>
        <w:tc>
          <w:tcPr>
            <w:tcW w:w="482" w:type="dxa"/>
            <w:shd w:val="clear" w:color="auto" w:fill="FFFFFF"/>
          </w:tcPr>
          <w:p>
            <w:r>
              <w:t>0.0</w:t>
            </w:r>
          </w:p>
        </w:tc>
        <w:tc>
          <w:tcPr>
            <w:tcW w:w="482" w:type="dxa"/>
            <w:shd w:val="clear" w:color="auto" w:fill="FFFFFF"/>
          </w:tcPr>
          <w:p>
            <w:r>
              <w:t>0.0</w:t>
            </w:r>
          </w:p>
        </w:tc>
        <w:tc>
          <w:tcPr>
            <w:tcW w:w="708" w:type="dxa"/>
            <w:shd w:val="clear" w:color="auto" w:fill="FFFFFF"/>
          </w:tcPr>
          <w:p>
            <w:r>
              <w:t>1.8</w:t>
            </w:r>
          </w:p>
        </w:tc>
        <w:tc>
          <w:tcPr>
            <w:tcW w:w="849" w:type="dxa"/>
            <w:shd w:val="clear" w:color="auto" w:fill="FFFFFF"/>
          </w:tcPr>
          <w:p>
            <w:r>
              <w:t>11.4</w:t>
            </w:r>
          </w:p>
        </w:tc>
      </w:tr>
      <w:tr>
        <w:tc>
          <w:tcPr>
            <w:tcW w:w="1026" w:type="dxa"/>
            <w:shd w:val="clear" w:color="auto" w:fill="FFFFFF"/>
          </w:tcPr>
          <w:p>
            <w:r>
              <w:t>E</w:t>
            </w:r>
          </w:p>
        </w:tc>
        <w:tc>
          <w:tcPr>
            <w:tcW w:w="1384" w:type="dxa"/>
            <w:shd w:val="clear" w:color="auto" w:fill="FFFFFF"/>
          </w:tcPr>
          <w:p>
            <w:r>
              <w:t>V. Caupolicán</w:t>
            </w:r>
          </w:p>
        </w:tc>
        <w:tc>
          <w:tcPr>
            <w:tcW w:w="482" w:type="dxa"/>
            <w:shd w:val="clear" w:color="auto" w:fill="FFFFFF"/>
          </w:tcPr>
          <w:p>
            <w:r>
              <w:t>6.3</w:t>
            </w:r>
          </w:p>
        </w:tc>
        <w:tc>
          <w:tcPr>
            <w:tcW w:w="482" w:type="dxa"/>
            <w:shd w:val="clear" w:color="auto" w:fill="FFFFFF"/>
          </w:tcPr>
          <w:p>
            <w:r>
              <w:t>4.8</w:t>
            </w:r>
          </w:p>
        </w:tc>
        <w:tc>
          <w:tcPr>
            <w:tcW w:w="482" w:type="dxa"/>
            <w:shd w:val="clear" w:color="auto" w:fill="FFFFFF"/>
          </w:tcPr>
          <w:p>
            <w:r>
              <w:t>5.9</w:t>
            </w:r>
          </w:p>
        </w:tc>
        <w:tc>
          <w:tcPr>
            <w:tcW w:w="482" w:type="dxa"/>
            <w:shd w:val="clear" w:color="auto" w:fill="FFFFFF"/>
          </w:tcPr>
          <w:p>
            <w:r>
              <w:t>5.9</w:t>
            </w:r>
          </w:p>
        </w:tc>
        <w:tc>
          <w:tcPr>
            <w:tcW w:w="482" w:type="dxa"/>
            <w:shd w:val="clear" w:color="auto" w:fill="FFFFFF"/>
          </w:tcPr>
          <w:p>
            <w:r>
              <w:t>0.0</w:t>
            </w:r>
          </w:p>
        </w:tc>
        <w:tc>
          <w:tcPr>
            <w:tcW w:w="482" w:type="dxa"/>
            <w:shd w:val="clear" w:color="auto" w:fill="FFFFFF"/>
          </w:tcPr>
          <w:p>
            <w:r>
              <w:t>9.3</w:t>
            </w:r>
          </w:p>
        </w:tc>
        <w:tc>
          <w:tcPr>
            <w:tcW w:w="482" w:type="dxa"/>
            <w:shd w:val="clear" w:color="auto" w:fill="FFFFFF"/>
          </w:tcPr>
          <w:p>
            <w:r>
              <w:t>3.2</w:t>
            </w:r>
          </w:p>
        </w:tc>
        <w:tc>
          <w:tcPr>
            <w:tcW w:w="482" w:type="dxa"/>
            <w:shd w:val="clear" w:color="auto" w:fill="FFFFFF"/>
          </w:tcPr>
          <w:p>
            <w:r>
              <w:t>3.0</w:t>
            </w:r>
          </w:p>
        </w:tc>
        <w:tc>
          <w:tcPr>
            <w:tcW w:w="482" w:type="dxa"/>
            <w:shd w:val="clear" w:color="auto" w:fill="FFFFFF"/>
          </w:tcPr>
          <w:p>
            <w:r>
              <w:t>3.1</w:t>
            </w:r>
          </w:p>
        </w:tc>
        <w:tc>
          <w:tcPr>
            <w:tcW w:w="482" w:type="dxa"/>
            <w:shd w:val="clear" w:color="auto" w:fill="FFFFFF"/>
          </w:tcPr>
          <w:p>
            <w:r>
              <w:t>0.0</w:t>
            </w:r>
          </w:p>
        </w:tc>
        <w:tc>
          <w:tcPr>
            <w:tcW w:w="708" w:type="dxa"/>
            <w:shd w:val="clear" w:color="auto" w:fill="FFFFFF"/>
          </w:tcPr>
          <w:p>
            <w:r>
              <w:t>4.0</w:t>
            </w:r>
          </w:p>
        </w:tc>
        <w:tc>
          <w:tcPr>
            <w:tcW w:w="849" w:type="dxa"/>
            <w:shd w:val="clear" w:color="auto" w:fill="FFFFFF"/>
          </w:tcPr>
          <w:p>
            <w:r>
              <w:t>9.0</w:t>
            </w:r>
          </w:p>
        </w:tc>
      </w:tr>
      <w:tr>
        <w:tc>
          <w:tcPr>
            <w:tcW w:w="1026" w:type="dxa"/>
            <w:shd w:val="clear" w:color="auto" w:fill="FFFFFF"/>
          </w:tcPr>
          <w:p>
            <w:r>
              <w:t>F</w:t>
            </w:r>
          </w:p>
        </w:tc>
        <w:tc>
          <w:tcPr>
            <w:tcW w:w="1384" w:type="dxa"/>
            <w:shd w:val="clear" w:color="auto" w:fill="FFFFFF"/>
          </w:tcPr>
          <w:p>
            <w:r>
              <w:t xml:space="preserve">V. Caupolicán </w:t>
            </w:r>
          </w:p>
        </w:tc>
        <w:tc>
          <w:tcPr>
            <w:tcW w:w="482" w:type="dxa"/>
            <w:shd w:val="clear" w:color="auto" w:fill="FFFFFF"/>
          </w:tcPr>
          <w:p>
            <w:r>
              <w:t>19.1</w:t>
            </w:r>
          </w:p>
        </w:tc>
        <w:tc>
          <w:tcPr>
            <w:tcW w:w="482" w:type="dxa"/>
            <w:shd w:val="clear" w:color="auto" w:fill="FFFFFF"/>
          </w:tcPr>
          <w:p>
            <w:r>
              <w:t>16.8</w:t>
            </w:r>
          </w:p>
        </w:tc>
        <w:tc>
          <w:tcPr>
            <w:tcW w:w="482" w:type="dxa"/>
            <w:shd w:val="clear" w:color="auto" w:fill="FFFFFF"/>
          </w:tcPr>
          <w:p>
            <w:r>
              <w:t>22.5</w:t>
            </w:r>
          </w:p>
        </w:tc>
        <w:tc>
          <w:tcPr>
            <w:tcW w:w="482" w:type="dxa"/>
            <w:shd w:val="clear" w:color="auto" w:fill="FFFFFF"/>
          </w:tcPr>
          <w:p>
            <w:r>
              <w:t>21.2</w:t>
            </w:r>
          </w:p>
        </w:tc>
        <w:tc>
          <w:tcPr>
            <w:tcW w:w="482" w:type="dxa"/>
            <w:shd w:val="clear" w:color="auto" w:fill="FFFFFF"/>
          </w:tcPr>
          <w:p>
            <w:r>
              <w:t>9.9</w:t>
            </w:r>
          </w:p>
        </w:tc>
        <w:tc>
          <w:tcPr>
            <w:tcW w:w="482" w:type="dxa"/>
            <w:shd w:val="clear" w:color="auto" w:fill="FFFFFF"/>
          </w:tcPr>
          <w:p>
            <w:r>
              <w:t>13.3</w:t>
            </w:r>
          </w:p>
        </w:tc>
        <w:tc>
          <w:tcPr>
            <w:tcW w:w="482" w:type="dxa"/>
            <w:shd w:val="clear" w:color="auto" w:fill="FFFFFF"/>
          </w:tcPr>
          <w:p>
            <w:r>
              <w:t>13.1</w:t>
            </w:r>
          </w:p>
        </w:tc>
        <w:tc>
          <w:tcPr>
            <w:tcW w:w="482" w:type="dxa"/>
            <w:shd w:val="clear" w:color="auto" w:fill="FFFFFF"/>
          </w:tcPr>
          <w:p>
            <w:r>
              <w:t>7.9</w:t>
            </w:r>
          </w:p>
        </w:tc>
        <w:tc>
          <w:tcPr>
            <w:tcW w:w="482" w:type="dxa"/>
            <w:shd w:val="clear" w:color="auto" w:fill="FFFFFF"/>
          </w:tcPr>
          <w:p>
            <w:r>
              <w:t>10.3</w:t>
            </w:r>
          </w:p>
        </w:tc>
        <w:tc>
          <w:tcPr>
            <w:tcW w:w="482" w:type="dxa"/>
            <w:shd w:val="clear" w:color="auto" w:fill="FFFFFF"/>
          </w:tcPr>
          <w:p>
            <w:r>
              <w:t>6.3</w:t>
            </w:r>
          </w:p>
        </w:tc>
        <w:tc>
          <w:tcPr>
            <w:tcW w:w="708" w:type="dxa"/>
            <w:shd w:val="clear" w:color="auto" w:fill="FFFFFF"/>
          </w:tcPr>
          <w:p>
            <w:r>
              <w:t>13.2</w:t>
            </w:r>
          </w:p>
        </w:tc>
        <w:tc>
          <w:tcPr>
            <w:tcW w:w="849" w:type="dxa"/>
            <w:shd w:val="clear" w:color="auto" w:fill="FFFFFF"/>
          </w:tcPr>
          <w:p>
            <w:r>
              <w:t>22.3</w:t>
            </w:r>
          </w:p>
        </w:tc>
      </w:tr>
      <w:tr>
        <w:tc>
          <w:tcPr>
            <w:tcW w:w="1026" w:type="dxa"/>
            <w:shd w:val="clear" w:color="auto" w:fill="FFFFFF"/>
          </w:tcPr>
          <w:p>
            <w:r>
              <w:t>G</w:t>
            </w:r>
          </w:p>
        </w:tc>
        <w:tc>
          <w:tcPr>
            <w:tcW w:w="1384" w:type="dxa"/>
            <w:shd w:val="clear" w:color="auto" w:fill="FFFFFF"/>
          </w:tcPr>
          <w:p>
            <w:r>
              <w:t>Kintupi Ruca</w:t>
            </w:r>
          </w:p>
        </w:tc>
        <w:tc>
          <w:tcPr>
            <w:tcW w:w="482" w:type="dxa"/>
            <w:shd w:val="clear" w:color="auto" w:fill="FFFFFF"/>
          </w:tcPr>
          <w:p>
            <w:r>
              <w:t>21.6</w:t>
            </w:r>
          </w:p>
        </w:tc>
        <w:tc>
          <w:tcPr>
            <w:tcW w:w="482" w:type="dxa"/>
            <w:shd w:val="clear" w:color="auto" w:fill="FFFFFF"/>
          </w:tcPr>
          <w:p>
            <w:r>
              <w:t>20.5</w:t>
            </w:r>
          </w:p>
        </w:tc>
        <w:tc>
          <w:tcPr>
            <w:tcW w:w="482" w:type="dxa"/>
            <w:shd w:val="clear" w:color="auto" w:fill="FFFFFF"/>
          </w:tcPr>
          <w:p>
            <w:r>
              <w:t>27.5</w:t>
            </w:r>
          </w:p>
        </w:tc>
        <w:tc>
          <w:tcPr>
            <w:tcW w:w="482" w:type="dxa"/>
            <w:shd w:val="clear" w:color="auto" w:fill="FFFFFF"/>
          </w:tcPr>
          <w:p>
            <w:r>
              <w:t>25.2</w:t>
            </w:r>
          </w:p>
        </w:tc>
        <w:tc>
          <w:tcPr>
            <w:tcW w:w="482" w:type="dxa"/>
            <w:shd w:val="clear" w:color="auto" w:fill="FFFFFF"/>
          </w:tcPr>
          <w:p>
            <w:r>
              <w:t>15.1</w:t>
            </w:r>
          </w:p>
        </w:tc>
        <w:tc>
          <w:tcPr>
            <w:tcW w:w="482" w:type="dxa"/>
            <w:shd w:val="clear" w:color="auto" w:fill="FFFFFF"/>
          </w:tcPr>
          <w:p>
            <w:r>
              <w:t>12.1</w:t>
            </w:r>
          </w:p>
        </w:tc>
        <w:tc>
          <w:tcPr>
            <w:tcW w:w="482" w:type="dxa"/>
            <w:shd w:val="clear" w:color="auto" w:fill="FFFFFF"/>
          </w:tcPr>
          <w:p>
            <w:r>
              <w:t>17.4</w:t>
            </w:r>
          </w:p>
        </w:tc>
        <w:tc>
          <w:tcPr>
            <w:tcW w:w="482" w:type="dxa"/>
            <w:shd w:val="clear" w:color="auto" w:fill="FFFFFF"/>
          </w:tcPr>
          <w:p>
            <w:r>
              <w:t>8.1</w:t>
            </w:r>
          </w:p>
        </w:tc>
        <w:tc>
          <w:tcPr>
            <w:tcW w:w="482" w:type="dxa"/>
            <w:shd w:val="clear" w:color="auto" w:fill="FFFFFF"/>
          </w:tcPr>
          <w:p>
            <w:r>
              <w:t>10.6</w:t>
            </w:r>
          </w:p>
        </w:tc>
        <w:tc>
          <w:tcPr>
            <w:tcW w:w="482" w:type="dxa"/>
            <w:shd w:val="clear" w:color="auto" w:fill="FFFFFF"/>
          </w:tcPr>
          <w:p>
            <w:r>
              <w:t>9.4</w:t>
            </w:r>
          </w:p>
        </w:tc>
        <w:tc>
          <w:tcPr>
            <w:tcW w:w="708" w:type="dxa"/>
            <w:shd w:val="clear" w:color="auto" w:fill="FFFFFF"/>
          </w:tcPr>
          <w:p>
            <w:r>
              <w:t>16.3</w:t>
            </w:r>
          </w:p>
        </w:tc>
        <w:tc>
          <w:tcPr>
            <w:tcW w:w="849" w:type="dxa"/>
            <w:shd w:val="clear" w:color="auto" w:fill="FFFFFF"/>
          </w:tcPr>
          <w:p>
            <w:r>
              <w:t>27.2</w:t>
            </w:r>
          </w:p>
        </w:tc>
      </w:tr>
      <w:tr>
        <w:tc>
          <w:tcPr>
            <w:tcW w:w="1026" w:type="dxa"/>
            <w:shd w:val="clear" w:color="auto" w:fill="FFFFFF"/>
          </w:tcPr>
          <w:p>
            <w:r>
              <w:t>O</w:t>
            </w:r>
          </w:p>
        </w:tc>
        <w:tc>
          <w:tcPr>
            <w:tcW w:w="1384" w:type="dxa"/>
            <w:shd w:val="clear" w:color="auto" w:fill="FFFFFF"/>
          </w:tcPr>
          <w:p>
            <w:r>
              <w:t>Kintupi Ruca</w:t>
            </w:r>
          </w:p>
        </w:tc>
        <w:tc>
          <w:tcPr>
            <w:tcW w:w="482" w:type="dxa"/>
            <w:shd w:val="clear" w:color="auto" w:fill="FFFFFF"/>
          </w:tcPr>
          <w:p>
            <w:r>
              <w:t>9.3</w:t>
            </w:r>
          </w:p>
        </w:tc>
        <w:tc>
          <w:tcPr>
            <w:tcW w:w="482" w:type="dxa"/>
            <w:shd w:val="clear" w:color="auto" w:fill="FFFFFF"/>
          </w:tcPr>
          <w:p>
            <w:r>
              <w:t>9.7</w:t>
            </w:r>
          </w:p>
        </w:tc>
        <w:tc>
          <w:tcPr>
            <w:tcW w:w="482" w:type="dxa"/>
            <w:shd w:val="clear" w:color="auto" w:fill="FFFFFF"/>
          </w:tcPr>
          <w:p>
            <w:r>
              <w:t>10.3</w:t>
            </w:r>
          </w:p>
        </w:tc>
        <w:tc>
          <w:tcPr>
            <w:tcW w:w="482" w:type="dxa"/>
            <w:shd w:val="clear" w:color="auto" w:fill="FFFFFF"/>
          </w:tcPr>
          <w:p>
            <w:r>
              <w:t>11.7</w:t>
            </w:r>
          </w:p>
        </w:tc>
        <w:tc>
          <w:tcPr>
            <w:tcW w:w="482" w:type="dxa"/>
            <w:shd w:val="clear" w:color="auto" w:fill="FFFFFF"/>
          </w:tcPr>
          <w:p>
            <w:r>
              <w:t>7.3</w:t>
            </w:r>
          </w:p>
        </w:tc>
        <w:tc>
          <w:tcPr>
            <w:tcW w:w="482" w:type="dxa"/>
            <w:shd w:val="clear" w:color="auto" w:fill="FFFFFF"/>
          </w:tcPr>
          <w:p>
            <w:r>
              <w:t>2.5</w:t>
            </w:r>
          </w:p>
        </w:tc>
        <w:tc>
          <w:tcPr>
            <w:tcW w:w="482" w:type="dxa"/>
            <w:shd w:val="clear" w:color="auto" w:fill="FFFFFF"/>
          </w:tcPr>
          <w:p>
            <w:r>
              <w:t>6.6</w:t>
            </w:r>
          </w:p>
        </w:tc>
        <w:tc>
          <w:tcPr>
            <w:tcW w:w="482" w:type="dxa"/>
            <w:shd w:val="clear" w:color="auto" w:fill="FFFFFF"/>
          </w:tcPr>
          <w:p>
            <w:r>
              <w:t>3.2</w:t>
            </w:r>
          </w:p>
        </w:tc>
        <w:tc>
          <w:tcPr>
            <w:tcW w:w="482" w:type="dxa"/>
            <w:shd w:val="clear" w:color="auto" w:fill="FFFFFF"/>
          </w:tcPr>
          <w:p>
            <w:r>
              <w:t>5.1</w:t>
            </w:r>
          </w:p>
        </w:tc>
        <w:tc>
          <w:tcPr>
            <w:tcW w:w="482" w:type="dxa"/>
            <w:shd w:val="clear" w:color="auto" w:fill="FFFFFF"/>
          </w:tcPr>
          <w:p>
            <w:r>
              <w:t>3.1</w:t>
            </w:r>
          </w:p>
        </w:tc>
        <w:tc>
          <w:tcPr>
            <w:tcW w:w="708" w:type="dxa"/>
            <w:shd w:val="clear" w:color="auto" w:fill="FFFFFF"/>
          </w:tcPr>
          <w:p>
            <w:r>
              <w:t>6.9</w:t>
            </w:r>
          </w:p>
        </w:tc>
        <w:tc>
          <w:tcPr>
            <w:tcW w:w="849" w:type="dxa"/>
            <w:shd w:val="clear" w:color="auto" w:fill="FFFFFF"/>
          </w:tcPr>
          <w:p>
            <w:r>
              <w:t>11.6</w:t>
            </w:r>
          </w:p>
        </w:tc>
      </w:tr>
      <w:tr>
        <w:tc>
          <w:tcPr>
            <w:tcW w:w="1026" w:type="dxa"/>
            <w:shd w:val="clear" w:color="auto" w:fill="FFFFFF"/>
          </w:tcPr>
          <w:p>
            <w:r>
              <w:t>P</w:t>
            </w:r>
          </w:p>
        </w:tc>
        <w:tc>
          <w:tcPr>
            <w:tcW w:w="1384" w:type="dxa"/>
            <w:shd w:val="clear" w:color="auto" w:fill="FFFFFF"/>
          </w:tcPr>
          <w:p>
            <w:r>
              <w:t>V. Caupolicán</w:t>
            </w:r>
          </w:p>
        </w:tc>
        <w:tc>
          <w:tcPr>
            <w:tcW w:w="482" w:type="dxa"/>
            <w:shd w:val="clear" w:color="auto" w:fill="FFFFFF"/>
          </w:tcPr>
          <w:p>
            <w:r>
              <w:t>23.2</w:t>
            </w:r>
          </w:p>
        </w:tc>
        <w:tc>
          <w:tcPr>
            <w:tcW w:w="482" w:type="dxa"/>
            <w:shd w:val="clear" w:color="auto" w:fill="FFFFFF"/>
          </w:tcPr>
          <w:p>
            <w:r>
              <w:t>25.2</w:t>
            </w:r>
          </w:p>
        </w:tc>
        <w:tc>
          <w:tcPr>
            <w:tcW w:w="482" w:type="dxa"/>
            <w:shd w:val="clear" w:color="auto" w:fill="FFFFFF"/>
          </w:tcPr>
          <w:p>
            <w:r>
              <w:t>29.7</w:t>
            </w:r>
          </w:p>
        </w:tc>
        <w:tc>
          <w:tcPr>
            <w:tcW w:w="482" w:type="dxa"/>
            <w:shd w:val="clear" w:color="auto" w:fill="FFFFFF"/>
          </w:tcPr>
          <w:p>
            <w:r>
              <w:t>23.1</w:t>
            </w:r>
          </w:p>
        </w:tc>
        <w:tc>
          <w:tcPr>
            <w:tcW w:w="482" w:type="dxa"/>
            <w:shd w:val="clear" w:color="auto" w:fill="FFFFFF"/>
          </w:tcPr>
          <w:p>
            <w:r>
              <w:t>18.8</w:t>
            </w:r>
          </w:p>
        </w:tc>
        <w:tc>
          <w:tcPr>
            <w:tcW w:w="482" w:type="dxa"/>
            <w:shd w:val="clear" w:color="auto" w:fill="FFFFFF"/>
          </w:tcPr>
          <w:p>
            <w:r>
              <w:t>25.1</w:t>
            </w:r>
          </w:p>
        </w:tc>
        <w:tc>
          <w:tcPr>
            <w:tcW w:w="482" w:type="dxa"/>
            <w:shd w:val="clear" w:color="auto" w:fill="FFFFFF"/>
          </w:tcPr>
          <w:p>
            <w:r>
              <w:t>16.1</w:t>
            </w:r>
          </w:p>
        </w:tc>
        <w:tc>
          <w:tcPr>
            <w:tcW w:w="482" w:type="dxa"/>
            <w:shd w:val="clear" w:color="auto" w:fill="FFFFFF"/>
          </w:tcPr>
          <w:p>
            <w:r>
              <w:t>12.5</w:t>
            </w:r>
          </w:p>
        </w:tc>
        <w:tc>
          <w:tcPr>
            <w:tcW w:w="482" w:type="dxa"/>
            <w:shd w:val="clear" w:color="auto" w:fill="FFFFFF"/>
          </w:tcPr>
          <w:p>
            <w:r>
              <w:t>14.3</w:t>
            </w:r>
          </w:p>
        </w:tc>
        <w:tc>
          <w:tcPr>
            <w:tcW w:w="482" w:type="dxa"/>
            <w:shd w:val="clear" w:color="auto" w:fill="FFFFFF"/>
          </w:tcPr>
          <w:p>
            <w:r>
              <w:t>6.7</w:t>
            </w:r>
          </w:p>
        </w:tc>
        <w:tc>
          <w:tcPr>
            <w:tcW w:w="708" w:type="dxa"/>
            <w:shd w:val="clear" w:color="auto" w:fill="FFFFFF"/>
          </w:tcPr>
          <w:p>
            <w:r>
              <w:t>20.9</w:t>
            </w:r>
          </w:p>
        </w:tc>
        <w:tc>
          <w:tcPr>
            <w:tcW w:w="849" w:type="dxa"/>
            <w:shd w:val="clear" w:color="auto" w:fill="FFFFFF"/>
          </w:tcPr>
          <w:p>
            <w:r>
              <w:t>29.2</w:t>
            </w:r>
          </w:p>
        </w:tc>
      </w:tr>
      <w:tr>
        <w:tc>
          <w:tcPr>
            <w:tcW w:w="1026" w:type="dxa"/>
            <w:shd w:val="clear" w:color="auto" w:fill="FFFFFF"/>
          </w:tcPr>
          <w:p>
            <w:r>
              <w:t>Q</w:t>
            </w:r>
          </w:p>
        </w:tc>
        <w:tc>
          <w:tcPr>
            <w:tcW w:w="1384" w:type="dxa"/>
            <w:shd w:val="clear" w:color="auto" w:fill="FFFFFF"/>
          </w:tcPr>
          <w:p>
            <w:r>
              <w:t>V. Caupolicán</w:t>
            </w:r>
          </w:p>
        </w:tc>
        <w:tc>
          <w:tcPr>
            <w:tcW w:w="482" w:type="dxa"/>
            <w:shd w:val="clear" w:color="auto" w:fill="FFFFFF"/>
          </w:tcPr>
          <w:p>
            <w:r>
              <w:t>15.5</w:t>
            </w:r>
          </w:p>
        </w:tc>
        <w:tc>
          <w:tcPr>
            <w:tcW w:w="482" w:type="dxa"/>
            <w:shd w:val="clear" w:color="auto" w:fill="FFFFFF"/>
          </w:tcPr>
          <w:p>
            <w:r>
              <w:t>18.1</w:t>
            </w:r>
          </w:p>
        </w:tc>
        <w:tc>
          <w:tcPr>
            <w:tcW w:w="482" w:type="dxa"/>
            <w:shd w:val="clear" w:color="auto" w:fill="FFFFFF"/>
          </w:tcPr>
          <w:p>
            <w:r>
              <w:t>22.9</w:t>
            </w:r>
          </w:p>
        </w:tc>
        <w:tc>
          <w:tcPr>
            <w:tcW w:w="482" w:type="dxa"/>
            <w:shd w:val="clear" w:color="auto" w:fill="FFFFFF"/>
          </w:tcPr>
          <w:p>
            <w:r>
              <w:t>13.7</w:t>
            </w:r>
          </w:p>
        </w:tc>
        <w:tc>
          <w:tcPr>
            <w:tcW w:w="482" w:type="dxa"/>
            <w:shd w:val="clear" w:color="auto" w:fill="FFFFFF"/>
          </w:tcPr>
          <w:p>
            <w:r>
              <w:t>13.5</w:t>
            </w:r>
          </w:p>
        </w:tc>
        <w:tc>
          <w:tcPr>
            <w:tcW w:w="482" w:type="dxa"/>
            <w:shd w:val="clear" w:color="auto" w:fill="FFFFFF"/>
          </w:tcPr>
          <w:p>
            <w:r>
              <w:t>13.6</w:t>
            </w:r>
          </w:p>
        </w:tc>
        <w:tc>
          <w:tcPr>
            <w:tcW w:w="482" w:type="dxa"/>
            <w:shd w:val="clear" w:color="auto" w:fill="FFFFFF"/>
          </w:tcPr>
          <w:p>
            <w:r>
              <w:t>12.4</w:t>
            </w:r>
          </w:p>
        </w:tc>
        <w:tc>
          <w:tcPr>
            <w:tcW w:w="482" w:type="dxa"/>
            <w:shd w:val="clear" w:color="auto" w:fill="FFFFFF"/>
          </w:tcPr>
          <w:p>
            <w:r>
              <w:t>12.5</w:t>
            </w:r>
          </w:p>
        </w:tc>
        <w:tc>
          <w:tcPr>
            <w:tcW w:w="482" w:type="dxa"/>
            <w:shd w:val="clear" w:color="auto" w:fill="FFFFFF"/>
          </w:tcPr>
          <w:p>
            <w:r>
              <w:t>7.8</w:t>
            </w:r>
          </w:p>
        </w:tc>
        <w:tc>
          <w:tcPr>
            <w:tcW w:w="482" w:type="dxa"/>
            <w:shd w:val="clear" w:color="auto" w:fill="FFFFFF"/>
          </w:tcPr>
          <w:p>
            <w:r>
              <w:t>2.0</w:t>
            </w:r>
          </w:p>
        </w:tc>
        <w:tc>
          <w:tcPr>
            <w:tcW w:w="708" w:type="dxa"/>
            <w:shd w:val="clear" w:color="auto" w:fill="FFFFFF"/>
          </w:tcPr>
          <w:p>
            <w:r>
              <w:t>13.5</w:t>
            </w:r>
          </w:p>
        </w:tc>
        <w:tc>
          <w:tcPr>
            <w:tcW w:w="849" w:type="dxa"/>
            <w:shd w:val="clear" w:color="auto" w:fill="FFFFFF"/>
          </w:tcPr>
          <w:p>
            <w:r>
              <w:t>22.5</w:t>
            </w:r>
          </w:p>
        </w:tc>
      </w:tr>
    </w:tbl>
    <w:p>
      <w:pPr>
        <w:pStyle w:val="CETBodytext"/>
        <w:rPr>
          <w:lang w:val="en-GB"/>
        </w:rPr>
      </w:pPr>
      <w:r>
        <w:rPr>
          <w:lang w:val="en-GB"/>
        </w:rPr>
        <w:lastRenderedPageBreak/>
        <w:t>The annoyance index declined from week eight onwards the end of the summer period, due to lower temperatures and more favourable meteorological conditions in general. Figure 4 (right) shows the median annoyance index for the different assessment zones.</w:t>
      </w:r>
    </w:p>
    <w:p>
      <w:pPr>
        <w:pStyle w:val="CETBodytext"/>
        <w:rPr>
          <w:lang w:val="en-GB"/>
        </w:rPr>
      </w:pPr>
    </w:p>
    <w:p>
      <w:pPr>
        <w:pStyle w:val="CETBodytext"/>
        <w:rPr>
          <w:lang w:val="en-GB"/>
        </w:rPr>
      </w:pPr>
      <w:r>
        <w:rPr>
          <w:noProof/>
          <w:lang w:val="es-CL" w:eastAsia="es-CL"/>
        </w:rPr>
        <w:drawing>
          <wp:inline distT="114300" distB="114300" distL="114300" distR="114300">
            <wp:extent cx="2522220" cy="2758440"/>
            <wp:effectExtent l="0" t="0" r="508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l="15249" r="27222" b="3875"/>
                    <a:stretch>
                      <a:fillRect/>
                    </a:stretch>
                  </pic:blipFill>
                  <pic:spPr>
                    <a:xfrm>
                      <a:off x="0" y="0"/>
                      <a:ext cx="2522220" cy="2758440"/>
                    </a:xfrm>
                    <a:prstGeom prst="rect">
                      <a:avLst/>
                    </a:prstGeom>
                    <a:ln/>
                  </pic:spPr>
                </pic:pic>
              </a:graphicData>
            </a:graphic>
          </wp:inline>
        </w:drawing>
      </w:r>
      <w:r>
        <w:rPr>
          <w:lang w:val="en-GB"/>
        </w:rPr>
        <w:t xml:space="preserve"> </w:t>
      </w:r>
      <w:r>
        <w:rPr>
          <w:noProof/>
          <w:lang w:val="es-CL" w:eastAsia="es-CL"/>
        </w:rPr>
        <w:drawing>
          <wp:inline distT="114300" distB="114300" distL="114300" distR="114300">
            <wp:extent cx="2453640" cy="275844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2453908" cy="2758741"/>
                    </a:xfrm>
                    <a:prstGeom prst="rect">
                      <a:avLst/>
                    </a:prstGeom>
                    <a:ln/>
                  </pic:spPr>
                </pic:pic>
              </a:graphicData>
            </a:graphic>
          </wp:inline>
        </w:drawing>
      </w:r>
    </w:p>
    <w:p>
      <w:pPr>
        <w:pStyle w:val="CETCaption"/>
      </w:pPr>
      <w:r>
        <w:t>Figure 4: Assessment square-related odour impact characteristics determined with coordinated citizen observations (left). Median annoyance index (right). Odour sources are indicated by yellow lines.</w:t>
      </w:r>
    </w:p>
    <w:p>
      <w:pPr>
        <w:pStyle w:val="CETHeading1"/>
        <w:rPr>
          <w:lang w:val="en-GB"/>
        </w:rPr>
      </w:pPr>
      <w:r>
        <w:rPr>
          <w:lang w:val="en-GB"/>
        </w:rPr>
        <w:t>Conclusions</w:t>
      </w:r>
    </w:p>
    <w:p>
      <w:pPr>
        <w:pStyle w:val="CETBodytext"/>
        <w:rPr>
          <w:lang w:val="en-GB"/>
        </w:rPr>
      </w:pPr>
      <w:r>
        <w:rPr>
          <w:lang w:val="en-GB"/>
        </w:rPr>
        <w:t>In odour studies, citizens are usually not considered as independent and objective sensors. This study has showed drawbacks and potentials of combining three different approaches in which citizens takes an active role: 1) Odour annoyance assessment through questionnaires; 2) Citizen observations when the annoyance is perceived; 3) Citizens panellist that gather information systematically. Results showed that less than 10% of observations were classified as “no odour”, highlighting the persistence of the problem perceived in the area. Waste water related assessment square odour impact characteristics exceed by far those obtained by field inspections with trained assessors. This may indicate higher intolerance to these types of odours. The data collection method can be considered as hybrid between field inspection and repeated brief surveying citizen panellists. The adapted odour annoyance index seems to give more accurate results for each assessment square compared to the odour impact characteristics results, as odour observations are weighted by odour intensity as simplified equivalent for odour annoyance. The results indicate a probable stronger impact by the pumping station than the WWTP itself. Local problems in the vicinity to the main sewer leading to the pumping station also must be further investigated and quantified to reduce emissions.</w:t>
      </w:r>
    </w:p>
    <w:p>
      <w:pPr>
        <w:pStyle w:val="CETAcknowledgementstitle"/>
      </w:pPr>
      <w:r>
        <w:t>Acknowledgments</w:t>
      </w:r>
    </w:p>
    <w:p>
      <w:pPr>
        <w:pStyle w:val="CETBodytext"/>
        <w:rPr>
          <w:lang w:val="en-GB"/>
        </w:rPr>
      </w:pPr>
      <w:r>
        <w:rPr>
          <w:lang w:val="en-GB"/>
        </w:rPr>
        <w:t>This project has received funding from the European Union’s Horizon 2020 Research and Innovation Programme under Grant Agreement No 789315. This study was possible due to the participation of the citizens of Los Alamos.</w:t>
      </w:r>
    </w:p>
    <w:p>
      <w:pPr>
        <w:pStyle w:val="CETReference"/>
      </w:pPr>
      <w:r>
        <w:t>References</w:t>
      </w:r>
    </w:p>
    <w:p>
      <w:pPr>
        <w:pStyle w:val="CETReferencetext"/>
      </w:pPr>
      <w:r>
        <w:t xml:space="preserve">Arias R, Romero Gonzalo F. and Motjer Ayats E, 2019, Citizen </w:t>
      </w:r>
      <w:proofErr w:type="gramStart"/>
      <w:r>
        <w:t>science</w:t>
      </w:r>
      <w:proofErr w:type="gramEnd"/>
      <w:r>
        <w:t xml:space="preserve"> for odour impact assessment considering the real perception of the receptors: The case of Barcelona. In proceedings of Sardinia Symposium 2019: The 17th International Waste Management and Landfill Symposium.</w:t>
      </w:r>
    </w:p>
    <w:p>
      <w:pPr>
        <w:pStyle w:val="CETReferencetext"/>
      </w:pPr>
      <w:r>
        <w:t>Balestrini M., Creus J., Errandonea L., Arias R., Salas N., 2018, Map of odour issues and priorities. Multilevel engagement plan for stakeholders and communities, D-NOSES, H2020-SwafS-23-2017-789315. &lt;dnoses.eu/wp-content/uploads/2019/01/D4.1-Map-of-Odour-Issues.pdf&gt; accessed 03.04.2020.</w:t>
      </w:r>
    </w:p>
    <w:p>
      <w:pPr>
        <w:pStyle w:val="CETReferencetext"/>
      </w:pPr>
      <w:r>
        <w:t>Foth M., Axup, J., 2006, Participatory Design and Action Research: Identical Twins or Synergetic Pair? In: G. Jacucci, F. Kensing, I. Wagner, J. Blomberg (Eds.) Participatory Design Conference 2006: Expanding Boundaries in Design, August 1-5, Trento, Italy.</w:t>
      </w:r>
    </w:p>
    <w:sectPr>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ET Top_pag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pPr>
      <w:keepNext/>
      <w:suppressAutoHyphens/>
      <w:spacing w:after="120"/>
    </w:pPr>
    <w:rPr>
      <w:noProof/>
      <w:sz w:val="24"/>
      <w:lang w:val="en-GB"/>
    </w:rPr>
  </w:style>
  <w:style w:type="paragraph" w:customStyle="1" w:styleId="CETTitle">
    <w:name w:val="CET Title"/>
    <w:next w:val="CETAuthors"/>
    <w:link w:val="CETTitleCarattere"/>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Pr>
      <w:rFonts w:ascii="Arial" w:eastAsia="Times New Roman" w:hAnsi="Arial" w:cs="Times New Roman"/>
      <w:noProof/>
      <w:sz w:val="24"/>
      <w:szCs w:val="20"/>
      <w:lang w:val="en-GB"/>
    </w:rPr>
  </w:style>
  <w:style w:type="character" w:customStyle="1" w:styleId="CETTitleCarattere">
    <w:name w:val="CET Title Carattere"/>
    <w:link w:val="CETTitle"/>
    <w:rPr>
      <w:rFonts w:ascii="Arial" w:eastAsia="Times New Roman" w:hAnsi="Arial" w:cs="Times New Roman"/>
      <w:sz w:val="32"/>
      <w:szCs w:val="20"/>
      <w:lang w:val="en-GB"/>
    </w:rPr>
  </w:style>
  <w:style w:type="paragraph" w:customStyle="1" w:styleId="CETHeading1">
    <w:name w:val="CET Heading1"/>
    <w:next w:val="CETBodytext"/>
    <w:qFormat/>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Pr>
      <w:rFonts w:ascii="Arial" w:eastAsia="Times New Roman" w:hAnsi="Arial" w:cs="Times New Roman"/>
      <w:sz w:val="18"/>
      <w:szCs w:val="20"/>
      <w:lang w:val="en-US"/>
    </w:rPr>
  </w:style>
  <w:style w:type="paragraph" w:customStyle="1" w:styleId="CETReference">
    <w:name w:val="CET Reference"/>
    <w:qFormat/>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Pr>
      <w:rFonts w:ascii="Arial" w:eastAsia="Times New Roman" w:hAnsi="Arial" w:cs="Times New Roman"/>
      <w:b/>
      <w:sz w:val="18"/>
      <w:szCs w:val="20"/>
      <w:lang w:val="en-US"/>
    </w:rPr>
  </w:style>
  <w:style w:type="character" w:customStyle="1" w:styleId="CETCaptionCarattere">
    <w:name w:val="CET Caption Carattere"/>
    <w:link w:val="CETCaption"/>
    <w:rPr>
      <w:rFonts w:ascii="Arial" w:eastAsia="Times New Roman" w:hAnsi="Arial" w:cs="Times New Roman"/>
      <w:i/>
      <w:sz w:val="18"/>
      <w:szCs w:val="20"/>
      <w:lang w:val="en-GB"/>
    </w:rPr>
  </w:style>
  <w:style w:type="paragraph" w:customStyle="1" w:styleId="CETBodytextItalic">
    <w:name w:val="CET Body text (Italic)"/>
    <w:basedOn w:val="CETBodytext"/>
    <w:qFormat/>
    <w:rPr>
      <w:i/>
      <w:lang w:val="en-GB"/>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Bibliografa">
    <w:name w:val="Bibliography"/>
    <w:basedOn w:val="CETReferencetext"/>
    <w:uiPriority w:val="37"/>
    <w:unhideWhenUsed/>
    <w:pPr>
      <w:spacing w:line="240" w:lineRule="auto"/>
      <w:ind w:left="720" w:hanging="720"/>
    </w:pPr>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3">
    <w:name w:val="Body Text 3"/>
    <w:basedOn w:val="Normal"/>
    <w:link w:val="Textoindependiente3Car"/>
    <w:uiPriority w:val="99"/>
    <w:semiHidden/>
    <w:unhideWhenUsed/>
    <w:pPr>
      <w:spacing w:after="120"/>
    </w:pPr>
    <w:rPr>
      <w:sz w:val="16"/>
      <w:szCs w:val="16"/>
    </w:rPr>
  </w:style>
  <w:style w:type="character" w:customStyle="1" w:styleId="Textoindependiente3Car">
    <w:name w:val="Texto independiente 3 Car"/>
    <w:basedOn w:val="Fuentedeprrafopredeter"/>
    <w:link w:val="Textoindependiente3"/>
    <w:uiPriority w:val="99"/>
    <w:semiHidden/>
    <w:rPr>
      <w:sz w:val="16"/>
      <w:szCs w:val="16"/>
    </w:rPr>
  </w:style>
  <w:style w:type="paragraph" w:styleId="Textoindependiente">
    <w:name w:val="Body Text"/>
    <w:basedOn w:val="Normal"/>
    <w:link w:val="TextoindependienteCar"/>
    <w:uiPriority w:val="99"/>
    <w:semiHidden/>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Epgrafe">
    <w:name w:val="caption"/>
    <w:basedOn w:val="Normal"/>
    <w:next w:val="Normal"/>
    <w:uiPriority w:val="35"/>
    <w:semiHidden/>
    <w:unhideWhenUsed/>
    <w:qFormat/>
    <w:pPr>
      <w:spacing w:line="240" w:lineRule="auto"/>
    </w:pPr>
    <w:rPr>
      <w:b/>
      <w:bCs/>
      <w:color w:val="4F81BD" w:themeColor="accent1"/>
      <w:szCs w:val="18"/>
    </w:rPr>
  </w:style>
  <w:style w:type="paragraph" w:styleId="Lista">
    <w:name w:val="List"/>
    <w:basedOn w:val="Normal"/>
    <w:uiPriority w:val="99"/>
    <w:semiHidden/>
    <w:unhideWhenUsed/>
    <w:pPr>
      <w:ind w:left="283" w:hanging="283"/>
      <w:contextualSpacing/>
    </w:pPr>
  </w:style>
  <w:style w:type="paragraph" w:styleId="Lista2">
    <w:name w:val="List 2"/>
    <w:basedOn w:val="Normal"/>
    <w:uiPriority w:val="99"/>
    <w:semiHidden/>
    <w:unhideWhenUsed/>
    <w:pPr>
      <w:ind w:left="566" w:hanging="283"/>
      <w:contextualSpacing/>
    </w:pPr>
  </w:style>
  <w:style w:type="paragraph" w:styleId="Lista3">
    <w:name w:val="List 3"/>
    <w:basedOn w:val="Normal"/>
    <w:uiPriority w:val="99"/>
    <w:semiHidden/>
    <w:unhideWhenUsed/>
    <w:pPr>
      <w:ind w:left="849" w:hanging="283"/>
      <w:contextualSpacing/>
    </w:pPr>
  </w:style>
  <w:style w:type="paragraph" w:styleId="Lista4">
    <w:name w:val="List 4"/>
    <w:basedOn w:val="Normal"/>
    <w:uiPriority w:val="99"/>
    <w:semiHidden/>
    <w:unhideWhenUsed/>
    <w:pPr>
      <w:ind w:left="1132" w:hanging="283"/>
      <w:contextualSpacing/>
    </w:pPr>
  </w:style>
  <w:style w:type="paragraph" w:styleId="Lista5">
    <w:name w:val="List 5"/>
    <w:basedOn w:val="Normal"/>
    <w:uiPriority w:val="99"/>
    <w:semiHidden/>
    <w:unhideWhenUsed/>
    <w:pPr>
      <w:ind w:left="1415" w:hanging="283"/>
      <w:contextualSpacing/>
    </w:pPr>
  </w:style>
  <w:style w:type="paragraph" w:styleId="Continuarlista">
    <w:name w:val="List Continue"/>
    <w:basedOn w:val="Normal"/>
    <w:uiPriority w:val="99"/>
    <w:semiHidden/>
    <w:unhideWhenUsed/>
    <w:pPr>
      <w:spacing w:after="120"/>
      <w:ind w:left="283"/>
      <w:contextualSpacing/>
    </w:pPr>
  </w:style>
  <w:style w:type="paragraph" w:styleId="Continuarlista2">
    <w:name w:val="List Continue 2"/>
    <w:basedOn w:val="Normal"/>
    <w:uiPriority w:val="99"/>
    <w:semiHidden/>
    <w:unhideWhenUsed/>
    <w:pPr>
      <w:spacing w:after="120"/>
      <w:ind w:left="566"/>
      <w:contextualSpacing/>
    </w:pPr>
  </w:style>
  <w:style w:type="paragraph" w:styleId="Continuarlista3">
    <w:name w:val="List Continue 3"/>
    <w:basedOn w:val="Normal"/>
    <w:uiPriority w:val="99"/>
    <w:semiHidden/>
    <w:unhideWhenUsed/>
    <w:pPr>
      <w:spacing w:after="120"/>
      <w:ind w:left="849"/>
      <w:contextualSpacing/>
    </w:pPr>
  </w:style>
  <w:style w:type="paragraph" w:styleId="Continuarlista4">
    <w:name w:val="List Continue 4"/>
    <w:basedOn w:val="Normal"/>
    <w:uiPriority w:val="99"/>
    <w:semiHidden/>
    <w:unhideWhenUsed/>
    <w:pPr>
      <w:spacing w:after="120"/>
      <w:ind w:left="1132"/>
      <w:contextualSpacing/>
    </w:pPr>
  </w:style>
  <w:style w:type="paragraph" w:styleId="Continuarlista5">
    <w:name w:val="List Continue 5"/>
    <w:basedOn w:val="Normal"/>
    <w:uiPriority w:val="99"/>
    <w:semiHidden/>
    <w:unhideWhenUsed/>
    <w:pPr>
      <w:spacing w:after="120"/>
      <w:ind w:left="1415"/>
      <w:contextualSpacing/>
    </w:pPr>
  </w:style>
  <w:style w:type="paragraph" w:styleId="Firma">
    <w:name w:val="Signature"/>
    <w:basedOn w:val="Normal"/>
    <w:link w:val="FirmaCar"/>
    <w:uiPriority w:val="99"/>
    <w:semiHidden/>
    <w:unhideWhenUsed/>
    <w:pPr>
      <w:spacing w:line="240" w:lineRule="auto"/>
      <w:ind w:left="4252"/>
    </w:pPr>
  </w:style>
  <w:style w:type="character" w:customStyle="1" w:styleId="FirmaCar">
    <w:name w:val="Firma Car"/>
    <w:basedOn w:val="Fuentedeprrafopredeter"/>
    <w:link w:val="Firma"/>
    <w:uiPriority w:val="99"/>
    <w:semiHidden/>
  </w:style>
  <w:style w:type="paragraph" w:styleId="Firmadecorreoelectrnico">
    <w:name w:val="E-mail Signature"/>
    <w:basedOn w:val="Normal"/>
    <w:link w:val="FirmadecorreoelectrnicoCar"/>
    <w:uiPriority w:val="99"/>
    <w:semiHidden/>
    <w:unhideWhenUsed/>
    <w:pPr>
      <w:spacing w:line="240" w:lineRule="auto"/>
    </w:pPr>
  </w:style>
  <w:style w:type="character" w:customStyle="1" w:styleId="FirmadecorreoelectrnicoCar">
    <w:name w:val="Firma de correo electrónico Car"/>
    <w:basedOn w:val="Fuentedeprrafopredeter"/>
    <w:link w:val="Firmadecorreoelectrnico"/>
    <w:uiPriority w:val="99"/>
    <w:semiHidden/>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Cierre">
    <w:name w:val="Closing"/>
    <w:basedOn w:val="Normal"/>
    <w:link w:val="CierreCar"/>
    <w:uiPriority w:val="99"/>
    <w:semiHidden/>
    <w:unhideWhenUsed/>
    <w:pPr>
      <w:spacing w:line="240" w:lineRule="auto"/>
      <w:ind w:left="4252"/>
    </w:pPr>
  </w:style>
  <w:style w:type="character" w:customStyle="1" w:styleId="CierreCar">
    <w:name w:val="Cierre Car"/>
    <w:basedOn w:val="Fuentedeprrafopredeter"/>
    <w:link w:val="Cierre"/>
    <w:uiPriority w:val="99"/>
    <w:semiHidden/>
  </w:style>
  <w:style w:type="paragraph" w:styleId="ndice1">
    <w:name w:val="index 1"/>
    <w:basedOn w:val="Normal"/>
    <w:next w:val="Normal"/>
    <w:autoRedefine/>
    <w:uiPriority w:val="99"/>
    <w:semiHidden/>
    <w:unhideWhenUsed/>
    <w:pPr>
      <w:spacing w:line="240" w:lineRule="auto"/>
      <w:ind w:left="220" w:hanging="220"/>
    </w:pPr>
  </w:style>
  <w:style w:type="paragraph" w:styleId="ndice2">
    <w:name w:val="index 2"/>
    <w:basedOn w:val="Normal"/>
    <w:next w:val="Normal"/>
    <w:autoRedefine/>
    <w:uiPriority w:val="99"/>
    <w:semiHidden/>
    <w:unhideWhenUsed/>
    <w:pPr>
      <w:spacing w:line="240" w:lineRule="auto"/>
      <w:ind w:left="440" w:hanging="220"/>
    </w:pPr>
  </w:style>
  <w:style w:type="paragraph" w:styleId="ndice3">
    <w:name w:val="index 3"/>
    <w:basedOn w:val="Normal"/>
    <w:next w:val="Normal"/>
    <w:autoRedefine/>
    <w:uiPriority w:val="99"/>
    <w:semiHidden/>
    <w:unhideWhenUsed/>
    <w:pPr>
      <w:spacing w:line="240" w:lineRule="auto"/>
      <w:ind w:left="660" w:hanging="220"/>
    </w:pPr>
  </w:style>
  <w:style w:type="paragraph" w:styleId="ndice4">
    <w:name w:val="index 4"/>
    <w:basedOn w:val="Normal"/>
    <w:next w:val="Normal"/>
    <w:autoRedefine/>
    <w:uiPriority w:val="99"/>
    <w:semiHidden/>
    <w:unhideWhenUsed/>
    <w:pPr>
      <w:spacing w:line="240" w:lineRule="auto"/>
      <w:ind w:left="880" w:hanging="220"/>
    </w:pPr>
  </w:style>
  <w:style w:type="paragraph" w:styleId="ndice5">
    <w:name w:val="index 5"/>
    <w:basedOn w:val="Normal"/>
    <w:next w:val="Normal"/>
    <w:autoRedefine/>
    <w:uiPriority w:val="99"/>
    <w:semiHidden/>
    <w:unhideWhenUsed/>
    <w:pPr>
      <w:spacing w:line="240" w:lineRule="auto"/>
      <w:ind w:left="1100" w:hanging="220"/>
    </w:pPr>
  </w:style>
  <w:style w:type="paragraph" w:styleId="ndice6">
    <w:name w:val="index 6"/>
    <w:basedOn w:val="Normal"/>
    <w:next w:val="Normal"/>
    <w:autoRedefine/>
    <w:uiPriority w:val="99"/>
    <w:semiHidden/>
    <w:unhideWhenUsed/>
    <w:pPr>
      <w:spacing w:line="240" w:lineRule="auto"/>
      <w:ind w:left="1320" w:hanging="220"/>
    </w:pPr>
  </w:style>
  <w:style w:type="paragraph" w:styleId="ndice7">
    <w:name w:val="index 7"/>
    <w:basedOn w:val="Normal"/>
    <w:next w:val="Normal"/>
    <w:autoRedefine/>
    <w:uiPriority w:val="99"/>
    <w:semiHidden/>
    <w:unhideWhenUsed/>
    <w:pPr>
      <w:spacing w:line="240" w:lineRule="auto"/>
      <w:ind w:left="1540" w:hanging="220"/>
    </w:pPr>
  </w:style>
  <w:style w:type="paragraph" w:styleId="ndice8">
    <w:name w:val="index 8"/>
    <w:basedOn w:val="Normal"/>
    <w:next w:val="Normal"/>
    <w:autoRedefine/>
    <w:uiPriority w:val="99"/>
    <w:semiHidden/>
    <w:unhideWhenUsed/>
    <w:pPr>
      <w:spacing w:line="240" w:lineRule="auto"/>
      <w:ind w:left="1760" w:hanging="220"/>
    </w:pPr>
  </w:style>
  <w:style w:type="paragraph" w:styleId="ndice9">
    <w:name w:val="index 9"/>
    <w:basedOn w:val="Normal"/>
    <w:next w:val="Normal"/>
    <w:autoRedefine/>
    <w:uiPriority w:val="99"/>
    <w:semiHidden/>
    <w:unhideWhenUsed/>
    <w:pPr>
      <w:spacing w:line="240" w:lineRule="auto"/>
      <w:ind w:left="1980" w:hanging="220"/>
    </w:pPr>
  </w:style>
  <w:style w:type="paragraph" w:styleId="Tabladeilustraciones">
    <w:name w:val="table of figures"/>
    <w:basedOn w:val="Normal"/>
    <w:next w:val="Normal"/>
    <w:uiPriority w:val="99"/>
    <w:semiHidden/>
    <w:unhideWhenUsed/>
  </w:style>
  <w:style w:type="paragraph" w:styleId="Textoconsangra">
    <w:name w:val="table of authorities"/>
    <w:basedOn w:val="Normal"/>
    <w:next w:val="Normal"/>
    <w:uiPriority w:val="99"/>
    <w:semiHidden/>
    <w:unhideWhenUsed/>
    <w:pPr>
      <w:ind w:left="220" w:hanging="220"/>
    </w:pPr>
  </w:style>
  <w:style w:type="paragraph" w:styleId="Direccinsobre">
    <w:name w:val="envelope address"/>
    <w:basedOn w:val="Normal"/>
    <w:uiPriority w:val="99"/>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pPr>
      <w:spacing w:line="240" w:lineRule="auto"/>
    </w:pPr>
    <w:rPr>
      <w:i/>
      <w:iCs/>
    </w:rPr>
  </w:style>
  <w:style w:type="character" w:customStyle="1" w:styleId="DireccinHTMLCar">
    <w:name w:val="Dirección HTML Car"/>
    <w:basedOn w:val="Fuentedeprrafopredeter"/>
    <w:link w:val="DireccinHTML"/>
    <w:uiPriority w:val="99"/>
    <w:semiHidden/>
    <w:rPr>
      <w:i/>
      <w:iCs/>
    </w:rPr>
  </w:style>
  <w:style w:type="paragraph" w:styleId="Remitedesobre">
    <w:name w:val="envelope return"/>
    <w:basedOn w:val="Normal"/>
    <w:uiPriority w:val="99"/>
    <w:semiHidden/>
    <w:unhideWhenUse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pPr>
      <w:spacing w:line="240" w:lineRule="auto"/>
    </w:pPr>
  </w:style>
  <w:style w:type="character" w:customStyle="1" w:styleId="EncabezadodenotaCar">
    <w:name w:val="Encabezado de nota Car"/>
    <w:basedOn w:val="Fuentedeprrafopredeter"/>
    <w:link w:val="Encabezadodenota"/>
    <w:uiPriority w:val="99"/>
    <w:semiHidden/>
  </w:style>
  <w:style w:type="paragraph" w:styleId="Mapadeldocumento">
    <w:name w:val="Document Map"/>
    <w:basedOn w:val="Normal"/>
    <w:link w:val="MapadeldocumentoCar"/>
    <w:uiPriority w:val="99"/>
    <w:semiHidden/>
    <w:unhideWhenUse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Pr>
      <w:rFonts w:ascii="Tahoma" w:hAnsi="Tahoma" w:cs="Tahoma"/>
      <w:sz w:val="16"/>
      <w:szCs w:val="16"/>
    </w:rPr>
  </w:style>
  <w:style w:type="paragraph" w:styleId="NormalWeb">
    <w:name w:val="Normal (Web)"/>
    <w:basedOn w:val="Normal"/>
    <w:uiPriority w:val="99"/>
    <w:semiHidden/>
    <w:unhideWhenUsed/>
    <w:rPr>
      <w:sz w:val="24"/>
      <w:szCs w:val="24"/>
    </w:rPr>
  </w:style>
  <w:style w:type="paragraph" w:styleId="Listaconnmeros">
    <w:name w:val="List Number"/>
    <w:basedOn w:val="Normal"/>
    <w:uiPriority w:val="99"/>
    <w:semiHidden/>
    <w:unhideWhenUsed/>
    <w:pPr>
      <w:numPr>
        <w:numId w:val="2"/>
      </w:numPr>
      <w:contextualSpacing/>
    </w:pPr>
  </w:style>
  <w:style w:type="paragraph" w:styleId="Listaconnmeros2">
    <w:name w:val="List Number 2"/>
    <w:basedOn w:val="Normal"/>
    <w:uiPriority w:val="99"/>
    <w:semiHidden/>
    <w:unhideWhenUsed/>
    <w:pPr>
      <w:numPr>
        <w:numId w:val="3"/>
      </w:numPr>
      <w:contextualSpacing/>
    </w:pPr>
  </w:style>
  <w:style w:type="paragraph" w:styleId="Listaconnmeros3">
    <w:name w:val="List Number 3"/>
    <w:basedOn w:val="Normal"/>
    <w:uiPriority w:val="99"/>
    <w:semiHidden/>
    <w:unhideWhenUsed/>
    <w:pPr>
      <w:numPr>
        <w:numId w:val="4"/>
      </w:numPr>
      <w:contextualSpacing/>
    </w:pPr>
  </w:style>
  <w:style w:type="paragraph" w:styleId="Listaconnmeros4">
    <w:name w:val="List Number 4"/>
    <w:basedOn w:val="Normal"/>
    <w:uiPriority w:val="99"/>
    <w:semiHidden/>
    <w:unhideWhenUsed/>
    <w:pPr>
      <w:numPr>
        <w:numId w:val="5"/>
      </w:numPr>
      <w:contextualSpacing/>
    </w:pPr>
  </w:style>
  <w:style w:type="paragraph" w:styleId="Listaconnmeros5">
    <w:name w:val="List Number 5"/>
    <w:basedOn w:val="Normal"/>
    <w:uiPriority w:val="99"/>
    <w:semiHidden/>
    <w:unhideWhenUsed/>
    <w:pPr>
      <w:numPr>
        <w:numId w:val="6"/>
      </w:numPr>
      <w:contextualSpacing/>
    </w:pPr>
  </w:style>
  <w:style w:type="paragraph" w:styleId="HTMLconformatoprevio">
    <w:name w:val="HTML Preformatted"/>
    <w:basedOn w:val="Normal"/>
    <w:link w:val="HTMLconformatoprevioCar"/>
    <w:uiPriority w:val="99"/>
    <w:semiHidden/>
    <w:unhideWhenUse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283"/>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Listaconvietas">
    <w:name w:val="List Bullet"/>
    <w:basedOn w:val="Normal"/>
    <w:uiPriority w:val="99"/>
    <w:semiHidden/>
    <w:unhideWhenUsed/>
    <w:pPr>
      <w:numPr>
        <w:numId w:val="7"/>
      </w:numPr>
      <w:contextualSpacing/>
    </w:pPr>
  </w:style>
  <w:style w:type="paragraph" w:styleId="Listaconvietas2">
    <w:name w:val="List Bullet 2"/>
    <w:basedOn w:val="Normal"/>
    <w:uiPriority w:val="99"/>
    <w:semiHidden/>
    <w:unhideWhenUsed/>
    <w:pPr>
      <w:numPr>
        <w:numId w:val="8"/>
      </w:numPr>
      <w:contextualSpacing/>
    </w:pPr>
  </w:style>
  <w:style w:type="paragraph" w:styleId="Listaconvietas3">
    <w:name w:val="List Bullet 3"/>
    <w:basedOn w:val="Normal"/>
    <w:uiPriority w:val="99"/>
    <w:semiHidden/>
    <w:unhideWhenUsed/>
    <w:pPr>
      <w:numPr>
        <w:numId w:val="9"/>
      </w:numPr>
      <w:contextualSpacing/>
    </w:pPr>
  </w:style>
  <w:style w:type="paragraph" w:styleId="Listaconvietas4">
    <w:name w:val="List Bullet 4"/>
    <w:basedOn w:val="Normal"/>
    <w:uiPriority w:val="99"/>
    <w:semiHidden/>
    <w:unhideWhenUsed/>
    <w:pPr>
      <w:numPr>
        <w:numId w:val="10"/>
      </w:numPr>
      <w:contextualSpacing/>
    </w:pPr>
  </w:style>
  <w:style w:type="paragraph" w:styleId="Listaconvietas5">
    <w:name w:val="List Bullet 5"/>
    <w:basedOn w:val="Normal"/>
    <w:uiPriority w:val="99"/>
    <w:semiHidden/>
    <w:unhideWhenUsed/>
    <w:pPr>
      <w:numPr>
        <w:numId w:val="11"/>
      </w:numPr>
      <w:contextualSpacing/>
    </w:pPr>
  </w:style>
  <w:style w:type="paragraph" w:styleId="Sangra2detindependiente">
    <w:name w:val="Body Text Indent 2"/>
    <w:basedOn w:val="Normal"/>
    <w:link w:val="Sangra2detindependienteCar"/>
    <w:uiPriority w:val="99"/>
    <w:semiHidden/>
    <w:unhideWhenUse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Pr>
      <w:sz w:val="16"/>
      <w:szCs w:val="16"/>
    </w:rPr>
  </w:style>
  <w:style w:type="paragraph" w:styleId="Sangranormal">
    <w:name w:val="Normal Indent"/>
    <w:basedOn w:val="Normal"/>
    <w:uiPriority w:val="99"/>
    <w:semiHidden/>
    <w:unhideWhenUsed/>
    <w:pPr>
      <w:ind w:left="720"/>
    </w:pPr>
  </w:style>
  <w:style w:type="paragraph" w:styleId="Textocomentario">
    <w:name w:val="annotation text"/>
    <w:basedOn w:val="Normal"/>
    <w:link w:val="TextocomentarioCar"/>
    <w:uiPriority w:val="99"/>
    <w:unhideWhenUsed/>
    <w:pPr>
      <w:spacing w:line="240" w:lineRule="auto"/>
    </w:pPr>
  </w:style>
  <w:style w:type="character" w:customStyle="1" w:styleId="TextocomentarioCar">
    <w:name w:val="Texto comentario Car"/>
    <w:basedOn w:val="Fuentedeprrafopredeter"/>
    <w:link w:val="Textocomentario"/>
    <w:uiPriority w:val="99"/>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DC1">
    <w:name w:val="toc 1"/>
    <w:basedOn w:val="Normal"/>
    <w:next w:val="Normal"/>
    <w:autoRedefine/>
    <w:uiPriority w:val="39"/>
    <w:semiHidden/>
    <w:unhideWhenUsed/>
    <w:pPr>
      <w:spacing w:after="100"/>
    </w:pPr>
  </w:style>
  <w:style w:type="paragraph" w:styleId="TDC2">
    <w:name w:val="toc 2"/>
    <w:basedOn w:val="Normal"/>
    <w:next w:val="Normal"/>
    <w:autoRedefine/>
    <w:uiPriority w:val="39"/>
    <w:semiHidden/>
    <w:unhideWhenUsed/>
    <w:pPr>
      <w:spacing w:after="100"/>
      <w:ind w:left="220"/>
    </w:pPr>
  </w:style>
  <w:style w:type="paragraph" w:styleId="TDC3">
    <w:name w:val="toc 3"/>
    <w:basedOn w:val="Normal"/>
    <w:next w:val="Normal"/>
    <w:autoRedefine/>
    <w:uiPriority w:val="39"/>
    <w:semiHidden/>
    <w:unhideWhenUsed/>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styleId="Textodebloque">
    <w:name w:val="Block Text"/>
    <w:basedOn w:val="Normal"/>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Pr>
      <w:rFonts w:ascii="Consolas" w:hAnsi="Consolas" w:cs="Consolas"/>
      <w:sz w:val="20"/>
      <w:szCs w:val="20"/>
    </w:rPr>
  </w:style>
  <w:style w:type="paragraph" w:styleId="Textosinformato">
    <w:name w:val="Plain Text"/>
    <w:basedOn w:val="Normal"/>
    <w:link w:val="TextosinformatoCar"/>
    <w:uiPriority w:val="99"/>
    <w:semiHidden/>
    <w:unhideWhenUse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Pr>
      <w:rFonts w:ascii="Consolas" w:hAnsi="Consolas" w:cs="Consolas"/>
      <w:sz w:val="21"/>
      <w:szCs w:val="21"/>
    </w:rPr>
  </w:style>
  <w:style w:type="paragraph" w:styleId="Textonotapie">
    <w:name w:val="footnote text"/>
    <w:basedOn w:val="Normal"/>
    <w:link w:val="TextonotapieCar"/>
    <w:uiPriority w:val="99"/>
    <w:semiHidden/>
    <w:unhideWhenUsed/>
    <w:pPr>
      <w:spacing w:line="240" w:lineRule="auto"/>
    </w:pPr>
  </w:style>
  <w:style w:type="character" w:customStyle="1" w:styleId="TextonotapieCar">
    <w:name w:val="Texto nota pie Car"/>
    <w:basedOn w:val="Fuentedeprrafopredeter"/>
    <w:link w:val="Textonotapie"/>
    <w:uiPriority w:val="99"/>
    <w:semiHidden/>
    <w:rPr>
      <w:sz w:val="20"/>
      <w:szCs w:val="20"/>
    </w:rPr>
  </w:style>
  <w:style w:type="paragraph" w:styleId="Textonotaalfinal">
    <w:name w:val="endnote text"/>
    <w:basedOn w:val="Normal"/>
    <w:link w:val="TextonotaalfinalCar"/>
    <w:uiPriority w:val="99"/>
    <w:semiHidden/>
    <w:unhideWhenUsed/>
    <w:pPr>
      <w:spacing w:line="240" w:lineRule="auto"/>
    </w:pPr>
  </w:style>
  <w:style w:type="character" w:customStyle="1" w:styleId="TextonotaalfinalCar">
    <w:name w:val="Texto nota al final Car"/>
    <w:basedOn w:val="Fuentedeprrafopredeter"/>
    <w:link w:val="Textonotaalfinal"/>
    <w:uiPriority w:val="99"/>
    <w:semiHidden/>
    <w:rPr>
      <w:sz w:val="20"/>
      <w:szCs w:val="20"/>
    </w:rPr>
  </w:style>
  <w:style w:type="character" w:customStyle="1" w:styleId="Ttulo1Car">
    <w:name w:val="Título 1 Car"/>
    <w:basedOn w:val="Fuentedeprrafopredeter"/>
    <w:link w:val="Ttulo1"/>
    <w:uiPriority w:val="9"/>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tulodeTDC">
    <w:name w:val="TOC Heading"/>
    <w:basedOn w:val="Ttulo1"/>
    <w:next w:val="Normal"/>
    <w:uiPriority w:val="39"/>
    <w:semiHidden/>
    <w:unhideWhenUsed/>
    <w:qFormat/>
    <w:pPr>
      <w:outlineLvl w:val="9"/>
    </w:pPr>
  </w:style>
  <w:style w:type="paragraph" w:customStyle="1" w:styleId="CETemail">
    <w:name w:val="CET email"/>
    <w:next w:val="CETBodytext"/>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Pr>
      <w:rFonts w:ascii="Arial" w:eastAsia="Times New Roman" w:hAnsi="Arial" w:cs="Times New Roman"/>
      <w:noProof/>
      <w:sz w:val="16"/>
      <w:szCs w:val="20"/>
      <w:lang w:val="en-GB"/>
    </w:rPr>
  </w:style>
  <w:style w:type="paragraph" w:customStyle="1" w:styleId="CETBodytextBold">
    <w:name w:val="CET Body text (Bold)"/>
    <w:basedOn w:val="CETBodytext"/>
    <w:rPr>
      <w:b/>
    </w:rPr>
  </w:style>
  <w:style w:type="paragraph" w:customStyle="1" w:styleId="CETnumberingbullets">
    <w:name w:val="CET numbering (bullets)"/>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Pr>
      <w:rFonts w:ascii="Arial" w:eastAsia="Times New Roman" w:hAnsi="Arial" w:cs="Times New Roman"/>
      <w:sz w:val="18"/>
      <w:szCs w:val="20"/>
      <w:lang w:val="en-GB"/>
    </w:rPr>
  </w:style>
  <w:style w:type="paragraph" w:styleId="Piedepgina">
    <w:name w:val="footer"/>
    <w:basedOn w:val="Normal"/>
    <w:link w:val="PiedepginaCar"/>
    <w:uiPriority w:val="99"/>
    <w:unhideWhenUsed/>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Pr>
      <w:rFonts w:ascii="Arial" w:eastAsia="Times New Roman" w:hAnsi="Arial" w:cs="Times New Roman"/>
      <w:sz w:val="18"/>
      <w:szCs w:val="20"/>
      <w:lang w:val="en-GB"/>
    </w:r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Pr>
      <w:color w:val="0000FF" w:themeColor="hyperlink"/>
      <w:u w:val="single"/>
    </w:rPr>
  </w:style>
  <w:style w:type="character" w:customStyle="1" w:styleId="eudoraheader">
    <w:name w:val="eudoraheader"/>
    <w:basedOn w:val="Fuentedeprrafopredeter"/>
  </w:style>
  <w:style w:type="paragraph" w:customStyle="1" w:styleId="CETListbullets">
    <w:name w:val="CET List bullets"/>
    <w:qFormat/>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pPr>
      <w:spacing w:before="120" w:after="120"/>
      <w:jc w:val="left"/>
    </w:pPr>
    <w:rPr>
      <w:lang w:val="en-GB"/>
    </w:rPr>
  </w:style>
  <w:style w:type="paragraph" w:customStyle="1" w:styleId="CETHeadingxx">
    <w:name w:val="CET Headingxx"/>
    <w:basedOn w:val="CETheadingx"/>
    <w:link w:val="CETHeadingxxChar"/>
    <w:qFormat/>
    <w:pPr>
      <w:numPr>
        <w:ilvl w:val="0"/>
        <w:numId w:val="0"/>
      </w:numPr>
    </w:pPr>
  </w:style>
  <w:style w:type="character" w:customStyle="1" w:styleId="CETHeadingxxChar">
    <w:name w:val="CET Headingxx Char"/>
    <w:basedOn w:val="CETheadingxCarattere"/>
    <w:link w:val="CETHeadingxx"/>
    <w:rPr>
      <w:rFonts w:ascii="Arial" w:eastAsia="Times New Roman" w:hAnsi="Arial" w:cs="Times New Roman"/>
      <w:b/>
      <w:sz w:val="1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ET Top_pag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pPr>
      <w:keepNext/>
      <w:suppressAutoHyphens/>
      <w:spacing w:after="120"/>
    </w:pPr>
    <w:rPr>
      <w:noProof/>
      <w:sz w:val="24"/>
      <w:lang w:val="en-GB"/>
    </w:rPr>
  </w:style>
  <w:style w:type="paragraph" w:customStyle="1" w:styleId="CETTitle">
    <w:name w:val="CET Title"/>
    <w:next w:val="CETAuthors"/>
    <w:link w:val="CETTitleCarattere"/>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Pr>
      <w:rFonts w:ascii="Arial" w:eastAsia="Times New Roman" w:hAnsi="Arial" w:cs="Times New Roman"/>
      <w:noProof/>
      <w:sz w:val="24"/>
      <w:szCs w:val="20"/>
      <w:lang w:val="en-GB"/>
    </w:rPr>
  </w:style>
  <w:style w:type="character" w:customStyle="1" w:styleId="CETTitleCarattere">
    <w:name w:val="CET Title Carattere"/>
    <w:link w:val="CETTitle"/>
    <w:rPr>
      <w:rFonts w:ascii="Arial" w:eastAsia="Times New Roman" w:hAnsi="Arial" w:cs="Times New Roman"/>
      <w:sz w:val="32"/>
      <w:szCs w:val="20"/>
      <w:lang w:val="en-GB"/>
    </w:rPr>
  </w:style>
  <w:style w:type="paragraph" w:customStyle="1" w:styleId="CETHeading1">
    <w:name w:val="CET Heading1"/>
    <w:next w:val="CETBodytext"/>
    <w:qFormat/>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Pr>
      <w:rFonts w:ascii="Arial" w:eastAsia="Times New Roman" w:hAnsi="Arial" w:cs="Times New Roman"/>
      <w:sz w:val="18"/>
      <w:szCs w:val="20"/>
      <w:lang w:val="en-US"/>
    </w:rPr>
  </w:style>
  <w:style w:type="paragraph" w:customStyle="1" w:styleId="CETReference">
    <w:name w:val="CET Reference"/>
    <w:qFormat/>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Pr>
      <w:rFonts w:ascii="Arial" w:eastAsia="Times New Roman" w:hAnsi="Arial" w:cs="Times New Roman"/>
      <w:b/>
      <w:sz w:val="18"/>
      <w:szCs w:val="20"/>
      <w:lang w:val="en-US"/>
    </w:rPr>
  </w:style>
  <w:style w:type="character" w:customStyle="1" w:styleId="CETCaptionCarattere">
    <w:name w:val="CET Caption Carattere"/>
    <w:link w:val="CETCaption"/>
    <w:rPr>
      <w:rFonts w:ascii="Arial" w:eastAsia="Times New Roman" w:hAnsi="Arial" w:cs="Times New Roman"/>
      <w:i/>
      <w:sz w:val="18"/>
      <w:szCs w:val="20"/>
      <w:lang w:val="en-GB"/>
    </w:rPr>
  </w:style>
  <w:style w:type="paragraph" w:customStyle="1" w:styleId="CETBodytextItalic">
    <w:name w:val="CET Body text (Italic)"/>
    <w:basedOn w:val="CETBodytext"/>
    <w:qFormat/>
    <w:rPr>
      <w:i/>
      <w:lang w:val="en-GB"/>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Bibliografa">
    <w:name w:val="Bibliography"/>
    <w:basedOn w:val="CETReferencetext"/>
    <w:uiPriority w:val="37"/>
    <w:unhideWhenUsed/>
    <w:pPr>
      <w:spacing w:line="240" w:lineRule="auto"/>
      <w:ind w:left="720" w:hanging="720"/>
    </w:pPr>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3">
    <w:name w:val="Body Text 3"/>
    <w:basedOn w:val="Normal"/>
    <w:link w:val="Textoindependiente3Car"/>
    <w:uiPriority w:val="99"/>
    <w:semiHidden/>
    <w:unhideWhenUsed/>
    <w:pPr>
      <w:spacing w:after="120"/>
    </w:pPr>
    <w:rPr>
      <w:sz w:val="16"/>
      <w:szCs w:val="16"/>
    </w:rPr>
  </w:style>
  <w:style w:type="character" w:customStyle="1" w:styleId="Textoindependiente3Car">
    <w:name w:val="Texto independiente 3 Car"/>
    <w:basedOn w:val="Fuentedeprrafopredeter"/>
    <w:link w:val="Textoindependiente3"/>
    <w:uiPriority w:val="99"/>
    <w:semiHidden/>
    <w:rPr>
      <w:sz w:val="16"/>
      <w:szCs w:val="16"/>
    </w:rPr>
  </w:style>
  <w:style w:type="paragraph" w:styleId="Textoindependiente">
    <w:name w:val="Body Text"/>
    <w:basedOn w:val="Normal"/>
    <w:link w:val="TextoindependienteCar"/>
    <w:uiPriority w:val="99"/>
    <w:semiHidden/>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Epgrafe">
    <w:name w:val="caption"/>
    <w:basedOn w:val="Normal"/>
    <w:next w:val="Normal"/>
    <w:uiPriority w:val="35"/>
    <w:semiHidden/>
    <w:unhideWhenUsed/>
    <w:qFormat/>
    <w:pPr>
      <w:spacing w:line="240" w:lineRule="auto"/>
    </w:pPr>
    <w:rPr>
      <w:b/>
      <w:bCs/>
      <w:color w:val="4F81BD" w:themeColor="accent1"/>
      <w:szCs w:val="18"/>
    </w:rPr>
  </w:style>
  <w:style w:type="paragraph" w:styleId="Lista">
    <w:name w:val="List"/>
    <w:basedOn w:val="Normal"/>
    <w:uiPriority w:val="99"/>
    <w:semiHidden/>
    <w:unhideWhenUsed/>
    <w:pPr>
      <w:ind w:left="283" w:hanging="283"/>
      <w:contextualSpacing/>
    </w:pPr>
  </w:style>
  <w:style w:type="paragraph" w:styleId="Lista2">
    <w:name w:val="List 2"/>
    <w:basedOn w:val="Normal"/>
    <w:uiPriority w:val="99"/>
    <w:semiHidden/>
    <w:unhideWhenUsed/>
    <w:pPr>
      <w:ind w:left="566" w:hanging="283"/>
      <w:contextualSpacing/>
    </w:pPr>
  </w:style>
  <w:style w:type="paragraph" w:styleId="Lista3">
    <w:name w:val="List 3"/>
    <w:basedOn w:val="Normal"/>
    <w:uiPriority w:val="99"/>
    <w:semiHidden/>
    <w:unhideWhenUsed/>
    <w:pPr>
      <w:ind w:left="849" w:hanging="283"/>
      <w:contextualSpacing/>
    </w:pPr>
  </w:style>
  <w:style w:type="paragraph" w:styleId="Lista4">
    <w:name w:val="List 4"/>
    <w:basedOn w:val="Normal"/>
    <w:uiPriority w:val="99"/>
    <w:semiHidden/>
    <w:unhideWhenUsed/>
    <w:pPr>
      <w:ind w:left="1132" w:hanging="283"/>
      <w:contextualSpacing/>
    </w:pPr>
  </w:style>
  <w:style w:type="paragraph" w:styleId="Lista5">
    <w:name w:val="List 5"/>
    <w:basedOn w:val="Normal"/>
    <w:uiPriority w:val="99"/>
    <w:semiHidden/>
    <w:unhideWhenUsed/>
    <w:pPr>
      <w:ind w:left="1415" w:hanging="283"/>
      <w:contextualSpacing/>
    </w:pPr>
  </w:style>
  <w:style w:type="paragraph" w:styleId="Continuarlista">
    <w:name w:val="List Continue"/>
    <w:basedOn w:val="Normal"/>
    <w:uiPriority w:val="99"/>
    <w:semiHidden/>
    <w:unhideWhenUsed/>
    <w:pPr>
      <w:spacing w:after="120"/>
      <w:ind w:left="283"/>
      <w:contextualSpacing/>
    </w:pPr>
  </w:style>
  <w:style w:type="paragraph" w:styleId="Continuarlista2">
    <w:name w:val="List Continue 2"/>
    <w:basedOn w:val="Normal"/>
    <w:uiPriority w:val="99"/>
    <w:semiHidden/>
    <w:unhideWhenUsed/>
    <w:pPr>
      <w:spacing w:after="120"/>
      <w:ind w:left="566"/>
      <w:contextualSpacing/>
    </w:pPr>
  </w:style>
  <w:style w:type="paragraph" w:styleId="Continuarlista3">
    <w:name w:val="List Continue 3"/>
    <w:basedOn w:val="Normal"/>
    <w:uiPriority w:val="99"/>
    <w:semiHidden/>
    <w:unhideWhenUsed/>
    <w:pPr>
      <w:spacing w:after="120"/>
      <w:ind w:left="849"/>
      <w:contextualSpacing/>
    </w:pPr>
  </w:style>
  <w:style w:type="paragraph" w:styleId="Continuarlista4">
    <w:name w:val="List Continue 4"/>
    <w:basedOn w:val="Normal"/>
    <w:uiPriority w:val="99"/>
    <w:semiHidden/>
    <w:unhideWhenUsed/>
    <w:pPr>
      <w:spacing w:after="120"/>
      <w:ind w:left="1132"/>
      <w:contextualSpacing/>
    </w:pPr>
  </w:style>
  <w:style w:type="paragraph" w:styleId="Continuarlista5">
    <w:name w:val="List Continue 5"/>
    <w:basedOn w:val="Normal"/>
    <w:uiPriority w:val="99"/>
    <w:semiHidden/>
    <w:unhideWhenUsed/>
    <w:pPr>
      <w:spacing w:after="120"/>
      <w:ind w:left="1415"/>
      <w:contextualSpacing/>
    </w:pPr>
  </w:style>
  <w:style w:type="paragraph" w:styleId="Firma">
    <w:name w:val="Signature"/>
    <w:basedOn w:val="Normal"/>
    <w:link w:val="FirmaCar"/>
    <w:uiPriority w:val="99"/>
    <w:semiHidden/>
    <w:unhideWhenUsed/>
    <w:pPr>
      <w:spacing w:line="240" w:lineRule="auto"/>
      <w:ind w:left="4252"/>
    </w:pPr>
  </w:style>
  <w:style w:type="character" w:customStyle="1" w:styleId="FirmaCar">
    <w:name w:val="Firma Car"/>
    <w:basedOn w:val="Fuentedeprrafopredeter"/>
    <w:link w:val="Firma"/>
    <w:uiPriority w:val="99"/>
    <w:semiHidden/>
  </w:style>
  <w:style w:type="paragraph" w:styleId="Firmadecorreoelectrnico">
    <w:name w:val="E-mail Signature"/>
    <w:basedOn w:val="Normal"/>
    <w:link w:val="FirmadecorreoelectrnicoCar"/>
    <w:uiPriority w:val="99"/>
    <w:semiHidden/>
    <w:unhideWhenUsed/>
    <w:pPr>
      <w:spacing w:line="240" w:lineRule="auto"/>
    </w:pPr>
  </w:style>
  <w:style w:type="character" w:customStyle="1" w:styleId="FirmadecorreoelectrnicoCar">
    <w:name w:val="Firma de correo electrónico Car"/>
    <w:basedOn w:val="Fuentedeprrafopredeter"/>
    <w:link w:val="Firmadecorreoelectrnico"/>
    <w:uiPriority w:val="99"/>
    <w:semiHidden/>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Cierre">
    <w:name w:val="Closing"/>
    <w:basedOn w:val="Normal"/>
    <w:link w:val="CierreCar"/>
    <w:uiPriority w:val="99"/>
    <w:semiHidden/>
    <w:unhideWhenUsed/>
    <w:pPr>
      <w:spacing w:line="240" w:lineRule="auto"/>
      <w:ind w:left="4252"/>
    </w:pPr>
  </w:style>
  <w:style w:type="character" w:customStyle="1" w:styleId="CierreCar">
    <w:name w:val="Cierre Car"/>
    <w:basedOn w:val="Fuentedeprrafopredeter"/>
    <w:link w:val="Cierre"/>
    <w:uiPriority w:val="99"/>
    <w:semiHidden/>
  </w:style>
  <w:style w:type="paragraph" w:styleId="ndice1">
    <w:name w:val="index 1"/>
    <w:basedOn w:val="Normal"/>
    <w:next w:val="Normal"/>
    <w:autoRedefine/>
    <w:uiPriority w:val="99"/>
    <w:semiHidden/>
    <w:unhideWhenUsed/>
    <w:pPr>
      <w:spacing w:line="240" w:lineRule="auto"/>
      <w:ind w:left="220" w:hanging="220"/>
    </w:pPr>
  </w:style>
  <w:style w:type="paragraph" w:styleId="ndice2">
    <w:name w:val="index 2"/>
    <w:basedOn w:val="Normal"/>
    <w:next w:val="Normal"/>
    <w:autoRedefine/>
    <w:uiPriority w:val="99"/>
    <w:semiHidden/>
    <w:unhideWhenUsed/>
    <w:pPr>
      <w:spacing w:line="240" w:lineRule="auto"/>
      <w:ind w:left="440" w:hanging="220"/>
    </w:pPr>
  </w:style>
  <w:style w:type="paragraph" w:styleId="ndice3">
    <w:name w:val="index 3"/>
    <w:basedOn w:val="Normal"/>
    <w:next w:val="Normal"/>
    <w:autoRedefine/>
    <w:uiPriority w:val="99"/>
    <w:semiHidden/>
    <w:unhideWhenUsed/>
    <w:pPr>
      <w:spacing w:line="240" w:lineRule="auto"/>
      <w:ind w:left="660" w:hanging="220"/>
    </w:pPr>
  </w:style>
  <w:style w:type="paragraph" w:styleId="ndice4">
    <w:name w:val="index 4"/>
    <w:basedOn w:val="Normal"/>
    <w:next w:val="Normal"/>
    <w:autoRedefine/>
    <w:uiPriority w:val="99"/>
    <w:semiHidden/>
    <w:unhideWhenUsed/>
    <w:pPr>
      <w:spacing w:line="240" w:lineRule="auto"/>
      <w:ind w:left="880" w:hanging="220"/>
    </w:pPr>
  </w:style>
  <w:style w:type="paragraph" w:styleId="ndice5">
    <w:name w:val="index 5"/>
    <w:basedOn w:val="Normal"/>
    <w:next w:val="Normal"/>
    <w:autoRedefine/>
    <w:uiPriority w:val="99"/>
    <w:semiHidden/>
    <w:unhideWhenUsed/>
    <w:pPr>
      <w:spacing w:line="240" w:lineRule="auto"/>
      <w:ind w:left="1100" w:hanging="220"/>
    </w:pPr>
  </w:style>
  <w:style w:type="paragraph" w:styleId="ndice6">
    <w:name w:val="index 6"/>
    <w:basedOn w:val="Normal"/>
    <w:next w:val="Normal"/>
    <w:autoRedefine/>
    <w:uiPriority w:val="99"/>
    <w:semiHidden/>
    <w:unhideWhenUsed/>
    <w:pPr>
      <w:spacing w:line="240" w:lineRule="auto"/>
      <w:ind w:left="1320" w:hanging="220"/>
    </w:pPr>
  </w:style>
  <w:style w:type="paragraph" w:styleId="ndice7">
    <w:name w:val="index 7"/>
    <w:basedOn w:val="Normal"/>
    <w:next w:val="Normal"/>
    <w:autoRedefine/>
    <w:uiPriority w:val="99"/>
    <w:semiHidden/>
    <w:unhideWhenUsed/>
    <w:pPr>
      <w:spacing w:line="240" w:lineRule="auto"/>
      <w:ind w:left="1540" w:hanging="220"/>
    </w:pPr>
  </w:style>
  <w:style w:type="paragraph" w:styleId="ndice8">
    <w:name w:val="index 8"/>
    <w:basedOn w:val="Normal"/>
    <w:next w:val="Normal"/>
    <w:autoRedefine/>
    <w:uiPriority w:val="99"/>
    <w:semiHidden/>
    <w:unhideWhenUsed/>
    <w:pPr>
      <w:spacing w:line="240" w:lineRule="auto"/>
      <w:ind w:left="1760" w:hanging="220"/>
    </w:pPr>
  </w:style>
  <w:style w:type="paragraph" w:styleId="ndice9">
    <w:name w:val="index 9"/>
    <w:basedOn w:val="Normal"/>
    <w:next w:val="Normal"/>
    <w:autoRedefine/>
    <w:uiPriority w:val="99"/>
    <w:semiHidden/>
    <w:unhideWhenUsed/>
    <w:pPr>
      <w:spacing w:line="240" w:lineRule="auto"/>
      <w:ind w:left="1980" w:hanging="220"/>
    </w:pPr>
  </w:style>
  <w:style w:type="paragraph" w:styleId="Tabladeilustraciones">
    <w:name w:val="table of figures"/>
    <w:basedOn w:val="Normal"/>
    <w:next w:val="Normal"/>
    <w:uiPriority w:val="99"/>
    <w:semiHidden/>
    <w:unhideWhenUsed/>
  </w:style>
  <w:style w:type="paragraph" w:styleId="Textoconsangra">
    <w:name w:val="table of authorities"/>
    <w:basedOn w:val="Normal"/>
    <w:next w:val="Normal"/>
    <w:uiPriority w:val="99"/>
    <w:semiHidden/>
    <w:unhideWhenUsed/>
    <w:pPr>
      <w:ind w:left="220" w:hanging="220"/>
    </w:pPr>
  </w:style>
  <w:style w:type="paragraph" w:styleId="Direccinsobre">
    <w:name w:val="envelope address"/>
    <w:basedOn w:val="Normal"/>
    <w:uiPriority w:val="99"/>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pPr>
      <w:spacing w:line="240" w:lineRule="auto"/>
    </w:pPr>
    <w:rPr>
      <w:i/>
      <w:iCs/>
    </w:rPr>
  </w:style>
  <w:style w:type="character" w:customStyle="1" w:styleId="DireccinHTMLCar">
    <w:name w:val="Dirección HTML Car"/>
    <w:basedOn w:val="Fuentedeprrafopredeter"/>
    <w:link w:val="DireccinHTML"/>
    <w:uiPriority w:val="99"/>
    <w:semiHidden/>
    <w:rPr>
      <w:i/>
      <w:iCs/>
    </w:rPr>
  </w:style>
  <w:style w:type="paragraph" w:styleId="Remitedesobre">
    <w:name w:val="envelope return"/>
    <w:basedOn w:val="Normal"/>
    <w:uiPriority w:val="99"/>
    <w:semiHidden/>
    <w:unhideWhenUse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pPr>
      <w:spacing w:line="240" w:lineRule="auto"/>
    </w:pPr>
  </w:style>
  <w:style w:type="character" w:customStyle="1" w:styleId="EncabezadodenotaCar">
    <w:name w:val="Encabezado de nota Car"/>
    <w:basedOn w:val="Fuentedeprrafopredeter"/>
    <w:link w:val="Encabezadodenota"/>
    <w:uiPriority w:val="99"/>
    <w:semiHidden/>
  </w:style>
  <w:style w:type="paragraph" w:styleId="Mapadeldocumento">
    <w:name w:val="Document Map"/>
    <w:basedOn w:val="Normal"/>
    <w:link w:val="MapadeldocumentoCar"/>
    <w:uiPriority w:val="99"/>
    <w:semiHidden/>
    <w:unhideWhenUse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Pr>
      <w:rFonts w:ascii="Tahoma" w:hAnsi="Tahoma" w:cs="Tahoma"/>
      <w:sz w:val="16"/>
      <w:szCs w:val="16"/>
    </w:rPr>
  </w:style>
  <w:style w:type="paragraph" w:styleId="NormalWeb">
    <w:name w:val="Normal (Web)"/>
    <w:basedOn w:val="Normal"/>
    <w:uiPriority w:val="99"/>
    <w:semiHidden/>
    <w:unhideWhenUsed/>
    <w:rPr>
      <w:sz w:val="24"/>
      <w:szCs w:val="24"/>
    </w:rPr>
  </w:style>
  <w:style w:type="paragraph" w:styleId="Listaconnmeros">
    <w:name w:val="List Number"/>
    <w:basedOn w:val="Normal"/>
    <w:uiPriority w:val="99"/>
    <w:semiHidden/>
    <w:unhideWhenUsed/>
    <w:pPr>
      <w:numPr>
        <w:numId w:val="2"/>
      </w:numPr>
      <w:contextualSpacing/>
    </w:pPr>
  </w:style>
  <w:style w:type="paragraph" w:styleId="Listaconnmeros2">
    <w:name w:val="List Number 2"/>
    <w:basedOn w:val="Normal"/>
    <w:uiPriority w:val="99"/>
    <w:semiHidden/>
    <w:unhideWhenUsed/>
    <w:pPr>
      <w:numPr>
        <w:numId w:val="3"/>
      </w:numPr>
      <w:contextualSpacing/>
    </w:pPr>
  </w:style>
  <w:style w:type="paragraph" w:styleId="Listaconnmeros3">
    <w:name w:val="List Number 3"/>
    <w:basedOn w:val="Normal"/>
    <w:uiPriority w:val="99"/>
    <w:semiHidden/>
    <w:unhideWhenUsed/>
    <w:pPr>
      <w:numPr>
        <w:numId w:val="4"/>
      </w:numPr>
      <w:contextualSpacing/>
    </w:pPr>
  </w:style>
  <w:style w:type="paragraph" w:styleId="Listaconnmeros4">
    <w:name w:val="List Number 4"/>
    <w:basedOn w:val="Normal"/>
    <w:uiPriority w:val="99"/>
    <w:semiHidden/>
    <w:unhideWhenUsed/>
    <w:pPr>
      <w:numPr>
        <w:numId w:val="5"/>
      </w:numPr>
      <w:contextualSpacing/>
    </w:pPr>
  </w:style>
  <w:style w:type="paragraph" w:styleId="Listaconnmeros5">
    <w:name w:val="List Number 5"/>
    <w:basedOn w:val="Normal"/>
    <w:uiPriority w:val="99"/>
    <w:semiHidden/>
    <w:unhideWhenUsed/>
    <w:pPr>
      <w:numPr>
        <w:numId w:val="6"/>
      </w:numPr>
      <w:contextualSpacing/>
    </w:pPr>
  </w:style>
  <w:style w:type="paragraph" w:styleId="HTMLconformatoprevio">
    <w:name w:val="HTML Preformatted"/>
    <w:basedOn w:val="Normal"/>
    <w:link w:val="HTMLconformatoprevioCar"/>
    <w:uiPriority w:val="99"/>
    <w:semiHidden/>
    <w:unhideWhenUse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283"/>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Listaconvietas">
    <w:name w:val="List Bullet"/>
    <w:basedOn w:val="Normal"/>
    <w:uiPriority w:val="99"/>
    <w:semiHidden/>
    <w:unhideWhenUsed/>
    <w:pPr>
      <w:numPr>
        <w:numId w:val="7"/>
      </w:numPr>
      <w:contextualSpacing/>
    </w:pPr>
  </w:style>
  <w:style w:type="paragraph" w:styleId="Listaconvietas2">
    <w:name w:val="List Bullet 2"/>
    <w:basedOn w:val="Normal"/>
    <w:uiPriority w:val="99"/>
    <w:semiHidden/>
    <w:unhideWhenUsed/>
    <w:pPr>
      <w:numPr>
        <w:numId w:val="8"/>
      </w:numPr>
      <w:contextualSpacing/>
    </w:pPr>
  </w:style>
  <w:style w:type="paragraph" w:styleId="Listaconvietas3">
    <w:name w:val="List Bullet 3"/>
    <w:basedOn w:val="Normal"/>
    <w:uiPriority w:val="99"/>
    <w:semiHidden/>
    <w:unhideWhenUsed/>
    <w:pPr>
      <w:numPr>
        <w:numId w:val="9"/>
      </w:numPr>
      <w:contextualSpacing/>
    </w:pPr>
  </w:style>
  <w:style w:type="paragraph" w:styleId="Listaconvietas4">
    <w:name w:val="List Bullet 4"/>
    <w:basedOn w:val="Normal"/>
    <w:uiPriority w:val="99"/>
    <w:semiHidden/>
    <w:unhideWhenUsed/>
    <w:pPr>
      <w:numPr>
        <w:numId w:val="10"/>
      </w:numPr>
      <w:contextualSpacing/>
    </w:pPr>
  </w:style>
  <w:style w:type="paragraph" w:styleId="Listaconvietas5">
    <w:name w:val="List Bullet 5"/>
    <w:basedOn w:val="Normal"/>
    <w:uiPriority w:val="99"/>
    <w:semiHidden/>
    <w:unhideWhenUsed/>
    <w:pPr>
      <w:numPr>
        <w:numId w:val="11"/>
      </w:numPr>
      <w:contextualSpacing/>
    </w:pPr>
  </w:style>
  <w:style w:type="paragraph" w:styleId="Sangra2detindependiente">
    <w:name w:val="Body Text Indent 2"/>
    <w:basedOn w:val="Normal"/>
    <w:link w:val="Sangra2detindependienteCar"/>
    <w:uiPriority w:val="99"/>
    <w:semiHidden/>
    <w:unhideWhenUse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Pr>
      <w:sz w:val="16"/>
      <w:szCs w:val="16"/>
    </w:rPr>
  </w:style>
  <w:style w:type="paragraph" w:styleId="Sangranormal">
    <w:name w:val="Normal Indent"/>
    <w:basedOn w:val="Normal"/>
    <w:uiPriority w:val="99"/>
    <w:semiHidden/>
    <w:unhideWhenUsed/>
    <w:pPr>
      <w:ind w:left="720"/>
    </w:pPr>
  </w:style>
  <w:style w:type="paragraph" w:styleId="Textocomentario">
    <w:name w:val="annotation text"/>
    <w:basedOn w:val="Normal"/>
    <w:link w:val="TextocomentarioCar"/>
    <w:uiPriority w:val="99"/>
    <w:unhideWhenUsed/>
    <w:pPr>
      <w:spacing w:line="240" w:lineRule="auto"/>
    </w:pPr>
  </w:style>
  <w:style w:type="character" w:customStyle="1" w:styleId="TextocomentarioCar">
    <w:name w:val="Texto comentario Car"/>
    <w:basedOn w:val="Fuentedeprrafopredeter"/>
    <w:link w:val="Textocomentario"/>
    <w:uiPriority w:val="99"/>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DC1">
    <w:name w:val="toc 1"/>
    <w:basedOn w:val="Normal"/>
    <w:next w:val="Normal"/>
    <w:autoRedefine/>
    <w:uiPriority w:val="39"/>
    <w:semiHidden/>
    <w:unhideWhenUsed/>
    <w:pPr>
      <w:spacing w:after="100"/>
    </w:pPr>
  </w:style>
  <w:style w:type="paragraph" w:styleId="TDC2">
    <w:name w:val="toc 2"/>
    <w:basedOn w:val="Normal"/>
    <w:next w:val="Normal"/>
    <w:autoRedefine/>
    <w:uiPriority w:val="39"/>
    <w:semiHidden/>
    <w:unhideWhenUsed/>
    <w:pPr>
      <w:spacing w:after="100"/>
      <w:ind w:left="220"/>
    </w:pPr>
  </w:style>
  <w:style w:type="paragraph" w:styleId="TDC3">
    <w:name w:val="toc 3"/>
    <w:basedOn w:val="Normal"/>
    <w:next w:val="Normal"/>
    <w:autoRedefine/>
    <w:uiPriority w:val="39"/>
    <w:semiHidden/>
    <w:unhideWhenUsed/>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styleId="Textodebloque">
    <w:name w:val="Block Text"/>
    <w:basedOn w:val="Normal"/>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Pr>
      <w:rFonts w:ascii="Consolas" w:hAnsi="Consolas" w:cs="Consolas"/>
      <w:sz w:val="20"/>
      <w:szCs w:val="20"/>
    </w:rPr>
  </w:style>
  <w:style w:type="paragraph" w:styleId="Textosinformato">
    <w:name w:val="Plain Text"/>
    <w:basedOn w:val="Normal"/>
    <w:link w:val="TextosinformatoCar"/>
    <w:uiPriority w:val="99"/>
    <w:semiHidden/>
    <w:unhideWhenUse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Pr>
      <w:rFonts w:ascii="Consolas" w:hAnsi="Consolas" w:cs="Consolas"/>
      <w:sz w:val="21"/>
      <w:szCs w:val="21"/>
    </w:rPr>
  </w:style>
  <w:style w:type="paragraph" w:styleId="Textonotapie">
    <w:name w:val="footnote text"/>
    <w:basedOn w:val="Normal"/>
    <w:link w:val="TextonotapieCar"/>
    <w:uiPriority w:val="99"/>
    <w:semiHidden/>
    <w:unhideWhenUsed/>
    <w:pPr>
      <w:spacing w:line="240" w:lineRule="auto"/>
    </w:pPr>
  </w:style>
  <w:style w:type="character" w:customStyle="1" w:styleId="TextonotapieCar">
    <w:name w:val="Texto nota pie Car"/>
    <w:basedOn w:val="Fuentedeprrafopredeter"/>
    <w:link w:val="Textonotapie"/>
    <w:uiPriority w:val="99"/>
    <w:semiHidden/>
    <w:rPr>
      <w:sz w:val="20"/>
      <w:szCs w:val="20"/>
    </w:rPr>
  </w:style>
  <w:style w:type="paragraph" w:styleId="Textonotaalfinal">
    <w:name w:val="endnote text"/>
    <w:basedOn w:val="Normal"/>
    <w:link w:val="TextonotaalfinalCar"/>
    <w:uiPriority w:val="99"/>
    <w:semiHidden/>
    <w:unhideWhenUsed/>
    <w:pPr>
      <w:spacing w:line="240" w:lineRule="auto"/>
    </w:pPr>
  </w:style>
  <w:style w:type="character" w:customStyle="1" w:styleId="TextonotaalfinalCar">
    <w:name w:val="Texto nota al final Car"/>
    <w:basedOn w:val="Fuentedeprrafopredeter"/>
    <w:link w:val="Textonotaalfinal"/>
    <w:uiPriority w:val="99"/>
    <w:semiHidden/>
    <w:rPr>
      <w:sz w:val="20"/>
      <w:szCs w:val="20"/>
    </w:rPr>
  </w:style>
  <w:style w:type="character" w:customStyle="1" w:styleId="Ttulo1Car">
    <w:name w:val="Título 1 Car"/>
    <w:basedOn w:val="Fuentedeprrafopredeter"/>
    <w:link w:val="Ttulo1"/>
    <w:uiPriority w:val="9"/>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tulodeTDC">
    <w:name w:val="TOC Heading"/>
    <w:basedOn w:val="Ttulo1"/>
    <w:next w:val="Normal"/>
    <w:uiPriority w:val="39"/>
    <w:semiHidden/>
    <w:unhideWhenUsed/>
    <w:qFormat/>
    <w:pPr>
      <w:outlineLvl w:val="9"/>
    </w:pPr>
  </w:style>
  <w:style w:type="paragraph" w:customStyle="1" w:styleId="CETemail">
    <w:name w:val="CET email"/>
    <w:next w:val="CETBodytext"/>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Pr>
      <w:rFonts w:ascii="Arial" w:eastAsia="Times New Roman" w:hAnsi="Arial" w:cs="Times New Roman"/>
      <w:noProof/>
      <w:sz w:val="16"/>
      <w:szCs w:val="20"/>
      <w:lang w:val="en-GB"/>
    </w:rPr>
  </w:style>
  <w:style w:type="paragraph" w:customStyle="1" w:styleId="CETBodytextBold">
    <w:name w:val="CET Body text (Bold)"/>
    <w:basedOn w:val="CETBodytext"/>
    <w:rPr>
      <w:b/>
    </w:rPr>
  </w:style>
  <w:style w:type="paragraph" w:customStyle="1" w:styleId="CETnumberingbullets">
    <w:name w:val="CET numbering (bullets)"/>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Pr>
      <w:rFonts w:ascii="Arial" w:eastAsia="Times New Roman" w:hAnsi="Arial" w:cs="Times New Roman"/>
      <w:sz w:val="18"/>
      <w:szCs w:val="20"/>
      <w:lang w:val="en-GB"/>
    </w:rPr>
  </w:style>
  <w:style w:type="paragraph" w:styleId="Piedepgina">
    <w:name w:val="footer"/>
    <w:basedOn w:val="Normal"/>
    <w:link w:val="PiedepginaCar"/>
    <w:uiPriority w:val="99"/>
    <w:unhideWhenUsed/>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Pr>
      <w:rFonts w:ascii="Arial" w:eastAsia="Times New Roman" w:hAnsi="Arial" w:cs="Times New Roman"/>
      <w:sz w:val="18"/>
      <w:szCs w:val="20"/>
      <w:lang w:val="en-GB"/>
    </w:r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Pr>
      <w:color w:val="0000FF" w:themeColor="hyperlink"/>
      <w:u w:val="single"/>
    </w:rPr>
  </w:style>
  <w:style w:type="character" w:customStyle="1" w:styleId="eudoraheader">
    <w:name w:val="eudoraheader"/>
    <w:basedOn w:val="Fuentedeprrafopredeter"/>
  </w:style>
  <w:style w:type="paragraph" w:customStyle="1" w:styleId="CETListbullets">
    <w:name w:val="CET List bullets"/>
    <w:qFormat/>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pPr>
      <w:spacing w:before="120" w:after="120"/>
      <w:jc w:val="left"/>
    </w:pPr>
    <w:rPr>
      <w:lang w:val="en-GB"/>
    </w:rPr>
  </w:style>
  <w:style w:type="paragraph" w:customStyle="1" w:styleId="CETHeadingxx">
    <w:name w:val="CET Headingxx"/>
    <w:basedOn w:val="CETheadingx"/>
    <w:link w:val="CETHeadingxxChar"/>
    <w:qFormat/>
    <w:pPr>
      <w:numPr>
        <w:ilvl w:val="0"/>
        <w:numId w:val="0"/>
      </w:numPr>
    </w:pPr>
  </w:style>
  <w:style w:type="character" w:customStyle="1" w:styleId="CETHeadingxxChar">
    <w:name w:val="CET Headingxx Char"/>
    <w:basedOn w:val="CETheadingxCarattere"/>
    <w:link w:val="CETHeadingxx"/>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5A607-0E27-4219-A6CA-3D7BAB7A5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2831</Words>
  <Characters>15574</Characters>
  <Application>Microsoft Office Word</Application>
  <DocSecurity>0</DocSecurity>
  <Lines>129</Lines>
  <Paragraphs>36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Gerhard</cp:lastModifiedBy>
  <cp:revision>2</cp:revision>
  <cp:lastPrinted>2015-05-12T18:31:00Z</cp:lastPrinted>
  <dcterms:created xsi:type="dcterms:W3CDTF">2021-02-17T13:27:00Z</dcterms:created>
  <dcterms:modified xsi:type="dcterms:W3CDTF">2021-02-17T13:27:00Z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