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55FD5D7" w:rsidR="000A03B2" w:rsidRPr="00B57B36" w:rsidRDefault="00A76EFC" w:rsidP="00EC1D9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C1D9F">
              <w:rPr>
                <w:rFonts w:cs="Arial"/>
                <w:b/>
                <w:bCs/>
                <w:i/>
                <w:iCs/>
                <w:color w:val="000066"/>
                <w:sz w:val="22"/>
                <w:szCs w:val="22"/>
                <w:lang w:eastAsia="it-IT"/>
              </w:rPr>
              <w:t>2</w:t>
            </w:r>
            <w:r w:rsidR="00FA5F5F">
              <w:rPr>
                <w:rFonts w:cs="Arial"/>
                <w:b/>
                <w:bCs/>
                <w:i/>
                <w:iCs/>
                <w:color w:val="000066"/>
                <w:sz w:val="22"/>
                <w:szCs w:val="22"/>
                <w:lang w:eastAsia="it-IT"/>
              </w:rPr>
              <w:t>, 20</w:t>
            </w:r>
            <w:r w:rsidR="00DF5072">
              <w:rPr>
                <w:rFonts w:cs="Arial"/>
                <w:b/>
                <w:bCs/>
                <w:i/>
                <w:iCs/>
                <w:color w:val="000066"/>
                <w:sz w:val="22"/>
                <w:szCs w:val="22"/>
                <w:lang w:eastAsia="it-IT"/>
              </w:rPr>
              <w:t>20</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DAB152D" w:rsidR="00300E56" w:rsidRPr="00FE5F89" w:rsidRDefault="00300E56" w:rsidP="007931FA">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w:t>
            </w:r>
            <w:r w:rsidR="00904C62" w:rsidRPr="00FE5F89">
              <w:rPr>
                <w:rFonts w:ascii="Tahoma" w:hAnsi="Tahoma" w:cs="Tahoma"/>
                <w:iCs/>
                <w:color w:val="333333"/>
                <w:sz w:val="14"/>
                <w:szCs w:val="14"/>
                <w:lang w:val="it-IT" w:eastAsia="it-IT"/>
              </w:rPr>
              <w:t xml:space="preserve"> </w:t>
            </w:r>
            <w:r w:rsidR="00EC1D9F" w:rsidRPr="00FE5F89">
              <w:rPr>
                <w:rFonts w:ascii="Tahoma" w:hAnsi="Tahoma" w:cs="Tahoma"/>
                <w:iCs/>
                <w:color w:val="333333"/>
                <w:sz w:val="14"/>
                <w:szCs w:val="14"/>
                <w:lang w:val="it-IT" w:eastAsia="it-IT"/>
              </w:rPr>
              <w:t>Selena Sironi, Laura Capelli</w:t>
            </w:r>
          </w:p>
          <w:p w14:paraId="1B0F1814" w14:textId="06B41921" w:rsidR="000A03B2" w:rsidRPr="00B57B36" w:rsidRDefault="00FA5F5F" w:rsidP="00EC1D9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20</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C1D9F">
              <w:rPr>
                <w:rFonts w:ascii="Tahoma" w:hAnsi="Tahoma" w:cs="Tahoma"/>
                <w:sz w:val="14"/>
                <w:szCs w:val="14"/>
              </w:rPr>
              <w:t>0</w:t>
            </w:r>
            <w:r w:rsidR="008D32B9" w:rsidRPr="00EF06D9">
              <w:rPr>
                <w:rFonts w:ascii="Tahoma" w:hAnsi="Tahoma" w:cs="Tahoma"/>
                <w:sz w:val="14"/>
                <w:szCs w:val="14"/>
              </w:rPr>
              <w:t>-</w:t>
            </w:r>
            <w:r w:rsidR="00EC1D9F">
              <w:rPr>
                <w:rFonts w:ascii="Tahoma" w:hAnsi="Tahoma" w:cs="Tahoma"/>
                <w:sz w:val="14"/>
                <w:szCs w:val="14"/>
              </w:rPr>
              <w:t>8</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1358998" w:rsidR="00E978D0" w:rsidRPr="00B57B36" w:rsidRDefault="001C253D" w:rsidP="00E978D0">
      <w:pPr>
        <w:pStyle w:val="CETTitle"/>
      </w:pPr>
      <w:r>
        <w:t xml:space="preserve">Sustainable </w:t>
      </w:r>
      <w:r w:rsidR="002A358B">
        <w:t xml:space="preserve">Odour and </w:t>
      </w:r>
      <w:r>
        <w:t>Greenhouse Gas Emissions Control in Wastewater Treatment Plant by Advanced Biotechnology-Based System</w:t>
      </w:r>
    </w:p>
    <w:p w14:paraId="2B3CA35C" w14:textId="2EEC37F4" w:rsidR="00E978D0" w:rsidRPr="001C253D" w:rsidRDefault="001C253D" w:rsidP="00AB5011">
      <w:pPr>
        <w:pStyle w:val="CETAuthors"/>
        <w:rPr>
          <w:lang w:val="it-IT"/>
        </w:rPr>
      </w:pPr>
      <w:r w:rsidRPr="001C253D">
        <w:rPr>
          <w:lang w:val="it-IT"/>
        </w:rPr>
        <w:t>Vincenzo Senatore</w:t>
      </w:r>
      <w:r w:rsidR="00600535" w:rsidRPr="001C253D">
        <w:rPr>
          <w:lang w:val="it-IT"/>
        </w:rPr>
        <w:t>*</w:t>
      </w:r>
      <w:r w:rsidR="005D6C53" w:rsidRPr="005D6C53">
        <w:rPr>
          <w:vertAlign w:val="superscript"/>
          <w:lang w:val="it-IT"/>
        </w:rPr>
        <w:t>,a</w:t>
      </w:r>
      <w:r w:rsidR="00600535" w:rsidRPr="001C253D">
        <w:rPr>
          <w:lang w:val="it-IT"/>
        </w:rPr>
        <w:t>,</w:t>
      </w:r>
      <w:r w:rsidR="005D6C53" w:rsidRPr="005D6C53">
        <w:rPr>
          <w:lang w:val="it-IT"/>
        </w:rPr>
        <w:t xml:space="preserve"> </w:t>
      </w:r>
      <w:r w:rsidR="002A358B" w:rsidRPr="001C253D">
        <w:rPr>
          <w:lang w:val="it-IT"/>
        </w:rPr>
        <w:t>Tiziano Zarra</w:t>
      </w:r>
      <w:r w:rsidR="002A358B" w:rsidRPr="005D6C53">
        <w:rPr>
          <w:vertAlign w:val="superscript"/>
          <w:lang w:val="it-IT"/>
        </w:rPr>
        <w:t>a</w:t>
      </w:r>
      <w:r w:rsidR="002A358B">
        <w:rPr>
          <w:lang w:val="it-IT"/>
        </w:rPr>
        <w:t xml:space="preserve">, </w:t>
      </w:r>
      <w:r w:rsidR="005D6C53" w:rsidRPr="005D6C53">
        <w:rPr>
          <w:lang w:val="it-IT"/>
        </w:rPr>
        <w:t>Rekich R. Pahunang</w:t>
      </w:r>
      <w:r w:rsidR="005D6C53" w:rsidRPr="005D6C53">
        <w:rPr>
          <w:vertAlign w:val="superscript"/>
          <w:lang w:val="it-IT"/>
        </w:rPr>
        <w:t>b</w:t>
      </w:r>
      <w:r w:rsidR="005D6C53" w:rsidRPr="005D6C53">
        <w:rPr>
          <w:lang w:val="it-IT"/>
        </w:rPr>
        <w:t xml:space="preserve">, </w:t>
      </w:r>
      <w:r w:rsidR="009E743D">
        <w:rPr>
          <w:lang w:val="it-IT"/>
        </w:rPr>
        <w:t>Giuseppina Oliva</w:t>
      </w:r>
      <w:r w:rsidR="009E743D" w:rsidRPr="009E743D">
        <w:rPr>
          <w:vertAlign w:val="superscript"/>
          <w:lang w:val="it-IT"/>
        </w:rPr>
        <w:t>a</w:t>
      </w:r>
      <w:r w:rsidR="009E743D">
        <w:rPr>
          <w:lang w:val="it-IT"/>
        </w:rPr>
        <w:t xml:space="preserve">, </w:t>
      </w:r>
      <w:r w:rsidRPr="001C253D">
        <w:rPr>
          <w:lang w:val="it-IT"/>
        </w:rPr>
        <w:t>Vincenzo Belgiorno</w:t>
      </w:r>
      <w:r w:rsidR="005D6C53" w:rsidRPr="005D6C53">
        <w:rPr>
          <w:vertAlign w:val="superscript"/>
          <w:lang w:val="it-IT"/>
        </w:rPr>
        <w:t>a</w:t>
      </w:r>
      <w:r w:rsidRPr="001C253D">
        <w:rPr>
          <w:lang w:val="it-IT"/>
        </w:rPr>
        <w:t xml:space="preserve">, </w:t>
      </w:r>
      <w:r w:rsidR="005D6C53" w:rsidRPr="005D6C53">
        <w:rPr>
          <w:lang w:val="it-IT"/>
        </w:rPr>
        <w:t>Florencio C. Ballesteros Jr.</w:t>
      </w:r>
      <w:r w:rsidR="005D6C53" w:rsidRPr="005D6C53">
        <w:rPr>
          <w:vertAlign w:val="superscript"/>
          <w:lang w:val="it-IT"/>
        </w:rPr>
        <w:t>c</w:t>
      </w:r>
      <w:r w:rsidR="002A358B">
        <w:rPr>
          <w:lang w:val="it-IT"/>
        </w:rPr>
        <w:t>,</w:t>
      </w:r>
      <w:r w:rsidR="002A358B" w:rsidRPr="002A358B">
        <w:rPr>
          <w:lang w:val="it-IT"/>
        </w:rPr>
        <w:t xml:space="preserve"> </w:t>
      </w:r>
      <w:r w:rsidR="002A358B" w:rsidRPr="001C253D">
        <w:rPr>
          <w:lang w:val="it-IT"/>
        </w:rPr>
        <w:t>Vincenzo Naddeo</w:t>
      </w:r>
      <w:r w:rsidR="002A358B" w:rsidRPr="005D6C53">
        <w:rPr>
          <w:vertAlign w:val="superscript"/>
          <w:lang w:val="it-IT"/>
        </w:rPr>
        <w:t>a</w:t>
      </w:r>
    </w:p>
    <w:p w14:paraId="5053C5A8" w14:textId="4E58B0A0" w:rsidR="00E978D0" w:rsidRDefault="005D6C53" w:rsidP="00E978D0">
      <w:pPr>
        <w:pStyle w:val="CETAddress"/>
      </w:pPr>
      <w:r w:rsidRPr="005D6C53">
        <w:rPr>
          <w:vertAlign w:val="superscript"/>
        </w:rPr>
        <w:t>a</w:t>
      </w:r>
      <w:r>
        <w:rPr>
          <w:vertAlign w:val="superscript"/>
        </w:rPr>
        <w:t xml:space="preserve"> </w:t>
      </w:r>
      <w:r w:rsidR="001C253D" w:rsidRPr="001C253D">
        <w:t>Sanitary Environmental Engineering Division (SEED), Department of Civil Engineering, University of Salerno, via Giovanni Paolo II, Fisciano, SA, Italy</w:t>
      </w:r>
    </w:p>
    <w:p w14:paraId="63EFA53B" w14:textId="77777777" w:rsidR="005D6C53" w:rsidRDefault="005D6C53" w:rsidP="005D6C53">
      <w:pPr>
        <w:pStyle w:val="CETAddress"/>
      </w:pPr>
      <w:r w:rsidRPr="005D6C53">
        <w:rPr>
          <w:vertAlign w:val="superscript"/>
        </w:rPr>
        <w:t>b</w:t>
      </w:r>
      <w:r>
        <w:t xml:space="preserve"> Environmental Engineering Program, National Graduate School of Engineering, University of the Philippines, Diliman, Quezon City, Philippines</w:t>
      </w:r>
    </w:p>
    <w:p w14:paraId="38D29194" w14:textId="17BF703C" w:rsidR="00E978D0" w:rsidRDefault="005D6C53" w:rsidP="00E978D0">
      <w:pPr>
        <w:pStyle w:val="CETAddress"/>
      </w:pPr>
      <w:r w:rsidRPr="005D6C53">
        <w:rPr>
          <w:vertAlign w:val="superscript"/>
        </w:rPr>
        <w:t>c</w:t>
      </w:r>
      <w:r>
        <w:t xml:space="preserve"> Department of Chemical Engineering, University of the Philippines, Diliman, Quezon City, 1101 Philippines</w:t>
      </w:r>
    </w:p>
    <w:p w14:paraId="2641720F" w14:textId="77777777" w:rsidR="00653F1B" w:rsidRPr="00B57B36" w:rsidRDefault="00653F1B" w:rsidP="00E978D0">
      <w:pPr>
        <w:pStyle w:val="CETAddress"/>
      </w:pPr>
    </w:p>
    <w:p w14:paraId="0127A28D" w14:textId="73668ACC" w:rsidR="00E978D0" w:rsidRPr="00B57B36" w:rsidRDefault="002A358B" w:rsidP="00E978D0">
      <w:pPr>
        <w:pStyle w:val="CETemail"/>
      </w:pPr>
      <w:r>
        <w:t xml:space="preserve">* </w:t>
      </w:r>
      <w:r w:rsidR="001C253D">
        <w:t>vsenatore@unisa.it</w:t>
      </w:r>
    </w:p>
    <w:p w14:paraId="5B641E93" w14:textId="7A725743" w:rsidR="001C253D" w:rsidRDefault="003F55E7" w:rsidP="001C253D">
      <w:pPr>
        <w:pStyle w:val="CETBodytext"/>
        <w:rPr>
          <w:lang w:val="en-GB"/>
        </w:rPr>
      </w:pPr>
      <w:r w:rsidRPr="003F55E7">
        <w:rPr>
          <w:lang w:val="en-GB"/>
        </w:rPr>
        <w:t>Odours emissions from various facilities such as wastewater treatment plants (WWTP</w:t>
      </w:r>
      <w:r w:rsidR="007013F8">
        <w:rPr>
          <w:lang w:val="en-GB"/>
        </w:rPr>
        <w:t>s</w:t>
      </w:r>
      <w:r w:rsidRPr="003F55E7">
        <w:rPr>
          <w:lang w:val="en-GB"/>
        </w:rPr>
        <w:t>), are becoming one of the main issues to face down for the plant operators to avoid complaints and potential impact, especially for the plants located nearby to the residential areas. The need to implement odour control strategies, for instance by using treatment technologies, is therefore a key point in the management of the plant. Moreover, in a world increasingly concerned about sustainability and environmental preservation, the identification of environmentally friendly odour treatment technologies is to be recommended and prescribed.</w:t>
      </w:r>
      <w:r>
        <w:rPr>
          <w:lang w:val="en-GB"/>
        </w:rPr>
        <w:t xml:space="preserve"> </w:t>
      </w:r>
      <w:r w:rsidRPr="003F55E7">
        <w:rPr>
          <w:lang w:val="en-GB"/>
        </w:rPr>
        <w:t xml:space="preserve">The research presents the development of an advanced sustainable biotechnology-based control system </w:t>
      </w:r>
      <w:r>
        <w:rPr>
          <w:lang w:val="en-GB"/>
        </w:rPr>
        <w:t xml:space="preserve">able to treat </w:t>
      </w:r>
      <w:r w:rsidRPr="003F55E7">
        <w:rPr>
          <w:lang w:val="en-GB"/>
        </w:rPr>
        <w:t>odour and greenhouse gas emissions (GHG), with the aim to g</w:t>
      </w:r>
      <w:r>
        <w:rPr>
          <w:lang w:val="en-GB"/>
        </w:rPr>
        <w:t>uarantee a sustainable process.</w:t>
      </w:r>
      <w:r w:rsidR="005D6C53">
        <w:rPr>
          <w:lang w:val="en-GB"/>
        </w:rPr>
        <w:t xml:space="preserve"> </w:t>
      </w:r>
      <w:r w:rsidR="005D6C53" w:rsidRPr="005D6C53">
        <w:rPr>
          <w:lang w:val="en-GB"/>
        </w:rPr>
        <w:t>The performance of the advanced biotechnology system is highlighted</w:t>
      </w:r>
      <w:r>
        <w:rPr>
          <w:lang w:val="en-GB"/>
        </w:rPr>
        <w:t xml:space="preserve"> in terms of CO</w:t>
      </w:r>
      <w:r w:rsidRPr="003F55E7">
        <w:rPr>
          <w:vertAlign w:val="subscript"/>
          <w:lang w:val="en-GB"/>
        </w:rPr>
        <w:t>2</w:t>
      </w:r>
      <w:r>
        <w:rPr>
          <w:lang w:val="en-GB"/>
        </w:rPr>
        <w:t xml:space="preserve"> capture and reduction</w:t>
      </w:r>
      <w:r w:rsidR="005D6C53" w:rsidRPr="005D6C53">
        <w:rPr>
          <w:lang w:val="en-GB"/>
        </w:rPr>
        <w:t xml:space="preserve">, by analysing different operating conditions (e.g. inlet load; L/G </w:t>
      </w:r>
      <w:proofErr w:type="spellStart"/>
      <w:r w:rsidR="00275730">
        <w:rPr>
          <w:lang w:val="en-GB"/>
        </w:rPr>
        <w:t>liquid:gas</w:t>
      </w:r>
      <w:proofErr w:type="spellEnd"/>
      <w:r w:rsidR="00275730">
        <w:rPr>
          <w:lang w:val="en-GB"/>
        </w:rPr>
        <w:t xml:space="preserve"> </w:t>
      </w:r>
      <w:r w:rsidR="005D6C53" w:rsidRPr="005D6C53">
        <w:rPr>
          <w:lang w:val="en-GB"/>
        </w:rPr>
        <w:t>ratio; light intensity etc.).</w:t>
      </w:r>
      <w:r>
        <w:rPr>
          <w:lang w:val="en-GB"/>
        </w:rPr>
        <w:t xml:space="preserve"> </w:t>
      </w:r>
      <w:r w:rsidR="00314579" w:rsidRPr="00314579">
        <w:rPr>
          <w:lang w:val="en-GB"/>
        </w:rPr>
        <w:t>The result shows that the technology can capture</w:t>
      </w:r>
      <w:r w:rsidR="00314579">
        <w:rPr>
          <w:lang w:val="en-GB"/>
        </w:rPr>
        <w:t xml:space="preserve"> up to 80</w:t>
      </w:r>
      <w:r w:rsidR="00314579" w:rsidRPr="00314579">
        <w:rPr>
          <w:lang w:val="en-GB"/>
        </w:rPr>
        <w:t>% of CO</w:t>
      </w:r>
      <w:r w:rsidR="00314579" w:rsidRPr="00314579">
        <w:rPr>
          <w:vertAlign w:val="subscript"/>
          <w:lang w:val="en-GB"/>
        </w:rPr>
        <w:t>2</w:t>
      </w:r>
      <w:r w:rsidR="00314579" w:rsidRPr="00314579">
        <w:rPr>
          <w:lang w:val="en-GB"/>
        </w:rPr>
        <w:t xml:space="preserve"> concentration, but can be enhanced with correct and proper operation with the important parameters. </w:t>
      </w:r>
      <w:r w:rsidR="001C253D" w:rsidRPr="001C253D">
        <w:rPr>
          <w:lang w:val="en-GB"/>
        </w:rPr>
        <w:t xml:space="preserve">The proposed advanced biotechnology system proves to be effective as a sustainable treatment process. The information presented in this research will be of interest to anyone involved with carbon capture and utilization (CCU) technology. </w:t>
      </w:r>
    </w:p>
    <w:p w14:paraId="476B2F2E" w14:textId="553F500E" w:rsidR="00600535" w:rsidRDefault="00600535" w:rsidP="00600535">
      <w:pPr>
        <w:pStyle w:val="CETHeading1"/>
        <w:rPr>
          <w:lang w:val="en-GB"/>
        </w:rPr>
      </w:pPr>
      <w:r w:rsidRPr="00B57B36">
        <w:rPr>
          <w:lang w:val="en-GB"/>
        </w:rPr>
        <w:t>Introduction</w:t>
      </w:r>
    </w:p>
    <w:p w14:paraId="4881D2CC" w14:textId="0E6F8C88" w:rsidR="001E4D1E" w:rsidRDefault="007D5634" w:rsidP="00DB4A8C">
      <w:pPr>
        <w:spacing w:line="240" w:lineRule="auto"/>
        <w:rPr>
          <w:rFonts w:eastAsiaTheme="minorHAnsi" w:cstheme="minorBidi"/>
          <w:noProof/>
          <w:szCs w:val="22"/>
          <w:lang w:val="en-US"/>
        </w:rPr>
      </w:pPr>
      <w:bookmarkStart w:id="0" w:name="_Hlk35518614"/>
      <w:r>
        <w:rPr>
          <w:rFonts w:eastAsiaTheme="minorHAnsi" w:cstheme="minorBidi"/>
          <w:szCs w:val="22"/>
          <w:lang w:val="en-US"/>
        </w:rPr>
        <w:t xml:space="preserve">Wastewater treatment plants (WWTPs) </w:t>
      </w:r>
      <w:proofErr w:type="spellStart"/>
      <w:r>
        <w:rPr>
          <w:rFonts w:eastAsiaTheme="minorHAnsi" w:cstheme="minorBidi"/>
          <w:szCs w:val="22"/>
          <w:lang w:val="en-US"/>
        </w:rPr>
        <w:t>odours</w:t>
      </w:r>
      <w:proofErr w:type="spellEnd"/>
      <w:r>
        <w:rPr>
          <w:rFonts w:eastAsiaTheme="minorHAnsi" w:cstheme="minorBidi"/>
          <w:szCs w:val="22"/>
          <w:lang w:val="en-US"/>
        </w:rPr>
        <w:t xml:space="preserve"> emissions </w:t>
      </w:r>
      <w:r w:rsidR="00E90688">
        <w:rPr>
          <w:rFonts w:eastAsiaTheme="minorHAnsi" w:cstheme="minorBidi"/>
          <w:szCs w:val="22"/>
          <w:lang w:val="en-US"/>
        </w:rPr>
        <w:t xml:space="preserve">is cause of annoyance and </w:t>
      </w:r>
      <w:r>
        <w:rPr>
          <w:rFonts w:eastAsiaTheme="minorHAnsi" w:cstheme="minorBidi"/>
          <w:szCs w:val="22"/>
          <w:lang w:val="en-US"/>
        </w:rPr>
        <w:t>can affect the quality of li</w:t>
      </w:r>
      <w:r w:rsidR="00275730">
        <w:rPr>
          <w:rFonts w:eastAsiaTheme="minorHAnsi" w:cstheme="minorBidi"/>
          <w:szCs w:val="22"/>
          <w:lang w:val="en-US"/>
        </w:rPr>
        <w:t>f</w:t>
      </w:r>
      <w:r>
        <w:rPr>
          <w:rFonts w:eastAsiaTheme="minorHAnsi" w:cstheme="minorBidi"/>
          <w:szCs w:val="22"/>
          <w:lang w:val="en-US"/>
        </w:rPr>
        <w:t xml:space="preserve">e </w:t>
      </w:r>
      <w:r w:rsidR="00E90688">
        <w:rPr>
          <w:rFonts w:eastAsiaTheme="minorHAnsi" w:cstheme="minorBidi"/>
          <w:szCs w:val="22"/>
          <w:lang w:val="en-US"/>
        </w:rPr>
        <w:t xml:space="preserve">for </w:t>
      </w:r>
      <w:r>
        <w:rPr>
          <w:rFonts w:eastAsiaTheme="minorHAnsi" w:cstheme="minorBidi"/>
          <w:szCs w:val="22"/>
          <w:lang w:val="en-US"/>
        </w:rPr>
        <w:t>the exposed population</w:t>
      </w:r>
      <w:r w:rsidR="006A5850">
        <w:rPr>
          <w:rFonts w:eastAsiaTheme="minorHAnsi" w:cstheme="minorBidi"/>
          <w:szCs w:val="22"/>
          <w:lang w:val="en-US"/>
        </w:rPr>
        <w:t xml:space="preserve"> </w:t>
      </w:r>
      <w:r w:rsidR="006A5850">
        <w:rPr>
          <w:rFonts w:eastAsiaTheme="minorHAnsi" w:cstheme="minorBidi"/>
          <w:szCs w:val="22"/>
          <w:lang w:val="en-US"/>
        </w:rPr>
        <w:fldChar w:fldCharType="begin" w:fldLock="1"/>
      </w:r>
      <w:r w:rsidR="00456353">
        <w:rPr>
          <w:rFonts w:eastAsiaTheme="minorHAnsi" w:cstheme="minorBidi"/>
          <w:szCs w:val="22"/>
          <w:lang w:val="en-US"/>
        </w:rPr>
        <w:instrText xml:space="preserve">ADDIN CSL_CITATION {"citationItems":[{"id":"ITEM-1","itemData":{"DOI":"10.3303/CET1230024","ISSN":"22839216","abstract":"Odour emissions are causing serious nuisance for the population, especially in the surrounding of waste water treatment plants (WWTP) and solid waste treatment plants. Extended exposure to odours generate undesirable reactions ranging from emotional stresses such as unease, discomfort, headaches, or depression to physical symptoms. Odour emission characterization is currently discussed in international literature for opportune implementation. Measurement of emissions can be achieved using different methods (analytical, sensorial and/or senso-instrumental) that have different advantages and problems. Among these techniques, there is a growing interest towards the environmental applications of electronic noses. Electronic nose is the only technique that allows continuous monitoring of odours. However, at present there are several limitations affecting the application of electronic nose in the environmental sector. The study investigates the electronic nose potentialities in the environmental sector. Scope of this research activity is to investigate an alternative method to build training data set necessary to distinguish different odour sources generated by solid waste treatment facilities through electronic nose application. The proposed methodology is based on the straightforward application of the electronic nose directly in field with the aim to reduce the time to build the complete data set. Results highlight the great efficiency of the proposed approach to reduce the time to build the complete data set, to maximize the electronic nose capability of operating a qualitative classification of odour sources. Copyright © 2012 AIDIC Servizi S.r.l.","author":[{"dropping-particle":"","family":"Giuliani","given":"Stefano","non-dropping-particle":"","parse-names":false,"suffix":""},{"dropping-particle":"","family":"Zarra","given":"Tiziano","non-dropping-particle":"","parse-names":false,"suffix":""},{"dropping-particle":"","family":"Nicolas","given":"Jacques","non-dropping-particle":"","parse-names":false,"suffix":""},{"dropping-particle":"","family":"Naddeo","given":"Vincenzo","non-dropping-particle":"","parse-names":false,"suffix":""},{"dropping-particle":"","family":"Belgiorno","given":"Vincenzo","non-dropping-particle":"","parse-names":false,"suffix":""},{"dropping-particle":"","family":"Romain","given":"Anne Claude","non-dropping-particle":"","parse-names":false,"suffix":""}],"container-title":"Chemical Engineering Transactions","id":"ITEM-1","issued":{"date-parts":[["2012"]]},"title":"An alternative approach of the e-nose training phase in odour impact assessment","type":"paper-conference"},"uris":["http://www.mendeley.com/documents/?uuid=436f8ac7-2b85-4c0c-85a1-95f89cae8810"]},{"id":"ITEM-2","itemData":{"DOI":"10.1007/s41207-021-00243-w","ISBN":"0123456789","ISSN":"2365-7448","author":[{"dropping-particle":"","family":"Senatore","given":"Vincenzo","non-dropping-particle":"","parse-names":false,"suffix":""},{"dropping-particle":"","family":"Zarra","given":"Tiziano","non-dropping-particle":"","parse-names":false,"suffix":""},{"dropping-particle":"","family":"Buonerba","given":"Antonio","non-dropping-particle":"","parse-names":false,"suffix":""},{"dropping-particle":"","family":"Ho","given":"Kwang","non-dropping-particle":"","parse-names":false,"suffix":""},{"dropping-particle":"","family":"Shadi","given":"Choo","non-dropping-particle":"","parse-names":false,"suffix":""},{"dropping-particle":"","family":"Gregory","given":"W Hasan","non-dropping-particle":"","parse-names":false,"suffix":""}],"container-title":"Euro-Mediterranean Journal for Environmental Integration","id":"ITEM-2","issued":{"date-parts":[["2021"]]},"page":"1-9","publisher":"Springer International Publishing","title":"Indoor versus outdoor transmission of SARS </w:instrText>
      </w:r>
      <w:r w:rsidR="00456353">
        <w:rPr>
          <w:rFonts w:ascii="Cambria Math" w:eastAsiaTheme="minorHAnsi" w:hAnsi="Cambria Math" w:cs="Cambria Math"/>
          <w:szCs w:val="22"/>
          <w:lang w:val="en-US"/>
        </w:rPr>
        <w:instrText>‑</w:instrText>
      </w:r>
      <w:r w:rsidR="00456353">
        <w:rPr>
          <w:rFonts w:eastAsiaTheme="minorHAnsi" w:cstheme="minorBidi"/>
          <w:szCs w:val="22"/>
          <w:lang w:val="en-US"/>
        </w:rPr>
        <w:instrText xml:space="preserve"> COV </w:instrText>
      </w:r>
      <w:r w:rsidR="00456353">
        <w:rPr>
          <w:rFonts w:ascii="Cambria Math" w:eastAsiaTheme="minorHAnsi" w:hAnsi="Cambria Math" w:cs="Cambria Math"/>
          <w:szCs w:val="22"/>
          <w:lang w:val="en-US"/>
        </w:rPr>
        <w:instrText>‑</w:instrText>
      </w:r>
      <w:r w:rsidR="00456353">
        <w:rPr>
          <w:rFonts w:eastAsiaTheme="minorHAnsi" w:cstheme="minorBidi"/>
          <w:szCs w:val="22"/>
          <w:lang w:val="en-US"/>
        </w:rPr>
        <w:instrText xml:space="preserve"> 2 : environmental factors in virus spread and underestimated sources of risk","type":"article-journal"},"uris":["http://www.mendeley.com/documents/?uuid=ffe3a0f7-2c83-4713-8882-817ce0272a0d"]}],"mendeley":{"formattedCitation":"(Giuliani et al., 2012; Vincenzo Senatore, Zarra, et al., 2021)","manualFormatting":"(Giuliani et al., 2012; Senatore et al., 2021b)","plainTextFormattedCitation":"(Giuliani et al., 2012; Vincenzo Senatore, Zarra, et al., 2021)","previouslyFormattedCitation":"(Giuliani et al., 2012; Vincenzo Senatore, Zarra, et al., 2021)"},"properties":{"noteIndex":0},"schema":"https://github.com/citation-style-language/schema/raw/master/csl-citation.json"}</w:instrText>
      </w:r>
      <w:r w:rsidR="006A5850">
        <w:rPr>
          <w:rFonts w:eastAsiaTheme="minorHAnsi" w:cstheme="minorBidi"/>
          <w:szCs w:val="22"/>
          <w:lang w:val="en-US"/>
        </w:rPr>
        <w:fldChar w:fldCharType="separate"/>
      </w:r>
      <w:r w:rsidR="00A316EB" w:rsidRPr="00A316EB">
        <w:rPr>
          <w:rFonts w:eastAsiaTheme="minorHAnsi" w:cstheme="minorBidi"/>
          <w:noProof/>
          <w:szCs w:val="22"/>
          <w:lang w:val="en-US"/>
        </w:rPr>
        <w:t>(Giuliani et al., 2012; Senatore</w:t>
      </w:r>
      <w:r w:rsidR="00A316EB">
        <w:rPr>
          <w:rFonts w:eastAsiaTheme="minorHAnsi" w:cstheme="minorBidi"/>
          <w:noProof/>
          <w:szCs w:val="22"/>
          <w:lang w:val="en-US"/>
        </w:rPr>
        <w:t xml:space="preserve"> </w:t>
      </w:r>
      <w:r w:rsidR="00A316EB" w:rsidRPr="00A316EB">
        <w:rPr>
          <w:rFonts w:eastAsiaTheme="minorHAnsi" w:cstheme="minorBidi"/>
          <w:noProof/>
          <w:szCs w:val="22"/>
          <w:lang w:val="en-US"/>
        </w:rPr>
        <w:t>et al., 2021</w:t>
      </w:r>
      <w:r w:rsidR="00456353">
        <w:rPr>
          <w:rFonts w:eastAsiaTheme="minorHAnsi" w:cstheme="minorBidi"/>
          <w:noProof/>
          <w:szCs w:val="22"/>
          <w:lang w:val="en-US"/>
        </w:rPr>
        <w:t>b</w:t>
      </w:r>
      <w:r w:rsidR="00A316EB" w:rsidRPr="00A316EB">
        <w:rPr>
          <w:rFonts w:eastAsiaTheme="minorHAnsi" w:cstheme="minorBidi"/>
          <w:noProof/>
          <w:szCs w:val="22"/>
          <w:lang w:val="en-US"/>
        </w:rPr>
        <w:t>)</w:t>
      </w:r>
      <w:r w:rsidR="006A5850">
        <w:rPr>
          <w:rFonts w:eastAsiaTheme="minorHAnsi" w:cstheme="minorBidi"/>
          <w:szCs w:val="22"/>
          <w:lang w:val="en-US"/>
        </w:rPr>
        <w:fldChar w:fldCharType="end"/>
      </w:r>
      <w:r>
        <w:rPr>
          <w:rFonts w:eastAsiaTheme="minorHAnsi" w:cstheme="minorBidi"/>
          <w:szCs w:val="22"/>
          <w:lang w:val="en-US"/>
        </w:rPr>
        <w:t xml:space="preserve">. </w:t>
      </w:r>
      <w:proofErr w:type="spellStart"/>
      <w:r w:rsidR="00E90688" w:rsidRPr="00E90688">
        <w:rPr>
          <w:rFonts w:eastAsiaTheme="minorHAnsi" w:cstheme="minorBidi"/>
          <w:szCs w:val="22"/>
          <w:lang w:val="en-US"/>
        </w:rPr>
        <w:t>Odour</w:t>
      </w:r>
      <w:proofErr w:type="spellEnd"/>
      <w:r w:rsidR="00E90688" w:rsidRPr="00E90688">
        <w:rPr>
          <w:rFonts w:eastAsiaTheme="minorHAnsi" w:cstheme="minorBidi"/>
          <w:szCs w:val="22"/>
          <w:lang w:val="en-US"/>
        </w:rPr>
        <w:t xml:space="preserve"> characterization, measurement and treatment are therefore requirements that must be implemented by plant managers to avoid complaints</w:t>
      </w:r>
      <w:r w:rsidR="00E90688">
        <w:rPr>
          <w:rFonts w:eastAsiaTheme="minorHAnsi" w:cstheme="minorBidi"/>
          <w:szCs w:val="22"/>
          <w:lang w:val="en-US"/>
        </w:rPr>
        <w:t xml:space="preserve"> </w:t>
      </w:r>
      <w:r w:rsidR="0064142F" w:rsidRPr="00D56CD6">
        <w:rPr>
          <w:rFonts w:eastAsiaTheme="minorHAnsi" w:cstheme="minorBidi"/>
          <w:szCs w:val="22"/>
          <w:lang w:val="en-US"/>
        </w:rPr>
        <w:fldChar w:fldCharType="begin" w:fldLock="1"/>
      </w:r>
      <w:r w:rsidR="004143F5">
        <w:rPr>
          <w:rFonts w:eastAsiaTheme="minorHAnsi" w:cstheme="minorBidi"/>
          <w:szCs w:val="22"/>
          <w:lang w:val="en-US"/>
        </w:rPr>
        <w:instrText>ADDIN CSL_CITATION {"citationItems":[{"id":"ITEM-1","itemData":{"DOI":"10.1016/j.envint.2019.105189","ISSN":"18736750","abstract":"Unwanted odour emissions are considered air pollutants that may cause detrimental impacts to the environment as well as an indicator of unhealthy air to the affected individuals resulting in annoyance and health related issues. These pollutants are challenging to handle due to their invisibility to the naked eye and can only be felt by the human olfactory stimuli. A strategy to address this issue is by introducing an intelligent processing system to odour monitoring instrument such as artificial neural network to achieve a robust result. In this paper, a review on the application of artificial neural network for the management of environmental odours is presented. The principal factors in developing an optimum artificial neural network were identified as elements, structure and learning algorithms. The management of environmental odour has been distinguished into four aspects such as measurement, characterization, control and treatment and continuous monitoring. For each aspect, the performance of the neural network is critically evaluated emphasizing the strengths and weaknesses. This work aims to address the scarcity of information by addressing the gaps from existing studies in terms of the selection of the most suitable configuration, the benefits and consequences. Adopting this technique could provide a new avenue in the management of environmental odours through the use of a powerful mathematical computing tool for a more efficient and reliable outcome.","author":[{"dropping-particle":"","family":"Zarra","given":"Tiziano","non-dropping-particle":"","parse-names":false,"suffix":""},{"dropping-particle":"","family":"Galang","given":"Mark Gino","non-dropping-particle":"","parse-names":false,"suffix":""},{"dropping-particle":"","family":"Ballesteros","given":"Florencio","non-dropping-particle":"","parse-names":false,"suffix":""},{"dropping-particle":"","family":"Belgiorno","given":"Vincenzo","non-dropping-particle":"","parse-names":false,"suffix":""},{"dropping-particle":"","family":"Naddeo","given":"Vincenzo","non-dropping-particle":"","parse-names":false,"suffix":""}],"container-title":"Environment International","id":"ITEM-1","issue":"May","issued":{"date-parts":[["2019"]]},"page":"105189","publisher":"Elsevier","title":"Environmental odour management by artificial neural network – A review","type":"article-journal","volume":"133"},"uris":["http://www.mendeley.com/documents/?uuid=9ec47f8e-40a7-4a2f-aa8f-1835a4f8ce61"]},{"id":"ITEM-2","itemData":{"abstract":"Different land uses, infrastructures, industrial activities and residential patterns of developed cities expose simultaneously people to several annoying sources. Over recent years, the European Union has provided several tools to harmonize noise mapping methodologies and relative Noise Action Plans through directives. Unfortunately, the same effort has not been made for the harmonization of approaches of other annoying sources such as odours. As a consequence, each European Member State has defined its own direct or indirect approach to limit odour impacts. The most common approach to deal with noise impact is the use of priority indices to highlight areas that are sensitive to both noise and, generally, odour impacts. The aim of the present research is to provide a brief review of the most widely used European strategies in noise action plans as well as try to extend the approaches to the definition of a nuisance action plan, capable of controlling both odour and noise. The analysis underlines that is possible to define the degree of sensitivity of areas according to population, land uses, levels of exposures and/or distance from the annoying sources. Nuisance acceptability levels are then definable according to the sensitivity degree of the locations.","author":[{"dropping-particle":"","family":"Fasolino I","given":"","non-dropping-particle":"","parse-names":false,"suffix":""},{"dropping-particle":"","family":"Grimaldi M","given":"","non-dropping-particle":"","parse-names":false,"suffix":""},{"dropping-particle":"","family":"Zarra T","given":"","non-dropping-particle":"","parse-names":false,"suffix":""},{"dropping-particle":"","family":"Naddeo V","given":"","non-dropping-particle":"","parse-names":false,"suffix":""}],"container-title":"Global NEST Journal","id":"ITEM-2","issued":{"date-parts":[["2016"]]},"title":"Odour Control Strategies for a Sustainable Nuisances Action Plan","type":"article-journal"},"uris":["http://www.mendeley.com/documents/?uuid=f32486ff-08c5-40c6-9420-262f80ab7565"]}],"mendeley":{"formattedCitation":"(Fasolino I et al., 2016; Tiziano Zarra et al., 2019)","manualFormatting":"(Fasolino et al., 2016; Zarra et al., 2019)","plainTextFormattedCitation":"(Fasolino I et al., 2016; Tiziano Zarra et al., 2019)","previouslyFormattedCitation":"(Fasolino I et al., 2016; Tiziano Zarra et al., 2019)"},"properties":{"noteIndex":0},"schema":"https://github.com/citation-style-language/schema/raw/master/csl-citation.json"}</w:instrText>
      </w:r>
      <w:r w:rsidR="0064142F" w:rsidRPr="00D56CD6">
        <w:rPr>
          <w:rFonts w:eastAsiaTheme="minorHAnsi" w:cstheme="minorBidi"/>
          <w:szCs w:val="22"/>
          <w:lang w:val="en-US"/>
        </w:rPr>
        <w:fldChar w:fldCharType="separate"/>
      </w:r>
      <w:r w:rsidR="000B3BF1" w:rsidRPr="000B3BF1">
        <w:rPr>
          <w:rFonts w:eastAsiaTheme="minorHAnsi" w:cstheme="minorBidi"/>
          <w:noProof/>
          <w:szCs w:val="22"/>
          <w:lang w:val="en-US"/>
        </w:rPr>
        <w:t>(Fasolino et al., 2016; Zarra et al., 2019)</w:t>
      </w:r>
      <w:r w:rsidR="0064142F" w:rsidRPr="00D56CD6">
        <w:rPr>
          <w:rFonts w:eastAsiaTheme="minorHAnsi" w:cstheme="minorBidi"/>
          <w:szCs w:val="22"/>
        </w:rPr>
        <w:fldChar w:fldCharType="end"/>
      </w:r>
      <w:r w:rsidR="00E90688">
        <w:rPr>
          <w:rFonts w:eastAsiaTheme="minorHAnsi" w:cstheme="minorBidi"/>
          <w:szCs w:val="22"/>
          <w:lang w:val="en-US"/>
        </w:rPr>
        <w:t>. At present</w:t>
      </w:r>
      <w:r w:rsidR="007013F8">
        <w:rPr>
          <w:rFonts w:eastAsiaTheme="minorHAnsi" w:cstheme="minorBidi"/>
          <w:szCs w:val="22"/>
          <w:lang w:val="en-US"/>
        </w:rPr>
        <w:t xml:space="preserve">, </w:t>
      </w:r>
      <w:r w:rsidR="00E90688">
        <w:rPr>
          <w:rFonts w:eastAsiaTheme="minorHAnsi" w:cstheme="minorBidi"/>
          <w:szCs w:val="22"/>
          <w:lang w:val="en-US"/>
        </w:rPr>
        <w:t xml:space="preserve">the </w:t>
      </w:r>
      <w:r w:rsidR="0064142F">
        <w:rPr>
          <w:rFonts w:eastAsiaTheme="minorHAnsi" w:cstheme="minorBidi"/>
          <w:szCs w:val="22"/>
          <w:lang w:val="en-US"/>
        </w:rPr>
        <w:t xml:space="preserve">main </w:t>
      </w:r>
      <w:proofErr w:type="spellStart"/>
      <w:r w:rsidR="0064142F">
        <w:rPr>
          <w:rFonts w:eastAsiaTheme="minorHAnsi" w:cstheme="minorBidi"/>
          <w:szCs w:val="22"/>
          <w:lang w:val="en-US"/>
        </w:rPr>
        <w:t>odour</w:t>
      </w:r>
      <w:proofErr w:type="spellEnd"/>
      <w:r w:rsidR="0064142F">
        <w:rPr>
          <w:rFonts w:eastAsiaTheme="minorHAnsi" w:cstheme="minorBidi"/>
          <w:szCs w:val="22"/>
          <w:lang w:val="en-US"/>
        </w:rPr>
        <w:t xml:space="preserve"> treatment technologies used, however, cause </w:t>
      </w:r>
      <w:r w:rsidR="0064142F" w:rsidRPr="0064142F">
        <w:rPr>
          <w:rFonts w:eastAsiaTheme="minorHAnsi" w:cstheme="minorBidi"/>
          <w:szCs w:val="22"/>
          <w:lang w:val="en-US"/>
        </w:rPr>
        <w:t xml:space="preserve">significant </w:t>
      </w:r>
      <w:r w:rsidR="0064142F">
        <w:rPr>
          <w:rFonts w:eastAsiaTheme="minorHAnsi" w:cstheme="minorBidi"/>
          <w:szCs w:val="22"/>
          <w:lang w:val="en-US"/>
        </w:rPr>
        <w:t>greenhouse gases (</w:t>
      </w:r>
      <w:r w:rsidR="0064142F" w:rsidRPr="0064142F">
        <w:rPr>
          <w:rFonts w:eastAsiaTheme="minorHAnsi" w:cstheme="minorBidi"/>
          <w:szCs w:val="22"/>
          <w:lang w:val="en-US"/>
        </w:rPr>
        <w:t>GHG</w:t>
      </w:r>
      <w:r w:rsidR="0064142F">
        <w:rPr>
          <w:rFonts w:eastAsiaTheme="minorHAnsi" w:cstheme="minorBidi"/>
          <w:szCs w:val="22"/>
          <w:lang w:val="en-US"/>
        </w:rPr>
        <w:t>)</w:t>
      </w:r>
      <w:r w:rsidR="0064142F" w:rsidRPr="0064142F">
        <w:rPr>
          <w:rFonts w:eastAsiaTheme="minorHAnsi" w:cstheme="minorBidi"/>
          <w:szCs w:val="22"/>
          <w:lang w:val="en-US"/>
        </w:rPr>
        <w:t xml:space="preserve"> </w:t>
      </w:r>
      <w:r w:rsidR="0064142F">
        <w:rPr>
          <w:rFonts w:eastAsiaTheme="minorHAnsi" w:cstheme="minorBidi"/>
          <w:szCs w:val="22"/>
          <w:lang w:val="en-US"/>
        </w:rPr>
        <w:t>emissions</w:t>
      </w:r>
      <w:r w:rsidR="00A76C46">
        <w:rPr>
          <w:rFonts w:eastAsiaTheme="minorHAnsi" w:cstheme="minorBidi"/>
          <w:szCs w:val="22"/>
          <w:lang w:val="en-US"/>
        </w:rPr>
        <w:t xml:space="preserve"> </w:t>
      </w:r>
      <w:r w:rsidR="006A5850">
        <w:rPr>
          <w:rFonts w:eastAsiaTheme="minorHAnsi" w:cstheme="minorBidi"/>
          <w:szCs w:val="22"/>
          <w:lang w:val="en-US"/>
        </w:rPr>
        <w:fldChar w:fldCharType="begin" w:fldLock="1"/>
      </w:r>
      <w:r w:rsidR="004E3ACD">
        <w:rPr>
          <w:rFonts w:eastAsiaTheme="minorHAnsi" w:cstheme="minorBidi"/>
          <w:szCs w:val="22"/>
          <w:lang w:val="en-US"/>
        </w:rPr>
        <w:instrText>ADDIN CSL_CITATION {"citationItems":[{"id":"ITEM-1","itemData":{"DOI":"10.1016/j.chemosphere.2021.129768","ISSN":"00456535","author":[{"dropping-particle":"","family":"Oliva","given":"G.","non-dropping-particle":"","parse-names":false,"suffix":""},{"dropping-particle":"","family":"Zarra","given":"T.","non-dropping-particle":"","parse-names":false,"suffix":""},{"dropping-particle":"","family":"Pittoni","given":"G.","non-dropping-particle":"","parse-names":false,"suffix":""},{"dropping-particle":"","family":"Senatore","given":"V.","non-dropping-particle":"","parse-names":false,"suffix":""},{"dropping-particle":"","family":"Galang","given":"M.G.","non-dropping-particle":"","parse-names":false,"suffix":""},{"dropping-particle":"","family":"Castellani","given":"M.","non-dropping-particle":"","parse-names":false,"suffix":""},{"dropping-particle":"","family":"Belgiorno","given":"V.","non-dropping-particle":"","parse-names":false,"suffix":""},{"dropping-particle":"","family":"Naddeo","given":"V.","non-dropping-particle":"","parse-names":false,"suffix":""}],"container-title":"Chemosphere","id":"ITEM-1","issued":{"date-parts":[["2021"]]},"title":"Next-generation of instrumental odour monitoring system (IOMS) for the gaseous emissions control in complex industrial plants","type":"article-journal"},"uris":["http://www.mendeley.com/documents/?uuid=46b441ed-da7a-420f-914f-7376b9ef9f51"]}],"mendeley":{"formattedCitation":"(G. Oliva et al., 2021)","manualFormatting":"(Oliva et al., 2021)","plainTextFormattedCitation":"(G. Oliva et al., 2021)","previouslyFormattedCitation":"(G. Oliva et al., 2021)"},"properties":{"noteIndex":0},"schema":"https://github.com/citation-style-language/schema/raw/master/csl-citation.json"}</w:instrText>
      </w:r>
      <w:r w:rsidR="006A5850">
        <w:rPr>
          <w:rFonts w:eastAsiaTheme="minorHAnsi" w:cstheme="minorBidi"/>
          <w:szCs w:val="22"/>
          <w:lang w:val="en-US"/>
        </w:rPr>
        <w:fldChar w:fldCharType="separate"/>
      </w:r>
      <w:r w:rsidR="00DA7697" w:rsidRPr="00DA7697">
        <w:rPr>
          <w:rFonts w:eastAsiaTheme="minorHAnsi" w:cstheme="minorBidi"/>
          <w:noProof/>
          <w:szCs w:val="22"/>
          <w:lang w:val="en-US"/>
        </w:rPr>
        <w:t>(Oliva et al., 2021)</w:t>
      </w:r>
      <w:r w:rsidR="006A5850">
        <w:rPr>
          <w:rFonts w:eastAsiaTheme="minorHAnsi" w:cstheme="minorBidi"/>
          <w:szCs w:val="22"/>
          <w:lang w:val="en-US"/>
        </w:rPr>
        <w:fldChar w:fldCharType="end"/>
      </w:r>
      <w:r w:rsidR="0064142F">
        <w:rPr>
          <w:rFonts w:eastAsiaTheme="minorHAnsi" w:cstheme="minorBidi"/>
          <w:szCs w:val="22"/>
          <w:lang w:val="en-US"/>
        </w:rPr>
        <w:t xml:space="preserve">. </w:t>
      </w:r>
    </w:p>
    <w:p w14:paraId="78EEFBE1" w14:textId="62C61F4B" w:rsidR="005D6C53" w:rsidRPr="009E743D" w:rsidRDefault="005D6C53" w:rsidP="0045796F">
      <w:pPr>
        <w:spacing w:line="240" w:lineRule="auto"/>
      </w:pPr>
      <w:r>
        <w:rPr>
          <w:rFonts w:eastAsiaTheme="minorHAnsi" w:cstheme="minorBidi"/>
          <w:szCs w:val="22"/>
          <w:lang w:val="en-US"/>
        </w:rPr>
        <w:t>The accumulation of the</w:t>
      </w:r>
      <w:r w:rsidRPr="00D56CD6">
        <w:rPr>
          <w:rFonts w:eastAsiaTheme="minorHAnsi" w:cstheme="minorBidi"/>
          <w:szCs w:val="22"/>
          <w:lang w:val="en-US"/>
        </w:rPr>
        <w:t xml:space="preserve"> </w:t>
      </w:r>
      <w:r w:rsidR="0064142F">
        <w:rPr>
          <w:rFonts w:eastAsiaTheme="minorHAnsi" w:cstheme="minorBidi"/>
          <w:szCs w:val="22"/>
          <w:lang w:val="en-US"/>
        </w:rPr>
        <w:t>GHG</w:t>
      </w:r>
      <w:r>
        <w:rPr>
          <w:rFonts w:eastAsiaTheme="minorHAnsi" w:cstheme="minorBidi"/>
          <w:szCs w:val="22"/>
          <w:lang w:val="en-US"/>
        </w:rPr>
        <w:t xml:space="preserve"> </w:t>
      </w:r>
      <w:r w:rsidR="0064142F">
        <w:rPr>
          <w:rFonts w:eastAsiaTheme="minorHAnsi" w:cstheme="minorBidi"/>
          <w:szCs w:val="22"/>
          <w:lang w:val="en-US"/>
        </w:rPr>
        <w:t>i</w:t>
      </w:r>
      <w:r>
        <w:rPr>
          <w:rFonts w:eastAsiaTheme="minorHAnsi" w:cstheme="minorBidi"/>
          <w:szCs w:val="22"/>
          <w:lang w:val="en-US"/>
        </w:rPr>
        <w:t>n the atmosphere</w:t>
      </w:r>
      <w:r w:rsidRPr="00D56CD6">
        <w:rPr>
          <w:rFonts w:eastAsiaTheme="minorHAnsi" w:cstheme="minorBidi"/>
          <w:szCs w:val="22"/>
          <w:lang w:val="en-US"/>
        </w:rPr>
        <w:t xml:space="preserve"> influences the </w:t>
      </w:r>
      <w:r>
        <w:rPr>
          <w:rFonts w:eastAsiaTheme="minorHAnsi" w:cstheme="minorBidi"/>
          <w:szCs w:val="22"/>
          <w:lang w:val="en-US"/>
        </w:rPr>
        <w:t xml:space="preserve">abrupt changing of the </w:t>
      </w:r>
      <w:r w:rsidRPr="00D56CD6">
        <w:rPr>
          <w:rFonts w:eastAsiaTheme="minorHAnsi" w:cstheme="minorBidi"/>
          <w:szCs w:val="22"/>
          <w:lang w:val="en-US"/>
        </w:rPr>
        <w:t>climate</w:t>
      </w:r>
      <w:r w:rsidR="004143F5">
        <w:rPr>
          <w:rFonts w:eastAsiaTheme="minorHAnsi" w:cstheme="minorBidi"/>
          <w:szCs w:val="22"/>
          <w:lang w:val="en-US"/>
        </w:rPr>
        <w:t xml:space="preserve"> </w:t>
      </w:r>
      <w:r w:rsidR="004143F5">
        <w:rPr>
          <w:rFonts w:eastAsiaTheme="minorHAnsi" w:cstheme="minorBidi"/>
          <w:szCs w:val="22"/>
          <w:lang w:val="en-US"/>
        </w:rPr>
        <w:fldChar w:fldCharType="begin" w:fldLock="1"/>
      </w:r>
      <w:r w:rsidR="00A316EB">
        <w:rPr>
          <w:rFonts w:eastAsiaTheme="minorHAnsi" w:cstheme="minorBidi"/>
          <w:szCs w:val="22"/>
          <w:lang w:val="en-US"/>
        </w:rPr>
        <w:instrText>ADDIN CSL_CITATION {"citationItems":[{"id":"ITEM-1","itemData":{"DOI":"10.3303/CET1230015","ISBN":"9788895608211","ISSN":"22839216","abstract":"Odours emitted by multi-source facilities, like industrial complexes, have become a major concern for local authorities because the resulting annoyance in the neighbourhood is generally high compex compared to a single source one. In the case of such multi-source odour emissions especially, common chemical analyses or odour concentration measurement methods are not often applicable. This paper describes the methodology adopted for assessing the odour impact on the industrial area of the city of Salerno (Italy), caused by the co-presence of two strategic plants: wastewater treatment plant and composting plant of organic fraction of solid waste. The combination of olfactometric analyses and dispersion modelling allowed both the quantification of the odour emissions and the evaluation of their potential impact on the surrounding areas. Odour impact criteria, input parameters and emissive rate were evaluated. Results discuss and compare different emissive scenarios to assessment odour impacts in the industrial area. © 2012 AIDIC Servizi S.r.l.","author":[{"dropping-particle":"","family":"Naddeo","given":"Vincenzo","non-dropping-particle":"","parse-names":false,"suffix":""},{"dropping-particle":"","family":"Zarra","given":"Tiziano","non-dropping-particle":"","parse-names":false,"suffix":""},{"dropping-particle":"","family":"Giuliani","given":"Stefano","non-dropping-particle":"","parse-names":false,"suffix":""},{"dropping-particle":"","family":"Belgiorno","given":"Vincenzo","non-dropping-particle":"","parse-names":false,"suffix":""}],"container-title":"Chemical Engineering Transactions","id":"ITEM-1","issue":"i","issued":{"date-parts":[["2012"]]},"page":"85-90","title":"Odour impact assessment in industrial areas","type":"article-journal","volume":"30"},"uris":["http://www.mendeley.com/documents/?uuid=95021952-a7fd-4ae3-8f4d-ad5feddfbedd"]}],"mendeley":{"formattedCitation":"(Naddeo et al., 2012)","manualFormatting":"(Naddeo et al., 2012)","plainTextFormattedCitation":"(Naddeo et al., 2012)","previouslyFormattedCitation":"(Naddeo et al., 2012)"},"properties":{"noteIndex":0},"schema":"https://github.com/citation-style-language/schema/raw/master/csl-citation.json"}</w:instrText>
      </w:r>
      <w:r w:rsidR="004143F5">
        <w:rPr>
          <w:rFonts w:eastAsiaTheme="minorHAnsi" w:cstheme="minorBidi"/>
          <w:szCs w:val="22"/>
          <w:lang w:val="en-US"/>
        </w:rPr>
        <w:fldChar w:fldCharType="separate"/>
      </w:r>
      <w:r w:rsidR="004143F5" w:rsidRPr="004143F5">
        <w:rPr>
          <w:rFonts w:eastAsiaTheme="minorHAnsi" w:cstheme="minorBidi"/>
          <w:noProof/>
          <w:szCs w:val="22"/>
          <w:lang w:val="en-US"/>
        </w:rPr>
        <w:t>(Naddeo et al., 2012)</w:t>
      </w:r>
      <w:r w:rsidR="004143F5">
        <w:rPr>
          <w:rFonts w:eastAsiaTheme="minorHAnsi" w:cstheme="minorBidi"/>
          <w:szCs w:val="22"/>
          <w:lang w:val="en-US"/>
        </w:rPr>
        <w:fldChar w:fldCharType="end"/>
      </w:r>
      <w:r w:rsidRPr="00D56CD6">
        <w:rPr>
          <w:rFonts w:eastAsiaTheme="minorHAnsi" w:cstheme="minorBidi"/>
          <w:szCs w:val="22"/>
          <w:lang w:val="en-US"/>
        </w:rPr>
        <w:t>.</w:t>
      </w:r>
      <w:r w:rsidR="00AA1921">
        <w:tab/>
        <w:t xml:space="preserve"> </w:t>
      </w:r>
      <w:r w:rsidR="00461110">
        <w:rPr>
          <w:rFonts w:eastAsiaTheme="minorHAnsi" w:cstheme="minorBidi"/>
          <w:szCs w:val="22"/>
          <w:lang w:val="en-US"/>
        </w:rPr>
        <w:t>CO</w:t>
      </w:r>
      <w:r w:rsidR="00461110" w:rsidRPr="00461110">
        <w:rPr>
          <w:rFonts w:eastAsiaTheme="minorHAnsi" w:cstheme="minorBidi"/>
          <w:szCs w:val="22"/>
          <w:vertAlign w:val="subscript"/>
          <w:lang w:val="en-US"/>
        </w:rPr>
        <w:t>2</w:t>
      </w:r>
      <w:r w:rsidR="00461110">
        <w:rPr>
          <w:rFonts w:eastAsiaTheme="minorHAnsi" w:cstheme="minorBidi"/>
          <w:szCs w:val="22"/>
          <w:lang w:val="en-US"/>
        </w:rPr>
        <w:t xml:space="preserve"> </w:t>
      </w:r>
      <w:r>
        <w:rPr>
          <w:rFonts w:eastAsiaTheme="minorHAnsi" w:cstheme="minorBidi"/>
          <w:szCs w:val="22"/>
          <w:lang w:val="en-US"/>
        </w:rPr>
        <w:t>is</w:t>
      </w:r>
      <w:r w:rsidR="009E743D">
        <w:rPr>
          <w:rFonts w:eastAsiaTheme="minorHAnsi" w:cstheme="minorBidi"/>
          <w:szCs w:val="22"/>
          <w:lang w:val="en-US"/>
        </w:rPr>
        <w:t xml:space="preserve"> the</w:t>
      </w:r>
      <w:r>
        <w:rPr>
          <w:rFonts w:eastAsiaTheme="minorHAnsi" w:cstheme="minorBidi"/>
          <w:szCs w:val="22"/>
          <w:lang w:val="en-US"/>
        </w:rPr>
        <w:t xml:space="preserve"> main GHG</w:t>
      </w:r>
      <w:r w:rsidR="00275730">
        <w:rPr>
          <w:rFonts w:eastAsiaTheme="minorHAnsi" w:cstheme="minorBidi"/>
          <w:szCs w:val="22"/>
          <w:lang w:val="en-US"/>
        </w:rPr>
        <w:t>s</w:t>
      </w:r>
      <w:r>
        <w:rPr>
          <w:rFonts w:eastAsiaTheme="minorHAnsi" w:cstheme="minorBidi"/>
          <w:szCs w:val="22"/>
          <w:lang w:val="en-US"/>
        </w:rPr>
        <w:t xml:space="preserve"> and contribute to global warming nearly 60% </w:t>
      </w:r>
      <w:r w:rsidR="0015336A">
        <w:rPr>
          <w:rFonts w:eastAsiaTheme="minorHAnsi" w:cstheme="minorBidi"/>
          <w:szCs w:val="22"/>
          <w:lang w:val="en-US"/>
        </w:rPr>
        <w:fldChar w:fldCharType="begin" w:fldLock="1"/>
      </w:r>
      <w:r w:rsidR="006A5850">
        <w:rPr>
          <w:rFonts w:eastAsiaTheme="minorHAnsi" w:cstheme="minorBidi"/>
          <w:szCs w:val="22"/>
          <w:lang w:val="en-US"/>
        </w:rPr>
        <w:instrText>ADDIN CSL_CITATION {"citationItems":[{"id":"ITEM-1","itemData":{"DOI":"10.1016/j.rser.2014.11.066","ISSN":"13640321","abstract":"Climate change and global warming as the main human societies' threats are fundamentally associated with energy consumption and GHG emissions. The residential sector, representing 27% and 17% of global energy consumption and CO2 emissions, respectively, has a considerable role to mitigate global climate change. Ten countries, including China, the US, India, Russia, Japan, Germany, South Korea, Canada, Iran, and the UK, account for two-thirds of global CO2 emissions. Thus, these countries' residential energy consumption and GHG emissions have direct, significant effects on the world environment. The aim of this paper is to review the status and current trends of energy consumption, CO2 emissions and energy policies in the residential sector, both globally and in those ten countries. It was found that global residential energy consumption grew by 14% from 2000 to 2011. Most of this increase has occurred in developing countries, where population, urbanization and economic growth have been the main driving factors. Among the ten studied countries, all of the developed ones have shown a promising trend of reduction in CO2 emissions, apart from the US and Japan, which showed a 4% rise. Globally, the residential energy market is dominated by traditional biomass (40% of the total) followed by electricity (21%) and natural gas (20%), but the total proportion of fossil fuels has decreased over the past decade. Energy policy plays a significant role in controlling energy consumption. Different energy policies, such as building energy codes, incentives, energy labels have been employed by countries. Those policies can be successful if they are enhanced by making them mandatory, targeting net-zero energy building, and increasing public awareness about new technologies. However, developing countries, such as China, India and Iran, still encounter with considerable growth in GHG emissions and energy consumption, which are mostly related to the absence of strong, efficient policy.","author":[{"dropping-particle":"","family":"Nejat","given":"Payam","non-dropping-particle":"","parse-names":false,"suffix":""},{"dropping-particle":"","family":"Jomehzadeh","given":"Fatemeh","non-dropping-particle":"","parse-names":false,"suffix":""},{"dropping-particle":"","family":"Taheri","given":"Mohammad Mahdi","non-dropping-particle":"","parse-names":false,"suffix":""},{"dropping-particle":"","family":"Gohari","given":"Mohammad","non-dropping-particle":"","parse-names":false,"suffix":""},{"dropping-particle":"","family":"Muhd","given":"Muhd Zaimi","non-dropping-particle":"","parse-names":false,"suffix":""}],"container-title":"Renewable and Sustainable Energy Reviews","id":"ITEM-1","issued":{"date-parts":[["2015"]]},"title":"A global review of energy consumption, CO2 emissions and policy in the residential sector (with an overview of the top ten CO2 emitting countries)","type":"article"},"uris":["http://www.mendeley.com/documents/?uuid=50ec8cbd-e179-4c2e-99a1-fb1124b7822b"]}],"mendeley":{"formattedCitation":"(Nejat et al., 2015)","plainTextFormattedCitation":"(Nejat et al., 2015)","previouslyFormattedCitation":"(Nejat et al., 2015)"},"properties":{"noteIndex":0},"schema":"https://github.com/citation-style-language/schema/raw/master/csl-citation.json"}</w:instrText>
      </w:r>
      <w:r w:rsidR="0015336A">
        <w:rPr>
          <w:rFonts w:eastAsiaTheme="minorHAnsi" w:cstheme="minorBidi"/>
          <w:szCs w:val="22"/>
          <w:lang w:val="en-US"/>
        </w:rPr>
        <w:fldChar w:fldCharType="separate"/>
      </w:r>
      <w:r w:rsidR="006A5850" w:rsidRPr="006A5850">
        <w:rPr>
          <w:rFonts w:eastAsiaTheme="minorHAnsi" w:cstheme="minorBidi"/>
          <w:noProof/>
          <w:szCs w:val="22"/>
          <w:lang w:val="en-US"/>
        </w:rPr>
        <w:t>(Nejat et al., 2015)</w:t>
      </w:r>
      <w:r w:rsidR="0015336A">
        <w:rPr>
          <w:rFonts w:eastAsiaTheme="minorHAnsi" w:cstheme="minorBidi"/>
          <w:szCs w:val="22"/>
          <w:lang w:val="en-US"/>
        </w:rPr>
        <w:fldChar w:fldCharType="end"/>
      </w:r>
      <w:r w:rsidR="0015336A">
        <w:rPr>
          <w:rFonts w:eastAsiaTheme="minorHAnsi" w:cstheme="minorBidi"/>
          <w:szCs w:val="22"/>
          <w:lang w:val="en-US"/>
        </w:rPr>
        <w:t>.</w:t>
      </w:r>
      <w:r>
        <w:rPr>
          <w:rFonts w:eastAsiaTheme="minorHAnsi" w:cstheme="minorBidi"/>
          <w:szCs w:val="22"/>
          <w:lang w:val="en-US"/>
        </w:rPr>
        <w:t xml:space="preserve"> Accordingly, </w:t>
      </w:r>
      <w:r w:rsidRPr="00D56CD6">
        <w:rPr>
          <w:rFonts w:eastAsiaTheme="minorHAnsi" w:cstheme="minorBidi"/>
          <w:szCs w:val="22"/>
          <w:lang w:val="en-US"/>
        </w:rPr>
        <w:t>CO</w:t>
      </w:r>
      <w:r w:rsidRPr="00D56CD6">
        <w:rPr>
          <w:rFonts w:eastAsiaTheme="minorHAnsi" w:cstheme="minorBidi"/>
          <w:szCs w:val="22"/>
          <w:vertAlign w:val="subscript"/>
          <w:lang w:val="en-US"/>
        </w:rPr>
        <w:t>2</w:t>
      </w:r>
      <w:r w:rsidRPr="00D56CD6">
        <w:rPr>
          <w:rFonts w:eastAsiaTheme="minorHAnsi" w:cstheme="minorBidi"/>
          <w:szCs w:val="22"/>
          <w:lang w:val="en-US"/>
        </w:rPr>
        <w:t xml:space="preserve"> concentration continues its rapid rise in 2019, with peak average values of 414.7 parts per million (</w:t>
      </w:r>
      <w:proofErr w:type="spellStart"/>
      <w:r w:rsidRPr="00D56CD6">
        <w:rPr>
          <w:rFonts w:eastAsiaTheme="minorHAnsi" w:cstheme="minorBidi"/>
          <w:szCs w:val="22"/>
          <w:lang w:val="en-US"/>
        </w:rPr>
        <w:t>ppm</w:t>
      </w:r>
      <w:r w:rsidRPr="00D56CD6">
        <w:rPr>
          <w:rFonts w:eastAsiaTheme="minorHAnsi" w:cstheme="minorBidi"/>
          <w:szCs w:val="22"/>
          <w:vertAlign w:val="subscript"/>
          <w:lang w:val="en-US"/>
        </w:rPr>
        <w:t>v</w:t>
      </w:r>
      <w:proofErr w:type="spellEnd"/>
      <w:r w:rsidRPr="00D56CD6">
        <w:rPr>
          <w:rFonts w:eastAsiaTheme="minorHAnsi" w:cstheme="minorBidi"/>
          <w:szCs w:val="22"/>
          <w:lang w:val="en-US"/>
        </w:rPr>
        <w:t>) in May</w:t>
      </w:r>
      <w:r>
        <w:rPr>
          <w:rFonts w:eastAsiaTheme="minorHAnsi" w:cstheme="minorBidi"/>
          <w:szCs w:val="22"/>
          <w:lang w:val="en-US"/>
        </w:rPr>
        <w:t xml:space="preserve"> </w:t>
      </w:r>
      <w:r w:rsidRPr="00D56CD6">
        <w:rPr>
          <w:rFonts w:eastAsiaTheme="minorHAnsi" w:cstheme="minorBidi"/>
          <w:szCs w:val="22"/>
          <w:lang w:val="en-US"/>
        </w:rPr>
        <w:fldChar w:fldCharType="begin" w:fldLock="1"/>
      </w:r>
      <w:r w:rsidR="006A5850">
        <w:rPr>
          <w:rFonts w:eastAsiaTheme="minorHAnsi" w:cstheme="minorBidi"/>
          <w:szCs w:val="22"/>
          <w:lang w:val="en-US"/>
        </w:rPr>
        <w:instrText>ADDIN CSL_CITATION {"citationItems":[{"id":"ITEM-1","itemData":{"author":[{"dropping-particle":"","family":"National Oceanic and Atmospheric Administration (NOAA)","given":"","non-dropping-particle":"","parse-names":false,"suffix":""}],"id":"ITEM-1","issue":"May 2018","issued":{"date-parts":[["2019"]]},"title":"Carbon dioxide levels in atmosphere hit record high in May Monthly average surpassed 414 ppm at NOAA ' s Mauna Loa Observatory in Hawaii","type":"article-journal"},"uris":["http://www.mendeley.com/documents/?uuid=b377bb2d-a701-4d49-8f3f-18472f4dc1fd","http://www.mendeley.com/documents/?uuid=b014b34b-cd81-4967-8151-0cb99835de02"]}],"mendeley":{"formattedCitation":"(National Oceanic and Atmospheric Administration (NOAA), 2019)","manualFormatting":"(National Oceanic and Atmospheric Administration 2019)","plainTextFormattedCitation":"(National Oceanic and Atmospheric Administration (NOAA), 2019)","previouslyFormattedCitation":"(National Oceanic and Atmospheric Administration (NOAA), 2019)"},"properties":{"noteIndex":0},"schema":"https://github.com/citation-style-language/schema/raw/master/csl-citation.json"}</w:instrText>
      </w:r>
      <w:r w:rsidRPr="00D56CD6">
        <w:rPr>
          <w:rFonts w:eastAsiaTheme="minorHAnsi" w:cstheme="minorBidi"/>
          <w:szCs w:val="22"/>
          <w:lang w:val="en-US"/>
        </w:rPr>
        <w:fldChar w:fldCharType="separate"/>
      </w:r>
      <w:r w:rsidRPr="005D6C53">
        <w:rPr>
          <w:rFonts w:eastAsiaTheme="minorHAnsi" w:cstheme="minorBidi"/>
          <w:noProof/>
          <w:szCs w:val="22"/>
          <w:lang w:val="en-US"/>
        </w:rPr>
        <w:t>(National Oceanic and Atmospheric Administration 2019)</w:t>
      </w:r>
      <w:r w:rsidRPr="00D56CD6">
        <w:rPr>
          <w:rFonts w:eastAsiaTheme="minorHAnsi" w:cstheme="minorBidi"/>
          <w:szCs w:val="22"/>
        </w:rPr>
        <w:fldChar w:fldCharType="end"/>
      </w:r>
      <w:r w:rsidRPr="00D56CD6">
        <w:rPr>
          <w:rFonts w:eastAsiaTheme="minorHAnsi" w:cstheme="minorBidi"/>
          <w:szCs w:val="22"/>
          <w:lang w:val="en-US"/>
        </w:rPr>
        <w:t>.</w:t>
      </w:r>
      <w:r>
        <w:rPr>
          <w:rFonts w:eastAsiaTheme="minorHAnsi" w:cstheme="minorBidi"/>
          <w:szCs w:val="22"/>
          <w:lang w:val="en-US"/>
        </w:rPr>
        <w:t xml:space="preserve"> Thus, the need to </w:t>
      </w:r>
      <w:r w:rsidR="0064142F">
        <w:rPr>
          <w:rFonts w:eastAsiaTheme="minorHAnsi" w:cstheme="minorBidi"/>
          <w:szCs w:val="22"/>
          <w:lang w:val="en-US"/>
        </w:rPr>
        <w:t>avoid other CO</w:t>
      </w:r>
      <w:r w:rsidR="0064142F" w:rsidRPr="0064142F">
        <w:rPr>
          <w:rFonts w:eastAsiaTheme="minorHAnsi" w:cstheme="minorBidi"/>
          <w:szCs w:val="22"/>
          <w:vertAlign w:val="subscript"/>
          <w:lang w:val="en-US"/>
        </w:rPr>
        <w:t xml:space="preserve">2 </w:t>
      </w:r>
      <w:r w:rsidR="0064142F">
        <w:rPr>
          <w:rFonts w:eastAsiaTheme="minorHAnsi" w:cstheme="minorBidi"/>
          <w:szCs w:val="22"/>
          <w:lang w:val="en-US"/>
        </w:rPr>
        <w:t>emissions in the air and adopt capture or storage methods</w:t>
      </w:r>
      <w:r>
        <w:rPr>
          <w:rFonts w:eastAsiaTheme="minorHAnsi" w:cstheme="minorBidi"/>
          <w:szCs w:val="22"/>
          <w:lang w:val="en-US"/>
        </w:rPr>
        <w:t xml:space="preserve"> from different sources is vital.</w:t>
      </w:r>
      <w:r w:rsidR="00AB4E69">
        <w:rPr>
          <w:rFonts w:eastAsiaTheme="minorHAnsi" w:cstheme="minorBidi"/>
          <w:szCs w:val="22"/>
        </w:rPr>
        <w:t xml:space="preserve"> </w:t>
      </w:r>
      <w:r w:rsidRPr="0031380C">
        <w:rPr>
          <w:rFonts w:eastAsiaTheme="minorHAnsi" w:cstheme="minorBidi"/>
          <w:szCs w:val="22"/>
          <w:lang w:val="en-US"/>
        </w:rPr>
        <w:t xml:space="preserve">One </w:t>
      </w:r>
      <w:r>
        <w:rPr>
          <w:rFonts w:eastAsiaTheme="minorHAnsi" w:cstheme="minorBidi"/>
          <w:szCs w:val="22"/>
          <w:lang w:val="en-US"/>
        </w:rPr>
        <w:t>of the possible solution</w:t>
      </w:r>
      <w:r w:rsidR="00F77F76">
        <w:rPr>
          <w:rFonts w:eastAsiaTheme="minorHAnsi" w:cstheme="minorBidi"/>
          <w:szCs w:val="22"/>
          <w:lang w:val="en-US"/>
        </w:rPr>
        <w:t>s</w:t>
      </w:r>
      <w:r>
        <w:rPr>
          <w:rFonts w:eastAsiaTheme="minorHAnsi" w:cstheme="minorBidi"/>
          <w:szCs w:val="22"/>
          <w:lang w:val="en-US"/>
        </w:rPr>
        <w:t xml:space="preserve"> to minimize</w:t>
      </w:r>
      <w:r w:rsidRPr="0031380C">
        <w:rPr>
          <w:rFonts w:eastAsiaTheme="minorHAnsi" w:cstheme="minorBidi"/>
          <w:szCs w:val="22"/>
          <w:lang w:val="en-US"/>
        </w:rPr>
        <w:t xml:space="preserve"> GHG emissions</w:t>
      </w:r>
      <w:r>
        <w:rPr>
          <w:rFonts w:eastAsiaTheme="minorHAnsi" w:cstheme="minorBidi"/>
          <w:szCs w:val="22"/>
          <w:lang w:val="en-US"/>
        </w:rPr>
        <w:t xml:space="preserve"> such as CO</w:t>
      </w:r>
      <w:r w:rsidRPr="0031380C">
        <w:rPr>
          <w:rFonts w:eastAsiaTheme="minorHAnsi" w:cstheme="minorBidi"/>
          <w:szCs w:val="22"/>
          <w:vertAlign w:val="subscript"/>
          <w:lang w:val="en-US"/>
        </w:rPr>
        <w:t>2</w:t>
      </w:r>
      <w:r w:rsidRPr="0031380C">
        <w:rPr>
          <w:rFonts w:eastAsiaTheme="minorHAnsi" w:cstheme="minorBidi"/>
          <w:szCs w:val="22"/>
          <w:lang w:val="en-US"/>
        </w:rPr>
        <w:t xml:space="preserve"> are microalgae–based</w:t>
      </w:r>
      <w:r>
        <w:rPr>
          <w:rFonts w:eastAsiaTheme="minorHAnsi" w:cstheme="minorBidi"/>
          <w:szCs w:val="22"/>
          <w:lang w:val="en-US"/>
        </w:rPr>
        <w:t xml:space="preserve"> environmental technologies. It </w:t>
      </w:r>
      <w:r w:rsidRPr="0031380C">
        <w:rPr>
          <w:rFonts w:eastAsiaTheme="minorHAnsi" w:cstheme="minorBidi"/>
          <w:szCs w:val="22"/>
          <w:lang w:val="en-US"/>
        </w:rPr>
        <w:t>offer</w:t>
      </w:r>
      <w:r>
        <w:rPr>
          <w:rFonts w:eastAsiaTheme="minorHAnsi" w:cstheme="minorBidi"/>
          <w:szCs w:val="22"/>
          <w:lang w:val="en-US"/>
        </w:rPr>
        <w:t>s an</w:t>
      </w:r>
      <w:r w:rsidRPr="0031380C">
        <w:rPr>
          <w:rFonts w:eastAsiaTheme="minorHAnsi" w:cstheme="minorBidi"/>
          <w:szCs w:val="22"/>
          <w:lang w:val="en-US"/>
        </w:rPr>
        <w:t xml:space="preserve"> attractive and reliable alternative to conventional technologies</w:t>
      </w:r>
      <w:r>
        <w:rPr>
          <w:rFonts w:eastAsiaTheme="minorHAnsi" w:cstheme="minorBidi"/>
          <w:szCs w:val="22"/>
          <w:lang w:val="en-US"/>
        </w:rPr>
        <w:t xml:space="preserve"> to capture CO</w:t>
      </w:r>
      <w:r w:rsidRPr="00C61254">
        <w:rPr>
          <w:rFonts w:eastAsiaTheme="minorHAnsi" w:cstheme="minorBidi"/>
          <w:szCs w:val="22"/>
          <w:vertAlign w:val="subscript"/>
          <w:lang w:val="en-US"/>
        </w:rPr>
        <w:t>2</w:t>
      </w:r>
      <w:r>
        <w:rPr>
          <w:rFonts w:eastAsiaTheme="minorHAnsi" w:cstheme="minorBidi"/>
          <w:szCs w:val="22"/>
          <w:lang w:val="en-US"/>
        </w:rPr>
        <w:t xml:space="preserve"> from wastewater</w:t>
      </w:r>
      <w:r w:rsidR="00576D90">
        <w:rPr>
          <w:rFonts w:eastAsiaTheme="minorHAnsi" w:cstheme="minorBidi"/>
          <w:szCs w:val="22"/>
          <w:lang w:val="en-US"/>
        </w:rPr>
        <w:t xml:space="preserve"> treatment plants</w:t>
      </w:r>
      <w:r w:rsidR="00461110">
        <w:rPr>
          <w:rFonts w:eastAsiaTheme="minorHAnsi" w:cstheme="minorBidi"/>
          <w:szCs w:val="22"/>
          <w:lang w:val="en-US"/>
        </w:rPr>
        <w:t xml:space="preserve"> </w:t>
      </w:r>
      <w:r w:rsidR="00461110">
        <w:rPr>
          <w:rFonts w:eastAsiaTheme="minorHAnsi" w:cstheme="minorBidi"/>
          <w:szCs w:val="22"/>
          <w:lang w:val="en-US"/>
        </w:rPr>
        <w:fldChar w:fldCharType="begin" w:fldLock="1"/>
      </w:r>
      <w:r w:rsidR="00A316EB">
        <w:rPr>
          <w:rFonts w:eastAsiaTheme="minorHAnsi" w:cstheme="minorBidi"/>
          <w:szCs w:val="22"/>
          <w:lang w:val="en-US"/>
        </w:rPr>
        <w:instrText>ADDIN CSL_CITATION {"citationItems":[{"id":"ITEM-1","itemData":{"DOI":"10.1016/j.seppur.2017.12.001","ISSN":"18733794","abstract":"Membrane filtration is a promising approach for harvesting microalgae for production of biofuel and high-value products. Membrane fouling is the most limiting factor for filtration operation as it causes low flow flux, high transmembrane pressure and high maintenance cost associated with membrane backwash and replacement. In the present study, the harvesting efficiency and the membrane fouling properties of a bench-scale ultrafiltration system with a submerged flat-sheet ceramic membrane were investigated for harvesting green microalgae, Chlorella vulgaris, under sub- and super-critical flux. The fouling mechanism (cake layer, gel layer and membrane pore blocking) was systematically analyzed to illustrate the possible fouling profiles at sub and super-critical flux. The results showed that the productivity for harvesting microalgal cells under super-critical flux condition was three times higher than sub-critical flux condition, with the fouling rates 8 times higher as well. The increase in irreversible membrane fouling was attributed as the main cause of the membrane resistance increase at the super-critical flux condition although the resistance of cake layer was the highest for both conditions. SMPs, aromatic protein and humic-like organics of microalgae broth contribute to the irreversible membrane fouling.","author":[{"dropping-particle":"","family":"Wu","given":"Xiaotian","non-dropping-particle":"","parse-names":false,"suffix":""},{"dropping-particle":"","family":"Zhou","given":"Canwei","non-dropping-particle":"","parse-names":false,"suffix":""},{"dropping-particle":"","family":"Li","given":"Keyuan","non-dropping-particle":"","parse-names":false,"suffix":""},{"dropping-particle":"","family":"Zhang","given":"Wen","non-dropping-particle":"","parse-names":false,"suffix":""},{"dropping-particle":"","family":"Tao","given":"Yi","non-dropping-particle":"","parse-names":false,"suffix":""}],"container-title":"Separation and Purification Technology","id":"ITEM-1","issue":"August 2017","issued":{"date-parts":[["2018"]]},"page":"199-207","publisher":"Elsevier","title":"Probing the fouling process and mechanisms of submerged ceramic membrane ultrafiltration during algal harvesting under sub- and super-critical fluxes","type":"article-journal","volume":"195"},"uris":["http://www.mendeley.com/documents/?uuid=07382e99-895b-4f51-a54f-0d44b41a55c1"]},{"id":"ITEM-2","itemData":{"ISSN":"22839216","abstract":"The selection of an odour sampling device and relative materials may influence the composition of the resulting odour sample. Current literature is limited to discussing how the measurement of emission rates derived from the same odour source could be related to materials and methods. There is therefore compelling evidence that current odour sampling practices should have greater regard for the fundamental physical and chemical principles, the nature of the odour source and the conditions created by the sampling device. Additional studies are necessary to identify the most appropriate situations under which the use of these devices may or may not be correct. The scope of this study is to investigate the influence on the determination of odour concentration with dynamic olfactometry, according to EN 13725 (2003) standards, applying different initial sampling condition, with the objective to define the optimal criteria to evaluate the odour concentration and obtain the highest repeatability and accuracy of the sensorial measure. A critical evaluation was carried out in relation to the same odour source with the comparison of sampling bag materials (Nalophantm, Tediar) and intervals of time elapsed between the sampling and analysis phase (3, 7, 14, 30, 48 h). The results obtained show that the selection of an odour sampling materials may influence the composition of the resulting odour sample. There is therefore compelling evidence that current odour sampling practices should have regard for these factors and identify the situations under which these material and methods may be used appropriately. Copyright  2012 AIDIC Servizi S.r.l.","author":[{"dropping-particle":"","family":"Zarra","given":"T","non-dropping-particle":"","parse-names":false,"suffix":""},{"dropping-particle":"","family":"Reiser","given":"M","non-dropping-particle":"","parse-names":false,"suffix":""},{"dropping-particle":"","family":"Naddeo","given":"V","non-dropping-particle":"","parse-names":false,"suffix":""},{"dropping-particle":"","family":"Belgiorno","given":"V","non-dropping-particle":"","parse-names":false,"suffix":""},{"dropping-particle":"","family":"Kranert","given":"M","non-dropping-particle":"","parse-names":false,"suffix":""}],"container-title":"Chemical Engineering Transactions","id":"ITEM-2","issued":{"date-parts":[["2012"]]},"page":"307-312","publisher":"Italian Association of Chemical Engineering - AIDIC","title":"A comparative and critical evaluation of different sampling materials in the measurement of odour concentration by dynamic olfactometry","type":"article-journal","volume":"30"},"uris":["http://www.mendeley.com/documents/?uuid=d3e8e18c-55c9-447c-995d-2b5c0b83e376"]}],"mendeley":{"formattedCitation":"(Wu et al., 2018; T Zarra et al., 2012)","manualFormatting":"(Wu et al., 2018; Zarra et al., 2012)","plainTextFormattedCitation":"(Wu et al., 2018; T Zarra et al., 2012)","previouslyFormattedCitation":"(Wu et al., 2018; T Zarra et al., 2012)"},"properties":{"noteIndex":0},"schema":"https://github.com/citation-style-language/schema/raw/master/csl-citation.json"}</w:instrText>
      </w:r>
      <w:r w:rsidR="00461110">
        <w:rPr>
          <w:rFonts w:eastAsiaTheme="minorHAnsi" w:cstheme="minorBidi"/>
          <w:szCs w:val="22"/>
          <w:lang w:val="en-US"/>
        </w:rPr>
        <w:fldChar w:fldCharType="separate"/>
      </w:r>
      <w:r w:rsidR="00E42A0D" w:rsidRPr="00E42A0D">
        <w:rPr>
          <w:rFonts w:eastAsiaTheme="minorHAnsi" w:cstheme="minorBidi"/>
          <w:noProof/>
          <w:szCs w:val="22"/>
          <w:lang w:val="en-US"/>
        </w:rPr>
        <w:t>(Wu et al., 2018; Zarra et al., 2012)</w:t>
      </w:r>
      <w:r w:rsidR="00461110">
        <w:rPr>
          <w:rFonts w:eastAsiaTheme="minorHAnsi" w:cstheme="minorBidi"/>
          <w:szCs w:val="22"/>
          <w:lang w:val="en-US"/>
        </w:rPr>
        <w:fldChar w:fldCharType="end"/>
      </w:r>
      <w:r>
        <w:rPr>
          <w:rFonts w:eastAsiaTheme="minorHAnsi" w:cstheme="minorBidi"/>
          <w:szCs w:val="22"/>
          <w:lang w:val="en-US"/>
        </w:rPr>
        <w:t xml:space="preserve">, and waste gases from industrial plants </w:t>
      </w:r>
      <w:r>
        <w:rPr>
          <w:rFonts w:eastAsiaTheme="minorHAnsi" w:cstheme="minorBidi"/>
          <w:szCs w:val="22"/>
          <w:lang w:val="en-US"/>
        </w:rPr>
        <w:fldChar w:fldCharType="begin" w:fldLock="1"/>
      </w:r>
      <w:r w:rsidR="004143F5">
        <w:rPr>
          <w:rFonts w:eastAsiaTheme="minorHAnsi" w:cstheme="minorBidi"/>
          <w:szCs w:val="22"/>
          <w:lang w:val="en-US"/>
        </w:rPr>
        <w:instrText>ADDIN CSL_CITATION {"citationItems":[{"id":"ITEM-1","itemData":{"DOI":"10.3303/CET1868076","ISBN":"978-88-95608-65-5","ISSN":"2283-9216","abstract":"Volatile Organic Compounds (VOCs) emissions from a wide range of industrial plants have become a major issue in the framework of atmospheric pollution, due to their negative effects on human and environmental health. VOC-laden emissions are also responsible for odour annoyance. To comply with the stringent regulations and to avoid complaints from the population living near these plants, the most suitable treatment technologies should be identified and implemented. Chemical-physical off-gas treatments such as adsorption and scrubbing, are proven and tested technologies; however, they only promote the transfer of the contaminants from the gaseous to solid or liquid phase, and further treatments are thus required. Biological processes and advanced oxidation processes (AOPs), instead, are able to support the degradation and mineralization of organic compounds, resulting in more effective solutions. This study presents and discusses a comparative analysis of the biological processes and AOPs for the removal of VOCs, focusing on assessing their potential application for industrial waste gas treatment. A numerical procedure, based on the quantification of a set of parameters classified into clusters, was proposed to evaluate the most suitable process for the treatment of the VOC-laden emissions in the different industrial sectors. The results, based on a semi-quantitative ranking of the different identified parameters, pointed out the weaknesses and strengths of the investigated processes. AOPs entailed high elimination capacities, but the emissions of hazardous by-products should be controlled and reduced. Biotechnologies have emerged as cost-effective and environmental friendly processes; however, the efficiencies of these processes are often limited by the presence of recalcitrant and toxic secondary metabolites.","author":[{"dropping-particle":"","family":"Oliva","given":"Giuseppina","non-dropping-particle":"","parse-names":false,"suffix":""},{"dropping-particle":"","family":"Zarra","given":"Tiziano","non-dropping-particle":"","parse-names":false,"suffix":""},{"dropping-particle":"","family":"Naddeo","given":"Vincenzo","non-dropping-particle":"","parse-names":false,"suffix":""},{"dropping-particle":"","family":"Munoz","given":"Raul","non-dropping-particle":"","parse-names":false,"suffix":""},{"dropping-particle":"","family":"Lebrero","given":"Raquel","non-dropping-particle":"","parse-names":false,"suffix":""},{"dropping-particle":"","family":"Angeles","given":"Roxana","non-dropping-particle":"","parse-names":false,"suffix":""},{"dropping-particle":"","family":"Belgiorno","given":"Vincenzo","non-dropping-particle":"","parse-names":false,"suffix":""},{"dropping-particle":"","family":"Ángeles","given":"Roxana","non-dropping-particle":"","parse-names":false,"suffix":""},{"dropping-particle":"","family":"Belgiorno","given":"Vincenzo","non-dropping-particle":"","parse-names":false,"suffix":""}],"container-title":"Chemical Engineering Transactions","id":"ITEM-1","issued":{"date-parts":[["2018"]]},"page":"451-456","title":"Comparative Analysis of AOPs and Biological Processes for the Control of VOCs Industrial Emissions","type":"article-journal","volume":"68"},"uris":["http://www.mendeley.com/documents/?uuid=89342b16-5723-41b5-b206-f2c02d3fe177"]}],"mendeley":{"formattedCitation":"(Giuseppina Oliva et al., 2018)","manualFormatting":"(Oliva et al., 2018)","plainTextFormattedCitation":"(Giuseppina Oliva et al., 2018)","previouslyFormattedCitation":"(Giuseppina Oliva et al., 2018)"},"properties":{"noteIndex":0},"schema":"https://github.com/citation-style-language/schema/raw/master/csl-citation.json"}</w:instrText>
      </w:r>
      <w:r>
        <w:rPr>
          <w:rFonts w:eastAsiaTheme="minorHAnsi" w:cstheme="minorBidi"/>
          <w:szCs w:val="22"/>
          <w:lang w:val="en-US"/>
        </w:rPr>
        <w:fldChar w:fldCharType="separate"/>
      </w:r>
      <w:r w:rsidR="00DA7697" w:rsidRPr="00DA7697">
        <w:rPr>
          <w:rFonts w:eastAsiaTheme="minorHAnsi" w:cstheme="minorBidi"/>
          <w:noProof/>
          <w:szCs w:val="22"/>
          <w:lang w:val="en-US"/>
        </w:rPr>
        <w:t>(Oliva et al., 2018)</w:t>
      </w:r>
      <w:r>
        <w:rPr>
          <w:rFonts w:eastAsiaTheme="minorHAnsi" w:cstheme="minorBidi"/>
          <w:szCs w:val="22"/>
          <w:lang w:val="en-US"/>
        </w:rPr>
        <w:fldChar w:fldCharType="end"/>
      </w:r>
      <w:r>
        <w:rPr>
          <w:rFonts w:eastAsiaTheme="minorHAnsi" w:cstheme="minorBidi"/>
          <w:szCs w:val="22"/>
          <w:lang w:val="en-US"/>
        </w:rPr>
        <w:t>. The fixation of CO</w:t>
      </w:r>
      <w:r w:rsidRPr="0046766E">
        <w:rPr>
          <w:rFonts w:eastAsiaTheme="minorHAnsi" w:cstheme="minorBidi"/>
          <w:szCs w:val="22"/>
          <w:vertAlign w:val="subscript"/>
          <w:lang w:val="en-US"/>
        </w:rPr>
        <w:t>2</w:t>
      </w:r>
      <w:r>
        <w:rPr>
          <w:rFonts w:eastAsiaTheme="minorHAnsi" w:cstheme="minorBidi"/>
          <w:szCs w:val="22"/>
          <w:lang w:val="en-US"/>
        </w:rPr>
        <w:t xml:space="preserve"> through photosynthesis by microalgae pronounced its potential as it yields added value product like biofuel. </w:t>
      </w:r>
      <w:r w:rsidR="003A7AC9" w:rsidRPr="003A7AC9">
        <w:rPr>
          <w:rFonts w:eastAsiaTheme="minorHAnsi" w:cstheme="minorBidi"/>
          <w:szCs w:val="22"/>
          <w:highlight w:val="yellow"/>
          <w:lang w:val="en-US"/>
        </w:rPr>
        <w:t>It is</w:t>
      </w:r>
      <w:r>
        <w:rPr>
          <w:rFonts w:eastAsiaTheme="minorHAnsi" w:cstheme="minorBidi"/>
          <w:szCs w:val="22"/>
          <w:lang w:val="en-US"/>
        </w:rPr>
        <w:t xml:space="preserve"> an alternative to plant crops which does not required large area of land for the production of biofuel, and </w:t>
      </w:r>
      <w:r>
        <w:rPr>
          <w:rFonts w:eastAsiaTheme="minorHAnsi" w:cstheme="minorBidi"/>
          <w:szCs w:val="22"/>
          <w:lang w:val="en-US"/>
        </w:rPr>
        <w:lastRenderedPageBreak/>
        <w:t>significant to reduce GHG emissions by replacing fossil fuel</w:t>
      </w:r>
      <w:r w:rsidR="00515AB8">
        <w:rPr>
          <w:rFonts w:eastAsiaTheme="minorHAnsi" w:cstheme="minorBidi"/>
          <w:szCs w:val="22"/>
          <w:lang w:val="en-US"/>
        </w:rPr>
        <w:t>.</w:t>
      </w:r>
      <w:r>
        <w:rPr>
          <w:rFonts w:eastAsiaTheme="minorHAnsi" w:cstheme="minorBidi"/>
          <w:szCs w:val="22"/>
          <w:lang w:val="en-US"/>
        </w:rPr>
        <w:t xml:space="preserve"> On the other hand, the microalgae-based technologies can also be integrated to wastewater and flue gas mitigation alongside of the production of the biomass </w:t>
      </w:r>
      <w:r>
        <w:rPr>
          <w:rFonts w:eastAsiaTheme="minorHAnsi" w:cstheme="minorBidi"/>
          <w:szCs w:val="22"/>
          <w:lang w:val="en-US"/>
        </w:rPr>
        <w:fldChar w:fldCharType="begin" w:fldLock="1"/>
      </w:r>
      <w:r w:rsidR="006A5850">
        <w:rPr>
          <w:rFonts w:eastAsiaTheme="minorHAnsi" w:cstheme="minorBidi"/>
          <w:szCs w:val="22"/>
          <w:lang w:val="en-US"/>
        </w:rPr>
        <w:instrText>ADDIN CSL_CITATION {"citationItems":[{"id":"ITEM-1","itemData":{"DOI":"10.1039/C6RA17899E","abstract":"As a green process development initiative, the potential of valorization of wastes, like domestic wastewater and coal-fired flue gas CO2, by Scenedesmus sp. was examined in closed and open reactor systems. The green microalga, when cultivated in the photobioreactor, produced 35.6% lipid and 10.4% carbohydrate with 46.1% increase in biomass productivity (185.7 ± 7.3 mg L−1 d−1) at an optimal flue gas CO2 concentration of 2.5% as compared to the control (0.03%, CO2). The culture also showed significant remediation of ammonium, nitrate, phosphate and COD by about 95%, 66%, 72%, and 93%, respectively. The raceway pond culture supplemented with 2.5% flue gas CO2 produced 24.1% lipid and 19.2% carbohydrate with 36% rise in biomass productivity (97.1 ± 2.7 mg L−1 d−1) when compared to the control. Fatty acid profiling showed a higher percentage of C16/C18. Thus, this study realized the goal and implemented the mandate of developing green and sustainable processes for converting inexpensive, but polluting wastes like flue gas and wastewater, into biofuel feedstock through microalgal cultivation.","author":[{"dropping-particle":"","family":"Nayak","given":"Manoranjan","non-dropping-particle":"","parse-names":false,"suffix":""},{"dropping-particle":"","family":"Karemore","given":"Ankush","non-dropping-particle":"","parse-names":false,"suffix":""},{"dropping-particle":"","family":"Sen","given":"Ramkrishna","non-dropping-particle":"","parse-names":false,"suffix":""}],"container-title":"RSC Advances","id":"ITEM-1","issue":"94","issued":{"date-parts":[["2016"]]},"page":"91111-91120","publisher":"The Royal Society of Chemistry","title":"Sustainable valorization of flue gas CO2 and wastewater for the production of microalgal biomass as a biofuel feedstock in closed and open reactor systems","type":"article-journal","volume":"6"},"uris":["http://www.mendeley.com/documents/?uuid=c831e090-ad89-44c6-83da-3756b2a77f3d","http://www.mendeley.com/documents/?uuid=a69e53b5-95c7-428f-841c-6cc10baff16d"]}],"mendeley":{"formattedCitation":"(Nayak et al., 2016)","manualFormatting":"(Nayak et al.  2016)","plainTextFormattedCitation":"(Nayak et al., 2016)","previouslyFormattedCitation":"(Nayak et al., 2016)"},"properties":{"noteIndex":0},"schema":"https://github.com/citation-style-language/schema/raw/master/csl-citation.json"}</w:instrText>
      </w:r>
      <w:r>
        <w:rPr>
          <w:rFonts w:eastAsiaTheme="minorHAnsi" w:cstheme="minorBidi"/>
          <w:szCs w:val="22"/>
          <w:lang w:val="en-US"/>
        </w:rPr>
        <w:fldChar w:fldCharType="separate"/>
      </w:r>
      <w:r w:rsidRPr="005D6C53">
        <w:rPr>
          <w:rFonts w:eastAsiaTheme="minorHAnsi" w:cstheme="minorBidi"/>
          <w:noProof/>
          <w:szCs w:val="22"/>
          <w:lang w:val="en-US"/>
        </w:rPr>
        <w:t>(Nayak</w:t>
      </w:r>
      <w:r w:rsidR="00461110">
        <w:rPr>
          <w:rFonts w:eastAsiaTheme="minorHAnsi" w:cstheme="minorBidi"/>
          <w:noProof/>
          <w:szCs w:val="22"/>
          <w:lang w:val="en-US"/>
        </w:rPr>
        <w:t xml:space="preserve"> et al. </w:t>
      </w:r>
      <w:r w:rsidRPr="005D6C53">
        <w:rPr>
          <w:rFonts w:eastAsiaTheme="minorHAnsi" w:cstheme="minorBidi"/>
          <w:noProof/>
          <w:szCs w:val="22"/>
          <w:lang w:val="en-US"/>
        </w:rPr>
        <w:t xml:space="preserve"> 2016)</w:t>
      </w:r>
      <w:r>
        <w:rPr>
          <w:rFonts w:eastAsiaTheme="minorHAnsi" w:cstheme="minorBidi"/>
          <w:szCs w:val="22"/>
          <w:lang w:val="en-US"/>
        </w:rPr>
        <w:fldChar w:fldCharType="end"/>
      </w:r>
      <w:r>
        <w:rPr>
          <w:rFonts w:eastAsiaTheme="minorHAnsi" w:cstheme="minorBidi"/>
          <w:szCs w:val="22"/>
          <w:lang w:val="en-US"/>
        </w:rPr>
        <w:t>. It is used for the removal of organic and inorganic nutrients</w:t>
      </w:r>
      <w:r w:rsidRPr="00461110">
        <w:rPr>
          <w:rFonts w:eastAsiaTheme="minorHAnsi" w:cstheme="minorBidi"/>
          <w:szCs w:val="22"/>
          <w:lang w:val="en-US"/>
        </w:rPr>
        <w:t xml:space="preserve">, metals </w:t>
      </w:r>
      <w:r>
        <w:rPr>
          <w:rFonts w:eastAsiaTheme="minorHAnsi" w:cstheme="minorBidi"/>
          <w:szCs w:val="22"/>
          <w:lang w:val="en-US"/>
        </w:rPr>
        <w:fldChar w:fldCharType="begin" w:fldLock="1"/>
      </w:r>
      <w:r w:rsidR="006A5850">
        <w:rPr>
          <w:rFonts w:eastAsiaTheme="minorHAnsi" w:cstheme="minorBidi"/>
          <w:szCs w:val="22"/>
          <w:lang w:val="en-US"/>
        </w:rPr>
        <w:instrText>ADDIN CSL_CITATION {"citationItems":[{"id":"ITEM-1","itemData":{"DOI":"https://doi.org/10.1016/j.biortech.2014.06.061","ISSN":"0960-8524","abstract":"The aim of the study was to grow microalgae on mixed municipal and industrial wastewater to simultaneously treat the wastewater and produce biomass and lipids. All algal strains grew in all wastewater mixtures; however, Selenastrum minutum had the highest biomass and lipids yields, up to 37% of the dry matter. Nitrogen and phosphorus removal were high and followed a similar trend in all three strains. Ammonium was reduced from 96% to 99%; this reduction was due to algal growth and not to stripping to the atmosphere, as confirmed by the amount of nitrogen in the dry algal biomass. Phosphate was reduced from 91% to 99%. In all strains used the lipid content was negatively correlated to the nitrogen concentration in the algal biomass. Mixtures of pulp and paper wastewater with municipal and dairy wastewater have great potential to grow algae for biomass and lipid production together with effective wastewater treatment.","author":[{"dropping-particle":"","family":"Gentili","given":"Francesco G","non-dropping-particle":"","parse-names":false,"suffix":""}],"container-title":"Bioresource Technology","id":"ITEM-1","issued":{"date-parts":[["2014"]]},"page":"27-32","title":"Microalgal biomass and lipid production in mixed municipal, dairy, pulp and paper wastewater together with added flue gases","type":"article-journal","volume":"169"},"uris":["http://www.mendeley.com/documents/?uuid=cea64f1d-5094-424e-b00b-ed9ae93cb5bf","http://www.mendeley.com/documents/?uuid=ccf3265c-f0a1-4633-b443-b196e958cdaf"]}],"mendeley":{"formattedCitation":"(Gentili, 2014)","plainTextFormattedCitation":"(Gentili, 2014)","previouslyFormattedCitation":"(Gentili, 2014)"},"properties":{"noteIndex":0},"schema":"https://github.com/citation-style-language/schema/raw/master/csl-citation.json"}</w:instrText>
      </w:r>
      <w:r>
        <w:rPr>
          <w:rFonts w:eastAsiaTheme="minorHAnsi" w:cstheme="minorBidi"/>
          <w:szCs w:val="22"/>
          <w:lang w:val="en-US"/>
        </w:rPr>
        <w:fldChar w:fldCharType="separate"/>
      </w:r>
      <w:r w:rsidR="006A5850" w:rsidRPr="006A5850">
        <w:rPr>
          <w:rFonts w:eastAsiaTheme="minorHAnsi" w:cstheme="minorBidi"/>
          <w:noProof/>
          <w:szCs w:val="22"/>
          <w:lang w:val="it-IT"/>
        </w:rPr>
        <w:t>(Gentili, 2014)</w:t>
      </w:r>
      <w:r>
        <w:rPr>
          <w:rFonts w:eastAsiaTheme="minorHAnsi" w:cstheme="minorBidi"/>
          <w:szCs w:val="22"/>
          <w:lang w:val="en-US"/>
        </w:rPr>
        <w:fldChar w:fldCharType="end"/>
      </w:r>
      <w:r w:rsidRPr="005D6C53">
        <w:rPr>
          <w:rFonts w:eastAsiaTheme="minorHAnsi" w:cstheme="minorBidi"/>
          <w:szCs w:val="22"/>
          <w:lang w:val="it-IT"/>
        </w:rPr>
        <w:t xml:space="preserve">, </w:t>
      </w:r>
      <w:r w:rsidRPr="00A76C46">
        <w:rPr>
          <w:rFonts w:eastAsiaTheme="minorHAnsi" w:cstheme="minorBidi"/>
          <w:szCs w:val="22"/>
          <w:lang w:val="en-US"/>
        </w:rPr>
        <w:t>and aromatic compounds</w:t>
      </w:r>
      <w:r w:rsidRPr="00576D90">
        <w:rPr>
          <w:rFonts w:eastAsiaTheme="minorHAnsi" w:cstheme="minorBidi"/>
          <w:szCs w:val="22"/>
          <w:lang w:val="it-IT"/>
        </w:rPr>
        <w:t xml:space="preserve"> </w:t>
      </w:r>
      <w:r w:rsidRPr="005D6C53">
        <w:rPr>
          <w:rFonts w:eastAsiaTheme="minorHAnsi" w:cstheme="minorBidi"/>
          <w:szCs w:val="22"/>
          <w:lang w:val="en-US"/>
        </w:rPr>
        <w:fldChar w:fldCharType="begin" w:fldLock="1"/>
      </w:r>
      <w:r w:rsidR="006A5850">
        <w:rPr>
          <w:rFonts w:eastAsiaTheme="minorHAnsi" w:cstheme="minorBidi"/>
          <w:szCs w:val="22"/>
          <w:lang w:val="it-IT"/>
        </w:rPr>
        <w:instrText>ADDIN CSL_CITATION {"citationItems":[{"id":"ITEM-1","itemData":{"DOI":"10.1016/j.jcou.2017.07.016","ISSN":"22129820","abstract":"The continuous abatement of CO 2 and toluene from the exhaust gas by an indigenous microalgal-bacterial consortium was investigated in a pilot tubular photobioreactor interconnected to an absorption column using diluted centrate in seawater as a free nutrient source. The removal efficiency of CO 2 and toluene was maximised in the vertical absorption column by identifying an optimum liquid to gas (L/G) ratio of 15. The photobioreactor supported steady-state nitrogen and phosphorus removals of 91 ± 2% and 95 ± 4% using 15% diluted centrate at 14 and 7 d of hydraulic retention time (HRT), respectively. A decrease in the removal efficiencies of nitrogen (36 ± 5%) and phosphorus (58 ± 10%) was recorded when using 30% diluted centrate at 7 d of HRT. The volumetric biomass productivities obtained at an HRT of 7 d accounted for 42 ± 11 and 80 ± 3 mg TSS L -1 d -1 using 15 and 30% centrate, respectively. Stable CO 2 (76 ± 7%) and toluene removals (89 ± 5%) were achieved at an L/G ratio of 15 regardless of the HRT or centrate dilution. Hence, this study demonstrated the potential of algal-bacterial systems for the continuous removal of CO 2 and volatile organic compounds from exhaust gas coupled with the simultaneous treatment of centrate.","author":[{"dropping-particle":"","family":"Anbalagan","given":"Anbarasan","non-dropping-particle":"","parse-names":false,"suffix":""},{"dropping-particle":"","family":"Toledo-Cervantes","given":"Alma","non-dropping-particle":"","parse-names":false,"suffi</w:instrText>
      </w:r>
      <w:r w:rsidR="006A5850" w:rsidRPr="006A5850">
        <w:rPr>
          <w:rFonts w:eastAsiaTheme="minorHAnsi" w:cstheme="minorBidi"/>
          <w:szCs w:val="22"/>
          <w:lang w:val="en-US"/>
        </w:rPr>
        <w:instrText>x":""},{"dropping-particle":"","family":"Posadas","given":"Esther","non-dropping-particle":"","parse-names":false,"suffix":""},{"dropping-particle":"","family":"Rojo","given":"Elena María","non-dropping-particle":"","parse-names":false,"suffix":""},{"dropping-particle":"","family":"Lebrero","given":"Raquel","non-dropping-particle":"","parse-names":false,"suffix":""},{"dropping-particle":"","family":"González-Sánchez","given":"Armando","non-dropping-particle":"","parse-names":false,"suffix":""},{"dropping-particle":"","family":"Nehrenheim","given":"Emma","non-dropping-particle":"","parse-names":false,"suffix":""},{"dropping-particle":"","family":"Muñoz","given":"Raúl","non-dropping-particle":"","parse-names":false,"suffix":""}],"container-title":"Journal of CO2 Utilization","id":"ITEM-1","issue":"July","issued":{"date-parts":[["2017"]]},"page":"353-359","publisher":"Elsevier","title":"Continuous photosynthetic abatement of CO 2 and volatile organic compounds from exhaust gas coupled to wastewater treatment: Evaluation of tubular algal-bacterial photobioreactor","type":"article-journal","volume":"21"},"uris":["http://www.mendeley.com/documents/?uuid=fea5d6e9-7d1c-4dc8-8247-90cf1829dd39"]}],"mendeley":{"formattedCitation":"(Anbalagan et al., 2017)","plainTextFormattedCitation":"(Anbalagan et al., 2017)","previouslyFormattedCitation":"(Anbalagan et al., 2017)"},"properties":{"noteIndex":0},"schema":"https://github.com/citation-style-language/schema/raw/master/csl-citation.json"}</w:instrText>
      </w:r>
      <w:r w:rsidRPr="005D6C53">
        <w:rPr>
          <w:rFonts w:eastAsiaTheme="minorHAnsi" w:cstheme="minorBidi"/>
          <w:szCs w:val="22"/>
          <w:lang w:val="en-US"/>
        </w:rPr>
        <w:fldChar w:fldCharType="separate"/>
      </w:r>
      <w:r w:rsidR="006A5850" w:rsidRPr="006A5850">
        <w:rPr>
          <w:rFonts w:eastAsiaTheme="minorHAnsi" w:cstheme="minorBidi"/>
          <w:noProof/>
          <w:szCs w:val="22"/>
          <w:lang w:val="en-US"/>
        </w:rPr>
        <w:t>(Anbalagan et al., 2017)</w:t>
      </w:r>
      <w:r w:rsidRPr="005D6C53">
        <w:rPr>
          <w:rFonts w:eastAsiaTheme="minorHAnsi" w:cstheme="minorBidi"/>
          <w:szCs w:val="22"/>
          <w:lang w:val="en-US"/>
        </w:rPr>
        <w:fldChar w:fldCharType="end"/>
      </w:r>
      <w:r w:rsidRPr="005D6C53">
        <w:rPr>
          <w:rFonts w:eastAsiaTheme="minorHAnsi" w:cstheme="minorBidi"/>
          <w:szCs w:val="22"/>
          <w:lang w:val="en-US"/>
        </w:rPr>
        <w:t>.</w:t>
      </w:r>
      <w:r w:rsidR="00AB4E69">
        <w:rPr>
          <w:rFonts w:eastAsiaTheme="minorHAnsi" w:cstheme="minorBidi"/>
          <w:szCs w:val="22"/>
          <w:lang w:val="en-US"/>
        </w:rPr>
        <w:t xml:space="preserve"> </w:t>
      </w:r>
      <w:r w:rsidRPr="005D6C53">
        <w:rPr>
          <w:rFonts w:eastAsiaTheme="minorHAnsi" w:cstheme="minorBidi"/>
          <w:szCs w:val="22"/>
          <w:lang w:val="en-US"/>
        </w:rPr>
        <w:t>Atmospheric CO</w:t>
      </w:r>
      <w:r w:rsidRPr="005D6C53">
        <w:rPr>
          <w:rFonts w:eastAsiaTheme="minorHAnsi" w:cstheme="minorBidi"/>
          <w:szCs w:val="22"/>
          <w:vertAlign w:val="subscript"/>
          <w:lang w:val="en-US"/>
        </w:rPr>
        <w:t>2</w:t>
      </w:r>
      <w:r w:rsidRPr="005D6C53">
        <w:rPr>
          <w:rFonts w:eastAsiaTheme="minorHAnsi" w:cstheme="minorBidi"/>
          <w:szCs w:val="22"/>
          <w:lang w:val="en-US"/>
        </w:rPr>
        <w:t xml:space="preserve"> can be used for the growth of the microalgae</w:t>
      </w:r>
      <w:r>
        <w:rPr>
          <w:rFonts w:eastAsiaTheme="minorHAnsi" w:cstheme="minorBidi"/>
          <w:szCs w:val="22"/>
          <w:lang w:val="en-US"/>
        </w:rPr>
        <w:t>, but the concentration is limited thus the algal production. A high concentration of CO</w:t>
      </w:r>
      <w:r w:rsidRPr="00BB1145">
        <w:rPr>
          <w:rFonts w:eastAsiaTheme="minorHAnsi" w:cstheme="minorBidi"/>
          <w:szCs w:val="22"/>
          <w:vertAlign w:val="subscript"/>
          <w:lang w:val="en-US"/>
        </w:rPr>
        <w:t>2</w:t>
      </w:r>
      <w:r>
        <w:rPr>
          <w:rFonts w:eastAsiaTheme="minorHAnsi" w:cstheme="minorBidi"/>
          <w:szCs w:val="22"/>
          <w:lang w:val="en-US"/>
        </w:rPr>
        <w:t xml:space="preserve"> can be a good source of the high production of the biomass, however it lowers the pH value of the algal medium </w:t>
      </w:r>
      <w:r>
        <w:rPr>
          <w:rFonts w:eastAsiaTheme="minorHAnsi" w:cstheme="minorBidi"/>
          <w:szCs w:val="22"/>
          <w:lang w:val="en-US"/>
        </w:rPr>
        <w:fldChar w:fldCharType="begin" w:fldLock="1"/>
      </w:r>
      <w:r w:rsidR="006A5850">
        <w:rPr>
          <w:rFonts w:eastAsiaTheme="minorHAnsi" w:cstheme="minorBidi"/>
          <w:szCs w:val="22"/>
          <w:lang w:val="en-US"/>
        </w:rPr>
        <w:instrText>ADDIN CSL_CITATION {"citationItems":[{"id":"ITEM-1","itemData":{"DOI":"10.1007/s00253-015-7208-7","ISSN":"1432-0614","abstract":"Phototrophic microorganisms have been proposed as an alternative to capture carbon dioxide (CO2) and to produce biofuels and other valuable products. Low CO2 absorption rates, low volumetric productivities, and inefficient downstream processing, however, currently make algal biotechnology highly energy intensive, expensive, and not economically competitive to produce biofuels. This mini-review summarizes advances made regarding the cultivation of phototrophic microorganisms at highly alkaline conditions, as well as other innovations oriented toward reducing the energy input into the cultivation and processing stages. An evaluation, in terms of energy requirements and energy return on energy invested, is performed for an integrated high-pH, high-alkalinity growth process that uses biofilms. Performance in terms of productivity and expected energy return on energy invested is presented for this process and is compared to previously reported life cycle assessments (LCAs) for systems at near-neutral pH. The cultivation of alkaliphilic phototrophic microorganisms in biofilms is shown to have a significant potential to reduce both energy requirements and capital costs.","author":[{"dropping-particle":"","family":"Canon-Rubio","given":"Karen A","non-dropping-particle":"","parse-names":false,"suffix":""},{"dropping-particle":"","family":"Sharp","given":"Christine E","non-dropping-particle":"","parse-names":false,"suffix":""},{"dropping-particle":"","family":"Bergerson","given":"Joule","non-dropping-particle":"","parse-names":false,"suffix":""},{"dropping-particle":"","family":"Strous","given":"Marc","non-dropping-particle":"","parse-names":false,"suffix":""},{"dropping-particle":"","family":"la Hoz Siegler","given":"Hector","non-dropping-particle":"De","parse-names":false,"suffix":""}],"container-title":"Applied Microbiology and Biotechnology","id":"ITEM-1","issue":"4","issued":{"date-parts":[["2016"]]},"page":"1611-1622","title":"Use of highly alkaline conditions to improve cost-effectiveness of algal biotechnology","type":"article-journal","volume":"100"},"uris":["http://www.mendeley.com/documents/?uuid=0ef0cff9-1888-4b43-aaea-a66b04115706","http://www.mendeley.com/documents/?uuid=31bd9ad1-1efb-4c8f-be86-e0a85e018a1f"]}],"mendeley":{"formattedCitation":"(Canon-Rubio et al., 2016)","plainTextFormattedCitation":"(Canon-Rubio et al., 2016)","previouslyFormattedCitation":"(Canon-Rubio et al., 2016)"},"properties":{"noteIndex":0},"schema":"https://github.com/citation-style-language/schema/raw/master/csl-citation.json"}</w:instrText>
      </w:r>
      <w:r>
        <w:rPr>
          <w:rFonts w:eastAsiaTheme="minorHAnsi" w:cstheme="minorBidi"/>
          <w:szCs w:val="22"/>
          <w:lang w:val="en-US"/>
        </w:rPr>
        <w:fldChar w:fldCharType="separate"/>
      </w:r>
      <w:r w:rsidR="006A5850" w:rsidRPr="006A5850">
        <w:rPr>
          <w:rFonts w:eastAsiaTheme="minorHAnsi" w:cstheme="minorBidi"/>
          <w:noProof/>
          <w:szCs w:val="22"/>
          <w:lang w:val="en-US"/>
        </w:rPr>
        <w:t>(Canon-Rubio et al., 2016)</w:t>
      </w:r>
      <w:r>
        <w:rPr>
          <w:rFonts w:eastAsiaTheme="minorHAnsi" w:cstheme="minorBidi"/>
          <w:szCs w:val="22"/>
          <w:lang w:val="en-US"/>
        </w:rPr>
        <w:fldChar w:fldCharType="end"/>
      </w:r>
      <w:r>
        <w:rPr>
          <w:rFonts w:eastAsiaTheme="minorHAnsi" w:cstheme="minorBidi"/>
          <w:szCs w:val="22"/>
          <w:lang w:val="en-US"/>
        </w:rPr>
        <w:t>, which can also be a limiting factor of the algal growth. The direct aeration of high concentration of CO</w:t>
      </w:r>
      <w:r w:rsidRPr="00956E93">
        <w:rPr>
          <w:rFonts w:eastAsiaTheme="minorHAnsi" w:cstheme="minorBidi"/>
          <w:szCs w:val="22"/>
          <w:vertAlign w:val="subscript"/>
          <w:lang w:val="en-US"/>
        </w:rPr>
        <w:t>2</w:t>
      </w:r>
      <w:r>
        <w:rPr>
          <w:rFonts w:eastAsiaTheme="minorHAnsi" w:cstheme="minorBidi"/>
          <w:szCs w:val="22"/>
          <w:lang w:val="en-US"/>
        </w:rPr>
        <w:t xml:space="preserve"> inhibit the algal cultivation </w:t>
      </w:r>
      <w:r>
        <w:rPr>
          <w:rFonts w:eastAsiaTheme="minorHAnsi" w:cstheme="minorBidi"/>
          <w:szCs w:val="22"/>
          <w:lang w:val="en-US"/>
        </w:rPr>
        <w:fldChar w:fldCharType="begin" w:fldLock="1"/>
      </w:r>
      <w:r w:rsidR="006A5850">
        <w:rPr>
          <w:rFonts w:eastAsiaTheme="minorHAnsi" w:cstheme="minorBidi"/>
          <w:szCs w:val="22"/>
          <w:lang w:val="en-US"/>
        </w:rPr>
        <w:instrText>ADDIN CSL_CITATION {"citationItems":[{"id":"ITEM-1","itemData":{"DOI":"10.1016/j.biombioe.2015.12.002","ISSN":"18732909","abstract":"This photobioreactor study investigated the influence of CO2 aeration on biomass production, carbon dioxide fixation rate, pH, cell's essential elements such as carbon, nitrogen, and hydrogen, as well as lipid content, whilst under a range of luminescence-modified lighting conditions. The effect of aeration with pure air (comprising 0.03% CO2) on the CO2 fixation rate was insignificant compared to the higher concentrations used. Results showed that, with the exception of blue PBR, increasing CO2 concentrations in the air stream enhanced the fixation rate of CO2 in C. vulgaris. Cyanobacteria cells showed significant tolerance to 15% CO2. The results obtained demonstrated that the combination of blue light and 15% CO2 provided a condition in which higher rates of lipid accumulation was induced in both algal strains. The highest lipid content observed at this condition was 36.6% obtained in G. membrancea. Aeration with 15% CO2 enhanced lipid production of G. membranacea, to at least twice the amount produced at 5% CO2 in all photobioreactors. The most significant difference between the 5% and 15% CO2 aeration conditions was observed in the yellow PBR, in which the lipid content was enhanced up to six times.","author":[{"dropping-particle":"","family":"Mohsenpour","given":"Seyedeh Fatemeh","non-dropping-particle":"","parse-names":false,"suffix":""},{"dropping-particle":"","family":"Willoughby","given":"Nik","non-dropping-particle":"","parse-names":false,"suffix":""}],"container-title":"Biomass and Bioenergy","id":"ITEM-1","issued":{"date-parts":[["2016"]]},"page":"168-177","publisher":"Elsevier Ltd","title":"Effect of CO2 aeration on cultivation of microalgae in luminescent photobioreactors","type":"article-journal","volume":"85"},"uris":["http://www.mendeley.com/documents/?uuid=f6f8c7ac-618f-4795-b3ec-a571d05fce7e","http://www.mendeley.com/documents/?uuid=930b0bc7-affd-4e5b-9253-67953526d9cc"]}],"mendeley":{"formattedCitation":"(Mohsenpour &amp; Willoughby, 2016)","plainTextFormattedCitation":"(Mohsenpour &amp; Willoughby, 2016)","previouslyFormattedCitation":"(Mohsenpour &amp; Willoughby, 2016)"},"properties":{"noteIndex":0},"schema":"https://github.com/citation-style-language/schema/raw/master/csl-citation.json"}</w:instrText>
      </w:r>
      <w:r>
        <w:rPr>
          <w:rFonts w:eastAsiaTheme="minorHAnsi" w:cstheme="minorBidi"/>
          <w:szCs w:val="22"/>
          <w:lang w:val="en-US"/>
        </w:rPr>
        <w:fldChar w:fldCharType="separate"/>
      </w:r>
      <w:r w:rsidR="006A5850" w:rsidRPr="006A5850">
        <w:rPr>
          <w:rFonts w:eastAsiaTheme="minorHAnsi" w:cstheme="minorBidi"/>
          <w:noProof/>
          <w:szCs w:val="22"/>
          <w:lang w:val="en-US"/>
        </w:rPr>
        <w:t>(Mohsenpour &amp; Willoughby, 2016)</w:t>
      </w:r>
      <w:r>
        <w:rPr>
          <w:rFonts w:eastAsiaTheme="minorHAnsi" w:cstheme="minorBidi"/>
          <w:szCs w:val="22"/>
          <w:lang w:val="en-US"/>
        </w:rPr>
        <w:fldChar w:fldCharType="end"/>
      </w:r>
      <w:r>
        <w:rPr>
          <w:rFonts w:eastAsiaTheme="minorHAnsi" w:cstheme="minorBidi"/>
          <w:szCs w:val="22"/>
          <w:lang w:val="en-US"/>
        </w:rPr>
        <w:t>. This may race a question as to how CO</w:t>
      </w:r>
      <w:r w:rsidRPr="00956E93">
        <w:rPr>
          <w:rFonts w:eastAsiaTheme="minorHAnsi" w:cstheme="minorBidi"/>
          <w:szCs w:val="22"/>
          <w:vertAlign w:val="subscript"/>
          <w:lang w:val="en-US"/>
        </w:rPr>
        <w:t>2</w:t>
      </w:r>
      <w:r>
        <w:rPr>
          <w:rFonts w:eastAsiaTheme="minorHAnsi" w:cstheme="minorBidi"/>
          <w:szCs w:val="22"/>
          <w:lang w:val="en-US"/>
        </w:rPr>
        <w:t xml:space="preserve"> will feed into the system, hence a study suggest to inject CO</w:t>
      </w:r>
      <w:r w:rsidRPr="00956E93">
        <w:rPr>
          <w:rFonts w:eastAsiaTheme="minorHAnsi" w:cstheme="minorBidi"/>
          <w:szCs w:val="22"/>
          <w:vertAlign w:val="subscript"/>
          <w:lang w:val="en-US"/>
        </w:rPr>
        <w:t>2</w:t>
      </w:r>
      <w:r>
        <w:rPr>
          <w:rFonts w:eastAsiaTheme="minorHAnsi" w:cstheme="minorBidi"/>
          <w:szCs w:val="22"/>
          <w:lang w:val="en-US"/>
        </w:rPr>
        <w:t xml:space="preserve"> in the separate absorption column with fresh cultivation media as it helps to dissolve CO</w:t>
      </w:r>
      <w:r w:rsidRPr="00956E93">
        <w:rPr>
          <w:rFonts w:eastAsiaTheme="minorHAnsi" w:cstheme="minorBidi"/>
          <w:szCs w:val="22"/>
          <w:vertAlign w:val="subscript"/>
          <w:lang w:val="en-US"/>
        </w:rPr>
        <w:t>2</w:t>
      </w:r>
      <w:r>
        <w:rPr>
          <w:rFonts w:eastAsiaTheme="minorHAnsi" w:cstheme="minorBidi"/>
          <w:szCs w:val="22"/>
          <w:lang w:val="en-US"/>
        </w:rPr>
        <w:t xml:space="preserve"> </w:t>
      </w:r>
      <w:r>
        <w:rPr>
          <w:rFonts w:eastAsiaTheme="minorHAnsi" w:cstheme="minorBidi"/>
          <w:szCs w:val="22"/>
          <w:lang w:val="en-US"/>
        </w:rPr>
        <w:fldChar w:fldCharType="begin" w:fldLock="1"/>
      </w:r>
      <w:r w:rsidR="006A5850">
        <w:rPr>
          <w:rFonts w:eastAsiaTheme="minorHAnsi" w:cstheme="minorBidi"/>
          <w:szCs w:val="22"/>
          <w:lang w:val="en-US"/>
        </w:rPr>
        <w:instrText>ADDIN CSL_CITATION {"citationItems":[{"id":"ITEM-1","itemData":{"DOI":"10.1007/978-3-319-12334-9_2","ISBN":"978-3-319-12334-9","abstract":"Raceway ponds are widely used in commercial production of algal biomass. They are effective and inexpensive, but suffer from a relatively low productivity and vagaries of weather. This chapter discusses design and operation of raceways for large-scale production of algal biomass.","author":[{"dropping-particle":"","family":"Chisti","given":"Yusuf","non-dropping-particle":"","parse-names":false,"suffix":""}],"editor":[{"dropping-particle":"","family":"Bux","given":"Faizal","non-dropping-particle":"","parse-names":false,"suffix":""},{"dropping-particle":"","family":"Chisti","given":"Yusuf","non-dropping-particle":"","parse-names":false,"suffix":""}],"id":"ITEM-1","issued":{"date-parts":[["2016"]]},"page":"21-40","publisher":"Springer International Publishing","publisher-place":"Cham","title":"Large-Scale Production of Algal Biomass: Raceway Ponds BT  - Algae Biotechnology: Products and Processes","type":"chapter"},"uris":["http://www.mendeley.com/documents/?uuid=4399cfa1-0417-40da-a56e-eed6036858cb","http://www.mendeley.com/documents/?uuid=ad5ecf40-5367-4e84-8d9e-50e54a82cc46"]}],"mendeley":{"formattedCitation":"(Chisti, 2016)","plainTextFormattedCitation":"(Chisti, 2016)","previouslyFormattedCitation":"(Chisti, 2016)"},"properties":{"noteIndex":0},"schema":"https://github.com/citation-style-language/schema/raw/master/csl-citation.json"}</w:instrText>
      </w:r>
      <w:r>
        <w:rPr>
          <w:rFonts w:eastAsiaTheme="minorHAnsi" w:cstheme="minorBidi"/>
          <w:szCs w:val="22"/>
          <w:lang w:val="en-US"/>
        </w:rPr>
        <w:fldChar w:fldCharType="separate"/>
      </w:r>
      <w:r w:rsidR="006A5850" w:rsidRPr="006A5850">
        <w:rPr>
          <w:rFonts w:eastAsiaTheme="minorHAnsi" w:cstheme="minorBidi"/>
          <w:noProof/>
          <w:szCs w:val="22"/>
          <w:lang w:val="en-US"/>
        </w:rPr>
        <w:t>(Chisti, 2016)</w:t>
      </w:r>
      <w:r>
        <w:rPr>
          <w:rFonts w:eastAsiaTheme="minorHAnsi" w:cstheme="minorBidi"/>
          <w:szCs w:val="22"/>
          <w:lang w:val="en-US"/>
        </w:rPr>
        <w:fldChar w:fldCharType="end"/>
      </w:r>
      <w:r>
        <w:rPr>
          <w:rFonts w:eastAsiaTheme="minorHAnsi" w:cstheme="minorBidi"/>
          <w:szCs w:val="22"/>
          <w:lang w:val="en-US"/>
        </w:rPr>
        <w:t>. Another inhibitory factor of the CO</w:t>
      </w:r>
      <w:r w:rsidRPr="00DB4A8C">
        <w:rPr>
          <w:rFonts w:eastAsiaTheme="minorHAnsi" w:cstheme="minorBidi"/>
          <w:szCs w:val="22"/>
          <w:vertAlign w:val="subscript"/>
          <w:lang w:val="en-US"/>
        </w:rPr>
        <w:t>2</w:t>
      </w:r>
      <w:r>
        <w:rPr>
          <w:rFonts w:eastAsiaTheme="minorHAnsi" w:cstheme="minorBidi"/>
          <w:szCs w:val="22"/>
          <w:lang w:val="en-US"/>
        </w:rPr>
        <w:t xml:space="preserve"> capture efficiency is the high concentration of oxygen (O</w:t>
      </w:r>
      <w:r w:rsidRPr="00892859">
        <w:rPr>
          <w:rFonts w:eastAsiaTheme="minorHAnsi" w:cstheme="minorBidi"/>
          <w:szCs w:val="22"/>
          <w:vertAlign w:val="subscript"/>
          <w:lang w:val="en-US"/>
        </w:rPr>
        <w:t>2</w:t>
      </w:r>
      <w:r>
        <w:rPr>
          <w:rFonts w:eastAsiaTheme="minorHAnsi" w:cstheme="minorBidi"/>
          <w:szCs w:val="22"/>
          <w:lang w:val="en-US"/>
        </w:rPr>
        <w:t>) which is form as the by-product of the photosynthesis. With the high presence of O</w:t>
      </w:r>
      <w:r w:rsidRPr="0017579D">
        <w:rPr>
          <w:rFonts w:eastAsiaTheme="minorHAnsi" w:cstheme="minorBidi"/>
          <w:szCs w:val="22"/>
          <w:vertAlign w:val="subscript"/>
          <w:lang w:val="en-US"/>
        </w:rPr>
        <w:t>2</w:t>
      </w:r>
      <w:r>
        <w:rPr>
          <w:rFonts w:eastAsiaTheme="minorHAnsi" w:cstheme="minorBidi"/>
          <w:szCs w:val="22"/>
          <w:lang w:val="en-US"/>
        </w:rPr>
        <w:t xml:space="preserve"> is a high and low CO</w:t>
      </w:r>
      <w:r w:rsidRPr="0017579D">
        <w:rPr>
          <w:rFonts w:eastAsiaTheme="minorHAnsi" w:cstheme="minorBidi"/>
          <w:szCs w:val="22"/>
          <w:vertAlign w:val="subscript"/>
          <w:lang w:val="en-US"/>
        </w:rPr>
        <w:t>2</w:t>
      </w:r>
      <w:r>
        <w:rPr>
          <w:rFonts w:eastAsiaTheme="minorHAnsi" w:cstheme="minorBidi"/>
          <w:szCs w:val="22"/>
          <w:lang w:val="en-US"/>
        </w:rPr>
        <w:t xml:space="preserve"> concentration, </w:t>
      </w:r>
      <w:proofErr w:type="spellStart"/>
      <w:r w:rsidRPr="0090329B">
        <w:rPr>
          <w:rFonts w:eastAsiaTheme="minorHAnsi" w:cstheme="minorBidi"/>
          <w:szCs w:val="22"/>
          <w:lang w:val="en-US"/>
        </w:rPr>
        <w:t>RuBisCO</w:t>
      </w:r>
      <w:proofErr w:type="spellEnd"/>
      <w:r>
        <w:rPr>
          <w:rFonts w:eastAsiaTheme="minorHAnsi" w:cstheme="minorBidi"/>
          <w:szCs w:val="22"/>
          <w:lang w:val="en-US"/>
        </w:rPr>
        <w:t xml:space="preserve"> </w:t>
      </w:r>
      <w:r w:rsidRPr="0090329B">
        <w:rPr>
          <w:rFonts w:eastAsiaTheme="minorHAnsi" w:cstheme="minorBidi"/>
          <w:szCs w:val="22"/>
          <w:lang w:val="en-US"/>
        </w:rPr>
        <w:t xml:space="preserve">(Ribulose-1,5-bisphosphate carboxylase/oxygenase) </w:t>
      </w:r>
      <w:r>
        <w:rPr>
          <w:rFonts w:eastAsiaTheme="minorHAnsi" w:cstheme="minorBidi"/>
          <w:szCs w:val="22"/>
          <w:lang w:val="en-US"/>
        </w:rPr>
        <w:t xml:space="preserve">acts as oxygenase and catalyze photorespiration reaction which result to the production of 2-carbon molecule </w:t>
      </w:r>
      <w:proofErr w:type="spellStart"/>
      <w:r>
        <w:rPr>
          <w:rFonts w:eastAsiaTheme="minorHAnsi" w:cstheme="minorBidi"/>
          <w:szCs w:val="22"/>
          <w:lang w:val="en-US"/>
        </w:rPr>
        <w:t>phosphog</w:t>
      </w:r>
      <w:r w:rsidR="00706399">
        <w:rPr>
          <w:rFonts w:eastAsiaTheme="minorHAnsi" w:cstheme="minorBidi"/>
          <w:szCs w:val="22"/>
          <w:lang w:val="en-US"/>
        </w:rPr>
        <w:t>l</w:t>
      </w:r>
      <w:r>
        <w:rPr>
          <w:rFonts w:eastAsiaTheme="minorHAnsi" w:cstheme="minorBidi"/>
          <w:szCs w:val="22"/>
          <w:lang w:val="en-US"/>
        </w:rPr>
        <w:t>ycolate</w:t>
      </w:r>
      <w:proofErr w:type="spellEnd"/>
      <w:r>
        <w:rPr>
          <w:rFonts w:eastAsiaTheme="minorHAnsi" w:cstheme="minorBidi"/>
          <w:szCs w:val="22"/>
          <w:lang w:val="en-US"/>
        </w:rPr>
        <w:t xml:space="preserve"> then inhibit the CO</w:t>
      </w:r>
      <w:r w:rsidRPr="0017579D">
        <w:rPr>
          <w:rFonts w:eastAsiaTheme="minorHAnsi" w:cstheme="minorBidi"/>
          <w:szCs w:val="22"/>
          <w:vertAlign w:val="subscript"/>
          <w:lang w:val="en-US"/>
        </w:rPr>
        <w:t>2</w:t>
      </w:r>
      <w:r>
        <w:rPr>
          <w:rFonts w:eastAsiaTheme="minorHAnsi" w:cstheme="minorBidi"/>
          <w:szCs w:val="22"/>
          <w:lang w:val="en-US"/>
        </w:rPr>
        <w:t xml:space="preserve"> fixation during the photosynthesis</w:t>
      </w:r>
      <w:r w:rsidR="00461110">
        <w:rPr>
          <w:rFonts w:eastAsiaTheme="minorHAnsi" w:cstheme="minorBidi"/>
          <w:szCs w:val="22"/>
          <w:lang w:val="en-US"/>
        </w:rPr>
        <w:t xml:space="preserve"> </w:t>
      </w:r>
      <w:r w:rsidR="00461110">
        <w:rPr>
          <w:rFonts w:eastAsiaTheme="minorHAnsi" w:cstheme="minorBidi"/>
          <w:szCs w:val="22"/>
          <w:lang w:val="en-US"/>
        </w:rPr>
        <w:fldChar w:fldCharType="begin" w:fldLock="1"/>
      </w:r>
      <w:r w:rsidR="006A5850">
        <w:rPr>
          <w:rFonts w:eastAsiaTheme="minorHAnsi" w:cstheme="minorBidi"/>
          <w:szCs w:val="22"/>
          <w:lang w:val="en-US"/>
        </w:rPr>
        <w:instrText>ADDIN CSL_CITATION {"citationItems":[{"id":"ITEM-1","itemData":{"DOI":"10.19080/aibm.2019.12.555827","author":[{"dropping-particle":"","family":"BB","given":"Jana","non-dropping-particle":"","parse-names":false,"suffix":""}],"container-title":"Advances in Biotechnology &amp; Microbiology","id":"ITEM-1","issue":"1","issued":{"date-parts":[["2019"]]},"title":"CO2 Mitigation Potentials of Microalgae: Its Expansion to a New Dimension for Closing the Loop of Carbon Between Source and Acquisition Through Food Chain of Phytophagous Fish in Open Ponds","type":"article-journal","volume":"12"},"uris":["http://www.mendeley.com/documents/?uuid=40f65697-f21d-4f0a-a147-2884fc0cd564"]}],"mendeley":{"formattedCitation":"(BB, 2019)","manualFormatting":"(BB Jana 2019)","plainTextFormattedCitation":"(BB, 2019)","previouslyFormattedCitation":"(BB, 2019)"},"properties":{"noteIndex":0},"schema":"https://github.com/citation-style-language/schema/raw/master/csl-citation.json"}</w:instrText>
      </w:r>
      <w:r w:rsidR="00461110">
        <w:rPr>
          <w:rFonts w:eastAsiaTheme="minorHAnsi" w:cstheme="minorBidi"/>
          <w:szCs w:val="22"/>
          <w:lang w:val="en-US"/>
        </w:rPr>
        <w:fldChar w:fldCharType="separate"/>
      </w:r>
      <w:r w:rsidR="00461110" w:rsidRPr="00461110">
        <w:rPr>
          <w:rFonts w:eastAsiaTheme="minorHAnsi" w:cstheme="minorBidi"/>
          <w:noProof/>
          <w:szCs w:val="22"/>
          <w:lang w:val="en-US"/>
        </w:rPr>
        <w:t>(BB</w:t>
      </w:r>
      <w:r w:rsidR="00461110">
        <w:rPr>
          <w:rFonts w:eastAsiaTheme="minorHAnsi" w:cstheme="minorBidi"/>
          <w:noProof/>
          <w:szCs w:val="22"/>
          <w:lang w:val="en-US"/>
        </w:rPr>
        <w:t xml:space="preserve"> Jana</w:t>
      </w:r>
      <w:r w:rsidR="00461110" w:rsidRPr="00461110">
        <w:rPr>
          <w:rFonts w:eastAsiaTheme="minorHAnsi" w:cstheme="minorBidi"/>
          <w:noProof/>
          <w:szCs w:val="22"/>
          <w:lang w:val="en-US"/>
        </w:rPr>
        <w:t xml:space="preserve"> 2019)</w:t>
      </w:r>
      <w:r w:rsidR="00461110">
        <w:rPr>
          <w:rFonts w:eastAsiaTheme="minorHAnsi" w:cstheme="minorBidi"/>
          <w:szCs w:val="22"/>
          <w:lang w:val="en-US"/>
        </w:rPr>
        <w:fldChar w:fldCharType="end"/>
      </w:r>
      <w:r>
        <w:rPr>
          <w:rFonts w:eastAsiaTheme="minorHAnsi" w:cstheme="minorBidi"/>
          <w:szCs w:val="22"/>
          <w:lang w:val="en-US"/>
        </w:rPr>
        <w:t>. The high O</w:t>
      </w:r>
      <w:r w:rsidRPr="005A41D2">
        <w:rPr>
          <w:rFonts w:eastAsiaTheme="minorHAnsi" w:cstheme="minorBidi"/>
          <w:szCs w:val="22"/>
          <w:vertAlign w:val="subscript"/>
          <w:lang w:val="en-US"/>
        </w:rPr>
        <w:t>2</w:t>
      </w:r>
      <w:r>
        <w:rPr>
          <w:rFonts w:eastAsiaTheme="minorHAnsi" w:cstheme="minorBidi"/>
          <w:szCs w:val="22"/>
          <w:lang w:val="en-US"/>
        </w:rPr>
        <w:t xml:space="preserve"> production during the photosynthesis is advantage and </w:t>
      </w:r>
      <w:r w:rsidR="00706399">
        <w:rPr>
          <w:rFonts w:eastAsiaTheme="minorHAnsi" w:cstheme="minorBidi"/>
          <w:szCs w:val="22"/>
          <w:lang w:val="en-US"/>
        </w:rPr>
        <w:t xml:space="preserve">it </w:t>
      </w:r>
      <w:r>
        <w:rPr>
          <w:rFonts w:eastAsiaTheme="minorHAnsi" w:cstheme="minorBidi"/>
          <w:szCs w:val="22"/>
          <w:lang w:val="en-US"/>
        </w:rPr>
        <w:t>is of high interest to biodegrade aromatic compounds through oxidation. On the other hand, this can also be solved by integrating bacteria in the system which can utilize O</w:t>
      </w:r>
      <w:r w:rsidRPr="005A41D2">
        <w:rPr>
          <w:rFonts w:eastAsiaTheme="minorHAnsi" w:cstheme="minorBidi"/>
          <w:szCs w:val="22"/>
          <w:vertAlign w:val="subscript"/>
          <w:lang w:val="en-US"/>
        </w:rPr>
        <w:t>2</w:t>
      </w:r>
      <w:r>
        <w:rPr>
          <w:rFonts w:eastAsiaTheme="minorHAnsi" w:cstheme="minorBidi"/>
          <w:szCs w:val="22"/>
          <w:lang w:val="en-US"/>
        </w:rPr>
        <w:t xml:space="preserve"> that forms during photosynthesis which is significant to treat aromatic compounds </w:t>
      </w:r>
      <w:r>
        <w:rPr>
          <w:rFonts w:eastAsiaTheme="minorHAnsi" w:cstheme="minorBidi"/>
          <w:szCs w:val="22"/>
          <w:lang w:val="en-US"/>
        </w:rPr>
        <w:fldChar w:fldCharType="begin" w:fldLock="1"/>
      </w:r>
      <w:r w:rsidR="00456353">
        <w:rPr>
          <w:rFonts w:eastAsiaTheme="minorHAnsi" w:cstheme="minorBidi"/>
          <w:szCs w:val="22"/>
          <w:lang w:val="en-US"/>
        </w:rPr>
        <w:instrText>ADDIN CSL_CITATION {"citationItems":[{"id":"ITEM-1","itemData":{"DOI":"10.1016/j.jhazmat.2019.120860","ISSN":"18733336","abstract":"The negative effects of volatile organic compounds (VOCs) on humans’ health and the environment have boosted the enforcement of regulations, resulting in the need of effective and environmentally friendly off-gas treatment technologies. In this work, the synergism between microalgae and bacteria was investigated as a sustainable platform to enhance the biological degradation of toluene, herein selected as a model VOC. An innovative algal-bacterial tubular photobioreactor (TPBR) was systematically compared with a conventional biotrickling filter (BTF). The BTF supported average removal efficiencies close to those obtained in the TPBR (86 ± 9% and 88 ± 4%, respectively) at the highest inlet load (</w:instrText>
      </w:r>
      <w:r w:rsidR="00456353">
        <w:rPr>
          <w:rFonts w:ascii="Cambria Math" w:eastAsiaTheme="minorHAnsi" w:hAnsi="Cambria Math" w:cs="Cambria Math"/>
          <w:szCs w:val="22"/>
          <w:lang w:val="en-US"/>
        </w:rPr>
        <w:instrText>∼</w:instrText>
      </w:r>
      <w:r w:rsidR="00456353">
        <w:rPr>
          <w:rFonts w:eastAsiaTheme="minorHAnsi" w:cstheme="minorBidi"/>
          <w:szCs w:val="22"/>
          <w:lang w:val="en-US"/>
        </w:rPr>
        <w:instrText xml:space="preserve">23 g m3 h−1) and lowest gas residence time (0.75 min). However, the BTF was more sensitive towards the accumulation of secondary metabolites. In this regard, photosynthetic O2 supplementation (resulting in dissolved oxygen concentrations of </w:instrText>
      </w:r>
      <w:r w:rsidR="00456353">
        <w:rPr>
          <w:rFonts w:ascii="Cambria Math" w:eastAsiaTheme="minorHAnsi" w:hAnsi="Cambria Math" w:cs="Cambria Math"/>
          <w:szCs w:val="22"/>
          <w:lang w:val="en-US"/>
        </w:rPr>
        <w:instrText>∼</w:instrText>
      </w:r>
      <w:r w:rsidR="00456353">
        <w:rPr>
          <w:rFonts w:eastAsiaTheme="minorHAnsi" w:cstheme="minorBidi"/>
          <w:szCs w:val="22"/>
          <w:lang w:val="en-US"/>
        </w:rPr>
        <w:instrText>7.3 mg O2 L</w:instrText>
      </w:r>
      <w:r w:rsidR="00456353">
        <w:rPr>
          <w:rFonts w:eastAsiaTheme="minorHAnsi" w:cs="Arial"/>
          <w:szCs w:val="22"/>
          <w:lang w:val="en-US"/>
        </w:rPr>
        <w:instrText>−</w:instrText>
      </w:r>
      <w:r w:rsidR="00456353">
        <w:rPr>
          <w:rFonts w:eastAsiaTheme="minorHAnsi" w:cstheme="minorBidi"/>
          <w:szCs w:val="22"/>
          <w:lang w:val="en-US"/>
        </w:rPr>
        <w:instrText>1) and CO2 consumption by microalgae (which reduced the impact of acidification) enhanced toluene abatement performance and process stability.","author":[{"dropping-particle":"","family":"Oliva","given":"Giuseppina","non-dropping-particle":"","parse-names":false,"suffix":""},{"dropping-particle":"","family":"Ángeles","given":"Roxana","non-dropping-particle":"","parse-names":false,"suffix":""},{"dropping-particle":"","family":"Rodríguez","given":"Elisa","non-dropping-particle":"","parse-names":false,"suffix":""},{"dropping-particle":"","family":"Turiel","given":"Sara","non-dropping-particle":"","parse-names":false,"suffix":""},{"dropping-particle":"","family":"Naddeo","given":"Vincenzo","non-dropping-particle":"","parse-names":false,"suffix":""},{"dropping-particle":"","family":"Zarra","given":"Tiziano","non-dropping-particle":"","parse-names":false,"suffix":""},{"dropping-particle":"","family":"Belgiorno","given":"Vincenzo","non-dropping-particle":"","parse-names":false,"suffix":""},{"dropping-particle":"","family":"Muñoz","given":"Raúl","non-dropping-particle":"","parse-names":false,"suffix":""},{"dropping-particle":"","family":"Lebrero","given":"Raquel","non-dropping-particle":"","parse-names":false,"suffix":""}],"container-title":"Journal of Hazardous Materials","id":"ITEM-1","issue":"April","issued":{"date-parts":[["2019"]]},"page":"120860","publisher":"Elsevier","title":"Comparative evaluation of a biotrickling filter and a tubular photobioreactor for the continuous abatement of toluene","type":"article-journal","volume":"380"},"uris":["http://www.mendeley.com/documents/?uuid=47cfa5fb-baf7-4ece-87f2-9a91f75cbe58","http://www.mendeley.com/documents/?uuid=021ef0fd-396f-48a1-a717-88aec31e0024"]},{"id":"ITEM-2","itemData":{"DOI":"10.30955/gnj.003298","ISSN":"1790-7632","abstract":"&lt;p&gt;Volatile Organic Compounds (VOCs) are toxic for the environment and human health and their tendency to readily volatilize in the atmosphere can lead to problems connected to odours annoyance. Conventional VOCs gaseous emissions treatments entail the application of chemical-physical processes, only promoting the transfer of the contaminants from gas to liquid and/or solid phases. Advanced Oxidation Process (AOPs) and biological processes, conversely, support the oxidation of the organic pollutants, promoting their conversion into harmless and odourless compounds. The integration of booth processes is suggested to increase treatability of VOC. The research presents the application of an innovative treatment system composed by an AOPs pretreatment coupled with a bio-scrubbing unit for the abatement of VOCs, with the aim to increase the removal efficiency. The evaluation of the performance of the proposed system is discussed with reference to the analysis carried out using toluene as model substance. Different operating conditions have been analyzed and investigated to optimize the removal efficiency. The results show that the ozonation applied as pretreatment to the biological process may promote an increase of the pollutant biodegradability along with synergic effects due to the absorption of the ozone derived compounds into the culture growth, resulting in a significant enhancement of removal performances respect to the conventional biotechnologies. A toluene removal efficiency up to 95% were obtained under the investigated conditions.&lt;/p&gt;","author":[{"dropping-particle":"","family":"Senatore","given":"V","non-dropping-particle":"","parse-names":false,"suffix":""},{"dropping-particle":"","family":"Zarra","given":"T","non-dropping-particle":"","parse-names":false,"suffix":""},{"dropping-particle":"","family":"Oliva","given":"G","non-dropping-particle":"","parse-names":false,"suffix":""},{"dropping-particle":"","family":"Belgiorno","given":"V","non-dropping-particle":"","parse-names":false,"suffix":""},{"dropping-particle":"","family":"Naddeo","given":"V","non-dropping-particle":"","parse-names":false,"suffix":""}],"container-title":"Global NEST JournalGlobal NEST: the international Journal","id":"ITEM-2","issue":"2","issued":{"date-parts":[["2020"]]},"page":"143-146","title":"Volatile organic compounds (VOCs) control by combining bio-scrubber and ozone pretreatment","type":"article-journal","volume":"22"},"uris":["http://www.mendeley.com/documents/?uuid=b236f847-2daa-4983-9d26-14e3ca95832f"]}],"mendeley":{"formattedCitation":"(Giuseppina Oliva et al., 2019; V Senatore et al., 2020)","manualFormatting":"(Oliva et al., 2019; Senatore et al., 2020)","plainTextFormattedCitation":"(Giuseppina Oliva et al., 2019; V Senatore et al., 2020)","previouslyFormattedCitation":"(Giuseppina Oliva et al., 2019; V Senatore et al., 2019)"},"properties":{"noteIndex":0},"schema":"https://github.com/citation-style-language/schema/raw/master/csl-citation.json"}</w:instrText>
      </w:r>
      <w:r>
        <w:rPr>
          <w:rFonts w:eastAsiaTheme="minorHAnsi" w:cstheme="minorBidi"/>
          <w:szCs w:val="22"/>
          <w:lang w:val="en-US"/>
        </w:rPr>
        <w:fldChar w:fldCharType="separate"/>
      </w:r>
      <w:r w:rsidR="00456353" w:rsidRPr="00456353">
        <w:rPr>
          <w:rFonts w:eastAsiaTheme="minorHAnsi" w:cstheme="minorBidi"/>
          <w:noProof/>
          <w:szCs w:val="22"/>
          <w:lang w:val="en-US"/>
        </w:rPr>
        <w:t>(Oliva et al., 2019; Senatore et al., 2020)</w:t>
      </w:r>
      <w:r>
        <w:rPr>
          <w:rFonts w:eastAsiaTheme="minorHAnsi" w:cstheme="minorBidi"/>
          <w:szCs w:val="22"/>
          <w:lang w:val="en-US"/>
        </w:rPr>
        <w:fldChar w:fldCharType="end"/>
      </w:r>
      <w:r>
        <w:rPr>
          <w:rFonts w:eastAsiaTheme="minorHAnsi" w:cstheme="minorBidi"/>
          <w:szCs w:val="22"/>
          <w:lang w:val="en-US"/>
        </w:rPr>
        <w:t xml:space="preserve">. In this study, </w:t>
      </w:r>
      <w:r w:rsidR="00941837" w:rsidRPr="003F55E7">
        <w:t xml:space="preserve">an advanced sustainable biotechnology-based control system </w:t>
      </w:r>
      <w:r>
        <w:rPr>
          <w:rFonts w:eastAsiaTheme="minorHAnsi" w:cstheme="minorBidi"/>
          <w:szCs w:val="22"/>
          <w:lang w:val="en-US"/>
        </w:rPr>
        <w:t xml:space="preserve">that combined </w:t>
      </w:r>
      <w:r w:rsidR="00164475">
        <w:rPr>
          <w:rFonts w:eastAsiaTheme="minorHAnsi" w:cstheme="minorBidi"/>
          <w:szCs w:val="22"/>
          <w:lang w:val="en-US"/>
        </w:rPr>
        <w:t>an</w:t>
      </w:r>
      <w:r>
        <w:rPr>
          <w:rFonts w:eastAsiaTheme="minorHAnsi" w:cstheme="minorBidi"/>
          <w:szCs w:val="22"/>
          <w:lang w:val="en-US"/>
        </w:rPr>
        <w:t xml:space="preserve"> absorption column and PBR </w:t>
      </w:r>
      <w:r w:rsidR="00275730">
        <w:rPr>
          <w:rFonts w:eastAsiaTheme="minorHAnsi" w:cstheme="minorBidi"/>
          <w:szCs w:val="22"/>
          <w:lang w:val="en-US"/>
        </w:rPr>
        <w:t xml:space="preserve">(photobioreactor) </w:t>
      </w:r>
      <w:r w:rsidR="00941837">
        <w:rPr>
          <w:rFonts w:eastAsiaTheme="minorHAnsi" w:cstheme="minorBidi"/>
          <w:szCs w:val="22"/>
          <w:lang w:val="en-US"/>
        </w:rPr>
        <w:t xml:space="preserve">is presented and </w:t>
      </w:r>
      <w:r>
        <w:rPr>
          <w:rFonts w:eastAsiaTheme="minorHAnsi" w:cstheme="minorBidi"/>
          <w:szCs w:val="22"/>
          <w:lang w:val="en-US"/>
        </w:rPr>
        <w:t>explored to capture CO</w:t>
      </w:r>
      <w:r w:rsidRPr="005D6C53">
        <w:rPr>
          <w:rFonts w:eastAsiaTheme="minorHAnsi" w:cstheme="minorBidi"/>
          <w:szCs w:val="22"/>
          <w:vertAlign w:val="subscript"/>
          <w:lang w:val="en-US"/>
        </w:rPr>
        <w:t>2</w:t>
      </w:r>
      <w:r>
        <w:rPr>
          <w:rFonts w:eastAsiaTheme="minorHAnsi" w:cstheme="minorBidi"/>
          <w:szCs w:val="22"/>
          <w:lang w:val="en-US"/>
        </w:rPr>
        <w:t>, evaluate the biomass production and asses the O</w:t>
      </w:r>
      <w:r w:rsidRPr="005D6C53">
        <w:rPr>
          <w:rFonts w:eastAsiaTheme="minorHAnsi" w:cstheme="minorBidi"/>
          <w:szCs w:val="22"/>
          <w:vertAlign w:val="subscript"/>
          <w:lang w:val="en-US"/>
        </w:rPr>
        <w:t>2</w:t>
      </w:r>
      <w:r>
        <w:rPr>
          <w:rFonts w:eastAsiaTheme="minorHAnsi" w:cstheme="minorBidi"/>
          <w:szCs w:val="22"/>
          <w:lang w:val="en-US"/>
        </w:rPr>
        <w:t xml:space="preserve"> production. The </w:t>
      </w:r>
      <w:r w:rsidR="00941837">
        <w:rPr>
          <w:rFonts w:eastAsiaTheme="minorHAnsi" w:cstheme="minorBidi"/>
          <w:szCs w:val="22"/>
          <w:lang w:val="en-US"/>
        </w:rPr>
        <w:t>investigation</w:t>
      </w:r>
      <w:r>
        <w:rPr>
          <w:rFonts w:eastAsiaTheme="minorHAnsi" w:cstheme="minorBidi"/>
          <w:szCs w:val="22"/>
          <w:lang w:val="en-US"/>
        </w:rPr>
        <w:t xml:space="preserve"> of </w:t>
      </w:r>
      <w:r w:rsidR="00941837">
        <w:rPr>
          <w:rFonts w:eastAsiaTheme="minorHAnsi" w:cstheme="minorBidi"/>
          <w:szCs w:val="22"/>
          <w:lang w:val="en-US"/>
        </w:rPr>
        <w:t>the</w:t>
      </w:r>
      <w:r>
        <w:rPr>
          <w:rFonts w:eastAsiaTheme="minorHAnsi" w:cstheme="minorBidi"/>
          <w:szCs w:val="22"/>
          <w:lang w:val="en-US"/>
        </w:rPr>
        <w:t xml:space="preserve"> technology is </w:t>
      </w:r>
      <w:r w:rsidR="00941837">
        <w:rPr>
          <w:rFonts w:eastAsiaTheme="minorHAnsi" w:cstheme="minorBidi"/>
          <w:szCs w:val="22"/>
          <w:lang w:val="en-US"/>
        </w:rPr>
        <w:t xml:space="preserve">carried out with the aim to </w:t>
      </w:r>
      <w:r>
        <w:rPr>
          <w:rFonts w:eastAsiaTheme="minorHAnsi" w:cstheme="minorBidi"/>
          <w:szCs w:val="22"/>
          <w:lang w:val="en-US"/>
        </w:rPr>
        <w:t>capture CO</w:t>
      </w:r>
      <w:r w:rsidRPr="005D6C53">
        <w:rPr>
          <w:rFonts w:eastAsiaTheme="minorHAnsi" w:cstheme="minorBidi"/>
          <w:szCs w:val="22"/>
          <w:vertAlign w:val="subscript"/>
          <w:lang w:val="en-US"/>
        </w:rPr>
        <w:t>2</w:t>
      </w:r>
      <w:r w:rsidR="00164475">
        <w:rPr>
          <w:rFonts w:eastAsiaTheme="minorHAnsi" w:cstheme="minorBidi"/>
          <w:szCs w:val="22"/>
          <w:lang w:val="en-US"/>
        </w:rPr>
        <w:t xml:space="preserve">, </w:t>
      </w:r>
      <w:r>
        <w:rPr>
          <w:rFonts w:eastAsiaTheme="minorHAnsi" w:cstheme="minorBidi"/>
          <w:szCs w:val="22"/>
          <w:lang w:val="en-US"/>
        </w:rPr>
        <w:t>produc</w:t>
      </w:r>
      <w:r w:rsidR="00164475">
        <w:rPr>
          <w:rFonts w:eastAsiaTheme="minorHAnsi" w:cstheme="minorBidi"/>
          <w:szCs w:val="22"/>
          <w:lang w:val="en-US"/>
        </w:rPr>
        <w:t>e</w:t>
      </w:r>
      <w:r>
        <w:rPr>
          <w:rFonts w:eastAsiaTheme="minorHAnsi" w:cstheme="minorBidi"/>
          <w:szCs w:val="22"/>
          <w:lang w:val="en-US"/>
        </w:rPr>
        <w:t xml:space="preserve"> biomass</w:t>
      </w:r>
      <w:r w:rsidR="00164475">
        <w:rPr>
          <w:rFonts w:eastAsiaTheme="minorHAnsi" w:cstheme="minorBidi"/>
          <w:szCs w:val="22"/>
          <w:lang w:val="en-US"/>
        </w:rPr>
        <w:t xml:space="preserve"> and </w:t>
      </w:r>
      <w:r>
        <w:rPr>
          <w:rFonts w:eastAsiaTheme="minorHAnsi" w:cstheme="minorBidi"/>
          <w:szCs w:val="22"/>
          <w:lang w:val="en-US"/>
        </w:rPr>
        <w:t>to biodegrad</w:t>
      </w:r>
      <w:r w:rsidR="00164475">
        <w:rPr>
          <w:rFonts w:eastAsiaTheme="minorHAnsi" w:cstheme="minorBidi"/>
          <w:szCs w:val="22"/>
          <w:lang w:val="en-US"/>
        </w:rPr>
        <w:t>e</w:t>
      </w:r>
      <w:r>
        <w:rPr>
          <w:rFonts w:eastAsiaTheme="minorHAnsi" w:cstheme="minorBidi"/>
          <w:szCs w:val="22"/>
          <w:lang w:val="en-US"/>
        </w:rPr>
        <w:t xml:space="preserve"> aromatic </w:t>
      </w:r>
      <w:r w:rsidR="00164475">
        <w:rPr>
          <w:rFonts w:eastAsiaTheme="minorHAnsi" w:cstheme="minorBidi"/>
          <w:szCs w:val="22"/>
          <w:lang w:val="en-US"/>
        </w:rPr>
        <w:t xml:space="preserve">substances, </w:t>
      </w:r>
      <w:r w:rsidR="00164475" w:rsidRPr="00164475">
        <w:rPr>
          <w:rFonts w:eastAsiaTheme="minorHAnsi" w:cstheme="minorBidi"/>
          <w:szCs w:val="22"/>
          <w:lang w:val="en-US"/>
        </w:rPr>
        <w:t>treating highly odorous compounds</w:t>
      </w:r>
      <w:r w:rsidR="00941837">
        <w:rPr>
          <w:rFonts w:eastAsiaTheme="minorHAnsi" w:cstheme="minorBidi"/>
          <w:szCs w:val="22"/>
          <w:lang w:val="en-US"/>
        </w:rPr>
        <w:t xml:space="preserve">, in a vision of highly </w:t>
      </w:r>
      <w:r w:rsidR="00941837" w:rsidRPr="00941837">
        <w:rPr>
          <w:rFonts w:eastAsiaTheme="minorHAnsi" w:cstheme="minorBidi"/>
          <w:szCs w:val="22"/>
          <w:lang w:val="en-US"/>
        </w:rPr>
        <w:t>environmental sustainability</w:t>
      </w:r>
      <w:r>
        <w:rPr>
          <w:rFonts w:eastAsiaTheme="minorHAnsi" w:cstheme="minorBidi"/>
          <w:szCs w:val="22"/>
          <w:lang w:val="en-US"/>
        </w:rPr>
        <w:t xml:space="preserve">. </w:t>
      </w:r>
      <w:bookmarkEnd w:id="0"/>
    </w:p>
    <w:p w14:paraId="677EBFF0" w14:textId="64306BDB" w:rsidR="00600535" w:rsidRPr="00B57B36" w:rsidRDefault="00EA54A0" w:rsidP="00600535">
      <w:pPr>
        <w:pStyle w:val="CETHeading1"/>
        <w:tabs>
          <w:tab w:val="right" w:pos="7100"/>
        </w:tabs>
        <w:jc w:val="both"/>
        <w:rPr>
          <w:lang w:val="en-GB"/>
        </w:rPr>
      </w:pPr>
      <w:r>
        <w:rPr>
          <w:lang w:val="en-GB"/>
        </w:rPr>
        <w:t>Material and Methods</w:t>
      </w:r>
    </w:p>
    <w:p w14:paraId="04963A06" w14:textId="1805693F" w:rsidR="00600535" w:rsidRDefault="005D6C53" w:rsidP="00FA5F5F">
      <w:pPr>
        <w:pStyle w:val="CETheadingx"/>
      </w:pPr>
      <w:r>
        <w:t>Microalgae and culture medium</w:t>
      </w:r>
    </w:p>
    <w:p w14:paraId="65132A35" w14:textId="179F1BFF" w:rsidR="00FE2DC3" w:rsidRDefault="005F0FFE" w:rsidP="0045796F">
      <w:pPr>
        <w:pStyle w:val="CETBodytext"/>
        <w:spacing w:line="240" w:lineRule="auto"/>
      </w:pPr>
      <w:r>
        <w:rPr>
          <w:rFonts w:eastAsiaTheme="minorHAnsi" w:cstheme="minorBidi"/>
          <w:szCs w:val="22"/>
        </w:rPr>
        <w:t>Microalgae strain</w:t>
      </w:r>
      <w:r w:rsidR="005D6C53">
        <w:rPr>
          <w:rFonts w:eastAsiaTheme="minorHAnsi" w:cstheme="minorBidi"/>
          <w:szCs w:val="22"/>
        </w:rPr>
        <w:t xml:space="preserve"> </w:t>
      </w:r>
      <w:r w:rsidR="005D6C53">
        <w:rPr>
          <w:rFonts w:eastAsiaTheme="minorHAnsi" w:cstheme="minorBidi"/>
          <w:i/>
          <w:szCs w:val="22"/>
        </w:rPr>
        <w:t xml:space="preserve">Chlorella vulgaris </w:t>
      </w:r>
      <w:r w:rsidR="005D6C53" w:rsidRPr="00105911">
        <w:rPr>
          <w:rFonts w:eastAsiaTheme="minorHAnsi" w:cstheme="minorBidi"/>
          <w:szCs w:val="22"/>
        </w:rPr>
        <w:t>(CCAP 211/11B)</w:t>
      </w:r>
      <w:r w:rsidR="005D6C53">
        <w:rPr>
          <w:rFonts w:eastAsiaTheme="minorHAnsi" w:cstheme="minorBidi"/>
          <w:i/>
          <w:szCs w:val="22"/>
        </w:rPr>
        <w:t xml:space="preserve"> </w:t>
      </w:r>
      <w:r w:rsidR="005D6C53" w:rsidRPr="00105911">
        <w:rPr>
          <w:rFonts w:eastAsiaTheme="minorHAnsi" w:cstheme="minorBidi"/>
          <w:szCs w:val="22"/>
        </w:rPr>
        <w:t>was ordered from</w:t>
      </w:r>
      <w:r w:rsidR="005D6C53">
        <w:rPr>
          <w:rFonts w:eastAsiaTheme="minorHAnsi" w:cstheme="minorBidi"/>
          <w:i/>
          <w:szCs w:val="22"/>
        </w:rPr>
        <w:t xml:space="preserve"> </w:t>
      </w:r>
      <w:r w:rsidR="005D6C53">
        <w:rPr>
          <w:rFonts w:eastAsiaTheme="minorHAnsi" w:cstheme="minorBidi"/>
          <w:szCs w:val="22"/>
        </w:rPr>
        <w:t xml:space="preserve">the Culture Collection of Algae and Protozoa (CCAP) located at the Scottish Association for Marine Science, Scotland. The </w:t>
      </w:r>
      <w:r w:rsidR="005D6C53" w:rsidRPr="00653F1B">
        <w:rPr>
          <w:rFonts w:eastAsiaTheme="minorHAnsi" w:cstheme="minorBidi"/>
          <w:i/>
          <w:iCs/>
          <w:szCs w:val="22"/>
        </w:rPr>
        <w:t>C</w:t>
      </w:r>
      <w:r w:rsidR="00653F1B" w:rsidRPr="00653F1B">
        <w:rPr>
          <w:rFonts w:eastAsiaTheme="minorHAnsi" w:cstheme="minorBidi"/>
          <w:i/>
          <w:iCs/>
          <w:szCs w:val="22"/>
        </w:rPr>
        <w:t>hlorella</w:t>
      </w:r>
      <w:r w:rsidR="005D6C53" w:rsidRPr="00653F1B">
        <w:rPr>
          <w:rFonts w:eastAsiaTheme="minorHAnsi" w:cstheme="minorBidi"/>
          <w:i/>
          <w:iCs/>
          <w:szCs w:val="22"/>
        </w:rPr>
        <w:t xml:space="preserve"> vulgaris</w:t>
      </w:r>
      <w:r w:rsidR="005D6C53">
        <w:rPr>
          <w:rFonts w:eastAsiaTheme="minorHAnsi" w:cstheme="minorBidi"/>
          <w:szCs w:val="22"/>
        </w:rPr>
        <w:t xml:space="preserve"> was pre-inoculated </w:t>
      </w:r>
      <w:r w:rsidR="00653F1B">
        <w:rPr>
          <w:rFonts w:eastAsiaTheme="minorHAnsi" w:cstheme="minorBidi"/>
          <w:szCs w:val="22"/>
        </w:rPr>
        <w:t>for</w:t>
      </w:r>
      <w:r w:rsidR="005D6C53">
        <w:rPr>
          <w:rFonts w:eastAsiaTheme="minorHAnsi" w:cstheme="minorBidi"/>
          <w:szCs w:val="22"/>
        </w:rPr>
        <w:t xml:space="preserve"> 7 days using the modified Bold Basal Medium solution with the following composition: a stocks solution per 400 mL of (1)</w:t>
      </w:r>
      <w:r w:rsidR="005D6C53" w:rsidRPr="00207947">
        <w:t xml:space="preserve"> </w:t>
      </w:r>
      <w:r w:rsidR="005D6C53">
        <w:t>10.0 g of NaNO</w:t>
      </w:r>
      <w:r w:rsidR="005D6C53" w:rsidRPr="00653882">
        <w:rPr>
          <w:vertAlign w:val="subscript"/>
        </w:rPr>
        <w:t>3</w:t>
      </w:r>
      <w:r w:rsidR="005D6C53">
        <w:t xml:space="preserve">; (2) 3.0 g of </w:t>
      </w:r>
      <w:r w:rsidR="005D6C53" w:rsidRPr="00653882">
        <w:t>MgSO</w:t>
      </w:r>
      <w:r w:rsidR="005D6C53" w:rsidRPr="00653882">
        <w:rPr>
          <w:vertAlign w:val="subscript"/>
        </w:rPr>
        <w:t>4</w:t>
      </w:r>
      <w:r w:rsidR="00C84754">
        <w:rPr>
          <w:rFonts w:cs="Arial"/>
          <w:b/>
          <w:bCs/>
          <w:lang w:val="en-GB"/>
        </w:rPr>
        <w:t>·</w:t>
      </w:r>
      <w:r w:rsidR="005D6C53" w:rsidRPr="00653882">
        <w:t>7H</w:t>
      </w:r>
      <w:r w:rsidR="005D6C53" w:rsidRPr="00653882">
        <w:rPr>
          <w:vertAlign w:val="subscript"/>
        </w:rPr>
        <w:t>2</w:t>
      </w:r>
      <w:r w:rsidR="005D6C53">
        <w:t xml:space="preserve">O; (3) 1.0 g of </w:t>
      </w:r>
      <w:r w:rsidR="005D6C53" w:rsidRPr="00653882">
        <w:t>NaCl</w:t>
      </w:r>
      <w:r w:rsidR="005D6C53">
        <w:t xml:space="preserve">; (4) 3.0 g of </w:t>
      </w:r>
      <w:r w:rsidR="005D6C53" w:rsidRPr="00653882">
        <w:t>K</w:t>
      </w:r>
      <w:r w:rsidR="005D6C53" w:rsidRPr="00653882">
        <w:rPr>
          <w:vertAlign w:val="subscript"/>
        </w:rPr>
        <w:t>2</w:t>
      </w:r>
      <w:r w:rsidR="005D6C53" w:rsidRPr="00653882">
        <w:t>HPO</w:t>
      </w:r>
      <w:r w:rsidR="005D6C53" w:rsidRPr="00653882">
        <w:rPr>
          <w:vertAlign w:val="subscript"/>
        </w:rPr>
        <w:t>4</w:t>
      </w:r>
      <w:r w:rsidR="005D6C53">
        <w:t xml:space="preserve">; (5) 7.0 g of </w:t>
      </w:r>
      <w:r w:rsidR="005D6C53" w:rsidRPr="00653882">
        <w:t>KH</w:t>
      </w:r>
      <w:r w:rsidR="005D6C53" w:rsidRPr="00653882">
        <w:rPr>
          <w:vertAlign w:val="subscript"/>
        </w:rPr>
        <w:t>2</w:t>
      </w:r>
      <w:r w:rsidR="005D6C53" w:rsidRPr="00653882">
        <w:t>PO</w:t>
      </w:r>
      <w:r w:rsidR="005D6C53" w:rsidRPr="00653882">
        <w:rPr>
          <w:vertAlign w:val="subscript"/>
        </w:rPr>
        <w:t>4</w:t>
      </w:r>
      <w:r w:rsidR="005D6C53">
        <w:t xml:space="preserve">; (6) 1.0 g of </w:t>
      </w:r>
      <w:r w:rsidR="005D6C53" w:rsidRPr="00653882">
        <w:t>CaCl</w:t>
      </w:r>
      <w:r w:rsidR="005D6C53" w:rsidRPr="00653882">
        <w:rPr>
          <w:vertAlign w:val="subscript"/>
        </w:rPr>
        <w:t>2</w:t>
      </w:r>
      <w:r w:rsidR="00C84754">
        <w:rPr>
          <w:rFonts w:cs="Arial"/>
          <w:b/>
          <w:bCs/>
          <w:lang w:val="en-GB"/>
        </w:rPr>
        <w:t>·</w:t>
      </w:r>
      <w:r w:rsidR="005D6C53" w:rsidRPr="00653882">
        <w:t>2H</w:t>
      </w:r>
      <w:r w:rsidR="005D6C53" w:rsidRPr="00653882">
        <w:rPr>
          <w:vertAlign w:val="subscript"/>
        </w:rPr>
        <w:t>2</w:t>
      </w:r>
      <w:r w:rsidR="005D6C53">
        <w:t xml:space="preserve">O; (7) trace elements solution (g/L); </w:t>
      </w:r>
      <w:r w:rsidR="005D6C53" w:rsidRPr="00653882">
        <w:t>ZnSO</w:t>
      </w:r>
      <w:r w:rsidR="005D6C53" w:rsidRPr="00653882">
        <w:rPr>
          <w:vertAlign w:val="subscript"/>
        </w:rPr>
        <w:t>4</w:t>
      </w:r>
      <w:r w:rsidR="00C84754">
        <w:rPr>
          <w:rFonts w:cs="Arial"/>
          <w:b/>
          <w:bCs/>
          <w:lang w:val="en-GB"/>
        </w:rPr>
        <w:t>·</w:t>
      </w:r>
      <w:r w:rsidR="005D6C53" w:rsidRPr="00653882">
        <w:t>7H</w:t>
      </w:r>
      <w:r w:rsidR="005D6C53" w:rsidRPr="00653882">
        <w:rPr>
          <w:vertAlign w:val="subscript"/>
        </w:rPr>
        <w:t>2</w:t>
      </w:r>
      <w:r w:rsidR="005D6C53" w:rsidRPr="00653882">
        <w:t>O</w:t>
      </w:r>
      <w:r w:rsidR="005D6C53">
        <w:t xml:space="preserve"> (8.82 g), </w:t>
      </w:r>
      <w:r w:rsidR="005D6C53" w:rsidRPr="00653882">
        <w:t>MnCl</w:t>
      </w:r>
      <w:r w:rsidR="005D6C53" w:rsidRPr="00653882">
        <w:rPr>
          <w:vertAlign w:val="subscript"/>
        </w:rPr>
        <w:t>2</w:t>
      </w:r>
      <w:r w:rsidR="00C84754">
        <w:rPr>
          <w:rFonts w:cs="Arial"/>
          <w:b/>
          <w:bCs/>
          <w:lang w:val="en-GB"/>
        </w:rPr>
        <w:t>·</w:t>
      </w:r>
      <w:r w:rsidR="005D6C53" w:rsidRPr="00653882">
        <w:t>4H</w:t>
      </w:r>
      <w:r w:rsidR="005D6C53" w:rsidRPr="00653882">
        <w:rPr>
          <w:vertAlign w:val="subscript"/>
        </w:rPr>
        <w:t>2</w:t>
      </w:r>
      <w:r w:rsidR="005D6C53" w:rsidRPr="00653882">
        <w:t>O</w:t>
      </w:r>
      <w:r w:rsidR="005D6C53">
        <w:t xml:space="preserve"> (1.44 g), (NH</w:t>
      </w:r>
      <w:r w:rsidR="005D6C53" w:rsidRPr="00653882">
        <w:rPr>
          <w:vertAlign w:val="subscript"/>
        </w:rPr>
        <w:t>4</w:t>
      </w:r>
      <w:r w:rsidR="005D6C53">
        <w:t>)</w:t>
      </w:r>
      <w:r w:rsidR="005D6C53" w:rsidRPr="00653882">
        <w:rPr>
          <w:vertAlign w:val="subscript"/>
        </w:rPr>
        <w:t>6</w:t>
      </w:r>
      <w:r w:rsidR="005D6C53">
        <w:t>MO</w:t>
      </w:r>
      <w:r w:rsidR="005D6C53" w:rsidRPr="00653882">
        <w:rPr>
          <w:vertAlign w:val="subscript"/>
        </w:rPr>
        <w:t>7</w:t>
      </w:r>
      <w:r w:rsidR="005D6C53">
        <w:t>)</w:t>
      </w:r>
      <w:r w:rsidR="005D6C53" w:rsidRPr="00653882">
        <w:rPr>
          <w:vertAlign w:val="subscript"/>
        </w:rPr>
        <w:t>4</w:t>
      </w:r>
      <w:r w:rsidR="00C84754">
        <w:rPr>
          <w:rFonts w:cs="Arial"/>
          <w:b/>
          <w:bCs/>
          <w:lang w:val="en-GB"/>
        </w:rPr>
        <w:t>·</w:t>
      </w:r>
      <w:r w:rsidR="005D6C53">
        <w:t>4H</w:t>
      </w:r>
      <w:r w:rsidR="005D6C53" w:rsidRPr="00653882">
        <w:rPr>
          <w:vertAlign w:val="subscript"/>
        </w:rPr>
        <w:t>2</w:t>
      </w:r>
      <w:r w:rsidR="005D6C53">
        <w:t xml:space="preserve">O (0.87 g), </w:t>
      </w:r>
      <w:r w:rsidR="005D6C53" w:rsidRPr="00653882">
        <w:t>CuSO</w:t>
      </w:r>
      <w:r w:rsidR="005D6C53" w:rsidRPr="00653882">
        <w:rPr>
          <w:vertAlign w:val="subscript"/>
        </w:rPr>
        <w:t>4</w:t>
      </w:r>
      <w:r w:rsidR="00C84754">
        <w:rPr>
          <w:rFonts w:cs="Arial"/>
          <w:b/>
          <w:bCs/>
          <w:lang w:val="en-GB"/>
        </w:rPr>
        <w:t>·</w:t>
      </w:r>
      <w:r w:rsidR="005D6C53" w:rsidRPr="00653882">
        <w:t>5H</w:t>
      </w:r>
      <w:r w:rsidR="005D6C53" w:rsidRPr="00653882">
        <w:rPr>
          <w:vertAlign w:val="subscript"/>
        </w:rPr>
        <w:t>2</w:t>
      </w:r>
      <w:r w:rsidR="005D6C53" w:rsidRPr="00653882">
        <w:t>O</w:t>
      </w:r>
      <w:r w:rsidR="005D6C53">
        <w:t xml:space="preserve"> (1.57 g), CoCl</w:t>
      </w:r>
      <w:r w:rsidR="005D6C53" w:rsidRPr="00653882">
        <w:rPr>
          <w:vertAlign w:val="subscript"/>
        </w:rPr>
        <w:t>2</w:t>
      </w:r>
      <w:r w:rsidR="00C84754">
        <w:rPr>
          <w:rFonts w:cs="Arial"/>
          <w:b/>
          <w:bCs/>
          <w:lang w:val="en-GB"/>
        </w:rPr>
        <w:t>·</w:t>
      </w:r>
      <w:r w:rsidR="005D6C53">
        <w:t>6H</w:t>
      </w:r>
      <w:r w:rsidR="005D6C53" w:rsidRPr="00653882">
        <w:rPr>
          <w:vertAlign w:val="subscript"/>
        </w:rPr>
        <w:t>2</w:t>
      </w:r>
      <w:r w:rsidR="005D6C53">
        <w:t xml:space="preserve">O (0.38); (8) </w:t>
      </w:r>
      <w:r w:rsidR="005D6C53" w:rsidRPr="00653882">
        <w:t>H</w:t>
      </w:r>
      <w:r w:rsidR="005D6C53" w:rsidRPr="00653882">
        <w:rPr>
          <w:vertAlign w:val="subscript"/>
        </w:rPr>
        <w:t>3</w:t>
      </w:r>
      <w:r w:rsidR="005D6C53" w:rsidRPr="00653882">
        <w:t>BO</w:t>
      </w:r>
      <w:r w:rsidR="005D6C53" w:rsidRPr="00653882">
        <w:rPr>
          <w:vertAlign w:val="subscript"/>
        </w:rPr>
        <w:t>3</w:t>
      </w:r>
      <w:r w:rsidR="005D6C53">
        <w:t xml:space="preserve"> 11.42 g/L; (9) 50.0 g/L of </w:t>
      </w:r>
      <w:r w:rsidR="005D6C53" w:rsidRPr="00653882">
        <w:t>EDTA</w:t>
      </w:r>
      <w:r w:rsidR="005D6C53">
        <w:t xml:space="preserve"> and 31.0 g/L of KOH; and (10) 4.98 g/L of </w:t>
      </w:r>
      <w:r w:rsidR="005D6C53" w:rsidRPr="00653882">
        <w:t>FeSO</w:t>
      </w:r>
      <w:r w:rsidR="005D6C53" w:rsidRPr="002C5C09">
        <w:rPr>
          <w:vertAlign w:val="subscript"/>
        </w:rPr>
        <w:t>4</w:t>
      </w:r>
      <w:r w:rsidR="00C84754">
        <w:rPr>
          <w:rFonts w:cs="Arial"/>
          <w:b/>
          <w:bCs/>
          <w:lang w:val="en-GB"/>
        </w:rPr>
        <w:t>·</w:t>
      </w:r>
      <w:r w:rsidR="005D6C53" w:rsidRPr="00653882">
        <w:t>7H</w:t>
      </w:r>
      <w:r w:rsidR="005D6C53" w:rsidRPr="002C5C09">
        <w:rPr>
          <w:vertAlign w:val="subscript"/>
        </w:rPr>
        <w:t>2</w:t>
      </w:r>
      <w:r w:rsidR="005D6C53" w:rsidRPr="00653882">
        <w:t>O</w:t>
      </w:r>
      <w:r w:rsidR="00C84754">
        <w:t>.</w:t>
      </w:r>
      <w:r w:rsidR="00653F1B">
        <w:t xml:space="preserve"> </w:t>
      </w:r>
    </w:p>
    <w:p w14:paraId="2A0D9794" w14:textId="2B62F3BC" w:rsidR="005D6C53" w:rsidRDefault="005D6C53" w:rsidP="005D6C53">
      <w:pPr>
        <w:pStyle w:val="CETheadingx"/>
      </w:pPr>
      <w:r>
        <w:t>Experimental set-up and operating condition</w:t>
      </w:r>
    </w:p>
    <w:p w14:paraId="4BECFFFD" w14:textId="617AF6DE" w:rsidR="005F0FFE" w:rsidRDefault="005F0FFE" w:rsidP="0045796F">
      <w:pPr>
        <w:spacing w:line="240" w:lineRule="auto"/>
        <w:rPr>
          <w:lang w:val="en-US"/>
        </w:rPr>
      </w:pPr>
      <w:r w:rsidRPr="005F0FFE">
        <w:rPr>
          <w:highlight w:val="yellow"/>
          <w:lang w:val="en-US"/>
        </w:rPr>
        <w:t>In Figure 1 is reported the experimental set</w:t>
      </w:r>
      <w:r>
        <w:rPr>
          <w:highlight w:val="yellow"/>
          <w:lang w:val="en-US"/>
        </w:rPr>
        <w:t>-</w:t>
      </w:r>
      <w:r w:rsidRPr="005F0FFE">
        <w:rPr>
          <w:highlight w:val="yellow"/>
          <w:lang w:val="en-US"/>
        </w:rPr>
        <w:t>up composed by a PBR (photobioreactor) made of Plexiglas with a working volume of 40 L and a a</w:t>
      </w:r>
      <w:r w:rsidR="00900A78">
        <w:rPr>
          <w:highlight w:val="yellow"/>
          <w:lang w:val="en-US"/>
        </w:rPr>
        <w:t>b</w:t>
      </w:r>
      <w:r w:rsidRPr="005F0FFE">
        <w:rPr>
          <w:highlight w:val="yellow"/>
          <w:lang w:val="en-US"/>
        </w:rPr>
        <w:t>sorption column made of PVC with a volume of 7 L.</w:t>
      </w:r>
      <w:r>
        <w:rPr>
          <w:lang w:val="en-US"/>
        </w:rPr>
        <w:t xml:space="preserve"> </w:t>
      </w:r>
      <w:r w:rsidR="0015336A">
        <w:rPr>
          <w:rFonts w:eastAsiaTheme="minorHAnsi" w:cstheme="minorBidi"/>
          <w:szCs w:val="22"/>
        </w:rPr>
        <w:t>As reported in Tab</w:t>
      </w:r>
      <w:r w:rsidR="00594FD2">
        <w:rPr>
          <w:rFonts w:eastAsiaTheme="minorHAnsi" w:cstheme="minorBidi"/>
          <w:szCs w:val="22"/>
        </w:rPr>
        <w:t>le</w:t>
      </w:r>
      <w:r w:rsidR="0015336A">
        <w:rPr>
          <w:rFonts w:eastAsiaTheme="minorHAnsi" w:cstheme="minorBidi"/>
          <w:szCs w:val="22"/>
        </w:rPr>
        <w:t xml:space="preserve"> 1, t</w:t>
      </w:r>
      <w:r w:rsidR="0051716A">
        <w:rPr>
          <w:rFonts w:eastAsiaTheme="minorHAnsi" w:cstheme="minorBidi"/>
          <w:szCs w:val="22"/>
        </w:rPr>
        <w:t xml:space="preserve">hree different concentration of </w:t>
      </w:r>
      <w:r w:rsidR="005D6C53">
        <w:rPr>
          <w:rFonts w:eastAsiaTheme="minorHAnsi" w:cstheme="minorBidi"/>
          <w:szCs w:val="22"/>
        </w:rPr>
        <w:t>pure CO</w:t>
      </w:r>
      <w:r w:rsidR="005D6C53" w:rsidRPr="007067AE">
        <w:rPr>
          <w:rFonts w:eastAsiaTheme="minorHAnsi" w:cstheme="minorBidi"/>
          <w:szCs w:val="22"/>
          <w:vertAlign w:val="subscript"/>
        </w:rPr>
        <w:t>2</w:t>
      </w:r>
      <w:r w:rsidR="005D6C53">
        <w:rPr>
          <w:rFonts w:eastAsiaTheme="minorHAnsi" w:cstheme="minorBidi"/>
          <w:szCs w:val="22"/>
        </w:rPr>
        <w:t xml:space="preserve"> gas (</w:t>
      </w:r>
      <w:r w:rsidR="0051716A">
        <w:rPr>
          <w:rFonts w:eastAsiaTheme="minorHAnsi" w:cstheme="minorBidi"/>
          <w:szCs w:val="22"/>
        </w:rPr>
        <w:t>5,</w:t>
      </w:r>
      <w:r w:rsidR="005D6C53">
        <w:rPr>
          <w:rFonts w:eastAsiaTheme="minorHAnsi" w:cstheme="minorBidi"/>
          <w:szCs w:val="22"/>
        </w:rPr>
        <w:t>10</w:t>
      </w:r>
      <w:r w:rsidR="0051716A">
        <w:rPr>
          <w:rFonts w:eastAsiaTheme="minorHAnsi" w:cstheme="minorBidi"/>
          <w:szCs w:val="22"/>
        </w:rPr>
        <w:t xml:space="preserve"> and 15</w:t>
      </w:r>
      <w:r w:rsidR="005D6C53">
        <w:rPr>
          <w:rFonts w:eastAsiaTheme="minorHAnsi" w:cstheme="minorBidi"/>
          <w:szCs w:val="22"/>
        </w:rPr>
        <w:t xml:space="preserve">%) </w:t>
      </w:r>
      <w:r w:rsidR="00C84754">
        <w:rPr>
          <w:rFonts w:eastAsiaTheme="minorHAnsi" w:cstheme="minorBidi"/>
          <w:szCs w:val="22"/>
        </w:rPr>
        <w:t>were</w:t>
      </w:r>
      <w:r w:rsidR="0051716A">
        <w:rPr>
          <w:rFonts w:eastAsiaTheme="minorHAnsi" w:cstheme="minorBidi"/>
          <w:szCs w:val="22"/>
        </w:rPr>
        <w:t xml:space="preserve"> </w:t>
      </w:r>
      <w:r w:rsidR="005D6C53">
        <w:rPr>
          <w:rFonts w:eastAsiaTheme="minorHAnsi" w:cstheme="minorBidi"/>
          <w:szCs w:val="22"/>
        </w:rPr>
        <w:t xml:space="preserve">mixed with the atmospheric air regulated with </w:t>
      </w:r>
      <w:r w:rsidR="0015336A">
        <w:rPr>
          <w:rFonts w:eastAsiaTheme="minorHAnsi" w:cstheme="minorBidi"/>
          <w:szCs w:val="22"/>
        </w:rPr>
        <w:t>a</w:t>
      </w:r>
      <w:r w:rsidR="005D6C53">
        <w:rPr>
          <w:rFonts w:eastAsiaTheme="minorHAnsi" w:cstheme="minorBidi"/>
          <w:szCs w:val="22"/>
        </w:rPr>
        <w:t xml:space="preserve"> flow meter (100 mL/min) and was feed in the system starting from the absorption column </w:t>
      </w:r>
      <w:r w:rsidR="005D6C53">
        <w:rPr>
          <w:lang w:val="en-US"/>
        </w:rPr>
        <w:t xml:space="preserve">and subsequently </w:t>
      </w:r>
      <w:r w:rsidR="0051716A">
        <w:rPr>
          <w:lang w:val="en-US"/>
        </w:rPr>
        <w:t>injected</w:t>
      </w:r>
      <w:r w:rsidR="005D6C53">
        <w:rPr>
          <w:lang w:val="en-US"/>
        </w:rPr>
        <w:t xml:space="preserve"> to the PBR</w:t>
      </w:r>
      <w:r>
        <w:rPr>
          <w:lang w:val="en-US"/>
        </w:rPr>
        <w:t>.</w:t>
      </w:r>
    </w:p>
    <w:p w14:paraId="5B6AEADA" w14:textId="6014E98E" w:rsidR="005F0FFE" w:rsidRDefault="005F0FFE" w:rsidP="005F0FFE">
      <w:pPr>
        <w:spacing w:line="240" w:lineRule="auto"/>
        <w:jc w:val="center"/>
        <w:rPr>
          <w:lang w:val="en-US"/>
        </w:rPr>
      </w:pPr>
      <w:r>
        <w:rPr>
          <w:noProof/>
          <w:lang w:val="en-US"/>
        </w:rPr>
        <w:drawing>
          <wp:inline distT="0" distB="0" distL="0" distR="0" wp14:anchorId="6D247C62" wp14:editId="28FF769F">
            <wp:extent cx="3344122" cy="28194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475" b="980"/>
                    <a:stretch/>
                  </pic:blipFill>
                  <pic:spPr bwMode="auto">
                    <a:xfrm>
                      <a:off x="0" y="0"/>
                      <a:ext cx="3369262" cy="2840595"/>
                    </a:xfrm>
                    <a:prstGeom prst="rect">
                      <a:avLst/>
                    </a:prstGeom>
                    <a:noFill/>
                    <a:ln>
                      <a:noFill/>
                    </a:ln>
                    <a:extLst>
                      <a:ext uri="{53640926-AAD7-44D8-BBD7-CCE9431645EC}">
                        <a14:shadowObscured xmlns:a14="http://schemas.microsoft.com/office/drawing/2010/main"/>
                      </a:ext>
                    </a:extLst>
                  </pic:spPr>
                </pic:pic>
              </a:graphicData>
            </a:graphic>
          </wp:inline>
        </w:drawing>
      </w:r>
    </w:p>
    <w:p w14:paraId="364FFBDA" w14:textId="0D5F6327" w:rsidR="005F0FFE" w:rsidRPr="00702325" w:rsidRDefault="005F0FFE" w:rsidP="005F0FFE">
      <w:pPr>
        <w:pStyle w:val="CETCaption"/>
        <w:jc w:val="center"/>
      </w:pPr>
      <w:r w:rsidRPr="005F0FFE">
        <w:rPr>
          <w:highlight w:val="yellow"/>
        </w:rPr>
        <w:t>Figure 1: Schematic diagram of the experimental set-up.</w:t>
      </w:r>
    </w:p>
    <w:p w14:paraId="0AE914D6" w14:textId="77777777" w:rsidR="005F0FFE" w:rsidRDefault="005F0FFE" w:rsidP="0045796F">
      <w:pPr>
        <w:spacing w:line="240" w:lineRule="auto"/>
        <w:rPr>
          <w:lang w:val="en-US"/>
        </w:rPr>
      </w:pPr>
    </w:p>
    <w:p w14:paraId="1BFAAEE3" w14:textId="27428A72" w:rsidR="005D6C53" w:rsidRDefault="005F0FFE" w:rsidP="0045796F">
      <w:pPr>
        <w:spacing w:line="240" w:lineRule="auto"/>
        <w:rPr>
          <w:lang w:val="en-US"/>
        </w:rPr>
      </w:pPr>
      <w:r>
        <w:rPr>
          <w:lang w:val="en-US"/>
        </w:rPr>
        <w:t xml:space="preserve">The light sources are from the LED bulb with the light intensity of up to </w:t>
      </w:r>
      <w:r>
        <w:t xml:space="preserve">120 </w:t>
      </w:r>
      <w:r>
        <w:rPr>
          <w:rFonts w:cs="Arial"/>
        </w:rPr>
        <w:t>µ</w:t>
      </w:r>
      <w:r>
        <w:t>mol m</w:t>
      </w:r>
      <w:r w:rsidRPr="000328D5">
        <w:rPr>
          <w:vertAlign w:val="superscript"/>
        </w:rPr>
        <w:t>-2</w:t>
      </w:r>
      <w:r>
        <w:t xml:space="preserve"> s</w:t>
      </w:r>
      <w:r w:rsidRPr="000328D5">
        <w:rPr>
          <w:vertAlign w:val="superscript"/>
        </w:rPr>
        <w:t>-1</w:t>
      </w:r>
      <w:r>
        <w:rPr>
          <w:lang w:val="en-US"/>
        </w:rPr>
        <w:t xml:space="preserve">. </w:t>
      </w:r>
      <w:r w:rsidR="00706399">
        <w:rPr>
          <w:lang w:val="en-US"/>
        </w:rPr>
        <w:t>A dark-light cycle of 12:12</w:t>
      </w:r>
      <w:r w:rsidR="00FE2DC3">
        <w:rPr>
          <w:lang w:val="en-US"/>
        </w:rPr>
        <w:t xml:space="preserve"> </w:t>
      </w:r>
      <w:r w:rsidR="00706399">
        <w:rPr>
          <w:lang w:val="en-US"/>
        </w:rPr>
        <w:t>h</w:t>
      </w:r>
      <w:r w:rsidR="00FE2DC3">
        <w:rPr>
          <w:lang w:val="en-US"/>
        </w:rPr>
        <w:t>ours</w:t>
      </w:r>
      <w:r w:rsidR="00706399">
        <w:rPr>
          <w:lang w:val="en-US"/>
        </w:rPr>
        <w:t xml:space="preserve"> was chose</w:t>
      </w:r>
      <w:r w:rsidR="00F77F76">
        <w:rPr>
          <w:lang w:val="en-US"/>
        </w:rPr>
        <w:t>n</w:t>
      </w:r>
      <w:r w:rsidR="00706399">
        <w:rPr>
          <w:lang w:val="en-US"/>
        </w:rPr>
        <w:t>.</w:t>
      </w:r>
      <w:r w:rsidR="005D6C53">
        <w:rPr>
          <w:lang w:val="en-US"/>
        </w:rPr>
        <w:t xml:space="preserve"> The mixture of CO</w:t>
      </w:r>
      <w:r w:rsidR="005D6C53" w:rsidRPr="00E06448">
        <w:rPr>
          <w:vertAlign w:val="subscript"/>
          <w:lang w:val="en-US"/>
        </w:rPr>
        <w:t>2</w:t>
      </w:r>
      <w:r w:rsidR="005D6C53">
        <w:rPr>
          <w:lang w:val="en-US"/>
        </w:rPr>
        <w:t xml:space="preserve"> gas and atmospheric air was feed in the system </w:t>
      </w:r>
      <w:r w:rsidR="0051716A">
        <w:rPr>
          <w:lang w:val="en-US"/>
        </w:rPr>
        <w:t>for</w:t>
      </w:r>
      <w:r w:rsidR="005D6C53">
        <w:rPr>
          <w:lang w:val="en-US"/>
        </w:rPr>
        <w:t xml:space="preserve"> 8 h </w:t>
      </w:r>
      <w:r w:rsidR="0051716A">
        <w:rPr>
          <w:lang w:val="en-US"/>
        </w:rPr>
        <w:t xml:space="preserve">(during the 12 hours of light period) </w:t>
      </w:r>
      <w:r w:rsidR="005D6C53">
        <w:rPr>
          <w:lang w:val="en-US"/>
        </w:rPr>
        <w:t>and with constant monitoring of inlet load to make sure the precise concentration of CO</w:t>
      </w:r>
      <w:r w:rsidR="005D6C53" w:rsidRPr="00BE171C">
        <w:rPr>
          <w:vertAlign w:val="subscript"/>
          <w:lang w:val="en-US"/>
        </w:rPr>
        <w:t>2</w:t>
      </w:r>
      <w:r w:rsidR="005D6C53">
        <w:rPr>
          <w:lang w:val="en-US"/>
        </w:rPr>
        <w:t xml:space="preserve">. The system was filled with </w:t>
      </w:r>
      <w:r w:rsidR="00F46A80">
        <w:rPr>
          <w:lang w:val="en-US"/>
        </w:rPr>
        <w:t>Bold</w:t>
      </w:r>
      <w:r w:rsidR="009E743D">
        <w:rPr>
          <w:lang w:val="en-US"/>
        </w:rPr>
        <w:t>’s</w:t>
      </w:r>
      <w:r w:rsidR="00F46A80">
        <w:rPr>
          <w:lang w:val="en-US"/>
        </w:rPr>
        <w:t xml:space="preserve"> Basal Medium (</w:t>
      </w:r>
      <w:r w:rsidR="005D6C53">
        <w:rPr>
          <w:lang w:val="en-US"/>
        </w:rPr>
        <w:t>BBM</w:t>
      </w:r>
      <w:r w:rsidR="00F46A80">
        <w:rPr>
          <w:lang w:val="en-US"/>
        </w:rPr>
        <w:t>)</w:t>
      </w:r>
      <w:r w:rsidR="005D6C53">
        <w:rPr>
          <w:lang w:val="en-US"/>
        </w:rPr>
        <w:t xml:space="preserve"> and </w:t>
      </w:r>
      <w:r w:rsidR="005D6C53" w:rsidRPr="00F46A80">
        <w:rPr>
          <w:i/>
          <w:iCs/>
          <w:lang w:val="en-US"/>
        </w:rPr>
        <w:t xml:space="preserve">C. vulgaris </w:t>
      </w:r>
      <w:r w:rsidR="005D6C53">
        <w:rPr>
          <w:lang w:val="en-US"/>
        </w:rPr>
        <w:t>with a working volume of 40 L, and with the continuous mixing using a magnetic stirrer. The BBM was recirculated using a peristaltic pump</w:t>
      </w:r>
      <w:r w:rsidR="00DD68CB">
        <w:rPr>
          <w:lang w:val="en-US"/>
        </w:rPr>
        <w:t xml:space="preserve"> </w:t>
      </w:r>
      <w:r w:rsidR="005D6C53">
        <w:rPr>
          <w:lang w:val="en-US"/>
        </w:rPr>
        <w:t xml:space="preserve">from the PBR going to the column and back to the PBR. </w:t>
      </w:r>
      <w:r w:rsidR="003A7AC9" w:rsidRPr="003A7AC9">
        <w:rPr>
          <w:highlight w:val="yellow"/>
          <w:lang w:val="en-US"/>
        </w:rPr>
        <w:t>Three L/G (liquid recirculation: gas flow rate) ratio 2.5, 5 and 10 were used.</w:t>
      </w:r>
    </w:p>
    <w:p w14:paraId="4E266D5F" w14:textId="38C022AC" w:rsidR="00DB4A8C" w:rsidRDefault="005D6C53" w:rsidP="0045796F">
      <w:pPr>
        <w:pStyle w:val="CETBodytext"/>
        <w:spacing w:line="240" w:lineRule="auto"/>
      </w:pPr>
      <w:r>
        <w:tab/>
        <w:t>In starting the experiment, the culture was pre-adapted with 5% of CO</w:t>
      </w:r>
      <w:r w:rsidRPr="00BE171C">
        <w:rPr>
          <w:vertAlign w:val="subscript"/>
        </w:rPr>
        <w:t>2</w:t>
      </w:r>
      <w:r>
        <w:t xml:space="preserve"> gas to overcome the environmental stress. The </w:t>
      </w:r>
      <w:r w:rsidR="00FE2DC3">
        <w:t xml:space="preserve">initial </w:t>
      </w:r>
      <w:r>
        <w:t xml:space="preserve">pH was 7 and </w:t>
      </w:r>
      <w:r w:rsidR="00FE2DC3">
        <w:t xml:space="preserve">it </w:t>
      </w:r>
      <w:r>
        <w:t xml:space="preserve">was being monitored insuring the alkalinity of the medium. </w:t>
      </w:r>
      <w:r w:rsidR="00FE2DC3">
        <w:t xml:space="preserve">Liquid samples were taken three times per day for the measurement of total suspended solid (TSS), dissolved oxygen (DO), temperature and </w:t>
      </w:r>
      <w:proofErr w:type="spellStart"/>
      <w:r w:rsidR="00FE2DC3">
        <w:t>pH.</w:t>
      </w:r>
      <w:proofErr w:type="spellEnd"/>
    </w:p>
    <w:p w14:paraId="054A5359" w14:textId="4FD4BD61" w:rsidR="00DB4A8C" w:rsidRPr="0015336A" w:rsidRDefault="00DB4A8C" w:rsidP="00DB4A8C">
      <w:pPr>
        <w:pStyle w:val="CETTabletitle"/>
        <w:rPr>
          <w:bCs/>
        </w:rPr>
      </w:pPr>
      <w:r w:rsidRPr="0015336A">
        <w:rPr>
          <w:bCs/>
        </w:rPr>
        <w:t xml:space="preserve">Table 1: </w:t>
      </w:r>
      <w:r w:rsidR="0015336A" w:rsidRPr="0015336A">
        <w:rPr>
          <w:bCs/>
        </w:rPr>
        <w:t>Operational conditions evaluated in the photobioreactor.</w:t>
      </w:r>
    </w:p>
    <w:tbl>
      <w:tblPr>
        <w:tblpPr w:leftFromText="180" w:rightFromText="180" w:vertAnchor="text" w:horzAnchor="margin" w:tblpXSpec="center" w:tblpY="122"/>
        <w:tblW w:w="887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13"/>
        <w:gridCol w:w="923"/>
        <w:gridCol w:w="1135"/>
        <w:gridCol w:w="1436"/>
        <w:gridCol w:w="1346"/>
        <w:gridCol w:w="628"/>
        <w:gridCol w:w="2592"/>
      </w:tblGrid>
      <w:tr w:rsidR="00C84754" w:rsidRPr="00B57B36" w14:paraId="70495E5D" w14:textId="77777777" w:rsidTr="00653F1B">
        <w:trPr>
          <w:trHeight w:val="403"/>
        </w:trPr>
        <w:tc>
          <w:tcPr>
            <w:tcW w:w="813" w:type="dxa"/>
            <w:tcBorders>
              <w:top w:val="single" w:sz="12" w:space="0" w:color="008000"/>
              <w:bottom w:val="single" w:sz="6" w:space="0" w:color="008000"/>
            </w:tcBorders>
            <w:shd w:val="clear" w:color="auto" w:fill="FFFFFF"/>
          </w:tcPr>
          <w:p w14:paraId="1C9F3612" w14:textId="267316B2" w:rsidR="00C84754" w:rsidRPr="00C84754" w:rsidRDefault="00C84754" w:rsidP="00C84754">
            <w:pPr>
              <w:pStyle w:val="CETBodytext"/>
              <w:jc w:val="center"/>
              <w:rPr>
                <w:b/>
                <w:bCs/>
                <w:lang w:val="en-GB"/>
              </w:rPr>
            </w:pPr>
            <w:r w:rsidRPr="00C84754">
              <w:rPr>
                <w:b/>
                <w:bCs/>
                <w:lang w:val="en-GB"/>
              </w:rPr>
              <w:t>Stage</w:t>
            </w:r>
          </w:p>
        </w:tc>
        <w:tc>
          <w:tcPr>
            <w:tcW w:w="923" w:type="dxa"/>
            <w:tcBorders>
              <w:top w:val="single" w:sz="12" w:space="0" w:color="008000"/>
              <w:bottom w:val="single" w:sz="6" w:space="0" w:color="008000"/>
            </w:tcBorders>
            <w:shd w:val="clear" w:color="auto" w:fill="FFFFFF"/>
          </w:tcPr>
          <w:p w14:paraId="429C7A98" w14:textId="6B01B6D3" w:rsidR="00C84754" w:rsidRPr="00C84754" w:rsidRDefault="00C84754" w:rsidP="00C84754">
            <w:pPr>
              <w:pStyle w:val="CETBodytext"/>
              <w:jc w:val="center"/>
              <w:rPr>
                <w:b/>
                <w:bCs/>
                <w:lang w:val="en-GB"/>
              </w:rPr>
            </w:pPr>
            <w:r w:rsidRPr="00C84754">
              <w:rPr>
                <w:b/>
                <w:bCs/>
                <w:lang w:val="en-GB"/>
              </w:rPr>
              <w:t>CO</w:t>
            </w:r>
            <w:r w:rsidRPr="00C84754">
              <w:rPr>
                <w:b/>
                <w:bCs/>
                <w:vertAlign w:val="subscript"/>
                <w:lang w:val="en-GB"/>
              </w:rPr>
              <w:t>2</w:t>
            </w:r>
            <w:r w:rsidRPr="00C84754">
              <w:rPr>
                <w:b/>
                <w:bCs/>
                <w:lang w:val="en-GB"/>
              </w:rPr>
              <w:t xml:space="preserve"> [%]</w:t>
            </w:r>
          </w:p>
        </w:tc>
        <w:tc>
          <w:tcPr>
            <w:tcW w:w="1135" w:type="dxa"/>
            <w:tcBorders>
              <w:top w:val="single" w:sz="12" w:space="0" w:color="008000"/>
              <w:bottom w:val="single" w:sz="6" w:space="0" w:color="008000"/>
            </w:tcBorders>
            <w:shd w:val="clear" w:color="auto" w:fill="FFFFFF"/>
          </w:tcPr>
          <w:p w14:paraId="22EA1EEB" w14:textId="2499FD70" w:rsidR="00C84754" w:rsidRPr="00C84754" w:rsidRDefault="00C84754" w:rsidP="00C84754">
            <w:pPr>
              <w:pStyle w:val="CETBodytext"/>
              <w:jc w:val="center"/>
              <w:rPr>
                <w:b/>
                <w:bCs/>
                <w:lang w:val="en-GB"/>
              </w:rPr>
            </w:pPr>
            <w:r w:rsidRPr="00C84754">
              <w:rPr>
                <w:b/>
                <w:bCs/>
                <w:lang w:val="en-GB"/>
              </w:rPr>
              <w:t>EBRT [min]</w:t>
            </w:r>
          </w:p>
        </w:tc>
        <w:tc>
          <w:tcPr>
            <w:tcW w:w="1436" w:type="dxa"/>
            <w:tcBorders>
              <w:top w:val="single" w:sz="12" w:space="0" w:color="008000"/>
              <w:bottom w:val="single" w:sz="6" w:space="0" w:color="008000"/>
            </w:tcBorders>
            <w:shd w:val="clear" w:color="auto" w:fill="FFFFFF"/>
          </w:tcPr>
          <w:p w14:paraId="20A4978C" w14:textId="3C027A1A" w:rsidR="00C84754" w:rsidRPr="00C84754" w:rsidRDefault="00C84754" w:rsidP="00C84754">
            <w:pPr>
              <w:pStyle w:val="CETBodytext"/>
              <w:jc w:val="center"/>
              <w:rPr>
                <w:b/>
                <w:bCs/>
                <w:lang w:val="en-GB"/>
              </w:rPr>
            </w:pPr>
            <w:proofErr w:type="spellStart"/>
            <w:r w:rsidRPr="00C84754">
              <w:rPr>
                <w:b/>
                <w:bCs/>
                <w:lang w:val="en-GB"/>
              </w:rPr>
              <w:t>Q</w:t>
            </w:r>
            <w:r w:rsidRPr="00C84754">
              <w:rPr>
                <w:b/>
                <w:bCs/>
                <w:vertAlign w:val="subscript"/>
                <w:lang w:val="en-GB"/>
              </w:rPr>
              <w:t>gas</w:t>
            </w:r>
            <w:proofErr w:type="spellEnd"/>
            <w:r w:rsidRPr="00C84754">
              <w:rPr>
                <w:b/>
                <w:bCs/>
                <w:lang w:val="en-GB"/>
              </w:rPr>
              <w:t xml:space="preserve"> [ml</w:t>
            </w:r>
            <w:r>
              <w:rPr>
                <w:rFonts w:cs="Arial"/>
                <w:b/>
                <w:bCs/>
                <w:lang w:val="en-GB"/>
              </w:rPr>
              <w:t>·</w:t>
            </w:r>
            <w:r w:rsidRPr="00C84754">
              <w:rPr>
                <w:b/>
                <w:bCs/>
                <w:lang w:val="en-GB"/>
              </w:rPr>
              <w:t>min</w:t>
            </w:r>
            <w:r w:rsidRPr="00C84754">
              <w:rPr>
                <w:b/>
                <w:bCs/>
                <w:vertAlign w:val="superscript"/>
                <w:lang w:val="en-GB"/>
              </w:rPr>
              <w:t>-1</w:t>
            </w:r>
            <w:r w:rsidRPr="00C84754">
              <w:rPr>
                <w:b/>
                <w:bCs/>
                <w:lang w:val="en-GB"/>
              </w:rPr>
              <w:t>]</w:t>
            </w:r>
          </w:p>
        </w:tc>
        <w:tc>
          <w:tcPr>
            <w:tcW w:w="1346" w:type="dxa"/>
            <w:tcBorders>
              <w:top w:val="single" w:sz="12" w:space="0" w:color="008000"/>
              <w:bottom w:val="single" w:sz="6" w:space="0" w:color="008000"/>
            </w:tcBorders>
            <w:shd w:val="clear" w:color="auto" w:fill="FFFFFF"/>
          </w:tcPr>
          <w:p w14:paraId="0AB0DF16" w14:textId="19B84F7C" w:rsidR="00C84754" w:rsidRPr="00C84754" w:rsidRDefault="00C84754" w:rsidP="00C84754">
            <w:pPr>
              <w:pStyle w:val="CETBodytext"/>
              <w:jc w:val="center"/>
              <w:rPr>
                <w:b/>
                <w:bCs/>
                <w:lang w:val="en-GB"/>
              </w:rPr>
            </w:pPr>
            <w:proofErr w:type="spellStart"/>
            <w:r w:rsidRPr="00C84754">
              <w:rPr>
                <w:b/>
                <w:bCs/>
                <w:lang w:val="en-GB"/>
              </w:rPr>
              <w:t>Q</w:t>
            </w:r>
            <w:r w:rsidRPr="00C84754">
              <w:rPr>
                <w:b/>
                <w:bCs/>
                <w:vertAlign w:val="subscript"/>
                <w:lang w:val="en-GB"/>
              </w:rPr>
              <w:t>liq</w:t>
            </w:r>
            <w:proofErr w:type="spellEnd"/>
            <w:r w:rsidRPr="00C84754">
              <w:rPr>
                <w:b/>
                <w:bCs/>
                <w:lang w:val="en-GB"/>
              </w:rPr>
              <w:t xml:space="preserve"> [ml</w:t>
            </w:r>
            <w:r>
              <w:rPr>
                <w:rFonts w:cs="Arial"/>
                <w:b/>
                <w:bCs/>
                <w:lang w:val="en-GB"/>
              </w:rPr>
              <w:t>·</w:t>
            </w:r>
            <w:r w:rsidRPr="00C84754">
              <w:rPr>
                <w:b/>
                <w:bCs/>
                <w:lang w:val="en-GB"/>
              </w:rPr>
              <w:t>min</w:t>
            </w:r>
            <w:r w:rsidRPr="00C84754">
              <w:rPr>
                <w:b/>
                <w:bCs/>
                <w:vertAlign w:val="superscript"/>
                <w:lang w:val="en-GB"/>
              </w:rPr>
              <w:t>-1</w:t>
            </w:r>
            <w:r w:rsidRPr="00C84754">
              <w:rPr>
                <w:b/>
                <w:bCs/>
                <w:lang w:val="en-GB"/>
              </w:rPr>
              <w:t>]</w:t>
            </w:r>
          </w:p>
        </w:tc>
        <w:tc>
          <w:tcPr>
            <w:tcW w:w="628" w:type="dxa"/>
            <w:tcBorders>
              <w:top w:val="single" w:sz="12" w:space="0" w:color="008000"/>
              <w:bottom w:val="single" w:sz="6" w:space="0" w:color="008000"/>
            </w:tcBorders>
            <w:shd w:val="clear" w:color="auto" w:fill="FFFFFF"/>
          </w:tcPr>
          <w:p w14:paraId="3E6B0DEF" w14:textId="0F0A1266" w:rsidR="00C84754" w:rsidRPr="00C84754" w:rsidRDefault="00C84754" w:rsidP="00C84754">
            <w:pPr>
              <w:pStyle w:val="CETBodytext"/>
              <w:ind w:right="-1"/>
              <w:jc w:val="center"/>
              <w:rPr>
                <w:rFonts w:cs="Arial"/>
                <w:b/>
                <w:bCs/>
                <w:szCs w:val="18"/>
                <w:lang w:val="en-GB"/>
              </w:rPr>
            </w:pPr>
            <w:r w:rsidRPr="00C84754">
              <w:rPr>
                <w:rFonts w:cs="Arial"/>
                <w:b/>
                <w:bCs/>
                <w:szCs w:val="18"/>
                <w:lang w:val="en-GB"/>
              </w:rPr>
              <w:t>L/G</w:t>
            </w:r>
          </w:p>
        </w:tc>
        <w:tc>
          <w:tcPr>
            <w:tcW w:w="2592" w:type="dxa"/>
            <w:tcBorders>
              <w:top w:val="single" w:sz="12" w:space="0" w:color="008000"/>
              <w:bottom w:val="single" w:sz="6" w:space="0" w:color="008000"/>
            </w:tcBorders>
            <w:shd w:val="clear" w:color="auto" w:fill="FFFFFF"/>
          </w:tcPr>
          <w:p w14:paraId="2C02537B" w14:textId="312927F7" w:rsidR="00C84754" w:rsidRPr="00C84754" w:rsidRDefault="00C84754" w:rsidP="00C84754">
            <w:pPr>
              <w:pStyle w:val="CETBodytext"/>
              <w:ind w:right="-1"/>
              <w:jc w:val="center"/>
              <w:rPr>
                <w:rFonts w:cs="Arial"/>
                <w:b/>
                <w:bCs/>
                <w:szCs w:val="18"/>
                <w:lang w:val="en-GB"/>
              </w:rPr>
            </w:pPr>
            <w:r w:rsidRPr="00C84754">
              <w:rPr>
                <w:rFonts w:cs="Arial"/>
                <w:b/>
                <w:bCs/>
                <w:szCs w:val="18"/>
                <w:lang w:val="en-GB"/>
              </w:rPr>
              <w:t>Light Intensity</w:t>
            </w:r>
            <w:r>
              <w:rPr>
                <w:rFonts w:cs="Arial"/>
                <w:b/>
                <w:bCs/>
                <w:szCs w:val="18"/>
                <w:lang w:val="en-GB"/>
              </w:rPr>
              <w:t xml:space="preserve"> </w:t>
            </w:r>
            <w:r w:rsidRPr="00C84754">
              <w:rPr>
                <w:rFonts w:cs="Arial"/>
                <w:b/>
                <w:bCs/>
                <w:szCs w:val="18"/>
                <w:lang w:val="en-GB"/>
              </w:rPr>
              <w:t>[µmol</w:t>
            </w:r>
            <w:r>
              <w:rPr>
                <w:rFonts w:cs="Arial"/>
                <w:b/>
                <w:bCs/>
                <w:lang w:val="en-GB"/>
              </w:rPr>
              <w:t>·</w:t>
            </w:r>
            <w:r w:rsidRPr="00C84754">
              <w:rPr>
                <w:rFonts w:cs="Arial"/>
                <w:b/>
                <w:bCs/>
                <w:szCs w:val="18"/>
                <w:lang w:val="en-GB"/>
              </w:rPr>
              <w:t>m</w:t>
            </w:r>
            <w:r w:rsidRPr="00C84754">
              <w:rPr>
                <w:rFonts w:cs="Arial"/>
                <w:b/>
                <w:bCs/>
                <w:szCs w:val="18"/>
                <w:vertAlign w:val="superscript"/>
                <w:lang w:val="en-GB"/>
              </w:rPr>
              <w:t>-2</w:t>
            </w:r>
            <w:r>
              <w:rPr>
                <w:rFonts w:cs="Arial"/>
                <w:b/>
                <w:bCs/>
                <w:lang w:val="en-GB"/>
              </w:rPr>
              <w:t>·</w:t>
            </w:r>
            <w:r w:rsidRPr="00C84754">
              <w:rPr>
                <w:rFonts w:cs="Arial"/>
                <w:b/>
                <w:bCs/>
                <w:szCs w:val="18"/>
                <w:lang w:val="en-GB"/>
              </w:rPr>
              <w:t>s</w:t>
            </w:r>
            <w:r w:rsidRPr="00C84754">
              <w:rPr>
                <w:rFonts w:cs="Arial"/>
                <w:b/>
                <w:bCs/>
                <w:szCs w:val="18"/>
                <w:vertAlign w:val="superscript"/>
                <w:lang w:val="en-GB"/>
              </w:rPr>
              <w:t>-1</w:t>
            </w:r>
            <w:r w:rsidRPr="00C84754">
              <w:rPr>
                <w:rFonts w:cs="Arial"/>
                <w:b/>
                <w:bCs/>
                <w:szCs w:val="18"/>
                <w:lang w:val="en-GB"/>
              </w:rPr>
              <w:t>]</w:t>
            </w:r>
            <w:r>
              <w:rPr>
                <w:rFonts w:cs="Arial"/>
                <w:b/>
                <w:bCs/>
                <w:szCs w:val="18"/>
                <w:lang w:val="en-GB"/>
              </w:rPr>
              <w:t xml:space="preserve"> </w:t>
            </w:r>
          </w:p>
        </w:tc>
      </w:tr>
      <w:tr w:rsidR="00C84754" w:rsidRPr="00B57B36" w14:paraId="734AC054" w14:textId="77777777" w:rsidTr="00653F1B">
        <w:trPr>
          <w:trHeight w:val="365"/>
        </w:trPr>
        <w:tc>
          <w:tcPr>
            <w:tcW w:w="813" w:type="dxa"/>
            <w:shd w:val="clear" w:color="auto" w:fill="FFFFFF"/>
          </w:tcPr>
          <w:p w14:paraId="49B5F6F8" w14:textId="7CCA38AA" w:rsidR="00C84754" w:rsidRPr="00AB4E69" w:rsidRDefault="00C84754" w:rsidP="00C84754">
            <w:pPr>
              <w:pStyle w:val="CETBodytext"/>
              <w:jc w:val="center"/>
              <w:rPr>
                <w:b/>
                <w:bCs/>
                <w:lang w:val="en-GB"/>
              </w:rPr>
            </w:pPr>
            <w:r w:rsidRPr="00AB4E69">
              <w:rPr>
                <w:b/>
                <w:bCs/>
                <w:lang w:val="en-GB"/>
              </w:rPr>
              <w:t>I</w:t>
            </w:r>
          </w:p>
        </w:tc>
        <w:tc>
          <w:tcPr>
            <w:tcW w:w="923" w:type="dxa"/>
            <w:shd w:val="clear" w:color="auto" w:fill="FFFFFF"/>
          </w:tcPr>
          <w:p w14:paraId="18504995" w14:textId="63421025" w:rsidR="00C84754" w:rsidRPr="00B57B36" w:rsidRDefault="00C84754" w:rsidP="00C84754">
            <w:pPr>
              <w:pStyle w:val="CETBodytext"/>
              <w:jc w:val="center"/>
              <w:rPr>
                <w:lang w:val="en-GB"/>
              </w:rPr>
            </w:pPr>
            <w:r>
              <w:rPr>
                <w:lang w:val="en-GB"/>
              </w:rPr>
              <w:t>5</w:t>
            </w:r>
          </w:p>
        </w:tc>
        <w:tc>
          <w:tcPr>
            <w:tcW w:w="1135" w:type="dxa"/>
            <w:shd w:val="clear" w:color="auto" w:fill="FFFFFF"/>
          </w:tcPr>
          <w:p w14:paraId="64D05232" w14:textId="54D1455C" w:rsidR="00C84754" w:rsidRPr="00B57B36" w:rsidRDefault="00C84754" w:rsidP="00C84754">
            <w:pPr>
              <w:pStyle w:val="CETBodytext"/>
              <w:jc w:val="center"/>
              <w:rPr>
                <w:lang w:val="en-GB"/>
              </w:rPr>
            </w:pPr>
            <w:r>
              <w:rPr>
                <w:lang w:val="en-GB"/>
              </w:rPr>
              <w:t>400</w:t>
            </w:r>
          </w:p>
        </w:tc>
        <w:tc>
          <w:tcPr>
            <w:tcW w:w="1436" w:type="dxa"/>
            <w:shd w:val="clear" w:color="auto" w:fill="FFFFFF"/>
          </w:tcPr>
          <w:p w14:paraId="483AC7BC" w14:textId="2A117201" w:rsidR="00C84754" w:rsidRPr="00B57B36" w:rsidRDefault="00C84754" w:rsidP="00C84754">
            <w:pPr>
              <w:pStyle w:val="CETBodytext"/>
              <w:jc w:val="center"/>
              <w:rPr>
                <w:lang w:val="en-GB"/>
              </w:rPr>
            </w:pPr>
            <w:r>
              <w:rPr>
                <w:lang w:val="en-GB"/>
              </w:rPr>
              <w:t>100</w:t>
            </w:r>
          </w:p>
        </w:tc>
        <w:tc>
          <w:tcPr>
            <w:tcW w:w="1346" w:type="dxa"/>
            <w:shd w:val="clear" w:color="auto" w:fill="FFFFFF"/>
          </w:tcPr>
          <w:p w14:paraId="26EE3AA8" w14:textId="4B29DC7C" w:rsidR="00C84754" w:rsidRPr="00B57B36" w:rsidRDefault="00C84754" w:rsidP="00C84754">
            <w:pPr>
              <w:pStyle w:val="CETBodytext"/>
              <w:jc w:val="center"/>
              <w:rPr>
                <w:lang w:val="en-GB"/>
              </w:rPr>
            </w:pPr>
            <w:r>
              <w:rPr>
                <w:lang w:val="en-GB"/>
              </w:rPr>
              <w:t>250</w:t>
            </w:r>
          </w:p>
        </w:tc>
        <w:tc>
          <w:tcPr>
            <w:tcW w:w="628" w:type="dxa"/>
            <w:shd w:val="clear" w:color="auto" w:fill="FFFFFF"/>
          </w:tcPr>
          <w:p w14:paraId="1C4D077D" w14:textId="646D257C" w:rsidR="00C84754" w:rsidRPr="00B57B36" w:rsidRDefault="00C84754" w:rsidP="00C84754">
            <w:pPr>
              <w:pStyle w:val="CETBodytext"/>
              <w:ind w:right="-1"/>
              <w:jc w:val="center"/>
              <w:rPr>
                <w:rFonts w:cs="Arial"/>
                <w:szCs w:val="18"/>
                <w:lang w:val="en-GB"/>
              </w:rPr>
            </w:pPr>
            <w:r>
              <w:rPr>
                <w:rFonts w:cs="Arial"/>
                <w:szCs w:val="18"/>
                <w:lang w:val="en-GB"/>
              </w:rPr>
              <w:t>2.5</w:t>
            </w:r>
          </w:p>
        </w:tc>
        <w:tc>
          <w:tcPr>
            <w:tcW w:w="2592" w:type="dxa"/>
            <w:shd w:val="clear" w:color="auto" w:fill="FFFFFF"/>
          </w:tcPr>
          <w:p w14:paraId="522512B0" w14:textId="76AA2066" w:rsidR="00C84754" w:rsidRPr="00B57B36" w:rsidRDefault="00C84754" w:rsidP="00C84754">
            <w:pPr>
              <w:pStyle w:val="CETBodytext"/>
              <w:ind w:right="-1"/>
              <w:jc w:val="center"/>
              <w:rPr>
                <w:rFonts w:cs="Arial"/>
                <w:szCs w:val="18"/>
                <w:lang w:val="en-GB"/>
              </w:rPr>
            </w:pPr>
            <w:r>
              <w:rPr>
                <w:rFonts w:cs="Arial"/>
                <w:szCs w:val="18"/>
                <w:lang w:val="en-GB"/>
              </w:rPr>
              <w:t>50</w:t>
            </w:r>
          </w:p>
        </w:tc>
      </w:tr>
      <w:tr w:rsidR="00C84754" w:rsidRPr="00B57B36" w14:paraId="12CAFBC4" w14:textId="77777777" w:rsidTr="00653F1B">
        <w:trPr>
          <w:trHeight w:val="365"/>
        </w:trPr>
        <w:tc>
          <w:tcPr>
            <w:tcW w:w="813" w:type="dxa"/>
            <w:shd w:val="clear" w:color="auto" w:fill="FFFFFF"/>
          </w:tcPr>
          <w:p w14:paraId="1AF4CD40" w14:textId="3BB5A252" w:rsidR="00C84754" w:rsidRPr="00AB4E69" w:rsidRDefault="00C84754" w:rsidP="00C84754">
            <w:pPr>
              <w:pStyle w:val="CETBodytext"/>
              <w:jc w:val="center"/>
              <w:rPr>
                <w:b/>
                <w:bCs/>
                <w:lang w:val="en-GB"/>
              </w:rPr>
            </w:pPr>
            <w:r w:rsidRPr="00AB4E69">
              <w:rPr>
                <w:b/>
                <w:bCs/>
                <w:lang w:val="en-GB"/>
              </w:rPr>
              <w:t>II</w:t>
            </w:r>
          </w:p>
        </w:tc>
        <w:tc>
          <w:tcPr>
            <w:tcW w:w="923" w:type="dxa"/>
            <w:shd w:val="clear" w:color="auto" w:fill="FFFFFF"/>
          </w:tcPr>
          <w:p w14:paraId="00A76786" w14:textId="78725725" w:rsidR="00C84754" w:rsidRPr="00B57B36" w:rsidRDefault="00C84754" w:rsidP="00C84754">
            <w:pPr>
              <w:pStyle w:val="CETBodytext"/>
              <w:jc w:val="center"/>
              <w:rPr>
                <w:lang w:val="en-GB"/>
              </w:rPr>
            </w:pPr>
            <w:r>
              <w:rPr>
                <w:lang w:val="en-GB"/>
              </w:rPr>
              <w:t>5</w:t>
            </w:r>
          </w:p>
        </w:tc>
        <w:tc>
          <w:tcPr>
            <w:tcW w:w="1135" w:type="dxa"/>
            <w:shd w:val="clear" w:color="auto" w:fill="FFFFFF"/>
          </w:tcPr>
          <w:p w14:paraId="3C72C42D" w14:textId="559C1122" w:rsidR="00C84754" w:rsidRPr="00B57B36" w:rsidRDefault="00C84754" w:rsidP="00C84754">
            <w:pPr>
              <w:pStyle w:val="CETBodytext"/>
              <w:jc w:val="center"/>
              <w:rPr>
                <w:lang w:val="en-GB"/>
              </w:rPr>
            </w:pPr>
            <w:r>
              <w:rPr>
                <w:lang w:val="en-GB"/>
              </w:rPr>
              <w:t>400</w:t>
            </w:r>
          </w:p>
        </w:tc>
        <w:tc>
          <w:tcPr>
            <w:tcW w:w="1436" w:type="dxa"/>
            <w:shd w:val="clear" w:color="auto" w:fill="FFFFFF"/>
          </w:tcPr>
          <w:p w14:paraId="25B4A8F5" w14:textId="216FDFF7" w:rsidR="00C84754" w:rsidRPr="00B57B36" w:rsidRDefault="00C84754" w:rsidP="00C84754">
            <w:pPr>
              <w:pStyle w:val="CETBodytext"/>
              <w:jc w:val="center"/>
              <w:rPr>
                <w:lang w:val="en-GB"/>
              </w:rPr>
            </w:pPr>
            <w:r>
              <w:rPr>
                <w:lang w:val="en-GB"/>
              </w:rPr>
              <w:t>100</w:t>
            </w:r>
          </w:p>
        </w:tc>
        <w:tc>
          <w:tcPr>
            <w:tcW w:w="1346" w:type="dxa"/>
            <w:shd w:val="clear" w:color="auto" w:fill="FFFFFF"/>
          </w:tcPr>
          <w:p w14:paraId="19DCC778" w14:textId="4CCB4A85" w:rsidR="00C84754" w:rsidRPr="00B57B36" w:rsidRDefault="00C84754" w:rsidP="00C84754">
            <w:pPr>
              <w:pStyle w:val="CETBodytext"/>
              <w:jc w:val="center"/>
              <w:rPr>
                <w:lang w:val="en-GB"/>
              </w:rPr>
            </w:pPr>
            <w:r>
              <w:rPr>
                <w:lang w:val="en-GB"/>
              </w:rPr>
              <w:t>500</w:t>
            </w:r>
          </w:p>
        </w:tc>
        <w:tc>
          <w:tcPr>
            <w:tcW w:w="628" w:type="dxa"/>
            <w:shd w:val="clear" w:color="auto" w:fill="FFFFFF"/>
          </w:tcPr>
          <w:p w14:paraId="45DD0742" w14:textId="4A4401AE" w:rsidR="00C84754" w:rsidRPr="00B57B36" w:rsidRDefault="00C84754" w:rsidP="00C84754">
            <w:pPr>
              <w:pStyle w:val="CETBodytext"/>
              <w:ind w:right="-1"/>
              <w:jc w:val="center"/>
              <w:rPr>
                <w:rFonts w:cs="Arial"/>
                <w:szCs w:val="18"/>
                <w:lang w:val="en-GB"/>
              </w:rPr>
            </w:pPr>
            <w:r>
              <w:rPr>
                <w:rFonts w:cs="Arial"/>
                <w:szCs w:val="18"/>
                <w:lang w:val="en-GB"/>
              </w:rPr>
              <w:t>5</w:t>
            </w:r>
          </w:p>
        </w:tc>
        <w:tc>
          <w:tcPr>
            <w:tcW w:w="2592" w:type="dxa"/>
            <w:shd w:val="clear" w:color="auto" w:fill="FFFFFF"/>
          </w:tcPr>
          <w:p w14:paraId="4B6C3F73" w14:textId="4AC2AD9B" w:rsidR="00C84754" w:rsidRPr="00B57B36" w:rsidRDefault="00C84754" w:rsidP="00C84754">
            <w:pPr>
              <w:pStyle w:val="CETBodytext"/>
              <w:ind w:right="-1"/>
              <w:jc w:val="center"/>
              <w:rPr>
                <w:rFonts w:cs="Arial"/>
                <w:szCs w:val="18"/>
                <w:lang w:val="en-GB"/>
              </w:rPr>
            </w:pPr>
            <w:r>
              <w:rPr>
                <w:rFonts w:cs="Arial"/>
                <w:szCs w:val="18"/>
                <w:lang w:val="en-GB"/>
              </w:rPr>
              <w:t>90</w:t>
            </w:r>
          </w:p>
        </w:tc>
      </w:tr>
      <w:tr w:rsidR="00C84754" w:rsidRPr="00B57B36" w14:paraId="59DA4F93" w14:textId="77777777" w:rsidTr="00653F1B">
        <w:trPr>
          <w:trHeight w:val="379"/>
        </w:trPr>
        <w:tc>
          <w:tcPr>
            <w:tcW w:w="813" w:type="dxa"/>
            <w:shd w:val="clear" w:color="auto" w:fill="FFFFFF"/>
          </w:tcPr>
          <w:p w14:paraId="15C140EB" w14:textId="237130E8" w:rsidR="00C84754" w:rsidRPr="00AB4E69" w:rsidRDefault="00C84754" w:rsidP="00C84754">
            <w:pPr>
              <w:pStyle w:val="CETBodytext"/>
              <w:ind w:right="-1"/>
              <w:jc w:val="center"/>
              <w:rPr>
                <w:rFonts w:cs="Arial"/>
                <w:b/>
                <w:bCs/>
                <w:szCs w:val="18"/>
                <w:lang w:val="en-GB"/>
              </w:rPr>
            </w:pPr>
            <w:r w:rsidRPr="00AB4E69">
              <w:rPr>
                <w:rFonts w:cs="Arial"/>
                <w:b/>
                <w:bCs/>
                <w:szCs w:val="18"/>
                <w:lang w:val="en-GB"/>
              </w:rPr>
              <w:t>III</w:t>
            </w:r>
          </w:p>
        </w:tc>
        <w:tc>
          <w:tcPr>
            <w:tcW w:w="923" w:type="dxa"/>
            <w:shd w:val="clear" w:color="auto" w:fill="FFFFFF"/>
          </w:tcPr>
          <w:p w14:paraId="474BB586" w14:textId="15E18123" w:rsidR="00C84754" w:rsidRPr="00B57B36" w:rsidRDefault="00C84754" w:rsidP="00C84754">
            <w:pPr>
              <w:pStyle w:val="CETBodytext"/>
              <w:ind w:right="-1"/>
              <w:jc w:val="center"/>
              <w:rPr>
                <w:rFonts w:cs="Arial"/>
                <w:szCs w:val="18"/>
                <w:lang w:val="en-GB"/>
              </w:rPr>
            </w:pPr>
            <w:r>
              <w:rPr>
                <w:rFonts w:cs="Arial"/>
                <w:szCs w:val="18"/>
                <w:lang w:val="en-GB"/>
              </w:rPr>
              <w:t>10</w:t>
            </w:r>
          </w:p>
        </w:tc>
        <w:tc>
          <w:tcPr>
            <w:tcW w:w="1135" w:type="dxa"/>
            <w:shd w:val="clear" w:color="auto" w:fill="FFFFFF"/>
          </w:tcPr>
          <w:p w14:paraId="31E42827" w14:textId="64D4E37B" w:rsidR="00C84754" w:rsidRPr="00B57B36" w:rsidRDefault="00C84754" w:rsidP="00C84754">
            <w:pPr>
              <w:pStyle w:val="CETBodytext"/>
              <w:ind w:right="-1"/>
              <w:jc w:val="center"/>
              <w:rPr>
                <w:rFonts w:cs="Arial"/>
                <w:szCs w:val="18"/>
                <w:lang w:val="en-GB"/>
              </w:rPr>
            </w:pPr>
            <w:r>
              <w:rPr>
                <w:rFonts w:cs="Arial"/>
                <w:szCs w:val="18"/>
                <w:lang w:val="en-GB"/>
              </w:rPr>
              <w:t>400</w:t>
            </w:r>
          </w:p>
        </w:tc>
        <w:tc>
          <w:tcPr>
            <w:tcW w:w="1436" w:type="dxa"/>
            <w:shd w:val="clear" w:color="auto" w:fill="FFFFFF"/>
          </w:tcPr>
          <w:p w14:paraId="24C5A953" w14:textId="22850C6E" w:rsidR="00C84754" w:rsidRPr="00B57B36" w:rsidRDefault="00C84754" w:rsidP="00C84754">
            <w:pPr>
              <w:pStyle w:val="CETBodytext"/>
              <w:ind w:right="-1"/>
              <w:jc w:val="center"/>
              <w:rPr>
                <w:rFonts w:cs="Arial"/>
                <w:szCs w:val="18"/>
                <w:lang w:val="en-GB"/>
              </w:rPr>
            </w:pPr>
            <w:r>
              <w:rPr>
                <w:rFonts w:cs="Arial"/>
                <w:szCs w:val="18"/>
                <w:lang w:val="en-GB"/>
              </w:rPr>
              <w:t>100</w:t>
            </w:r>
          </w:p>
        </w:tc>
        <w:tc>
          <w:tcPr>
            <w:tcW w:w="1346" w:type="dxa"/>
            <w:shd w:val="clear" w:color="auto" w:fill="FFFFFF"/>
          </w:tcPr>
          <w:p w14:paraId="18E51D2A" w14:textId="7236FC8E" w:rsidR="00C84754" w:rsidRPr="00B57B36" w:rsidRDefault="00C84754" w:rsidP="00C84754">
            <w:pPr>
              <w:pStyle w:val="CETBodytext"/>
              <w:ind w:right="-1"/>
              <w:jc w:val="center"/>
              <w:rPr>
                <w:rFonts w:cs="Arial"/>
                <w:szCs w:val="18"/>
                <w:lang w:val="en-GB"/>
              </w:rPr>
            </w:pPr>
            <w:r>
              <w:rPr>
                <w:rFonts w:cs="Arial"/>
                <w:szCs w:val="18"/>
                <w:lang w:val="en-GB"/>
              </w:rPr>
              <w:t>1000</w:t>
            </w:r>
          </w:p>
        </w:tc>
        <w:tc>
          <w:tcPr>
            <w:tcW w:w="628" w:type="dxa"/>
            <w:shd w:val="clear" w:color="auto" w:fill="FFFFFF"/>
          </w:tcPr>
          <w:p w14:paraId="289C8231" w14:textId="00D379CC" w:rsidR="00C84754" w:rsidRPr="00B57B36" w:rsidRDefault="00C84754" w:rsidP="00C84754">
            <w:pPr>
              <w:pStyle w:val="CETBodytext"/>
              <w:ind w:right="-1"/>
              <w:jc w:val="center"/>
              <w:rPr>
                <w:rFonts w:cs="Arial"/>
                <w:szCs w:val="18"/>
                <w:lang w:val="en-GB"/>
              </w:rPr>
            </w:pPr>
            <w:r>
              <w:rPr>
                <w:rFonts w:cs="Arial"/>
                <w:szCs w:val="18"/>
                <w:lang w:val="en-GB"/>
              </w:rPr>
              <w:t>10</w:t>
            </w:r>
          </w:p>
        </w:tc>
        <w:tc>
          <w:tcPr>
            <w:tcW w:w="2592" w:type="dxa"/>
            <w:shd w:val="clear" w:color="auto" w:fill="FFFFFF"/>
          </w:tcPr>
          <w:p w14:paraId="173B528B" w14:textId="51FD31CD" w:rsidR="00C84754" w:rsidRPr="00B57B36" w:rsidRDefault="00C84754" w:rsidP="00C84754">
            <w:pPr>
              <w:pStyle w:val="CETBodytext"/>
              <w:ind w:right="-1"/>
              <w:jc w:val="center"/>
              <w:rPr>
                <w:rFonts w:cs="Arial"/>
                <w:szCs w:val="18"/>
                <w:lang w:val="en-GB"/>
              </w:rPr>
            </w:pPr>
            <w:r>
              <w:rPr>
                <w:rFonts w:cs="Arial"/>
                <w:szCs w:val="18"/>
                <w:lang w:val="en-GB"/>
              </w:rPr>
              <w:t>120</w:t>
            </w:r>
          </w:p>
        </w:tc>
      </w:tr>
      <w:tr w:rsidR="00C84754" w:rsidRPr="00B57B36" w14:paraId="35358DE8" w14:textId="77777777" w:rsidTr="00653F1B">
        <w:trPr>
          <w:trHeight w:val="365"/>
        </w:trPr>
        <w:tc>
          <w:tcPr>
            <w:tcW w:w="813" w:type="dxa"/>
            <w:shd w:val="clear" w:color="auto" w:fill="FFFFFF"/>
          </w:tcPr>
          <w:p w14:paraId="17B2E757" w14:textId="3C410510" w:rsidR="00C84754" w:rsidRPr="00AB4E69" w:rsidRDefault="00C84754" w:rsidP="00C84754">
            <w:pPr>
              <w:pStyle w:val="CETBodytext"/>
              <w:ind w:right="-1"/>
              <w:jc w:val="center"/>
              <w:rPr>
                <w:rFonts w:cs="Arial"/>
                <w:b/>
                <w:bCs/>
                <w:szCs w:val="18"/>
                <w:lang w:val="en-GB"/>
              </w:rPr>
            </w:pPr>
            <w:r w:rsidRPr="00AB4E69">
              <w:rPr>
                <w:rFonts w:cs="Arial"/>
                <w:b/>
                <w:bCs/>
                <w:szCs w:val="18"/>
                <w:lang w:val="en-GB"/>
              </w:rPr>
              <w:t>IV</w:t>
            </w:r>
          </w:p>
        </w:tc>
        <w:tc>
          <w:tcPr>
            <w:tcW w:w="923" w:type="dxa"/>
            <w:shd w:val="clear" w:color="auto" w:fill="FFFFFF"/>
          </w:tcPr>
          <w:p w14:paraId="42DDCA21" w14:textId="3AE900AF" w:rsidR="00C84754" w:rsidRPr="00B57B36" w:rsidRDefault="00C84754" w:rsidP="00C84754">
            <w:pPr>
              <w:pStyle w:val="CETBodytext"/>
              <w:ind w:right="-1"/>
              <w:jc w:val="center"/>
              <w:rPr>
                <w:rFonts w:cs="Arial"/>
                <w:szCs w:val="18"/>
                <w:lang w:val="en-GB"/>
              </w:rPr>
            </w:pPr>
            <w:r>
              <w:rPr>
                <w:rFonts w:cs="Arial"/>
                <w:szCs w:val="18"/>
                <w:lang w:val="en-GB"/>
              </w:rPr>
              <w:t>1</w:t>
            </w:r>
            <w:r w:rsidR="0018080D">
              <w:rPr>
                <w:rFonts w:cs="Arial"/>
                <w:szCs w:val="18"/>
                <w:lang w:val="en-GB"/>
              </w:rPr>
              <w:t>5</w:t>
            </w:r>
          </w:p>
        </w:tc>
        <w:tc>
          <w:tcPr>
            <w:tcW w:w="1135" w:type="dxa"/>
            <w:shd w:val="clear" w:color="auto" w:fill="FFFFFF"/>
          </w:tcPr>
          <w:p w14:paraId="4561B6EB" w14:textId="6B368AAE" w:rsidR="00C84754" w:rsidRPr="00B57B36" w:rsidRDefault="00C84754" w:rsidP="00C84754">
            <w:pPr>
              <w:pStyle w:val="CETBodytext"/>
              <w:ind w:right="-1"/>
              <w:jc w:val="center"/>
              <w:rPr>
                <w:rFonts w:cs="Arial"/>
                <w:szCs w:val="18"/>
                <w:lang w:val="en-GB"/>
              </w:rPr>
            </w:pPr>
            <w:r>
              <w:rPr>
                <w:rFonts w:cs="Arial"/>
                <w:szCs w:val="18"/>
                <w:lang w:val="en-GB"/>
              </w:rPr>
              <w:t>400</w:t>
            </w:r>
          </w:p>
        </w:tc>
        <w:tc>
          <w:tcPr>
            <w:tcW w:w="1436" w:type="dxa"/>
            <w:shd w:val="clear" w:color="auto" w:fill="FFFFFF"/>
          </w:tcPr>
          <w:p w14:paraId="132D11A1" w14:textId="1E9C5162" w:rsidR="00C84754" w:rsidRPr="00B57B36" w:rsidRDefault="00C84754" w:rsidP="00C84754">
            <w:pPr>
              <w:pStyle w:val="CETBodytext"/>
              <w:ind w:right="-1"/>
              <w:jc w:val="center"/>
              <w:rPr>
                <w:rFonts w:cs="Arial"/>
                <w:szCs w:val="18"/>
                <w:lang w:val="en-GB"/>
              </w:rPr>
            </w:pPr>
            <w:r>
              <w:rPr>
                <w:rFonts w:cs="Arial"/>
                <w:szCs w:val="18"/>
                <w:lang w:val="en-GB"/>
              </w:rPr>
              <w:t>100</w:t>
            </w:r>
          </w:p>
        </w:tc>
        <w:tc>
          <w:tcPr>
            <w:tcW w:w="1346" w:type="dxa"/>
            <w:shd w:val="clear" w:color="auto" w:fill="FFFFFF"/>
          </w:tcPr>
          <w:p w14:paraId="50B325B2" w14:textId="72AE3A28" w:rsidR="00C84754" w:rsidRPr="00B57B36" w:rsidRDefault="00C84754" w:rsidP="00C84754">
            <w:pPr>
              <w:pStyle w:val="CETBodytext"/>
              <w:ind w:right="-1"/>
              <w:jc w:val="center"/>
              <w:rPr>
                <w:rFonts w:cs="Arial"/>
                <w:szCs w:val="18"/>
                <w:lang w:val="en-GB"/>
              </w:rPr>
            </w:pPr>
            <w:r>
              <w:rPr>
                <w:rFonts w:cs="Arial"/>
                <w:szCs w:val="18"/>
                <w:lang w:val="en-GB"/>
              </w:rPr>
              <w:t>1000</w:t>
            </w:r>
          </w:p>
        </w:tc>
        <w:tc>
          <w:tcPr>
            <w:tcW w:w="628" w:type="dxa"/>
            <w:shd w:val="clear" w:color="auto" w:fill="FFFFFF"/>
          </w:tcPr>
          <w:p w14:paraId="03B9ECB8" w14:textId="740DD770" w:rsidR="00C84754" w:rsidRPr="00B57B36" w:rsidRDefault="00C84754" w:rsidP="00C84754">
            <w:pPr>
              <w:pStyle w:val="CETBodytext"/>
              <w:ind w:right="-1"/>
              <w:jc w:val="center"/>
              <w:rPr>
                <w:rFonts w:cs="Arial"/>
                <w:szCs w:val="18"/>
                <w:lang w:val="en-GB"/>
              </w:rPr>
            </w:pPr>
            <w:r>
              <w:rPr>
                <w:rFonts w:cs="Arial"/>
                <w:szCs w:val="18"/>
                <w:lang w:val="en-GB"/>
              </w:rPr>
              <w:t>10</w:t>
            </w:r>
          </w:p>
        </w:tc>
        <w:tc>
          <w:tcPr>
            <w:tcW w:w="2592" w:type="dxa"/>
            <w:shd w:val="clear" w:color="auto" w:fill="FFFFFF"/>
          </w:tcPr>
          <w:p w14:paraId="0EBAF429" w14:textId="4166122F" w:rsidR="00C84754" w:rsidRPr="00B57B36" w:rsidRDefault="00C84754" w:rsidP="00C84754">
            <w:pPr>
              <w:pStyle w:val="CETBodytext"/>
              <w:ind w:right="-1"/>
              <w:jc w:val="center"/>
              <w:rPr>
                <w:rFonts w:cs="Arial"/>
                <w:szCs w:val="18"/>
                <w:lang w:val="en-GB"/>
              </w:rPr>
            </w:pPr>
            <w:r>
              <w:rPr>
                <w:rFonts w:cs="Arial"/>
                <w:szCs w:val="18"/>
                <w:lang w:val="en-GB"/>
              </w:rPr>
              <w:t>120</w:t>
            </w:r>
          </w:p>
        </w:tc>
      </w:tr>
    </w:tbl>
    <w:p w14:paraId="704D7211" w14:textId="3F6A7B13" w:rsidR="00DB4A8C" w:rsidRDefault="00DB4A8C" w:rsidP="005D6C53">
      <w:pPr>
        <w:pStyle w:val="CETBodytext"/>
      </w:pPr>
    </w:p>
    <w:p w14:paraId="73006CD4" w14:textId="77777777" w:rsidR="00FE2DC3" w:rsidRDefault="00FE2DC3" w:rsidP="005D6C53">
      <w:pPr>
        <w:pStyle w:val="CETBodytext"/>
      </w:pPr>
    </w:p>
    <w:p w14:paraId="6AF8752D" w14:textId="0046FCF9" w:rsidR="00DB4A8C" w:rsidRPr="00DB4A8C" w:rsidRDefault="005D6C53" w:rsidP="00DB4A8C">
      <w:pPr>
        <w:pStyle w:val="CETheadingx"/>
      </w:pPr>
      <w:r>
        <w:t>Analytical method</w:t>
      </w:r>
    </w:p>
    <w:p w14:paraId="768A9C45" w14:textId="6E0B5C09" w:rsidR="00276651" w:rsidRPr="00276651" w:rsidRDefault="005D6C53" w:rsidP="0045796F">
      <w:pPr>
        <w:pStyle w:val="CETBodytext"/>
        <w:spacing w:line="240" w:lineRule="auto"/>
      </w:pPr>
      <w:r>
        <w:t>The measurement of CO</w:t>
      </w:r>
      <w:r w:rsidRPr="00B11C46">
        <w:rPr>
          <w:vertAlign w:val="subscript"/>
        </w:rPr>
        <w:t>2</w:t>
      </w:r>
      <w:r>
        <w:t xml:space="preserve"> concentration was determined using the </w:t>
      </w:r>
      <w:r w:rsidR="000D4ADE">
        <w:t xml:space="preserve">gas analyzer </w:t>
      </w:r>
      <w:r>
        <w:t xml:space="preserve">GA 2000 (Geotechnical instrument). The pH, DO, temperature and conductivity were measured using the </w:t>
      </w:r>
      <w:r w:rsidRPr="00B11C46">
        <w:t xml:space="preserve">multiparameter probe (Hanna HI9829 Multiparameter) </w:t>
      </w:r>
      <w:r>
        <w:t xml:space="preserve">while the turbidity was measured using </w:t>
      </w:r>
      <w:r w:rsidRPr="002942A2">
        <w:t>2100N Turbidimeter-Hach</w:t>
      </w:r>
      <w:r>
        <w:t>. The biomass concentration was determined by getting the total suspended solids (TSS) according to the standard method 2540 D.</w:t>
      </w:r>
    </w:p>
    <w:p w14:paraId="69685F55" w14:textId="78214281" w:rsidR="00276651" w:rsidRPr="00276651" w:rsidRDefault="00EA54A0" w:rsidP="00276651">
      <w:pPr>
        <w:pStyle w:val="CETHeading1"/>
        <w:rPr>
          <w:lang w:val="en-GB"/>
        </w:rPr>
      </w:pPr>
      <w:r>
        <w:rPr>
          <w:lang w:val="en-GB"/>
        </w:rPr>
        <w:t>Results and Discussion</w:t>
      </w:r>
    </w:p>
    <w:p w14:paraId="71219E99" w14:textId="6108E8EB" w:rsidR="00EA54A0" w:rsidRPr="00EA54A0" w:rsidRDefault="000328D5" w:rsidP="00EA54A0">
      <w:pPr>
        <w:pStyle w:val="CETheadingx"/>
      </w:pPr>
      <w:r>
        <w:t>Microalgae</w:t>
      </w:r>
      <w:r w:rsidR="00702325">
        <w:t xml:space="preserve"> production</w:t>
      </w:r>
      <w:r>
        <w:t xml:space="preserve"> </w:t>
      </w:r>
    </w:p>
    <w:p w14:paraId="7D07E681" w14:textId="124746EC" w:rsidR="000328D5" w:rsidRDefault="001C5E56" w:rsidP="0045796F">
      <w:pPr>
        <w:pStyle w:val="CETBodytext"/>
        <w:spacing w:line="240" w:lineRule="auto"/>
        <w:rPr>
          <w:lang w:val="en-GB"/>
        </w:rPr>
      </w:pPr>
      <w:r>
        <w:rPr>
          <w:lang w:val="en-GB"/>
        </w:rPr>
        <w:t xml:space="preserve">During the first (I) and second (II) stage </w:t>
      </w:r>
      <w:r w:rsidR="00EA54A0" w:rsidRPr="00EA54A0">
        <w:rPr>
          <w:lang w:val="en-GB"/>
        </w:rPr>
        <w:t xml:space="preserve">the best </w:t>
      </w:r>
      <w:r>
        <w:rPr>
          <w:lang w:val="en-GB"/>
        </w:rPr>
        <w:t xml:space="preserve">algae </w:t>
      </w:r>
      <w:r w:rsidR="00EA54A0" w:rsidRPr="00EA54A0">
        <w:rPr>
          <w:lang w:val="en-GB"/>
        </w:rPr>
        <w:t>growth conditions</w:t>
      </w:r>
      <w:r>
        <w:rPr>
          <w:lang w:val="en-GB"/>
        </w:rPr>
        <w:t xml:space="preserve"> were obtained</w:t>
      </w:r>
      <w:r w:rsidR="00EA54A0" w:rsidRPr="00EA54A0">
        <w:rPr>
          <w:lang w:val="en-GB"/>
        </w:rPr>
        <w:t>,</w:t>
      </w:r>
      <w:r>
        <w:rPr>
          <w:lang w:val="en-GB"/>
        </w:rPr>
        <w:t xml:space="preserve"> after that other two stages were performed. </w:t>
      </w:r>
      <w:r w:rsidR="00237659" w:rsidRPr="00237659">
        <w:rPr>
          <w:lang w:val="en-GB"/>
        </w:rPr>
        <w:t>In stage I</w:t>
      </w:r>
      <w:r w:rsidR="00237659">
        <w:rPr>
          <w:lang w:val="en-GB"/>
        </w:rPr>
        <w:t xml:space="preserve">I </w:t>
      </w:r>
      <w:r w:rsidR="00237659" w:rsidRPr="00237659">
        <w:rPr>
          <w:lang w:val="en-GB"/>
        </w:rPr>
        <w:t>the mineral</w:t>
      </w:r>
      <w:r w:rsidR="00237659">
        <w:rPr>
          <w:lang w:val="en-GB"/>
        </w:rPr>
        <w:t xml:space="preserve"> </w:t>
      </w:r>
      <w:r w:rsidR="00237659" w:rsidRPr="00237659">
        <w:rPr>
          <w:lang w:val="en-GB"/>
        </w:rPr>
        <w:t>medium</w:t>
      </w:r>
      <w:r w:rsidR="00237659">
        <w:rPr>
          <w:lang w:val="en-GB"/>
        </w:rPr>
        <w:t xml:space="preserve"> BBM </w:t>
      </w:r>
      <w:r w:rsidR="00237659" w:rsidRPr="00237659">
        <w:rPr>
          <w:lang w:val="en-GB"/>
        </w:rPr>
        <w:t xml:space="preserve">was modified in order to balance the </w:t>
      </w:r>
      <w:r w:rsidR="00237659">
        <w:rPr>
          <w:lang w:val="en-GB"/>
        </w:rPr>
        <w:t xml:space="preserve">increased </w:t>
      </w:r>
      <w:r w:rsidR="00237659" w:rsidRPr="00237659">
        <w:rPr>
          <w:lang w:val="en-GB"/>
        </w:rPr>
        <w:t xml:space="preserve">carbon load </w:t>
      </w:r>
      <w:r w:rsidR="00237659">
        <w:rPr>
          <w:lang w:val="en-GB"/>
        </w:rPr>
        <w:t>and the</w:t>
      </w:r>
      <w:r w:rsidR="00237659" w:rsidRPr="00237659">
        <w:rPr>
          <w:lang w:val="en-GB"/>
        </w:rPr>
        <w:t xml:space="preserve"> nutrient</w:t>
      </w:r>
      <w:r w:rsidR="00237659">
        <w:rPr>
          <w:lang w:val="en-GB"/>
        </w:rPr>
        <w:t>s</w:t>
      </w:r>
      <w:r w:rsidR="00237659" w:rsidRPr="00237659">
        <w:rPr>
          <w:lang w:val="en-GB"/>
        </w:rPr>
        <w:t>.</w:t>
      </w:r>
      <w:r w:rsidR="00237659">
        <w:rPr>
          <w:lang w:val="en-GB"/>
        </w:rPr>
        <w:t xml:space="preserve"> </w:t>
      </w:r>
      <w:r>
        <w:rPr>
          <w:lang w:val="en-GB"/>
        </w:rPr>
        <w:t>The third (III)</w:t>
      </w:r>
      <w:r w:rsidR="00EA54A0" w:rsidRPr="00EA54A0">
        <w:rPr>
          <w:lang w:val="en-GB"/>
        </w:rPr>
        <w:t xml:space="preserve"> </w:t>
      </w:r>
      <w:r>
        <w:rPr>
          <w:lang w:val="en-GB"/>
        </w:rPr>
        <w:t xml:space="preserve">and the </w:t>
      </w:r>
      <w:r w:rsidRPr="003A7AC9">
        <w:rPr>
          <w:highlight w:val="yellow"/>
          <w:lang w:val="en-GB"/>
        </w:rPr>
        <w:t>fo</w:t>
      </w:r>
      <w:r w:rsidR="00F77F76" w:rsidRPr="003A7AC9">
        <w:rPr>
          <w:highlight w:val="yellow"/>
          <w:lang w:val="en-GB"/>
        </w:rPr>
        <w:t>u</w:t>
      </w:r>
      <w:r w:rsidRPr="003A7AC9">
        <w:rPr>
          <w:highlight w:val="yellow"/>
          <w:lang w:val="en-GB"/>
        </w:rPr>
        <w:t>rth (IV)</w:t>
      </w:r>
      <w:r>
        <w:rPr>
          <w:lang w:val="en-GB"/>
        </w:rPr>
        <w:t xml:space="preserve"> stage</w:t>
      </w:r>
      <w:r w:rsidR="00EA54A0" w:rsidRPr="00EA54A0">
        <w:rPr>
          <w:lang w:val="en-GB"/>
        </w:rPr>
        <w:t xml:space="preserve"> were carried</w:t>
      </w:r>
      <w:r w:rsidR="00EA54A0">
        <w:rPr>
          <w:lang w:val="en-GB"/>
        </w:rPr>
        <w:t xml:space="preserve"> </w:t>
      </w:r>
      <w:r w:rsidR="00EA54A0" w:rsidRPr="00EA54A0">
        <w:rPr>
          <w:lang w:val="en-GB"/>
        </w:rPr>
        <w:t xml:space="preserve">out by </w:t>
      </w:r>
      <w:r>
        <w:rPr>
          <w:lang w:val="en-GB"/>
        </w:rPr>
        <w:t>feeding</w:t>
      </w:r>
      <w:r w:rsidR="00EA54A0" w:rsidRPr="00EA54A0">
        <w:rPr>
          <w:lang w:val="en-GB"/>
        </w:rPr>
        <w:t xml:space="preserve"> </w:t>
      </w:r>
      <w:r>
        <w:rPr>
          <w:lang w:val="en-GB"/>
        </w:rPr>
        <w:t xml:space="preserve">respectively 10 and 15 % of </w:t>
      </w:r>
      <w:r w:rsidR="00EA54A0" w:rsidRPr="00EA54A0">
        <w:rPr>
          <w:lang w:val="en-GB"/>
        </w:rPr>
        <w:t>CO</w:t>
      </w:r>
      <w:r w:rsidR="00EA54A0" w:rsidRPr="000328D5">
        <w:rPr>
          <w:vertAlign w:val="subscript"/>
          <w:lang w:val="en-GB"/>
        </w:rPr>
        <w:t>2</w:t>
      </w:r>
      <w:r w:rsidR="00EA54A0" w:rsidRPr="00EA54A0">
        <w:rPr>
          <w:lang w:val="en-GB"/>
        </w:rPr>
        <w:t xml:space="preserve"> concentrations into the photo-bioreactor.</w:t>
      </w:r>
      <w:r w:rsidR="00EA54A0">
        <w:rPr>
          <w:lang w:val="en-GB"/>
        </w:rPr>
        <w:t xml:space="preserve"> </w:t>
      </w:r>
      <w:r>
        <w:rPr>
          <w:lang w:val="en-GB"/>
        </w:rPr>
        <w:t>Each stage was performed for 5 days</w:t>
      </w:r>
      <w:r w:rsidR="00EA54A0" w:rsidRPr="00EA54A0">
        <w:rPr>
          <w:lang w:val="en-GB"/>
        </w:rPr>
        <w:t xml:space="preserve">, and the </w:t>
      </w:r>
      <w:r>
        <w:rPr>
          <w:lang w:val="en-GB"/>
        </w:rPr>
        <w:t xml:space="preserve">amount </w:t>
      </w:r>
      <w:r w:rsidR="00EA54A0" w:rsidRPr="00EA54A0">
        <w:rPr>
          <w:lang w:val="en-GB"/>
        </w:rPr>
        <w:t>of microalgae</w:t>
      </w:r>
      <w:r>
        <w:rPr>
          <w:lang w:val="en-GB"/>
        </w:rPr>
        <w:t xml:space="preserve"> biomass </w:t>
      </w:r>
      <w:r w:rsidR="00EA54A0" w:rsidRPr="00EA54A0">
        <w:rPr>
          <w:lang w:val="en-GB"/>
        </w:rPr>
        <w:t xml:space="preserve">observed </w:t>
      </w:r>
      <w:r w:rsidR="00E06194">
        <w:rPr>
          <w:lang w:val="en-GB"/>
        </w:rPr>
        <w:t xml:space="preserve">daily </w:t>
      </w:r>
      <w:r w:rsidR="00EA54A0" w:rsidRPr="00EA54A0">
        <w:rPr>
          <w:lang w:val="en-GB"/>
        </w:rPr>
        <w:t xml:space="preserve">at various </w:t>
      </w:r>
      <w:r>
        <w:rPr>
          <w:lang w:val="en-GB"/>
        </w:rPr>
        <w:t>stages is</w:t>
      </w:r>
      <w:r w:rsidR="00EA54A0" w:rsidRPr="00EA54A0">
        <w:rPr>
          <w:lang w:val="en-GB"/>
        </w:rPr>
        <w:t xml:space="preserve"> presented in Fig</w:t>
      </w:r>
      <w:r w:rsidR="00594FD2">
        <w:rPr>
          <w:lang w:val="en-GB"/>
        </w:rPr>
        <w:t xml:space="preserve">ure </w:t>
      </w:r>
      <w:r w:rsidR="005F0FFE">
        <w:rPr>
          <w:lang w:val="en-GB"/>
        </w:rPr>
        <w:t>2</w:t>
      </w:r>
      <w:r w:rsidR="00EA54A0" w:rsidRPr="00EA54A0">
        <w:rPr>
          <w:lang w:val="en-GB"/>
        </w:rPr>
        <w:t>. According to this</w:t>
      </w:r>
      <w:r w:rsidR="00EA54A0">
        <w:rPr>
          <w:lang w:val="en-GB"/>
        </w:rPr>
        <w:t xml:space="preserve"> </w:t>
      </w:r>
      <w:r w:rsidR="00EA54A0" w:rsidRPr="00EA54A0">
        <w:rPr>
          <w:lang w:val="en-GB"/>
        </w:rPr>
        <w:t>diagram, it can be seen that by increasing</w:t>
      </w:r>
      <w:r>
        <w:rPr>
          <w:lang w:val="en-GB"/>
        </w:rPr>
        <w:t xml:space="preserve"> the light</w:t>
      </w:r>
      <w:r w:rsidR="00EA54A0" w:rsidRPr="00EA54A0">
        <w:rPr>
          <w:lang w:val="en-GB"/>
        </w:rPr>
        <w:t xml:space="preserve"> </w:t>
      </w:r>
      <w:r w:rsidR="009249FE">
        <w:rPr>
          <w:lang w:val="en-GB"/>
        </w:rPr>
        <w:t xml:space="preserve">intensity </w:t>
      </w:r>
      <w:r>
        <w:rPr>
          <w:lang w:val="en-GB"/>
        </w:rPr>
        <w:t>from</w:t>
      </w:r>
      <w:r w:rsidR="000328D5">
        <w:rPr>
          <w:lang w:val="en-GB"/>
        </w:rPr>
        <w:t xml:space="preserve"> 50</w:t>
      </w:r>
      <w:r w:rsidR="0015336A">
        <w:rPr>
          <w:lang w:val="en-GB"/>
        </w:rPr>
        <w:t xml:space="preserve"> (</w:t>
      </w:r>
      <w:r w:rsidR="007F1058">
        <w:rPr>
          <w:lang w:val="en-GB"/>
        </w:rPr>
        <w:t>Stage I)</w:t>
      </w:r>
      <w:r w:rsidR="000328D5">
        <w:rPr>
          <w:lang w:val="en-GB"/>
        </w:rPr>
        <w:t xml:space="preserve"> to 120 </w:t>
      </w:r>
      <w:r w:rsidR="000328D5">
        <w:rPr>
          <w:rFonts w:cs="Arial"/>
          <w:lang w:val="en-GB"/>
        </w:rPr>
        <w:t>µ</w:t>
      </w:r>
      <w:r w:rsidR="000328D5">
        <w:rPr>
          <w:lang w:val="en-GB"/>
        </w:rPr>
        <w:t>mol m</w:t>
      </w:r>
      <w:r w:rsidR="000328D5" w:rsidRPr="000328D5">
        <w:rPr>
          <w:vertAlign w:val="superscript"/>
          <w:lang w:val="en-GB"/>
        </w:rPr>
        <w:t>-2</w:t>
      </w:r>
      <w:r w:rsidR="000328D5">
        <w:rPr>
          <w:lang w:val="en-GB"/>
        </w:rPr>
        <w:t xml:space="preserve"> s</w:t>
      </w:r>
      <w:r w:rsidR="000328D5" w:rsidRPr="000328D5">
        <w:rPr>
          <w:vertAlign w:val="superscript"/>
          <w:lang w:val="en-GB"/>
        </w:rPr>
        <w:t>-1</w:t>
      </w:r>
      <w:r w:rsidR="007F1058">
        <w:rPr>
          <w:lang w:val="en-GB"/>
        </w:rPr>
        <w:t xml:space="preserve"> (Stage III)</w:t>
      </w:r>
      <w:r w:rsidR="000328D5">
        <w:rPr>
          <w:lang w:val="en-GB"/>
        </w:rPr>
        <w:t xml:space="preserve">, </w:t>
      </w:r>
      <w:r w:rsidR="00EA54A0" w:rsidRPr="00EA54A0">
        <w:rPr>
          <w:lang w:val="en-GB"/>
        </w:rPr>
        <w:t xml:space="preserve">the </w:t>
      </w:r>
      <w:r w:rsidR="000328D5">
        <w:rPr>
          <w:lang w:val="en-GB"/>
        </w:rPr>
        <w:t>microalgae biomass</w:t>
      </w:r>
      <w:r w:rsidR="00EA54A0" w:rsidRPr="00EA54A0">
        <w:rPr>
          <w:lang w:val="en-GB"/>
        </w:rPr>
        <w:t xml:space="preserve"> also increased. </w:t>
      </w:r>
    </w:p>
    <w:p w14:paraId="71B528A0" w14:textId="722548D3" w:rsidR="00237659" w:rsidRDefault="000328D5" w:rsidP="0045796F">
      <w:pPr>
        <w:pStyle w:val="CETBodytext"/>
        <w:spacing w:line="240" w:lineRule="auto"/>
        <w:rPr>
          <w:rFonts w:cs="Arial"/>
          <w:lang w:val="en-GB"/>
        </w:rPr>
      </w:pPr>
      <w:r w:rsidRPr="000328D5">
        <w:rPr>
          <w:lang w:val="en-GB"/>
        </w:rPr>
        <w:t xml:space="preserve">Microalgae are photoautotrophic </w:t>
      </w:r>
      <w:r>
        <w:rPr>
          <w:lang w:val="en-GB"/>
        </w:rPr>
        <w:t>organism</w:t>
      </w:r>
      <w:r w:rsidRPr="000328D5">
        <w:rPr>
          <w:lang w:val="en-GB"/>
        </w:rPr>
        <w:t>, it need light (as energy source)</w:t>
      </w:r>
      <w:r>
        <w:rPr>
          <w:lang w:val="en-GB"/>
        </w:rPr>
        <w:t xml:space="preserve"> for the </w:t>
      </w:r>
      <w:proofErr w:type="spellStart"/>
      <w:r>
        <w:rPr>
          <w:lang w:val="en-GB"/>
        </w:rPr>
        <w:t>biofixation</w:t>
      </w:r>
      <w:proofErr w:type="spellEnd"/>
      <w:r>
        <w:rPr>
          <w:lang w:val="en-GB"/>
        </w:rPr>
        <w:t xml:space="preserve"> of inorganic carbon sources (e.g. </w:t>
      </w:r>
      <w:r w:rsidRPr="000328D5">
        <w:rPr>
          <w:lang w:val="en-GB"/>
        </w:rPr>
        <w:t>carbon dioxide</w:t>
      </w:r>
      <w:r>
        <w:rPr>
          <w:lang w:val="en-GB"/>
        </w:rPr>
        <w:t xml:space="preserve">). </w:t>
      </w:r>
      <w:r w:rsidR="0015336A">
        <w:rPr>
          <w:lang w:val="en-GB"/>
        </w:rPr>
        <w:t>Fig</w:t>
      </w:r>
      <w:r w:rsidR="000D4ADE">
        <w:rPr>
          <w:lang w:val="en-GB"/>
        </w:rPr>
        <w:t>ure</w:t>
      </w:r>
      <w:r w:rsidR="0015336A">
        <w:rPr>
          <w:lang w:val="en-GB"/>
        </w:rPr>
        <w:t xml:space="preserve"> </w:t>
      </w:r>
      <w:r w:rsidR="005F0FFE">
        <w:rPr>
          <w:lang w:val="en-GB"/>
        </w:rPr>
        <w:t>2</w:t>
      </w:r>
      <w:r w:rsidR="0015336A">
        <w:rPr>
          <w:lang w:val="en-GB"/>
        </w:rPr>
        <w:t xml:space="preserve"> shows that in the IV stage a</w:t>
      </w:r>
      <w:r w:rsidR="009249FE">
        <w:rPr>
          <w:lang w:val="en-GB"/>
        </w:rPr>
        <w:t xml:space="preserve"> </w:t>
      </w:r>
      <w:r>
        <w:rPr>
          <w:lang w:val="en-GB"/>
        </w:rPr>
        <w:t>biomass</w:t>
      </w:r>
      <w:r w:rsidR="009249FE">
        <w:rPr>
          <w:lang w:val="en-GB"/>
        </w:rPr>
        <w:t xml:space="preserve"> </w:t>
      </w:r>
      <w:r w:rsidR="00E06194">
        <w:rPr>
          <w:lang w:val="en-GB"/>
        </w:rPr>
        <w:t xml:space="preserve">concentration </w:t>
      </w:r>
      <w:r w:rsidR="009249FE">
        <w:rPr>
          <w:lang w:val="en-GB"/>
        </w:rPr>
        <w:t xml:space="preserve">of 742 </w:t>
      </w:r>
      <w:r>
        <w:rPr>
          <w:lang w:val="en-GB"/>
        </w:rPr>
        <w:t>mg l</w:t>
      </w:r>
      <w:r w:rsidRPr="000328D5">
        <w:rPr>
          <w:vertAlign w:val="superscript"/>
          <w:lang w:val="en-GB"/>
        </w:rPr>
        <w:t>-1</w:t>
      </w:r>
      <w:r w:rsidR="0015336A">
        <w:rPr>
          <w:lang w:val="en-GB"/>
        </w:rPr>
        <w:t xml:space="preserve"> </w:t>
      </w:r>
      <w:r>
        <w:rPr>
          <w:lang w:val="en-GB"/>
        </w:rPr>
        <w:t xml:space="preserve">was </w:t>
      </w:r>
      <w:r w:rsidR="009249FE">
        <w:rPr>
          <w:lang w:val="en-GB"/>
        </w:rPr>
        <w:t>achieved</w:t>
      </w:r>
      <w:r>
        <w:rPr>
          <w:lang w:val="en-GB"/>
        </w:rPr>
        <w:t xml:space="preserve"> at </w:t>
      </w:r>
      <w:r w:rsidR="00EA54A0" w:rsidRPr="00EA54A0">
        <w:rPr>
          <w:lang w:val="en-GB"/>
        </w:rPr>
        <w:t>the CO</w:t>
      </w:r>
      <w:r w:rsidR="00EA54A0" w:rsidRPr="000328D5">
        <w:rPr>
          <w:vertAlign w:val="subscript"/>
          <w:lang w:val="en-GB"/>
        </w:rPr>
        <w:t>2</w:t>
      </w:r>
      <w:r w:rsidR="00EA54A0" w:rsidRPr="00EA54A0">
        <w:rPr>
          <w:lang w:val="en-GB"/>
        </w:rPr>
        <w:t xml:space="preserve"> concentration of </w:t>
      </w:r>
      <w:r>
        <w:rPr>
          <w:lang w:val="en-GB"/>
        </w:rPr>
        <w:t>15</w:t>
      </w:r>
      <w:r w:rsidR="00EA54A0" w:rsidRPr="00EA54A0">
        <w:rPr>
          <w:lang w:val="en-GB"/>
        </w:rPr>
        <w:t>%</w:t>
      </w:r>
      <w:r>
        <w:rPr>
          <w:lang w:val="en-GB"/>
        </w:rPr>
        <w:t xml:space="preserve"> </w:t>
      </w:r>
      <w:r w:rsidR="009249FE">
        <w:rPr>
          <w:lang w:val="en-GB"/>
        </w:rPr>
        <w:t xml:space="preserve">and 120 </w:t>
      </w:r>
      <w:r w:rsidR="009249FE">
        <w:rPr>
          <w:rFonts w:cs="Arial"/>
          <w:lang w:val="en-GB"/>
        </w:rPr>
        <w:t>µ</w:t>
      </w:r>
      <w:r w:rsidR="009249FE">
        <w:rPr>
          <w:lang w:val="en-GB"/>
        </w:rPr>
        <w:t>mol m</w:t>
      </w:r>
      <w:r w:rsidR="009249FE" w:rsidRPr="000328D5">
        <w:rPr>
          <w:vertAlign w:val="superscript"/>
          <w:lang w:val="en-GB"/>
        </w:rPr>
        <w:t>-2</w:t>
      </w:r>
      <w:r w:rsidR="009249FE">
        <w:rPr>
          <w:lang w:val="en-GB"/>
        </w:rPr>
        <w:t xml:space="preserve"> s</w:t>
      </w:r>
      <w:r w:rsidR="009249FE" w:rsidRPr="000328D5">
        <w:rPr>
          <w:vertAlign w:val="superscript"/>
          <w:lang w:val="en-GB"/>
        </w:rPr>
        <w:t>-1</w:t>
      </w:r>
      <w:r w:rsidR="009249FE">
        <w:rPr>
          <w:lang w:val="en-GB"/>
        </w:rPr>
        <w:t xml:space="preserve">. </w:t>
      </w:r>
      <w:r w:rsidR="00237659" w:rsidRPr="00237659">
        <w:rPr>
          <w:i/>
          <w:iCs/>
          <w:lang w:val="en-GB"/>
        </w:rPr>
        <w:t>Chlorella vulgaris</w:t>
      </w:r>
      <w:r w:rsidR="00237659">
        <w:rPr>
          <w:lang w:val="en-GB"/>
        </w:rPr>
        <w:t xml:space="preserve"> strains</w:t>
      </w:r>
      <w:r w:rsidR="00237659" w:rsidRPr="00237659">
        <w:rPr>
          <w:lang w:val="en-GB"/>
        </w:rPr>
        <w:t xml:space="preserve"> are capable of producing high-</w:t>
      </w:r>
      <w:r w:rsidR="00237659">
        <w:rPr>
          <w:lang w:val="en-GB"/>
        </w:rPr>
        <w:t>valuable</w:t>
      </w:r>
      <w:r w:rsidR="00237659" w:rsidRPr="00237659">
        <w:rPr>
          <w:lang w:val="en-GB"/>
        </w:rPr>
        <w:t xml:space="preserve"> compounds,</w:t>
      </w:r>
      <w:r w:rsidR="00237659">
        <w:rPr>
          <w:lang w:val="en-GB"/>
        </w:rPr>
        <w:t xml:space="preserve"> </w:t>
      </w:r>
      <w:r w:rsidR="00237659" w:rsidRPr="00237659">
        <w:rPr>
          <w:lang w:val="en-GB"/>
        </w:rPr>
        <w:t>which</w:t>
      </w:r>
      <w:r w:rsidR="00237659">
        <w:rPr>
          <w:lang w:val="en-GB"/>
        </w:rPr>
        <w:t xml:space="preserve"> </w:t>
      </w:r>
      <w:r w:rsidR="00237659" w:rsidRPr="00237659">
        <w:rPr>
          <w:lang w:val="en-GB"/>
        </w:rPr>
        <w:t>can contribute to the economic sustainability of the photosynthetic CO</w:t>
      </w:r>
      <w:r w:rsidR="00237659" w:rsidRPr="00237659">
        <w:rPr>
          <w:vertAlign w:val="subscript"/>
          <w:lang w:val="en-GB"/>
        </w:rPr>
        <w:t>2</w:t>
      </w:r>
      <w:r w:rsidR="00237659" w:rsidRPr="00237659">
        <w:rPr>
          <w:lang w:val="en-GB"/>
        </w:rPr>
        <w:t xml:space="preserve"> </w:t>
      </w:r>
      <w:r w:rsidR="00237659">
        <w:rPr>
          <w:lang w:val="en-GB"/>
        </w:rPr>
        <w:t>fixation and utilization</w:t>
      </w:r>
      <w:r w:rsidR="00463326">
        <w:rPr>
          <w:lang w:val="en-GB"/>
        </w:rPr>
        <w:t xml:space="preserve"> process</w:t>
      </w:r>
      <w:r w:rsidR="00275730">
        <w:rPr>
          <w:lang w:val="en-GB"/>
        </w:rPr>
        <w:t xml:space="preserve"> </w:t>
      </w:r>
      <w:r w:rsidR="00275730">
        <w:rPr>
          <w:lang w:val="en-GB"/>
        </w:rPr>
        <w:fldChar w:fldCharType="begin" w:fldLock="1"/>
      </w:r>
      <w:r w:rsidR="00456353">
        <w:rPr>
          <w:lang w:val="en-GB"/>
        </w:rPr>
        <w:instrText>ADDIN CSL_CITATION {"citationItems":[{"id":"ITEM-1","itemData":{"DOI":"10.1016/j.chemosphere.2021.129682","ISSN":"00456535","author":[{"dropping-particle":"","family":"Senatore","given":"Vincenzo","non-dropping-particle":"","parse-names":false,"suffix":""},{"dropping-particle":"","family":"Buonerba","given":"Antonio","non-dropping-particle":"","parse-names":false,"suffix":""},{"dropping-particle":"","family":"Zarra","given":"Tiziano","non-dropping-particle":"","parse-names":false,"suffix":""},{"dropping-particle":"","family":"Oliva","given":"Giuseppina","non-dropping-particle":"","parse-names":false,"suffix":""},{"dropping-particle":"","family":"Belgiorno","given":"Vincenzo","non-dropping-particle":"","parse-names":false,"suffix":""},{"dropping-particle":"","family":"Boguniewicz-Zablocka","given":"Joanna","non-dropping-particle":"","parse-names":false,"suffix":""},{"dropping-particle":"","family":"Naddeo","given":"Vincenzo","non-dropping-particle":"","parse-names":false,"suffix":""}],"container-title":"Chemosphere","id":"ITEM-1","issued":{"date-parts":[["2021"]]},"title":"Innovative Membrane Photobioreactor for Sustainable CO2 Capture and Utilization","type":"article-journal"},"uris":["http://www.mendeley.com/documents/?uuid=8580859a-7857-4a32-aba4-19e64ae90cd0"]}],"mendeley":{"formattedCitation":"(Vincenzo Senatore, Buonerba, et al., 2021)","manualFormatting":"(Senatore et al., 2021)","plainTextFormattedCitation":"(Vincenzo Senatore, Buonerba, et al., 2021)","previouslyFormattedCitation":"(Vincenzo Senatore, Buonerba, et al., 2021)"},"properties":{"noteIndex":0},"schema":"https://github.com/citation-style-language/schema/raw/master/csl-citation.json"}</w:instrText>
      </w:r>
      <w:r w:rsidR="00275730">
        <w:rPr>
          <w:lang w:val="en-GB"/>
        </w:rPr>
        <w:fldChar w:fldCharType="separate"/>
      </w:r>
      <w:r w:rsidR="00275730" w:rsidRPr="00275730">
        <w:rPr>
          <w:noProof/>
          <w:lang w:val="en-GB"/>
        </w:rPr>
        <w:t>(Senatore et al., 2021</w:t>
      </w:r>
      <w:r w:rsidR="00456353">
        <w:rPr>
          <w:noProof/>
          <w:lang w:val="en-GB"/>
        </w:rPr>
        <w:t>a</w:t>
      </w:r>
      <w:r w:rsidR="00275730" w:rsidRPr="00275730">
        <w:rPr>
          <w:noProof/>
          <w:lang w:val="en-GB"/>
        </w:rPr>
        <w:t>)</w:t>
      </w:r>
      <w:r w:rsidR="00275730">
        <w:rPr>
          <w:lang w:val="en-GB"/>
        </w:rPr>
        <w:fldChar w:fldCharType="end"/>
      </w:r>
      <w:r w:rsidR="00237659" w:rsidRPr="00237659">
        <w:rPr>
          <w:lang w:val="en-GB"/>
        </w:rPr>
        <w:t>. Carbohydrates</w:t>
      </w:r>
      <w:r w:rsidR="00237659">
        <w:rPr>
          <w:lang w:val="en-GB"/>
        </w:rPr>
        <w:t>, protein and lipids</w:t>
      </w:r>
      <w:r w:rsidR="00237659" w:rsidRPr="00237659">
        <w:rPr>
          <w:lang w:val="en-GB"/>
        </w:rPr>
        <w:t xml:space="preserve"> accumulation</w:t>
      </w:r>
      <w:r w:rsidR="00237659">
        <w:rPr>
          <w:lang w:val="en-GB"/>
        </w:rPr>
        <w:t xml:space="preserve"> </w:t>
      </w:r>
      <w:r w:rsidR="00237659" w:rsidRPr="00237659">
        <w:rPr>
          <w:lang w:val="en-GB"/>
        </w:rPr>
        <w:t xml:space="preserve">triggered by nitrogen starvation is </w:t>
      </w:r>
      <w:r w:rsidR="00237659">
        <w:rPr>
          <w:lang w:val="en-GB"/>
        </w:rPr>
        <w:t xml:space="preserve">an </w:t>
      </w:r>
      <w:r w:rsidR="00237659" w:rsidRPr="00237659">
        <w:rPr>
          <w:lang w:val="en-GB"/>
        </w:rPr>
        <w:t>effective ways</w:t>
      </w:r>
      <w:r w:rsidR="00237659">
        <w:rPr>
          <w:lang w:val="en-GB"/>
        </w:rPr>
        <w:t xml:space="preserve"> </w:t>
      </w:r>
      <w:r w:rsidR="00237659" w:rsidRPr="00237659">
        <w:rPr>
          <w:lang w:val="en-GB"/>
        </w:rPr>
        <w:t xml:space="preserve">to obtain added-value biomass </w:t>
      </w:r>
      <w:r w:rsidR="00702325">
        <w:rPr>
          <w:lang w:val="en-GB"/>
        </w:rPr>
        <w:fldChar w:fldCharType="begin" w:fldLock="1"/>
      </w:r>
      <w:r w:rsidR="006A5850">
        <w:rPr>
          <w:lang w:val="en-GB"/>
        </w:rPr>
        <w:instrText>ADDIN CSL_CITATION {"citationItems":[{"id":"ITEM-1","itemData":{"DOI":"10.1016/j.scitotenv.2018.05.270","ISSN":"18791026","abstract":"The long-term performance of a tubular photobioreactor interconnected to a gas absorption column for the abatement of CO 2 from biogas and flue-gas was investigated. Additionally, a novel nitrogen feast-famine regime was implemented during the flue-gas feeding stage in order to promote the continuous storage of highly-energetic compounds. Results showed effective CO 2 (~98%) and H 2 S (~99%) removals from synthetic biogas, supported by the high photosynthetic activity of microalgae which resulted in an alkaline pH (~10). In addition, CO 2 removals of 99 and 91% were observed during the flue-gas operation depending on the nutrients source: mineral salt medium and digestate, respectively. A biomass productivity of ~8 g m −2 d −1 was obtained during both stages, with a complete nitrogen and carbon recovery from the cultivation broth. Moreover, the strategy of feeding nutrients during the dark period promoted the continuous accumulation of carbohydrates, their concentration increasing from 22% under normal nutrition up to 37% during the feast-famine cycle. This represents a productivity of ~3 g- carbohydrates m −2 d −1 , which can be further valorized to contribute to the economic sustainability of the photosynthetic CO 2 removal process.","author":[{"dropping-particle":"","family":"Toledo-Cervantes","given":"Alma","non-dropping-particle":"","parse-names":false,"suffix":""},{"dropping-particle":"","family":"Morales","given":"Tamara","non-dropping-particle":"","parse-names":false,"suffix":""},{"dropping-particle":"","family":"González","given":"Álvaro","non-dropping-particle":"","parse-names":false,"suffix":""},{"dropping-particle":"","family":"Muñoz","given":"Raúl","non-dropping-particle":"","parse-names":false,"suffix":""},{"dropping-particle":"","family":"Lebrero","given":"Raquel","non-dropping-particle":"","parse-names":false,"suffix":""}],"container-title":"Science of the Total Environment","id":"ITEM-1","issued":{"date-parts":[["2018"]]},"page":"1272-1278","publisher":"Elsevier B.V.","title":"Long-term photosynthetic CO 2 removal from biogas and flue-gas: Exploring the potential of closed photobioreactors for high-value biomass production","type":"article-journal","volume":"640-641"},"uris":["http://www.mendeley.com/documents/?uuid=26ab1b00-62ba-43d1-b0cb-a0571dc0505a"]}],"mendeley":{"formattedCitation":"(Toledo-Cervantes et al., 2018)","plainTextFormattedCitation":"(Toledo-Cervantes et al., 2018)","previouslyFormattedCitation":"(Toledo-Cervantes et al., 2018)"},"properties":{"noteIndex":0},"schema":"https://github.com/citation-style-language/schema/raw/master/csl-citation.json"}</w:instrText>
      </w:r>
      <w:r w:rsidR="00702325">
        <w:rPr>
          <w:lang w:val="en-GB"/>
        </w:rPr>
        <w:fldChar w:fldCharType="separate"/>
      </w:r>
      <w:r w:rsidR="006A5850" w:rsidRPr="006A5850">
        <w:rPr>
          <w:noProof/>
          <w:lang w:val="en-GB"/>
        </w:rPr>
        <w:t>(Toledo-Cervantes et al., 2018)</w:t>
      </w:r>
      <w:r w:rsidR="00702325">
        <w:rPr>
          <w:lang w:val="en-GB"/>
        </w:rPr>
        <w:fldChar w:fldCharType="end"/>
      </w:r>
      <w:r w:rsidR="00237659" w:rsidRPr="00237659">
        <w:rPr>
          <w:lang w:val="en-GB"/>
        </w:rPr>
        <w:t>.</w:t>
      </w:r>
      <w:r w:rsidR="00463326">
        <w:rPr>
          <w:lang w:val="en-GB"/>
        </w:rPr>
        <w:t xml:space="preserve"> C</w:t>
      </w:r>
      <w:r w:rsidR="00463326" w:rsidRPr="00463326">
        <w:rPr>
          <w:lang w:val="en-GB"/>
        </w:rPr>
        <w:t>arbohydrate</w:t>
      </w:r>
      <w:r w:rsidR="00463326">
        <w:rPr>
          <w:lang w:val="en-GB"/>
        </w:rPr>
        <w:t>, protein</w:t>
      </w:r>
      <w:r w:rsidR="00463326" w:rsidRPr="00463326">
        <w:rPr>
          <w:lang w:val="en-GB"/>
        </w:rPr>
        <w:t xml:space="preserve"> </w:t>
      </w:r>
      <w:r w:rsidR="005F0FFE">
        <w:rPr>
          <w:lang w:val="en-GB"/>
        </w:rPr>
        <w:t xml:space="preserve">and lipids </w:t>
      </w:r>
      <w:r w:rsidR="00463326" w:rsidRPr="00463326">
        <w:rPr>
          <w:lang w:val="en-GB"/>
        </w:rPr>
        <w:t xml:space="preserve">content </w:t>
      </w:r>
      <w:r w:rsidR="00E06194">
        <w:rPr>
          <w:lang w:val="en-GB"/>
        </w:rPr>
        <w:t>in</w:t>
      </w:r>
      <w:r w:rsidR="00463326" w:rsidRPr="00463326">
        <w:rPr>
          <w:lang w:val="en-GB"/>
        </w:rPr>
        <w:t xml:space="preserve"> </w:t>
      </w:r>
      <w:r w:rsidR="00463326" w:rsidRPr="00275730">
        <w:rPr>
          <w:i/>
          <w:iCs/>
          <w:lang w:val="en-GB"/>
        </w:rPr>
        <w:t>C. vulgaris</w:t>
      </w:r>
      <w:r w:rsidR="00463326" w:rsidRPr="00463326">
        <w:rPr>
          <w:lang w:val="en-GB"/>
        </w:rPr>
        <w:t xml:space="preserve"> </w:t>
      </w:r>
      <w:r w:rsidR="00E06194">
        <w:rPr>
          <w:lang w:val="en-GB"/>
        </w:rPr>
        <w:t>are</w:t>
      </w:r>
      <w:r w:rsidR="00463326">
        <w:rPr>
          <w:lang w:val="en-GB"/>
        </w:rPr>
        <w:t xml:space="preserve"> 7 </w:t>
      </w:r>
      <w:r w:rsidR="00463326">
        <w:rPr>
          <w:rFonts w:cs="Arial"/>
          <w:lang w:val="en-GB"/>
        </w:rPr>
        <w:t>±</w:t>
      </w:r>
      <w:r w:rsidR="00463326">
        <w:rPr>
          <w:lang w:val="en-GB"/>
        </w:rPr>
        <w:t xml:space="preserve"> 1%, 8 </w:t>
      </w:r>
      <w:r w:rsidR="00463326">
        <w:rPr>
          <w:rFonts w:cs="Arial"/>
          <w:lang w:val="en-GB"/>
        </w:rPr>
        <w:t xml:space="preserve">± 2% and </w:t>
      </w:r>
      <w:r w:rsidR="00702325">
        <w:rPr>
          <w:rFonts w:cs="Arial"/>
          <w:lang w:val="en-GB"/>
        </w:rPr>
        <w:t xml:space="preserve">15 </w:t>
      </w:r>
      <w:r w:rsidR="00463326">
        <w:rPr>
          <w:rFonts w:cs="Arial"/>
          <w:lang w:val="en-GB"/>
        </w:rPr>
        <w:t>±</w:t>
      </w:r>
      <w:r w:rsidR="00702325">
        <w:rPr>
          <w:rFonts w:cs="Arial"/>
          <w:lang w:val="en-GB"/>
        </w:rPr>
        <w:t xml:space="preserve"> 3%</w:t>
      </w:r>
      <w:r w:rsidR="00E06194">
        <w:rPr>
          <w:rFonts w:cs="Arial"/>
          <w:lang w:val="en-GB"/>
        </w:rPr>
        <w:t xml:space="preserve">, </w:t>
      </w:r>
      <w:r w:rsidR="00E06194">
        <w:rPr>
          <w:lang w:val="en-GB"/>
        </w:rPr>
        <w:t xml:space="preserve">respectively </w:t>
      </w:r>
      <w:r w:rsidR="00702325">
        <w:rPr>
          <w:rFonts w:cs="Arial"/>
          <w:lang w:val="en-GB"/>
        </w:rPr>
        <w:fldChar w:fldCharType="begin" w:fldLock="1"/>
      </w:r>
      <w:r w:rsidR="006A5850">
        <w:rPr>
          <w:rFonts w:cs="Arial"/>
          <w:lang w:val="en-GB"/>
        </w:rPr>
        <w:instrText>ADDIN CSL_CITATION {"citationItems":[{"id":"ITEM-1","itemData":{"ISSN":"13309862","abstract":"Biodiesel-derived glycerol is a promising substrate for mixotrophic cultivation of oleaginous microalgae, which can also reduce the cost of microalgal biodiesel. The objective of this study is to investigate the potential of using glycerol and glucose as a complex carbon substrate to produce microalgal biomass and biochemical components, such as photosynthetic pigments, lipids, soluble carbohydrates and proteins by Chlorella vulgaris. The results show that C. vulgaris can utilize glycerol as a sole carbon substrate, but its effect is inferior to that of the mixture of glycerol and glucose. The effect of glycerol and glucose could enhance the algal cell growth rate, biomass content and volumetric productivity, and overcome the lower biomass production on glycerol as the sole organic carbon source in mixotrophic culture medium. The utilization of complex organic carbon substrate can stimulate the biosynthesis of lipids and soluble carbohydrates as the raw materials for biodiesel and bioethanol production, and reduce the anabolism of photosynthetic pigments and proteins. This study provides a promising niche for reducing the overall cost of biodiesel and bioethanol production from microalgae as it investigates the by-products of algal biodiesel production and algal cell hydrolysis as possible raw materials (lipids and carbohydrates) and organic carbon substrates (soluble carbohydrates and glycerol) for mixotrophic cultivation of microalgae.","author":[{"dropping-particle":"","family":"Kong","given":"Wei Bao","non-dropping-particle":"","parse-names":false,"suffix":""},{"dropping-particle":"","family":"Yang","given":"Hong","non-dropping-particle":"","parse-names":false,"suffix":""},{"dropping-particle":"","family":"Cao","given":"Yun Tao","non-dropping-particle":"","parse-names":false,"suffix":""},{"dropping-particle":"","family":"Song","given":"Hao","non-dropping-particle":"","parse-names":false,"suffix":""},{"dropping-particle":"","family":"Hua","given":"Shao Feng","non-dropping-particle":"","parse-names":false,"suffix":""},{"dropping-particle":"","family":"Xia","given":"Chun Gu","non-dropping-particle":"","parse-names":false,"suffix":""}],"container-title":"Food Technology and Biotechnology","id":"ITEM-1","issue":"1","issued":{"date-parts":[["2013"]]},"page":"62-69","title":"Effect of glycerol and glucose on the enhancement of biomass, lipid and soluble carbohydrate production by Chlorella vulgaris in mixotrophic culture","type":"article-journal","volume":"51"},"uris":["http://www.mendeley.com/documents/?uuid=07a1173c-ee0f-454e-b65c-69aa35ea2be6"]}],"mendeley":{"formattedCitation":"(Kong et al., 2013)","plainTextFormattedCitation":"(Kong et al., 2013)","previouslyFormattedCitation":"(Kong et al., 2013)"},"properties":{"noteIndex":0},"schema":"https://github.com/citation-style-language/schema/raw/master/csl-citation.json"}</w:instrText>
      </w:r>
      <w:r w:rsidR="00702325">
        <w:rPr>
          <w:rFonts w:cs="Arial"/>
          <w:lang w:val="en-GB"/>
        </w:rPr>
        <w:fldChar w:fldCharType="separate"/>
      </w:r>
      <w:r w:rsidR="006A5850" w:rsidRPr="006A5850">
        <w:rPr>
          <w:rFonts w:cs="Arial"/>
          <w:noProof/>
          <w:lang w:val="en-GB"/>
        </w:rPr>
        <w:t>(Kong et al., 2013)</w:t>
      </w:r>
      <w:r w:rsidR="00702325">
        <w:rPr>
          <w:rFonts w:cs="Arial"/>
          <w:lang w:val="en-GB"/>
        </w:rPr>
        <w:fldChar w:fldCharType="end"/>
      </w:r>
      <w:r w:rsidR="00702325">
        <w:rPr>
          <w:rFonts w:cs="Arial"/>
          <w:lang w:val="en-GB"/>
        </w:rPr>
        <w:t>.</w:t>
      </w:r>
    </w:p>
    <w:p w14:paraId="2C06ACF2" w14:textId="17259A0E" w:rsidR="00702325" w:rsidRDefault="00702325" w:rsidP="00463326">
      <w:pPr>
        <w:pStyle w:val="CETBodytext"/>
        <w:rPr>
          <w:rFonts w:cs="Arial"/>
          <w:lang w:val="en-GB"/>
        </w:rPr>
      </w:pPr>
    </w:p>
    <w:p w14:paraId="1893D245" w14:textId="505EBF7D" w:rsidR="00702325" w:rsidRDefault="00AB4E69" w:rsidP="00702325">
      <w:pPr>
        <w:pStyle w:val="CETBodytext"/>
        <w:jc w:val="center"/>
        <w:rPr>
          <w:rFonts w:cs="Arial"/>
          <w:lang w:val="en-GB"/>
        </w:rPr>
      </w:pPr>
      <w:r>
        <w:rPr>
          <w:rFonts w:cs="Arial"/>
          <w:noProof/>
          <w:lang w:val="it-IT" w:eastAsia="it-IT"/>
        </w:rPr>
        <w:lastRenderedPageBreak/>
        <w:drawing>
          <wp:inline distT="0" distB="0" distL="0" distR="0" wp14:anchorId="1B8CB940" wp14:editId="2DA585CE">
            <wp:extent cx="5075016" cy="2834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5016" cy="2834640"/>
                    </a:xfrm>
                    <a:prstGeom prst="rect">
                      <a:avLst/>
                    </a:prstGeom>
                    <a:noFill/>
                  </pic:spPr>
                </pic:pic>
              </a:graphicData>
            </a:graphic>
          </wp:inline>
        </w:drawing>
      </w:r>
    </w:p>
    <w:p w14:paraId="0500BC09" w14:textId="71A171BE" w:rsidR="00702325" w:rsidRPr="00702325" w:rsidRDefault="00702325" w:rsidP="00702325">
      <w:pPr>
        <w:pStyle w:val="CETCaption"/>
        <w:jc w:val="center"/>
      </w:pPr>
      <w:bookmarkStart w:id="1" w:name="_Hlk35429199"/>
      <w:r w:rsidRPr="00B57B36">
        <w:t xml:space="preserve">Figure </w:t>
      </w:r>
      <w:r w:rsidR="005F0FFE">
        <w:t>2</w:t>
      </w:r>
      <w:r w:rsidRPr="00B57B36">
        <w:t xml:space="preserve">: </w:t>
      </w:r>
      <w:r w:rsidR="0018080D">
        <w:t>Chlorella</w:t>
      </w:r>
      <w:r>
        <w:t xml:space="preserve"> Vulgaris biomass </w:t>
      </w:r>
      <w:r w:rsidR="000836F2">
        <w:t xml:space="preserve">concentration </w:t>
      </w:r>
      <w:r>
        <w:t>during the different stages.</w:t>
      </w:r>
    </w:p>
    <w:p w14:paraId="179C9B98" w14:textId="3870671C" w:rsidR="007C3AC9" w:rsidRPr="00534AF2" w:rsidRDefault="000D4ADE" w:rsidP="00C51558">
      <w:pPr>
        <w:pStyle w:val="CETheadingx"/>
      </w:pPr>
      <w:bookmarkStart w:id="2" w:name="_Hlk36462578"/>
      <w:bookmarkEnd w:id="1"/>
      <w:r>
        <w:t xml:space="preserve">Influence of </w:t>
      </w:r>
      <w:r w:rsidR="00702325">
        <w:t>CO</w:t>
      </w:r>
      <w:r w:rsidR="00702325" w:rsidRPr="00702325">
        <w:rPr>
          <w:vertAlign w:val="subscript"/>
        </w:rPr>
        <w:t>2</w:t>
      </w:r>
      <w:r w:rsidR="00702325">
        <w:t xml:space="preserve"> </w:t>
      </w:r>
      <w:r>
        <w:t xml:space="preserve">on </w:t>
      </w:r>
      <w:r w:rsidR="00F948F9">
        <w:t xml:space="preserve">TSS, </w:t>
      </w:r>
      <w:r>
        <w:t>pH and dissolved oxygen</w:t>
      </w:r>
    </w:p>
    <w:bookmarkEnd w:id="2"/>
    <w:p w14:paraId="03F46CC1" w14:textId="3DABE8A2" w:rsidR="00C51558" w:rsidRDefault="00EA54A0" w:rsidP="0045796F">
      <w:pPr>
        <w:pStyle w:val="CETBodytext"/>
        <w:spacing w:line="240" w:lineRule="auto"/>
        <w:rPr>
          <w:lang w:val="en-GB"/>
        </w:rPr>
      </w:pPr>
      <w:r w:rsidRPr="00EA54A0">
        <w:rPr>
          <w:lang w:val="en-GB"/>
        </w:rPr>
        <w:t>Changing</w:t>
      </w:r>
      <w:r>
        <w:rPr>
          <w:lang w:val="en-GB"/>
        </w:rPr>
        <w:t xml:space="preserve"> </w:t>
      </w:r>
      <w:r w:rsidRPr="00EA54A0">
        <w:rPr>
          <w:lang w:val="en-GB"/>
        </w:rPr>
        <w:t>the pH caused precipitation of dissolved salts and reduce the accessibility</w:t>
      </w:r>
      <w:r>
        <w:rPr>
          <w:lang w:val="en-GB"/>
        </w:rPr>
        <w:t xml:space="preserve"> </w:t>
      </w:r>
      <w:r w:rsidRPr="00EA54A0">
        <w:rPr>
          <w:lang w:val="en-GB"/>
        </w:rPr>
        <w:t>of nutrients for the microalgae cells.</w:t>
      </w:r>
      <w:r w:rsidR="00E06194">
        <w:rPr>
          <w:lang w:val="en-GB"/>
        </w:rPr>
        <w:t xml:space="preserve"> Different CO</w:t>
      </w:r>
      <w:r w:rsidR="00E06194" w:rsidRPr="007F1058">
        <w:rPr>
          <w:vertAlign w:val="subscript"/>
          <w:lang w:val="en-GB"/>
        </w:rPr>
        <w:t>2</w:t>
      </w:r>
      <w:r w:rsidR="00E06194">
        <w:rPr>
          <w:lang w:val="en-GB"/>
        </w:rPr>
        <w:t xml:space="preserve"> concentration have been</w:t>
      </w:r>
      <w:r w:rsidR="007F1058">
        <w:rPr>
          <w:lang w:val="en-GB"/>
        </w:rPr>
        <w:t xml:space="preserve"> used.</w:t>
      </w:r>
      <w:r w:rsidR="00E06194">
        <w:rPr>
          <w:lang w:val="en-GB"/>
        </w:rPr>
        <w:t xml:space="preserve"> </w:t>
      </w:r>
      <w:r w:rsidRPr="00EA54A0">
        <w:rPr>
          <w:lang w:val="en-GB"/>
        </w:rPr>
        <w:t xml:space="preserve"> </w:t>
      </w:r>
      <w:r w:rsidR="007C3AC9">
        <w:rPr>
          <w:lang w:val="en-GB"/>
        </w:rPr>
        <w:t>In Fig</w:t>
      </w:r>
      <w:r w:rsidR="00594FD2">
        <w:rPr>
          <w:lang w:val="en-GB"/>
        </w:rPr>
        <w:t xml:space="preserve">ure </w:t>
      </w:r>
      <w:r w:rsidR="005F0FFE">
        <w:rPr>
          <w:lang w:val="en-GB"/>
        </w:rPr>
        <w:t>3</w:t>
      </w:r>
      <w:r w:rsidRPr="00EA54A0">
        <w:rPr>
          <w:lang w:val="en-GB"/>
        </w:rPr>
        <w:t xml:space="preserve"> the pH versus time </w:t>
      </w:r>
      <w:r w:rsidR="007C3AC9">
        <w:rPr>
          <w:lang w:val="en-GB"/>
        </w:rPr>
        <w:t>is plotted during the four different stages</w:t>
      </w:r>
      <w:r w:rsidRPr="00EA54A0">
        <w:rPr>
          <w:lang w:val="en-GB"/>
        </w:rPr>
        <w:t xml:space="preserve">, and </w:t>
      </w:r>
      <w:r w:rsidR="007C3AC9">
        <w:rPr>
          <w:lang w:val="en-GB"/>
        </w:rPr>
        <w:t xml:space="preserve">as it can be seen, at higher microalgae biomass the pH increase. </w:t>
      </w:r>
      <w:r w:rsidR="00F77F76">
        <w:rPr>
          <w:lang w:val="en-GB"/>
        </w:rPr>
        <w:t>Also,</w:t>
      </w:r>
      <w:r w:rsidR="007C3AC9">
        <w:rPr>
          <w:lang w:val="en-GB"/>
        </w:rPr>
        <w:t xml:space="preserve"> after the weekend, when the feeding of CO</w:t>
      </w:r>
      <w:r w:rsidR="007C3AC9" w:rsidRPr="007C3AC9">
        <w:rPr>
          <w:vertAlign w:val="subscript"/>
          <w:lang w:val="en-GB"/>
        </w:rPr>
        <w:t>2</w:t>
      </w:r>
      <w:r w:rsidR="007C3AC9">
        <w:rPr>
          <w:lang w:val="en-GB"/>
        </w:rPr>
        <w:t xml:space="preserve"> is suspended, the pH increased. It confirmed that </w:t>
      </w:r>
      <w:r w:rsidR="00C51558" w:rsidRPr="00C51558">
        <w:rPr>
          <w:lang w:val="en-GB"/>
        </w:rPr>
        <w:t xml:space="preserve">the </w:t>
      </w:r>
      <w:r w:rsidR="007C3AC9">
        <w:rPr>
          <w:lang w:val="en-GB"/>
        </w:rPr>
        <w:t>high</w:t>
      </w:r>
      <w:r w:rsidR="00C51558" w:rsidRPr="00C51558">
        <w:rPr>
          <w:lang w:val="en-GB"/>
        </w:rPr>
        <w:t xml:space="preserve"> supplied CO</w:t>
      </w:r>
      <w:r w:rsidR="00C51558" w:rsidRPr="007C3AC9">
        <w:rPr>
          <w:vertAlign w:val="subscript"/>
          <w:lang w:val="en-GB"/>
        </w:rPr>
        <w:t>2</w:t>
      </w:r>
      <w:r w:rsidR="00C51558" w:rsidRPr="00C51558">
        <w:rPr>
          <w:lang w:val="en-GB"/>
        </w:rPr>
        <w:t xml:space="preserve"> might not have been</w:t>
      </w:r>
      <w:r w:rsidR="00C51558">
        <w:rPr>
          <w:lang w:val="en-GB"/>
        </w:rPr>
        <w:t xml:space="preserve"> </w:t>
      </w:r>
      <w:r w:rsidR="00C51558" w:rsidRPr="00C51558">
        <w:rPr>
          <w:lang w:val="en-GB"/>
        </w:rPr>
        <w:t>efficiently used by the microalga cells</w:t>
      </w:r>
      <w:r w:rsidR="007C3AC9">
        <w:rPr>
          <w:lang w:val="en-GB"/>
        </w:rPr>
        <w:t xml:space="preserve"> and it can be </w:t>
      </w:r>
      <w:r w:rsidR="00F77F76">
        <w:rPr>
          <w:lang w:val="en-GB"/>
        </w:rPr>
        <w:t>led</w:t>
      </w:r>
      <w:r w:rsidR="007C3AC9">
        <w:rPr>
          <w:lang w:val="en-GB"/>
        </w:rPr>
        <w:t xml:space="preserve"> to an acidification of the culture medium</w:t>
      </w:r>
      <w:r w:rsidR="00C51558" w:rsidRPr="00C51558">
        <w:rPr>
          <w:lang w:val="en-GB"/>
        </w:rPr>
        <w:t>. Therefore,</w:t>
      </w:r>
      <w:r w:rsidR="007C3AC9">
        <w:rPr>
          <w:lang w:val="en-GB"/>
        </w:rPr>
        <w:t xml:space="preserve"> lower</w:t>
      </w:r>
      <w:r w:rsidR="00C51558" w:rsidRPr="00C51558">
        <w:rPr>
          <w:lang w:val="en-GB"/>
        </w:rPr>
        <w:t xml:space="preserve"> CO</w:t>
      </w:r>
      <w:r w:rsidR="00C51558" w:rsidRPr="007C3AC9">
        <w:rPr>
          <w:vertAlign w:val="subscript"/>
          <w:lang w:val="en-GB"/>
        </w:rPr>
        <w:t>2</w:t>
      </w:r>
      <w:r w:rsidR="00C51558" w:rsidRPr="00C51558">
        <w:rPr>
          <w:lang w:val="en-GB"/>
        </w:rPr>
        <w:t xml:space="preserve"> levels</w:t>
      </w:r>
      <w:r w:rsidR="007C3AC9">
        <w:rPr>
          <w:lang w:val="en-GB"/>
        </w:rPr>
        <w:t xml:space="preserve"> can be a limitation factors for the growth of the algae. </w:t>
      </w:r>
      <w:r w:rsidR="00C51558" w:rsidRPr="00C51558">
        <w:rPr>
          <w:lang w:val="en-GB"/>
        </w:rPr>
        <w:t>The</w:t>
      </w:r>
      <w:r w:rsidR="00C51558">
        <w:rPr>
          <w:lang w:val="en-GB"/>
        </w:rPr>
        <w:t xml:space="preserve"> </w:t>
      </w:r>
      <w:r w:rsidR="00C51558" w:rsidRPr="00C51558">
        <w:rPr>
          <w:lang w:val="en-GB"/>
        </w:rPr>
        <w:t>final biomass concentration and maximum biomass productivity of</w:t>
      </w:r>
      <w:r w:rsidR="00C51558">
        <w:rPr>
          <w:lang w:val="en-GB"/>
        </w:rPr>
        <w:t xml:space="preserve"> </w:t>
      </w:r>
      <w:r w:rsidR="00C51558" w:rsidRPr="007C3AC9">
        <w:rPr>
          <w:i/>
          <w:iCs/>
          <w:lang w:val="en-GB"/>
        </w:rPr>
        <w:t>Chlorella vulgaris</w:t>
      </w:r>
      <w:r w:rsidR="00C51558" w:rsidRPr="00C51558">
        <w:rPr>
          <w:lang w:val="en-GB"/>
        </w:rPr>
        <w:t xml:space="preserve"> were also significantly influenced by the CO</w:t>
      </w:r>
      <w:r w:rsidR="00C51558" w:rsidRPr="007C3AC9">
        <w:rPr>
          <w:vertAlign w:val="subscript"/>
          <w:lang w:val="en-GB"/>
        </w:rPr>
        <w:t>2</w:t>
      </w:r>
      <w:r w:rsidR="00C51558" w:rsidRPr="00C51558">
        <w:rPr>
          <w:lang w:val="en-GB"/>
        </w:rPr>
        <w:t xml:space="preserve"> concentration</w:t>
      </w:r>
      <w:r w:rsidR="00C51558">
        <w:rPr>
          <w:lang w:val="en-GB"/>
        </w:rPr>
        <w:t xml:space="preserve"> </w:t>
      </w:r>
      <w:r w:rsidR="00C51558" w:rsidRPr="00C51558">
        <w:rPr>
          <w:lang w:val="en-GB"/>
        </w:rPr>
        <w:t>supplied into the photo-bioreactor</w:t>
      </w:r>
      <w:r w:rsidR="00534AF2">
        <w:rPr>
          <w:lang w:val="en-GB"/>
        </w:rPr>
        <w:t>. In fact,</w:t>
      </w:r>
      <w:r w:rsidR="007C3AC9">
        <w:rPr>
          <w:lang w:val="en-GB"/>
        </w:rPr>
        <w:t xml:space="preserve"> </w:t>
      </w:r>
      <w:r w:rsidR="00F948F9">
        <w:rPr>
          <w:lang w:val="en-GB"/>
        </w:rPr>
        <w:t xml:space="preserve">as can be seen in Figure </w:t>
      </w:r>
      <w:r w:rsidR="005F0FFE">
        <w:rPr>
          <w:lang w:val="en-GB"/>
        </w:rPr>
        <w:t>2</w:t>
      </w:r>
      <w:r w:rsidR="00F948F9">
        <w:rPr>
          <w:lang w:val="en-GB"/>
        </w:rPr>
        <w:t xml:space="preserve">, </w:t>
      </w:r>
      <w:r w:rsidR="007C3AC9">
        <w:rPr>
          <w:lang w:val="en-GB"/>
        </w:rPr>
        <w:t>the faster growth in the last two stages (III and IV)</w:t>
      </w:r>
      <w:r w:rsidR="007C3AC9" w:rsidRPr="007C3AC9">
        <w:rPr>
          <w:lang w:val="en-GB"/>
        </w:rPr>
        <w:t xml:space="preserve"> could be related to the increased availability of carbon as a result of the higher dissolved inorganic carbon</w:t>
      </w:r>
      <w:r w:rsidR="007C3AC9">
        <w:rPr>
          <w:lang w:val="en-GB"/>
        </w:rPr>
        <w:t xml:space="preserve"> (</w:t>
      </w:r>
      <w:r w:rsidR="007C3AC9" w:rsidRPr="007C3AC9">
        <w:rPr>
          <w:lang w:val="en-GB"/>
        </w:rPr>
        <w:t>CO</w:t>
      </w:r>
      <w:r w:rsidR="007C3AC9" w:rsidRPr="007C3AC9">
        <w:rPr>
          <w:vertAlign w:val="subscript"/>
          <w:lang w:val="en-GB"/>
        </w:rPr>
        <w:t>2</w:t>
      </w:r>
      <w:r w:rsidR="007C3AC9" w:rsidRPr="007C3AC9">
        <w:rPr>
          <w:lang w:val="en-GB"/>
        </w:rPr>
        <w:t>,</w:t>
      </w:r>
      <w:r w:rsidR="007C3AC9">
        <w:rPr>
          <w:lang w:val="en-GB"/>
        </w:rPr>
        <w:t xml:space="preserve"> </w:t>
      </w:r>
      <w:r w:rsidR="007C3AC9" w:rsidRPr="007C3AC9">
        <w:rPr>
          <w:lang w:val="en-GB"/>
        </w:rPr>
        <w:t>H</w:t>
      </w:r>
      <w:r w:rsidR="007C3AC9" w:rsidRPr="007C3AC9">
        <w:rPr>
          <w:vertAlign w:val="subscript"/>
          <w:lang w:val="en-GB"/>
        </w:rPr>
        <w:t>2</w:t>
      </w:r>
      <w:r w:rsidR="007C3AC9" w:rsidRPr="007C3AC9">
        <w:rPr>
          <w:lang w:val="en-GB"/>
        </w:rPr>
        <w:t>CO</w:t>
      </w:r>
      <w:r w:rsidR="007C3AC9" w:rsidRPr="007C3AC9">
        <w:rPr>
          <w:vertAlign w:val="subscript"/>
          <w:lang w:val="en-GB"/>
        </w:rPr>
        <w:t>3</w:t>
      </w:r>
      <w:r w:rsidR="007C3AC9" w:rsidRPr="007C3AC9">
        <w:rPr>
          <w:lang w:val="en-GB"/>
        </w:rPr>
        <w:t>, HCO</w:t>
      </w:r>
      <w:r w:rsidR="007C3AC9" w:rsidRPr="007C3AC9">
        <w:rPr>
          <w:vertAlign w:val="subscript"/>
          <w:lang w:val="en-GB"/>
        </w:rPr>
        <w:t>3</w:t>
      </w:r>
      <w:r w:rsidR="007C3AC9" w:rsidRPr="007C3AC9">
        <w:rPr>
          <w:vertAlign w:val="superscript"/>
          <w:lang w:val="en-GB"/>
        </w:rPr>
        <w:t>-</w:t>
      </w:r>
      <w:r w:rsidR="007C3AC9">
        <w:rPr>
          <w:vertAlign w:val="superscript"/>
          <w:lang w:val="en-GB"/>
        </w:rPr>
        <w:t xml:space="preserve"> </w:t>
      </w:r>
      <w:r w:rsidR="007C3AC9" w:rsidRPr="007C3AC9">
        <w:rPr>
          <w:lang w:val="en-GB"/>
        </w:rPr>
        <w:t>and CO</w:t>
      </w:r>
      <w:r w:rsidR="007C3AC9" w:rsidRPr="007C3AC9">
        <w:rPr>
          <w:vertAlign w:val="subscript"/>
          <w:lang w:val="en-GB"/>
        </w:rPr>
        <w:t>3</w:t>
      </w:r>
      <w:r w:rsidR="007C3AC9" w:rsidRPr="007C3AC9">
        <w:rPr>
          <w:vertAlign w:val="superscript"/>
          <w:lang w:val="en-GB"/>
        </w:rPr>
        <w:t>2-</w:t>
      </w:r>
      <w:r w:rsidR="007C3AC9">
        <w:rPr>
          <w:lang w:val="en-GB"/>
        </w:rPr>
        <w:t xml:space="preserve">) </w:t>
      </w:r>
      <w:r w:rsidR="007C3AC9" w:rsidRPr="007C3AC9">
        <w:rPr>
          <w:lang w:val="en-GB"/>
        </w:rPr>
        <w:t>concentration.</w:t>
      </w:r>
      <w:r w:rsidR="000D4ADE">
        <w:rPr>
          <w:lang w:val="en-GB"/>
        </w:rPr>
        <w:t xml:space="preserve"> </w:t>
      </w:r>
      <w:r w:rsidR="00F948F9" w:rsidRPr="00F948F9">
        <w:rPr>
          <w:lang w:val="en-GB"/>
        </w:rPr>
        <w:t xml:space="preserve">The DO slightly increased in the </w:t>
      </w:r>
      <w:r w:rsidR="00F948F9">
        <w:rPr>
          <w:lang w:val="en-GB"/>
        </w:rPr>
        <w:t>Stages III and IV</w:t>
      </w:r>
      <w:r w:rsidR="00696B63">
        <w:rPr>
          <w:lang w:val="en-GB"/>
        </w:rPr>
        <w:t xml:space="preserve"> reaching value of 8.5 mg l</w:t>
      </w:r>
      <w:r w:rsidR="00696B63" w:rsidRPr="00696B63">
        <w:rPr>
          <w:vertAlign w:val="superscript"/>
          <w:lang w:val="en-GB"/>
        </w:rPr>
        <w:t>-1</w:t>
      </w:r>
      <w:r w:rsidR="00F948F9" w:rsidRPr="00F948F9">
        <w:rPr>
          <w:lang w:val="en-GB"/>
        </w:rPr>
        <w:t xml:space="preserve">, </w:t>
      </w:r>
      <w:r w:rsidR="00F948F9">
        <w:rPr>
          <w:lang w:val="en-GB"/>
        </w:rPr>
        <w:t xml:space="preserve">this can be explained thanks to the boosted in the </w:t>
      </w:r>
      <w:r w:rsidR="00F948F9" w:rsidRPr="00F948F9">
        <w:rPr>
          <w:lang w:val="en-GB"/>
        </w:rPr>
        <w:t xml:space="preserve">biomass </w:t>
      </w:r>
      <w:r w:rsidR="00F948F9">
        <w:rPr>
          <w:lang w:val="en-GB"/>
        </w:rPr>
        <w:t>production</w:t>
      </w:r>
      <w:r w:rsidR="00696B63">
        <w:rPr>
          <w:lang w:val="en-GB"/>
        </w:rPr>
        <w:t>.</w:t>
      </w:r>
      <w:r w:rsidR="00F948F9">
        <w:rPr>
          <w:lang w:val="en-GB"/>
        </w:rPr>
        <w:t xml:space="preserve"> </w:t>
      </w:r>
      <w:r w:rsidR="00696B63">
        <w:rPr>
          <w:lang w:val="en-GB"/>
        </w:rPr>
        <w:t>M</w:t>
      </w:r>
      <w:r w:rsidR="00F948F9" w:rsidRPr="00F948F9">
        <w:rPr>
          <w:lang w:val="en-GB"/>
        </w:rPr>
        <w:t>icroalgal cells</w:t>
      </w:r>
      <w:r w:rsidR="00696B63">
        <w:rPr>
          <w:lang w:val="en-GB"/>
        </w:rPr>
        <w:t xml:space="preserve"> </w:t>
      </w:r>
      <w:r w:rsidR="00F948F9" w:rsidRPr="00F948F9">
        <w:rPr>
          <w:lang w:val="en-GB"/>
        </w:rPr>
        <w:t>consumed more CO</w:t>
      </w:r>
      <w:r w:rsidR="00F948F9" w:rsidRPr="00F948F9">
        <w:rPr>
          <w:vertAlign w:val="subscript"/>
          <w:lang w:val="en-GB"/>
        </w:rPr>
        <w:t>2</w:t>
      </w:r>
      <w:r w:rsidR="00F948F9" w:rsidRPr="00F948F9">
        <w:rPr>
          <w:lang w:val="en-GB"/>
        </w:rPr>
        <w:t xml:space="preserve"> as </w:t>
      </w:r>
      <w:r w:rsidR="00696B63">
        <w:rPr>
          <w:lang w:val="en-GB"/>
        </w:rPr>
        <w:t xml:space="preserve">inorganic </w:t>
      </w:r>
      <w:r w:rsidR="00F948F9" w:rsidRPr="00F948F9">
        <w:rPr>
          <w:lang w:val="en-GB"/>
        </w:rPr>
        <w:t xml:space="preserve">carbon source and </w:t>
      </w:r>
      <w:r w:rsidR="00696B63" w:rsidRPr="00F948F9">
        <w:rPr>
          <w:lang w:val="en-GB"/>
        </w:rPr>
        <w:t>produced</w:t>
      </w:r>
      <w:r w:rsidR="00F948F9" w:rsidRPr="00F948F9">
        <w:rPr>
          <w:lang w:val="en-GB"/>
        </w:rPr>
        <w:t xml:space="preserve"> more </w:t>
      </w:r>
      <w:r w:rsidR="00696B63">
        <w:rPr>
          <w:lang w:val="en-GB"/>
        </w:rPr>
        <w:t xml:space="preserve">oxygen </w:t>
      </w:r>
      <w:r w:rsidR="00F948F9" w:rsidRPr="00F948F9">
        <w:rPr>
          <w:lang w:val="en-GB"/>
        </w:rPr>
        <w:t xml:space="preserve">as </w:t>
      </w:r>
      <w:r w:rsidR="00696B63">
        <w:rPr>
          <w:lang w:val="en-GB"/>
        </w:rPr>
        <w:t>by-</w:t>
      </w:r>
      <w:r w:rsidR="00F948F9" w:rsidRPr="00F948F9">
        <w:rPr>
          <w:lang w:val="en-GB"/>
        </w:rPr>
        <w:t>product of photosynthesis.</w:t>
      </w:r>
    </w:p>
    <w:p w14:paraId="3ADF358E" w14:textId="20166AF8" w:rsidR="00C51558" w:rsidRDefault="00C51558" w:rsidP="00C51558">
      <w:pPr>
        <w:pStyle w:val="CETBodytext"/>
        <w:rPr>
          <w:lang w:val="en-GB"/>
        </w:rPr>
      </w:pPr>
    </w:p>
    <w:p w14:paraId="17127287" w14:textId="67BCE97F" w:rsidR="00C51558" w:rsidRDefault="005E4958" w:rsidP="00E43183">
      <w:pPr>
        <w:pStyle w:val="CETBodytext"/>
        <w:jc w:val="center"/>
        <w:rPr>
          <w:lang w:val="en-GB"/>
        </w:rPr>
      </w:pPr>
      <w:r>
        <w:rPr>
          <w:noProof/>
          <w:lang w:val="it-IT" w:eastAsia="it-IT"/>
        </w:rPr>
        <w:drawing>
          <wp:inline distT="0" distB="0" distL="0" distR="0" wp14:anchorId="43F26E48" wp14:editId="3F3D3D5F">
            <wp:extent cx="5088453" cy="2834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8453" cy="2834640"/>
                    </a:xfrm>
                    <a:prstGeom prst="rect">
                      <a:avLst/>
                    </a:prstGeom>
                    <a:noFill/>
                  </pic:spPr>
                </pic:pic>
              </a:graphicData>
            </a:graphic>
          </wp:inline>
        </w:drawing>
      </w:r>
    </w:p>
    <w:p w14:paraId="4916FEC8" w14:textId="6A73EB26" w:rsidR="00E43183" w:rsidRDefault="00E43183" w:rsidP="00534AF2">
      <w:pPr>
        <w:pStyle w:val="CETCaption"/>
        <w:jc w:val="center"/>
      </w:pPr>
      <w:r w:rsidRPr="00B57B36">
        <w:t xml:space="preserve">Figure </w:t>
      </w:r>
      <w:r w:rsidR="005F0FFE">
        <w:t>3</w:t>
      </w:r>
      <w:r w:rsidRPr="00B57B36">
        <w:t>:</w:t>
      </w:r>
      <w:r>
        <w:t xml:space="preserve"> </w:t>
      </w:r>
      <w:r w:rsidR="0018080D">
        <w:t>Time course of DO and pH during the different stages.</w:t>
      </w:r>
    </w:p>
    <w:p w14:paraId="479E91F1" w14:textId="6FD42997" w:rsidR="00F948F9" w:rsidRPr="00F948F9" w:rsidRDefault="00F948F9" w:rsidP="00F46A80">
      <w:pPr>
        <w:pStyle w:val="CETheadingx"/>
      </w:pPr>
      <w:r>
        <w:lastRenderedPageBreak/>
        <w:t>CO</w:t>
      </w:r>
      <w:r w:rsidRPr="00702325">
        <w:rPr>
          <w:vertAlign w:val="subscript"/>
        </w:rPr>
        <w:t>2</w:t>
      </w:r>
      <w:r>
        <w:t xml:space="preserve"> removal</w:t>
      </w:r>
      <w:r w:rsidR="00696B63">
        <w:t xml:space="preserve"> </w:t>
      </w:r>
    </w:p>
    <w:p w14:paraId="2E7115BE" w14:textId="6F9773BF" w:rsidR="00F46A80" w:rsidRPr="00F46A80" w:rsidRDefault="00F46A80" w:rsidP="0045796F">
      <w:pPr>
        <w:pStyle w:val="CETBodytext"/>
        <w:spacing w:line="240" w:lineRule="auto"/>
        <w:rPr>
          <w:lang w:val="en-GB"/>
        </w:rPr>
      </w:pPr>
      <w:r w:rsidRPr="007F1058">
        <w:rPr>
          <w:bCs/>
          <w:lang w:val="en-GB"/>
        </w:rPr>
        <w:t>Fig</w:t>
      </w:r>
      <w:r w:rsidR="00594FD2">
        <w:rPr>
          <w:bCs/>
          <w:lang w:val="en-GB"/>
        </w:rPr>
        <w:t xml:space="preserve">ure </w:t>
      </w:r>
      <w:r w:rsidR="005F0FFE">
        <w:rPr>
          <w:bCs/>
          <w:lang w:val="en-GB"/>
        </w:rPr>
        <w:t>4</w:t>
      </w:r>
      <w:r w:rsidR="00941837" w:rsidRPr="007F1058">
        <w:rPr>
          <w:bCs/>
          <w:lang w:val="en-GB"/>
        </w:rPr>
        <w:t xml:space="preserve"> </w:t>
      </w:r>
      <w:r w:rsidRPr="007F1058">
        <w:rPr>
          <w:bCs/>
          <w:lang w:val="en-GB"/>
        </w:rPr>
        <w:t>reports the</w:t>
      </w:r>
      <w:r w:rsidRPr="007F1058">
        <w:rPr>
          <w:lang w:val="en-GB"/>
        </w:rPr>
        <w:t xml:space="preserve"> </w:t>
      </w:r>
      <w:r w:rsidRPr="00534AF2">
        <w:rPr>
          <w:lang w:val="en-GB"/>
        </w:rPr>
        <w:t>results in terms</w:t>
      </w:r>
      <w:r w:rsidR="009E743D">
        <w:rPr>
          <w:lang w:val="en-GB"/>
        </w:rPr>
        <w:t xml:space="preserve"> </w:t>
      </w:r>
      <w:r w:rsidRPr="00534AF2">
        <w:rPr>
          <w:lang w:val="en-GB"/>
        </w:rPr>
        <w:t xml:space="preserve">of elimination capacity (EC) and removal efficiency (RE) as function of the inlet load of </w:t>
      </w:r>
      <w:r>
        <w:rPr>
          <w:lang w:val="en-GB"/>
        </w:rPr>
        <w:t>CO</w:t>
      </w:r>
      <w:r w:rsidRPr="00534AF2">
        <w:rPr>
          <w:vertAlign w:val="subscript"/>
          <w:lang w:val="en-GB"/>
        </w:rPr>
        <w:t>2</w:t>
      </w:r>
      <w:r w:rsidRPr="00534AF2">
        <w:rPr>
          <w:lang w:val="en-GB"/>
        </w:rPr>
        <w:t xml:space="preserve"> (IL) during the whole operation period. </w:t>
      </w:r>
    </w:p>
    <w:p w14:paraId="0745CE48" w14:textId="5F8CB146" w:rsidR="005E4958" w:rsidRPr="00702325" w:rsidRDefault="005E4958" w:rsidP="005E4958">
      <w:pPr>
        <w:pStyle w:val="CETCaption"/>
        <w:jc w:val="center"/>
      </w:pPr>
      <w:r>
        <w:rPr>
          <w:noProof/>
          <w:lang w:val="it-IT" w:eastAsia="it-IT"/>
        </w:rPr>
        <w:drawing>
          <wp:inline distT="0" distB="0" distL="0" distR="0" wp14:anchorId="5EAA71FB" wp14:editId="0764D94A">
            <wp:extent cx="5088447" cy="2834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8447" cy="2834640"/>
                    </a:xfrm>
                    <a:prstGeom prst="rect">
                      <a:avLst/>
                    </a:prstGeom>
                    <a:noFill/>
                  </pic:spPr>
                </pic:pic>
              </a:graphicData>
            </a:graphic>
          </wp:inline>
        </w:drawing>
      </w:r>
    </w:p>
    <w:p w14:paraId="0A3D34A3" w14:textId="3402FFB4" w:rsidR="00E43183" w:rsidRDefault="00E43183" w:rsidP="00E43183">
      <w:pPr>
        <w:pStyle w:val="CETCaption"/>
        <w:jc w:val="center"/>
      </w:pPr>
      <w:r w:rsidRPr="00B57B36">
        <w:t xml:space="preserve">Figure </w:t>
      </w:r>
      <w:r w:rsidR="005F0FFE">
        <w:t>4</w:t>
      </w:r>
      <w:r w:rsidRPr="00B57B36">
        <w:t xml:space="preserve">: </w:t>
      </w:r>
      <w:r w:rsidR="0018080D">
        <w:t>Time course of RE, IL and EC of CO</w:t>
      </w:r>
      <w:r w:rsidR="0018080D" w:rsidRPr="000836F2">
        <w:rPr>
          <w:vertAlign w:val="subscript"/>
        </w:rPr>
        <w:t>2</w:t>
      </w:r>
      <w:r w:rsidR="0018080D">
        <w:t xml:space="preserve"> during the different stages.</w:t>
      </w:r>
    </w:p>
    <w:p w14:paraId="6177E628" w14:textId="2EA7D0AD" w:rsidR="00534AF2" w:rsidRPr="00E06194" w:rsidRDefault="00534AF2" w:rsidP="0045796F">
      <w:pPr>
        <w:pStyle w:val="CETBodytext"/>
        <w:spacing w:line="240" w:lineRule="auto"/>
        <w:rPr>
          <w:lang w:val="en-GB"/>
        </w:rPr>
      </w:pPr>
      <w:r>
        <w:rPr>
          <w:lang w:val="en-GB"/>
        </w:rPr>
        <w:t>During the first (I) and second (II) stage</w:t>
      </w:r>
      <w:r w:rsidRPr="00534AF2">
        <w:rPr>
          <w:lang w:val="en-GB"/>
        </w:rPr>
        <w:t xml:space="preserve">, </w:t>
      </w:r>
      <w:r>
        <w:rPr>
          <w:lang w:val="en-GB"/>
        </w:rPr>
        <w:t>a concentration of 5% of CO</w:t>
      </w:r>
      <w:r w:rsidRPr="00534AF2">
        <w:rPr>
          <w:vertAlign w:val="subscript"/>
          <w:lang w:val="en-GB"/>
        </w:rPr>
        <w:t>2</w:t>
      </w:r>
      <w:r>
        <w:rPr>
          <w:lang w:val="en-GB"/>
        </w:rPr>
        <w:t xml:space="preserve"> was supplied during the acclimation period. </w:t>
      </w:r>
      <w:r w:rsidR="00FC04A0">
        <w:rPr>
          <w:lang w:val="en-GB"/>
        </w:rPr>
        <w:t>As reported in Fig</w:t>
      </w:r>
      <w:r w:rsidR="00D40429">
        <w:rPr>
          <w:lang w:val="en-GB"/>
        </w:rPr>
        <w:t>ure</w:t>
      </w:r>
      <w:r w:rsidR="00FC04A0">
        <w:rPr>
          <w:lang w:val="en-GB"/>
        </w:rPr>
        <w:t xml:space="preserve"> </w:t>
      </w:r>
      <w:r w:rsidR="005F0FFE">
        <w:rPr>
          <w:lang w:val="en-GB"/>
        </w:rPr>
        <w:t>4</w:t>
      </w:r>
      <w:r w:rsidR="00FC04A0">
        <w:rPr>
          <w:lang w:val="en-GB"/>
        </w:rPr>
        <w:t>, d</w:t>
      </w:r>
      <w:r w:rsidRPr="00534AF2">
        <w:rPr>
          <w:lang w:val="en-GB"/>
        </w:rPr>
        <w:t xml:space="preserve">uring the </w:t>
      </w:r>
      <w:r>
        <w:rPr>
          <w:lang w:val="en-GB"/>
        </w:rPr>
        <w:t>third (III) and forth (IV)</w:t>
      </w:r>
      <w:r w:rsidRPr="00534AF2">
        <w:rPr>
          <w:lang w:val="en-GB"/>
        </w:rPr>
        <w:t xml:space="preserve"> stages</w:t>
      </w:r>
      <w:r w:rsidR="00FC04A0">
        <w:rPr>
          <w:bCs/>
          <w:color w:val="000000" w:themeColor="text1"/>
          <w:lang w:val="en-GB"/>
        </w:rPr>
        <w:t xml:space="preserve"> </w:t>
      </w:r>
      <w:r w:rsidRPr="00FC04A0">
        <w:rPr>
          <w:bCs/>
          <w:color w:val="000000" w:themeColor="text1"/>
          <w:lang w:val="en-GB"/>
        </w:rPr>
        <w:t>a</w:t>
      </w:r>
      <w:r w:rsidRPr="00FC04A0">
        <w:rPr>
          <w:color w:val="000000" w:themeColor="text1"/>
          <w:lang w:val="en-GB"/>
        </w:rPr>
        <w:t xml:space="preserve"> </w:t>
      </w:r>
      <w:r>
        <w:rPr>
          <w:lang w:val="en-GB"/>
        </w:rPr>
        <w:t>higher CO</w:t>
      </w:r>
      <w:r w:rsidRPr="00534AF2">
        <w:rPr>
          <w:vertAlign w:val="subscript"/>
          <w:lang w:val="en-GB"/>
        </w:rPr>
        <w:t>2</w:t>
      </w:r>
      <w:r>
        <w:rPr>
          <w:lang w:val="en-GB"/>
        </w:rPr>
        <w:t xml:space="preserve"> concentration was supplied, respectively 10 and 15 %, corresponding to an inlet load (IL) of 35.10 and 52.65 g m</w:t>
      </w:r>
      <w:r w:rsidRPr="00534AF2">
        <w:rPr>
          <w:vertAlign w:val="superscript"/>
          <w:lang w:val="en-GB"/>
        </w:rPr>
        <w:t>-3</w:t>
      </w:r>
      <w:r>
        <w:rPr>
          <w:lang w:val="en-GB"/>
        </w:rPr>
        <w:t>h</w:t>
      </w:r>
      <w:r w:rsidRPr="00534AF2">
        <w:rPr>
          <w:vertAlign w:val="superscript"/>
          <w:lang w:val="en-GB"/>
        </w:rPr>
        <w:t>-1</w:t>
      </w:r>
      <w:r w:rsidR="009E743D">
        <w:rPr>
          <w:lang w:val="en-GB"/>
        </w:rPr>
        <w:t>, respectively</w:t>
      </w:r>
      <w:r w:rsidRPr="00534AF2">
        <w:rPr>
          <w:lang w:val="en-GB"/>
        </w:rPr>
        <w:t>.</w:t>
      </w:r>
      <w:r>
        <w:rPr>
          <w:lang w:val="en-GB"/>
        </w:rPr>
        <w:t xml:space="preserve"> The L/G ratio was adjusted at 10, corresponding to a liquid recirculation from the photo-bioreactor and the vertical adsorption column of 1000 ml min</w:t>
      </w:r>
      <w:r w:rsidRPr="00534AF2">
        <w:rPr>
          <w:vertAlign w:val="superscript"/>
          <w:lang w:val="en-GB"/>
        </w:rPr>
        <w:t>-1</w:t>
      </w:r>
      <w:r>
        <w:rPr>
          <w:lang w:val="en-GB"/>
        </w:rPr>
        <w:t xml:space="preserve"> and a gas flow of 100 ml min</w:t>
      </w:r>
      <w:r w:rsidRPr="00534AF2">
        <w:rPr>
          <w:vertAlign w:val="superscript"/>
          <w:lang w:val="en-GB"/>
        </w:rPr>
        <w:t>-1</w:t>
      </w:r>
      <w:r>
        <w:rPr>
          <w:lang w:val="en-GB"/>
        </w:rPr>
        <w:t xml:space="preserve">. </w:t>
      </w:r>
      <w:r w:rsidRPr="00534AF2">
        <w:rPr>
          <w:lang w:val="en-GB"/>
        </w:rPr>
        <w:t xml:space="preserve">During </w:t>
      </w:r>
      <w:r>
        <w:rPr>
          <w:lang w:val="en-GB"/>
        </w:rPr>
        <w:t>the III stage</w:t>
      </w:r>
      <w:r w:rsidRPr="00534AF2">
        <w:rPr>
          <w:lang w:val="en-GB"/>
        </w:rPr>
        <w:t xml:space="preserve">, for </w:t>
      </w:r>
      <w:r>
        <w:rPr>
          <w:lang w:val="en-GB"/>
        </w:rPr>
        <w:t xml:space="preserve">an </w:t>
      </w:r>
      <w:r w:rsidRPr="00534AF2">
        <w:rPr>
          <w:lang w:val="en-GB"/>
        </w:rPr>
        <w:t xml:space="preserve">IL up to </w:t>
      </w:r>
      <w:r w:rsidR="0058272B">
        <w:rPr>
          <w:lang w:val="en-GB"/>
        </w:rPr>
        <w:t xml:space="preserve">35.10 </w:t>
      </w:r>
      <w:r w:rsidRPr="00534AF2">
        <w:rPr>
          <w:lang w:val="en-GB"/>
        </w:rPr>
        <w:t>g m</w:t>
      </w:r>
      <w:r w:rsidRPr="0058272B">
        <w:rPr>
          <w:vertAlign w:val="superscript"/>
          <w:lang w:val="en-GB"/>
        </w:rPr>
        <w:t>−3</w:t>
      </w:r>
      <w:r w:rsidRPr="00534AF2">
        <w:rPr>
          <w:lang w:val="en-GB"/>
        </w:rPr>
        <w:t> h</w:t>
      </w:r>
      <w:r w:rsidRPr="0058272B">
        <w:rPr>
          <w:vertAlign w:val="superscript"/>
          <w:lang w:val="en-GB"/>
        </w:rPr>
        <w:t>−1</w:t>
      </w:r>
      <w:r w:rsidRPr="00534AF2">
        <w:rPr>
          <w:lang w:val="en-GB"/>
        </w:rPr>
        <w:t xml:space="preserve"> a </w:t>
      </w:r>
      <w:r w:rsidR="0058272B">
        <w:rPr>
          <w:lang w:val="en-GB"/>
        </w:rPr>
        <w:t>67.1</w:t>
      </w:r>
      <w:r w:rsidRPr="00534AF2">
        <w:rPr>
          <w:lang w:val="en-GB"/>
        </w:rPr>
        <w:t xml:space="preserve">% </w:t>
      </w:r>
      <w:r w:rsidR="0058272B">
        <w:rPr>
          <w:lang w:val="en-GB"/>
        </w:rPr>
        <w:t>capture</w:t>
      </w:r>
      <w:r w:rsidRPr="00534AF2">
        <w:rPr>
          <w:lang w:val="en-GB"/>
        </w:rPr>
        <w:t xml:space="preserve"> of </w:t>
      </w:r>
      <w:r w:rsidR="0058272B">
        <w:rPr>
          <w:lang w:val="en-GB"/>
        </w:rPr>
        <w:t>CO</w:t>
      </w:r>
      <w:r w:rsidR="0058272B" w:rsidRPr="0058272B">
        <w:rPr>
          <w:vertAlign w:val="subscript"/>
          <w:lang w:val="en-GB"/>
        </w:rPr>
        <w:t>2</w:t>
      </w:r>
      <w:r w:rsidRPr="00534AF2">
        <w:rPr>
          <w:lang w:val="en-GB"/>
        </w:rPr>
        <w:t xml:space="preserve"> was achieved </w:t>
      </w:r>
      <w:r w:rsidR="0058272B">
        <w:rPr>
          <w:lang w:val="en-GB"/>
        </w:rPr>
        <w:t xml:space="preserve">with a biomass concentration of </w:t>
      </w:r>
      <w:bookmarkStart w:id="3" w:name="_Hlk35436955"/>
      <w:r w:rsidR="0058272B">
        <w:rPr>
          <w:lang w:val="en-GB"/>
        </w:rPr>
        <w:t>145.7 mg l</w:t>
      </w:r>
      <w:r w:rsidR="0058272B" w:rsidRPr="0058272B">
        <w:rPr>
          <w:vertAlign w:val="superscript"/>
          <w:lang w:val="en-GB"/>
        </w:rPr>
        <w:t>-1</w:t>
      </w:r>
      <w:bookmarkEnd w:id="3"/>
      <w:r w:rsidRPr="00534AF2">
        <w:rPr>
          <w:lang w:val="en-GB"/>
        </w:rPr>
        <w:t xml:space="preserve">. </w:t>
      </w:r>
      <w:r w:rsidR="0058272B">
        <w:rPr>
          <w:lang w:val="en-GB"/>
        </w:rPr>
        <w:t>When a microalga biomass concentration of 742.7 mg l</w:t>
      </w:r>
      <w:r w:rsidR="0058272B" w:rsidRPr="0058272B">
        <w:rPr>
          <w:vertAlign w:val="superscript"/>
          <w:lang w:val="en-GB"/>
        </w:rPr>
        <w:t>-1</w:t>
      </w:r>
      <w:r w:rsidR="0058272B">
        <w:rPr>
          <w:lang w:val="en-GB"/>
        </w:rPr>
        <w:t xml:space="preserve"> was achieved</w:t>
      </w:r>
      <w:r w:rsidR="00696B63">
        <w:rPr>
          <w:lang w:val="en-GB"/>
        </w:rPr>
        <w:t>,</w:t>
      </w:r>
      <w:r w:rsidR="0058272B">
        <w:rPr>
          <w:lang w:val="en-GB"/>
        </w:rPr>
        <w:t xml:space="preserve"> </w:t>
      </w:r>
      <w:r w:rsidRPr="00534AF2">
        <w:rPr>
          <w:lang w:val="en-GB"/>
        </w:rPr>
        <w:t xml:space="preserve">a removal efficiency of </w:t>
      </w:r>
      <w:r w:rsidR="0058272B">
        <w:rPr>
          <w:lang w:val="en-GB"/>
        </w:rPr>
        <w:t>80.8</w:t>
      </w:r>
      <w:r w:rsidRPr="00534AF2">
        <w:rPr>
          <w:lang w:val="en-GB"/>
        </w:rPr>
        <w:t xml:space="preserve"> %</w:t>
      </w:r>
      <w:r w:rsidR="0058272B">
        <w:rPr>
          <w:lang w:val="en-GB"/>
        </w:rPr>
        <w:t xml:space="preserve"> was obtained</w:t>
      </w:r>
      <w:r w:rsidRPr="00534AF2">
        <w:rPr>
          <w:lang w:val="en-GB"/>
        </w:rPr>
        <w:t xml:space="preserve">, </w:t>
      </w:r>
      <w:r w:rsidR="0058272B">
        <w:rPr>
          <w:lang w:val="en-GB"/>
        </w:rPr>
        <w:t xml:space="preserve">at an IL of 52.65 </w:t>
      </w:r>
      <w:r w:rsidR="0058272B" w:rsidRPr="00534AF2">
        <w:rPr>
          <w:lang w:val="en-GB"/>
        </w:rPr>
        <w:t>g m</w:t>
      </w:r>
      <w:r w:rsidR="0058272B" w:rsidRPr="0058272B">
        <w:rPr>
          <w:vertAlign w:val="superscript"/>
          <w:lang w:val="en-GB"/>
        </w:rPr>
        <w:t>−3</w:t>
      </w:r>
      <w:r w:rsidR="0058272B" w:rsidRPr="00534AF2">
        <w:rPr>
          <w:lang w:val="en-GB"/>
        </w:rPr>
        <w:t> h</w:t>
      </w:r>
      <w:r w:rsidR="0058272B" w:rsidRPr="0058272B">
        <w:rPr>
          <w:vertAlign w:val="superscript"/>
          <w:lang w:val="en-GB"/>
        </w:rPr>
        <w:t>−1</w:t>
      </w:r>
      <w:r w:rsidR="00E06194">
        <w:rPr>
          <w:lang w:val="en-GB"/>
        </w:rPr>
        <w:t>.</w:t>
      </w:r>
    </w:p>
    <w:p w14:paraId="50DF02FD" w14:textId="43AAE3EB" w:rsidR="00EA54A0" w:rsidRPr="0058272B" w:rsidRDefault="00EA54A0" w:rsidP="00600535">
      <w:pPr>
        <w:pStyle w:val="CETHeading1"/>
        <w:rPr>
          <w:lang w:val="en-GB"/>
        </w:rPr>
      </w:pPr>
      <w:r w:rsidRPr="00B57B36">
        <w:rPr>
          <w:lang w:val="en-GB"/>
        </w:rPr>
        <w:t>Conclusions</w:t>
      </w:r>
    </w:p>
    <w:p w14:paraId="1EE04DAC" w14:textId="71DB92B6" w:rsidR="0032446F" w:rsidRDefault="00FC04A0" w:rsidP="0045796F">
      <w:pPr>
        <w:pStyle w:val="CETBodytext"/>
        <w:spacing w:line="240" w:lineRule="auto"/>
        <w:rPr>
          <w:lang w:val="en-GB"/>
        </w:rPr>
      </w:pPr>
      <w:r w:rsidRPr="00C51558">
        <w:rPr>
          <w:lang w:val="en-GB"/>
        </w:rPr>
        <w:t>CO</w:t>
      </w:r>
      <w:r w:rsidRPr="0058272B">
        <w:rPr>
          <w:vertAlign w:val="subscript"/>
          <w:lang w:val="en-GB"/>
        </w:rPr>
        <w:t>2</w:t>
      </w:r>
      <w:r w:rsidRPr="00C51558">
        <w:rPr>
          <w:lang w:val="en-GB"/>
        </w:rPr>
        <w:t xml:space="preserve"> </w:t>
      </w:r>
      <w:r>
        <w:rPr>
          <w:lang w:val="en-GB"/>
        </w:rPr>
        <w:t>removal</w:t>
      </w:r>
      <w:r w:rsidRPr="00C51558">
        <w:rPr>
          <w:lang w:val="en-GB"/>
        </w:rPr>
        <w:t xml:space="preserve"> </w:t>
      </w:r>
      <w:r>
        <w:rPr>
          <w:lang w:val="en-GB"/>
        </w:rPr>
        <w:t>efficiency (RE)</w:t>
      </w:r>
      <w:r w:rsidRPr="00C51558">
        <w:rPr>
          <w:lang w:val="en-GB"/>
        </w:rPr>
        <w:t xml:space="preserve"> by </w:t>
      </w:r>
      <w:r w:rsidRPr="0058272B">
        <w:rPr>
          <w:i/>
          <w:iCs/>
          <w:lang w:val="en-GB"/>
        </w:rPr>
        <w:t>Chlorella vulgaris</w:t>
      </w:r>
      <w:r w:rsidRPr="00C51558">
        <w:rPr>
          <w:lang w:val="en-GB"/>
        </w:rPr>
        <w:t xml:space="preserve"> was </w:t>
      </w:r>
      <w:r w:rsidR="00F55C81" w:rsidRPr="00C51558">
        <w:rPr>
          <w:lang w:val="en-GB"/>
        </w:rPr>
        <w:t>boosted</w:t>
      </w:r>
      <w:r>
        <w:rPr>
          <w:lang w:val="en-GB"/>
        </w:rPr>
        <w:t xml:space="preserve"> </w:t>
      </w:r>
      <w:r w:rsidRPr="00C51558">
        <w:rPr>
          <w:lang w:val="en-GB"/>
        </w:rPr>
        <w:t xml:space="preserve">through obtaining the best </w:t>
      </w:r>
      <w:r>
        <w:rPr>
          <w:lang w:val="en-GB"/>
        </w:rPr>
        <w:t>condition</w:t>
      </w:r>
      <w:r w:rsidRPr="00C51558">
        <w:rPr>
          <w:lang w:val="en-GB"/>
        </w:rPr>
        <w:t xml:space="preserve"> in a</w:t>
      </w:r>
      <w:r w:rsidR="00EB520E">
        <w:rPr>
          <w:lang w:val="en-GB"/>
        </w:rPr>
        <w:t>n</w:t>
      </w:r>
      <w:r>
        <w:rPr>
          <w:lang w:val="en-GB"/>
        </w:rPr>
        <w:t xml:space="preserve"> </w:t>
      </w:r>
      <w:r w:rsidR="00EB520E" w:rsidRPr="003F55E7">
        <w:rPr>
          <w:lang w:val="en-GB"/>
        </w:rPr>
        <w:t>advanced sustainable biotechnology-based control system</w:t>
      </w:r>
      <w:r>
        <w:rPr>
          <w:lang w:val="en-GB"/>
        </w:rPr>
        <w:t xml:space="preserve"> </w:t>
      </w:r>
      <w:r w:rsidRPr="00C51558">
        <w:rPr>
          <w:lang w:val="en-GB"/>
        </w:rPr>
        <w:t>considering f</w:t>
      </w:r>
      <w:r>
        <w:rPr>
          <w:lang w:val="en-GB"/>
        </w:rPr>
        <w:t>our</w:t>
      </w:r>
      <w:r w:rsidRPr="00C51558">
        <w:rPr>
          <w:lang w:val="en-GB"/>
        </w:rPr>
        <w:t xml:space="preserve"> parameters</w:t>
      </w:r>
      <w:r>
        <w:rPr>
          <w:lang w:val="en-GB"/>
        </w:rPr>
        <w:t xml:space="preserve">: </w:t>
      </w:r>
      <w:r w:rsidRPr="00C51558">
        <w:rPr>
          <w:lang w:val="en-GB"/>
        </w:rPr>
        <w:t xml:space="preserve">pH, light intensity, </w:t>
      </w:r>
      <w:r>
        <w:rPr>
          <w:lang w:val="en-GB"/>
        </w:rPr>
        <w:t>inlet load</w:t>
      </w:r>
      <w:r w:rsidRPr="00C51558">
        <w:rPr>
          <w:lang w:val="en-GB"/>
        </w:rPr>
        <w:t xml:space="preserve"> and </w:t>
      </w:r>
      <w:r>
        <w:rPr>
          <w:lang w:val="en-GB"/>
        </w:rPr>
        <w:t>liquid recirculation rate</w:t>
      </w:r>
      <w:r w:rsidRPr="00C51558">
        <w:rPr>
          <w:lang w:val="en-GB"/>
        </w:rPr>
        <w:t xml:space="preserve">. The </w:t>
      </w:r>
      <w:r>
        <w:rPr>
          <w:lang w:val="en-GB"/>
        </w:rPr>
        <w:t xml:space="preserve">results highlighted </w:t>
      </w:r>
      <w:r w:rsidRPr="00C51558">
        <w:rPr>
          <w:lang w:val="en-GB"/>
        </w:rPr>
        <w:t>that by increasing the CO</w:t>
      </w:r>
      <w:r w:rsidRPr="0058272B">
        <w:rPr>
          <w:vertAlign w:val="subscript"/>
          <w:lang w:val="en-GB"/>
        </w:rPr>
        <w:t>2</w:t>
      </w:r>
      <w:r w:rsidRPr="00C51558">
        <w:rPr>
          <w:lang w:val="en-GB"/>
        </w:rPr>
        <w:t xml:space="preserve"> concentration</w:t>
      </w:r>
      <w:r>
        <w:rPr>
          <w:lang w:val="en-GB"/>
        </w:rPr>
        <w:t xml:space="preserve"> </w:t>
      </w:r>
      <w:r w:rsidRPr="00C51558">
        <w:rPr>
          <w:lang w:val="en-GB"/>
        </w:rPr>
        <w:t xml:space="preserve">from </w:t>
      </w:r>
      <w:r>
        <w:rPr>
          <w:lang w:val="en-GB"/>
        </w:rPr>
        <w:t>5</w:t>
      </w:r>
      <w:r w:rsidRPr="00C51558">
        <w:rPr>
          <w:lang w:val="en-GB"/>
        </w:rPr>
        <w:t xml:space="preserve">% to </w:t>
      </w:r>
      <w:r>
        <w:rPr>
          <w:lang w:val="en-GB"/>
        </w:rPr>
        <w:t>15</w:t>
      </w:r>
      <w:r w:rsidRPr="00C51558">
        <w:rPr>
          <w:lang w:val="en-GB"/>
        </w:rPr>
        <w:t xml:space="preserve">%, the maximum </w:t>
      </w:r>
      <w:r>
        <w:rPr>
          <w:lang w:val="en-GB"/>
        </w:rPr>
        <w:t>concentration of biomass</w:t>
      </w:r>
      <w:r w:rsidRPr="00C51558">
        <w:rPr>
          <w:lang w:val="en-GB"/>
        </w:rPr>
        <w:t xml:space="preserve"> and CO</w:t>
      </w:r>
      <w:r w:rsidRPr="0058272B">
        <w:rPr>
          <w:vertAlign w:val="subscript"/>
          <w:lang w:val="en-GB"/>
        </w:rPr>
        <w:t>2</w:t>
      </w:r>
      <w:r w:rsidRPr="00C51558">
        <w:rPr>
          <w:lang w:val="en-GB"/>
        </w:rPr>
        <w:t xml:space="preserve"> </w:t>
      </w:r>
      <w:r>
        <w:rPr>
          <w:lang w:val="en-GB"/>
        </w:rPr>
        <w:t>removal efficiency (RE)</w:t>
      </w:r>
      <w:r w:rsidRPr="00C51558">
        <w:rPr>
          <w:lang w:val="en-GB"/>
        </w:rPr>
        <w:t xml:space="preserve"> were</w:t>
      </w:r>
      <w:r>
        <w:rPr>
          <w:lang w:val="en-GB"/>
        </w:rPr>
        <w:t xml:space="preserve"> </w:t>
      </w:r>
      <w:r w:rsidRPr="00C51558">
        <w:rPr>
          <w:lang w:val="en-GB"/>
        </w:rPr>
        <w:t xml:space="preserve">increased </w:t>
      </w:r>
      <w:r>
        <w:rPr>
          <w:lang w:val="en-GB"/>
        </w:rPr>
        <w:t>up to 742 mg l</w:t>
      </w:r>
      <w:r w:rsidRPr="000328D5">
        <w:rPr>
          <w:vertAlign w:val="superscript"/>
          <w:lang w:val="en-GB"/>
        </w:rPr>
        <w:t>-1</w:t>
      </w:r>
      <w:r>
        <w:rPr>
          <w:lang w:val="en-GB"/>
        </w:rPr>
        <w:t xml:space="preserve"> and 80.8 %, respectively</w:t>
      </w:r>
      <w:r w:rsidRPr="00C51558">
        <w:rPr>
          <w:lang w:val="en-GB"/>
        </w:rPr>
        <w:t>. The</w:t>
      </w:r>
      <w:r>
        <w:rPr>
          <w:lang w:val="en-GB"/>
        </w:rPr>
        <w:t xml:space="preserve"> </w:t>
      </w:r>
      <w:r w:rsidRPr="00C51558">
        <w:rPr>
          <w:lang w:val="en-GB"/>
        </w:rPr>
        <w:t>maximum CO</w:t>
      </w:r>
      <w:r w:rsidRPr="0058272B">
        <w:rPr>
          <w:vertAlign w:val="subscript"/>
          <w:lang w:val="en-GB"/>
        </w:rPr>
        <w:t>2</w:t>
      </w:r>
      <w:r w:rsidRPr="00C51558">
        <w:rPr>
          <w:lang w:val="en-GB"/>
        </w:rPr>
        <w:t xml:space="preserve"> </w:t>
      </w:r>
      <w:r>
        <w:rPr>
          <w:lang w:val="en-GB"/>
        </w:rPr>
        <w:t>elimination capacity (EC)</w:t>
      </w:r>
      <w:r w:rsidRPr="00C51558">
        <w:rPr>
          <w:lang w:val="en-GB"/>
        </w:rPr>
        <w:t xml:space="preserve"> of </w:t>
      </w:r>
      <w:r w:rsidRPr="0058272B">
        <w:rPr>
          <w:i/>
          <w:iCs/>
          <w:lang w:val="en-GB"/>
        </w:rPr>
        <w:t>Chlorella vulgaris</w:t>
      </w:r>
      <w:r w:rsidRPr="00C51558">
        <w:rPr>
          <w:lang w:val="en-GB"/>
        </w:rPr>
        <w:t xml:space="preserve"> at CO</w:t>
      </w:r>
      <w:r w:rsidRPr="0058272B">
        <w:rPr>
          <w:vertAlign w:val="subscript"/>
          <w:lang w:val="en-GB"/>
        </w:rPr>
        <w:t>2</w:t>
      </w:r>
      <w:r w:rsidRPr="00C51558">
        <w:rPr>
          <w:lang w:val="en-GB"/>
        </w:rPr>
        <w:t xml:space="preserve"> concentration</w:t>
      </w:r>
      <w:r>
        <w:rPr>
          <w:lang w:val="en-GB"/>
        </w:rPr>
        <w:t xml:space="preserve"> </w:t>
      </w:r>
      <w:r w:rsidRPr="00C51558">
        <w:rPr>
          <w:lang w:val="en-GB"/>
        </w:rPr>
        <w:t xml:space="preserve">of </w:t>
      </w:r>
      <w:r>
        <w:rPr>
          <w:lang w:val="en-GB"/>
        </w:rPr>
        <w:t>15</w:t>
      </w:r>
      <w:r w:rsidRPr="00C51558">
        <w:rPr>
          <w:lang w:val="en-GB"/>
        </w:rPr>
        <w:t xml:space="preserve">% </w:t>
      </w:r>
      <w:r w:rsidR="0032446F">
        <w:rPr>
          <w:lang w:val="en-GB"/>
        </w:rPr>
        <w:t>was</w:t>
      </w:r>
      <w:r>
        <w:rPr>
          <w:lang w:val="en-GB"/>
        </w:rPr>
        <w:t xml:space="preserve"> 42.5 </w:t>
      </w:r>
      <w:r w:rsidRPr="00534AF2">
        <w:rPr>
          <w:lang w:val="en-GB"/>
        </w:rPr>
        <w:t>g m</w:t>
      </w:r>
      <w:r w:rsidRPr="0058272B">
        <w:rPr>
          <w:vertAlign w:val="superscript"/>
          <w:lang w:val="en-GB"/>
        </w:rPr>
        <w:t>−3</w:t>
      </w:r>
      <w:r w:rsidRPr="00534AF2">
        <w:rPr>
          <w:lang w:val="en-GB"/>
        </w:rPr>
        <w:t> h</w:t>
      </w:r>
      <w:r w:rsidRPr="0058272B">
        <w:rPr>
          <w:vertAlign w:val="superscript"/>
          <w:lang w:val="en-GB"/>
        </w:rPr>
        <w:t>−1</w:t>
      </w:r>
      <w:r w:rsidRPr="00C51558">
        <w:rPr>
          <w:lang w:val="en-GB"/>
        </w:rPr>
        <w:t>.</w:t>
      </w:r>
      <w:r>
        <w:rPr>
          <w:lang w:val="en-GB"/>
        </w:rPr>
        <w:t xml:space="preserve"> </w:t>
      </w:r>
      <w:r w:rsidRPr="0058272B">
        <w:rPr>
          <w:lang w:val="en-GB"/>
        </w:rPr>
        <w:t>Finally, an optimal L/G ratio of 1</w:t>
      </w:r>
      <w:r>
        <w:rPr>
          <w:lang w:val="en-GB"/>
        </w:rPr>
        <w:t>0</w:t>
      </w:r>
      <w:r w:rsidRPr="0058272B">
        <w:rPr>
          <w:lang w:val="en-GB"/>
        </w:rPr>
        <w:t xml:space="preserve"> in the absorption column allowed increasing both CO</w:t>
      </w:r>
      <w:r w:rsidRPr="0058272B">
        <w:rPr>
          <w:vertAlign w:val="subscript"/>
          <w:lang w:val="en-GB"/>
        </w:rPr>
        <w:t>2</w:t>
      </w:r>
      <w:r w:rsidRPr="0058272B">
        <w:rPr>
          <w:lang w:val="en-GB"/>
        </w:rPr>
        <w:t xml:space="preserve"> capture and biomass productivity.</w:t>
      </w:r>
      <w:r>
        <w:rPr>
          <w:lang w:val="en-GB"/>
        </w:rPr>
        <w:t xml:space="preserve"> </w:t>
      </w:r>
      <w:r w:rsidR="00925FA1">
        <w:rPr>
          <w:lang w:val="en-GB"/>
        </w:rPr>
        <w:t>R</w:t>
      </w:r>
      <w:r w:rsidR="00EB520E">
        <w:rPr>
          <w:lang w:val="en-GB"/>
        </w:rPr>
        <w:t xml:space="preserve">esearch shows a </w:t>
      </w:r>
      <w:r w:rsidR="0032446F">
        <w:rPr>
          <w:lang w:val="en-GB"/>
        </w:rPr>
        <w:t>technology</w:t>
      </w:r>
      <w:r>
        <w:rPr>
          <w:lang w:val="en-GB"/>
        </w:rPr>
        <w:t xml:space="preserve"> </w:t>
      </w:r>
      <w:r w:rsidR="00EB520E">
        <w:rPr>
          <w:lang w:val="en-GB"/>
        </w:rPr>
        <w:t xml:space="preserve">useful </w:t>
      </w:r>
      <w:r w:rsidRPr="00200DE6">
        <w:rPr>
          <w:lang w:val="en-GB"/>
        </w:rPr>
        <w:t>to capture CO</w:t>
      </w:r>
      <w:r w:rsidRPr="00200DE6">
        <w:rPr>
          <w:vertAlign w:val="subscript"/>
          <w:lang w:val="en-GB"/>
        </w:rPr>
        <w:t>2</w:t>
      </w:r>
      <w:r w:rsidR="00925FA1">
        <w:rPr>
          <w:lang w:val="en-GB"/>
        </w:rPr>
        <w:t xml:space="preserve"> and t</w:t>
      </w:r>
      <w:r w:rsidR="00EB520E">
        <w:rPr>
          <w:lang w:val="en-GB"/>
        </w:rPr>
        <w:t xml:space="preserve">o </w:t>
      </w:r>
      <w:r w:rsidR="0032446F">
        <w:rPr>
          <w:lang w:val="en-GB"/>
        </w:rPr>
        <w:t>biodegrade</w:t>
      </w:r>
      <w:r w:rsidRPr="00200DE6">
        <w:rPr>
          <w:lang w:val="en-GB"/>
        </w:rPr>
        <w:t xml:space="preserve"> </w:t>
      </w:r>
      <w:r w:rsidR="0032446F" w:rsidRPr="0032446F">
        <w:rPr>
          <w:lang w:val="en-GB"/>
        </w:rPr>
        <w:t>aromatic substances</w:t>
      </w:r>
      <w:r w:rsidR="0032446F" w:rsidRPr="00200DE6">
        <w:rPr>
          <w:lang w:val="en-GB"/>
        </w:rPr>
        <w:t xml:space="preserve"> </w:t>
      </w:r>
      <w:r w:rsidRPr="00200DE6">
        <w:rPr>
          <w:lang w:val="en-GB"/>
        </w:rPr>
        <w:t xml:space="preserve">such as </w:t>
      </w:r>
      <w:r>
        <w:rPr>
          <w:lang w:val="en-GB"/>
        </w:rPr>
        <w:t>volatile organic compounds (VOC)</w:t>
      </w:r>
      <w:r w:rsidR="0032446F">
        <w:rPr>
          <w:lang w:val="en-GB"/>
        </w:rPr>
        <w:t xml:space="preserve"> </w:t>
      </w:r>
      <w:r>
        <w:rPr>
          <w:lang w:val="en-GB"/>
        </w:rPr>
        <w:t>thanks to the</w:t>
      </w:r>
      <w:r w:rsidRPr="00200DE6">
        <w:rPr>
          <w:lang w:val="en-GB"/>
        </w:rPr>
        <w:t xml:space="preserve"> oxidation capability of the microalgae</w:t>
      </w:r>
      <w:r w:rsidR="00925FA1">
        <w:rPr>
          <w:lang w:val="en-GB"/>
        </w:rPr>
        <w:t xml:space="preserve">, </w:t>
      </w:r>
      <w:r w:rsidR="00925FA1" w:rsidRPr="00925FA1">
        <w:rPr>
          <w:lang w:val="en-GB"/>
        </w:rPr>
        <w:t>thus creating a highly environmental friendly system</w:t>
      </w:r>
      <w:r w:rsidRPr="00200DE6">
        <w:rPr>
          <w:lang w:val="en-GB"/>
        </w:rPr>
        <w:t>.</w:t>
      </w:r>
      <w:r>
        <w:rPr>
          <w:lang w:val="en-GB"/>
        </w:rPr>
        <w:t xml:space="preserve"> </w:t>
      </w:r>
    </w:p>
    <w:p w14:paraId="4F1327F8" w14:textId="29757B3C" w:rsidR="00600535" w:rsidRPr="00AA1921" w:rsidRDefault="00600535" w:rsidP="00AA1921">
      <w:pPr>
        <w:pStyle w:val="CETHeading1"/>
        <w:numPr>
          <w:ilvl w:val="0"/>
          <w:numId w:val="0"/>
        </w:numPr>
        <w:rPr>
          <w:b w:val="0"/>
          <w:lang w:val="en-GB"/>
        </w:rPr>
      </w:pPr>
      <w:r w:rsidRPr="00AA1921">
        <w:rPr>
          <w:lang w:val="en-GB"/>
        </w:rPr>
        <w:t>References</w:t>
      </w:r>
    </w:p>
    <w:p w14:paraId="268D3770" w14:textId="6488EFCD" w:rsidR="00456353" w:rsidRPr="00456353" w:rsidRDefault="00702325" w:rsidP="00456353">
      <w:pPr>
        <w:widowControl w:val="0"/>
        <w:autoSpaceDE w:val="0"/>
        <w:autoSpaceDN w:val="0"/>
        <w:adjustRightInd w:val="0"/>
        <w:spacing w:line="240" w:lineRule="auto"/>
        <w:ind w:left="480" w:hanging="480"/>
        <w:rPr>
          <w:rFonts w:cs="Arial"/>
          <w:noProof/>
          <w:szCs w:val="24"/>
        </w:rPr>
      </w:pPr>
      <w:r>
        <w:fldChar w:fldCharType="begin" w:fldLock="1"/>
      </w:r>
      <w:r w:rsidRPr="00200DE6">
        <w:rPr>
          <w:lang w:val="en-US"/>
        </w:rPr>
        <w:instrText xml:space="preserve">ADDIN Mendeley Bibliography CSL_BIBLIOGRAPHY </w:instrText>
      </w:r>
      <w:r>
        <w:fldChar w:fldCharType="separate"/>
      </w:r>
      <w:r w:rsidR="00456353" w:rsidRPr="00456353">
        <w:rPr>
          <w:rFonts w:cs="Arial"/>
          <w:noProof/>
          <w:szCs w:val="24"/>
        </w:rPr>
        <w:t xml:space="preserve">Anbalagan, A., Toledo-Cervantes, A., Posadas, E., Rojo, E. M., Lebrero, R., González-Sánchez, A., Nehrenheim, E., &amp; Muñoz, R. (2017). Continuous photosynthetic abatement of CO 2 and volatile organic compounds from exhaust gas coupled to wastewater treatment: Evaluation of tubular algal-bacterial photobioreactor. </w:t>
      </w:r>
      <w:r w:rsidR="00456353" w:rsidRPr="00456353">
        <w:rPr>
          <w:rFonts w:cs="Arial"/>
          <w:i/>
          <w:iCs/>
          <w:noProof/>
          <w:szCs w:val="24"/>
        </w:rPr>
        <w:t>Journal of CO2 Utilization</w:t>
      </w:r>
      <w:r w:rsidR="00456353" w:rsidRPr="00456353">
        <w:rPr>
          <w:rFonts w:cs="Arial"/>
          <w:noProof/>
          <w:szCs w:val="24"/>
        </w:rPr>
        <w:t xml:space="preserve">, </w:t>
      </w:r>
      <w:r w:rsidR="00456353" w:rsidRPr="00456353">
        <w:rPr>
          <w:rFonts w:cs="Arial"/>
          <w:i/>
          <w:iCs/>
          <w:noProof/>
          <w:szCs w:val="24"/>
        </w:rPr>
        <w:t>21</w:t>
      </w:r>
      <w:r w:rsidR="00456353" w:rsidRPr="00456353">
        <w:rPr>
          <w:rFonts w:cs="Arial"/>
          <w:noProof/>
          <w:szCs w:val="24"/>
        </w:rPr>
        <w:t>(July), 353–359. https://doi.org/10.1016/j.jcou.2017.07.016</w:t>
      </w:r>
    </w:p>
    <w:p w14:paraId="12948C12"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BB, J. (2019). CO2 Mitigation Potentials of Microalgae: Its Expansion to a New Dimension for Closing the Loop of Carbon Between Source and Acquisition Through Food Chain of Phytophagous Fish in Open Ponds. </w:t>
      </w:r>
      <w:r w:rsidRPr="00456353">
        <w:rPr>
          <w:rFonts w:cs="Arial"/>
          <w:i/>
          <w:iCs/>
          <w:noProof/>
          <w:szCs w:val="24"/>
        </w:rPr>
        <w:t>Advances in Biotechnology &amp; Microbiology</w:t>
      </w:r>
      <w:r w:rsidRPr="00456353">
        <w:rPr>
          <w:rFonts w:cs="Arial"/>
          <w:noProof/>
          <w:szCs w:val="24"/>
        </w:rPr>
        <w:t xml:space="preserve">, </w:t>
      </w:r>
      <w:r w:rsidRPr="00456353">
        <w:rPr>
          <w:rFonts w:cs="Arial"/>
          <w:i/>
          <w:iCs/>
          <w:noProof/>
          <w:szCs w:val="24"/>
        </w:rPr>
        <w:t>12</w:t>
      </w:r>
      <w:r w:rsidRPr="00456353">
        <w:rPr>
          <w:rFonts w:cs="Arial"/>
          <w:noProof/>
          <w:szCs w:val="24"/>
        </w:rPr>
        <w:t>(1). https://doi.org/10.19080/aibm.2019.12.555827</w:t>
      </w:r>
    </w:p>
    <w:p w14:paraId="67CE53D8"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Canon-Rubio, K. A., Sharp, C. E., Bergerson, J., Strous, M., &amp; De la Hoz Siegler, H. (2016). Use of highly alkaline conditions to improve cost-effectiveness of algal biotechnology. </w:t>
      </w:r>
      <w:r w:rsidRPr="00456353">
        <w:rPr>
          <w:rFonts w:cs="Arial"/>
          <w:i/>
          <w:iCs/>
          <w:noProof/>
          <w:szCs w:val="24"/>
        </w:rPr>
        <w:t>Applied Microbiology and Biotechnology</w:t>
      </w:r>
      <w:r w:rsidRPr="00456353">
        <w:rPr>
          <w:rFonts w:cs="Arial"/>
          <w:noProof/>
          <w:szCs w:val="24"/>
        </w:rPr>
        <w:t xml:space="preserve">, </w:t>
      </w:r>
      <w:r w:rsidRPr="00456353">
        <w:rPr>
          <w:rFonts w:cs="Arial"/>
          <w:i/>
          <w:iCs/>
          <w:noProof/>
          <w:szCs w:val="24"/>
        </w:rPr>
        <w:t>100</w:t>
      </w:r>
      <w:r w:rsidRPr="00456353">
        <w:rPr>
          <w:rFonts w:cs="Arial"/>
          <w:noProof/>
          <w:szCs w:val="24"/>
        </w:rPr>
        <w:t>(4), 1611–1622. https://doi.org/10.1007/s00253-015-7208-7</w:t>
      </w:r>
    </w:p>
    <w:p w14:paraId="71738658"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Chisti, Y. (2016). </w:t>
      </w:r>
      <w:r w:rsidRPr="00456353">
        <w:rPr>
          <w:rFonts w:cs="Arial"/>
          <w:i/>
          <w:iCs/>
          <w:noProof/>
          <w:szCs w:val="24"/>
        </w:rPr>
        <w:t>Large-Scale Production of Algal Biomass: Raceway Ponds BT  - Algae Biotechnology: Products and Processes</w:t>
      </w:r>
      <w:r w:rsidRPr="00456353">
        <w:rPr>
          <w:rFonts w:cs="Arial"/>
          <w:noProof/>
          <w:szCs w:val="24"/>
        </w:rPr>
        <w:t xml:space="preserve"> (F. Bux &amp; Y. Chisti (Eds.); pp. 21–40). Springer International Publishing. </w:t>
      </w:r>
      <w:r w:rsidRPr="00456353">
        <w:rPr>
          <w:rFonts w:cs="Arial"/>
          <w:noProof/>
          <w:szCs w:val="24"/>
        </w:rPr>
        <w:lastRenderedPageBreak/>
        <w:t>https://doi.org/10.1007/978-3-319-12334-9_2</w:t>
      </w:r>
    </w:p>
    <w:p w14:paraId="77F5C7FD"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Fasolino I, Grimaldi M, Zarra T, &amp; Naddeo V. (2016). Odour Control Strategies for a Sustainable Nuisances Action Plan. </w:t>
      </w:r>
      <w:r w:rsidRPr="00456353">
        <w:rPr>
          <w:rFonts w:cs="Arial"/>
          <w:i/>
          <w:iCs/>
          <w:noProof/>
          <w:szCs w:val="24"/>
        </w:rPr>
        <w:t>Global NEST Journal</w:t>
      </w:r>
      <w:r w:rsidRPr="00456353">
        <w:rPr>
          <w:rFonts w:cs="Arial"/>
          <w:noProof/>
          <w:szCs w:val="24"/>
        </w:rPr>
        <w:t>.</w:t>
      </w:r>
    </w:p>
    <w:p w14:paraId="2B063603"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Gentili, F. G. (2014). Microalgal biomass and lipid production in mixed municipal, dairy, pulp and paper wastewater together with added flue gases. </w:t>
      </w:r>
      <w:r w:rsidRPr="00456353">
        <w:rPr>
          <w:rFonts w:cs="Arial"/>
          <w:i/>
          <w:iCs/>
          <w:noProof/>
          <w:szCs w:val="24"/>
        </w:rPr>
        <w:t>Bioresource Technology</w:t>
      </w:r>
      <w:r w:rsidRPr="00456353">
        <w:rPr>
          <w:rFonts w:cs="Arial"/>
          <w:noProof/>
          <w:szCs w:val="24"/>
        </w:rPr>
        <w:t xml:space="preserve">, </w:t>
      </w:r>
      <w:r w:rsidRPr="00456353">
        <w:rPr>
          <w:rFonts w:cs="Arial"/>
          <w:i/>
          <w:iCs/>
          <w:noProof/>
          <w:szCs w:val="24"/>
        </w:rPr>
        <w:t>169</w:t>
      </w:r>
      <w:r w:rsidRPr="00456353">
        <w:rPr>
          <w:rFonts w:cs="Arial"/>
          <w:noProof/>
          <w:szCs w:val="24"/>
        </w:rPr>
        <w:t>, 27–32. https://doi.org/https://doi.org/10.1016/j.biortech.2014.06.061</w:t>
      </w:r>
    </w:p>
    <w:p w14:paraId="2852E9BB"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Giuliani, S., Zarra, T., Nicolas, J., Naddeo, V., Belgiorno, V., &amp; Romain, A. C. (2012). An alternative approach of the e-nose training phase in odour impact assessment. </w:t>
      </w:r>
      <w:r w:rsidRPr="00456353">
        <w:rPr>
          <w:rFonts w:cs="Arial"/>
          <w:i/>
          <w:iCs/>
          <w:noProof/>
          <w:szCs w:val="24"/>
        </w:rPr>
        <w:t>Chemical Engineering Transactions</w:t>
      </w:r>
      <w:r w:rsidRPr="00456353">
        <w:rPr>
          <w:rFonts w:cs="Arial"/>
          <w:noProof/>
          <w:szCs w:val="24"/>
        </w:rPr>
        <w:t>. https://doi.org/10.3303/CET1230024</w:t>
      </w:r>
    </w:p>
    <w:p w14:paraId="0FDD8035"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Kong, W. B., Yang, H., Cao, Y. T., Song, H., Hua, S. F., &amp; Xia, C. G. (2013). Effect of glycerol and glucose on the enhancement of biomass, lipid and soluble carbohydrate production by Chlorella vulgaris in mixotrophic culture. </w:t>
      </w:r>
      <w:r w:rsidRPr="00456353">
        <w:rPr>
          <w:rFonts w:cs="Arial"/>
          <w:i/>
          <w:iCs/>
          <w:noProof/>
          <w:szCs w:val="24"/>
        </w:rPr>
        <w:t>Food Technology and Biotechnology</w:t>
      </w:r>
      <w:r w:rsidRPr="00456353">
        <w:rPr>
          <w:rFonts w:cs="Arial"/>
          <w:noProof/>
          <w:szCs w:val="24"/>
        </w:rPr>
        <w:t xml:space="preserve">, </w:t>
      </w:r>
      <w:r w:rsidRPr="00456353">
        <w:rPr>
          <w:rFonts w:cs="Arial"/>
          <w:i/>
          <w:iCs/>
          <w:noProof/>
          <w:szCs w:val="24"/>
        </w:rPr>
        <w:t>51</w:t>
      </w:r>
      <w:r w:rsidRPr="00456353">
        <w:rPr>
          <w:rFonts w:cs="Arial"/>
          <w:noProof/>
          <w:szCs w:val="24"/>
        </w:rPr>
        <w:t>(1), 62–69.</w:t>
      </w:r>
    </w:p>
    <w:p w14:paraId="3F8C197E"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Mohsenpour, S. F., &amp; Willoughby, N. (2016). Effect of CO2 aeration on cultivation of microalgae in luminescent photobioreactors. </w:t>
      </w:r>
      <w:r w:rsidRPr="00456353">
        <w:rPr>
          <w:rFonts w:cs="Arial"/>
          <w:i/>
          <w:iCs/>
          <w:noProof/>
          <w:szCs w:val="24"/>
        </w:rPr>
        <w:t>Biomass and Bioenergy</w:t>
      </w:r>
      <w:r w:rsidRPr="00456353">
        <w:rPr>
          <w:rFonts w:cs="Arial"/>
          <w:noProof/>
          <w:szCs w:val="24"/>
        </w:rPr>
        <w:t xml:space="preserve">, </w:t>
      </w:r>
      <w:r w:rsidRPr="00456353">
        <w:rPr>
          <w:rFonts w:cs="Arial"/>
          <w:i/>
          <w:iCs/>
          <w:noProof/>
          <w:szCs w:val="24"/>
        </w:rPr>
        <w:t>85</w:t>
      </w:r>
      <w:r w:rsidRPr="00456353">
        <w:rPr>
          <w:rFonts w:cs="Arial"/>
          <w:noProof/>
          <w:szCs w:val="24"/>
        </w:rPr>
        <w:t>, 168–177. https://doi.org/10.1016/j.biombioe.2015.12.002</w:t>
      </w:r>
    </w:p>
    <w:p w14:paraId="7CBABF00"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Naddeo, V., Zarra, T., Giuliani, S., &amp; Belgiorno, V. (2012). Odour impact assessment in industrial areas. </w:t>
      </w:r>
      <w:r w:rsidRPr="00456353">
        <w:rPr>
          <w:rFonts w:cs="Arial"/>
          <w:i/>
          <w:iCs/>
          <w:noProof/>
          <w:szCs w:val="24"/>
        </w:rPr>
        <w:t>Chemical Engineering Transactions</w:t>
      </w:r>
      <w:r w:rsidRPr="00456353">
        <w:rPr>
          <w:rFonts w:cs="Arial"/>
          <w:noProof/>
          <w:szCs w:val="24"/>
        </w:rPr>
        <w:t xml:space="preserve">, </w:t>
      </w:r>
      <w:r w:rsidRPr="00456353">
        <w:rPr>
          <w:rFonts w:cs="Arial"/>
          <w:i/>
          <w:iCs/>
          <w:noProof/>
          <w:szCs w:val="24"/>
        </w:rPr>
        <w:t>30</w:t>
      </w:r>
      <w:r w:rsidRPr="00456353">
        <w:rPr>
          <w:rFonts w:cs="Arial"/>
          <w:noProof/>
          <w:szCs w:val="24"/>
        </w:rPr>
        <w:t>(i), 85–90. https://doi.org/10.3303/CET1230015</w:t>
      </w:r>
    </w:p>
    <w:p w14:paraId="233E671A"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National Oceanic and Atmospheric Administration (NOAA). (2019). </w:t>
      </w:r>
      <w:r w:rsidRPr="00456353">
        <w:rPr>
          <w:rFonts w:cs="Arial"/>
          <w:i/>
          <w:iCs/>
          <w:noProof/>
          <w:szCs w:val="24"/>
        </w:rPr>
        <w:t>Carbon dioxide levels in atmosphere hit record high in May Monthly average surpassed 414 ppm at NOAA ’ s Mauna Loa Observatory in Hawaii</w:t>
      </w:r>
      <w:r w:rsidRPr="00456353">
        <w:rPr>
          <w:rFonts w:cs="Arial"/>
          <w:noProof/>
          <w:szCs w:val="24"/>
        </w:rPr>
        <w:t xml:space="preserve">. </w:t>
      </w:r>
      <w:r w:rsidRPr="00456353">
        <w:rPr>
          <w:rFonts w:cs="Arial"/>
          <w:i/>
          <w:iCs/>
          <w:noProof/>
          <w:szCs w:val="24"/>
        </w:rPr>
        <w:t>May 2018</w:t>
      </w:r>
      <w:r w:rsidRPr="00456353">
        <w:rPr>
          <w:rFonts w:cs="Arial"/>
          <w:noProof/>
          <w:szCs w:val="24"/>
        </w:rPr>
        <w:t>.</w:t>
      </w:r>
    </w:p>
    <w:p w14:paraId="2C060CEA"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Nayak, M., Karemore, A., &amp; Sen, R. (2016). Sustainable valorization of flue gas CO2 and wastewater for the production of microalgal biomass as a biofuel feedstock in closed and open reactor systems. </w:t>
      </w:r>
      <w:r w:rsidRPr="00456353">
        <w:rPr>
          <w:rFonts w:cs="Arial"/>
          <w:i/>
          <w:iCs/>
          <w:noProof/>
          <w:szCs w:val="24"/>
        </w:rPr>
        <w:t>RSC Advances</w:t>
      </w:r>
      <w:r w:rsidRPr="00456353">
        <w:rPr>
          <w:rFonts w:cs="Arial"/>
          <w:noProof/>
          <w:szCs w:val="24"/>
        </w:rPr>
        <w:t xml:space="preserve">, </w:t>
      </w:r>
      <w:r w:rsidRPr="00456353">
        <w:rPr>
          <w:rFonts w:cs="Arial"/>
          <w:i/>
          <w:iCs/>
          <w:noProof/>
          <w:szCs w:val="24"/>
        </w:rPr>
        <w:t>6</w:t>
      </w:r>
      <w:r w:rsidRPr="00456353">
        <w:rPr>
          <w:rFonts w:cs="Arial"/>
          <w:noProof/>
          <w:szCs w:val="24"/>
        </w:rPr>
        <w:t>(94), 91111–91120. https://doi.org/10.1039/C6RA17899E</w:t>
      </w:r>
    </w:p>
    <w:p w14:paraId="7F2A36E2"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Nejat, P., Jomehzadeh, F., Taheri, M. M., Gohari, M., &amp; Muhd, M. Z. (2015). A global review of energy consumption, CO2 emissions and policy in the residential sector (with an overview of the top ten CO2 emitting countries). In </w:t>
      </w:r>
      <w:r w:rsidRPr="00456353">
        <w:rPr>
          <w:rFonts w:cs="Arial"/>
          <w:i/>
          <w:iCs/>
          <w:noProof/>
          <w:szCs w:val="24"/>
        </w:rPr>
        <w:t>Renewable and Sustainable Energy Reviews</w:t>
      </w:r>
      <w:r w:rsidRPr="00456353">
        <w:rPr>
          <w:rFonts w:cs="Arial"/>
          <w:noProof/>
          <w:szCs w:val="24"/>
        </w:rPr>
        <w:t>. https://doi.org/10.1016/j.rser.2014.11.066</w:t>
      </w:r>
    </w:p>
    <w:p w14:paraId="1188800E"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Oliva, G., Zarra, T., Pittoni, G., Senatore, V., Galang, M. G., Castellani, M., Belgiorno, V., &amp; Naddeo, V. (2021). Next-generation of instrumental odour monitoring system (IOMS) for the gaseous emissions control in complex industrial plants. </w:t>
      </w:r>
      <w:r w:rsidRPr="00456353">
        <w:rPr>
          <w:rFonts w:cs="Arial"/>
          <w:i/>
          <w:iCs/>
          <w:noProof/>
          <w:szCs w:val="24"/>
        </w:rPr>
        <w:t>Chemosphere</w:t>
      </w:r>
      <w:r w:rsidRPr="00456353">
        <w:rPr>
          <w:rFonts w:cs="Arial"/>
          <w:noProof/>
          <w:szCs w:val="24"/>
        </w:rPr>
        <w:t>. https://doi.org/10.1016/j.chemosphere.2021.129768</w:t>
      </w:r>
    </w:p>
    <w:p w14:paraId="3CA5479E"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Oliva, Giuseppina, Ángeles, R., Rodríguez, E., Turiel, S., Naddeo, V., Zarra, T., Belgiorno, V., Muñoz, R., &amp; Lebrero, R. (2019). Comparative evaluation of a biotrickling filter and a tubular photobioreactor for the continuous abatement of toluene. </w:t>
      </w:r>
      <w:r w:rsidRPr="00456353">
        <w:rPr>
          <w:rFonts w:cs="Arial"/>
          <w:i/>
          <w:iCs/>
          <w:noProof/>
          <w:szCs w:val="24"/>
        </w:rPr>
        <w:t>Journal of Hazardous Materials</w:t>
      </w:r>
      <w:r w:rsidRPr="00456353">
        <w:rPr>
          <w:rFonts w:cs="Arial"/>
          <w:noProof/>
          <w:szCs w:val="24"/>
        </w:rPr>
        <w:t xml:space="preserve">, </w:t>
      </w:r>
      <w:r w:rsidRPr="00456353">
        <w:rPr>
          <w:rFonts w:cs="Arial"/>
          <w:i/>
          <w:iCs/>
          <w:noProof/>
          <w:szCs w:val="24"/>
        </w:rPr>
        <w:t>380</w:t>
      </w:r>
      <w:r w:rsidRPr="00456353">
        <w:rPr>
          <w:rFonts w:cs="Arial"/>
          <w:noProof/>
          <w:szCs w:val="24"/>
        </w:rPr>
        <w:t>(April), 120860. https://doi.org/10.1016/j.jhazmat.2019.120860</w:t>
      </w:r>
    </w:p>
    <w:p w14:paraId="2BB94A85"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Oliva, Giuseppina, Zarra, T., Naddeo, V., Munoz, R., Lebrero, R., Angeles, R., Belgiorno, V., Ángeles, R., &amp; Belgiorno, V. (2018). Comparative Analysis of AOPs and Biological Processes for the Control of VOCs Industrial Emissions. </w:t>
      </w:r>
      <w:r w:rsidRPr="00456353">
        <w:rPr>
          <w:rFonts w:cs="Arial"/>
          <w:i/>
          <w:iCs/>
          <w:noProof/>
          <w:szCs w:val="24"/>
        </w:rPr>
        <w:t>Chemical Engineering Transactions</w:t>
      </w:r>
      <w:r w:rsidRPr="00456353">
        <w:rPr>
          <w:rFonts w:cs="Arial"/>
          <w:noProof/>
          <w:szCs w:val="24"/>
        </w:rPr>
        <w:t xml:space="preserve">, </w:t>
      </w:r>
      <w:r w:rsidRPr="00456353">
        <w:rPr>
          <w:rFonts w:cs="Arial"/>
          <w:i/>
          <w:iCs/>
          <w:noProof/>
          <w:szCs w:val="24"/>
        </w:rPr>
        <w:t>68</w:t>
      </w:r>
      <w:r w:rsidRPr="00456353">
        <w:rPr>
          <w:rFonts w:cs="Arial"/>
          <w:noProof/>
          <w:szCs w:val="24"/>
        </w:rPr>
        <w:t>, 451–456. https://doi.org/10.3303/CET1868076</w:t>
      </w:r>
    </w:p>
    <w:p w14:paraId="7E6CAD26"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Senatore, V, Zarra, T., Oliva, G., Belgiorno, V., &amp; Naddeo, V. (2020). Volatile organic compounds (VOCs) control by combining bio-scrubber and ozone pretreatment. </w:t>
      </w:r>
      <w:r w:rsidRPr="00456353">
        <w:rPr>
          <w:rFonts w:cs="Arial"/>
          <w:i/>
          <w:iCs/>
          <w:noProof/>
          <w:szCs w:val="24"/>
        </w:rPr>
        <w:t>Global NEST JournalGlobal NEST: The International Journal</w:t>
      </w:r>
      <w:r w:rsidRPr="00456353">
        <w:rPr>
          <w:rFonts w:cs="Arial"/>
          <w:noProof/>
          <w:szCs w:val="24"/>
        </w:rPr>
        <w:t xml:space="preserve">, </w:t>
      </w:r>
      <w:r w:rsidRPr="00456353">
        <w:rPr>
          <w:rFonts w:cs="Arial"/>
          <w:i/>
          <w:iCs/>
          <w:noProof/>
          <w:szCs w:val="24"/>
        </w:rPr>
        <w:t>22</w:t>
      </w:r>
      <w:r w:rsidRPr="00456353">
        <w:rPr>
          <w:rFonts w:cs="Arial"/>
          <w:noProof/>
          <w:szCs w:val="24"/>
        </w:rPr>
        <w:t>(2), 143–146. https://doi.org/10.30955/gnj.003298</w:t>
      </w:r>
    </w:p>
    <w:p w14:paraId="2A3B8D08" w14:textId="65AB70A3"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Senatore, Vincenzo, Buonerba, A., Zarra, T., Oliva, G., Belgiorno, V., Boguniewicz-Zablocka, J., &amp; Naddeo, V. (2021)</w:t>
      </w:r>
      <w:r>
        <w:rPr>
          <w:rFonts w:cs="Arial"/>
          <w:noProof/>
          <w:szCs w:val="24"/>
        </w:rPr>
        <w:t>a</w:t>
      </w:r>
      <w:r w:rsidRPr="00456353">
        <w:rPr>
          <w:rFonts w:cs="Arial"/>
          <w:noProof/>
          <w:szCs w:val="24"/>
        </w:rPr>
        <w:t xml:space="preserve">. Innovative Membrane Photobioreactor for Sustainable CO2 Capture and Utilization. </w:t>
      </w:r>
      <w:r w:rsidRPr="00456353">
        <w:rPr>
          <w:rFonts w:cs="Arial"/>
          <w:i/>
          <w:iCs/>
          <w:noProof/>
          <w:szCs w:val="24"/>
        </w:rPr>
        <w:t>Chemosphere</w:t>
      </w:r>
      <w:r w:rsidRPr="00456353">
        <w:rPr>
          <w:rFonts w:cs="Arial"/>
          <w:noProof/>
          <w:szCs w:val="24"/>
        </w:rPr>
        <w:t>. https://doi.org/10.1016/j.chemosphere.2021.129682</w:t>
      </w:r>
    </w:p>
    <w:p w14:paraId="499E3A0E" w14:textId="7D0D08BC"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Senatore, Vincenzo, Zarra, T., Buonerba, A., Ho, K., Shadi, C., &amp; Gregory, W. H. (2021)</w:t>
      </w:r>
      <w:r>
        <w:rPr>
          <w:rFonts w:cs="Arial"/>
          <w:noProof/>
          <w:szCs w:val="24"/>
        </w:rPr>
        <w:t>b</w:t>
      </w:r>
      <w:r w:rsidRPr="00456353">
        <w:rPr>
          <w:rFonts w:cs="Arial"/>
          <w:noProof/>
          <w:szCs w:val="24"/>
        </w:rPr>
        <w:t xml:space="preserve">. Indoor versus outdoor transmission of SARS </w:t>
      </w:r>
      <w:r w:rsidRPr="00456353">
        <w:rPr>
          <w:rFonts w:ascii="Cambria Math" w:hAnsi="Cambria Math" w:cs="Cambria Math"/>
          <w:noProof/>
          <w:szCs w:val="24"/>
        </w:rPr>
        <w:t>‑</w:t>
      </w:r>
      <w:r w:rsidRPr="00456353">
        <w:rPr>
          <w:rFonts w:cs="Arial"/>
          <w:noProof/>
          <w:szCs w:val="24"/>
        </w:rPr>
        <w:t xml:space="preserve"> COV </w:t>
      </w:r>
      <w:r w:rsidRPr="00456353">
        <w:rPr>
          <w:rFonts w:ascii="Cambria Math" w:hAnsi="Cambria Math" w:cs="Cambria Math"/>
          <w:noProof/>
          <w:szCs w:val="24"/>
        </w:rPr>
        <w:t>‑</w:t>
      </w:r>
      <w:r w:rsidRPr="00456353">
        <w:rPr>
          <w:rFonts w:cs="Arial"/>
          <w:noProof/>
          <w:szCs w:val="24"/>
        </w:rPr>
        <w:t xml:space="preserve"> 2 : environmental factors in virus spread and underestimated sources of risk. </w:t>
      </w:r>
      <w:r w:rsidRPr="00456353">
        <w:rPr>
          <w:rFonts w:cs="Arial"/>
          <w:i/>
          <w:iCs/>
          <w:noProof/>
          <w:szCs w:val="24"/>
        </w:rPr>
        <w:t>Euro-Mediterranean Journal for Environmental Integration</w:t>
      </w:r>
      <w:r w:rsidRPr="00456353">
        <w:rPr>
          <w:rFonts w:cs="Arial"/>
          <w:noProof/>
          <w:szCs w:val="24"/>
        </w:rPr>
        <w:t>, 1–9. https://doi.org/10.1007/s41207-021-00243-w</w:t>
      </w:r>
    </w:p>
    <w:p w14:paraId="5626163B"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Toledo-Cervantes, A., Morales, T., González, Á., Muñoz, R., &amp; Lebrero, R. (2018). Long-term photosynthetic CO 2 removal from biogas and flue-gas: Exploring the potential of closed photobioreactors for high-value biomass production. </w:t>
      </w:r>
      <w:r w:rsidRPr="00456353">
        <w:rPr>
          <w:rFonts w:cs="Arial"/>
          <w:i/>
          <w:iCs/>
          <w:noProof/>
          <w:szCs w:val="24"/>
        </w:rPr>
        <w:t>Science of the Total Environment</w:t>
      </w:r>
      <w:r w:rsidRPr="00456353">
        <w:rPr>
          <w:rFonts w:cs="Arial"/>
          <w:noProof/>
          <w:szCs w:val="24"/>
        </w:rPr>
        <w:t xml:space="preserve">, </w:t>
      </w:r>
      <w:r w:rsidRPr="00456353">
        <w:rPr>
          <w:rFonts w:cs="Arial"/>
          <w:i/>
          <w:iCs/>
          <w:noProof/>
          <w:szCs w:val="24"/>
        </w:rPr>
        <w:t>640</w:t>
      </w:r>
      <w:r w:rsidRPr="00456353">
        <w:rPr>
          <w:rFonts w:cs="Arial"/>
          <w:noProof/>
          <w:szCs w:val="24"/>
        </w:rPr>
        <w:t>–</w:t>
      </w:r>
      <w:r w:rsidRPr="00456353">
        <w:rPr>
          <w:rFonts w:cs="Arial"/>
          <w:i/>
          <w:iCs/>
          <w:noProof/>
          <w:szCs w:val="24"/>
        </w:rPr>
        <w:t>641</w:t>
      </w:r>
      <w:r w:rsidRPr="00456353">
        <w:rPr>
          <w:rFonts w:cs="Arial"/>
          <w:noProof/>
          <w:szCs w:val="24"/>
        </w:rPr>
        <w:t>, 1272–1278. https://doi.org/10.1016/j.scitotenv.2018.05.270</w:t>
      </w:r>
    </w:p>
    <w:p w14:paraId="0E2FCBE6"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Wu, X., Zhou, C., Li, K., Zhang, W., &amp; Tao, Y. (2018). Probing the fouling process and mechanisms of submerged ceramic membrane ultrafiltration during algal harvesting under sub- and super-critical fluxes. </w:t>
      </w:r>
      <w:r w:rsidRPr="00456353">
        <w:rPr>
          <w:rFonts w:cs="Arial"/>
          <w:i/>
          <w:iCs/>
          <w:noProof/>
          <w:szCs w:val="24"/>
        </w:rPr>
        <w:t>Separation and Purification Technology</w:t>
      </w:r>
      <w:r w:rsidRPr="00456353">
        <w:rPr>
          <w:rFonts w:cs="Arial"/>
          <w:noProof/>
          <w:szCs w:val="24"/>
        </w:rPr>
        <w:t xml:space="preserve">, </w:t>
      </w:r>
      <w:r w:rsidRPr="00456353">
        <w:rPr>
          <w:rFonts w:cs="Arial"/>
          <w:i/>
          <w:iCs/>
          <w:noProof/>
          <w:szCs w:val="24"/>
        </w:rPr>
        <w:t>195</w:t>
      </w:r>
      <w:r w:rsidRPr="00456353">
        <w:rPr>
          <w:rFonts w:cs="Arial"/>
          <w:noProof/>
          <w:szCs w:val="24"/>
        </w:rPr>
        <w:t>(August 2017), 199–207. https://doi.org/10.1016/j.seppur.2017.12.001</w:t>
      </w:r>
    </w:p>
    <w:p w14:paraId="5AADF0B3" w14:textId="77777777" w:rsidR="00456353" w:rsidRPr="00456353" w:rsidRDefault="00456353" w:rsidP="00456353">
      <w:pPr>
        <w:widowControl w:val="0"/>
        <w:autoSpaceDE w:val="0"/>
        <w:autoSpaceDN w:val="0"/>
        <w:adjustRightInd w:val="0"/>
        <w:spacing w:line="240" w:lineRule="auto"/>
        <w:ind w:left="480" w:hanging="480"/>
        <w:rPr>
          <w:rFonts w:cs="Arial"/>
          <w:noProof/>
          <w:szCs w:val="24"/>
        </w:rPr>
      </w:pPr>
      <w:r w:rsidRPr="00456353">
        <w:rPr>
          <w:rFonts w:cs="Arial"/>
          <w:noProof/>
          <w:szCs w:val="24"/>
        </w:rPr>
        <w:t xml:space="preserve">Zarra, T, Reiser, M., Naddeo, V., Belgiorno, V., &amp; Kranert, M. (2012). A comparative and critical evaluation of different sampling materials in the measurement of odour concentration by dynamic olfactometry. </w:t>
      </w:r>
      <w:r w:rsidRPr="00456353">
        <w:rPr>
          <w:rFonts w:cs="Arial"/>
          <w:i/>
          <w:iCs/>
          <w:noProof/>
          <w:szCs w:val="24"/>
        </w:rPr>
        <w:t>Chemical Engineering Transactions</w:t>
      </w:r>
      <w:r w:rsidRPr="00456353">
        <w:rPr>
          <w:rFonts w:cs="Arial"/>
          <w:noProof/>
          <w:szCs w:val="24"/>
        </w:rPr>
        <w:t xml:space="preserve">, </w:t>
      </w:r>
      <w:r w:rsidRPr="00456353">
        <w:rPr>
          <w:rFonts w:cs="Arial"/>
          <w:i/>
          <w:iCs/>
          <w:noProof/>
          <w:szCs w:val="24"/>
        </w:rPr>
        <w:t>30</w:t>
      </w:r>
      <w:r w:rsidRPr="00456353">
        <w:rPr>
          <w:rFonts w:cs="Arial"/>
          <w:noProof/>
          <w:szCs w:val="24"/>
        </w:rPr>
        <w:t>, 307–312.</w:t>
      </w:r>
    </w:p>
    <w:p w14:paraId="5DF7DB11" w14:textId="77777777" w:rsidR="00456353" w:rsidRPr="00456353" w:rsidRDefault="00456353" w:rsidP="00456353">
      <w:pPr>
        <w:widowControl w:val="0"/>
        <w:autoSpaceDE w:val="0"/>
        <w:autoSpaceDN w:val="0"/>
        <w:adjustRightInd w:val="0"/>
        <w:spacing w:line="240" w:lineRule="auto"/>
        <w:ind w:left="480" w:hanging="480"/>
        <w:rPr>
          <w:rFonts w:cs="Arial"/>
          <w:noProof/>
        </w:rPr>
      </w:pPr>
      <w:r w:rsidRPr="00456353">
        <w:rPr>
          <w:rFonts w:cs="Arial"/>
          <w:noProof/>
          <w:szCs w:val="24"/>
        </w:rPr>
        <w:t xml:space="preserve">Zarra, Tiziano, Galang, M. G., Ballesteros, F., Belgiorno, V., &amp; Naddeo, V. (2019). Environmental odour management by artificial neural network – A review. </w:t>
      </w:r>
      <w:r w:rsidRPr="00456353">
        <w:rPr>
          <w:rFonts w:cs="Arial"/>
          <w:i/>
          <w:iCs/>
          <w:noProof/>
          <w:szCs w:val="24"/>
        </w:rPr>
        <w:t>Environment International</w:t>
      </w:r>
      <w:r w:rsidRPr="00456353">
        <w:rPr>
          <w:rFonts w:cs="Arial"/>
          <w:noProof/>
          <w:szCs w:val="24"/>
        </w:rPr>
        <w:t xml:space="preserve">, </w:t>
      </w:r>
      <w:r w:rsidRPr="00456353">
        <w:rPr>
          <w:rFonts w:cs="Arial"/>
          <w:i/>
          <w:iCs/>
          <w:noProof/>
          <w:szCs w:val="24"/>
        </w:rPr>
        <w:t>133</w:t>
      </w:r>
      <w:r w:rsidRPr="00456353">
        <w:rPr>
          <w:rFonts w:cs="Arial"/>
          <w:noProof/>
          <w:szCs w:val="24"/>
        </w:rPr>
        <w:t>(May), 105189. https://doi.org/10.1016/j.envint.2019.105189</w:t>
      </w:r>
    </w:p>
    <w:p w14:paraId="3DA9A55A" w14:textId="46E044B1" w:rsidR="00EB520E" w:rsidRPr="00A76C46" w:rsidRDefault="00702325" w:rsidP="00515AB8">
      <w:pPr>
        <w:widowControl w:val="0"/>
        <w:autoSpaceDE w:val="0"/>
        <w:autoSpaceDN w:val="0"/>
        <w:adjustRightInd w:val="0"/>
        <w:spacing w:line="240" w:lineRule="auto"/>
      </w:pPr>
      <w:r>
        <w:fldChar w:fldCharType="end"/>
      </w:r>
    </w:p>
    <w:p w14:paraId="19C4FC68" w14:textId="767E82C8" w:rsidR="004628D2" w:rsidRDefault="004628D2" w:rsidP="00AB4E69">
      <w:pPr>
        <w:pStyle w:val="CETReferencetext"/>
        <w:ind w:left="0" w:firstLine="0"/>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B7DAD" w14:textId="77777777" w:rsidR="00894F5A" w:rsidRDefault="00894F5A" w:rsidP="004F5E36">
      <w:r>
        <w:separator/>
      </w:r>
    </w:p>
  </w:endnote>
  <w:endnote w:type="continuationSeparator" w:id="0">
    <w:p w14:paraId="22014CD5" w14:textId="77777777" w:rsidR="00894F5A" w:rsidRDefault="00894F5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D25FD" w14:textId="77777777" w:rsidR="00894F5A" w:rsidRDefault="00894F5A" w:rsidP="004F5E36">
      <w:r>
        <w:separator/>
      </w:r>
    </w:p>
  </w:footnote>
  <w:footnote w:type="continuationSeparator" w:id="0">
    <w:p w14:paraId="7982A7E8" w14:textId="77777777" w:rsidR="00894F5A" w:rsidRDefault="00894F5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8D36CBE"/>
    <w:multiLevelType w:val="hybridMultilevel"/>
    <w:tmpl w:val="08029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07"/>
    <w:rsid w:val="000018A4"/>
    <w:rsid w:val="000027C0"/>
    <w:rsid w:val="000052FB"/>
    <w:rsid w:val="000117CB"/>
    <w:rsid w:val="0003148D"/>
    <w:rsid w:val="000328D5"/>
    <w:rsid w:val="00051566"/>
    <w:rsid w:val="00055F0D"/>
    <w:rsid w:val="00062A9A"/>
    <w:rsid w:val="00065058"/>
    <w:rsid w:val="000836F2"/>
    <w:rsid w:val="00086C39"/>
    <w:rsid w:val="000A03B2"/>
    <w:rsid w:val="000B3BF1"/>
    <w:rsid w:val="000D0268"/>
    <w:rsid w:val="000D34BE"/>
    <w:rsid w:val="000D4ADE"/>
    <w:rsid w:val="000E102F"/>
    <w:rsid w:val="000E36F1"/>
    <w:rsid w:val="000E3A73"/>
    <w:rsid w:val="000E414A"/>
    <w:rsid w:val="000F093C"/>
    <w:rsid w:val="000F787B"/>
    <w:rsid w:val="0012091F"/>
    <w:rsid w:val="00126BC2"/>
    <w:rsid w:val="001308B6"/>
    <w:rsid w:val="0013121F"/>
    <w:rsid w:val="00131FE6"/>
    <w:rsid w:val="0013263F"/>
    <w:rsid w:val="00134DE4"/>
    <w:rsid w:val="0014034D"/>
    <w:rsid w:val="00150E59"/>
    <w:rsid w:val="00152DE3"/>
    <w:rsid w:val="0015336A"/>
    <w:rsid w:val="00164475"/>
    <w:rsid w:val="00164CF9"/>
    <w:rsid w:val="001667A6"/>
    <w:rsid w:val="0018080D"/>
    <w:rsid w:val="00184AD6"/>
    <w:rsid w:val="001950E6"/>
    <w:rsid w:val="001A4AF7"/>
    <w:rsid w:val="001B0349"/>
    <w:rsid w:val="001B3981"/>
    <w:rsid w:val="001B65C1"/>
    <w:rsid w:val="001C253D"/>
    <w:rsid w:val="001C2E18"/>
    <w:rsid w:val="001C5E56"/>
    <w:rsid w:val="001C684B"/>
    <w:rsid w:val="001D53FC"/>
    <w:rsid w:val="001E4D1E"/>
    <w:rsid w:val="001F42A5"/>
    <w:rsid w:val="001F7B9D"/>
    <w:rsid w:val="00200DE6"/>
    <w:rsid w:val="002224B4"/>
    <w:rsid w:val="00237659"/>
    <w:rsid w:val="002447EF"/>
    <w:rsid w:val="00251550"/>
    <w:rsid w:val="00260E10"/>
    <w:rsid w:val="00263B05"/>
    <w:rsid w:val="00265C63"/>
    <w:rsid w:val="0027221A"/>
    <w:rsid w:val="00272656"/>
    <w:rsid w:val="00275730"/>
    <w:rsid w:val="00275B61"/>
    <w:rsid w:val="00276651"/>
    <w:rsid w:val="00282656"/>
    <w:rsid w:val="00296B83"/>
    <w:rsid w:val="002A293E"/>
    <w:rsid w:val="002A358B"/>
    <w:rsid w:val="002B78CE"/>
    <w:rsid w:val="002C2FB6"/>
    <w:rsid w:val="002C6BF9"/>
    <w:rsid w:val="002C6F9B"/>
    <w:rsid w:val="002F3309"/>
    <w:rsid w:val="003009B7"/>
    <w:rsid w:val="00300E56"/>
    <w:rsid w:val="0030469C"/>
    <w:rsid w:val="00314579"/>
    <w:rsid w:val="00321CA6"/>
    <w:rsid w:val="0032446F"/>
    <w:rsid w:val="00334C09"/>
    <w:rsid w:val="0033724A"/>
    <w:rsid w:val="003572D0"/>
    <w:rsid w:val="0036692A"/>
    <w:rsid w:val="003723D4"/>
    <w:rsid w:val="00381905"/>
    <w:rsid w:val="00384CC8"/>
    <w:rsid w:val="003871FD"/>
    <w:rsid w:val="003A1E30"/>
    <w:rsid w:val="003A7AC9"/>
    <w:rsid w:val="003A7D1C"/>
    <w:rsid w:val="003B304B"/>
    <w:rsid w:val="003B3146"/>
    <w:rsid w:val="003C60D5"/>
    <w:rsid w:val="003D2B04"/>
    <w:rsid w:val="003F015E"/>
    <w:rsid w:val="003F55E7"/>
    <w:rsid w:val="00400414"/>
    <w:rsid w:val="004143F5"/>
    <w:rsid w:val="0041446B"/>
    <w:rsid w:val="00425A9A"/>
    <w:rsid w:val="004332D4"/>
    <w:rsid w:val="0044329C"/>
    <w:rsid w:val="00456353"/>
    <w:rsid w:val="004577FE"/>
    <w:rsid w:val="0045796F"/>
    <w:rsid w:val="00457B9C"/>
    <w:rsid w:val="00461110"/>
    <w:rsid w:val="0046164A"/>
    <w:rsid w:val="004628D2"/>
    <w:rsid w:val="00462DCD"/>
    <w:rsid w:val="00463326"/>
    <w:rsid w:val="004648AD"/>
    <w:rsid w:val="004703A9"/>
    <w:rsid w:val="004760DE"/>
    <w:rsid w:val="004763D7"/>
    <w:rsid w:val="00492C06"/>
    <w:rsid w:val="004A004E"/>
    <w:rsid w:val="004A24CF"/>
    <w:rsid w:val="004B731C"/>
    <w:rsid w:val="004C3D1D"/>
    <w:rsid w:val="004C7913"/>
    <w:rsid w:val="004D6700"/>
    <w:rsid w:val="004E3ACD"/>
    <w:rsid w:val="004E4DD6"/>
    <w:rsid w:val="004F5E36"/>
    <w:rsid w:val="00507B47"/>
    <w:rsid w:val="00507BEF"/>
    <w:rsid w:val="00507CC9"/>
    <w:rsid w:val="005119A5"/>
    <w:rsid w:val="00512528"/>
    <w:rsid w:val="00515AB8"/>
    <w:rsid w:val="0051716A"/>
    <w:rsid w:val="005278B7"/>
    <w:rsid w:val="005312B5"/>
    <w:rsid w:val="00532016"/>
    <w:rsid w:val="005346C8"/>
    <w:rsid w:val="00534AF2"/>
    <w:rsid w:val="00543E7D"/>
    <w:rsid w:val="00547A68"/>
    <w:rsid w:val="005531C9"/>
    <w:rsid w:val="00570C43"/>
    <w:rsid w:val="0057240D"/>
    <w:rsid w:val="00576D90"/>
    <w:rsid w:val="0058272B"/>
    <w:rsid w:val="00594FD2"/>
    <w:rsid w:val="005B2110"/>
    <w:rsid w:val="005B61E6"/>
    <w:rsid w:val="005C77E1"/>
    <w:rsid w:val="005D336F"/>
    <w:rsid w:val="005D45FE"/>
    <w:rsid w:val="005D6A2F"/>
    <w:rsid w:val="005D6C53"/>
    <w:rsid w:val="005E1A82"/>
    <w:rsid w:val="005E4958"/>
    <w:rsid w:val="005E794C"/>
    <w:rsid w:val="005F0A28"/>
    <w:rsid w:val="005F0E5E"/>
    <w:rsid w:val="005F0FFE"/>
    <w:rsid w:val="00600535"/>
    <w:rsid w:val="006010F5"/>
    <w:rsid w:val="00610CD6"/>
    <w:rsid w:val="00620DEE"/>
    <w:rsid w:val="00621F92"/>
    <w:rsid w:val="0062280A"/>
    <w:rsid w:val="00625639"/>
    <w:rsid w:val="00631B33"/>
    <w:rsid w:val="0064142F"/>
    <w:rsid w:val="0064184D"/>
    <w:rsid w:val="006422CC"/>
    <w:rsid w:val="00653F1B"/>
    <w:rsid w:val="00660E3E"/>
    <w:rsid w:val="00662E74"/>
    <w:rsid w:val="00680C23"/>
    <w:rsid w:val="00692184"/>
    <w:rsid w:val="00693766"/>
    <w:rsid w:val="00696B63"/>
    <w:rsid w:val="00696D31"/>
    <w:rsid w:val="006A3281"/>
    <w:rsid w:val="006A5850"/>
    <w:rsid w:val="006B4888"/>
    <w:rsid w:val="006C2E45"/>
    <w:rsid w:val="006C359C"/>
    <w:rsid w:val="006C5579"/>
    <w:rsid w:val="006C5DB2"/>
    <w:rsid w:val="006D6E8B"/>
    <w:rsid w:val="006E5A56"/>
    <w:rsid w:val="006E737D"/>
    <w:rsid w:val="007013F8"/>
    <w:rsid w:val="00702325"/>
    <w:rsid w:val="00706399"/>
    <w:rsid w:val="007148CF"/>
    <w:rsid w:val="00720A24"/>
    <w:rsid w:val="00723DE9"/>
    <w:rsid w:val="007252B2"/>
    <w:rsid w:val="00732386"/>
    <w:rsid w:val="0073514D"/>
    <w:rsid w:val="007447F3"/>
    <w:rsid w:val="0075499F"/>
    <w:rsid w:val="007661C8"/>
    <w:rsid w:val="0077098D"/>
    <w:rsid w:val="007931FA"/>
    <w:rsid w:val="007A4861"/>
    <w:rsid w:val="007A7BBA"/>
    <w:rsid w:val="007B0C50"/>
    <w:rsid w:val="007C1A43"/>
    <w:rsid w:val="007C3AC9"/>
    <w:rsid w:val="007D5634"/>
    <w:rsid w:val="007F1058"/>
    <w:rsid w:val="0080013E"/>
    <w:rsid w:val="00813288"/>
    <w:rsid w:val="008168FC"/>
    <w:rsid w:val="00830996"/>
    <w:rsid w:val="008345F1"/>
    <w:rsid w:val="0083728E"/>
    <w:rsid w:val="00865B07"/>
    <w:rsid w:val="008667EA"/>
    <w:rsid w:val="0087637F"/>
    <w:rsid w:val="00892AD5"/>
    <w:rsid w:val="00894F5A"/>
    <w:rsid w:val="008A1512"/>
    <w:rsid w:val="008D32B9"/>
    <w:rsid w:val="008D433B"/>
    <w:rsid w:val="008D6429"/>
    <w:rsid w:val="008E566E"/>
    <w:rsid w:val="00900A78"/>
    <w:rsid w:val="0090161A"/>
    <w:rsid w:val="00901EB6"/>
    <w:rsid w:val="00904C62"/>
    <w:rsid w:val="00914606"/>
    <w:rsid w:val="00922BA8"/>
    <w:rsid w:val="009249FE"/>
    <w:rsid w:val="00924D66"/>
    <w:rsid w:val="00924DAC"/>
    <w:rsid w:val="00925FA1"/>
    <w:rsid w:val="00927058"/>
    <w:rsid w:val="00941837"/>
    <w:rsid w:val="00942750"/>
    <w:rsid w:val="009450CE"/>
    <w:rsid w:val="00947179"/>
    <w:rsid w:val="0095164B"/>
    <w:rsid w:val="00954090"/>
    <w:rsid w:val="009573E7"/>
    <w:rsid w:val="00963E05"/>
    <w:rsid w:val="00967D54"/>
    <w:rsid w:val="00971028"/>
    <w:rsid w:val="00996483"/>
    <w:rsid w:val="00996F5A"/>
    <w:rsid w:val="009B041A"/>
    <w:rsid w:val="009B27E1"/>
    <w:rsid w:val="009B5F37"/>
    <w:rsid w:val="009C1F50"/>
    <w:rsid w:val="009C37C3"/>
    <w:rsid w:val="009C7C86"/>
    <w:rsid w:val="009D2FF7"/>
    <w:rsid w:val="009E743D"/>
    <w:rsid w:val="009E7884"/>
    <w:rsid w:val="009E788A"/>
    <w:rsid w:val="009F0E08"/>
    <w:rsid w:val="00A1763D"/>
    <w:rsid w:val="00A17CEC"/>
    <w:rsid w:val="00A27EF0"/>
    <w:rsid w:val="00A316EB"/>
    <w:rsid w:val="00A50B20"/>
    <w:rsid w:val="00A51390"/>
    <w:rsid w:val="00A60D13"/>
    <w:rsid w:val="00A640D5"/>
    <w:rsid w:val="00A72745"/>
    <w:rsid w:val="00A76C46"/>
    <w:rsid w:val="00A76EFC"/>
    <w:rsid w:val="00A80983"/>
    <w:rsid w:val="00A91010"/>
    <w:rsid w:val="00A97F29"/>
    <w:rsid w:val="00AA1921"/>
    <w:rsid w:val="00AA702E"/>
    <w:rsid w:val="00AB0964"/>
    <w:rsid w:val="00AB4E69"/>
    <w:rsid w:val="00AB5011"/>
    <w:rsid w:val="00AB51C3"/>
    <w:rsid w:val="00AC7368"/>
    <w:rsid w:val="00AD16B9"/>
    <w:rsid w:val="00AE377D"/>
    <w:rsid w:val="00AF0EBA"/>
    <w:rsid w:val="00B00472"/>
    <w:rsid w:val="00B02C8A"/>
    <w:rsid w:val="00B0797D"/>
    <w:rsid w:val="00B15237"/>
    <w:rsid w:val="00B17FBD"/>
    <w:rsid w:val="00B20C73"/>
    <w:rsid w:val="00B315A6"/>
    <w:rsid w:val="00B31813"/>
    <w:rsid w:val="00B33365"/>
    <w:rsid w:val="00B46B05"/>
    <w:rsid w:val="00B56112"/>
    <w:rsid w:val="00B57B36"/>
    <w:rsid w:val="00B73CCB"/>
    <w:rsid w:val="00B83A9B"/>
    <w:rsid w:val="00B8686D"/>
    <w:rsid w:val="00BB1DDC"/>
    <w:rsid w:val="00BC30C9"/>
    <w:rsid w:val="00BD76C1"/>
    <w:rsid w:val="00BE3E58"/>
    <w:rsid w:val="00C01616"/>
    <w:rsid w:val="00C0162B"/>
    <w:rsid w:val="00C068ED"/>
    <w:rsid w:val="00C345B1"/>
    <w:rsid w:val="00C40142"/>
    <w:rsid w:val="00C4203A"/>
    <w:rsid w:val="00C51558"/>
    <w:rsid w:val="00C57182"/>
    <w:rsid w:val="00C57863"/>
    <w:rsid w:val="00C655FD"/>
    <w:rsid w:val="00C75407"/>
    <w:rsid w:val="00C82140"/>
    <w:rsid w:val="00C84754"/>
    <w:rsid w:val="00C870A8"/>
    <w:rsid w:val="00C94434"/>
    <w:rsid w:val="00CA0D75"/>
    <w:rsid w:val="00CA1C95"/>
    <w:rsid w:val="00CA5A9C"/>
    <w:rsid w:val="00CC4C20"/>
    <w:rsid w:val="00CD3517"/>
    <w:rsid w:val="00CD5FE2"/>
    <w:rsid w:val="00CE7C68"/>
    <w:rsid w:val="00D02B4C"/>
    <w:rsid w:val="00D040C4"/>
    <w:rsid w:val="00D40429"/>
    <w:rsid w:val="00D57C84"/>
    <w:rsid w:val="00D6057D"/>
    <w:rsid w:val="00D836C5"/>
    <w:rsid w:val="00D84576"/>
    <w:rsid w:val="00DA1399"/>
    <w:rsid w:val="00DA24C6"/>
    <w:rsid w:val="00DA4D7B"/>
    <w:rsid w:val="00DA7697"/>
    <w:rsid w:val="00DB4A8C"/>
    <w:rsid w:val="00DC0E04"/>
    <w:rsid w:val="00DD68CB"/>
    <w:rsid w:val="00DE264A"/>
    <w:rsid w:val="00DF5072"/>
    <w:rsid w:val="00E02D18"/>
    <w:rsid w:val="00E041E7"/>
    <w:rsid w:val="00E06194"/>
    <w:rsid w:val="00E23CA1"/>
    <w:rsid w:val="00E409A8"/>
    <w:rsid w:val="00E42A0D"/>
    <w:rsid w:val="00E43183"/>
    <w:rsid w:val="00E4521F"/>
    <w:rsid w:val="00E50C12"/>
    <w:rsid w:val="00E65B91"/>
    <w:rsid w:val="00E7209D"/>
    <w:rsid w:val="00E77223"/>
    <w:rsid w:val="00E8528B"/>
    <w:rsid w:val="00E85B94"/>
    <w:rsid w:val="00E90688"/>
    <w:rsid w:val="00E978D0"/>
    <w:rsid w:val="00EA4613"/>
    <w:rsid w:val="00EA54A0"/>
    <w:rsid w:val="00EA7F91"/>
    <w:rsid w:val="00EB1523"/>
    <w:rsid w:val="00EB520E"/>
    <w:rsid w:val="00EC0E49"/>
    <w:rsid w:val="00EC101F"/>
    <w:rsid w:val="00EC1D9F"/>
    <w:rsid w:val="00EE0131"/>
    <w:rsid w:val="00EE17B0"/>
    <w:rsid w:val="00EF06D9"/>
    <w:rsid w:val="00EF3754"/>
    <w:rsid w:val="00F11E63"/>
    <w:rsid w:val="00F30C64"/>
    <w:rsid w:val="00F32CDB"/>
    <w:rsid w:val="00F46A80"/>
    <w:rsid w:val="00F55C81"/>
    <w:rsid w:val="00F562D4"/>
    <w:rsid w:val="00F565FE"/>
    <w:rsid w:val="00F63A70"/>
    <w:rsid w:val="00F77F76"/>
    <w:rsid w:val="00F948F9"/>
    <w:rsid w:val="00FA21D0"/>
    <w:rsid w:val="00FA5F5F"/>
    <w:rsid w:val="00FB730C"/>
    <w:rsid w:val="00FC04A0"/>
    <w:rsid w:val="00FC2695"/>
    <w:rsid w:val="00FC3E03"/>
    <w:rsid w:val="00FC3FC1"/>
    <w:rsid w:val="00FE2DC3"/>
    <w:rsid w:val="00FE5F8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BD9317B5-CF89-4AAB-8E9C-0F672956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5D6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4679">
      <w:bodyDiv w:val="1"/>
      <w:marLeft w:val="0"/>
      <w:marRight w:val="0"/>
      <w:marTop w:val="0"/>
      <w:marBottom w:val="0"/>
      <w:divBdr>
        <w:top w:val="none" w:sz="0" w:space="0" w:color="auto"/>
        <w:left w:val="none" w:sz="0" w:space="0" w:color="auto"/>
        <w:bottom w:val="none" w:sz="0" w:space="0" w:color="auto"/>
        <w:right w:val="none" w:sz="0" w:space="0" w:color="auto"/>
      </w:divBdr>
    </w:div>
    <w:div w:id="1248806677">
      <w:bodyDiv w:val="1"/>
      <w:marLeft w:val="0"/>
      <w:marRight w:val="0"/>
      <w:marTop w:val="0"/>
      <w:marBottom w:val="0"/>
      <w:divBdr>
        <w:top w:val="none" w:sz="0" w:space="0" w:color="auto"/>
        <w:left w:val="none" w:sz="0" w:space="0" w:color="auto"/>
        <w:bottom w:val="none" w:sz="0" w:space="0" w:color="auto"/>
        <w:right w:val="none" w:sz="0" w:space="0" w:color="auto"/>
      </w:divBdr>
    </w:div>
    <w:div w:id="141682775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4032">
      <w:bodyDiv w:val="1"/>
      <w:marLeft w:val="0"/>
      <w:marRight w:val="0"/>
      <w:marTop w:val="0"/>
      <w:marBottom w:val="0"/>
      <w:divBdr>
        <w:top w:val="none" w:sz="0" w:space="0" w:color="auto"/>
        <w:left w:val="none" w:sz="0" w:space="0" w:color="auto"/>
        <w:bottom w:val="none" w:sz="0" w:space="0" w:color="auto"/>
        <w:right w:val="none" w:sz="0" w:space="0" w:color="auto"/>
      </w:divBdr>
    </w:div>
    <w:div w:id="185028772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9291-406F-4587-A516-4B1221F8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11500</Words>
  <Characters>65551</Characters>
  <Application>Microsoft Office Word</Application>
  <DocSecurity>0</DocSecurity>
  <Lines>546</Lines>
  <Paragraphs>153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Vincenzo Senatore</cp:lastModifiedBy>
  <cp:revision>6</cp:revision>
  <cp:lastPrinted>2015-05-12T18:31:00Z</cp:lastPrinted>
  <dcterms:created xsi:type="dcterms:W3CDTF">2021-02-08T12:21:00Z</dcterms:created>
  <dcterms:modified xsi:type="dcterms:W3CDTF">2021-02-15T11:03:00Z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0409e3a1-1bb5-3eaf-bf76-2813454cab7f</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