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DCBB7A8" w:rsidR="000A03B2" w:rsidRPr="00B57B36" w:rsidRDefault="00A76EFC" w:rsidP="00E6736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67361">
              <w:rPr>
                <w:rFonts w:cs="Arial"/>
                <w:b/>
                <w:bCs/>
                <w:i/>
                <w:iCs/>
                <w:color w:val="000066"/>
                <w:sz w:val="22"/>
                <w:szCs w:val="22"/>
                <w:lang w:eastAsia="it-IT"/>
              </w:rPr>
              <w:t>5</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D668A">
              <w:rPr>
                <w:rFonts w:cs="Arial"/>
                <w:b/>
                <w:bCs/>
                <w:i/>
                <w:iCs/>
                <w:color w:val="000066"/>
                <w:sz w:val="22"/>
                <w:szCs w:val="22"/>
                <w:lang w:eastAsia="it-IT"/>
              </w:rPr>
              <w:t>1</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9F73E99" w:rsidR="00300E56" w:rsidRPr="0094123C" w:rsidRDefault="00300E56" w:rsidP="007931FA">
            <w:pPr>
              <w:ind w:left="-107"/>
              <w:rPr>
                <w:rFonts w:ascii="Times New Roman" w:hAnsi="Times New Roman"/>
                <w:sz w:val="24"/>
                <w:szCs w:val="24"/>
                <w:lang w:val="it-IT" w:eastAsia="it-IT"/>
              </w:rPr>
            </w:pPr>
            <w:r w:rsidRPr="0094123C">
              <w:rPr>
                <w:rFonts w:ascii="Tahoma" w:hAnsi="Tahoma" w:cs="Tahoma"/>
                <w:iCs/>
                <w:color w:val="333333"/>
                <w:sz w:val="14"/>
                <w:szCs w:val="14"/>
                <w:lang w:val="it-IT" w:eastAsia="it-IT"/>
              </w:rPr>
              <w:t>Guest Editors:</w:t>
            </w:r>
            <w:r w:rsidR="00904C62" w:rsidRPr="0094123C">
              <w:rPr>
                <w:rFonts w:ascii="Tahoma" w:hAnsi="Tahoma" w:cs="Tahoma"/>
                <w:iCs/>
                <w:color w:val="333333"/>
                <w:sz w:val="14"/>
                <w:szCs w:val="14"/>
                <w:lang w:val="it-IT" w:eastAsia="it-IT"/>
              </w:rPr>
              <w:t xml:space="preserve"> </w:t>
            </w:r>
            <w:r w:rsidR="00E67361" w:rsidRPr="0094123C">
              <w:rPr>
                <w:rFonts w:ascii="Tahoma" w:hAnsi="Tahoma" w:cs="Tahoma"/>
                <w:iCs/>
                <w:color w:val="333333"/>
                <w:sz w:val="14"/>
                <w:szCs w:val="14"/>
                <w:lang w:val="it-IT" w:eastAsia="it-IT"/>
              </w:rPr>
              <w:t>Selena Sironi, Laura Capelli</w:t>
            </w:r>
          </w:p>
          <w:p w14:paraId="1B0F1814" w14:textId="0DAF524E" w:rsidR="000A03B2" w:rsidRPr="00B57B36" w:rsidRDefault="00FA5F5F" w:rsidP="00E6736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D668A">
              <w:rPr>
                <w:rFonts w:ascii="Tahoma" w:hAnsi="Tahoma" w:cs="Tahoma"/>
                <w:iCs/>
                <w:color w:val="333333"/>
                <w:sz w:val="14"/>
                <w:szCs w:val="14"/>
                <w:lang w:eastAsia="it-IT"/>
              </w:rPr>
              <w:t>1</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67361">
              <w:rPr>
                <w:rFonts w:ascii="Tahoma" w:hAnsi="Tahoma" w:cs="Tahoma"/>
                <w:sz w:val="14"/>
                <w:szCs w:val="14"/>
              </w:rPr>
              <w:t>3</w:t>
            </w:r>
            <w:r w:rsidR="008D32B9" w:rsidRPr="00EF06D9">
              <w:rPr>
                <w:rFonts w:ascii="Tahoma" w:hAnsi="Tahoma" w:cs="Tahoma"/>
                <w:sz w:val="14"/>
                <w:szCs w:val="14"/>
              </w:rPr>
              <w:t>-</w:t>
            </w:r>
            <w:r w:rsidR="00E67361">
              <w:rPr>
                <w:rFonts w:ascii="Tahoma" w:hAnsi="Tahoma" w:cs="Tahoma"/>
                <w:sz w:val="14"/>
                <w:szCs w:val="14"/>
              </w:rPr>
              <w:t>9</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1A42F0C" w:rsidR="00E978D0" w:rsidRPr="00B57B36" w:rsidRDefault="00047E3D" w:rsidP="00E978D0">
      <w:pPr>
        <w:pStyle w:val="CETTitle"/>
      </w:pPr>
      <w:r w:rsidRPr="00047E3D">
        <w:rPr>
          <w:bCs/>
        </w:rPr>
        <w:t xml:space="preserve">Improving the Impact of Odour Nuisance </w:t>
      </w:r>
      <w:r>
        <w:rPr>
          <w:bCs/>
        </w:rPr>
        <w:t>i</w:t>
      </w:r>
      <w:r w:rsidRPr="00047E3D">
        <w:rPr>
          <w:bCs/>
        </w:rPr>
        <w:t>n Thessaloniki: A Stakeholder Engagement Approach</w:t>
      </w:r>
    </w:p>
    <w:p w14:paraId="2B3CA35C" w14:textId="28181DC0" w:rsidR="00E978D0" w:rsidRPr="00B57B36" w:rsidRDefault="00047E3D" w:rsidP="00AB5011">
      <w:pPr>
        <w:pStyle w:val="CETAuthors"/>
      </w:pPr>
      <w:r w:rsidRPr="00047E3D">
        <w:rPr>
          <w:bCs/>
        </w:rPr>
        <w:t>Stavros Vlachos</w:t>
      </w:r>
      <w:r w:rsidR="00600535" w:rsidRPr="00B57B36">
        <w:rPr>
          <w:vertAlign w:val="superscript"/>
        </w:rPr>
        <w:t>a</w:t>
      </w:r>
      <w:r w:rsidRPr="00047E3D">
        <w:rPr>
          <w:vertAlign w:val="superscript"/>
        </w:rPr>
        <w:t>,*</w:t>
      </w:r>
      <w:r w:rsidR="00600535" w:rsidRPr="00B57B36">
        <w:t xml:space="preserve">, </w:t>
      </w:r>
      <w:r w:rsidRPr="00047E3D">
        <w:rPr>
          <w:bCs/>
        </w:rPr>
        <w:t>Charikleia Karakosta</w:t>
      </w:r>
      <w:r>
        <w:rPr>
          <w:vertAlign w:val="superscript"/>
        </w:rPr>
        <w:t>a</w:t>
      </w:r>
      <w:r w:rsidR="00600535" w:rsidRPr="00B57B36">
        <w:t>,</w:t>
      </w:r>
      <w:r w:rsidRPr="00047E3D">
        <w:rPr>
          <w:rFonts w:ascii="Times New Roman" w:hAnsi="Times New Roman"/>
          <w:b/>
          <w:noProof w:val="0"/>
          <w:szCs w:val="24"/>
        </w:rPr>
        <w:t xml:space="preserve"> </w:t>
      </w:r>
      <w:r w:rsidRPr="00047E3D">
        <w:rPr>
          <w:bCs/>
        </w:rPr>
        <w:t>Vasiliki Sideri</w:t>
      </w:r>
      <w:r>
        <w:rPr>
          <w:vertAlign w:val="superscript"/>
        </w:rPr>
        <w:t>a</w:t>
      </w:r>
      <w:r>
        <w:rPr>
          <w:bCs/>
        </w:rPr>
        <w:t>,</w:t>
      </w:r>
      <w:r w:rsidRPr="00047E3D">
        <w:rPr>
          <w:rFonts w:ascii="Times New Roman" w:hAnsi="Times New Roman"/>
          <w:b/>
          <w:noProof w:val="0"/>
          <w:szCs w:val="24"/>
        </w:rPr>
        <w:t xml:space="preserve"> </w:t>
      </w:r>
      <w:r w:rsidRPr="00047E3D">
        <w:t>Konstantinos Antoniadis</w:t>
      </w:r>
      <w:r>
        <w:rPr>
          <w:vertAlign w:val="superscript"/>
        </w:rPr>
        <w:t>a</w:t>
      </w:r>
      <w:r>
        <w:t>,</w:t>
      </w:r>
      <w:r w:rsidR="00600535" w:rsidRPr="00B57B36">
        <w:t xml:space="preserve"> </w:t>
      </w:r>
      <w:r w:rsidRPr="00047E3D">
        <w:rPr>
          <w:bCs/>
        </w:rPr>
        <w:t>Apostolos Siskos</w:t>
      </w:r>
      <w:r>
        <w:rPr>
          <w:vertAlign w:val="superscript"/>
        </w:rPr>
        <w:t>a</w:t>
      </w:r>
      <w:r w:rsidRPr="00047E3D">
        <w:t xml:space="preserve"> </w:t>
      </w:r>
    </w:p>
    <w:p w14:paraId="5053C5A8" w14:textId="62ADA544" w:rsidR="00E978D0" w:rsidRPr="00B57B36" w:rsidRDefault="00E978D0" w:rsidP="00E978D0">
      <w:pPr>
        <w:pStyle w:val="CETAddress"/>
      </w:pPr>
      <w:r w:rsidRPr="00B57B36">
        <w:rPr>
          <w:vertAlign w:val="superscript"/>
        </w:rPr>
        <w:t>a</w:t>
      </w:r>
      <w:r w:rsidR="00047E3D">
        <w:t xml:space="preserve">Envirometrics </w:t>
      </w:r>
      <w:r w:rsidR="00047E3D" w:rsidRPr="00047E3D">
        <w:t>Karea 20 11636 Athens, Greece</w:t>
      </w:r>
      <w:r w:rsidRPr="00B57B36">
        <w:t xml:space="preserve"> </w:t>
      </w:r>
    </w:p>
    <w:p w14:paraId="0127A28D" w14:textId="4C3F73D6" w:rsidR="00E978D0" w:rsidRDefault="00047E3D" w:rsidP="00E978D0">
      <w:pPr>
        <w:pStyle w:val="CETemail"/>
      </w:pPr>
      <w:r>
        <w:t xml:space="preserve"> </w:t>
      </w:r>
      <w:r w:rsidR="00CD7CA2" w:rsidRPr="00557D6D">
        <w:t>svlachos@envirometrics.gr</w:t>
      </w:r>
    </w:p>
    <w:p w14:paraId="1A451E05" w14:textId="41F1C7B2" w:rsidR="00CD7CA2" w:rsidRPr="00CD7CA2" w:rsidRDefault="00CD7CA2" w:rsidP="00CD7CA2">
      <w:pPr>
        <w:pStyle w:val="CETBodytext"/>
        <w:rPr>
          <w:lang w:val="en-GB"/>
        </w:rPr>
      </w:pPr>
      <w:r w:rsidRPr="00CD7CA2">
        <w:rPr>
          <w:lang w:val="en-GB"/>
        </w:rPr>
        <w:t xml:space="preserve">Nowadays, it is widely acknowledged that the problem of odour pollution is extremely important and requires immediate action. The problem is high also at European Union’s political agenda, which highlights the issue of odours at European level and seeks to apply innovative tools, such as direct citizen participation and education, </w:t>
      </w:r>
      <w:proofErr w:type="gramStart"/>
      <w:r w:rsidRPr="00CD7CA2">
        <w:rPr>
          <w:lang w:val="en-GB"/>
        </w:rPr>
        <w:t>modelling</w:t>
      </w:r>
      <w:proofErr w:type="gramEnd"/>
      <w:r w:rsidRPr="00CD7CA2">
        <w:rPr>
          <w:lang w:val="en-GB"/>
        </w:rPr>
        <w:t xml:space="preserve"> and mapping tools, in order to tackle the problem and propose a related legislative framework and establish rules for controlling and reducing odour disturbances. </w:t>
      </w:r>
    </w:p>
    <w:p w14:paraId="689D691A" w14:textId="77777777" w:rsidR="00CD7CA2" w:rsidRPr="00CD7CA2" w:rsidRDefault="00CD7CA2" w:rsidP="00CD7CA2">
      <w:pPr>
        <w:pStyle w:val="CETBodytext"/>
        <w:rPr>
          <w:lang w:val="en-GB"/>
        </w:rPr>
      </w:pPr>
      <w:r w:rsidRPr="00CD7CA2">
        <w:rPr>
          <w:lang w:val="en-GB"/>
        </w:rPr>
        <w:t xml:space="preserve">In this context, a key feature is the creation of an exchange of views to inform and understand the nature of odour incidents, with the joint involvement of authorities, citizens, </w:t>
      </w:r>
      <w:proofErr w:type="gramStart"/>
      <w:r w:rsidRPr="00CD7CA2">
        <w:rPr>
          <w:lang w:val="en-GB"/>
        </w:rPr>
        <w:t>universities</w:t>
      </w:r>
      <w:proofErr w:type="gramEnd"/>
      <w:r w:rsidRPr="00CD7CA2">
        <w:rPr>
          <w:lang w:val="en-GB"/>
        </w:rPr>
        <w:t xml:space="preserve"> and odour producers, with the aim of exploring mutually acceptable solutions. </w:t>
      </w:r>
    </w:p>
    <w:p w14:paraId="79D5E8A1" w14:textId="77777777" w:rsidR="00CD7CA2" w:rsidRPr="00CD7CA2" w:rsidRDefault="00CD7CA2" w:rsidP="00CD7CA2">
      <w:pPr>
        <w:pStyle w:val="CETBodytext"/>
        <w:rPr>
          <w:lang w:val="en-GB"/>
        </w:rPr>
      </w:pPr>
      <w:r w:rsidRPr="00CD7CA2">
        <w:rPr>
          <w:lang w:val="en-GB"/>
        </w:rPr>
        <w:t xml:space="preserve">To the best of our knowledge, there are very few studies that deal with the issue of odour nuisance, even less that focus on the western part of the city of Thessaloniki. The treatment of odour annoyance associated with industrial and other activities </w:t>
      </w:r>
      <w:proofErr w:type="gramStart"/>
      <w:r w:rsidRPr="00CD7CA2">
        <w:rPr>
          <w:lang w:val="en-GB"/>
        </w:rPr>
        <w:t>in the area of</w:t>
      </w:r>
      <w:proofErr w:type="gramEnd"/>
      <w:r w:rsidRPr="00CD7CA2">
        <w:rPr>
          <w:lang w:val="en-GB"/>
        </w:rPr>
        <w:t xml:space="preserve"> </w:t>
      </w:r>
      <w:proofErr w:type="spellStart"/>
      <w:r w:rsidRPr="00CD7CA2">
        <w:rPr>
          <w:lang w:val="en-GB"/>
        </w:rPr>
        <w:t>Dendropotamos</w:t>
      </w:r>
      <w:proofErr w:type="spellEnd"/>
      <w:r w:rsidRPr="00CD7CA2">
        <w:rPr>
          <w:lang w:val="en-GB"/>
        </w:rPr>
        <w:t xml:space="preserve">, </w:t>
      </w:r>
      <w:proofErr w:type="spellStart"/>
      <w:r w:rsidRPr="00CD7CA2">
        <w:rPr>
          <w:lang w:val="en-GB"/>
        </w:rPr>
        <w:t>Menemeni</w:t>
      </w:r>
      <w:proofErr w:type="spellEnd"/>
      <w:r w:rsidRPr="00CD7CA2">
        <w:rPr>
          <w:lang w:val="en-GB"/>
        </w:rPr>
        <w:t xml:space="preserve">, </w:t>
      </w:r>
      <w:proofErr w:type="spellStart"/>
      <w:r w:rsidRPr="00CD7CA2">
        <w:rPr>
          <w:lang w:val="en-GB"/>
        </w:rPr>
        <w:t>Kalochori</w:t>
      </w:r>
      <w:proofErr w:type="spellEnd"/>
      <w:r w:rsidRPr="00CD7CA2">
        <w:rPr>
          <w:lang w:val="en-GB"/>
        </w:rPr>
        <w:t xml:space="preserve"> is considered as an appropriate case for the implementation of this study. The combination of the odour issue and at the same time the environmental impact on the area make this case extremely interesting. </w:t>
      </w:r>
    </w:p>
    <w:p w14:paraId="1E4A4EB1" w14:textId="7DC82722" w:rsidR="00CD7CA2" w:rsidRPr="00CD7CA2" w:rsidRDefault="00CD7CA2" w:rsidP="00CD7CA2">
      <w:pPr>
        <w:pStyle w:val="CETBodytext"/>
        <w:rPr>
          <w:lang w:val="en-GB"/>
        </w:rPr>
      </w:pPr>
      <w:r w:rsidRPr="00CD7CA2">
        <w:rPr>
          <w:lang w:val="en-GB"/>
        </w:rPr>
        <w:t xml:space="preserve">The current study aims at proposing a methodology that is based on Citizen Science and stakeholder engagement, which provides for active participation in scientific endeavours that generate new knowledge or perceptions. The proposed approach is part of the methodology initiated by the European Commission Horizon 2020 Project D-NOSES. The main objective of the study is to understand the problem and through stakeholder engagement and the active involvement of as many parties as possible, who are affected by the problem, to improve the impact of odours in the area. Training seminars, bilateral interviews and discussions assisted in developing a common understanding and goals, while an electronic application, the Odour Collect, developed for this purpose can report 'real-time' odour incidents and give them qualitative features. The results from the case study of Thessaloniki are presented in this paper and could further assist decision makers and key player to propose measures for improving the current situation. </w:t>
      </w:r>
    </w:p>
    <w:p w14:paraId="23B9ACDA" w14:textId="77777777" w:rsidR="00CD7CA2" w:rsidRPr="00CD7CA2" w:rsidRDefault="00CD7CA2" w:rsidP="00CD7CA2">
      <w:pPr>
        <w:pStyle w:val="CETBodytext"/>
        <w:rPr>
          <w:lang w:val="en-GB"/>
        </w:rPr>
      </w:pPr>
    </w:p>
    <w:p w14:paraId="2528E4CA" w14:textId="77777777" w:rsidR="00CD7CA2" w:rsidRPr="00CD7CA2" w:rsidRDefault="00CD7CA2" w:rsidP="00CD7CA2">
      <w:pPr>
        <w:pStyle w:val="CETBodytext"/>
        <w:rPr>
          <w:lang w:val="en-GB"/>
        </w:rPr>
      </w:pPr>
      <w:r w:rsidRPr="00CD7CA2">
        <w:rPr>
          <w:lang w:val="en-GB"/>
        </w:rPr>
        <w:t>Key words: Odour Nuisance; Odour; Citizen Science; Stakeholder Engagement; Stakeholders Consultation; Participatory Approach; Statistical Analysis; Thessaloniki</w:t>
      </w:r>
    </w:p>
    <w:p w14:paraId="476B2F2E" w14:textId="77777777" w:rsidR="00600535" w:rsidRPr="004B53F3" w:rsidRDefault="00600535" w:rsidP="004B53F3">
      <w:pPr>
        <w:pStyle w:val="CETHeading1"/>
      </w:pPr>
      <w:r w:rsidRPr="004B53F3">
        <w:t>Introduction</w:t>
      </w:r>
    </w:p>
    <w:p w14:paraId="166B00DF" w14:textId="6E0F82CC" w:rsidR="00CD7CA2" w:rsidRPr="00557D6D" w:rsidRDefault="00CD7CA2" w:rsidP="00557D6D">
      <w:pPr>
        <w:pStyle w:val="CETBodytext"/>
      </w:pPr>
      <w:r w:rsidRPr="00CD7CA2">
        <w:rPr>
          <w:lang w:val="en-GB"/>
        </w:rPr>
        <w:t>N</w:t>
      </w:r>
      <w:proofErr w:type="spellStart"/>
      <w:r w:rsidRPr="00557D6D">
        <w:t>owadays</w:t>
      </w:r>
      <w:proofErr w:type="spellEnd"/>
      <w:r w:rsidRPr="00557D6D">
        <w:t xml:space="preserve">, it is widely acknowledged that the problem of </w:t>
      </w:r>
      <w:proofErr w:type="spellStart"/>
      <w:r w:rsidRPr="00557D6D">
        <w:t>odour</w:t>
      </w:r>
      <w:proofErr w:type="spellEnd"/>
      <w:r w:rsidRPr="00557D6D">
        <w:t xml:space="preserve"> pollution is extremely important and requires immediate action. The problem is high also at European Union’s political agenda, which highlights the issue of </w:t>
      </w:r>
      <w:proofErr w:type="spellStart"/>
      <w:r w:rsidRPr="00557D6D">
        <w:t>odours</w:t>
      </w:r>
      <w:proofErr w:type="spellEnd"/>
      <w:r w:rsidRPr="00557D6D">
        <w:t xml:space="preserve"> at European level and seeks to apply innovative tools, such as direct citizen participation and education, </w:t>
      </w:r>
      <w:proofErr w:type="gramStart"/>
      <w:r w:rsidRPr="00557D6D">
        <w:t>modelling</w:t>
      </w:r>
      <w:proofErr w:type="gramEnd"/>
      <w:r w:rsidRPr="00557D6D">
        <w:t xml:space="preserve"> and mapping tools, in order to tackle the problem and propose a related legislative framework and establish rules for controlling and reducing </w:t>
      </w:r>
      <w:proofErr w:type="spellStart"/>
      <w:r w:rsidRPr="00557D6D">
        <w:t>odour</w:t>
      </w:r>
      <w:proofErr w:type="spellEnd"/>
      <w:r w:rsidRPr="00557D6D">
        <w:t xml:space="preserve"> disturbances. </w:t>
      </w:r>
    </w:p>
    <w:p w14:paraId="220D278F" w14:textId="77777777" w:rsidR="00CD7CA2" w:rsidRPr="00557D6D" w:rsidRDefault="00CD7CA2" w:rsidP="00557D6D">
      <w:pPr>
        <w:pStyle w:val="CETBodytext"/>
      </w:pPr>
    </w:p>
    <w:p w14:paraId="6DB35A6F" w14:textId="6EA4C4C1" w:rsidR="00CD7CA2" w:rsidRPr="00557D6D" w:rsidRDefault="00CD7CA2" w:rsidP="00CB3EEF">
      <w:pPr>
        <w:pStyle w:val="CETReferencetext"/>
        <w:ind w:left="0" w:firstLine="0"/>
      </w:pPr>
      <w:r w:rsidRPr="00557D6D">
        <w:t xml:space="preserve">Stakeholder engagement is becoming an important component of all policy- and decision- support processes </w:t>
      </w:r>
      <w:r w:rsidR="00C44BFD" w:rsidRPr="00CB3EEF">
        <w:rPr>
          <w:lang w:val="en-US"/>
        </w:rPr>
        <w:t>(</w:t>
      </w:r>
      <w:r w:rsidR="002F1965">
        <w:t>Phillipson et al., 2012</w:t>
      </w:r>
      <w:r w:rsidR="00D67725" w:rsidRPr="00CB3EEF">
        <w:rPr>
          <w:lang w:val="en-US"/>
        </w:rPr>
        <w:t>)</w:t>
      </w:r>
      <w:r w:rsidRPr="00557D6D">
        <w:t xml:space="preserve">. Dialogue or knowledge exchange with stakeholders is a very enriching experience, as </w:t>
      </w:r>
      <w:r w:rsidRPr="00557D6D">
        <w:lastRenderedPageBreak/>
        <w:t xml:space="preserve">it allows scientists or researchers to get </w:t>
      </w:r>
      <w:r w:rsidRPr="002F1965">
        <w:t>exposed to different views, approaches, and expectations on outcomes</w:t>
      </w:r>
      <w:r w:rsidR="00D67725" w:rsidRPr="00CB3EEF">
        <w:rPr>
          <w:lang w:val="en-US"/>
        </w:rPr>
        <w:t xml:space="preserve"> </w:t>
      </w:r>
      <w:r w:rsidR="00D67725" w:rsidRPr="0013772E">
        <w:rPr>
          <w:lang w:val="en-US"/>
        </w:rPr>
        <w:t>(</w:t>
      </w:r>
      <w:r w:rsidR="00D67725">
        <w:rPr>
          <w:lang w:val="en-US"/>
        </w:rPr>
        <w:t>Welp</w:t>
      </w:r>
      <w:r w:rsidR="00D67725">
        <w:t xml:space="preserve"> </w:t>
      </w:r>
      <w:r w:rsidR="00D67725">
        <w:rPr>
          <w:lang w:val="en-US"/>
        </w:rPr>
        <w:t xml:space="preserve">et al., </w:t>
      </w:r>
      <w:r w:rsidR="00D67725">
        <w:t>2013)</w:t>
      </w:r>
      <w:r w:rsidRPr="002F1965">
        <w:t xml:space="preserve">. It also enables them to collect feedback and suggestions from a variety of individuals having complementary skills and backgrounds </w:t>
      </w:r>
      <w:r w:rsidR="005B47BB" w:rsidRPr="002F1965">
        <w:rPr>
          <w:lang w:val="en-US"/>
        </w:rPr>
        <w:t>(</w:t>
      </w:r>
      <w:proofErr w:type="spellStart"/>
      <w:r w:rsidR="005B47BB" w:rsidRPr="002F1965">
        <w:rPr>
          <w:lang w:val="en-US"/>
        </w:rPr>
        <w:t>Beringer</w:t>
      </w:r>
      <w:proofErr w:type="spellEnd"/>
      <w:r w:rsidR="005B47BB" w:rsidRPr="002F1965">
        <w:t xml:space="preserve"> </w:t>
      </w:r>
      <w:r w:rsidR="005B47BB" w:rsidRPr="002F1965">
        <w:rPr>
          <w:lang w:val="en-US"/>
        </w:rPr>
        <w:t xml:space="preserve">et al., </w:t>
      </w:r>
      <w:r w:rsidR="005B47BB" w:rsidRPr="002F1965">
        <w:t>2013;</w:t>
      </w:r>
      <w:r w:rsidR="005B47BB" w:rsidRPr="00CB3EEF">
        <w:t xml:space="preserve"> </w:t>
      </w:r>
      <w:r w:rsidR="002F1965" w:rsidRPr="002F1965">
        <w:t xml:space="preserve">Kelley </w:t>
      </w:r>
      <w:r w:rsidR="002F1965">
        <w:t xml:space="preserve">et al., 2016; </w:t>
      </w:r>
      <w:r w:rsidR="005B47BB" w:rsidRPr="002F1965">
        <w:t>Yang et al., 2009)</w:t>
      </w:r>
      <w:r w:rsidRPr="00CB3EEF">
        <w:t>.</w:t>
      </w:r>
      <w:r w:rsidRPr="00557D6D">
        <w:t xml:space="preserve"> </w:t>
      </w:r>
    </w:p>
    <w:p w14:paraId="14A14B17" w14:textId="77777777" w:rsidR="00CD7CA2" w:rsidRPr="00557D6D" w:rsidRDefault="00CD7CA2" w:rsidP="00557D6D">
      <w:pPr>
        <w:pStyle w:val="CETBodytext"/>
      </w:pPr>
    </w:p>
    <w:p w14:paraId="0ACA6117" w14:textId="2E0F7504" w:rsidR="00CD7CA2" w:rsidRPr="00557D6D" w:rsidRDefault="00CD7CA2" w:rsidP="00557D6D">
      <w:pPr>
        <w:pStyle w:val="CETBodytext"/>
      </w:pPr>
      <w:r w:rsidRPr="00557D6D">
        <w:t>The involvement of key stakeholders is very useful to get an alternative perspective</w:t>
      </w:r>
      <w:r w:rsidR="00A63C33">
        <w:t xml:space="preserve"> (</w:t>
      </w:r>
      <w:proofErr w:type="spellStart"/>
      <w:r w:rsidR="00A63C33" w:rsidRPr="00DE04C1">
        <w:t>Haddaway</w:t>
      </w:r>
      <w:proofErr w:type="spellEnd"/>
      <w:r w:rsidR="00A63C33">
        <w:t xml:space="preserve"> et al., 2017)</w:t>
      </w:r>
      <w:r w:rsidRPr="00557D6D">
        <w:t xml:space="preserve">, which stimulates the scientists or researchers to shift the focus from related activities to intended results at an early stage and to clearly communicate main ideas about the problem in terms of objectives, </w:t>
      </w:r>
      <w:proofErr w:type="gramStart"/>
      <w:r w:rsidRPr="00557D6D">
        <w:t>milestones</w:t>
      </w:r>
      <w:proofErr w:type="gramEnd"/>
      <w:r w:rsidRPr="00557D6D">
        <w:t xml:space="preserve"> and outputs. It is important to become fully aware of the implications of a participatory process with external experts and to define clear boundaries for stakeholder involvement</w:t>
      </w:r>
      <w:r w:rsidR="002F1965">
        <w:t xml:space="preserve"> (Pacheco and Garcia, 2012)</w:t>
      </w:r>
      <w:r w:rsidRPr="00557D6D">
        <w:t xml:space="preserve">. </w:t>
      </w:r>
    </w:p>
    <w:p w14:paraId="10FB5785" w14:textId="77777777" w:rsidR="00CD7CA2" w:rsidRPr="00557D6D" w:rsidRDefault="00CD7CA2" w:rsidP="00557D6D">
      <w:pPr>
        <w:pStyle w:val="CETBodytext"/>
      </w:pPr>
    </w:p>
    <w:p w14:paraId="15594A95" w14:textId="31EE2FFA" w:rsidR="00CD7CA2" w:rsidRPr="00557D6D" w:rsidRDefault="00CD7CA2" w:rsidP="00557D6D">
      <w:pPr>
        <w:pStyle w:val="CETBodytext"/>
      </w:pPr>
      <w:r w:rsidRPr="00557D6D">
        <w:t xml:space="preserve">A key feature in this respect when thinking the </w:t>
      </w:r>
      <w:proofErr w:type="spellStart"/>
      <w:r w:rsidRPr="00557D6D">
        <w:t>odour</w:t>
      </w:r>
      <w:proofErr w:type="spellEnd"/>
      <w:r w:rsidRPr="00557D6D">
        <w:t xml:space="preserve"> nuisance problem, is a participatory approach for the creation of an exchange of views platform to inform and understand the nature of </w:t>
      </w:r>
      <w:proofErr w:type="spellStart"/>
      <w:r w:rsidRPr="00557D6D">
        <w:t>odour</w:t>
      </w:r>
      <w:proofErr w:type="spellEnd"/>
      <w:r w:rsidRPr="00557D6D">
        <w:t xml:space="preserve"> incidents</w:t>
      </w:r>
      <w:r w:rsidR="002F1965">
        <w:t xml:space="preserve"> (Winooski et al., 2021)</w:t>
      </w:r>
      <w:r w:rsidRPr="00557D6D">
        <w:t xml:space="preserve">. The approach is based on the joint involvement of authorities, citizens, universities and </w:t>
      </w:r>
      <w:proofErr w:type="spellStart"/>
      <w:r w:rsidRPr="00557D6D">
        <w:t>odour</w:t>
      </w:r>
      <w:proofErr w:type="spellEnd"/>
      <w:r w:rsidRPr="00557D6D">
        <w:t xml:space="preserve"> producers, with the aim of exploring mutually acceptable solutions</w:t>
      </w:r>
      <w:r w:rsidR="002F1965">
        <w:t xml:space="preserve"> (</w:t>
      </w:r>
      <w:proofErr w:type="spellStart"/>
      <w:r w:rsidR="002F1965">
        <w:t>Elelman</w:t>
      </w:r>
      <w:proofErr w:type="spellEnd"/>
      <w:r w:rsidR="002F1965">
        <w:t xml:space="preserve"> and Feldman, 2018)</w:t>
      </w:r>
      <w:r w:rsidRPr="00557D6D">
        <w:t xml:space="preserve">. </w:t>
      </w:r>
    </w:p>
    <w:p w14:paraId="1D8EF1A0" w14:textId="77777777" w:rsidR="00CD7CA2" w:rsidRPr="00557D6D" w:rsidRDefault="00CD7CA2" w:rsidP="00557D6D">
      <w:pPr>
        <w:pStyle w:val="CETBodytext"/>
      </w:pPr>
    </w:p>
    <w:p w14:paraId="0FD84325" w14:textId="31BBC4FC" w:rsidR="00CD7CA2" w:rsidRPr="00557D6D" w:rsidRDefault="00CD7CA2" w:rsidP="00557D6D">
      <w:pPr>
        <w:pStyle w:val="CETBodytext"/>
      </w:pPr>
      <w:r w:rsidRPr="00557D6D">
        <w:t xml:space="preserve">The western part of Thessaloniki is characterized by numerous industrial activities that cause major </w:t>
      </w:r>
      <w:proofErr w:type="spellStart"/>
      <w:r w:rsidRPr="00557D6D">
        <w:t>odour</w:t>
      </w:r>
      <w:proofErr w:type="spellEnd"/>
      <w:r w:rsidRPr="00557D6D">
        <w:t xml:space="preserve"> incidents in the area</w:t>
      </w:r>
      <w:r w:rsidR="005B47BB">
        <w:t xml:space="preserve"> (C</w:t>
      </w:r>
      <w:r w:rsidR="002A3C27">
        <w:t>onti</w:t>
      </w:r>
      <w:r w:rsidR="005B47BB">
        <w:t xml:space="preserve"> et al, 2020)</w:t>
      </w:r>
      <w:r w:rsidR="005B47BB">
        <w:tab/>
      </w:r>
      <w:r w:rsidRPr="00557D6D">
        <w:t>. Simultaneously, various urban activities, such as illegal burning of improper material, further affects the environmental deterioration of the region</w:t>
      </w:r>
      <w:r w:rsidR="00AD322E">
        <w:t xml:space="preserve"> (</w:t>
      </w:r>
      <w:proofErr w:type="spellStart"/>
      <w:r w:rsidR="00AD322E" w:rsidRPr="00CB3EEF">
        <w:t>Weitensfelder</w:t>
      </w:r>
      <w:proofErr w:type="spellEnd"/>
      <w:r w:rsidR="00AD322E" w:rsidRPr="00CB3EEF">
        <w:t xml:space="preserve"> et al, 2020)</w:t>
      </w:r>
      <w:r w:rsidRPr="00557D6D">
        <w:t xml:space="preserve">. In addition, a stream, which is a part of the hydrographic network that runs through the area, receives the untreated effluent of wastewater from this part of the city. The untreated wastewater ends up in </w:t>
      </w:r>
      <w:proofErr w:type="spellStart"/>
      <w:r w:rsidRPr="00557D6D">
        <w:t>Thermaikos</w:t>
      </w:r>
      <w:proofErr w:type="spellEnd"/>
      <w:r w:rsidRPr="00557D6D">
        <w:t xml:space="preserve"> gulf, thus, causing not only excruciating </w:t>
      </w:r>
      <w:proofErr w:type="spellStart"/>
      <w:r w:rsidRPr="00557D6D">
        <w:t>odours</w:t>
      </w:r>
      <w:proofErr w:type="spellEnd"/>
      <w:r w:rsidRPr="00557D6D">
        <w:t xml:space="preserve">, but also environmental damage and pollution. To the best of our knowledge, there are very few studies that deal with the issue of </w:t>
      </w:r>
      <w:proofErr w:type="spellStart"/>
      <w:r w:rsidRPr="00557D6D">
        <w:t>odour</w:t>
      </w:r>
      <w:proofErr w:type="spellEnd"/>
      <w:r w:rsidRPr="00557D6D">
        <w:t xml:space="preserve"> nuisance, even less that focus on the western part of the city of Thessaloniki. </w:t>
      </w:r>
    </w:p>
    <w:p w14:paraId="7694A8DF" w14:textId="77777777" w:rsidR="00CD7CA2" w:rsidRPr="00557D6D" w:rsidRDefault="00CD7CA2" w:rsidP="00557D6D">
      <w:pPr>
        <w:pStyle w:val="CETBodytext"/>
      </w:pPr>
    </w:p>
    <w:p w14:paraId="401F6953" w14:textId="027F837B" w:rsidR="00CD7CA2" w:rsidRPr="00557D6D" w:rsidRDefault="00CD7CA2" w:rsidP="00557D6D">
      <w:pPr>
        <w:pStyle w:val="CETBodytext"/>
      </w:pPr>
      <w:r w:rsidRPr="00557D6D">
        <w:t xml:space="preserve">The aim of the paper is to propose a methodology based on Citizen Science and stakeholder engagement, which provides an active participation in scientific </w:t>
      </w:r>
      <w:r w:rsidR="00557D6D" w:rsidRPr="00557D6D">
        <w:t>endeavors</w:t>
      </w:r>
      <w:r w:rsidRPr="00557D6D">
        <w:t xml:space="preserve"> that generate new knowledge or perceptions. The main objective of this study is to understand the problem and through stakeholder engagement and the active involvement of key parties to reduce the impact of </w:t>
      </w:r>
      <w:proofErr w:type="spellStart"/>
      <w:r w:rsidRPr="00557D6D">
        <w:t>odours</w:t>
      </w:r>
      <w:proofErr w:type="spellEnd"/>
      <w:r w:rsidRPr="00557D6D">
        <w:t xml:space="preserve"> in the area. Training seminars, bilateral interviews and discussions assisted in developing a common understanding and goals, while an electronic application, the Odour Collect, developed for this purpose offered reports of 'real-time' </w:t>
      </w:r>
      <w:proofErr w:type="spellStart"/>
      <w:r w:rsidRPr="00557D6D">
        <w:t>odour</w:t>
      </w:r>
      <w:proofErr w:type="spellEnd"/>
      <w:r w:rsidRPr="00557D6D">
        <w:t xml:space="preserve"> incidents and provide qualitative features. The results from the case study of Thessaloniki are presented in this paper and could further assist decision makers and key player to propose measures for improving the current situation. Finally, it should also be mentioned that the proposed approach is part of the methodology initiated by the European Commission Horizon 2020 Project D-NOSES.</w:t>
      </w:r>
    </w:p>
    <w:p w14:paraId="61A9B77A" w14:textId="51B18146" w:rsidR="00600535" w:rsidRPr="004B53F3" w:rsidRDefault="00CD7CA2" w:rsidP="0047734F">
      <w:pPr>
        <w:pStyle w:val="CETHeading1"/>
      </w:pPr>
      <w:r w:rsidRPr="004B53F3">
        <w:t>Proposed engagement framework</w:t>
      </w:r>
    </w:p>
    <w:p w14:paraId="22ED323C" w14:textId="10763ACC" w:rsidR="00CD7CA2" w:rsidRDefault="00CD7CA2" w:rsidP="00CD7CA2">
      <w:pPr>
        <w:pStyle w:val="CETBodytext"/>
        <w:rPr>
          <w:lang w:val="en-GB"/>
        </w:rPr>
      </w:pPr>
      <w:r w:rsidRPr="00CD7CA2">
        <w:rPr>
          <w:lang w:val="en-GB"/>
        </w:rPr>
        <w:t xml:space="preserve">Today, the term “stakeholder engagement” is emerging as a means of describing a broader, more inclusive, and continuous process between a project and those potentially impacted that encompasses a range of activities and </w:t>
      </w:r>
      <w:r w:rsidR="0047734F" w:rsidRPr="00CD7CA2">
        <w:rPr>
          <w:lang w:val="en-GB"/>
        </w:rPr>
        <w:t>approaches and</w:t>
      </w:r>
      <w:r w:rsidRPr="00CD7CA2">
        <w:rPr>
          <w:lang w:val="en-GB"/>
        </w:rPr>
        <w:t xml:space="preserve"> spans the entire life of a project. Therefore, developing a stakeholder engagement plan</w:t>
      </w:r>
      <w:r w:rsidR="003F5CE0">
        <w:rPr>
          <w:lang w:val="en-GB"/>
        </w:rPr>
        <w:t xml:space="preserve"> (</w:t>
      </w:r>
      <w:r w:rsidR="003F5CE0">
        <w:t>Balestrini et al., 2018)</w:t>
      </w:r>
      <w:r w:rsidRPr="00CD7CA2">
        <w:rPr>
          <w:lang w:val="en-GB"/>
        </w:rPr>
        <w:t xml:space="preserve"> is crucial, to:</w:t>
      </w:r>
    </w:p>
    <w:p w14:paraId="0D8ED8F6" w14:textId="77777777" w:rsidR="00227C18" w:rsidRPr="00CD7CA2" w:rsidRDefault="00227C18" w:rsidP="00CD7CA2">
      <w:pPr>
        <w:pStyle w:val="CETBodytext"/>
        <w:rPr>
          <w:lang w:val="en-GB"/>
        </w:rPr>
      </w:pPr>
    </w:p>
    <w:p w14:paraId="05617BB4" w14:textId="4B4B8389" w:rsidR="00CD7CA2" w:rsidRPr="00CD7CA2" w:rsidRDefault="00CD7CA2" w:rsidP="004B53F3">
      <w:pPr>
        <w:pStyle w:val="CETBodytext"/>
        <w:ind w:left="708"/>
        <w:rPr>
          <w:lang w:val="en-GB"/>
        </w:rPr>
      </w:pPr>
      <w:r w:rsidRPr="00CD7CA2">
        <w:rPr>
          <w:lang w:val="en-GB"/>
        </w:rPr>
        <w:t xml:space="preserve">•Prioritise the main topics/issues that deserve discussion with </w:t>
      </w:r>
      <w:proofErr w:type="gramStart"/>
      <w:r w:rsidRPr="00CD7CA2">
        <w:rPr>
          <w:lang w:val="en-GB"/>
        </w:rPr>
        <w:t>stakeholders;</w:t>
      </w:r>
      <w:proofErr w:type="gramEnd"/>
    </w:p>
    <w:p w14:paraId="07D36BC2" w14:textId="0920D301" w:rsidR="00CD7CA2" w:rsidRPr="00CD7CA2" w:rsidRDefault="00CD7CA2" w:rsidP="004B53F3">
      <w:pPr>
        <w:pStyle w:val="CETBodytext"/>
        <w:ind w:left="708"/>
        <w:rPr>
          <w:lang w:val="en-GB"/>
        </w:rPr>
      </w:pPr>
      <w:r w:rsidRPr="00CD7CA2">
        <w:rPr>
          <w:lang w:val="en-GB"/>
        </w:rPr>
        <w:t xml:space="preserve">•Set the desired </w:t>
      </w:r>
      <w:proofErr w:type="gramStart"/>
      <w:r w:rsidRPr="00CD7CA2">
        <w:rPr>
          <w:lang w:val="en-GB"/>
        </w:rPr>
        <w:t>outcomes;</w:t>
      </w:r>
      <w:proofErr w:type="gramEnd"/>
    </w:p>
    <w:p w14:paraId="54D99566" w14:textId="2B020520" w:rsidR="00CD7CA2" w:rsidRPr="00CD7CA2" w:rsidRDefault="00CD7CA2" w:rsidP="004B53F3">
      <w:pPr>
        <w:pStyle w:val="CETBodytext"/>
        <w:ind w:left="708"/>
        <w:rPr>
          <w:lang w:val="en-GB"/>
        </w:rPr>
      </w:pPr>
      <w:r w:rsidRPr="00CD7CA2">
        <w:rPr>
          <w:lang w:val="en-GB"/>
        </w:rPr>
        <w:t xml:space="preserve">•Identify the main communication channels for dialoguing and exchanging with </w:t>
      </w:r>
      <w:proofErr w:type="gramStart"/>
      <w:r w:rsidRPr="00CD7CA2">
        <w:rPr>
          <w:lang w:val="en-GB"/>
        </w:rPr>
        <w:t>them;</w:t>
      </w:r>
      <w:proofErr w:type="gramEnd"/>
    </w:p>
    <w:p w14:paraId="3A455329" w14:textId="77777777" w:rsidR="00CD7CA2" w:rsidRPr="00CD7CA2" w:rsidRDefault="00CD7CA2" w:rsidP="004B53F3">
      <w:pPr>
        <w:pStyle w:val="CETBodytext"/>
        <w:ind w:left="708"/>
        <w:rPr>
          <w:lang w:val="en-GB"/>
        </w:rPr>
      </w:pPr>
      <w:r w:rsidRPr="00CD7CA2">
        <w:rPr>
          <w:lang w:val="en-GB"/>
        </w:rPr>
        <w:t>•</w:t>
      </w:r>
      <w:r w:rsidRPr="00CD7CA2">
        <w:rPr>
          <w:lang w:val="en-GB"/>
        </w:rPr>
        <w:tab/>
        <w:t xml:space="preserve">Clarify the right point in time when stakeholders need to be mobilised, in order to be more effective and maximise the chances of getting valuable inputs when </w:t>
      </w:r>
      <w:proofErr w:type="gramStart"/>
      <w:r w:rsidRPr="00CD7CA2">
        <w:rPr>
          <w:lang w:val="en-GB"/>
        </w:rPr>
        <w:t>needed;</w:t>
      </w:r>
      <w:proofErr w:type="gramEnd"/>
    </w:p>
    <w:p w14:paraId="10942789" w14:textId="74ABFA84" w:rsidR="00CD7CA2" w:rsidRDefault="00CD7CA2" w:rsidP="00227C18">
      <w:pPr>
        <w:pStyle w:val="CETBodytext"/>
        <w:tabs>
          <w:tab w:val="clear" w:pos="7100"/>
          <w:tab w:val="left" w:pos="5842"/>
        </w:tabs>
        <w:ind w:left="708"/>
        <w:rPr>
          <w:lang w:val="en-GB"/>
        </w:rPr>
      </w:pPr>
      <w:r w:rsidRPr="00CD7CA2">
        <w:rPr>
          <w:lang w:val="en-GB"/>
        </w:rPr>
        <w:t>•Develop a dissemination strategy, including follow-up.</w:t>
      </w:r>
      <w:r w:rsidR="00227C18">
        <w:rPr>
          <w:lang w:val="en-GB"/>
        </w:rPr>
        <w:tab/>
      </w:r>
    </w:p>
    <w:p w14:paraId="04B68D46" w14:textId="77777777" w:rsidR="00227C18" w:rsidRPr="00CD7CA2" w:rsidRDefault="00227C18" w:rsidP="00227C18">
      <w:pPr>
        <w:pStyle w:val="CETBodytext"/>
        <w:tabs>
          <w:tab w:val="clear" w:pos="7100"/>
          <w:tab w:val="left" w:pos="5842"/>
        </w:tabs>
        <w:ind w:left="708"/>
        <w:rPr>
          <w:lang w:val="en-GB"/>
        </w:rPr>
      </w:pPr>
    </w:p>
    <w:p w14:paraId="63DFE6DB" w14:textId="2B5EC9A7" w:rsidR="00CD7CA2" w:rsidRPr="00CD7CA2" w:rsidRDefault="00CD7CA2" w:rsidP="00CD7CA2">
      <w:pPr>
        <w:pStyle w:val="CETBodytext"/>
        <w:rPr>
          <w:lang w:val="en-GB"/>
        </w:rPr>
      </w:pPr>
      <w:r w:rsidRPr="00CD7CA2">
        <w:rPr>
          <w:lang w:val="en-GB"/>
        </w:rPr>
        <w:t xml:space="preserve">The </w:t>
      </w:r>
      <w:proofErr w:type="gramStart"/>
      <w:r w:rsidRPr="00CD7CA2">
        <w:rPr>
          <w:lang w:val="en-GB"/>
        </w:rPr>
        <w:t>particular paper</w:t>
      </w:r>
      <w:proofErr w:type="gramEnd"/>
      <w:r w:rsidRPr="00CD7CA2">
        <w:rPr>
          <w:lang w:val="en-GB"/>
        </w:rPr>
        <w:t xml:space="preserve"> proposes a methodological framework, which could act as a </w:t>
      </w:r>
      <w:r w:rsidR="00557D6D" w:rsidRPr="00CD7CA2">
        <w:rPr>
          <w:lang w:val="en-GB"/>
        </w:rPr>
        <w:t>concrete</w:t>
      </w:r>
      <w:r w:rsidRPr="00CD7CA2">
        <w:rPr>
          <w:lang w:val="en-GB"/>
        </w:rPr>
        <w:t xml:space="preserve"> stakeholder engagement plan and consists of a series of concurrent and consecutive steps to involve stakeholders throughout the process. In the following paragraphs these steps are described in brief.</w:t>
      </w:r>
    </w:p>
    <w:p w14:paraId="1FA85D24" w14:textId="77777777" w:rsidR="00CD7CA2" w:rsidRPr="00CD7CA2" w:rsidRDefault="00CD7CA2" w:rsidP="00CD7CA2">
      <w:pPr>
        <w:pStyle w:val="CETBodytext"/>
        <w:rPr>
          <w:lang w:val="en-GB"/>
        </w:rPr>
      </w:pPr>
    </w:p>
    <w:p w14:paraId="1909F20A" w14:textId="77777777" w:rsidR="00CD7CA2" w:rsidRPr="00CD7CA2" w:rsidRDefault="00CD7CA2" w:rsidP="00CD7CA2">
      <w:pPr>
        <w:pStyle w:val="CETBodytext"/>
        <w:rPr>
          <w:lang w:val="en-GB"/>
        </w:rPr>
      </w:pPr>
      <w:r w:rsidRPr="00CD7CA2">
        <w:rPr>
          <w:lang w:val="en-GB"/>
        </w:rPr>
        <w:t>The proposed engagement framework is highly inclusive and aims to involve participants affected by odour issues regardless its socio-economic and socio-cultural realities, its gender, its literacy level, religious affiliation, age, and disabilities, amongst others. Since all people are affected by odour issues the aim is to involve them to co-create together the actions needed within the engagement phases (Figure 1).</w:t>
      </w:r>
    </w:p>
    <w:p w14:paraId="2D9739CF" w14:textId="566BC856" w:rsidR="00CD7CA2" w:rsidRPr="00CD7CA2" w:rsidRDefault="00CD7CA2" w:rsidP="00CD7CA2">
      <w:pPr>
        <w:pStyle w:val="CETBodytext"/>
        <w:rPr>
          <w:lang w:val="en-GB"/>
        </w:rPr>
      </w:pPr>
    </w:p>
    <w:p w14:paraId="061EAACF" w14:textId="421D0CAF" w:rsidR="00CD7CA2" w:rsidRDefault="00AE4D5B">
      <w:pPr>
        <w:pStyle w:val="CETBodytext"/>
      </w:pPr>
      <w:r>
        <w:rPr>
          <w:noProof/>
        </w:rPr>
        <w:lastRenderedPageBreak/>
        <w:drawing>
          <wp:anchor distT="0" distB="0" distL="114300" distR="114300" simplePos="0" relativeHeight="251658240" behindDoc="0" locked="0" layoutInCell="1" allowOverlap="1" wp14:anchorId="29330C56" wp14:editId="6492337B">
            <wp:simplePos x="0" y="0"/>
            <wp:positionH relativeFrom="column">
              <wp:posOffset>181701</wp:posOffset>
            </wp:positionH>
            <wp:positionV relativeFrom="page">
              <wp:posOffset>1077595</wp:posOffset>
            </wp:positionV>
            <wp:extent cx="4907915" cy="1091565"/>
            <wp:effectExtent l="0" t="0" r="0" b="0"/>
            <wp:wrapTopAndBottom/>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7915" cy="1091565"/>
                    </a:xfrm>
                    <a:prstGeom prst="rect">
                      <a:avLst/>
                    </a:prstGeom>
                    <a:noFill/>
                  </pic:spPr>
                </pic:pic>
              </a:graphicData>
            </a:graphic>
          </wp:anchor>
        </w:drawing>
      </w:r>
      <w:r w:rsidR="00CD7CA2" w:rsidRPr="00CD7CA2">
        <w:t>Figure 1. Engagement Phases</w:t>
      </w:r>
    </w:p>
    <w:p w14:paraId="091CD701" w14:textId="77777777" w:rsidR="00177C35" w:rsidRPr="00CD7CA2" w:rsidRDefault="00177C35" w:rsidP="00CB3EEF">
      <w:pPr>
        <w:pStyle w:val="CETBodytext"/>
      </w:pPr>
    </w:p>
    <w:p w14:paraId="41AB70F7" w14:textId="77777777" w:rsidR="00CD7CA2" w:rsidRPr="00E76BE5" w:rsidRDefault="00CD7CA2" w:rsidP="00E76BE5">
      <w:pPr>
        <w:pStyle w:val="CETheadingx"/>
      </w:pPr>
      <w:r w:rsidRPr="00E76BE5">
        <w:t>Step 1: Identify the Issues</w:t>
      </w:r>
    </w:p>
    <w:p w14:paraId="69198507" w14:textId="5DA56587" w:rsidR="00CD7CA2" w:rsidRPr="00227C18" w:rsidRDefault="00CD7CA2" w:rsidP="00CD7CA2">
      <w:pPr>
        <w:pStyle w:val="CETBodytext"/>
      </w:pPr>
      <w:r w:rsidRPr="00CD7CA2">
        <w:rPr>
          <w:lang w:val="en-GB"/>
        </w:rPr>
        <w:t xml:space="preserve">In this step the methodology identifies the key odour issues, as well as if these issues are affecting a particular group of people. A list of the different local groups encountered is developed, </w:t>
      </w:r>
      <w:proofErr w:type="gramStart"/>
      <w:r w:rsidRPr="00CD7CA2">
        <w:rPr>
          <w:lang w:val="en-GB"/>
        </w:rPr>
        <w:t>in order to</w:t>
      </w:r>
      <w:proofErr w:type="gramEnd"/>
      <w:r w:rsidRPr="00CD7CA2">
        <w:rPr>
          <w:lang w:val="en-GB"/>
        </w:rPr>
        <w:t xml:space="preserve"> construct a stakeholder map in the following phase </w:t>
      </w:r>
      <w:r w:rsidR="00227C18" w:rsidRPr="00227C18">
        <w:t>(</w:t>
      </w:r>
      <w:r w:rsidR="00227C18">
        <w:t>Karakosta et al</w:t>
      </w:r>
      <w:r w:rsidR="00E76BE5">
        <w:t>.</w:t>
      </w:r>
      <w:r w:rsidR="00227C18">
        <w:t xml:space="preserve">, </w:t>
      </w:r>
      <w:r w:rsidR="00E76BE5">
        <w:t>2015</w:t>
      </w:r>
      <w:r w:rsidR="002F1965">
        <w:t>; Pacheco and Garcia, 2012</w:t>
      </w:r>
      <w:r w:rsidR="00E76BE5">
        <w:t>).</w:t>
      </w:r>
    </w:p>
    <w:p w14:paraId="13113A75" w14:textId="77777777" w:rsidR="00CD7CA2" w:rsidRPr="00CD7CA2" w:rsidRDefault="00CD7CA2" w:rsidP="00CD7CA2">
      <w:pPr>
        <w:pStyle w:val="CETBodytext"/>
        <w:rPr>
          <w:lang w:val="en-GB"/>
        </w:rPr>
      </w:pPr>
    </w:p>
    <w:p w14:paraId="16FC56F9" w14:textId="77777777" w:rsidR="00CD7CA2" w:rsidRPr="00CD7CA2" w:rsidRDefault="00CD7CA2" w:rsidP="004B53F3">
      <w:pPr>
        <w:pStyle w:val="CETheadingx"/>
      </w:pPr>
      <w:r w:rsidRPr="00CD7CA2">
        <w:t>Step 2: Stakeholder Mapping</w:t>
      </w:r>
    </w:p>
    <w:p w14:paraId="69A15856" w14:textId="6F7C770E" w:rsidR="00CD7CA2" w:rsidRPr="00CD7CA2" w:rsidRDefault="00CD7CA2" w:rsidP="00CD7CA2">
      <w:pPr>
        <w:pStyle w:val="CETBodytext"/>
        <w:rPr>
          <w:lang w:val="en-GB"/>
        </w:rPr>
      </w:pPr>
      <w:r w:rsidRPr="00CD7CA2">
        <w:rPr>
          <w:lang w:val="en-GB"/>
        </w:rPr>
        <w:t xml:space="preserve">All groups affected and affecting by the issue are included in the map. Key contacts, </w:t>
      </w:r>
      <w:proofErr w:type="gramStart"/>
      <w:r w:rsidRPr="00CD7CA2">
        <w:rPr>
          <w:lang w:val="en-GB"/>
        </w:rPr>
        <w:t>conversations</w:t>
      </w:r>
      <w:proofErr w:type="gramEnd"/>
      <w:r w:rsidRPr="00CD7CA2">
        <w:rPr>
          <w:lang w:val="en-GB"/>
        </w:rPr>
        <w:t xml:space="preserve"> and meetings with the already identified stakeholders start to identify more factors to be included. These contacts are also used to understand potential motivations and barriers to participate in the pilot, as well as mitigation strategies for the stakeholder participation.</w:t>
      </w:r>
      <w:r w:rsidR="00D67725" w:rsidRPr="00CB3EEF">
        <w:t xml:space="preserve"> </w:t>
      </w:r>
      <w:r w:rsidRPr="00CD7CA2">
        <w:rPr>
          <w:lang w:val="en-GB"/>
        </w:rPr>
        <w:t xml:space="preserve">Through workshops and meetings participants are introduced to the methodology and principles of stakeholder engagement approach </w:t>
      </w:r>
      <w:proofErr w:type="gramStart"/>
      <w:r w:rsidRPr="00CD7CA2">
        <w:rPr>
          <w:lang w:val="en-GB"/>
        </w:rPr>
        <w:t>in order to</w:t>
      </w:r>
      <w:proofErr w:type="gramEnd"/>
      <w:r w:rsidRPr="00CD7CA2">
        <w:rPr>
          <w:lang w:val="en-GB"/>
        </w:rPr>
        <w:t xml:space="preserve"> be part of the treatment.</w:t>
      </w:r>
    </w:p>
    <w:p w14:paraId="6DC6B8D3" w14:textId="77777777" w:rsidR="00CD7CA2" w:rsidRPr="00CD7CA2" w:rsidRDefault="00CD7CA2" w:rsidP="00CD7CA2">
      <w:pPr>
        <w:pStyle w:val="CETBodytext"/>
        <w:rPr>
          <w:lang w:val="en-GB"/>
        </w:rPr>
      </w:pPr>
    </w:p>
    <w:p w14:paraId="7BAD71D5" w14:textId="77777777" w:rsidR="00CD7CA2" w:rsidRPr="00CD7CA2" w:rsidRDefault="00CD7CA2" w:rsidP="004B53F3">
      <w:pPr>
        <w:pStyle w:val="CETheadingx"/>
      </w:pPr>
      <w:r w:rsidRPr="00CD7CA2">
        <w:t>Step 3: Frame the Problem</w:t>
      </w:r>
    </w:p>
    <w:p w14:paraId="47F4E9E5" w14:textId="77777777" w:rsidR="00CD7CA2" w:rsidRPr="00CD7CA2" w:rsidRDefault="00CD7CA2" w:rsidP="00CD7CA2">
      <w:pPr>
        <w:pStyle w:val="CETBodytext"/>
        <w:rPr>
          <w:lang w:val="en-GB"/>
        </w:rPr>
      </w:pPr>
      <w:r w:rsidRPr="00CD7CA2">
        <w:rPr>
          <w:lang w:val="en-GB"/>
        </w:rPr>
        <w:t xml:space="preserve">At this </w:t>
      </w:r>
      <w:proofErr w:type="gramStart"/>
      <w:r w:rsidRPr="00CD7CA2">
        <w:rPr>
          <w:lang w:val="en-GB"/>
        </w:rPr>
        <w:t>stage</w:t>
      </w:r>
      <w:proofErr w:type="gramEnd"/>
      <w:r w:rsidRPr="00CD7CA2">
        <w:rPr>
          <w:lang w:val="en-GB"/>
        </w:rPr>
        <w:t xml:space="preserve"> the framing of the problem takes play, trying to understand the initial priorities of the issue, as well as the social, cultural, urban, political and economic context of the area including a wide variety of views. </w:t>
      </w:r>
    </w:p>
    <w:p w14:paraId="19BDD73A" w14:textId="77777777" w:rsidR="00CD7CA2" w:rsidRPr="00CD7CA2" w:rsidRDefault="00CD7CA2" w:rsidP="00CD7CA2">
      <w:pPr>
        <w:pStyle w:val="CETBodytext"/>
        <w:rPr>
          <w:lang w:val="en-GB"/>
        </w:rPr>
      </w:pPr>
    </w:p>
    <w:p w14:paraId="22F6882A" w14:textId="77777777" w:rsidR="00CD7CA2" w:rsidRPr="00CD7CA2" w:rsidRDefault="00CD7CA2" w:rsidP="004B53F3">
      <w:pPr>
        <w:pStyle w:val="CETheadingx"/>
      </w:pPr>
      <w:r w:rsidRPr="00CD7CA2">
        <w:t>Step 4: Pilot Design</w:t>
      </w:r>
    </w:p>
    <w:p w14:paraId="66D280A8" w14:textId="14F039FE" w:rsidR="00CD7CA2" w:rsidRPr="00CD7CA2" w:rsidRDefault="00CD7CA2" w:rsidP="00CD7CA2">
      <w:pPr>
        <w:pStyle w:val="CETBodytext"/>
        <w:rPr>
          <w:lang w:val="en-GB"/>
        </w:rPr>
      </w:pPr>
      <w:r w:rsidRPr="00CD7CA2">
        <w:rPr>
          <w:lang w:val="en-GB"/>
        </w:rPr>
        <w:t>Following the stakeholder map, the methodology sets the pilot actions based on specific strategy according to each stakeholder group</w:t>
      </w:r>
      <w:r w:rsidR="00E76BE5">
        <w:rPr>
          <w:lang w:val="en-GB"/>
        </w:rPr>
        <w:t xml:space="preserve"> </w:t>
      </w:r>
      <w:r w:rsidR="00E76BE5" w:rsidRPr="00227C18">
        <w:t>(</w:t>
      </w:r>
      <w:proofErr w:type="spellStart"/>
      <w:r w:rsidR="00E76BE5">
        <w:t>Karakosta</w:t>
      </w:r>
      <w:proofErr w:type="spellEnd"/>
      <w:r w:rsidR="00E76BE5">
        <w:t xml:space="preserve"> </w:t>
      </w:r>
      <w:r w:rsidR="002F1965">
        <w:t xml:space="preserve">and </w:t>
      </w:r>
      <w:proofErr w:type="spellStart"/>
      <w:r w:rsidR="002F1965">
        <w:t>Flamos</w:t>
      </w:r>
      <w:proofErr w:type="spellEnd"/>
      <w:r w:rsidR="002F1965">
        <w:t>,</w:t>
      </w:r>
      <w:r w:rsidR="00E76BE5">
        <w:t xml:space="preserve"> 2016)</w:t>
      </w:r>
      <w:r w:rsidRPr="00E76BE5">
        <w:rPr>
          <w:lang w:val="en-GB"/>
        </w:rPr>
        <w:t>.</w:t>
      </w:r>
      <w:r w:rsidRPr="00CD7CA2">
        <w:rPr>
          <w:lang w:val="en-GB"/>
        </w:rPr>
        <w:t xml:space="preserve"> The strategy defines where public consultations are planned and the communication methods, the audience for each engagement, the frequency, and the tools that will be used to efficiently implement the pilot are identified. </w:t>
      </w:r>
      <w:r w:rsidR="00E76BE5" w:rsidRPr="00CD7CA2">
        <w:rPr>
          <w:lang w:val="en-GB"/>
        </w:rPr>
        <w:t>It is</w:t>
      </w:r>
      <w:r w:rsidRPr="00CD7CA2">
        <w:rPr>
          <w:lang w:val="en-GB"/>
        </w:rPr>
        <w:t xml:space="preserve"> important to </w:t>
      </w:r>
      <w:proofErr w:type="gramStart"/>
      <w:r w:rsidRPr="00CD7CA2">
        <w:rPr>
          <w:lang w:val="en-GB"/>
        </w:rPr>
        <w:t>take into account</w:t>
      </w:r>
      <w:proofErr w:type="gramEnd"/>
      <w:r w:rsidRPr="00CD7CA2">
        <w:rPr>
          <w:lang w:val="en-GB"/>
        </w:rPr>
        <w:t xml:space="preserve"> when the communications are planned, as some tools/ means require more effort to be organised and implemented than others. Several techniques to approach stakeholders are recruited, including emailing, phone interviews, face-to-face meetings, questionnaires, distribution of dissemination material, focus groups, workshops, thematic discussions, </w:t>
      </w:r>
      <w:proofErr w:type="gramStart"/>
      <w:r w:rsidRPr="00CD7CA2">
        <w:rPr>
          <w:lang w:val="en-GB"/>
        </w:rPr>
        <w:t>in order to</w:t>
      </w:r>
      <w:proofErr w:type="gramEnd"/>
      <w:r w:rsidRPr="00CD7CA2">
        <w:rPr>
          <w:lang w:val="en-GB"/>
        </w:rPr>
        <w:t xml:space="preserve"> attract stakeholders’ interest and input.</w:t>
      </w:r>
    </w:p>
    <w:p w14:paraId="349E9F39" w14:textId="77777777" w:rsidR="00CD7CA2" w:rsidRPr="00CD7CA2" w:rsidRDefault="00CD7CA2" w:rsidP="00CD7CA2">
      <w:pPr>
        <w:pStyle w:val="CETBodytext"/>
        <w:rPr>
          <w:lang w:val="en-GB"/>
        </w:rPr>
      </w:pPr>
    </w:p>
    <w:p w14:paraId="444F20A7" w14:textId="77777777" w:rsidR="00CD7CA2" w:rsidRPr="00CD7CA2" w:rsidRDefault="00CD7CA2" w:rsidP="004B53F3">
      <w:pPr>
        <w:pStyle w:val="CETheadingx"/>
      </w:pPr>
      <w:r w:rsidRPr="00CD7CA2">
        <w:t>Step 5: Data Collection</w:t>
      </w:r>
    </w:p>
    <w:p w14:paraId="2AA4836E" w14:textId="77777777" w:rsidR="00CD7CA2" w:rsidRPr="00CD7CA2" w:rsidRDefault="00CD7CA2" w:rsidP="00CD7CA2">
      <w:pPr>
        <w:pStyle w:val="CETBodytext"/>
        <w:rPr>
          <w:lang w:val="en-GB"/>
        </w:rPr>
      </w:pPr>
      <w:r w:rsidRPr="00CD7CA2">
        <w:rPr>
          <w:lang w:val="en-GB"/>
        </w:rPr>
        <w:t xml:space="preserve">During this step relevant data is collected by using several identified means of stakeholder </w:t>
      </w:r>
      <w:proofErr w:type="gramStart"/>
      <w:r w:rsidRPr="00CD7CA2">
        <w:rPr>
          <w:lang w:val="en-GB"/>
        </w:rPr>
        <w:t>engagement</w:t>
      </w:r>
      <w:proofErr w:type="gramEnd"/>
      <w:r w:rsidRPr="00CD7CA2">
        <w:rPr>
          <w:lang w:val="en-GB"/>
        </w:rPr>
        <w:t xml:space="preserve">. In the pilot area the data collection process is based on citizens records about odour incidents and their experience in terms of density, frequency, </w:t>
      </w:r>
      <w:proofErr w:type="gramStart"/>
      <w:r w:rsidRPr="00CD7CA2">
        <w:rPr>
          <w:lang w:val="en-GB"/>
        </w:rPr>
        <w:t>location</w:t>
      </w:r>
      <w:proofErr w:type="gramEnd"/>
      <w:r w:rsidRPr="00CD7CA2">
        <w:rPr>
          <w:lang w:val="en-GB"/>
        </w:rPr>
        <w:t xml:space="preserve"> and odour type. </w:t>
      </w:r>
    </w:p>
    <w:p w14:paraId="0452E7DC" w14:textId="77777777" w:rsidR="00CD7CA2" w:rsidRPr="00CD7CA2" w:rsidRDefault="00CD7CA2" w:rsidP="00CD7CA2">
      <w:pPr>
        <w:pStyle w:val="CETBodytext"/>
        <w:rPr>
          <w:lang w:val="en-GB"/>
        </w:rPr>
      </w:pPr>
    </w:p>
    <w:p w14:paraId="7B958EAD" w14:textId="77777777" w:rsidR="00CD7CA2" w:rsidRPr="00CD7CA2" w:rsidRDefault="00CD7CA2" w:rsidP="004B53F3">
      <w:pPr>
        <w:pStyle w:val="CETheadingx"/>
      </w:pPr>
      <w:r w:rsidRPr="00CD7CA2">
        <w:t>Step 6: Data Analysis and Outcomes</w:t>
      </w:r>
    </w:p>
    <w:p w14:paraId="338F860C" w14:textId="77777777" w:rsidR="00CD7CA2" w:rsidRPr="00CD7CA2" w:rsidRDefault="00CD7CA2" w:rsidP="00CD7CA2">
      <w:pPr>
        <w:pStyle w:val="CETBodytext"/>
        <w:rPr>
          <w:lang w:val="en-GB"/>
        </w:rPr>
      </w:pPr>
      <w:r w:rsidRPr="00CD7CA2">
        <w:rPr>
          <w:lang w:val="en-GB"/>
        </w:rPr>
        <w:t xml:space="preserve">Are you aware of language adaptation and potential barriers for participants </w:t>
      </w:r>
      <w:proofErr w:type="gramStart"/>
      <w:r w:rsidRPr="00CD7CA2">
        <w:rPr>
          <w:lang w:val="en-GB"/>
        </w:rPr>
        <w:t>in order to</w:t>
      </w:r>
      <w:proofErr w:type="gramEnd"/>
      <w:r w:rsidRPr="00CD7CA2">
        <w:rPr>
          <w:lang w:val="en-GB"/>
        </w:rPr>
        <w:t xml:space="preserve"> be understandable for everyone?</w:t>
      </w:r>
    </w:p>
    <w:p w14:paraId="2416564C" w14:textId="6E43A680" w:rsidR="00CD7CA2" w:rsidRPr="00CD7CA2" w:rsidRDefault="00CD7CA2" w:rsidP="00CD7CA2">
      <w:pPr>
        <w:pStyle w:val="CETBodytext"/>
        <w:rPr>
          <w:lang w:val="en-GB"/>
        </w:rPr>
      </w:pPr>
      <w:r w:rsidRPr="00CD7CA2">
        <w:rPr>
          <w:lang w:val="en-GB"/>
        </w:rPr>
        <w:t xml:space="preserve">How do you consider </w:t>
      </w:r>
      <w:r w:rsidR="00181516" w:rsidRPr="00CD7CA2">
        <w:rPr>
          <w:lang w:val="en-GB"/>
        </w:rPr>
        <w:t>including</w:t>
      </w:r>
      <w:r w:rsidRPr="00CD7CA2">
        <w:rPr>
          <w:lang w:val="en-GB"/>
        </w:rPr>
        <w:t xml:space="preserve"> participant’s voices in data analysis?</w:t>
      </w:r>
    </w:p>
    <w:p w14:paraId="1A3CA360" w14:textId="77BDBB76" w:rsidR="00600535" w:rsidRPr="00B57B36" w:rsidRDefault="00CD7CA2" w:rsidP="00CD7CA2">
      <w:pPr>
        <w:pStyle w:val="CETBodytext"/>
        <w:rPr>
          <w:lang w:val="en-GB"/>
        </w:rPr>
      </w:pPr>
      <w:r w:rsidRPr="00CD7CA2">
        <w:rPr>
          <w:lang w:val="en-GB"/>
        </w:rPr>
        <w:t>Key outcomes are summarised, while also adapting language and methods to share outcomes with all engaged in the process stakeholders.</w:t>
      </w:r>
    </w:p>
    <w:p w14:paraId="6B4C63E5" w14:textId="42A522CA" w:rsidR="00600535" w:rsidRPr="00B57B36" w:rsidRDefault="004B53F3" w:rsidP="0047734F">
      <w:pPr>
        <w:pStyle w:val="CETHeading1"/>
      </w:pPr>
      <w:r w:rsidRPr="004B53F3">
        <w:t>Pilot application: Thessaloniki</w:t>
      </w:r>
    </w:p>
    <w:p w14:paraId="224AF9E9" w14:textId="12531531" w:rsidR="004B53F3" w:rsidRPr="004B53F3" w:rsidRDefault="004B53F3" w:rsidP="004B53F3">
      <w:pPr>
        <w:pStyle w:val="CETBodytext"/>
        <w:rPr>
          <w:iCs/>
        </w:rPr>
      </w:pPr>
      <w:r w:rsidRPr="004B53F3">
        <w:rPr>
          <w:iCs/>
        </w:rPr>
        <w:t xml:space="preserve">The unmapped and everlasting issue of </w:t>
      </w:r>
      <w:proofErr w:type="spellStart"/>
      <w:r w:rsidRPr="004B53F3">
        <w:rPr>
          <w:iCs/>
        </w:rPr>
        <w:t>odour</w:t>
      </w:r>
      <w:proofErr w:type="spellEnd"/>
      <w:r w:rsidRPr="004B53F3">
        <w:rPr>
          <w:iCs/>
        </w:rPr>
        <w:t xml:space="preserve"> annoyance associated with industrial and other activities </w:t>
      </w:r>
      <w:proofErr w:type="gramStart"/>
      <w:r w:rsidRPr="004B53F3">
        <w:rPr>
          <w:iCs/>
        </w:rPr>
        <w:t>in the area of</w:t>
      </w:r>
      <w:proofErr w:type="gramEnd"/>
      <w:r w:rsidRPr="004B53F3">
        <w:rPr>
          <w:iCs/>
        </w:rPr>
        <w:t xml:space="preserve"> </w:t>
      </w:r>
      <w:proofErr w:type="spellStart"/>
      <w:r w:rsidRPr="004B53F3">
        <w:rPr>
          <w:iCs/>
        </w:rPr>
        <w:t>Dendropotamos</w:t>
      </w:r>
      <w:proofErr w:type="spellEnd"/>
      <w:r w:rsidRPr="004B53F3">
        <w:rPr>
          <w:iCs/>
        </w:rPr>
        <w:t xml:space="preserve">, </w:t>
      </w:r>
      <w:proofErr w:type="spellStart"/>
      <w:r w:rsidRPr="004B53F3">
        <w:rPr>
          <w:iCs/>
        </w:rPr>
        <w:t>Menemeni</w:t>
      </w:r>
      <w:proofErr w:type="spellEnd"/>
      <w:r w:rsidRPr="004B53F3">
        <w:rPr>
          <w:iCs/>
        </w:rPr>
        <w:t xml:space="preserve">, </w:t>
      </w:r>
      <w:proofErr w:type="spellStart"/>
      <w:r w:rsidRPr="004B53F3">
        <w:rPr>
          <w:iCs/>
        </w:rPr>
        <w:t>Kalochori</w:t>
      </w:r>
      <w:proofErr w:type="spellEnd"/>
      <w:r w:rsidRPr="004B53F3">
        <w:rPr>
          <w:iCs/>
        </w:rPr>
        <w:t xml:space="preserve"> of Thessaloniki is considered as an appropriate case for the implementation of this study. The combination of the </w:t>
      </w:r>
      <w:proofErr w:type="spellStart"/>
      <w:r w:rsidRPr="004B53F3">
        <w:rPr>
          <w:iCs/>
        </w:rPr>
        <w:t>odour</w:t>
      </w:r>
      <w:proofErr w:type="spellEnd"/>
      <w:r w:rsidRPr="004B53F3">
        <w:rPr>
          <w:iCs/>
        </w:rPr>
        <w:t xml:space="preserve"> issue and at the same time the environmental impact on the area make this case extremely interesting. </w:t>
      </w:r>
    </w:p>
    <w:p w14:paraId="31622554" w14:textId="0927D983" w:rsidR="004B53F3" w:rsidRPr="004B53F3" w:rsidRDefault="004B53F3" w:rsidP="004B53F3">
      <w:pPr>
        <w:pStyle w:val="CETBodytext"/>
      </w:pPr>
    </w:p>
    <w:p w14:paraId="1D3EDE83" w14:textId="2943DB58" w:rsidR="004B53F3" w:rsidRPr="004B53F3" w:rsidRDefault="004B53F3" w:rsidP="004B53F3">
      <w:pPr>
        <w:pStyle w:val="CETBodytext"/>
      </w:pPr>
      <w:bookmarkStart w:id="0" w:name="_Hlk57918711"/>
      <w:r w:rsidRPr="004B53F3">
        <w:t xml:space="preserve">The pilot application of the proposed methodology </w:t>
      </w:r>
      <w:proofErr w:type="gramStart"/>
      <w:r w:rsidRPr="004B53F3">
        <w:t>in particular for</w:t>
      </w:r>
      <w:proofErr w:type="gramEnd"/>
      <w:r w:rsidRPr="004B53F3">
        <w:t xml:space="preserve"> the case of Thessaloniki is presented in brief in the following paragraphs.</w:t>
      </w:r>
    </w:p>
    <w:p w14:paraId="0FEAF6A6" w14:textId="593F8633" w:rsidR="004B53F3" w:rsidRPr="004B53F3" w:rsidRDefault="004B53F3" w:rsidP="004B53F3">
      <w:pPr>
        <w:pStyle w:val="CETBodytext"/>
      </w:pPr>
    </w:p>
    <w:bookmarkEnd w:id="0"/>
    <w:p w14:paraId="4404F47A" w14:textId="1F60B271" w:rsidR="004B53F3" w:rsidRPr="004B53F3" w:rsidRDefault="004B53F3" w:rsidP="004B53F3">
      <w:pPr>
        <w:pStyle w:val="CETheadingx"/>
      </w:pPr>
      <w:r w:rsidRPr="004B53F3">
        <w:t>Step 1: Identify the Issues</w:t>
      </w:r>
    </w:p>
    <w:p w14:paraId="0D23D2AD" w14:textId="03B0B01B" w:rsidR="004B53F3" w:rsidRPr="007C33AF" w:rsidRDefault="000C185E" w:rsidP="004B53F3">
      <w:pPr>
        <w:pStyle w:val="CETBodytext"/>
      </w:pPr>
      <w:r w:rsidRPr="004B53F3">
        <w:t>The Thessaloniki pilot</w:t>
      </w:r>
      <w:r w:rsidR="004B53F3" w:rsidRPr="004B53F3">
        <w:t xml:space="preserve"> has established an active </w:t>
      </w:r>
      <w:r w:rsidR="00181516">
        <w:t>n</w:t>
      </w:r>
      <w:r w:rsidR="004B53F3" w:rsidRPr="004B53F3">
        <w:t xml:space="preserve">etwork of key stakeholders. </w:t>
      </w:r>
      <w:r w:rsidR="00BA65BA" w:rsidRPr="004B53F3">
        <w:t xml:space="preserve">Local governmental authorities, researchers, local universities, </w:t>
      </w:r>
      <w:proofErr w:type="gramStart"/>
      <w:r w:rsidR="00BA65BA" w:rsidRPr="004B53F3">
        <w:t>schoolteachers</w:t>
      </w:r>
      <w:proofErr w:type="gramEnd"/>
      <w:r w:rsidR="00BA65BA" w:rsidRPr="004B53F3">
        <w:t xml:space="preserve"> and residents of the affected area have been identified as key stakeholders</w:t>
      </w:r>
      <w:r w:rsidR="00BA65BA">
        <w:t>. The initial contact was the Regional Authority of Central Macedonia that described</w:t>
      </w:r>
      <w:r w:rsidR="00A62E4D">
        <w:t xml:space="preserve"> the </w:t>
      </w:r>
      <w:proofErr w:type="spellStart"/>
      <w:r w:rsidR="00A62E4D">
        <w:t>odour</w:t>
      </w:r>
      <w:proofErr w:type="spellEnd"/>
      <w:r w:rsidR="00A62E4D">
        <w:t xml:space="preserve"> and environmental issues Western Thessaloniki encounters. The contribution of the Chemistry </w:t>
      </w:r>
      <w:r w:rsidR="00787AFD">
        <w:t>D</w:t>
      </w:r>
      <w:r w:rsidR="00A62E4D">
        <w:t>epartment of Aristotle University was to support and provide further data on the case</w:t>
      </w:r>
      <w:r w:rsidR="00C0613C">
        <w:t>.</w:t>
      </w:r>
      <w:r w:rsidR="00A62E4D">
        <w:t xml:space="preserve"> </w:t>
      </w:r>
      <w:r w:rsidR="00C0613C">
        <w:t>Further to the above, we have contacted</w:t>
      </w:r>
      <w:r w:rsidR="007C33AF">
        <w:t xml:space="preserve"> with</w:t>
      </w:r>
      <w:r w:rsidR="00C0613C">
        <w:t xml:space="preserve"> research and consulting firms, that are active in the</w:t>
      </w:r>
      <w:r w:rsidR="007C33AF">
        <w:t xml:space="preserve"> field of</w:t>
      </w:r>
      <w:r w:rsidR="00C0613C">
        <w:t xml:space="preserve"> engag</w:t>
      </w:r>
      <w:r w:rsidR="007C33AF">
        <w:t>ing</w:t>
      </w:r>
      <w:r w:rsidR="00C0613C">
        <w:t xml:space="preserve"> citizens into science project</w:t>
      </w:r>
      <w:r w:rsidR="007C33AF">
        <w:t>s</w:t>
      </w:r>
      <w:r w:rsidR="00C0613C">
        <w:t xml:space="preserve">. Bilateral meetings with citizens </w:t>
      </w:r>
      <w:r w:rsidR="00181516">
        <w:t>were</w:t>
      </w:r>
      <w:r w:rsidR="00C0613C">
        <w:t xml:space="preserve"> </w:t>
      </w:r>
      <w:r w:rsidR="007C33AF">
        <w:t xml:space="preserve">essential for the identification of specific geographic and qualitative characteristics of the </w:t>
      </w:r>
      <w:proofErr w:type="spellStart"/>
      <w:r w:rsidR="007C33AF">
        <w:t>odour</w:t>
      </w:r>
      <w:proofErr w:type="spellEnd"/>
      <w:r w:rsidR="007C33AF">
        <w:t xml:space="preserve"> nuisance.</w:t>
      </w:r>
    </w:p>
    <w:p w14:paraId="3255EEF8" w14:textId="77777777" w:rsidR="004B53F3" w:rsidRPr="004B53F3" w:rsidRDefault="004B53F3" w:rsidP="004B53F3">
      <w:pPr>
        <w:pStyle w:val="CETBodytext"/>
      </w:pPr>
    </w:p>
    <w:p w14:paraId="25BD7BCF" w14:textId="77777777" w:rsidR="004B53F3" w:rsidRPr="004B53F3" w:rsidRDefault="004B53F3" w:rsidP="004B53F3">
      <w:pPr>
        <w:pStyle w:val="CETheadingx"/>
      </w:pPr>
      <w:r w:rsidRPr="004B53F3">
        <w:t>Step 2: Stakeholder Mapping</w:t>
      </w:r>
    </w:p>
    <w:p w14:paraId="71437443" w14:textId="5E6D5EE5" w:rsidR="004B53F3" w:rsidRPr="0015667D" w:rsidRDefault="007C33AF" w:rsidP="004B53F3">
      <w:pPr>
        <w:pStyle w:val="CETBodytext"/>
      </w:pPr>
      <w:r>
        <w:t xml:space="preserve">For the purposes of this step, several workshops and meetings have been withheld, mapping all stakeholders affected within the geographic area of interest. Apart from the </w:t>
      </w:r>
      <w:r w:rsidR="00C23268">
        <w:t>above-mentioned</w:t>
      </w:r>
      <w:r>
        <w:t xml:space="preserve"> stakeholders, it was essential to get in contact with major economic and commercial institutions at the area. These included three five-star hotels</w:t>
      </w:r>
      <w:r w:rsidR="0015667D">
        <w:t xml:space="preserve">, the port authority, the </w:t>
      </w:r>
      <w:proofErr w:type="gramStart"/>
      <w:r w:rsidR="0015667D">
        <w:t>police</w:t>
      </w:r>
      <w:proofErr w:type="gramEnd"/>
      <w:r w:rsidR="0015667D">
        <w:t xml:space="preserve"> and the local church which is a focal point for citizens. This procedure added value to our approach since we had a better understanding of the issue as well as the fact that we verified the existing information on the qualitative characteristics of the problem</w:t>
      </w:r>
    </w:p>
    <w:p w14:paraId="43D013CB" w14:textId="77777777" w:rsidR="004B53F3" w:rsidRPr="004B53F3" w:rsidRDefault="004B53F3" w:rsidP="004B53F3">
      <w:pPr>
        <w:pStyle w:val="CETBodytext"/>
      </w:pPr>
    </w:p>
    <w:p w14:paraId="20942A7D" w14:textId="77777777" w:rsidR="004B53F3" w:rsidRPr="004B53F3" w:rsidRDefault="004B53F3" w:rsidP="004B53F3">
      <w:pPr>
        <w:pStyle w:val="CETheadingx"/>
      </w:pPr>
      <w:r w:rsidRPr="004B53F3">
        <w:t>Step 3: Frame the Problem</w:t>
      </w:r>
    </w:p>
    <w:p w14:paraId="6F2ECBC8" w14:textId="1633DE0B" w:rsidR="004B53F3" w:rsidRPr="004B53F3" w:rsidRDefault="004B53F3" w:rsidP="004B53F3">
      <w:pPr>
        <w:pStyle w:val="CETBodytext"/>
      </w:pPr>
      <w:r w:rsidRPr="004B53F3">
        <w:t xml:space="preserve">Mainly the Regional Authority, the local University (Aristotle University) and several citizen groups and individuals, which are the key players in the area have contributed to frame the problem. Stakeholder engagement showed that except for the area of interest, which is included in the initially proposed refinery area, </w:t>
      </w:r>
      <w:r w:rsidR="00E76BE5" w:rsidRPr="004B53F3">
        <w:t>another</w:t>
      </w:r>
      <w:r w:rsidRPr="004B53F3">
        <w:t xml:space="preserve"> area to the south was added in the examination. This concerns a river that receives effluent from </w:t>
      </w:r>
      <w:r w:rsidR="00181516" w:rsidRPr="004B53F3">
        <w:t>non-treated</w:t>
      </w:r>
      <w:r w:rsidRPr="004B53F3">
        <w:t xml:space="preserve"> municipal wastewater. </w:t>
      </w:r>
    </w:p>
    <w:p w14:paraId="714CB7B5" w14:textId="77777777" w:rsidR="004B53F3" w:rsidRPr="004B53F3" w:rsidRDefault="004B53F3" w:rsidP="004B53F3">
      <w:pPr>
        <w:pStyle w:val="CETBodytext"/>
      </w:pPr>
    </w:p>
    <w:p w14:paraId="273084EE" w14:textId="77777777" w:rsidR="004B53F3" w:rsidRPr="004B53F3" w:rsidRDefault="004B53F3" w:rsidP="004B53F3">
      <w:pPr>
        <w:pStyle w:val="CETheadingx"/>
      </w:pPr>
      <w:r w:rsidRPr="004B53F3">
        <w:t>Step 4: Pilot Design</w:t>
      </w:r>
    </w:p>
    <w:p w14:paraId="25374F06" w14:textId="35DBE875" w:rsidR="00792728" w:rsidRDefault="004B53F3" w:rsidP="00792728">
      <w:pPr>
        <w:pStyle w:val="CETBodytext"/>
      </w:pPr>
      <w:r w:rsidRPr="004B53F3">
        <w:t xml:space="preserve">More than 38 </w:t>
      </w:r>
      <w:bookmarkStart w:id="1" w:name="_Hlk58337806"/>
      <w:r w:rsidRPr="004B53F3">
        <w:t xml:space="preserve">community meetings </w:t>
      </w:r>
      <w:bookmarkEnd w:id="1"/>
      <w:r w:rsidRPr="004B53F3">
        <w:t xml:space="preserve">have been held </w:t>
      </w:r>
      <w:proofErr w:type="gramStart"/>
      <w:r w:rsidRPr="004B53F3">
        <w:t>in the area of</w:t>
      </w:r>
      <w:proofErr w:type="gramEnd"/>
      <w:r w:rsidRPr="004B53F3">
        <w:t xml:space="preserve"> interest with local governments, researchers, university professors, teachers and citizens of the affected area. Dedicated to the particular problem questionnaires developed and a </w:t>
      </w:r>
      <w:r w:rsidR="0047734F" w:rsidRPr="004B53F3">
        <w:t>smartphone</w:t>
      </w:r>
      <w:r w:rsidRPr="004B53F3">
        <w:t xml:space="preserve"> application called “Odour Collect” were the citizens’ tools </w:t>
      </w:r>
      <w:proofErr w:type="gramStart"/>
      <w:r w:rsidRPr="004B53F3">
        <w:t>in order to</w:t>
      </w:r>
      <w:proofErr w:type="gramEnd"/>
      <w:r w:rsidRPr="004B53F3">
        <w:t xml:space="preserve"> report </w:t>
      </w:r>
      <w:proofErr w:type="spellStart"/>
      <w:r w:rsidRPr="004B53F3">
        <w:t>odour</w:t>
      </w:r>
      <w:proofErr w:type="spellEnd"/>
      <w:r w:rsidRPr="004B53F3">
        <w:t xml:space="preserve"> issues.</w:t>
      </w:r>
    </w:p>
    <w:p w14:paraId="48D20882" w14:textId="640FC7FA" w:rsidR="00792728" w:rsidRPr="004B53F3" w:rsidRDefault="00792728" w:rsidP="00792728">
      <w:pPr>
        <w:pStyle w:val="CETTabletitle"/>
      </w:pPr>
      <w:r w:rsidRPr="00B57B36">
        <w:t xml:space="preserve">Table 1: </w:t>
      </w:r>
      <w:r w:rsidR="00C27AAE" w:rsidRPr="00C27AAE">
        <w:t xml:space="preserve">Community meetings </w:t>
      </w:r>
      <w:proofErr w:type="gramStart"/>
      <w:r w:rsidR="00C27AAE">
        <w:t>in the area of</w:t>
      </w:r>
      <w:proofErr w:type="gramEnd"/>
      <w:r w:rsidR="00C27AAE">
        <w:t xml:space="preserve"> interest</w:t>
      </w:r>
    </w:p>
    <w:tbl>
      <w:tblPr>
        <w:tblW w:w="80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523"/>
        <w:gridCol w:w="1524"/>
        <w:gridCol w:w="1524"/>
        <w:gridCol w:w="1524"/>
      </w:tblGrid>
      <w:tr w:rsidR="00C27AAE" w:rsidRPr="00B57B36" w14:paraId="384E533F" w14:textId="77777777" w:rsidTr="00C27AAE">
        <w:tc>
          <w:tcPr>
            <w:tcW w:w="1985" w:type="dxa"/>
            <w:tcBorders>
              <w:top w:val="single" w:sz="12" w:space="0" w:color="008000"/>
              <w:bottom w:val="single" w:sz="6" w:space="0" w:color="008000"/>
            </w:tcBorders>
            <w:shd w:val="clear" w:color="auto" w:fill="FFFFFF"/>
          </w:tcPr>
          <w:p w14:paraId="50256F16" w14:textId="77777777" w:rsidR="00C27AAE" w:rsidRDefault="00C27AAE" w:rsidP="00E537A0">
            <w:pPr>
              <w:pStyle w:val="CETBodytext"/>
            </w:pPr>
            <w:r>
              <w:t xml:space="preserve">Stakeholder </w:t>
            </w:r>
          </w:p>
          <w:p w14:paraId="0D21C51A" w14:textId="713317D0" w:rsidR="00C27AAE" w:rsidRPr="00792728" w:rsidRDefault="00C27AAE" w:rsidP="00E537A0">
            <w:pPr>
              <w:pStyle w:val="CETBodytext"/>
            </w:pPr>
            <w:r>
              <w:t>type</w:t>
            </w:r>
          </w:p>
        </w:tc>
        <w:tc>
          <w:tcPr>
            <w:tcW w:w="1523" w:type="dxa"/>
            <w:tcBorders>
              <w:top w:val="single" w:sz="12" w:space="0" w:color="008000"/>
              <w:bottom w:val="single" w:sz="6" w:space="0" w:color="008000"/>
            </w:tcBorders>
            <w:shd w:val="clear" w:color="auto" w:fill="FFFFFF"/>
          </w:tcPr>
          <w:p w14:paraId="01D76D8F" w14:textId="77777777" w:rsidR="00C27AAE" w:rsidRDefault="00C27AAE" w:rsidP="00792728">
            <w:pPr>
              <w:pStyle w:val="CETBodytext"/>
              <w:jc w:val="left"/>
              <w:rPr>
                <w:lang w:val="en-GB"/>
              </w:rPr>
            </w:pPr>
            <w:r>
              <w:rPr>
                <w:lang w:val="en-GB"/>
              </w:rPr>
              <w:t xml:space="preserve">Number of </w:t>
            </w:r>
          </w:p>
          <w:p w14:paraId="5B1A6F78" w14:textId="38F749CF" w:rsidR="00C27AAE" w:rsidRDefault="00C27AAE" w:rsidP="00792728">
            <w:pPr>
              <w:pStyle w:val="CETBodytext"/>
              <w:jc w:val="left"/>
              <w:rPr>
                <w:lang w:val="en-GB"/>
              </w:rPr>
            </w:pPr>
            <w:r>
              <w:rPr>
                <w:lang w:val="en-GB"/>
              </w:rPr>
              <w:t>meetings</w:t>
            </w:r>
          </w:p>
        </w:tc>
        <w:tc>
          <w:tcPr>
            <w:tcW w:w="1524" w:type="dxa"/>
            <w:tcBorders>
              <w:top w:val="single" w:sz="12" w:space="0" w:color="008000"/>
              <w:bottom w:val="single" w:sz="6" w:space="0" w:color="008000"/>
            </w:tcBorders>
            <w:shd w:val="clear" w:color="auto" w:fill="FFFFFF"/>
          </w:tcPr>
          <w:p w14:paraId="6393208E" w14:textId="7B96968C" w:rsidR="00C27AAE" w:rsidRPr="00B57B36" w:rsidRDefault="00C27AAE" w:rsidP="00792728">
            <w:pPr>
              <w:pStyle w:val="CETBodytext"/>
              <w:jc w:val="left"/>
              <w:rPr>
                <w:lang w:val="en-GB"/>
              </w:rPr>
            </w:pPr>
            <w:r>
              <w:rPr>
                <w:lang w:val="en-GB"/>
              </w:rPr>
              <w:t>Number of participants</w:t>
            </w:r>
          </w:p>
        </w:tc>
        <w:tc>
          <w:tcPr>
            <w:tcW w:w="1524" w:type="dxa"/>
            <w:tcBorders>
              <w:top w:val="single" w:sz="12" w:space="0" w:color="008000"/>
              <w:bottom w:val="single" w:sz="6" w:space="0" w:color="008000"/>
            </w:tcBorders>
            <w:shd w:val="clear" w:color="auto" w:fill="FFFFFF"/>
          </w:tcPr>
          <w:p w14:paraId="573202D7" w14:textId="24DE52E8" w:rsidR="00C27AAE" w:rsidRDefault="00C27AAE" w:rsidP="00E537A0">
            <w:pPr>
              <w:pStyle w:val="CETBodytext"/>
              <w:rPr>
                <w:lang w:val="en-GB"/>
              </w:rPr>
            </w:pPr>
            <w:r>
              <w:rPr>
                <w:lang w:val="en-GB"/>
              </w:rPr>
              <w:t>Men</w:t>
            </w:r>
          </w:p>
          <w:p w14:paraId="1E54C493" w14:textId="001F4E59" w:rsidR="00C27AAE" w:rsidRPr="00B57B36" w:rsidRDefault="00C27AAE" w:rsidP="00E537A0">
            <w:pPr>
              <w:pStyle w:val="CETBodytext"/>
              <w:rPr>
                <w:lang w:val="en-GB"/>
              </w:rPr>
            </w:pPr>
            <w:r>
              <w:rPr>
                <w:lang w:val="en-GB"/>
              </w:rPr>
              <w:t>Participating</w:t>
            </w:r>
          </w:p>
        </w:tc>
        <w:tc>
          <w:tcPr>
            <w:tcW w:w="1524" w:type="dxa"/>
            <w:tcBorders>
              <w:top w:val="single" w:sz="12" w:space="0" w:color="008000"/>
              <w:bottom w:val="single" w:sz="6" w:space="0" w:color="008000"/>
            </w:tcBorders>
            <w:shd w:val="clear" w:color="auto" w:fill="FFFFFF"/>
          </w:tcPr>
          <w:p w14:paraId="0DEA5106" w14:textId="77777777" w:rsidR="00C27AAE" w:rsidRDefault="00C27AAE" w:rsidP="00E537A0">
            <w:pPr>
              <w:pStyle w:val="CETBodytext"/>
              <w:ind w:right="-1"/>
              <w:rPr>
                <w:rFonts w:cs="Arial"/>
                <w:szCs w:val="18"/>
                <w:lang w:val="en-GB"/>
              </w:rPr>
            </w:pPr>
            <w:r>
              <w:rPr>
                <w:rFonts w:cs="Arial"/>
                <w:szCs w:val="18"/>
                <w:lang w:val="en-GB"/>
              </w:rPr>
              <w:t>Women</w:t>
            </w:r>
          </w:p>
          <w:p w14:paraId="3505FED7" w14:textId="4C0D6B6C" w:rsidR="00C27AAE" w:rsidRPr="00B57B36" w:rsidRDefault="00C27AAE" w:rsidP="00E537A0">
            <w:pPr>
              <w:pStyle w:val="CETBodytext"/>
              <w:ind w:right="-1"/>
              <w:rPr>
                <w:rFonts w:cs="Arial"/>
                <w:szCs w:val="18"/>
                <w:lang w:val="en-GB"/>
              </w:rPr>
            </w:pPr>
            <w:r>
              <w:rPr>
                <w:rFonts w:cs="Arial"/>
                <w:szCs w:val="18"/>
                <w:lang w:val="en-GB"/>
              </w:rPr>
              <w:t>Participating</w:t>
            </w:r>
          </w:p>
        </w:tc>
      </w:tr>
      <w:tr w:rsidR="00C27AAE" w:rsidRPr="00B57B36" w14:paraId="63DF3926" w14:textId="77777777" w:rsidTr="00C27AAE">
        <w:tc>
          <w:tcPr>
            <w:tcW w:w="1985" w:type="dxa"/>
            <w:shd w:val="clear" w:color="auto" w:fill="FFFFFF"/>
          </w:tcPr>
          <w:p w14:paraId="01928AE2" w14:textId="57D1673E" w:rsidR="00C27AAE" w:rsidRPr="00B57B36" w:rsidRDefault="00C27AAE" w:rsidP="00E537A0">
            <w:pPr>
              <w:pStyle w:val="CETBodytext"/>
              <w:rPr>
                <w:lang w:val="en-GB"/>
              </w:rPr>
            </w:pPr>
            <w:r>
              <w:rPr>
                <w:lang w:val="en-GB"/>
              </w:rPr>
              <w:t>Affected communities</w:t>
            </w:r>
          </w:p>
        </w:tc>
        <w:tc>
          <w:tcPr>
            <w:tcW w:w="1523" w:type="dxa"/>
            <w:shd w:val="clear" w:color="auto" w:fill="FFFFFF"/>
          </w:tcPr>
          <w:p w14:paraId="68BC584D" w14:textId="1921802B" w:rsidR="00C27AAE" w:rsidRDefault="00C27AAE" w:rsidP="00E537A0">
            <w:pPr>
              <w:pStyle w:val="CETBodytext"/>
              <w:rPr>
                <w:lang w:val="en-GB"/>
              </w:rPr>
            </w:pPr>
            <w:r>
              <w:rPr>
                <w:lang w:val="en-GB"/>
              </w:rPr>
              <w:t>19</w:t>
            </w:r>
          </w:p>
        </w:tc>
        <w:tc>
          <w:tcPr>
            <w:tcW w:w="1524" w:type="dxa"/>
            <w:shd w:val="clear" w:color="auto" w:fill="FFFFFF"/>
          </w:tcPr>
          <w:p w14:paraId="6DE6A470" w14:textId="20333D1E" w:rsidR="00C27AAE" w:rsidRPr="00B57B36" w:rsidRDefault="00C27AAE" w:rsidP="00E537A0">
            <w:pPr>
              <w:pStyle w:val="CETBodytext"/>
              <w:rPr>
                <w:lang w:val="en-GB"/>
              </w:rPr>
            </w:pPr>
            <w:r>
              <w:rPr>
                <w:lang w:val="en-GB"/>
              </w:rPr>
              <w:t>155</w:t>
            </w:r>
          </w:p>
        </w:tc>
        <w:tc>
          <w:tcPr>
            <w:tcW w:w="1524" w:type="dxa"/>
            <w:shd w:val="clear" w:color="auto" w:fill="FFFFFF"/>
          </w:tcPr>
          <w:p w14:paraId="443F6090" w14:textId="423EC000" w:rsidR="00C27AAE" w:rsidRPr="00B57B36" w:rsidRDefault="00C27AAE" w:rsidP="00E537A0">
            <w:pPr>
              <w:pStyle w:val="CETBodytext"/>
              <w:rPr>
                <w:lang w:val="en-GB"/>
              </w:rPr>
            </w:pPr>
            <w:r>
              <w:rPr>
                <w:lang w:val="en-GB"/>
              </w:rPr>
              <w:t>89</w:t>
            </w:r>
          </w:p>
        </w:tc>
        <w:tc>
          <w:tcPr>
            <w:tcW w:w="1524" w:type="dxa"/>
            <w:shd w:val="clear" w:color="auto" w:fill="FFFFFF"/>
          </w:tcPr>
          <w:p w14:paraId="4E684DB4" w14:textId="6DCAC202" w:rsidR="00C27AAE" w:rsidRPr="00B57B36" w:rsidRDefault="00C27AAE" w:rsidP="00E537A0">
            <w:pPr>
              <w:pStyle w:val="CETBodytext"/>
              <w:ind w:right="-1"/>
              <w:rPr>
                <w:rFonts w:cs="Arial"/>
                <w:szCs w:val="18"/>
                <w:lang w:val="en-GB"/>
              </w:rPr>
            </w:pPr>
            <w:r>
              <w:rPr>
                <w:rFonts w:cs="Arial"/>
                <w:szCs w:val="18"/>
                <w:lang w:val="en-GB"/>
              </w:rPr>
              <w:t>66</w:t>
            </w:r>
          </w:p>
        </w:tc>
      </w:tr>
      <w:tr w:rsidR="00C27AAE" w:rsidRPr="00B57B36" w14:paraId="58D80AF0" w14:textId="77777777" w:rsidTr="00C27AAE">
        <w:tc>
          <w:tcPr>
            <w:tcW w:w="1985" w:type="dxa"/>
            <w:shd w:val="clear" w:color="auto" w:fill="FFFFFF"/>
          </w:tcPr>
          <w:p w14:paraId="2FDC692F" w14:textId="52F93231" w:rsidR="00C27AAE" w:rsidRPr="00B57B36" w:rsidRDefault="00C27AAE" w:rsidP="00E537A0">
            <w:pPr>
              <w:pStyle w:val="CETBodytext"/>
              <w:rPr>
                <w:lang w:val="en-GB"/>
              </w:rPr>
            </w:pPr>
            <w:r>
              <w:rPr>
                <w:lang w:val="en-GB"/>
              </w:rPr>
              <w:t>Industry</w:t>
            </w:r>
          </w:p>
        </w:tc>
        <w:tc>
          <w:tcPr>
            <w:tcW w:w="1523" w:type="dxa"/>
            <w:shd w:val="clear" w:color="auto" w:fill="FFFFFF"/>
          </w:tcPr>
          <w:p w14:paraId="048735BC" w14:textId="1AE58D07" w:rsidR="00C27AAE" w:rsidRPr="00B57B36" w:rsidRDefault="00C27AAE" w:rsidP="00E537A0">
            <w:pPr>
              <w:pStyle w:val="CETBodytext"/>
              <w:rPr>
                <w:lang w:val="en-GB"/>
              </w:rPr>
            </w:pPr>
            <w:r>
              <w:rPr>
                <w:lang w:val="en-GB"/>
              </w:rPr>
              <w:t>1</w:t>
            </w:r>
          </w:p>
        </w:tc>
        <w:tc>
          <w:tcPr>
            <w:tcW w:w="1524" w:type="dxa"/>
            <w:shd w:val="clear" w:color="auto" w:fill="FFFFFF"/>
          </w:tcPr>
          <w:p w14:paraId="35BC0CFC" w14:textId="7360115E" w:rsidR="00C27AAE" w:rsidRPr="00B57B36" w:rsidRDefault="00C27AAE" w:rsidP="00E537A0">
            <w:pPr>
              <w:pStyle w:val="CETBodytext"/>
              <w:rPr>
                <w:lang w:val="en-GB"/>
              </w:rPr>
            </w:pPr>
            <w:r>
              <w:rPr>
                <w:lang w:val="en-GB"/>
              </w:rPr>
              <w:t>3</w:t>
            </w:r>
          </w:p>
        </w:tc>
        <w:tc>
          <w:tcPr>
            <w:tcW w:w="1524" w:type="dxa"/>
            <w:shd w:val="clear" w:color="auto" w:fill="FFFFFF"/>
          </w:tcPr>
          <w:p w14:paraId="0A4B0262" w14:textId="47873C75" w:rsidR="00C27AAE" w:rsidRPr="00B57B36" w:rsidRDefault="00C27AAE" w:rsidP="00E537A0">
            <w:pPr>
              <w:pStyle w:val="CETBodytext"/>
              <w:rPr>
                <w:lang w:val="en-GB"/>
              </w:rPr>
            </w:pPr>
            <w:r>
              <w:rPr>
                <w:lang w:val="en-GB"/>
              </w:rPr>
              <w:t>3</w:t>
            </w:r>
          </w:p>
        </w:tc>
        <w:tc>
          <w:tcPr>
            <w:tcW w:w="1524" w:type="dxa"/>
            <w:shd w:val="clear" w:color="auto" w:fill="FFFFFF"/>
          </w:tcPr>
          <w:p w14:paraId="7AA70D1D" w14:textId="2A273157" w:rsidR="00C27AAE" w:rsidRPr="00B57B36" w:rsidRDefault="00C27AAE" w:rsidP="00E537A0">
            <w:pPr>
              <w:pStyle w:val="CETBodytext"/>
              <w:ind w:right="-1"/>
              <w:rPr>
                <w:rFonts w:cs="Arial"/>
                <w:szCs w:val="18"/>
                <w:lang w:val="en-GB"/>
              </w:rPr>
            </w:pPr>
            <w:r>
              <w:rPr>
                <w:rFonts w:cs="Arial"/>
                <w:szCs w:val="18"/>
                <w:lang w:val="en-GB"/>
              </w:rPr>
              <w:t>0</w:t>
            </w:r>
          </w:p>
        </w:tc>
      </w:tr>
      <w:tr w:rsidR="00C27AAE" w:rsidRPr="00B57B36" w14:paraId="13F34529" w14:textId="77777777" w:rsidTr="00C27AAE">
        <w:tc>
          <w:tcPr>
            <w:tcW w:w="1985" w:type="dxa"/>
            <w:shd w:val="clear" w:color="auto" w:fill="FFFFFF"/>
          </w:tcPr>
          <w:p w14:paraId="64E7278C" w14:textId="1B7A96FD" w:rsidR="00C27AAE" w:rsidRPr="00B57B36" w:rsidRDefault="00C27AAE" w:rsidP="00E537A0">
            <w:pPr>
              <w:pStyle w:val="CETBodytext"/>
              <w:ind w:right="-1"/>
              <w:rPr>
                <w:rFonts w:cs="Arial"/>
                <w:szCs w:val="18"/>
                <w:lang w:val="en-GB"/>
              </w:rPr>
            </w:pPr>
            <w:r>
              <w:rPr>
                <w:rFonts w:cs="Arial"/>
                <w:szCs w:val="18"/>
                <w:lang w:val="en-GB"/>
              </w:rPr>
              <w:t>Public Sector</w:t>
            </w:r>
          </w:p>
        </w:tc>
        <w:tc>
          <w:tcPr>
            <w:tcW w:w="1523" w:type="dxa"/>
            <w:shd w:val="clear" w:color="auto" w:fill="FFFFFF"/>
          </w:tcPr>
          <w:p w14:paraId="12E511AF" w14:textId="7E57504C" w:rsidR="00C27AAE" w:rsidRPr="00B57B36" w:rsidRDefault="00C27AAE" w:rsidP="00E537A0">
            <w:pPr>
              <w:pStyle w:val="CETBodytext"/>
              <w:ind w:right="-1"/>
              <w:rPr>
                <w:rFonts w:cs="Arial"/>
                <w:szCs w:val="18"/>
                <w:lang w:val="en-GB"/>
              </w:rPr>
            </w:pPr>
            <w:r>
              <w:rPr>
                <w:rFonts w:cs="Arial"/>
                <w:szCs w:val="18"/>
                <w:lang w:val="en-GB"/>
              </w:rPr>
              <w:t>12</w:t>
            </w:r>
          </w:p>
        </w:tc>
        <w:tc>
          <w:tcPr>
            <w:tcW w:w="1524" w:type="dxa"/>
            <w:shd w:val="clear" w:color="auto" w:fill="FFFFFF"/>
          </w:tcPr>
          <w:p w14:paraId="78E428A8" w14:textId="68C2769E" w:rsidR="00C27AAE" w:rsidRPr="00B57B36" w:rsidRDefault="00C27AAE" w:rsidP="00E537A0">
            <w:pPr>
              <w:pStyle w:val="CETBodytext"/>
              <w:ind w:right="-1"/>
              <w:rPr>
                <w:rFonts w:cs="Arial"/>
                <w:szCs w:val="18"/>
                <w:lang w:val="en-GB"/>
              </w:rPr>
            </w:pPr>
            <w:r>
              <w:rPr>
                <w:rFonts w:cs="Arial"/>
                <w:szCs w:val="18"/>
                <w:lang w:val="en-GB"/>
              </w:rPr>
              <w:t>89</w:t>
            </w:r>
          </w:p>
        </w:tc>
        <w:tc>
          <w:tcPr>
            <w:tcW w:w="1524" w:type="dxa"/>
            <w:shd w:val="clear" w:color="auto" w:fill="FFFFFF"/>
          </w:tcPr>
          <w:p w14:paraId="63F8BD2D" w14:textId="421185BA" w:rsidR="00C27AAE" w:rsidRPr="00B57B36" w:rsidRDefault="00C27AAE" w:rsidP="00E537A0">
            <w:pPr>
              <w:pStyle w:val="CETBodytext"/>
              <w:ind w:right="-1"/>
              <w:rPr>
                <w:rFonts w:cs="Arial"/>
                <w:szCs w:val="18"/>
                <w:lang w:val="en-GB"/>
              </w:rPr>
            </w:pPr>
            <w:r>
              <w:rPr>
                <w:rFonts w:cs="Arial"/>
                <w:szCs w:val="18"/>
                <w:lang w:val="en-GB"/>
              </w:rPr>
              <w:t>56</w:t>
            </w:r>
          </w:p>
        </w:tc>
        <w:tc>
          <w:tcPr>
            <w:tcW w:w="1524" w:type="dxa"/>
            <w:shd w:val="clear" w:color="auto" w:fill="FFFFFF"/>
          </w:tcPr>
          <w:p w14:paraId="587E42D5" w14:textId="0B5F11B4" w:rsidR="00C27AAE" w:rsidRPr="00B57B36" w:rsidRDefault="00C27AAE" w:rsidP="00E537A0">
            <w:pPr>
              <w:pStyle w:val="CETBodytext"/>
              <w:ind w:right="-1"/>
              <w:rPr>
                <w:rFonts w:cs="Arial"/>
                <w:szCs w:val="18"/>
                <w:lang w:val="en-GB"/>
              </w:rPr>
            </w:pPr>
            <w:r>
              <w:rPr>
                <w:rFonts w:cs="Arial"/>
                <w:szCs w:val="18"/>
                <w:lang w:val="en-GB"/>
              </w:rPr>
              <w:t>33</w:t>
            </w:r>
          </w:p>
        </w:tc>
      </w:tr>
      <w:tr w:rsidR="00C27AAE" w:rsidRPr="00B57B36" w14:paraId="50F74CFC" w14:textId="77777777" w:rsidTr="00C27AAE">
        <w:tc>
          <w:tcPr>
            <w:tcW w:w="1985" w:type="dxa"/>
            <w:shd w:val="clear" w:color="auto" w:fill="FFFFFF"/>
          </w:tcPr>
          <w:p w14:paraId="5C0EFAAB" w14:textId="43B9CB20" w:rsidR="00C27AAE" w:rsidRPr="00C27AAE" w:rsidRDefault="00C27AAE" w:rsidP="00E537A0">
            <w:pPr>
              <w:pStyle w:val="CETBodytext"/>
              <w:ind w:right="-1"/>
              <w:rPr>
                <w:rFonts w:cs="Arial"/>
                <w:szCs w:val="18"/>
              </w:rPr>
            </w:pPr>
            <w:r>
              <w:rPr>
                <w:rFonts w:cs="Arial"/>
                <w:szCs w:val="18"/>
              </w:rPr>
              <w:t>Researchers</w:t>
            </w:r>
          </w:p>
        </w:tc>
        <w:tc>
          <w:tcPr>
            <w:tcW w:w="1523" w:type="dxa"/>
            <w:shd w:val="clear" w:color="auto" w:fill="FFFFFF"/>
          </w:tcPr>
          <w:p w14:paraId="45B347C4" w14:textId="49B2655D" w:rsidR="00C27AAE" w:rsidRPr="00B57B36" w:rsidRDefault="00C27AAE" w:rsidP="00E537A0">
            <w:pPr>
              <w:pStyle w:val="CETBodytext"/>
              <w:ind w:right="-1"/>
              <w:rPr>
                <w:rFonts w:cs="Arial"/>
                <w:szCs w:val="18"/>
                <w:lang w:val="en-GB"/>
              </w:rPr>
            </w:pPr>
            <w:r>
              <w:rPr>
                <w:rFonts w:cs="Arial"/>
                <w:szCs w:val="18"/>
                <w:lang w:val="en-GB"/>
              </w:rPr>
              <w:t>6</w:t>
            </w:r>
          </w:p>
        </w:tc>
        <w:tc>
          <w:tcPr>
            <w:tcW w:w="1524" w:type="dxa"/>
            <w:shd w:val="clear" w:color="auto" w:fill="FFFFFF"/>
          </w:tcPr>
          <w:p w14:paraId="09D4F549" w14:textId="5A273FFE" w:rsidR="00C27AAE" w:rsidRPr="00B57B36" w:rsidRDefault="00C27AAE" w:rsidP="00E537A0">
            <w:pPr>
              <w:pStyle w:val="CETBodytext"/>
              <w:ind w:right="-1"/>
              <w:rPr>
                <w:rFonts w:cs="Arial"/>
                <w:szCs w:val="18"/>
                <w:lang w:val="en-GB"/>
              </w:rPr>
            </w:pPr>
            <w:r>
              <w:rPr>
                <w:rFonts w:cs="Arial"/>
                <w:szCs w:val="18"/>
                <w:lang w:val="en-GB"/>
              </w:rPr>
              <w:t>17</w:t>
            </w:r>
          </w:p>
        </w:tc>
        <w:tc>
          <w:tcPr>
            <w:tcW w:w="1524" w:type="dxa"/>
            <w:shd w:val="clear" w:color="auto" w:fill="FFFFFF"/>
          </w:tcPr>
          <w:p w14:paraId="49D2A525" w14:textId="41CF3F52" w:rsidR="00C27AAE" w:rsidRPr="00B57B36" w:rsidRDefault="00C27AAE" w:rsidP="00E537A0">
            <w:pPr>
              <w:pStyle w:val="CETBodytext"/>
              <w:ind w:right="-1"/>
              <w:rPr>
                <w:rFonts w:cs="Arial"/>
                <w:szCs w:val="18"/>
                <w:lang w:val="en-GB"/>
              </w:rPr>
            </w:pPr>
            <w:r>
              <w:rPr>
                <w:rFonts w:cs="Arial"/>
                <w:szCs w:val="18"/>
                <w:lang w:val="en-GB"/>
              </w:rPr>
              <w:t>12</w:t>
            </w:r>
          </w:p>
        </w:tc>
        <w:tc>
          <w:tcPr>
            <w:tcW w:w="1524" w:type="dxa"/>
            <w:shd w:val="clear" w:color="auto" w:fill="FFFFFF"/>
          </w:tcPr>
          <w:p w14:paraId="31165C0D" w14:textId="7DF77E0C" w:rsidR="00C27AAE" w:rsidRPr="00B57B36" w:rsidRDefault="00C27AAE" w:rsidP="00E537A0">
            <w:pPr>
              <w:pStyle w:val="CETBodytext"/>
              <w:ind w:right="-1"/>
              <w:rPr>
                <w:rFonts w:cs="Arial"/>
                <w:szCs w:val="18"/>
                <w:lang w:val="en-GB"/>
              </w:rPr>
            </w:pPr>
            <w:r>
              <w:rPr>
                <w:rFonts w:cs="Arial"/>
                <w:szCs w:val="18"/>
                <w:lang w:val="en-GB"/>
              </w:rPr>
              <w:t>5</w:t>
            </w:r>
          </w:p>
        </w:tc>
      </w:tr>
      <w:tr w:rsidR="00C27AAE" w:rsidRPr="00B57B36" w14:paraId="06172805" w14:textId="77777777" w:rsidTr="00C27AAE">
        <w:tc>
          <w:tcPr>
            <w:tcW w:w="1985" w:type="dxa"/>
            <w:shd w:val="clear" w:color="auto" w:fill="FFFFFF"/>
          </w:tcPr>
          <w:p w14:paraId="732891BF" w14:textId="364CFE6A" w:rsidR="00C27AAE" w:rsidRPr="00B57B36" w:rsidRDefault="00C27AAE" w:rsidP="00E537A0">
            <w:pPr>
              <w:pStyle w:val="CETBodytext"/>
              <w:ind w:right="-1"/>
              <w:rPr>
                <w:rFonts w:cs="Arial"/>
                <w:szCs w:val="18"/>
                <w:lang w:val="en-GB"/>
              </w:rPr>
            </w:pPr>
            <w:r>
              <w:rPr>
                <w:rFonts w:cs="Arial"/>
                <w:szCs w:val="18"/>
                <w:lang w:val="en-GB"/>
              </w:rPr>
              <w:t>Total</w:t>
            </w:r>
          </w:p>
        </w:tc>
        <w:tc>
          <w:tcPr>
            <w:tcW w:w="1523" w:type="dxa"/>
            <w:shd w:val="clear" w:color="auto" w:fill="FFFFFF"/>
          </w:tcPr>
          <w:p w14:paraId="771C09F1" w14:textId="30D40B64" w:rsidR="00C27AAE" w:rsidRPr="00B57B36" w:rsidRDefault="00C27AAE" w:rsidP="00E537A0">
            <w:pPr>
              <w:pStyle w:val="CETBodytext"/>
              <w:ind w:right="-1"/>
              <w:rPr>
                <w:rFonts w:cs="Arial"/>
                <w:szCs w:val="18"/>
                <w:lang w:val="en-GB"/>
              </w:rPr>
            </w:pPr>
            <w:r>
              <w:rPr>
                <w:rFonts w:cs="Arial"/>
                <w:szCs w:val="18"/>
                <w:lang w:val="en-GB"/>
              </w:rPr>
              <w:t>38</w:t>
            </w:r>
          </w:p>
        </w:tc>
        <w:tc>
          <w:tcPr>
            <w:tcW w:w="1524" w:type="dxa"/>
            <w:shd w:val="clear" w:color="auto" w:fill="FFFFFF"/>
          </w:tcPr>
          <w:p w14:paraId="766C3030" w14:textId="0CF3D248" w:rsidR="00C27AAE" w:rsidRPr="00B57B36" w:rsidRDefault="00C27AAE" w:rsidP="00E537A0">
            <w:pPr>
              <w:pStyle w:val="CETBodytext"/>
              <w:ind w:right="-1"/>
              <w:rPr>
                <w:rFonts w:cs="Arial"/>
                <w:szCs w:val="18"/>
                <w:lang w:val="en-GB"/>
              </w:rPr>
            </w:pPr>
            <w:r>
              <w:rPr>
                <w:rFonts w:cs="Arial"/>
                <w:szCs w:val="18"/>
                <w:lang w:val="en-GB"/>
              </w:rPr>
              <w:t>264</w:t>
            </w:r>
          </w:p>
        </w:tc>
        <w:tc>
          <w:tcPr>
            <w:tcW w:w="1524" w:type="dxa"/>
            <w:shd w:val="clear" w:color="auto" w:fill="FFFFFF"/>
          </w:tcPr>
          <w:p w14:paraId="2F819F8B" w14:textId="760EAE50" w:rsidR="00C27AAE" w:rsidRPr="00B57B36" w:rsidRDefault="00C27AAE" w:rsidP="00E537A0">
            <w:pPr>
              <w:pStyle w:val="CETBodytext"/>
              <w:ind w:right="-1"/>
              <w:rPr>
                <w:rFonts w:cs="Arial"/>
                <w:szCs w:val="18"/>
                <w:lang w:val="en-GB"/>
              </w:rPr>
            </w:pPr>
            <w:r>
              <w:rPr>
                <w:rFonts w:cs="Arial"/>
                <w:szCs w:val="18"/>
                <w:lang w:val="en-GB"/>
              </w:rPr>
              <w:t>160</w:t>
            </w:r>
          </w:p>
        </w:tc>
        <w:tc>
          <w:tcPr>
            <w:tcW w:w="1524" w:type="dxa"/>
            <w:shd w:val="clear" w:color="auto" w:fill="FFFFFF"/>
          </w:tcPr>
          <w:p w14:paraId="1AD265F3" w14:textId="7A0DC3A5" w:rsidR="00C27AAE" w:rsidRPr="00B57B36" w:rsidRDefault="00C27AAE" w:rsidP="00E537A0">
            <w:pPr>
              <w:pStyle w:val="CETBodytext"/>
              <w:ind w:right="-1"/>
              <w:rPr>
                <w:rFonts w:cs="Arial"/>
                <w:szCs w:val="18"/>
                <w:lang w:val="en-GB"/>
              </w:rPr>
            </w:pPr>
            <w:r>
              <w:rPr>
                <w:rFonts w:cs="Arial"/>
                <w:szCs w:val="18"/>
                <w:lang w:val="en-GB"/>
              </w:rPr>
              <w:t>104</w:t>
            </w:r>
          </w:p>
        </w:tc>
      </w:tr>
    </w:tbl>
    <w:p w14:paraId="3E555C41" w14:textId="77777777" w:rsidR="004B53F3" w:rsidRPr="004B53F3" w:rsidRDefault="004B53F3" w:rsidP="004B53F3">
      <w:pPr>
        <w:pStyle w:val="CETBodytext"/>
      </w:pPr>
    </w:p>
    <w:p w14:paraId="6BC0F8A9" w14:textId="77777777" w:rsidR="004B53F3" w:rsidRPr="004B53F3" w:rsidRDefault="004B53F3" w:rsidP="009B15BE">
      <w:pPr>
        <w:pStyle w:val="CETheadingx"/>
      </w:pPr>
      <w:r w:rsidRPr="004B53F3">
        <w:t>Step 5: Data Collection</w:t>
      </w:r>
    </w:p>
    <w:p w14:paraId="65105D6F" w14:textId="77777777" w:rsidR="004B53F3" w:rsidRPr="004B53F3" w:rsidRDefault="004B53F3" w:rsidP="004B53F3">
      <w:pPr>
        <w:pStyle w:val="CETBodytext"/>
      </w:pPr>
      <w:r w:rsidRPr="004B53F3">
        <w:t xml:space="preserve">Apart from questionnaires that were filled in and the “Odour Collect” application, schools from the affected area are involved in the data collection process in the context of environmental education, hence, increasing the number of observations and raising awareness as well. </w:t>
      </w:r>
    </w:p>
    <w:p w14:paraId="3FDD56D9" w14:textId="77777777" w:rsidR="004B53F3" w:rsidRPr="004B53F3" w:rsidRDefault="004B53F3" w:rsidP="004B53F3">
      <w:pPr>
        <w:pStyle w:val="CETBodytext"/>
      </w:pPr>
    </w:p>
    <w:p w14:paraId="29598F69" w14:textId="77777777" w:rsidR="004B53F3" w:rsidRPr="004B53F3" w:rsidRDefault="004B53F3" w:rsidP="00E76BE5">
      <w:pPr>
        <w:pStyle w:val="CETheadingx"/>
      </w:pPr>
      <w:r w:rsidRPr="004B53F3">
        <w:t>Step 6: Data Analysis and Outcomes</w:t>
      </w:r>
    </w:p>
    <w:p w14:paraId="0EE43C7F" w14:textId="28EEBD2F" w:rsidR="00D46167" w:rsidRDefault="004B53F3" w:rsidP="00600535">
      <w:pPr>
        <w:pStyle w:val="CETBodytext"/>
        <w:rPr>
          <w:noProof/>
        </w:rPr>
      </w:pPr>
      <w:r w:rsidRPr="004B53F3">
        <w:rPr>
          <w:lang w:val="en-GB"/>
        </w:rPr>
        <w:t xml:space="preserve">In about 3 months, approximately 400 observations were recorded, thus, providing evidence about significant odour issues in the area. Dissemination activities have also been held in the local press </w:t>
      </w:r>
      <w:proofErr w:type="gramStart"/>
      <w:r w:rsidRPr="004B53F3">
        <w:rPr>
          <w:lang w:val="en-GB"/>
        </w:rPr>
        <w:t>in order to</w:t>
      </w:r>
      <w:proofErr w:type="gramEnd"/>
      <w:r w:rsidRPr="004B53F3">
        <w:rPr>
          <w:lang w:val="en-GB"/>
        </w:rPr>
        <w:t xml:space="preserve"> raise </w:t>
      </w:r>
      <w:r w:rsidRPr="004B53F3">
        <w:rPr>
          <w:lang w:val="en-GB"/>
        </w:rPr>
        <w:lastRenderedPageBreak/>
        <w:t>awareness, support active citizenship and promote environmental justice</w:t>
      </w:r>
      <w:r w:rsidR="00D46167">
        <w:rPr>
          <w:lang w:val="en-GB"/>
        </w:rPr>
        <w:t>. The analysis from the observations so far, depicts the existing problem in qualitative and quantitative terms. Most of the observations refer to industrial or urban smells. The vast majority concerns unpleasant smells with medium intensities.</w:t>
      </w:r>
    </w:p>
    <w:p w14:paraId="72A7ABBF" w14:textId="0E48F4A5" w:rsidR="00D46167" w:rsidRDefault="00D46167" w:rsidP="00600535">
      <w:pPr>
        <w:pStyle w:val="CETBodytext"/>
        <w:rPr>
          <w:highlight w:val="yellow"/>
          <w:lang w:val="en-GB"/>
        </w:rPr>
      </w:pPr>
      <w:r>
        <w:rPr>
          <w:noProof/>
        </w:rPr>
        <w:drawing>
          <wp:inline distT="0" distB="0" distL="0" distR="0" wp14:anchorId="6D26A5DE" wp14:editId="6F78FE6A">
            <wp:extent cx="1765190" cy="223477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190" cy="2234776"/>
                    </a:xfrm>
                    <a:prstGeom prst="rect">
                      <a:avLst/>
                    </a:prstGeom>
                    <a:noFill/>
                    <a:ln>
                      <a:noFill/>
                    </a:ln>
                  </pic:spPr>
                </pic:pic>
              </a:graphicData>
            </a:graphic>
          </wp:inline>
        </w:drawing>
      </w:r>
    </w:p>
    <w:p w14:paraId="31054F2B" w14:textId="26D5F5F5" w:rsidR="00D46167" w:rsidRDefault="00D46167" w:rsidP="00CB3EEF">
      <w:pPr>
        <w:pStyle w:val="CETCaption"/>
        <w:rPr>
          <w:highlight w:val="yellow"/>
        </w:rPr>
      </w:pPr>
      <w:r w:rsidRPr="00415C55">
        <w:t xml:space="preserve">Figure </w:t>
      </w:r>
      <w:r w:rsidR="00C92731">
        <w:t>2</w:t>
      </w:r>
      <w:r w:rsidRPr="00415C55">
        <w:t>:</w:t>
      </w:r>
      <w:r>
        <w:t xml:space="preserve"> Observation types</w:t>
      </w:r>
    </w:p>
    <w:p w14:paraId="6D36236C" w14:textId="3C6108E0" w:rsidR="00D46167" w:rsidRDefault="00D46167" w:rsidP="00CB3EEF">
      <w:pPr>
        <w:pStyle w:val="CETBodytext"/>
        <w:jc w:val="left"/>
        <w:rPr>
          <w:i/>
        </w:rPr>
      </w:pPr>
      <w:r>
        <w:rPr>
          <w:noProof/>
        </w:rPr>
        <w:drawing>
          <wp:anchor distT="0" distB="0" distL="114300" distR="114300" simplePos="0" relativeHeight="251659264" behindDoc="0" locked="0" layoutInCell="1" allowOverlap="1" wp14:anchorId="092C0A72" wp14:editId="192E24A9">
            <wp:simplePos x="0" y="0"/>
            <wp:positionH relativeFrom="column">
              <wp:posOffset>635</wp:posOffset>
            </wp:positionH>
            <wp:positionV relativeFrom="paragraph">
              <wp:posOffset>0</wp:posOffset>
            </wp:positionV>
            <wp:extent cx="3768725" cy="2413635"/>
            <wp:effectExtent l="0" t="0" r="317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8725" cy="241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F83">
        <w:rPr>
          <w:i/>
        </w:rPr>
        <w:t xml:space="preserve">Figure </w:t>
      </w:r>
      <w:r w:rsidR="00C92731">
        <w:rPr>
          <w:i/>
        </w:rPr>
        <w:t>3</w:t>
      </w:r>
      <w:r w:rsidRPr="00CE0F83">
        <w:rPr>
          <w:i/>
        </w:rPr>
        <w:t>:</w:t>
      </w:r>
      <w:r>
        <w:rPr>
          <w:i/>
        </w:rPr>
        <w:t xml:space="preserve"> Observation</w:t>
      </w:r>
      <w:r w:rsidR="005D1138">
        <w:rPr>
          <w:i/>
        </w:rPr>
        <w:t xml:space="preserve"> intensities and quality criteria</w:t>
      </w:r>
      <w:r w:rsidR="00C92731">
        <w:rPr>
          <w:i/>
        </w:rPr>
        <w:t xml:space="preserve"> (</w:t>
      </w:r>
      <w:r w:rsidR="00C92731" w:rsidRPr="00C92731">
        <w:rPr>
          <w:i/>
        </w:rPr>
        <w:t>Source: D-NOSES, 2020</w:t>
      </w:r>
      <w:r w:rsidR="00C92731">
        <w:rPr>
          <w:i/>
        </w:rPr>
        <w:t>)</w:t>
      </w:r>
    </w:p>
    <w:p w14:paraId="68D26B83" w14:textId="77777777" w:rsidR="00600535" w:rsidRPr="0047734F" w:rsidRDefault="00600535" w:rsidP="0047734F">
      <w:pPr>
        <w:pStyle w:val="CETHeading1"/>
      </w:pPr>
      <w:r w:rsidRPr="0047734F">
        <w:t>Conclusions</w:t>
      </w:r>
    </w:p>
    <w:p w14:paraId="2497E33E" w14:textId="7042AB2C" w:rsidR="009B15BE" w:rsidRPr="009B15BE" w:rsidRDefault="009B15BE" w:rsidP="009B15BE">
      <w:pPr>
        <w:pStyle w:val="CETBodytext"/>
        <w:rPr>
          <w:lang w:val="en-GB"/>
        </w:rPr>
      </w:pPr>
      <w:r w:rsidRPr="009B15BE">
        <w:rPr>
          <w:lang w:val="en-GB"/>
        </w:rPr>
        <w:t xml:space="preserve">The current study proposed a methodology that is based on citizen science and stakeholder </w:t>
      </w:r>
      <w:r w:rsidR="00557D6D" w:rsidRPr="009B15BE">
        <w:rPr>
          <w:lang w:val="en-GB"/>
        </w:rPr>
        <w:t>engagement</w:t>
      </w:r>
      <w:r w:rsidRPr="009B15BE">
        <w:rPr>
          <w:lang w:val="en-GB"/>
        </w:rPr>
        <w:t xml:space="preserve"> to better understand the problem of odour nuisance for the case of Thessaloniki. </w:t>
      </w:r>
      <w:proofErr w:type="gramStart"/>
      <w:r w:rsidRPr="009B15BE">
        <w:rPr>
          <w:lang w:val="en-GB"/>
        </w:rPr>
        <w:t>In particular for</w:t>
      </w:r>
      <w:proofErr w:type="gramEnd"/>
      <w:r w:rsidRPr="009B15BE">
        <w:rPr>
          <w:lang w:val="en-GB"/>
        </w:rPr>
        <w:t xml:space="preserve"> the </w:t>
      </w:r>
      <w:r w:rsidR="000C185E" w:rsidRPr="009B15BE">
        <w:rPr>
          <w:lang w:val="en-GB"/>
        </w:rPr>
        <w:t>under-examination</w:t>
      </w:r>
      <w:r w:rsidRPr="009B15BE">
        <w:rPr>
          <w:lang w:val="en-GB"/>
        </w:rPr>
        <w:t xml:space="preserve"> area, the proposed approach facilitated in receiving the </w:t>
      </w:r>
      <w:r w:rsidR="00557D6D" w:rsidRPr="009B15BE">
        <w:rPr>
          <w:lang w:val="en-GB"/>
        </w:rPr>
        <w:t>necessary</w:t>
      </w:r>
      <w:r w:rsidRPr="009B15BE">
        <w:rPr>
          <w:lang w:val="en-GB"/>
        </w:rPr>
        <w:t xml:space="preserve"> feedback, observations and key input from the stakeholders. The case study withheld bilateral meetings, workshops and field visits, while used as a facilitative instrument </w:t>
      </w:r>
      <w:proofErr w:type="gramStart"/>
      <w:r w:rsidRPr="009B15BE">
        <w:rPr>
          <w:lang w:val="en-GB"/>
        </w:rPr>
        <w:t>related questionnaires</w:t>
      </w:r>
      <w:proofErr w:type="gramEnd"/>
      <w:r w:rsidRPr="009B15BE">
        <w:rPr>
          <w:lang w:val="en-GB"/>
        </w:rPr>
        <w:t xml:space="preserve">. Questionnaires proved to be a very important mean for gathering observations, since during the general lockdown and </w:t>
      </w:r>
      <w:r w:rsidR="000C185E" w:rsidRPr="009B15BE">
        <w:rPr>
          <w:lang w:val="en-GB"/>
        </w:rPr>
        <w:t>summertime</w:t>
      </w:r>
      <w:r w:rsidRPr="009B15BE">
        <w:rPr>
          <w:lang w:val="en-GB"/>
        </w:rPr>
        <w:t xml:space="preserve"> odour collect observations collection was not very high. </w:t>
      </w:r>
    </w:p>
    <w:p w14:paraId="71F58FAC" w14:textId="77777777" w:rsidR="009B15BE" w:rsidRPr="009B15BE" w:rsidRDefault="009B15BE" w:rsidP="009B15BE">
      <w:pPr>
        <w:pStyle w:val="CETBodytext"/>
        <w:rPr>
          <w:lang w:val="en-GB"/>
        </w:rPr>
      </w:pPr>
    </w:p>
    <w:p w14:paraId="7495A4A1" w14:textId="77777777" w:rsidR="009B15BE" w:rsidRPr="009B15BE" w:rsidRDefault="009B15BE" w:rsidP="009B15BE">
      <w:pPr>
        <w:pStyle w:val="CETBodytext"/>
        <w:rPr>
          <w:lang w:val="en-GB"/>
        </w:rPr>
      </w:pPr>
      <w:r w:rsidRPr="009B15BE">
        <w:rPr>
          <w:lang w:val="en-GB"/>
        </w:rPr>
        <w:t>The study and the methodology followed indicated several general benefits of an active participatory process including:</w:t>
      </w:r>
    </w:p>
    <w:p w14:paraId="5885CC9A" w14:textId="6EDD83A6" w:rsidR="009B15BE" w:rsidRPr="009B15BE" w:rsidRDefault="009B15BE" w:rsidP="009B15BE">
      <w:pPr>
        <w:pStyle w:val="CETBodytext"/>
        <w:numPr>
          <w:ilvl w:val="0"/>
          <w:numId w:val="22"/>
        </w:numPr>
        <w:rPr>
          <w:lang w:val="en-GB"/>
        </w:rPr>
      </w:pPr>
      <w:r w:rsidRPr="009B15BE">
        <w:rPr>
          <w:lang w:val="en-GB"/>
        </w:rPr>
        <w:t xml:space="preserve">Clearer identification of </w:t>
      </w:r>
      <w:proofErr w:type="gramStart"/>
      <w:r w:rsidRPr="009B15BE">
        <w:rPr>
          <w:lang w:val="en-GB"/>
        </w:rPr>
        <w:t>problems;</w:t>
      </w:r>
      <w:proofErr w:type="gramEnd"/>
      <w:r w:rsidRPr="009B15BE">
        <w:rPr>
          <w:lang w:val="en-GB"/>
        </w:rPr>
        <w:t xml:space="preserve"> </w:t>
      </w:r>
    </w:p>
    <w:p w14:paraId="200706B7" w14:textId="250C490A" w:rsidR="009B15BE" w:rsidRPr="009B15BE" w:rsidRDefault="009B15BE" w:rsidP="009B15BE">
      <w:pPr>
        <w:pStyle w:val="CETBodytext"/>
        <w:numPr>
          <w:ilvl w:val="0"/>
          <w:numId w:val="22"/>
        </w:numPr>
        <w:rPr>
          <w:lang w:val="en-GB"/>
        </w:rPr>
      </w:pPr>
      <w:r w:rsidRPr="009B15BE">
        <w:rPr>
          <w:lang w:val="en-GB"/>
        </w:rPr>
        <w:t xml:space="preserve">Improving the quality of the resulting </w:t>
      </w:r>
      <w:proofErr w:type="gramStart"/>
      <w:r w:rsidRPr="009B15BE">
        <w:rPr>
          <w:lang w:val="en-GB"/>
        </w:rPr>
        <w:t>plans;</w:t>
      </w:r>
      <w:proofErr w:type="gramEnd"/>
      <w:r w:rsidRPr="009B15BE">
        <w:rPr>
          <w:lang w:val="en-GB"/>
        </w:rPr>
        <w:t xml:space="preserve"> </w:t>
      </w:r>
    </w:p>
    <w:p w14:paraId="48995AFE" w14:textId="6C664541" w:rsidR="009B15BE" w:rsidRPr="009B15BE" w:rsidRDefault="009B15BE" w:rsidP="009B15BE">
      <w:pPr>
        <w:pStyle w:val="CETBodytext"/>
        <w:numPr>
          <w:ilvl w:val="0"/>
          <w:numId w:val="22"/>
        </w:numPr>
        <w:rPr>
          <w:lang w:val="en-GB"/>
        </w:rPr>
      </w:pPr>
      <w:r w:rsidRPr="009B15BE">
        <w:rPr>
          <w:lang w:val="en-GB"/>
        </w:rPr>
        <w:t xml:space="preserve">Developing a common basis for action </w:t>
      </w:r>
      <w:proofErr w:type="gramStart"/>
      <w:r w:rsidRPr="009B15BE">
        <w:rPr>
          <w:lang w:val="en-GB"/>
        </w:rPr>
        <w:t>programmes;</w:t>
      </w:r>
      <w:proofErr w:type="gramEnd"/>
      <w:r w:rsidRPr="009B15BE">
        <w:rPr>
          <w:lang w:val="en-GB"/>
        </w:rPr>
        <w:t xml:space="preserve"> </w:t>
      </w:r>
    </w:p>
    <w:p w14:paraId="3E44AB2C" w14:textId="2F4982D0" w:rsidR="009B15BE" w:rsidRPr="009B15BE" w:rsidRDefault="009B15BE" w:rsidP="009B15BE">
      <w:pPr>
        <w:pStyle w:val="CETBodytext"/>
        <w:numPr>
          <w:ilvl w:val="0"/>
          <w:numId w:val="22"/>
        </w:numPr>
        <w:rPr>
          <w:lang w:val="en-GB"/>
        </w:rPr>
      </w:pPr>
      <w:r w:rsidRPr="009B15BE">
        <w:rPr>
          <w:lang w:val="en-GB"/>
        </w:rPr>
        <w:t xml:space="preserve">Raising awareness and encouraging changes in </w:t>
      </w:r>
      <w:proofErr w:type="gramStart"/>
      <w:r w:rsidRPr="009B15BE">
        <w:rPr>
          <w:lang w:val="en-GB"/>
        </w:rPr>
        <w:t>behaviour;</w:t>
      </w:r>
      <w:proofErr w:type="gramEnd"/>
      <w:r w:rsidRPr="009B15BE">
        <w:rPr>
          <w:lang w:val="en-GB"/>
        </w:rPr>
        <w:t xml:space="preserve"> </w:t>
      </w:r>
    </w:p>
    <w:p w14:paraId="6B679C36" w14:textId="322C30A4" w:rsidR="009B15BE" w:rsidRPr="009B15BE" w:rsidRDefault="009B15BE" w:rsidP="009B15BE">
      <w:pPr>
        <w:pStyle w:val="CETBodytext"/>
        <w:numPr>
          <w:ilvl w:val="0"/>
          <w:numId w:val="22"/>
        </w:numPr>
        <w:rPr>
          <w:lang w:val="en-GB"/>
        </w:rPr>
      </w:pPr>
      <w:r w:rsidRPr="009B15BE">
        <w:rPr>
          <w:lang w:val="en-GB"/>
        </w:rPr>
        <w:t xml:space="preserve">Overcoming conflicts and streamlining </w:t>
      </w:r>
      <w:proofErr w:type="gramStart"/>
      <w:r w:rsidRPr="009B15BE">
        <w:rPr>
          <w:lang w:val="en-GB"/>
        </w:rPr>
        <w:t>implementation;</w:t>
      </w:r>
      <w:proofErr w:type="gramEnd"/>
      <w:r w:rsidRPr="009B15BE">
        <w:rPr>
          <w:lang w:val="en-GB"/>
        </w:rPr>
        <w:t xml:space="preserve"> </w:t>
      </w:r>
    </w:p>
    <w:p w14:paraId="464CE913" w14:textId="63E4DF0B" w:rsidR="009B15BE" w:rsidRPr="009B15BE" w:rsidRDefault="009B15BE" w:rsidP="009B15BE">
      <w:pPr>
        <w:pStyle w:val="CETBodytext"/>
        <w:numPr>
          <w:ilvl w:val="0"/>
          <w:numId w:val="22"/>
        </w:numPr>
        <w:rPr>
          <w:lang w:val="en-GB"/>
        </w:rPr>
      </w:pPr>
      <w:r w:rsidRPr="009B15BE">
        <w:rPr>
          <w:lang w:val="en-GB"/>
        </w:rPr>
        <w:t xml:space="preserve">Initiating social empowerment of participants. </w:t>
      </w:r>
    </w:p>
    <w:p w14:paraId="6B736956" w14:textId="266B991E" w:rsidR="00600535" w:rsidRPr="00B57B36" w:rsidRDefault="009B15BE" w:rsidP="009B15BE">
      <w:pPr>
        <w:pStyle w:val="CETBodytext"/>
        <w:rPr>
          <w:lang w:val="en-GB"/>
        </w:rPr>
      </w:pPr>
      <w:r w:rsidRPr="009B15BE">
        <w:rPr>
          <w:lang w:val="en-GB"/>
        </w:rPr>
        <w:lastRenderedPageBreak/>
        <w:t xml:space="preserve">The proposed methodological framework provides stakeholders, such as policy makers, local authorities, business, </w:t>
      </w:r>
      <w:proofErr w:type="gramStart"/>
      <w:r w:rsidRPr="009B15BE">
        <w:rPr>
          <w:lang w:val="en-GB"/>
        </w:rPr>
        <w:t>NGOs</w:t>
      </w:r>
      <w:proofErr w:type="gramEnd"/>
      <w:r w:rsidRPr="009B15BE">
        <w:rPr>
          <w:lang w:val="en-GB"/>
        </w:rPr>
        <w:t xml:space="preserve"> and citizens with a novel and effective opportunity to identify the information needs on the future measures for improving the current situation and their impacts on stakeholders’ decisions. It ensures that at different policy- and decision-making levels within the EU, decisions are taken </w:t>
      </w:r>
      <w:proofErr w:type="gramStart"/>
      <w:r w:rsidRPr="009B15BE">
        <w:rPr>
          <w:lang w:val="en-GB"/>
        </w:rPr>
        <w:t>on the basis of</w:t>
      </w:r>
      <w:proofErr w:type="gramEnd"/>
      <w:r w:rsidRPr="009B15BE">
        <w:rPr>
          <w:lang w:val="en-GB"/>
        </w:rPr>
        <w:t xml:space="preserve"> the best available knowledge including an increased understanding of opportunities for business and society</w:t>
      </w:r>
      <w:r w:rsidR="00600535" w:rsidRPr="00B57B36">
        <w:rPr>
          <w:lang w:val="en-GB"/>
        </w:rPr>
        <w:t>.</w:t>
      </w:r>
    </w:p>
    <w:p w14:paraId="459D05E6" w14:textId="02F134CE" w:rsidR="00600535" w:rsidRPr="00CB3EEF" w:rsidRDefault="00600535" w:rsidP="00600535">
      <w:pPr>
        <w:pStyle w:val="CETAcknowledgementstitle"/>
      </w:pPr>
      <w:r w:rsidRPr="00CB3EEF">
        <w:t>Acknowledgments</w:t>
      </w:r>
    </w:p>
    <w:p w14:paraId="4F46AA14" w14:textId="2A95C53D" w:rsidR="002B5E8B" w:rsidRPr="00CB3EEF" w:rsidRDefault="002B5E8B" w:rsidP="00CB3EEF">
      <w:pPr>
        <w:pStyle w:val="CETBodytext"/>
        <w:rPr>
          <w:lang w:val="en-GB"/>
        </w:rPr>
      </w:pPr>
      <w:r w:rsidRPr="00CB3EEF">
        <w:rPr>
          <w:lang w:val="en-GB"/>
        </w:rPr>
        <w:t>The current paper is based on the research conducted with the framework of the EU Horizon 2020 project “</w:t>
      </w:r>
      <w:r w:rsidR="003F5CE0" w:rsidRPr="00415C55">
        <w:t>D-NOSES - Distributed Network for Odour Sensing, Empowerment and Sustainability</w:t>
      </w:r>
      <w:r w:rsidRPr="00CB3EEF">
        <w:rPr>
          <w:lang w:val="en-GB"/>
        </w:rPr>
        <w:t xml:space="preserve">” (grant </w:t>
      </w:r>
      <w:r w:rsidR="003F5CE0" w:rsidRPr="00415C55">
        <w:t>789315</w:t>
      </w:r>
      <w:r w:rsidRPr="00CB3EEF">
        <w:rPr>
          <w:lang w:val="en-GB"/>
        </w:rPr>
        <w:t xml:space="preserve">, </w:t>
      </w:r>
      <w:r w:rsidR="003F5CE0" w:rsidRPr="00415C55">
        <w:rPr>
          <w:lang w:val="en-GB"/>
        </w:rPr>
        <w:t>https://dnoses.eu/</w:t>
      </w:r>
      <w:r w:rsidRPr="00CB3EEF">
        <w:rPr>
          <w:lang w:val="en-GB"/>
        </w:rPr>
        <w:t xml:space="preserve">). The contents of the paper are the sole responsibility of its authors and do not necessarily reflect the views of the EC. </w:t>
      </w:r>
    </w:p>
    <w:p w14:paraId="23C12E38" w14:textId="0B4241E9" w:rsidR="000C185E" w:rsidRDefault="00600535" w:rsidP="00E76BE5">
      <w:pPr>
        <w:pStyle w:val="CETReference"/>
      </w:pPr>
      <w:r w:rsidRPr="00B57B36">
        <w:t>References</w:t>
      </w:r>
    </w:p>
    <w:p w14:paraId="096C85C5" w14:textId="0B14A1BB" w:rsidR="00D3532F" w:rsidRPr="00CB3EEF" w:rsidRDefault="00D3532F" w:rsidP="00CB3EEF">
      <w:pPr>
        <w:pStyle w:val="CETReferencetext"/>
      </w:pPr>
      <w:r w:rsidRPr="00C92731">
        <w:t xml:space="preserve">Balestrini M., </w:t>
      </w:r>
      <w:proofErr w:type="spellStart"/>
      <w:r w:rsidRPr="00C92731">
        <w:t>Creus</w:t>
      </w:r>
      <w:proofErr w:type="spellEnd"/>
      <w:r w:rsidRPr="00C92731">
        <w:t xml:space="preserve"> J., Errandonea L., Arias R., Salas Seoane N.</w:t>
      </w:r>
      <w:r w:rsidR="00C92731">
        <w:t xml:space="preserve">, </w:t>
      </w:r>
      <w:r w:rsidRPr="00CB3EEF">
        <w:t>2018</w:t>
      </w:r>
      <w:r w:rsidR="00C92731">
        <w:t>,</w:t>
      </w:r>
      <w:r w:rsidRPr="00C92731">
        <w:t xml:space="preserve"> Map of odour issues and priorities</w:t>
      </w:r>
      <w:r w:rsidR="00C92731">
        <w:t>,</w:t>
      </w:r>
      <w:r w:rsidRPr="00CB3EEF">
        <w:t xml:space="preserve"> </w:t>
      </w:r>
      <w:r w:rsidRPr="00C92731">
        <w:t>Multilevel engagement plan for stakeholders and communities, D-NOSES, H2020-SwafS-23-2017-789315</w:t>
      </w:r>
      <w:r w:rsidR="00CB3EEF">
        <w:t>.</w:t>
      </w:r>
    </w:p>
    <w:p w14:paraId="710400F5" w14:textId="24929F8C" w:rsidR="0047734F" w:rsidRPr="00D3532F" w:rsidRDefault="0047734F" w:rsidP="0047734F">
      <w:pPr>
        <w:pStyle w:val="CETReferencetext"/>
      </w:pPr>
      <w:proofErr w:type="spellStart"/>
      <w:r w:rsidRPr="00C92731">
        <w:t>Beringer</w:t>
      </w:r>
      <w:proofErr w:type="spellEnd"/>
      <w:r w:rsidRPr="00D3532F">
        <w:t xml:space="preserve"> C., Jonas, D., Kock, A.</w:t>
      </w:r>
      <w:r w:rsidR="00B55D41">
        <w:t xml:space="preserve">, </w:t>
      </w:r>
      <w:r w:rsidRPr="00D3532F">
        <w:t>2013</w:t>
      </w:r>
      <w:r w:rsidR="00B55D41">
        <w:t>,</w:t>
      </w:r>
      <w:r w:rsidRPr="00C92731">
        <w:t xml:space="preserve"> </w:t>
      </w:r>
      <w:proofErr w:type="spellStart"/>
      <w:r w:rsidR="00B55D41" w:rsidRPr="00D3532F">
        <w:t>Behavior</w:t>
      </w:r>
      <w:proofErr w:type="spellEnd"/>
      <w:r w:rsidRPr="00D3532F">
        <w:t xml:space="preserve"> of internal stakeholders in project portfolio management and its impact on success</w:t>
      </w:r>
      <w:r w:rsidR="00B55D41">
        <w:t>,</w:t>
      </w:r>
      <w:r w:rsidRPr="00D3532F">
        <w:t xml:space="preserve"> Int</w:t>
      </w:r>
      <w:r w:rsidR="00C92731">
        <w:t>ernational</w:t>
      </w:r>
      <w:r w:rsidRPr="00D3532F">
        <w:t xml:space="preserve"> J</w:t>
      </w:r>
      <w:r w:rsidR="00C92731">
        <w:t>ournal of</w:t>
      </w:r>
      <w:r w:rsidRPr="00D3532F">
        <w:t xml:space="preserve"> Proj</w:t>
      </w:r>
      <w:r w:rsidR="00C92731">
        <w:t>ect</w:t>
      </w:r>
      <w:r w:rsidRPr="00D3532F">
        <w:t xml:space="preserve"> Manag</w:t>
      </w:r>
      <w:r w:rsidR="00C92731">
        <w:t>ement</w:t>
      </w:r>
      <w:r w:rsidRPr="00C92731">
        <w:t>, 31</w:t>
      </w:r>
      <w:r w:rsidRPr="00D3532F">
        <w:t>, 830</w:t>
      </w:r>
      <w:r w:rsidR="000C185E" w:rsidRPr="00D3532F">
        <w:t xml:space="preserve"> – </w:t>
      </w:r>
      <w:r w:rsidRPr="00D3532F">
        <w:t>846.</w:t>
      </w:r>
    </w:p>
    <w:p w14:paraId="66831B15" w14:textId="0BBDFB7E" w:rsidR="00D3532F" w:rsidRPr="00D3532F" w:rsidRDefault="00D3532F" w:rsidP="00C92731">
      <w:pPr>
        <w:pStyle w:val="CETReferencetext"/>
      </w:pPr>
      <w:r w:rsidRPr="00CB3EEF">
        <w:t>Conti C</w:t>
      </w:r>
      <w:r w:rsidR="00B55D41">
        <w:t>.</w:t>
      </w:r>
      <w:r w:rsidRPr="00C92731">
        <w:t>, Guarino</w:t>
      </w:r>
      <w:r w:rsidR="00B55D41" w:rsidRPr="00B55D41">
        <w:t xml:space="preserve"> </w:t>
      </w:r>
      <w:r w:rsidR="00B55D41" w:rsidRPr="0013772E">
        <w:t>M</w:t>
      </w:r>
      <w:r w:rsidR="00B55D41">
        <w:t>.</w:t>
      </w:r>
      <w:r w:rsidRPr="00C92731">
        <w:t xml:space="preserve">, </w:t>
      </w:r>
      <w:proofErr w:type="spellStart"/>
      <w:r w:rsidRPr="00C92731">
        <w:t>Bacenetti</w:t>
      </w:r>
      <w:proofErr w:type="spellEnd"/>
      <w:r w:rsidR="00B55D41">
        <w:t xml:space="preserve"> </w:t>
      </w:r>
      <w:r w:rsidR="00B55D41" w:rsidRPr="0013772E">
        <w:t>J</w:t>
      </w:r>
      <w:r w:rsidR="00B55D41">
        <w:t>.</w:t>
      </w:r>
      <w:r w:rsidRPr="00C92731">
        <w:t xml:space="preserve">, </w:t>
      </w:r>
      <w:r w:rsidR="00B55D41" w:rsidRPr="0013772E">
        <w:t>2020,</w:t>
      </w:r>
      <w:r w:rsidR="00B55D41">
        <w:t xml:space="preserve"> </w:t>
      </w:r>
      <w:r w:rsidRPr="00C92731">
        <w:t xml:space="preserve">Measurements techniques and models to assess </w:t>
      </w:r>
      <w:proofErr w:type="spellStart"/>
      <w:r w:rsidRPr="00C92731">
        <w:t>odor</w:t>
      </w:r>
      <w:proofErr w:type="spellEnd"/>
      <w:r w:rsidRPr="00C92731">
        <w:t xml:space="preserve"> annoyance: A review, Environment International,</w:t>
      </w:r>
      <w:r w:rsidRPr="00D3532F">
        <w:t xml:space="preserve"> Vol 134, 105261</w:t>
      </w:r>
      <w:r w:rsidR="00CB3EEF">
        <w:t>.</w:t>
      </w:r>
      <w:r w:rsidRPr="00D3532F">
        <w:t xml:space="preserve"> </w:t>
      </w:r>
    </w:p>
    <w:p w14:paraId="532E7B7E" w14:textId="0F638E21" w:rsidR="00D3532F" w:rsidRPr="00C92731" w:rsidRDefault="00D3532F" w:rsidP="00D3532F">
      <w:pPr>
        <w:pStyle w:val="CETReferencetext"/>
      </w:pPr>
      <w:r w:rsidRPr="00C23268">
        <w:t>D-NOSES 2020. Odour Collect Application</w:t>
      </w:r>
      <w:r w:rsidR="00415C55" w:rsidRPr="00C23268">
        <w:t>.</w:t>
      </w:r>
      <w:r w:rsidRPr="00C23268">
        <w:t xml:space="preserve"> </w:t>
      </w:r>
      <w:r w:rsidR="00415C55" w:rsidRPr="00C92731">
        <w:t>D-NOSES, H2020-SwafS-23-2017-789315</w:t>
      </w:r>
      <w:r w:rsidR="00415C55">
        <w:t>.</w:t>
      </w:r>
    </w:p>
    <w:p w14:paraId="325C8B13" w14:textId="720573FE" w:rsidR="00D3532F" w:rsidRPr="00D3532F" w:rsidRDefault="00D3532F" w:rsidP="00D3532F">
      <w:pPr>
        <w:pStyle w:val="CETReferencetext"/>
      </w:pPr>
      <w:proofErr w:type="spellStart"/>
      <w:r w:rsidRPr="00CB3EEF">
        <w:t>Elelman</w:t>
      </w:r>
      <w:proofErr w:type="spellEnd"/>
      <w:r w:rsidRPr="00CB3EEF">
        <w:t xml:space="preserve"> R</w:t>
      </w:r>
      <w:r w:rsidR="00B55D41">
        <w:t>.</w:t>
      </w:r>
      <w:r w:rsidRPr="00CB3EEF">
        <w:t>,</w:t>
      </w:r>
      <w:r w:rsidRPr="00C92731">
        <w:t xml:space="preserve"> </w:t>
      </w:r>
      <w:r w:rsidRPr="00D3532F">
        <w:t>Feldman D</w:t>
      </w:r>
      <w:r w:rsidR="00B55D41">
        <w:t xml:space="preserve">. </w:t>
      </w:r>
      <w:r w:rsidR="00B55D41" w:rsidRPr="0013772E">
        <w:t>L.</w:t>
      </w:r>
      <w:r w:rsidRPr="00C92731">
        <w:t>,</w:t>
      </w:r>
      <w:r w:rsidR="00EA4266" w:rsidRPr="00EA4266">
        <w:t xml:space="preserve"> 2018, </w:t>
      </w:r>
      <w:r w:rsidRPr="00D3532F">
        <w:t>The future of citizen engagement in cities—The council of citizen engagement in sustainable urban strategies (</w:t>
      </w:r>
      <w:proofErr w:type="spellStart"/>
      <w:r w:rsidRPr="00D3532F">
        <w:t>ConCensus</w:t>
      </w:r>
      <w:proofErr w:type="spellEnd"/>
      <w:r w:rsidRPr="00D3532F">
        <w:t>), Futures, Vol 101, 80-91</w:t>
      </w:r>
      <w:r w:rsidR="00C23268">
        <w:t>.</w:t>
      </w:r>
    </w:p>
    <w:p w14:paraId="71637498" w14:textId="17E5FEDA" w:rsidR="00D3532F" w:rsidRPr="00C92731" w:rsidRDefault="00D3532F" w:rsidP="00C92731">
      <w:pPr>
        <w:pStyle w:val="CETReferencetext"/>
      </w:pPr>
      <w:proofErr w:type="spellStart"/>
      <w:r w:rsidRPr="00CB3EEF">
        <w:t>Haddaway</w:t>
      </w:r>
      <w:proofErr w:type="spellEnd"/>
      <w:r w:rsidRPr="00CB3EEF">
        <w:t xml:space="preserve"> N.</w:t>
      </w:r>
      <w:r w:rsidR="00B55D41">
        <w:t xml:space="preserve"> </w:t>
      </w:r>
      <w:r w:rsidRPr="00CB3EEF">
        <w:t>R</w:t>
      </w:r>
      <w:r w:rsidRPr="00C92731">
        <w:t xml:space="preserve">., Kohl C., </w:t>
      </w:r>
      <w:proofErr w:type="spellStart"/>
      <w:r w:rsidRPr="00C92731">
        <w:t>Rebelo</w:t>
      </w:r>
      <w:proofErr w:type="spellEnd"/>
      <w:r w:rsidRPr="00C92731">
        <w:t xml:space="preserve"> da Silva N.</w:t>
      </w:r>
      <w:r w:rsidR="00B55D41">
        <w:t>,</w:t>
      </w:r>
      <w:r w:rsidR="00B55D41" w:rsidRPr="00B55D41">
        <w:t xml:space="preserve"> </w:t>
      </w:r>
      <w:proofErr w:type="spellStart"/>
      <w:r w:rsidR="00B55D41" w:rsidRPr="00B55D41">
        <w:t>Schiemann</w:t>
      </w:r>
      <w:proofErr w:type="spellEnd"/>
      <w:r w:rsidR="00B55D41">
        <w:t xml:space="preserve"> </w:t>
      </w:r>
      <w:r w:rsidR="00B55D41" w:rsidRPr="00B55D41">
        <w:t>J.</w:t>
      </w:r>
      <w:r w:rsidR="003C5ADB" w:rsidRPr="00C23268">
        <w:t>,</w:t>
      </w:r>
      <w:r w:rsidR="00B55D41" w:rsidRPr="00C23268">
        <w:t xml:space="preserve"> </w:t>
      </w:r>
      <w:proofErr w:type="spellStart"/>
      <w:r w:rsidR="00B55D41" w:rsidRPr="00B55D41">
        <w:t>Spök</w:t>
      </w:r>
      <w:proofErr w:type="spellEnd"/>
      <w:r w:rsidR="00B55D41" w:rsidRPr="00B55D41">
        <w:t xml:space="preserve"> A., Stewart R., Sweet</w:t>
      </w:r>
      <w:r w:rsidR="00B55D41">
        <w:t xml:space="preserve"> </w:t>
      </w:r>
      <w:r w:rsidR="00B55D41" w:rsidRPr="00B55D41">
        <w:t>J. B.</w:t>
      </w:r>
      <w:r w:rsidR="00B55D41">
        <w:t>,</w:t>
      </w:r>
      <w:r w:rsidR="00B55D41" w:rsidRPr="00B55D41">
        <w:t xml:space="preserve"> Wilhelm R.</w:t>
      </w:r>
      <w:r w:rsidR="00B55D41">
        <w:t xml:space="preserve">, </w:t>
      </w:r>
      <w:r w:rsidR="003C5ADB" w:rsidRPr="003C5ADB">
        <w:t>2017</w:t>
      </w:r>
      <w:r w:rsidR="003C5ADB" w:rsidRPr="00C23268">
        <w:t>,</w:t>
      </w:r>
      <w:r w:rsidR="00543531">
        <w:t xml:space="preserve"> </w:t>
      </w:r>
      <w:r w:rsidRPr="00C92731">
        <w:t>A framework for stakeholder engagement during systematic reviews and maps in environmental management.</w:t>
      </w:r>
      <w:r w:rsidR="00543531">
        <w:t xml:space="preserve"> </w:t>
      </w:r>
      <w:r w:rsidRPr="00C92731">
        <w:t>Environ</w:t>
      </w:r>
      <w:r w:rsidR="003C5ADB" w:rsidRPr="00C23268">
        <w:t>mental</w:t>
      </w:r>
      <w:r w:rsidRPr="00C92731">
        <w:t xml:space="preserve"> Evid</w:t>
      </w:r>
      <w:r w:rsidR="003C5ADB">
        <w:t>ence,</w:t>
      </w:r>
      <w:r w:rsidR="00543531">
        <w:t xml:space="preserve"> </w:t>
      </w:r>
      <w:r w:rsidRPr="00C92731">
        <w:t>6,</w:t>
      </w:r>
      <w:r w:rsidR="00543531">
        <w:t xml:space="preserve"> </w:t>
      </w:r>
      <w:r w:rsidRPr="00C92731">
        <w:t>11</w:t>
      </w:r>
      <w:r w:rsidR="00C23268">
        <w:t>.</w:t>
      </w:r>
      <w:r w:rsidRPr="00C92731">
        <w:t xml:space="preserve"> </w:t>
      </w:r>
    </w:p>
    <w:p w14:paraId="748A7B1A" w14:textId="6A016FAD" w:rsidR="0047734F" w:rsidRPr="00D3532F" w:rsidRDefault="0047734F" w:rsidP="0047734F">
      <w:pPr>
        <w:pStyle w:val="CETReferencetext"/>
      </w:pPr>
      <w:proofErr w:type="spellStart"/>
      <w:r w:rsidRPr="00D3532F">
        <w:t>Karakosta</w:t>
      </w:r>
      <w:proofErr w:type="spellEnd"/>
      <w:r w:rsidRPr="00D3532F">
        <w:t xml:space="preserve"> C., Dede P., </w:t>
      </w:r>
      <w:proofErr w:type="spellStart"/>
      <w:r w:rsidRPr="00D3532F">
        <w:t>Flamos</w:t>
      </w:r>
      <w:proofErr w:type="spellEnd"/>
      <w:r w:rsidRPr="00D3532F">
        <w:t>, A.</w:t>
      </w:r>
      <w:r w:rsidR="003C5ADB" w:rsidRPr="00C23268">
        <w:t>,</w:t>
      </w:r>
      <w:r w:rsidRPr="00C92731">
        <w:t xml:space="preserve"> </w:t>
      </w:r>
      <w:r w:rsidRPr="00D3532F">
        <w:t>2015</w:t>
      </w:r>
      <w:r w:rsidR="003C5ADB" w:rsidRPr="00C23268">
        <w:t>,</w:t>
      </w:r>
      <w:r w:rsidRPr="00C92731">
        <w:t xml:space="preserve"> Identification of knowledge needs on climate policy implications through a participatory process</w:t>
      </w:r>
      <w:r w:rsidR="003C5ADB" w:rsidRPr="00C23268">
        <w:t>,</w:t>
      </w:r>
      <w:r w:rsidRPr="00D3532F">
        <w:t xml:space="preserve"> Proceedings of the 8th International Scientific Conference on Energy and Climate Change, Contributing to deep decarbonization, 7-9 October 2015, Athens, Greece</w:t>
      </w:r>
      <w:r w:rsidR="00C23268">
        <w:t>.</w:t>
      </w:r>
    </w:p>
    <w:p w14:paraId="7FA17985" w14:textId="6EC7BF90" w:rsidR="0047734F" w:rsidRPr="00C92731" w:rsidRDefault="0047734F" w:rsidP="0047734F">
      <w:pPr>
        <w:pStyle w:val="CETReferencetext"/>
      </w:pPr>
      <w:r w:rsidRPr="00D3532F">
        <w:t xml:space="preserve">Karakosta, C., </w:t>
      </w:r>
      <w:proofErr w:type="spellStart"/>
      <w:r w:rsidRPr="00D3532F">
        <w:t>Flamos</w:t>
      </w:r>
      <w:proofErr w:type="spellEnd"/>
      <w:r w:rsidRPr="00D3532F">
        <w:t xml:space="preserve">, A. </w:t>
      </w:r>
      <w:r w:rsidR="003C5ADB">
        <w:t>,</w:t>
      </w:r>
      <w:r w:rsidRPr="00C92731">
        <w:t>2016</w:t>
      </w:r>
      <w:r w:rsidR="003C5ADB">
        <w:t>,</w:t>
      </w:r>
      <w:r w:rsidRPr="00C92731">
        <w:t xml:space="preserve"> Managing Climate Policy Information Facilitating Knowledge Transfer to Policy Makers. Energies. 9, </w:t>
      </w:r>
      <w:r w:rsidR="00177C35" w:rsidRPr="00C23268">
        <w:t>4554</w:t>
      </w:r>
      <w:r w:rsidR="00C23268">
        <w:t>.</w:t>
      </w:r>
    </w:p>
    <w:p w14:paraId="41A5ACF1" w14:textId="7B8314F4" w:rsidR="0047734F" w:rsidRPr="00D3532F" w:rsidRDefault="0047734F" w:rsidP="0047734F">
      <w:pPr>
        <w:pStyle w:val="CETReferencetext"/>
      </w:pPr>
      <w:r w:rsidRPr="00C92731">
        <w:t xml:space="preserve">Kelley, K., </w:t>
      </w:r>
      <w:r w:rsidRPr="00D3532F">
        <w:t>Feldman</w:t>
      </w:r>
      <w:r w:rsidR="009E6F62">
        <w:t xml:space="preserve"> </w:t>
      </w:r>
      <w:r w:rsidRPr="00C92731">
        <w:t>S., Gravely</w:t>
      </w:r>
      <w:r w:rsidRPr="00D3532F">
        <w:t xml:space="preserve"> S., 2016</w:t>
      </w:r>
      <w:r w:rsidR="009E6F62">
        <w:t>,</w:t>
      </w:r>
      <w:r w:rsidRPr="00D3532F">
        <w:t xml:space="preserve"> </w:t>
      </w:r>
      <w:r w:rsidRPr="009E6F62">
        <w:t>Chapter 4 - Engaging and Sustaining Stakeholders: Towards Governance, Editor(s): Brian E. Dixon, Health Information Exc</w:t>
      </w:r>
      <w:r w:rsidRPr="00C92731">
        <w:t>hange, Academic Press, 59</w:t>
      </w:r>
      <w:r w:rsidR="000C185E" w:rsidRPr="00C92731">
        <w:t xml:space="preserve"> – </w:t>
      </w:r>
      <w:r w:rsidRPr="00C92731">
        <w:t>76</w:t>
      </w:r>
      <w:r w:rsidR="00C23268">
        <w:t>.</w:t>
      </w:r>
    </w:p>
    <w:p w14:paraId="186D876C" w14:textId="43E9D1F5" w:rsidR="0047734F" w:rsidRPr="00C92731" w:rsidRDefault="0047734F" w:rsidP="0047734F">
      <w:pPr>
        <w:pStyle w:val="CETReferencetext"/>
      </w:pPr>
      <w:r w:rsidRPr="00D3532F">
        <w:t>Pacheco C., Garcia I.</w:t>
      </w:r>
      <w:r w:rsidR="00EA4266">
        <w:t>,</w:t>
      </w:r>
      <w:r w:rsidRPr="00C92731">
        <w:t xml:space="preserve"> </w:t>
      </w:r>
      <w:r w:rsidRPr="00D3532F">
        <w:t>2012</w:t>
      </w:r>
      <w:r w:rsidR="00EA4266">
        <w:t xml:space="preserve">, </w:t>
      </w:r>
      <w:r w:rsidRPr="00EA4266">
        <w:t>A systematic literature review of stakeholder identification methods in requirements elicitation J</w:t>
      </w:r>
      <w:r w:rsidR="009E6F62">
        <w:t>ournal of</w:t>
      </w:r>
      <w:r w:rsidRPr="00EA4266">
        <w:t xml:space="preserve"> Syst</w:t>
      </w:r>
      <w:r w:rsidR="009E6F62">
        <w:t>em</w:t>
      </w:r>
      <w:r w:rsidRPr="00EA4266">
        <w:t xml:space="preserve"> Softw</w:t>
      </w:r>
      <w:r w:rsidR="009E6F62">
        <w:t>are, Vol</w:t>
      </w:r>
      <w:r w:rsidRPr="00EA4266">
        <w:t xml:space="preserve"> 85</w:t>
      </w:r>
      <w:r w:rsidR="009E6F62">
        <w:t>,</w:t>
      </w:r>
      <w:r w:rsidRPr="00EA4266">
        <w:t xml:space="preserve"> </w:t>
      </w:r>
      <w:r w:rsidR="009E6F62">
        <w:t>Issue 9</w:t>
      </w:r>
      <w:r w:rsidRPr="00EA4266">
        <w:t>, 2171</w:t>
      </w:r>
      <w:r w:rsidR="000C185E" w:rsidRPr="00C92731">
        <w:t xml:space="preserve"> – </w:t>
      </w:r>
      <w:r w:rsidRPr="00C92731">
        <w:t>2181.</w:t>
      </w:r>
    </w:p>
    <w:p w14:paraId="53E74B47" w14:textId="1FE45F02" w:rsidR="000C185E" w:rsidRDefault="000C185E" w:rsidP="000C185E">
      <w:pPr>
        <w:pStyle w:val="CETReferencetext"/>
      </w:pPr>
      <w:r w:rsidRPr="00D3532F">
        <w:t xml:space="preserve">Phillipson, J., </w:t>
      </w:r>
      <w:r w:rsidRPr="00EA4266">
        <w:t>Lowe</w:t>
      </w:r>
      <w:r w:rsidR="00EA4266" w:rsidRPr="00EA4266">
        <w:t xml:space="preserve"> P.</w:t>
      </w:r>
      <w:r w:rsidRPr="00EA4266">
        <w:t>, Proctor</w:t>
      </w:r>
      <w:r w:rsidR="00EA4266" w:rsidRPr="00EA4266">
        <w:t xml:space="preserve"> A.</w:t>
      </w:r>
      <w:r w:rsidRPr="00EA4266">
        <w:t xml:space="preserve">, </w:t>
      </w:r>
      <w:proofErr w:type="spellStart"/>
      <w:r w:rsidRPr="00EA4266">
        <w:t>Ruto</w:t>
      </w:r>
      <w:proofErr w:type="spellEnd"/>
      <w:r w:rsidR="00EA4266" w:rsidRPr="00EA4266">
        <w:t xml:space="preserve"> E.</w:t>
      </w:r>
      <w:r w:rsidR="00EA4266">
        <w:t>,</w:t>
      </w:r>
      <w:r w:rsidRPr="00EA4266">
        <w:t xml:space="preserve"> </w:t>
      </w:r>
      <w:r w:rsidRPr="00D3532F">
        <w:t>2012</w:t>
      </w:r>
      <w:r w:rsidR="00EA4266">
        <w:t>,</w:t>
      </w:r>
      <w:r w:rsidRPr="00D3532F">
        <w:t xml:space="preserve"> Stakeholder engagement and knowledge exchange in environmental research</w:t>
      </w:r>
      <w:r w:rsidR="009E6F62">
        <w:t>,</w:t>
      </w:r>
      <w:r w:rsidRPr="00C92731">
        <w:t xml:space="preserve"> Journal of Environmental Management</w:t>
      </w:r>
      <w:r w:rsidR="00EA4266">
        <w:t>,</w:t>
      </w:r>
      <w:r w:rsidRPr="00D3532F">
        <w:t xml:space="preserve"> 95, 56 – 65.</w:t>
      </w:r>
    </w:p>
    <w:p w14:paraId="1E8EF58B" w14:textId="79423E1D" w:rsidR="00F57912" w:rsidRPr="00C92731" w:rsidRDefault="00F57912" w:rsidP="00C92731">
      <w:pPr>
        <w:pStyle w:val="CETReferencetext"/>
      </w:pPr>
      <w:proofErr w:type="spellStart"/>
      <w:r w:rsidRPr="0013772E">
        <w:t>Weitensfelder</w:t>
      </w:r>
      <w:proofErr w:type="spellEnd"/>
      <w:r w:rsidRPr="0013772E">
        <w:t xml:space="preserve">, L., </w:t>
      </w:r>
      <w:proofErr w:type="spellStart"/>
      <w:r w:rsidRPr="0013772E">
        <w:t>Moshammer</w:t>
      </w:r>
      <w:proofErr w:type="spellEnd"/>
      <w:r w:rsidRPr="0013772E">
        <w:t xml:space="preserve">, H., </w:t>
      </w:r>
      <w:proofErr w:type="spellStart"/>
      <w:r w:rsidRPr="00C92731">
        <w:t>Öttl</w:t>
      </w:r>
      <w:proofErr w:type="spellEnd"/>
      <w:r w:rsidRPr="00EA4266">
        <w:t xml:space="preserve"> D.</w:t>
      </w:r>
      <w:r w:rsidR="00EA4266" w:rsidRPr="00CB3EEF">
        <w:t>,</w:t>
      </w:r>
      <w:r w:rsidR="00C23268">
        <w:t xml:space="preserve"> </w:t>
      </w:r>
      <w:r w:rsidR="00EA4266">
        <w:t>Ingrid P.</w:t>
      </w:r>
      <w:r>
        <w:t xml:space="preserve">, </w:t>
      </w:r>
      <w:r w:rsidRPr="00F57912">
        <w:t>2019</w:t>
      </w:r>
      <w:r>
        <w:t xml:space="preserve">, </w:t>
      </w:r>
      <w:r w:rsidRPr="0013772E">
        <w:t xml:space="preserve">Exposure-complaint relationships of various environmental </w:t>
      </w:r>
      <w:proofErr w:type="spellStart"/>
      <w:r w:rsidRPr="0013772E">
        <w:t>odor</w:t>
      </w:r>
      <w:proofErr w:type="spellEnd"/>
      <w:r w:rsidRPr="0013772E">
        <w:t xml:space="preserve"> sources in Styria,</w:t>
      </w:r>
      <w:r w:rsidR="00EA4266" w:rsidRPr="00EA4266">
        <w:t xml:space="preserve"> Austria</w:t>
      </w:r>
      <w:r w:rsidR="00EA4266">
        <w:t>,</w:t>
      </w:r>
      <w:r w:rsidR="00EA4266" w:rsidRPr="0013772E" w:rsidDel="00F57912">
        <w:t xml:space="preserve"> </w:t>
      </w:r>
      <w:r w:rsidRPr="0013772E">
        <w:t xml:space="preserve">Environ Sci </w:t>
      </w:r>
      <w:proofErr w:type="spellStart"/>
      <w:r w:rsidRPr="0013772E">
        <w:t>Pollut</w:t>
      </w:r>
      <w:proofErr w:type="spellEnd"/>
      <w:r w:rsidRPr="0013772E">
        <w:t xml:space="preserve"> Res</w:t>
      </w:r>
      <w:r w:rsidR="00EA4266">
        <w:t>,</w:t>
      </w:r>
      <w:r w:rsidRPr="0013772E">
        <w:t> 26, 9806–9815</w:t>
      </w:r>
      <w:r w:rsidR="00EA4266">
        <w:t>,</w:t>
      </w:r>
      <w:r w:rsidRPr="0013772E">
        <w:t xml:space="preserve"> </w:t>
      </w:r>
      <w:r w:rsidR="00EA4266" w:rsidRPr="00EA4266">
        <w:t>Austria</w:t>
      </w:r>
      <w:r w:rsidR="00C23268">
        <w:t>.</w:t>
      </w:r>
    </w:p>
    <w:p w14:paraId="424BB866" w14:textId="37671FBE" w:rsidR="0047734F" w:rsidRPr="00C92731" w:rsidRDefault="0047734F" w:rsidP="0047734F">
      <w:pPr>
        <w:pStyle w:val="CETReferencetext"/>
      </w:pPr>
      <w:r w:rsidRPr="00C92731">
        <w:t>Welp, M.</w:t>
      </w:r>
      <w:r w:rsidRPr="00D3532F">
        <w:t xml:space="preserve"> Vega – Leinert, A., Stoll – Kleemann, S., Jaeger, C.</w:t>
      </w:r>
      <w:r w:rsidR="009E6F62">
        <w:t>,</w:t>
      </w:r>
      <w:r w:rsidRPr="00C92731">
        <w:t xml:space="preserve"> </w:t>
      </w:r>
      <w:r w:rsidRPr="00D3532F">
        <w:t>2006</w:t>
      </w:r>
      <w:r w:rsidR="009E6F62">
        <w:t>,</w:t>
      </w:r>
      <w:r w:rsidRPr="00D3532F">
        <w:t xml:space="preserve"> Science-based stakeholder dialogues: Theories and tools. Global Environmental Change</w:t>
      </w:r>
      <w:r w:rsidR="00F57912">
        <w:t>,</w:t>
      </w:r>
      <w:r w:rsidRPr="00C92731">
        <w:t xml:space="preserve"> 16, 170</w:t>
      </w:r>
      <w:r w:rsidR="000C185E" w:rsidRPr="00C92731">
        <w:t xml:space="preserve"> – </w:t>
      </w:r>
      <w:r w:rsidRPr="00C92731">
        <w:t xml:space="preserve">181. </w:t>
      </w:r>
    </w:p>
    <w:p w14:paraId="6F8715F4" w14:textId="615D5545" w:rsidR="007242B9" w:rsidRPr="00D3532F" w:rsidRDefault="002A3C27" w:rsidP="007242B9">
      <w:pPr>
        <w:pStyle w:val="CETReferencetext"/>
      </w:pPr>
      <w:r w:rsidRPr="00D3532F">
        <w:t xml:space="preserve">Winooski </w:t>
      </w:r>
      <w:r w:rsidR="007242B9" w:rsidRPr="00D3532F">
        <w:t>M</w:t>
      </w:r>
      <w:r w:rsidR="00F57912">
        <w:t>.</w:t>
      </w:r>
      <w:r w:rsidR="007242B9" w:rsidRPr="00C92731">
        <w:t>, Adam S</w:t>
      </w:r>
      <w:r w:rsidR="00F57912">
        <w:t>.</w:t>
      </w:r>
      <w:r w:rsidR="007242B9" w:rsidRPr="00C92731">
        <w:t xml:space="preserve">, </w:t>
      </w:r>
      <w:proofErr w:type="spellStart"/>
      <w:r w:rsidR="007242B9" w:rsidRPr="00C92731">
        <w:t>Jarosław</w:t>
      </w:r>
      <w:proofErr w:type="spellEnd"/>
      <w:r w:rsidR="007242B9" w:rsidRPr="00C92731">
        <w:t xml:space="preserve"> </w:t>
      </w:r>
      <w:r w:rsidR="001512EE" w:rsidRPr="00C92731">
        <w:t>P</w:t>
      </w:r>
      <w:r w:rsidR="00F57912">
        <w:t>.</w:t>
      </w:r>
      <w:r w:rsidR="007242B9" w:rsidRPr="00D3532F">
        <w:t xml:space="preserve">, </w:t>
      </w:r>
      <w:proofErr w:type="spellStart"/>
      <w:r w:rsidR="007242B9" w:rsidRPr="00D3532F">
        <w:t>Grażyna</w:t>
      </w:r>
      <w:proofErr w:type="spellEnd"/>
      <w:r w:rsidR="007242B9" w:rsidRPr="00D3532F">
        <w:t xml:space="preserve"> P</w:t>
      </w:r>
      <w:r w:rsidR="00F57912">
        <w:t>.</w:t>
      </w:r>
      <w:r w:rsidR="007242B9" w:rsidRPr="00C92731">
        <w:t>, Jerzy S</w:t>
      </w:r>
      <w:r w:rsidR="00F57912">
        <w:t>.</w:t>
      </w:r>
      <w:r w:rsidR="007242B9" w:rsidRPr="00C92731">
        <w:t>,</w:t>
      </w:r>
      <w:r w:rsidR="001512EE" w:rsidRPr="00C92731">
        <w:t xml:space="preserve"> </w:t>
      </w:r>
      <w:proofErr w:type="spellStart"/>
      <w:r w:rsidR="007242B9" w:rsidRPr="00C92731">
        <w:t>Turek</w:t>
      </w:r>
      <w:proofErr w:type="spellEnd"/>
      <w:r w:rsidR="00F57912" w:rsidRPr="00CB3EEF">
        <w:t xml:space="preserve"> P.</w:t>
      </w:r>
      <w:r w:rsidR="007242B9" w:rsidRPr="00C92731">
        <w:t>, Mariusz S</w:t>
      </w:r>
      <w:r w:rsidR="00F57912">
        <w:t>.</w:t>
      </w:r>
      <w:r w:rsidR="007242B9" w:rsidRPr="00D3532F">
        <w:t>,</w:t>
      </w:r>
      <w:r w:rsidR="00F57912" w:rsidRPr="00F57912">
        <w:t xml:space="preserve"> </w:t>
      </w:r>
      <w:r w:rsidR="00F57912" w:rsidRPr="0013772E">
        <w:t>2021,</w:t>
      </w:r>
      <w:r w:rsidR="007242B9" w:rsidRPr="00C92731">
        <w:t xml:space="preserve"> The influence of the methods of measuring odours nuisance on the quality of life, Environmental Impact Assessment Review, Vol</w:t>
      </w:r>
      <w:r w:rsidR="007242B9" w:rsidRPr="00D3532F">
        <w:t xml:space="preserve"> 86, 106491</w:t>
      </w:r>
      <w:r w:rsidR="00C23268">
        <w:t>.</w:t>
      </w:r>
    </w:p>
    <w:p w14:paraId="232233B5" w14:textId="549D1966" w:rsidR="003F5CE0" w:rsidRPr="002F1965" w:rsidRDefault="002F1965">
      <w:pPr>
        <w:pStyle w:val="CETReferencetext"/>
      </w:pPr>
      <w:r w:rsidRPr="00543531">
        <w:t>Yang, J., Shen, G.Q., Ho, M.</w:t>
      </w:r>
      <w:r w:rsidR="00F57912" w:rsidRPr="00543531">
        <w:t>,</w:t>
      </w:r>
      <w:r w:rsidRPr="00543531">
        <w:t xml:space="preserve"> 2009</w:t>
      </w:r>
      <w:r w:rsidR="00F57912" w:rsidRPr="00543531">
        <w:t>,</w:t>
      </w:r>
      <w:r w:rsidRPr="00543531">
        <w:t xml:space="preserve"> An overview of previous studies in stakeholder management and its implications for the construction industry</w:t>
      </w:r>
      <w:r w:rsidR="00C92731" w:rsidRPr="00543531">
        <w:t>,</w:t>
      </w:r>
      <w:r w:rsidR="00C92731" w:rsidRPr="00C92731">
        <w:t xml:space="preserve"> </w:t>
      </w:r>
      <w:r w:rsidR="00C92731" w:rsidRPr="00543531">
        <w:t>Journal of Facilities Management</w:t>
      </w:r>
      <w:r w:rsidR="00F57912" w:rsidRPr="00543531">
        <w:t>,</w:t>
      </w:r>
      <w:r w:rsidRPr="00543531">
        <w:t xml:space="preserve"> 7, 159-175</w:t>
      </w:r>
      <w:r w:rsidR="00C23268" w:rsidRPr="00543531">
        <w:t>.</w:t>
      </w:r>
    </w:p>
    <w:sectPr w:rsidR="003F5CE0" w:rsidRPr="002F196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0268" w14:textId="77777777" w:rsidR="00C557CE" w:rsidRDefault="00C557CE" w:rsidP="004F5E36">
      <w:r>
        <w:separator/>
      </w:r>
    </w:p>
  </w:endnote>
  <w:endnote w:type="continuationSeparator" w:id="0">
    <w:p w14:paraId="5A80AA9E" w14:textId="77777777" w:rsidR="00C557CE" w:rsidRDefault="00C557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9F57E" w14:textId="77777777" w:rsidR="00C557CE" w:rsidRDefault="00C557CE" w:rsidP="004F5E36">
      <w:r>
        <w:separator/>
      </w:r>
    </w:p>
  </w:footnote>
  <w:footnote w:type="continuationSeparator" w:id="0">
    <w:p w14:paraId="23C3837D" w14:textId="77777777" w:rsidR="00C557CE" w:rsidRDefault="00C557C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0A6EBD"/>
    <w:multiLevelType w:val="hybridMultilevel"/>
    <w:tmpl w:val="2520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3D27"/>
    <w:multiLevelType w:val="hybridMultilevel"/>
    <w:tmpl w:val="641CEE2E"/>
    <w:lvl w:ilvl="0" w:tplc="0C78DA5C">
      <w:start w:val="1"/>
      <w:numFmt w:val="decimal"/>
      <w:pStyle w:val="FirstOrderHeadings"/>
      <w:lvlText w:val="%1."/>
      <w:lvlJc w:val="left"/>
      <w:pPr>
        <w:tabs>
          <w:tab w:val="num" w:pos="397"/>
        </w:tabs>
        <w:ind w:left="397" w:hanging="397"/>
      </w:pPr>
      <w:rPr>
        <w:rFonts w:hint="default"/>
        <w:b/>
        <w:i w:val="0"/>
      </w:rPr>
    </w:lvl>
    <w:lvl w:ilvl="1" w:tplc="B9E2A76E">
      <w:start w:val="1"/>
      <w:numFmt w:val="decimal"/>
      <w:lvlText w:val="%2."/>
      <w:lvlJc w:val="left"/>
      <w:pPr>
        <w:tabs>
          <w:tab w:val="num" w:pos="1440"/>
        </w:tabs>
        <w:ind w:left="1440" w:hanging="360"/>
      </w:pPr>
    </w:lvl>
    <w:lvl w:ilvl="2" w:tplc="A790D208">
      <w:start w:val="1"/>
      <w:numFmt w:val="decimal"/>
      <w:lvlText w:val="%3."/>
      <w:lvlJc w:val="left"/>
      <w:pPr>
        <w:tabs>
          <w:tab w:val="num" w:pos="2160"/>
        </w:tabs>
        <w:ind w:left="2160" w:hanging="360"/>
      </w:pPr>
    </w:lvl>
    <w:lvl w:ilvl="3" w:tplc="2AEAAEC6">
      <w:start w:val="1"/>
      <w:numFmt w:val="decimal"/>
      <w:lvlText w:val="%4."/>
      <w:lvlJc w:val="left"/>
      <w:pPr>
        <w:tabs>
          <w:tab w:val="num" w:pos="2880"/>
        </w:tabs>
        <w:ind w:left="2880" w:hanging="360"/>
      </w:pPr>
    </w:lvl>
    <w:lvl w:ilvl="4" w:tplc="69B0F4C2">
      <w:start w:val="1"/>
      <w:numFmt w:val="decimal"/>
      <w:lvlText w:val="%5."/>
      <w:lvlJc w:val="left"/>
      <w:pPr>
        <w:tabs>
          <w:tab w:val="num" w:pos="3600"/>
        </w:tabs>
        <w:ind w:left="3600" w:hanging="360"/>
      </w:pPr>
    </w:lvl>
    <w:lvl w:ilvl="5" w:tplc="7974B6B2">
      <w:start w:val="1"/>
      <w:numFmt w:val="decimal"/>
      <w:lvlText w:val="%6."/>
      <w:lvlJc w:val="left"/>
      <w:pPr>
        <w:tabs>
          <w:tab w:val="num" w:pos="4320"/>
        </w:tabs>
        <w:ind w:left="4320" w:hanging="360"/>
      </w:pPr>
    </w:lvl>
    <w:lvl w:ilvl="6" w:tplc="466859BA">
      <w:start w:val="1"/>
      <w:numFmt w:val="decimal"/>
      <w:lvlText w:val="%7."/>
      <w:lvlJc w:val="left"/>
      <w:pPr>
        <w:tabs>
          <w:tab w:val="num" w:pos="5040"/>
        </w:tabs>
        <w:ind w:left="5040" w:hanging="360"/>
      </w:pPr>
    </w:lvl>
    <w:lvl w:ilvl="7" w:tplc="90F8F0F8">
      <w:start w:val="1"/>
      <w:numFmt w:val="decimal"/>
      <w:lvlText w:val="%8."/>
      <w:lvlJc w:val="left"/>
      <w:pPr>
        <w:tabs>
          <w:tab w:val="num" w:pos="5760"/>
        </w:tabs>
        <w:ind w:left="5760" w:hanging="360"/>
      </w:pPr>
    </w:lvl>
    <w:lvl w:ilvl="8" w:tplc="EC60B9A0">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47E3D"/>
    <w:rsid w:val="00051566"/>
    <w:rsid w:val="000579A3"/>
    <w:rsid w:val="00062A9A"/>
    <w:rsid w:val="00065058"/>
    <w:rsid w:val="00086C39"/>
    <w:rsid w:val="000A03B2"/>
    <w:rsid w:val="000C185E"/>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42FF6"/>
    <w:rsid w:val="00150E59"/>
    <w:rsid w:val="001512EE"/>
    <w:rsid w:val="00152DE3"/>
    <w:rsid w:val="0015667D"/>
    <w:rsid w:val="00164CF9"/>
    <w:rsid w:val="001667A6"/>
    <w:rsid w:val="00177C35"/>
    <w:rsid w:val="00181516"/>
    <w:rsid w:val="00184AD6"/>
    <w:rsid w:val="001A4AF7"/>
    <w:rsid w:val="001B0349"/>
    <w:rsid w:val="001B65C1"/>
    <w:rsid w:val="001C684B"/>
    <w:rsid w:val="001D53FC"/>
    <w:rsid w:val="001F42A5"/>
    <w:rsid w:val="001F7B9D"/>
    <w:rsid w:val="002224B4"/>
    <w:rsid w:val="00227C18"/>
    <w:rsid w:val="002447EF"/>
    <w:rsid w:val="00251550"/>
    <w:rsid w:val="00263B05"/>
    <w:rsid w:val="0027221A"/>
    <w:rsid w:val="00275B61"/>
    <w:rsid w:val="00282656"/>
    <w:rsid w:val="00296B83"/>
    <w:rsid w:val="002A3C27"/>
    <w:rsid w:val="002B5E8B"/>
    <w:rsid w:val="002B78CE"/>
    <w:rsid w:val="002C2FB6"/>
    <w:rsid w:val="002F1965"/>
    <w:rsid w:val="002F3309"/>
    <w:rsid w:val="003009B7"/>
    <w:rsid w:val="00300E56"/>
    <w:rsid w:val="0030469C"/>
    <w:rsid w:val="00321CA6"/>
    <w:rsid w:val="00323763"/>
    <w:rsid w:val="00323D24"/>
    <w:rsid w:val="00334C09"/>
    <w:rsid w:val="003723D4"/>
    <w:rsid w:val="00381905"/>
    <w:rsid w:val="00384CC8"/>
    <w:rsid w:val="003871FD"/>
    <w:rsid w:val="003A1E30"/>
    <w:rsid w:val="003A7D1C"/>
    <w:rsid w:val="003B304B"/>
    <w:rsid w:val="003B3146"/>
    <w:rsid w:val="003C5ADB"/>
    <w:rsid w:val="003F015E"/>
    <w:rsid w:val="003F5CE0"/>
    <w:rsid w:val="00400414"/>
    <w:rsid w:val="0041446B"/>
    <w:rsid w:val="00415C55"/>
    <w:rsid w:val="00416A3B"/>
    <w:rsid w:val="0044329C"/>
    <w:rsid w:val="004577FE"/>
    <w:rsid w:val="00457B9C"/>
    <w:rsid w:val="0046164A"/>
    <w:rsid w:val="004628D2"/>
    <w:rsid w:val="00462DCD"/>
    <w:rsid w:val="004648AD"/>
    <w:rsid w:val="004703A9"/>
    <w:rsid w:val="004760DE"/>
    <w:rsid w:val="004763D7"/>
    <w:rsid w:val="0047734F"/>
    <w:rsid w:val="004A004E"/>
    <w:rsid w:val="004A24CF"/>
    <w:rsid w:val="004B0AF8"/>
    <w:rsid w:val="004B53F3"/>
    <w:rsid w:val="004C3D1D"/>
    <w:rsid w:val="004C7913"/>
    <w:rsid w:val="004E4DD6"/>
    <w:rsid w:val="004F5E36"/>
    <w:rsid w:val="00507B47"/>
    <w:rsid w:val="00507BEF"/>
    <w:rsid w:val="00507CC9"/>
    <w:rsid w:val="005119A5"/>
    <w:rsid w:val="00526EA1"/>
    <w:rsid w:val="005278B7"/>
    <w:rsid w:val="00532016"/>
    <w:rsid w:val="005346C8"/>
    <w:rsid w:val="00543531"/>
    <w:rsid w:val="00543E7D"/>
    <w:rsid w:val="00547A68"/>
    <w:rsid w:val="005531C9"/>
    <w:rsid w:val="00557D6D"/>
    <w:rsid w:val="00570C43"/>
    <w:rsid w:val="005B2110"/>
    <w:rsid w:val="005B47BB"/>
    <w:rsid w:val="005B61E6"/>
    <w:rsid w:val="005C77E1"/>
    <w:rsid w:val="005D1138"/>
    <w:rsid w:val="005D668A"/>
    <w:rsid w:val="005D6A2F"/>
    <w:rsid w:val="005E1A82"/>
    <w:rsid w:val="005E794C"/>
    <w:rsid w:val="005F0A28"/>
    <w:rsid w:val="005F0E5E"/>
    <w:rsid w:val="00600535"/>
    <w:rsid w:val="00610241"/>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6F3A03"/>
    <w:rsid w:val="00720A24"/>
    <w:rsid w:val="007242B9"/>
    <w:rsid w:val="00732386"/>
    <w:rsid w:val="0073514D"/>
    <w:rsid w:val="007376EF"/>
    <w:rsid w:val="007447F3"/>
    <w:rsid w:val="0075499F"/>
    <w:rsid w:val="007661C8"/>
    <w:rsid w:val="0077098D"/>
    <w:rsid w:val="00787AFD"/>
    <w:rsid w:val="00792728"/>
    <w:rsid w:val="007931FA"/>
    <w:rsid w:val="007A4861"/>
    <w:rsid w:val="007A7BBA"/>
    <w:rsid w:val="007B0C50"/>
    <w:rsid w:val="007C1A43"/>
    <w:rsid w:val="007C33AF"/>
    <w:rsid w:val="0080013E"/>
    <w:rsid w:val="00813288"/>
    <w:rsid w:val="0081457E"/>
    <w:rsid w:val="008168FC"/>
    <w:rsid w:val="00830996"/>
    <w:rsid w:val="008345F1"/>
    <w:rsid w:val="00865B07"/>
    <w:rsid w:val="008667EA"/>
    <w:rsid w:val="0087637F"/>
    <w:rsid w:val="00892AD5"/>
    <w:rsid w:val="008A1512"/>
    <w:rsid w:val="008D32B9"/>
    <w:rsid w:val="008D433B"/>
    <w:rsid w:val="008E566E"/>
    <w:rsid w:val="00900B48"/>
    <w:rsid w:val="0090161A"/>
    <w:rsid w:val="00901EB6"/>
    <w:rsid w:val="00904C62"/>
    <w:rsid w:val="00922BA8"/>
    <w:rsid w:val="00924DAC"/>
    <w:rsid w:val="00927058"/>
    <w:rsid w:val="0094123C"/>
    <w:rsid w:val="00942750"/>
    <w:rsid w:val="009450CE"/>
    <w:rsid w:val="00947179"/>
    <w:rsid w:val="0095164B"/>
    <w:rsid w:val="00954090"/>
    <w:rsid w:val="009573E7"/>
    <w:rsid w:val="00963E05"/>
    <w:rsid w:val="00967843"/>
    <w:rsid w:val="00967D54"/>
    <w:rsid w:val="00971028"/>
    <w:rsid w:val="00996483"/>
    <w:rsid w:val="00996F5A"/>
    <w:rsid w:val="009A5A32"/>
    <w:rsid w:val="009B041A"/>
    <w:rsid w:val="009B15BE"/>
    <w:rsid w:val="009C37C3"/>
    <w:rsid w:val="009C7C86"/>
    <w:rsid w:val="009D2FF7"/>
    <w:rsid w:val="009E6F62"/>
    <w:rsid w:val="009E7884"/>
    <w:rsid w:val="009E788A"/>
    <w:rsid w:val="009F0E08"/>
    <w:rsid w:val="00A1763D"/>
    <w:rsid w:val="00A17CEC"/>
    <w:rsid w:val="00A27EF0"/>
    <w:rsid w:val="00A42361"/>
    <w:rsid w:val="00A42890"/>
    <w:rsid w:val="00A50B20"/>
    <w:rsid w:val="00A51390"/>
    <w:rsid w:val="00A60D13"/>
    <w:rsid w:val="00A62E4D"/>
    <w:rsid w:val="00A63C33"/>
    <w:rsid w:val="00A72745"/>
    <w:rsid w:val="00A76EFC"/>
    <w:rsid w:val="00A91010"/>
    <w:rsid w:val="00A97F29"/>
    <w:rsid w:val="00AA702E"/>
    <w:rsid w:val="00AB0964"/>
    <w:rsid w:val="00AB5011"/>
    <w:rsid w:val="00AC0B47"/>
    <w:rsid w:val="00AC7368"/>
    <w:rsid w:val="00AD16B9"/>
    <w:rsid w:val="00AD322E"/>
    <w:rsid w:val="00AE377D"/>
    <w:rsid w:val="00AE4D5B"/>
    <w:rsid w:val="00AF0EBA"/>
    <w:rsid w:val="00B02C8A"/>
    <w:rsid w:val="00B17FBD"/>
    <w:rsid w:val="00B24E27"/>
    <w:rsid w:val="00B315A6"/>
    <w:rsid w:val="00B31813"/>
    <w:rsid w:val="00B33365"/>
    <w:rsid w:val="00B55D41"/>
    <w:rsid w:val="00B57B36"/>
    <w:rsid w:val="00B8686D"/>
    <w:rsid w:val="00BA65BA"/>
    <w:rsid w:val="00BB0693"/>
    <w:rsid w:val="00BB1DDC"/>
    <w:rsid w:val="00BC30C9"/>
    <w:rsid w:val="00BC5251"/>
    <w:rsid w:val="00BE3E58"/>
    <w:rsid w:val="00C01616"/>
    <w:rsid w:val="00C0162B"/>
    <w:rsid w:val="00C0613C"/>
    <w:rsid w:val="00C068ED"/>
    <w:rsid w:val="00C23268"/>
    <w:rsid w:val="00C27AAE"/>
    <w:rsid w:val="00C345B1"/>
    <w:rsid w:val="00C40142"/>
    <w:rsid w:val="00C44BFD"/>
    <w:rsid w:val="00C557CE"/>
    <w:rsid w:val="00C57182"/>
    <w:rsid w:val="00C57863"/>
    <w:rsid w:val="00C655FD"/>
    <w:rsid w:val="00C75407"/>
    <w:rsid w:val="00C870A8"/>
    <w:rsid w:val="00C92731"/>
    <w:rsid w:val="00C94434"/>
    <w:rsid w:val="00CA0D75"/>
    <w:rsid w:val="00CA1C95"/>
    <w:rsid w:val="00CA5A9C"/>
    <w:rsid w:val="00CB3EEF"/>
    <w:rsid w:val="00CC4C20"/>
    <w:rsid w:val="00CD3517"/>
    <w:rsid w:val="00CD5FE2"/>
    <w:rsid w:val="00CD7CA2"/>
    <w:rsid w:val="00CE7C68"/>
    <w:rsid w:val="00D029FC"/>
    <w:rsid w:val="00D02B4C"/>
    <w:rsid w:val="00D040C4"/>
    <w:rsid w:val="00D17A6D"/>
    <w:rsid w:val="00D3532F"/>
    <w:rsid w:val="00D46167"/>
    <w:rsid w:val="00D57C84"/>
    <w:rsid w:val="00D6057D"/>
    <w:rsid w:val="00D67725"/>
    <w:rsid w:val="00D836C5"/>
    <w:rsid w:val="00D84576"/>
    <w:rsid w:val="00DA1399"/>
    <w:rsid w:val="00DA24C6"/>
    <w:rsid w:val="00DA4D7B"/>
    <w:rsid w:val="00DE264A"/>
    <w:rsid w:val="00DF5072"/>
    <w:rsid w:val="00E02D18"/>
    <w:rsid w:val="00E041E7"/>
    <w:rsid w:val="00E23CA1"/>
    <w:rsid w:val="00E409A8"/>
    <w:rsid w:val="00E50C12"/>
    <w:rsid w:val="00E65B91"/>
    <w:rsid w:val="00E67361"/>
    <w:rsid w:val="00E7209D"/>
    <w:rsid w:val="00E76BE5"/>
    <w:rsid w:val="00E77223"/>
    <w:rsid w:val="00E8528B"/>
    <w:rsid w:val="00E85B94"/>
    <w:rsid w:val="00E978D0"/>
    <w:rsid w:val="00EA4266"/>
    <w:rsid w:val="00EA4613"/>
    <w:rsid w:val="00EA7F91"/>
    <w:rsid w:val="00EB1523"/>
    <w:rsid w:val="00EC0E49"/>
    <w:rsid w:val="00EC101F"/>
    <w:rsid w:val="00EC1D9F"/>
    <w:rsid w:val="00EE0131"/>
    <w:rsid w:val="00EE17B0"/>
    <w:rsid w:val="00EF06D9"/>
    <w:rsid w:val="00F22FBB"/>
    <w:rsid w:val="00F30C64"/>
    <w:rsid w:val="00F32CDB"/>
    <w:rsid w:val="00F565FE"/>
    <w:rsid w:val="00F57912"/>
    <w:rsid w:val="00F63A70"/>
    <w:rsid w:val="00F65BCF"/>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D93ED6B-89EB-4332-9101-98B41AE1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76BE5"/>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76BE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UnresolvedMention">
    <w:name w:val="Unresolved Mention"/>
    <w:basedOn w:val="DefaultParagraphFont"/>
    <w:uiPriority w:val="99"/>
    <w:semiHidden/>
    <w:unhideWhenUsed/>
    <w:rsid w:val="00CD7CA2"/>
    <w:rPr>
      <w:color w:val="605E5C"/>
      <w:shd w:val="clear" w:color="auto" w:fill="E1DFDD"/>
    </w:rPr>
  </w:style>
  <w:style w:type="paragraph" w:customStyle="1" w:styleId="1">
    <w:name w:val="1"/>
    <w:basedOn w:val="Normal"/>
    <w:rsid w:val="00CD7CA2"/>
    <w:pPr>
      <w:tabs>
        <w:tab w:val="clear" w:pos="7100"/>
        <w:tab w:val="left" w:pos="709"/>
      </w:tabs>
      <w:spacing w:line="240" w:lineRule="auto"/>
      <w:jc w:val="left"/>
    </w:pPr>
    <w:rPr>
      <w:rFonts w:ascii="Tahoma" w:hAnsi="Tahoma" w:cs="Tahoma"/>
      <w:sz w:val="24"/>
      <w:szCs w:val="24"/>
      <w:lang w:val="pl-PL" w:eastAsia="pl-PL"/>
    </w:rPr>
  </w:style>
  <w:style w:type="paragraph" w:customStyle="1" w:styleId="FirstOrderHeadings">
    <w:name w:val="First Order Headings"/>
    <w:basedOn w:val="Normal"/>
    <w:next w:val="MainText"/>
    <w:rsid w:val="002B5E8B"/>
    <w:pPr>
      <w:numPr>
        <w:numId w:val="23"/>
      </w:numPr>
      <w:tabs>
        <w:tab w:val="clear" w:pos="7100"/>
      </w:tabs>
      <w:spacing w:before="480" w:after="240" w:line="240" w:lineRule="auto"/>
    </w:pPr>
    <w:rPr>
      <w:rFonts w:ascii="Times New Roman" w:hAnsi="Times New Roman"/>
      <w:b/>
      <w:bCs/>
      <w:caps/>
      <w:sz w:val="26"/>
      <w:szCs w:val="24"/>
      <w:lang w:val="en-US"/>
    </w:rPr>
  </w:style>
  <w:style w:type="paragraph" w:customStyle="1" w:styleId="MainText">
    <w:name w:val="Main Text"/>
    <w:basedOn w:val="Normal"/>
    <w:rsid w:val="002B5E8B"/>
    <w:pPr>
      <w:tabs>
        <w:tab w:val="clear" w:pos="7100"/>
      </w:tabs>
      <w:spacing w:line="240" w:lineRule="auto"/>
      <w:ind w:firstLine="284"/>
    </w:pPr>
    <w:rPr>
      <w:rFonts w:ascii="Times New Roman" w:hAnsi="Times New Roman"/>
      <w:sz w:val="20"/>
      <w:szCs w:val="24"/>
      <w:lang w:val="en-US"/>
    </w:rPr>
  </w:style>
  <w:style w:type="character" w:styleId="Strong">
    <w:name w:val="Strong"/>
    <w:basedOn w:val="DefaultParagraphFont"/>
    <w:uiPriority w:val="22"/>
    <w:qFormat/>
    <w:rsid w:val="003F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2221">
      <w:bodyDiv w:val="1"/>
      <w:marLeft w:val="0"/>
      <w:marRight w:val="0"/>
      <w:marTop w:val="0"/>
      <w:marBottom w:val="0"/>
      <w:divBdr>
        <w:top w:val="none" w:sz="0" w:space="0" w:color="auto"/>
        <w:left w:val="none" w:sz="0" w:space="0" w:color="auto"/>
        <w:bottom w:val="none" w:sz="0" w:space="0" w:color="auto"/>
        <w:right w:val="none" w:sz="0" w:space="0" w:color="auto"/>
      </w:divBdr>
    </w:div>
    <w:div w:id="55131060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147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29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B3AC-5612-42C0-8294-357B4549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3141</Words>
  <Characters>16964</Characters>
  <Application>Microsoft Office Word</Application>
  <DocSecurity>0</DocSecurity>
  <Lines>141</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Stavros Vlachos</cp:lastModifiedBy>
  <cp:revision>5</cp:revision>
  <cp:lastPrinted>2015-05-12T18:31:00Z</cp:lastPrinted>
  <dcterms:created xsi:type="dcterms:W3CDTF">2020-12-09T21:29:00Z</dcterms:created>
  <dcterms:modified xsi:type="dcterms:W3CDTF">2020-12-09T21:44:00Z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