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7D20183F" w14:textId="77777777" w:rsidTr="00362040">
        <w:trPr>
          <w:trHeight w:val="852"/>
          <w:jc w:val="center"/>
        </w:trPr>
        <w:tc>
          <w:tcPr>
            <w:tcW w:w="6940" w:type="dxa"/>
            <w:vMerge w:val="restart"/>
            <w:tcBorders>
              <w:right w:val="single" w:sz="4" w:space="0" w:color="auto"/>
            </w:tcBorders>
          </w:tcPr>
          <w:p w14:paraId="69B3F24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792864E" wp14:editId="1B371C3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76165E1"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2E8E4068"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22499D31" w14:textId="77777777" w:rsidR="000A03B2" w:rsidRPr="00B57B36" w:rsidRDefault="000A03B2" w:rsidP="00CD5FE2">
            <w:pPr>
              <w:jc w:val="right"/>
            </w:pPr>
            <w:r w:rsidRPr="00B57B36">
              <w:rPr>
                <w:noProof/>
                <w:lang w:val="it-IT" w:eastAsia="it-IT"/>
              </w:rPr>
              <w:drawing>
                <wp:inline distT="0" distB="0" distL="0" distR="0" wp14:anchorId="2C42B842" wp14:editId="16A397F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2AD08FB" w14:textId="77777777" w:rsidTr="00362040">
        <w:trPr>
          <w:trHeight w:val="567"/>
          <w:jc w:val="center"/>
        </w:trPr>
        <w:tc>
          <w:tcPr>
            <w:tcW w:w="6940" w:type="dxa"/>
            <w:vMerge/>
            <w:tcBorders>
              <w:right w:val="single" w:sz="4" w:space="0" w:color="auto"/>
            </w:tcBorders>
          </w:tcPr>
          <w:p w14:paraId="534F129C"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1B89CFE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0F9939B"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1A06E1C"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5C52C084" w14:textId="77777777" w:rsidTr="00362040">
        <w:trPr>
          <w:trHeight w:val="68"/>
          <w:jc w:val="center"/>
        </w:trPr>
        <w:tc>
          <w:tcPr>
            <w:tcW w:w="8782" w:type="dxa"/>
            <w:gridSpan w:val="2"/>
          </w:tcPr>
          <w:p w14:paraId="133E52BD"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58F8D00F"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DB06576" w14:textId="1EC39642" w:rsidR="00362040" w:rsidRPr="00362040" w:rsidRDefault="00362040" w:rsidP="00362040">
      <w:pPr>
        <w:pStyle w:val="CETAuthors"/>
        <w:rPr>
          <w:b/>
          <w:bCs/>
          <w:sz w:val="32"/>
          <w:lang w:val="en-US"/>
        </w:rPr>
      </w:pPr>
      <w:r w:rsidRPr="00362040">
        <w:rPr>
          <w:b/>
          <w:bCs/>
          <w:sz w:val="32"/>
          <w:lang w:val="en-US"/>
        </w:rPr>
        <w:t>Changing the Electrical Conductivity of PEDOT:PSS Films via Hybrid</w:t>
      </w:r>
      <w:r w:rsidR="003C2DC0">
        <w:rPr>
          <w:b/>
          <w:bCs/>
          <w:sz w:val="32"/>
          <w:lang w:val="en-US"/>
        </w:rPr>
        <w:t xml:space="preserve"> </w:t>
      </w:r>
      <w:r w:rsidRPr="00362040">
        <w:rPr>
          <w:b/>
          <w:bCs/>
          <w:sz w:val="32"/>
          <w:lang w:val="en-US"/>
        </w:rPr>
        <w:t>Doping with Inorganic and Organic Semiconductors</w:t>
      </w:r>
    </w:p>
    <w:p w14:paraId="23315415" w14:textId="77777777" w:rsidR="00362040" w:rsidRPr="00581F64" w:rsidRDefault="00362040" w:rsidP="00B57E6F">
      <w:pPr>
        <w:pStyle w:val="CETAddress"/>
        <w:rPr>
          <w:sz w:val="24"/>
          <w:vertAlign w:val="superscript"/>
          <w:lang w:val="it-IT"/>
        </w:rPr>
      </w:pPr>
      <w:r w:rsidRPr="00581F64">
        <w:rPr>
          <w:sz w:val="24"/>
          <w:lang w:val="it-IT"/>
        </w:rPr>
        <w:t>M. Recupero</w:t>
      </w:r>
      <w:r w:rsidRPr="00581F64">
        <w:rPr>
          <w:sz w:val="24"/>
          <w:vertAlign w:val="superscript"/>
          <w:lang w:val="it-IT"/>
        </w:rPr>
        <w:t>a,*</w:t>
      </w:r>
      <w:r w:rsidRPr="00581F64">
        <w:rPr>
          <w:sz w:val="24"/>
          <w:lang w:val="it-IT"/>
        </w:rPr>
        <w:t>, L. De Guglielmo</w:t>
      </w:r>
      <w:r w:rsidRPr="00581F64">
        <w:rPr>
          <w:sz w:val="24"/>
          <w:vertAlign w:val="superscript"/>
          <w:lang w:val="it-IT"/>
        </w:rPr>
        <w:t>b</w:t>
      </w:r>
      <w:r w:rsidRPr="00581F64">
        <w:rPr>
          <w:sz w:val="24"/>
          <w:lang w:val="it-IT"/>
        </w:rPr>
        <w:t>, V. Vaiano</w:t>
      </w:r>
      <w:r w:rsidRPr="00581F64">
        <w:rPr>
          <w:sz w:val="24"/>
          <w:vertAlign w:val="superscript"/>
          <w:lang w:val="it-IT"/>
        </w:rPr>
        <w:t>c</w:t>
      </w:r>
      <w:r w:rsidRPr="00581F64">
        <w:rPr>
          <w:sz w:val="24"/>
          <w:lang w:val="it-IT"/>
        </w:rPr>
        <w:t>, V.Venditto</w:t>
      </w:r>
      <w:r w:rsidRPr="00581F64">
        <w:rPr>
          <w:sz w:val="24"/>
          <w:vertAlign w:val="superscript"/>
          <w:lang w:val="it-IT"/>
        </w:rPr>
        <w:t>d</w:t>
      </w:r>
      <w:r w:rsidRPr="00581F64">
        <w:rPr>
          <w:sz w:val="24"/>
          <w:lang w:val="it-IT"/>
        </w:rPr>
        <w:t>, O.Sacco</w:t>
      </w:r>
      <w:r w:rsidRPr="00581F64">
        <w:rPr>
          <w:sz w:val="24"/>
          <w:vertAlign w:val="superscript"/>
          <w:lang w:val="it-IT"/>
        </w:rPr>
        <w:t xml:space="preserve">d </w:t>
      </w:r>
    </w:p>
    <w:p w14:paraId="367378FB" w14:textId="694F5B16" w:rsidR="00676A1F" w:rsidRPr="004B6196" w:rsidRDefault="004B6196" w:rsidP="00676A1F">
      <w:pPr>
        <w:pStyle w:val="CETAddress"/>
      </w:pPr>
      <w:r>
        <w:rPr>
          <w:vertAlign w:val="superscript"/>
        </w:rPr>
        <w:t xml:space="preserve">a </w:t>
      </w:r>
      <w:r w:rsidR="00676A1F" w:rsidRPr="004B6196">
        <w:t>Department of Information and Electrical Engineering and Applied Mathematics, University of Salerno, Via Giovanni Paolo II 132, 84084 Fisciano, Italy</w:t>
      </w:r>
    </w:p>
    <w:p w14:paraId="06F4F660" w14:textId="77777777" w:rsidR="00676A1F" w:rsidRPr="00676A1F" w:rsidRDefault="00676A1F" w:rsidP="00676A1F">
      <w:pPr>
        <w:pStyle w:val="CETAddress"/>
        <w:rPr>
          <w:vertAlign w:val="superscript"/>
        </w:rPr>
      </w:pPr>
      <w:r w:rsidRPr="00676A1F">
        <w:rPr>
          <w:vertAlign w:val="superscript"/>
        </w:rPr>
        <w:t xml:space="preserve">b </w:t>
      </w:r>
      <w:r w:rsidRPr="004B6196">
        <w:t>EXELING SRL, Contrada S.Tommaso 18/F, 83100 Avellino, Italy</w:t>
      </w:r>
    </w:p>
    <w:p w14:paraId="7E9C7565" w14:textId="77777777" w:rsidR="00676A1F" w:rsidRPr="004B6196" w:rsidRDefault="00676A1F" w:rsidP="00676A1F">
      <w:pPr>
        <w:pStyle w:val="CETAddress"/>
      </w:pPr>
      <w:r w:rsidRPr="00676A1F">
        <w:rPr>
          <w:vertAlign w:val="superscript"/>
        </w:rPr>
        <w:t xml:space="preserve">c </w:t>
      </w:r>
      <w:r w:rsidRPr="004B6196">
        <w:t>Department of Industrial Engineering, University of Salerno, Via Giovanni Paolo II 132, 84084 Fisciano, Italy</w:t>
      </w:r>
    </w:p>
    <w:p w14:paraId="5350B08E" w14:textId="77777777" w:rsidR="00676A1F" w:rsidRPr="00676A1F" w:rsidRDefault="00676A1F" w:rsidP="00676A1F">
      <w:pPr>
        <w:pStyle w:val="CETAddress"/>
        <w:rPr>
          <w:vertAlign w:val="superscript"/>
        </w:rPr>
      </w:pPr>
      <w:r w:rsidRPr="00676A1F">
        <w:rPr>
          <w:vertAlign w:val="superscript"/>
        </w:rPr>
        <w:t xml:space="preserve">d </w:t>
      </w:r>
      <w:r w:rsidRPr="004B6196">
        <w:t>Department of Chemistry and Biology “A. Zambelli”, University of Salerno, via Giovanni Paolo II, 132, 84084, Fisciano, SA, Italy</w:t>
      </w:r>
      <w:r w:rsidRPr="00676A1F">
        <w:rPr>
          <w:vertAlign w:val="superscript"/>
        </w:rPr>
        <w:t xml:space="preserve"> </w:t>
      </w:r>
    </w:p>
    <w:p w14:paraId="59922402" w14:textId="77777777" w:rsidR="00676A1F" w:rsidRPr="004B6196" w:rsidRDefault="00676A1F" w:rsidP="00676A1F">
      <w:pPr>
        <w:pStyle w:val="CETAddress"/>
        <w:rPr>
          <w:color w:val="000000" w:themeColor="text1"/>
        </w:rPr>
      </w:pPr>
      <w:r w:rsidRPr="00676A1F">
        <w:rPr>
          <w:vertAlign w:val="superscript"/>
        </w:rPr>
        <w:t xml:space="preserve">* </w:t>
      </w:r>
      <w:r w:rsidRPr="004B6196">
        <w:rPr>
          <w:color w:val="000000" w:themeColor="text1"/>
          <w:lang w:val="en-US"/>
        </w:rPr>
        <w:t>mrecupero@unisa.it</w:t>
      </w:r>
    </w:p>
    <w:p w14:paraId="567C3432" w14:textId="77777777" w:rsidR="00676A1F" w:rsidRPr="00676A1F" w:rsidRDefault="00676A1F" w:rsidP="00676A1F">
      <w:pPr>
        <w:pStyle w:val="CETBodytext"/>
        <w:rPr>
          <w:noProof/>
          <w:sz w:val="16"/>
          <w:vertAlign w:val="superscript"/>
        </w:rPr>
      </w:pPr>
    </w:p>
    <w:p w14:paraId="75EB4956" w14:textId="63A51986" w:rsidR="00AB4FC4" w:rsidRDefault="001C65DF" w:rsidP="00AB4FC4">
      <w:pPr>
        <w:pStyle w:val="CETBodytext"/>
        <w:rPr>
          <w:i/>
          <w:lang w:val="en-GB"/>
        </w:rPr>
      </w:pPr>
      <w:r w:rsidRPr="001C65DF">
        <w:rPr>
          <w:i/>
          <w:lang w:val="en-GB"/>
        </w:rPr>
        <w:t xml:space="preserve">In the search for sustainable alternatives to conventional transparent electrodes, </w:t>
      </w:r>
      <w:proofErr w:type="gramStart"/>
      <w:r w:rsidRPr="001C65DF">
        <w:rPr>
          <w:i/>
          <w:lang w:val="en-GB"/>
        </w:rPr>
        <w:t>PEDOT:PSS</w:t>
      </w:r>
      <w:proofErr w:type="gramEnd"/>
      <w:r w:rsidRPr="001C65DF">
        <w:rPr>
          <w:i/>
          <w:lang w:val="en-GB"/>
        </w:rPr>
        <w:t xml:space="preserve"> stands out for its transparency, aqueous processability, and flexibility</w:t>
      </w:r>
      <w:r w:rsidR="004C0088">
        <w:rPr>
          <w:i/>
          <w:lang w:val="en-GB"/>
        </w:rPr>
        <w:t>.</w:t>
      </w:r>
      <w:r w:rsidRPr="001C65DF">
        <w:rPr>
          <w:i/>
          <w:lang w:val="en-GB"/>
        </w:rPr>
        <w:t xml:space="preserve"> However, its low conductivity in the pristine state, mainly due to the insulating PSS component, limits its application. </w:t>
      </w:r>
      <w:r w:rsidR="00D03697" w:rsidRPr="00D03697">
        <w:rPr>
          <w:i/>
          <w:lang w:val="en-GB"/>
        </w:rPr>
        <w:t>In this work, two separate doping approaches were investigated: the first involved the addition of an inorganic semiconductor (</w:t>
      </w:r>
      <w:proofErr w:type="spellStart"/>
      <w:r w:rsidR="00D03697" w:rsidRPr="00D03697">
        <w:rPr>
          <w:i/>
          <w:lang w:val="en-GB"/>
        </w:rPr>
        <w:t>TiO</w:t>
      </w:r>
      <w:proofErr w:type="spellEnd"/>
      <w:r w:rsidR="00D03697" w:rsidRPr="00D03697">
        <w:rPr>
          <w:rFonts w:ascii="Cambria Math" w:hAnsi="Cambria Math" w:cs="Cambria Math"/>
          <w:i/>
          <w:lang w:val="en-GB"/>
        </w:rPr>
        <w:t>₂</w:t>
      </w:r>
      <w:r w:rsidR="00D03697" w:rsidRPr="00D03697">
        <w:rPr>
          <w:i/>
          <w:lang w:val="en-GB"/>
        </w:rPr>
        <w:t xml:space="preserve"> nanoparticles) to the </w:t>
      </w:r>
      <w:proofErr w:type="gramStart"/>
      <w:r w:rsidR="00D03697" w:rsidRPr="00D03697">
        <w:rPr>
          <w:i/>
          <w:lang w:val="en-GB"/>
        </w:rPr>
        <w:t>PEDOT:PSS</w:t>
      </w:r>
      <w:proofErr w:type="gramEnd"/>
      <w:r w:rsidR="00D03697" w:rsidRPr="00D03697">
        <w:rPr>
          <w:i/>
          <w:lang w:val="en-GB"/>
        </w:rPr>
        <w:t xml:space="preserve"> dispersion, while the second consisted </w:t>
      </w:r>
      <w:r w:rsidR="002F3C96">
        <w:rPr>
          <w:i/>
          <w:lang w:val="en-GB"/>
        </w:rPr>
        <w:t>of</w:t>
      </w:r>
      <w:r w:rsidR="00D03697" w:rsidRPr="00D03697">
        <w:rPr>
          <w:i/>
          <w:lang w:val="en-GB"/>
        </w:rPr>
        <w:t xml:space="preserve"> blending </w:t>
      </w:r>
      <w:proofErr w:type="gramStart"/>
      <w:r w:rsidR="00D03697" w:rsidRPr="00D03697">
        <w:rPr>
          <w:i/>
          <w:lang w:val="en-GB"/>
        </w:rPr>
        <w:t>PEDOT:PSS</w:t>
      </w:r>
      <w:proofErr w:type="gramEnd"/>
      <w:r w:rsidR="00D03697" w:rsidRPr="00D03697">
        <w:rPr>
          <w:i/>
          <w:lang w:val="en-GB"/>
        </w:rPr>
        <w:t xml:space="preserve"> with the organic semiconductor poly(N-</w:t>
      </w:r>
      <w:proofErr w:type="spellStart"/>
      <w:r w:rsidR="00D03697" w:rsidRPr="00D03697">
        <w:rPr>
          <w:i/>
          <w:lang w:val="en-GB"/>
        </w:rPr>
        <w:t>vinylcarbazole</w:t>
      </w:r>
      <w:proofErr w:type="spellEnd"/>
      <w:r w:rsidR="00D03697" w:rsidRPr="00D03697">
        <w:rPr>
          <w:i/>
          <w:lang w:val="en-GB"/>
        </w:rPr>
        <w:t>) (PVK).</w:t>
      </w:r>
      <w:r w:rsidR="00191884">
        <w:rPr>
          <w:i/>
          <w:lang w:val="en-GB"/>
        </w:rPr>
        <w:t xml:space="preserve"> </w:t>
      </w:r>
      <w:r w:rsidR="00AB4FC4" w:rsidRPr="00AB4FC4">
        <w:rPr>
          <w:i/>
          <w:lang w:val="en-GB"/>
        </w:rPr>
        <w:t>The hybrid films were obtained through spin coating and then annealed to enhance their morphological uniformity.</w:t>
      </w:r>
      <w:r w:rsidRPr="001C65DF">
        <w:rPr>
          <w:i/>
          <w:lang w:val="en-GB"/>
        </w:rPr>
        <w:t xml:space="preserve"> </w:t>
      </w:r>
    </w:p>
    <w:p w14:paraId="5E696D03" w14:textId="2AB8CF98" w:rsidR="004A0ED9" w:rsidRDefault="004A0ED9" w:rsidP="00AB4FC4">
      <w:pPr>
        <w:pStyle w:val="CETBodytext"/>
        <w:rPr>
          <w:lang w:val="en-GB"/>
        </w:rPr>
      </w:pPr>
      <w:r w:rsidRPr="004A0ED9">
        <w:rPr>
          <w:i/>
          <w:lang w:val="en-GB"/>
        </w:rPr>
        <w:t>A custom-built four-point probe system was developed to perform accurate electrical characterization of the hybrid films.</w:t>
      </w:r>
      <w:r w:rsidRPr="004A0ED9">
        <w:rPr>
          <w:lang w:val="en-GB"/>
        </w:rPr>
        <w:t xml:space="preserve"> </w:t>
      </w:r>
    </w:p>
    <w:p w14:paraId="0D880733" w14:textId="77777777" w:rsidR="004A0ED9" w:rsidRDefault="004A0ED9" w:rsidP="00AB4FC4">
      <w:pPr>
        <w:pStyle w:val="CETBodytext"/>
        <w:rPr>
          <w:i/>
          <w:lang w:val="en-GB"/>
        </w:rPr>
      </w:pPr>
      <w:r w:rsidRPr="004A0ED9">
        <w:rPr>
          <w:i/>
          <w:lang w:val="en-GB"/>
        </w:rPr>
        <w:t>Experimental results show an increase in sheet resistance upon doping. This effect is ascribed not only to morphological disorder and limited percolation pathways, but also to the absence of photoexcitation in the dopant semiconductors under dark conditions, which prevents their contribution to charge transport.</w:t>
      </w:r>
    </w:p>
    <w:p w14:paraId="3688F3B7" w14:textId="77777777" w:rsidR="004A0ED9" w:rsidRDefault="004A0ED9" w:rsidP="00AB4FC4">
      <w:pPr>
        <w:pStyle w:val="CETBodytext"/>
        <w:rPr>
          <w:i/>
          <w:lang w:val="en-GB"/>
        </w:rPr>
      </w:pPr>
    </w:p>
    <w:p w14:paraId="3EFA7232" w14:textId="77777777" w:rsidR="00600535" w:rsidRDefault="00600535" w:rsidP="00F37C06">
      <w:pPr>
        <w:pStyle w:val="CETHeading1"/>
      </w:pPr>
      <w:r w:rsidRPr="00F25049">
        <w:t>Introduction</w:t>
      </w:r>
    </w:p>
    <w:p w14:paraId="28FBC347" w14:textId="77777777" w:rsidR="00AE0D62" w:rsidRDefault="00AE0D62" w:rsidP="00AE0D62">
      <w:pPr>
        <w:pStyle w:val="CETBodytext"/>
      </w:pPr>
      <w:r>
        <w:t xml:space="preserve">Conductive polymers have revolutionized flexible electronics, enabling solution-processable optoelectronic devices such as organic photovoltaics (OPVs), light-emitting diodes (OLEDs), and biosensors. Their widespread adoption is largely attributed to their low weight, facile processability, and excellent mechanical flexibility </w:t>
      </w:r>
      <w:r>
        <w:fldChar w:fldCharType="begin"/>
      </w:r>
      <w:r>
        <w:instrText xml:space="preserve"> ADDIN ZOTERO_ITEM CSL_CITATION {"citationID":"x9pf1eqD","properties":{"formattedCitation":"(Nowsherwan et al., 2024)","plainCitation":"(Nowsherwan et al., 2024)","noteIndex":0},"citationItems":[{"id":66,"uris":["http://zotero.org/users/local/X9euHdDl/items/ZH7TPVUZ"],"itemData":{"id":66,"type":"article-journal","abstract":"This review provides a comprehensive overview of recent advancements in the synthesis, properties, and applications of organic materials in the optoelectronics sector. The study emphasizes the critical role of organic materials in the development of state-of-the-art optoelectronic devices such as organic solar cells, organic thin-film transistors, and OLEDs. The review further examines the structure, operational principles, and performance metrics of organic optoelectronic devices. Organic materials have emerged as promising candidates due to their low-cost production and potential for large-area or flexible substrate applications. Additionally, this review highlights the physical mechanisms governing the optoelectronic properties of high-performance organic materials, particularly photoinduced processes relevant to charge carrier photogeneration. It discusses the unique benefits of organic materials over traditional inorganic materials, including their light weight, simple processing, and flexibility. The report delves into the challenges related to stability, scalability, and performance, while highlighting the wide range of electronic properties exhibited by organic materials, which are critical for their performances in optoelectronic devices. Furthermore, it addresses the need for further research and development in this field to achieve consistent performance across different types of devices.","container-title":"Organics","DOI":"10.3390/org5040028","ISSN":"2673-401X","issue":"4","language":"en","license":"http://creativecommons.org/licenses/by/3.0/","note":"number: 4\npublisher: Multidisciplinary Digital Publishing Institute","page":"520-560","source":"www.mdpi.com","title":"Advances in Organic Materials for Next-Generation Optoelectronics: Potential and Challenges","title-short":"Advances in Organic Materials for Next-Generation Optoelectronics","volume":"5","author":[{"family":"Nowsherwan","given":"Ghazi Aman"},{"family":"Ali","given":"Qasim"},{"family":"Ali","given":"Umar Farooq"},{"family":"Ahmad","given":"Muhammad"},{"family":"Khan","given":"Mohsin"},{"family":"Hussain","given":"Syed Sajjad"}],"issued":{"date-parts":[["2024",12]]}}}],"schema":"https://github.com/citation-style-language/schema/raw/master/csl-citation.json"} </w:instrText>
      </w:r>
      <w:r>
        <w:fldChar w:fldCharType="separate"/>
      </w:r>
      <w:r w:rsidRPr="00AE0D62">
        <w:rPr>
          <w:rFonts w:cs="Arial"/>
        </w:rPr>
        <w:t>(Nowsherwan et al., 2024)</w:t>
      </w:r>
      <w:r>
        <w:fldChar w:fldCharType="end"/>
      </w:r>
      <w:r>
        <w:t>.</w:t>
      </w:r>
    </w:p>
    <w:p w14:paraId="5D7F4FD6" w14:textId="64F7257F" w:rsidR="00AE0D62" w:rsidRDefault="00AE0D62" w:rsidP="00AE0D62">
      <w:pPr>
        <w:pStyle w:val="CETBodytext"/>
      </w:pPr>
      <w:r>
        <w:t>Among these, poly(3,4-ethylenedioxythiophene):poly(</w:t>
      </w:r>
      <w:proofErr w:type="spellStart"/>
      <w:r>
        <w:t>styrenesulfonate</w:t>
      </w:r>
      <w:proofErr w:type="spellEnd"/>
      <w:r>
        <w:t>) (PEDOT:PSS) dominates as a benchmark material due to its unique combination of optical transparency (&gt;90% in thin films), mechanical flexibility</w:t>
      </w:r>
      <w:r w:rsidR="004C0088">
        <w:fldChar w:fldCharType="begin"/>
      </w:r>
      <w:r w:rsidR="004C0088">
        <w:instrText xml:space="preserve"> ADDIN ZOTERO_ITEM CSL_CITATION {"citationID":"3ZH816xd","properties":{"formattedCitation":"(Shankar et al., 2022)","plainCitation":"(Shankar et al., 2022)","noteIndex":0},"citationItems":[{"id":79,"uris":["http://zotero.org/users/local/X9euHdDl/items/I9RD59TT"],"itemData":{"id":79,"type":"article-journal","abstract":"Flexible and optically transparent electrodes (TEs) are essential for most state-of-art organic optoelectronic devices (OOED). The demand for bendable electronic devices with aesthetic impact and multi-functionality has driven the rapid development of flexible TEs with improved optoelectrical and mechanical properties. However, conventional rigid TEs, that is, indium tin oxide (ITO) coated glass substrate (ITO/glass), cannot match smart devices' requirements in unique fields, like electrochromic devices, electronic skins, and wearable electronics, foldable displays, smart windows, and solar cells. To substitute extensively used ITO/glass electrodes has been endeavored because of the increasing price and inherently brittle ITO and glass substrate behavior. Emerging TEs based on the combination of the polymers substrate and conducting fillers like graphene, carbon nanotubes, metal nanowires, and transparent conducting oxides are bendable, lightweight, and inexpensive. They have shown substantial prospects to be used in the devices mentioned above. With each tiny development in these emerging TE‘s, such as outstanding optoelectrical and mechanical features in flexible electrodes, they become more suitable for practical applications in miscellaneous bendable devices. This review summarizes the comprehensive overview of the modern alternative flexible TEs and their implementation in bendable and stretchable devices.","container-title":"Polymers for Advanced Technologies","DOI":"10.1002/pat.5797","ISSN":"1099-1581","issue":"10","language":"en","note":"_eprint: https://onlinelibrary.wiley.com/doi/pdf/10.1002/pat.5797","page":"3078-3111","source":"Wiley Online Library","title":"A review on the alternative of indium tin oxide coated glass substrate in flexible and bendable organic optoelectronic device","volume":"33","author":[{"family":"Shankar","given":"Uday"},{"family":"Oberoi","given":"Deepa"},{"family":"Bandyopadhyay","given":"Anasuya"}],"issued":{"date-parts":[["2022"]]}}}],"schema":"https://github.com/citation-style-language/schema/raw/master/csl-citation.json"} </w:instrText>
      </w:r>
      <w:r w:rsidR="004C0088">
        <w:fldChar w:fldCharType="separate"/>
      </w:r>
      <w:r w:rsidR="004C0088" w:rsidRPr="004C0088">
        <w:rPr>
          <w:rFonts w:cs="Arial"/>
        </w:rPr>
        <w:t>(Shankar et al., 2022)</w:t>
      </w:r>
      <w:r w:rsidR="004C0088">
        <w:fldChar w:fldCharType="end"/>
      </w:r>
      <w:r>
        <w:t>, and tunable conductivity (10</w:t>
      </w:r>
      <w:r w:rsidR="00FB104B">
        <w:rPr>
          <w:rFonts w:cs="Arial"/>
          <w:vertAlign w:val="superscript"/>
        </w:rPr>
        <w:t>-5</w:t>
      </w:r>
      <w:r>
        <w:t xml:space="preserve"> to 10</w:t>
      </w:r>
      <w:r>
        <w:rPr>
          <w:rFonts w:cs="Arial"/>
        </w:rPr>
        <w:t>³</w:t>
      </w:r>
      <w:r>
        <w:t xml:space="preserve"> S/cm)</w:t>
      </w:r>
      <w:r w:rsidR="00A630CC">
        <w:t xml:space="preserve"> </w:t>
      </w:r>
      <w:r w:rsidR="00A630CC">
        <w:fldChar w:fldCharType="begin"/>
      </w:r>
      <w:r w:rsidR="00A630CC">
        <w:instrText xml:space="preserve"> ADDIN ZOTERO_ITEM CSL_CITATION {"citationID":"YqxtpsmB","properties":{"formattedCitation":"(Huang et al., 2024)","plainCitation":"(Huang et al., 2024)","noteIndex":0},"citationItems":[{"id":94,"uris":["http://zotero.org/users/local/X9euHdDl/items/ABM4IQB3"],"itemData":{"id":94,"type":"article-journal","abstract":"Poly(3,4-ethylenedioxythiophene):poly(styrene sulfonate) (PEDOT:PSS) has been the\n         most prominent conducting polymer due to its outstanding electrical properties, chemical\n         stability, biocompatibility, and commercial availability. In this mini review, we\n         aim to comprehensively outline the chemical approaches employed in tailoring PEDOT:PSS\n         for bioelectronic applications. We open our discussion by showcasing various synthetic\n         techniques and commercially accessible forms of PEDOT:PSS, providing practical advice\n         and approaches to greatly enhance its electrical properties, and presenting diverse\n         chemical designs and processing methods that are essential for converting PEDOT:PSS\n         into different form factors, such as fibers, gels, and films, for integration a range\n         of device structures. Additionally, we explore several burgeoning applications of\n         PEDOT:PSS in bioelectronics, ranging from wearable health monitoring to implantable\n         neural interfaces, underscoring its essential impact on improving device efficiency\n         and biological compatibility, as it opens avenues for innovative diagnostic and therapeutic\n         techniques in the realm of precision medicine. Concluding with an outlook, the review\n         presents insights into the ongoing challenges and future research paths for PEDOT:PSS\n         in the ever-evolving landscape of bioelectronics. We emphasize the need for continued\n         innovation in materials science and engineering to further harness the full potential\n         of this dynamic domain.","container-title":"CCS Chemistry","DOI":"10.31635/ccschem.024.202403858","issue":"8","note":"publisher: Chinese Chemical Society","page":"1844-1867","source":"chinesechemsoc.org (Atypon)","title":"Chemical Strategies of Tailoring PEDOT:PSS for Bioelectronic Applications: Synthesis, Processing and Device Fabrication","title-short":"Chemical Strategies of Tailoring PEDOT","volume":"6","author":[{"family":"Huang","given":"Yewei"},{"family":"Tang","given":"Lingfeng"},{"family":"Jiang","given":"Yuanwen"}],"issued":{"date-parts":[["2024",4,27]]}}}],"schema":"https://github.com/citation-style-language/schema/raw/master/csl-citation.json"} </w:instrText>
      </w:r>
      <w:r w:rsidR="00A630CC">
        <w:fldChar w:fldCharType="separate"/>
      </w:r>
      <w:r w:rsidR="00A630CC" w:rsidRPr="00A630CC">
        <w:rPr>
          <w:rFonts w:cs="Arial"/>
        </w:rPr>
        <w:t>(Huang et al., 2024)</w:t>
      </w:r>
      <w:r w:rsidR="00A630CC">
        <w:fldChar w:fldCharType="end"/>
      </w:r>
      <w:r>
        <w:t xml:space="preserve">. These properties make it indispensable as a hole transport layer (HTL) or transparent electrode in devices like perovskite solar cells and organic electrochemical transistors </w:t>
      </w:r>
      <w:r>
        <w:fldChar w:fldCharType="begin"/>
      </w:r>
      <w:r>
        <w:instrText xml:space="preserve"> ADDIN ZOTERO_ITEM CSL_CITATION {"citationID":"FGiconk0","properties":{"formattedCitation":"(Kirchmeyer &amp; Reuter, 2005)","plainCitation":"(Kirchmeyer &amp; Reuter, 2005)","noteIndex":0},"citationItems":[{"id":68,"uris":["http://zotero.org/users/local/X9euHdDl/items/JIUHMFH6"],"itemData":{"id":68,"type":"article-journal","abstract":"This article summarises the industrial applications of poly-(3,4-ethylenedioxythiophene) (PEDT, PEDOT). The basic chemical and physical properties of PEDT are discussed to outline the fundamentals which lead to PEDT as a highly valuable electric and electronic material. PEDT applications are reviewed depending on the two different ways of preparation: in situ polymerisation of the monomer, usually carried out by the user, and applying the prefabricated polymer in the form of its water-based complex with poly(styrene sulfonic acid). Several applications like antistatic coatings, cathodes in capacitors, through-hole plating, OLED's, OFET's, photovoltaics, and electrochromic applications are discussed in detail.","container-title":"Journal of Materials Chemistry","DOI":"10.1039/B417803N","ISSN":"1364-5501","issue":"21","journalAbbreviation":"J. Mater. Chem.","language":"en","note":"publisher: The Royal Society of Chemistry","page":"2077-2088","source":"pubs.rsc.org","title":"Scientific importance, properties and growing applications of poly(3,4-ethylenedioxythiophene)","volume":"15","author":[{"family":"Kirchmeyer","given":"Stephan"},{"family":"Reuter","given":"Knud"}],"issued":{"date-parts":[["2005",5,23]]}}}],"schema":"https://github.com/citation-style-language/schema/raw/master/csl-citation.json"} </w:instrText>
      </w:r>
      <w:r>
        <w:fldChar w:fldCharType="separate"/>
      </w:r>
      <w:r w:rsidRPr="00AE0D62">
        <w:rPr>
          <w:rFonts w:cs="Arial"/>
        </w:rPr>
        <w:t>(Kirchmeyer &amp; Reuter, 2005)</w:t>
      </w:r>
      <w:r>
        <w:fldChar w:fldCharType="end"/>
      </w:r>
      <w:r w:rsidR="00015679">
        <w:t>,</w:t>
      </w:r>
      <w:r>
        <w:t xml:space="preserve"> </w:t>
      </w:r>
      <w:r>
        <w:fldChar w:fldCharType="begin"/>
      </w:r>
      <w:r>
        <w:instrText xml:space="preserve"> ADDIN ZOTERO_ITEM CSL_CITATION {"citationID":"CieUByZn","properties":{"formattedCitation":"(Groenendaal et al., 2000)","plainCitation":"(Groenendaal et al., 2000)","noteIndex":0},"citationItems":[{"id":69,"uris":["http://zotero.org/users/local/X9euHdDl/items/L7IT2YW3"],"itemData":{"id":69,"type":"article-journal","abstract":"An overview of one of the most successful conducting polymers, poly(3,4-ethylenedioxythiophene) (PEDT) and its derivatives, is presented, detailing its early development, the synthesis of numerous hybrid and derivative materials, along with a description of the broad array of properties accessible and a description of a set of the more prominent applications in which they can be utilized. Synthetic flexibility and facility is the key to the many new 3,4-ethylenedioxythiophene- (EDT-) based monomers, oligomers, and (co) polymers. These (co) polymers provide highly conducting and especially stable doped states, a range of optical properties with electronic bandgaps varying across the entire visible spectrum, and enhanced redox properties, making them useful for numerous electrochemical devices. Present and future applications for PEDT that are discussed include static charge dissipation films and electrode materials in solid electrolyte capacitors.","container-title":"Advanced Materials","DOI":"10.1002/(SICI)1521-4095(200004)12:7&lt;481::AID-ADMA481&gt;3.0.CO;2-C","ISSN":"1521-4095","issue":"7","language":"en","note":"_eprint: https://advanced.onlinelibrary.wiley.com/doi/pdf/10.1002/%28SICI%291521-4095%28200004%2912%3A7%3C481%3A%3AAID-ADMA481%3E3.0.CO%3B2-C","page":"481-494","source":"Wiley Online Library","title":"Poly(3,4-ethylenedioxythiophene) and Its Derivatives: Past, Present, and Future","title-short":"Poly(3,4-ethylenedioxythiophene) and Its Derivatives","volume":"12","author":[{"family":"Groenendaal","given":"L."},{"family":"Jonas","given":"F."},{"family":"Freitag","given":"D."},{"family":"Pielartzik","given":"H."},{"family":"Reynolds","given":"J. R."}],"issued":{"date-parts":[["2000"]]}}}],"schema":"https://github.com/citation-style-language/schema/raw/master/csl-citation.json"} </w:instrText>
      </w:r>
      <w:r>
        <w:fldChar w:fldCharType="separate"/>
      </w:r>
      <w:r w:rsidRPr="00AE0D62">
        <w:rPr>
          <w:rFonts w:cs="Arial"/>
        </w:rPr>
        <w:t>(Groenendaal et al., 2000)</w:t>
      </w:r>
      <w:r>
        <w:fldChar w:fldCharType="end"/>
      </w:r>
      <w:r>
        <w:t>.</w:t>
      </w:r>
    </w:p>
    <w:p w14:paraId="7826A4CC" w14:textId="51152353" w:rsidR="00AE0D62" w:rsidRDefault="00AE0D62" w:rsidP="00AE0D62">
      <w:pPr>
        <w:pStyle w:val="CETBodytext"/>
      </w:pPr>
      <w:r>
        <w:t>Despite its versatility, pristine PEDOT:PSS suffers from limited conductivity (typically 0.1-1 S/cm for commercial formulations), prompting extensive research into doping strategies</w:t>
      </w:r>
      <w:r w:rsidR="00344D4F">
        <w:t xml:space="preserve"> </w:t>
      </w:r>
      <w:r w:rsidR="004C0088">
        <w:fldChar w:fldCharType="begin"/>
      </w:r>
      <w:r w:rsidR="004C0088">
        <w:instrText xml:space="preserve"> ADDIN ZOTERO_ITEM CSL_CITATION {"citationID":"GdftXQjK","properties":{"formattedCitation":"(Fan et al., 2019)","plainCitation":"(Fan et al., 2019)","noteIndex":0},"citationItems":[{"id":88,"uris":["http://zotero.org/users/local/X9euHdDl/items/6JCB95I5"],"itemData":{"id":88,"type":"article-journal","abstract":"Substantial effort has been devoted to both scientific and technological developments of wearable, flexible, semitransparent, and sensing electronics (e.g., organic/perovskite photovoltaics, organic thin-film transistors, and medical sensors) in the past decade. The key to realizing those functionalities is essentially the fabrication of conductive electrodes with desirable mechanical properties. Conductive polymers (CPs) of poly(3,4-ethylenedioxythiophene):poly(styrenesulfonate) (PEDOT:PSS) have emerged to be the most promising flexible electrode materials over rigid metallic oxides and play a critical role in these unprecedented devices as transparent electrodes, hole transport layers, interconnectors, electroactive layers, or motion-sensing conductors. Here, the current status of research on PEDOT:PSS is summarized including various approaches to boosting the electrical conductivity and mechanical compliance and stability, directly linked to the underlying mechanism of the performance enhancements. Along with the basic principles, the most cutting edge-progresses in devices with PEDOT:PSS are highlighted. Meanwhile, the advantages and plausible problems of the CPs and as-fabricated devices are pointed out. Finally, new perspectives are given for CP modifications and device fabrications. This work stresses the importance of developing CP films and reveals their critical role in the evolution of these next-generation devices featuring wearable, deformable, printable, ultrathin, and see-through characteristics.","container-title":"Advanced Science","DOI":"10.1002/advs.201900813","ISSN":"2198-3844","issue":"19","language":"en","license":"© 2019 The Authors. Published by WILEY-VCH Verlag GmbH &amp; Co. KGaA, Weinheim","note":"_eprint: https://advanced.onlinelibrary.wiley.com/doi/pdf/10.1002/advs.201900813","page":"1900813","source":"Wiley Online Library","title":"PEDOT:PSS for Flexible and Stretchable Electronics: Modifications, Strategies, and Applications","title-short":"PEDOT","volume":"6","author":[{"family":"Fan","given":"Xi"},{"family":"Nie","given":"Wanyi"},{"family":"Tsai","given":"Hsinhan"},{"family":"Wang","given":"Naixiang"},{"family":"Huang","given":"Huihui"},{"family":"Cheng","given":"Yajun"},{"family":"Wen","given":"Rongjiang"},{"family":"Ma","given":"Liujia"},{"family":"Yan","given":"Feng"},{"family":"Xia","given":"Yonggao"}],"issued":{"date-parts":[["2019"]]}}}],"schema":"https://github.com/citation-style-language/schema/raw/master/csl-citation.json"} </w:instrText>
      </w:r>
      <w:r w:rsidR="004C0088">
        <w:fldChar w:fldCharType="separate"/>
      </w:r>
      <w:r w:rsidR="004C0088" w:rsidRPr="004C0088">
        <w:rPr>
          <w:rFonts w:cs="Arial"/>
        </w:rPr>
        <w:t>(Fan et al., 2019)</w:t>
      </w:r>
      <w:r w:rsidR="004C0088">
        <w:fldChar w:fldCharType="end"/>
      </w:r>
      <w:r w:rsidR="002F3C96">
        <w:t xml:space="preserve">, </w:t>
      </w:r>
      <w:r>
        <w:fldChar w:fldCharType="begin"/>
      </w:r>
      <w:r>
        <w:instrText xml:space="preserve"> ADDIN ZOTERO_ITEM CSL_CITATION {"citationID":"qYgAX3Ti","properties":{"formattedCitation":"(Shi et al., 2015)","plainCitation":"(Shi et al., 2015)","noteIndex":0},"citationItems":[{"id":81,"uris":["http://zotero.org/users/local/X9euHdDl/items/925HDVGB"],"itemData":{"id":81,"type":"article-journal","abstract":"The rapid development of novel organic technologies has led to significant applications of the organic electronic devices such as light-emitting diodes, solar cells, and field-effect transistors. There is a great need for conducting polymers with high conductivity and transparency to act as the charge transport layer or electrical interconnect in organic devices. Poly(3,4-ethylenedioxythiophene): poly(styrenesulfonic acid) (PEDOT:PSS), well-known as the most remarkable conducting polymer, has this role owing to its good film-forming properties, high transparency, tunable conductivity, and excellent thermal stability. In this Review, various of interesting physical and chemical approaches that can effectively improve the electrical conductivity of PEDOT:PSS are summarized, focusing especially on the mechanism of the conductivity enhancement as well as applications of PEDOT:PSS films. Prospects for future research efforts are also provided. It is expected that PEDOT:PSS films with high conductivity and transparency could be the focus of future organic electronic materials breakthroughs.","container-title":"Advanced Electronic Materials","DOI":"10.1002/aelm.201500017","ISSN":"2199-160X","issue":"4","language":"en","license":"© 2015 WILEY-VCH Verlag GmbH &amp; Co. KGaA, Weinheim","note":"_eprint: https://advanced.onlinelibrary.wiley.com/doi/pdf/10.1002/aelm.201500017","page":"1500017","source":"Wiley Online Library","title":"Effective Approaches to Improve the Electrical Conductivity of PEDOT:PSS: A Review","title-short":"Effective Approaches to Improve the Electrical Conductivity of PEDOT","volume":"1","author":[{"family":"Shi","given":"Hui"},{"family":"Liu","given":"Congcong"},{"family":"Jiang","given":"Qinglin"},{"family":"Xu","given":"Jingkun"}],"issued":{"date-parts":[["2015"]]}}}],"schema":"https://github.com/citation-style-language/schema/raw/master/csl-citation.json"} </w:instrText>
      </w:r>
      <w:r>
        <w:fldChar w:fldCharType="separate"/>
      </w:r>
      <w:r w:rsidRPr="00AE0D62">
        <w:rPr>
          <w:rFonts w:cs="Arial"/>
        </w:rPr>
        <w:t>(Shi et al., 2015)</w:t>
      </w:r>
      <w:r>
        <w:fldChar w:fldCharType="end"/>
      </w:r>
      <w:r>
        <w:t xml:space="preserve">. Among these, post-treatment with acidic additives has emerged as one of the most effective and scalable approaches. </w:t>
      </w:r>
      <w:r>
        <w:fldChar w:fldCharType="begin"/>
      </w:r>
      <w:r>
        <w:instrText xml:space="preserve"> ADDIN ZOTERO_ITEM CSL_CITATION {"citationID":"iyVqPVUo","properties":{"formattedCitation":"(Xia &amp; Ouyang, 2010)","plainCitation":"(Xia &amp; Ouyang, 2010)","noteIndex":0},"citationItems":[{"id":72,"uris":["http://zotero.org/users/local/X9euHdDl/items/MTHN3EAH"],"itemData":{"id":72,"type":"article-journal","abstract":"Significant conductivity enhancement was observed on transparent and conductive poly(3,4-ethylene dioxythiophene):poly(styrene sulfonate) (PEDOT:PSS) films after a treatment with organic and inorganic acids, including acetic acid, propionic acid, butyric acid, oxalic acid, sulfurous acid, and hydrochloric acid. The conductivity could be enhanced from 0.2 to over 200 S cm−1, that is, by a factor of more than 1000. The conductivity enhancement was dependent on the structure of the acids and the experimental conditions during the treatment, such as the acid concentration and the temperature. The optimal temperature was in the range of 120 to 160 °C. The resistance dropped rapidly when a PEDOT:PSS film was treated with acid solution of high concentration, whereas it gradually increased and then decreased when it was treated with an acid solution of low concentration. The mechanism for this conductivity enhancement was studied by various chemical and physical characterizations. The temperature dependence of conductivity indicates that the energy barrier for charge hopping among the PEDOT chains become lower in the highly conductive PEDOT:PSS film after the acid treatment. The ultraviolet−visible−near-infrared (UV−vis−NIR) absorption spectroscopy, the X-ray photoelectron spectroscopy (XPS) and scanning electron microscopy (SEM) indicate the loss of polystyrene sulfonic acid (PSSH) chains from the PEDOT:PSS film after the acid treatment, and the atomic force microscopy (AFM) suggest conformational change of the polymer chains. Therefore, the conductivity enhancement is attributed to the loss of PSSH chains from the PEDOT:PSS film and the conformational change of the PEDOT chains, which are induced by the acids.","container-title":"ACS Applied Materials &amp; Interfaces","DOI":"10.1021/am900708x","ISSN":"1944-8244","issue":"2","journalAbbreviation":"ACS Appl. Mater. Interfaces","note":"publisher: American Chemical Society","page":"474-483","source":"ACS Publications","title":"Significant Conductivity Enhancement of Conductive Poly(3,4-ethylenedioxythiophene): Poly(styrenesulfonate) Films through a Treatment with Organic Carboxylic Acids and Inorganic Acids","title-short":"Significant Conductivity Enhancement of Conductive Poly(3,4-ethylenedioxythiophene)","volume":"2","author":[{"family":"Xia","given":"Yijie"},{"family":"Ouyang","given":"Jianyong"}],"issued":{"date-parts":[["2010",2,24]]}}}],"schema":"https://github.com/citation-style-language/schema/raw/master/csl-citation.json"} </w:instrText>
      </w:r>
      <w:r>
        <w:fldChar w:fldCharType="separate"/>
      </w:r>
      <w:r w:rsidRPr="00AE0D62">
        <w:rPr>
          <w:rFonts w:cs="Arial"/>
        </w:rPr>
        <w:t>(Xia &amp; Ouyang, 2010)</w:t>
      </w:r>
      <w:r>
        <w:fldChar w:fldCharType="end"/>
      </w:r>
      <w:r>
        <w:t xml:space="preserve">. </w:t>
      </w:r>
    </w:p>
    <w:p w14:paraId="7D8D2110" w14:textId="237F9066" w:rsidR="00AE0D62" w:rsidRPr="00344D4F" w:rsidRDefault="00344D4F" w:rsidP="00344D4F">
      <w:pPr>
        <w:rPr>
          <w:lang w:val="en-US"/>
        </w:rPr>
      </w:pPr>
      <w:r w:rsidRPr="00344D4F">
        <w:rPr>
          <w:lang w:val="en-US"/>
        </w:rPr>
        <w:t xml:space="preserve">Although acid treatments have been shown to significantly improve the conductivity of </w:t>
      </w:r>
      <w:proofErr w:type="gramStart"/>
      <w:r w:rsidRPr="00344D4F">
        <w:rPr>
          <w:lang w:val="en-US"/>
        </w:rPr>
        <w:t>PEDOT:PSS</w:t>
      </w:r>
      <w:proofErr w:type="gramEnd"/>
      <w:r w:rsidR="00AE0D62">
        <w:t xml:space="preserve">, they often involve corrosive or environmentally hazardous substances. Recent advances have therefore focused on alternative strategies that avoid the use of strong acids, aiming to </w:t>
      </w:r>
      <w:r>
        <w:t>optimize</w:t>
      </w:r>
      <w:r w:rsidR="00AE0D62">
        <w:t xml:space="preserve"> the electrical performance of </w:t>
      </w:r>
      <w:proofErr w:type="gramStart"/>
      <w:r w:rsidR="00AE0D62">
        <w:t>PEDOT:PSS</w:t>
      </w:r>
      <w:proofErr w:type="gramEnd"/>
      <w:r w:rsidR="00AE0D62">
        <w:t xml:space="preserve"> films through more sustainable and versatile approaches.</w:t>
      </w:r>
    </w:p>
    <w:p w14:paraId="2A3A65DD" w14:textId="16C9FF06" w:rsidR="00AE0D62" w:rsidRDefault="00AE0D62" w:rsidP="00AE0D62">
      <w:pPr>
        <w:pStyle w:val="CETBodytext"/>
      </w:pPr>
      <w:r>
        <w:t xml:space="preserve">In recent years, inorganic nanoparticles, such as </w:t>
      </w:r>
      <w:proofErr w:type="spellStart"/>
      <w:r>
        <w:t>TiO</w:t>
      </w:r>
      <w:proofErr w:type="spellEnd"/>
      <w:r>
        <w:rPr>
          <w:rFonts w:ascii="Cambria Math" w:hAnsi="Cambria Math" w:cs="Cambria Math"/>
        </w:rPr>
        <w:t>₂</w:t>
      </w:r>
      <w:r>
        <w:t xml:space="preserve"> and </w:t>
      </w:r>
      <w:proofErr w:type="spellStart"/>
      <w:r>
        <w:t>ZnO</w:t>
      </w:r>
      <w:proofErr w:type="spellEnd"/>
      <w:r>
        <w:t xml:space="preserve">, have been incorporated to simultaneously modulate electrical conductivity and optical behavior. </w:t>
      </w:r>
      <w:r w:rsidR="00015679" w:rsidRPr="00015679">
        <w:rPr>
          <w:lang w:val="en-GB"/>
        </w:rPr>
        <w:t xml:space="preserve">These nanoparticles induce changes in the dielectric </w:t>
      </w:r>
      <w:r w:rsidR="00015679" w:rsidRPr="00015679">
        <w:rPr>
          <w:lang w:val="en-GB"/>
        </w:rPr>
        <w:lastRenderedPageBreak/>
        <w:t>properties of the composite layer</w:t>
      </w:r>
      <w:r>
        <w:t xml:space="preserve"> and introduce interfacial band alignment effects that can simultaneously improve photon harvesting and reduce interfacial recombination </w:t>
      </w:r>
      <w:r w:rsidR="00D91953">
        <w:fldChar w:fldCharType="begin"/>
      </w:r>
      <w:r w:rsidR="00D91953">
        <w:instrText xml:space="preserve"> ADDIN ZOTERO_ITEM CSL_CITATION {"citationID":"RxKY7FPp","properties":{"formattedCitation":"(Park et al., 2016)","plainCitation":"(Park et al., 2016)","noteIndex":0},"citationItems":[{"id":74,"uris":["http://zotero.org/users/local/X9euHdDl/items/RCFXG4S8"],"itemData":{"id":74,"type":"article-journal","abstract":"The performance of organic optoelectronic devices can be improved by employing a suitable optical cavity design beyond the standard plane layer approach, e.g., by the inclusion of periodically or randomly textured structures which increase light incoupling or extraction. One of the simplest approaches is to add an additional layer containing light scattering particles into the device stack. Solution processed poly(3,4-ethylenedioxythiophene):poly(styrenesulfonate) (PEDOT:PSS) thin films are promising for replacing the brittle and expensive indium tin oxide transparent electrode. We use a blend of 100 nm TiO2 scattering particles in PEDOT:PSS solution to fabricate transparent electrode films which also functions as a scattering layer. When utilized in an organic photovoltaic device, a power conversion efficiency of 7.92% is achieved, which is an 8.6% relative improvement compared to a device with a neat PEDOT:PSS electrode without the nanoparticles. This improvement is caused by an increase in short-circuit current due to an improved photon harvesting in the 320 nm–700 nm spectral wavelength range.","container-title":"Applied Physics Letters","DOI":"10.1063/1.4954902","ISSN":"0003-6951","issue":"25","journalAbbreviation":"Applied Physics Letters","page":"253302","source":"Silverchair","title":"PEDOT:PSS with embedded TiO2 nanoparticles as light trapping electrode for organic photovoltaics","title-short":"PEDOT","volume":"108","author":[{"family":"Park","given":"Yoonseok"},{"family":"Müller-Meskamp","given":"Lars"},{"family":"Vandewal","given":"Koen"},{"family":"Leo","given":"Karl"}],"issued":{"date-parts":[["2016",6,24]]}}}],"schema":"https://github.com/citation-style-language/schema/raw/master/csl-citation.json"} </w:instrText>
      </w:r>
      <w:r w:rsidR="00D91953">
        <w:fldChar w:fldCharType="separate"/>
      </w:r>
      <w:r w:rsidR="00D91953" w:rsidRPr="00D91953">
        <w:rPr>
          <w:rFonts w:cs="Arial"/>
        </w:rPr>
        <w:t>(Park et al., 2016)</w:t>
      </w:r>
      <w:r w:rsidR="00D91953">
        <w:fldChar w:fldCharType="end"/>
      </w:r>
      <w:r>
        <w:t>,</w:t>
      </w:r>
      <w:r w:rsidR="002F3C96">
        <w:t xml:space="preserve"> </w:t>
      </w:r>
      <w:r w:rsidR="00D91953">
        <w:fldChar w:fldCharType="begin"/>
      </w:r>
      <w:r w:rsidR="00D91953">
        <w:instrText xml:space="preserve"> ADDIN ZOTERO_ITEM CSL_CITATION {"citationID":"Z3Njwx6Z","properties":{"formattedCitation":"(Semaltianos et al., 2010)","plainCitation":"(Semaltianos et al., 2010)","noteIndex":0},"citationItems":[{"id":78,"uris":["http://zotero.org/users/local/X9euHdDl/items/C6YQ5HHV"],"itemData":{"id":78,"type":"article-journal","abstract":"Laser ablation of a solid target in a liquid environment offers an easy, fast, and environmentally friendly method for the generation of nanoparticles with desired properties. In this Letter we report modiﬁcation of the electrical properties of PEDOT:PSS (poly(3,4-ethylenedioxythiophene):poly(4-styrenesulfonate)) by the incorporation into it of ZnO nanoparticles which were synthesized by laser ablation. By forming the nanocomposite, change of the chemical structure of the polymer from a mixture of benzoid and quinoid to a mostly quinoid and a conformational change of the polymer chains from coil to expanded-coil or linear was observed. Furthermore, these changes result in an increase by almost twice of the electrical conductivity of the polymer.","container-title":"Chemical Physics Letters","DOI":"10.1016/j.cplett.2009.11.054","ISSN":"00092614","issue":"4-6","journalAbbreviation":"Chemical Physics Letters","language":"en","license":"https://www.elsevier.com/tdm/userlicense/1.0/","page":"283-289","source":"DOI.org (Crossref)","title":"Modification of the electrical properties of PEDOT:PSS by the incorporation of ZnO nanoparticles synthesized by laser ablation","title-short":"Modification of the electrical properties of PEDOT","volume":"484","author":[{"family":"Semaltianos","given":"N.G."},{"family":"Logothetidis","given":"S."},{"family":"Hastas","given":"N."},{"family":"Perrie","given":"W."},{"family":"Romani","given":"S."},{"family":"Potter","given":"R.J."},{"family":"Dearden","given":"G."},{"family":"Watkins","given":"K.G."},{"family":"French","given":"P."},{"family":"Sharp","given":"M."}],"issued":{"date-parts":[["2010",1]]}}}],"schema":"https://github.com/citation-style-language/schema/raw/master/csl-citation.json"} </w:instrText>
      </w:r>
      <w:r w:rsidR="00D91953">
        <w:fldChar w:fldCharType="separate"/>
      </w:r>
      <w:r w:rsidR="00D91953" w:rsidRPr="00D91953">
        <w:rPr>
          <w:rFonts w:cs="Arial"/>
        </w:rPr>
        <w:t>(Semaltianos et al., 2010)</w:t>
      </w:r>
      <w:r w:rsidR="00D91953">
        <w:fldChar w:fldCharType="end"/>
      </w:r>
      <w:r>
        <w:t>.</w:t>
      </w:r>
    </w:p>
    <w:p w14:paraId="1D629D4A" w14:textId="1516154A" w:rsidR="00AE0D62" w:rsidRDefault="0076310A" w:rsidP="00AE0D62">
      <w:pPr>
        <w:pStyle w:val="CETBodytext"/>
      </w:pPr>
      <w:r w:rsidRPr="0076310A">
        <w:rPr>
          <w:lang w:val="en-GB"/>
        </w:rPr>
        <w:t xml:space="preserve">In contrast, the use of organic dopants in </w:t>
      </w:r>
      <w:proofErr w:type="gramStart"/>
      <w:r w:rsidRPr="0076310A">
        <w:rPr>
          <w:lang w:val="en-GB"/>
        </w:rPr>
        <w:t>PEDOT:PSS</w:t>
      </w:r>
      <w:proofErr w:type="gramEnd"/>
      <w:r w:rsidRPr="0076310A">
        <w:rPr>
          <w:lang w:val="en-GB"/>
        </w:rPr>
        <w:t xml:space="preserve"> remains relatively unexplored, despite their inherent compatibility with organic semiconductors and their potential to modulate the material’s electronic properties through tailored structural modification.</w:t>
      </w:r>
      <w:r>
        <w:rPr>
          <w:lang w:val="en-GB"/>
        </w:rPr>
        <w:t xml:space="preserve"> </w:t>
      </w:r>
      <w:r w:rsidR="00AE0D62">
        <w:t xml:space="preserve">One particularly promising example is poly(9-vinylcarbazole) (PVK), a polymer known for its relatively high hole mobility </w:t>
      </w:r>
      <w:r w:rsidR="0049360A">
        <w:fldChar w:fldCharType="begin"/>
      </w:r>
      <w:r w:rsidR="0049360A">
        <w:instrText xml:space="preserve"> ADDIN ZOTERO_ITEM CSL_CITATION {"citationID":"tIXtUhzx","properties":{"formattedCitation":"(Reimer &amp; B\\uc0\\u228{}ssler, 1979)","plainCitation":"(Reimer &amp; Bässler, 1979)","noteIndex":0},"citationItems":[{"id":100,"uris":["http://zotero.org/users/local/X9euHdDl/items/NCRTTA3U"],"itemData":{"id":100,"type":"article-journal","container-title":"Physica Status Solidi (a)","DOI":"10.1002/pssa.2210510216","ISSN":"00318965, 1521396X","issue":"2","journalAbbreviation":"Phys. Stat. Sol. (a)","language":"en","license":"http://doi.wiley.com/10.1002/tdm_license_1.1","page":"445-451","source":"DOI.org (Crossref)","title":"Fast hole transport in polyvinylcarbazole","volume":"51","author":[{"family":"Reimer","given":"B."},{"family":"Bässler","given":"H."}],"issued":{"date-parts":[["1979",2,16]]}}}],"schema":"https://github.com/citation-style-language/schema/raw/master/csl-citation.json"} </w:instrText>
      </w:r>
      <w:r w:rsidR="0049360A">
        <w:fldChar w:fldCharType="separate"/>
      </w:r>
      <w:r w:rsidR="0049360A" w:rsidRPr="0049360A">
        <w:rPr>
          <w:rFonts w:cs="Arial"/>
        </w:rPr>
        <w:t>(Reimer &amp; Bässler, 1979)</w:t>
      </w:r>
      <w:r w:rsidR="0049360A">
        <w:fldChar w:fldCharType="end"/>
      </w:r>
      <w:r w:rsidR="0049360A">
        <w:t xml:space="preserve">. </w:t>
      </w:r>
      <w:r w:rsidR="00AE0D62">
        <w:t xml:space="preserve">However, PVK’s incompatibility with aqueous </w:t>
      </w:r>
      <w:proofErr w:type="gramStart"/>
      <w:r w:rsidR="00AE0D62">
        <w:t>PEDOT:PSS</w:t>
      </w:r>
      <w:proofErr w:type="gramEnd"/>
      <w:r w:rsidR="00AE0D62">
        <w:t xml:space="preserve"> formulations </w:t>
      </w:r>
      <w:proofErr w:type="gramStart"/>
      <w:r w:rsidR="00AE0D62">
        <w:t>pose</w:t>
      </w:r>
      <w:r w:rsidR="00822F99">
        <w:t>s</w:t>
      </w:r>
      <w:proofErr w:type="gramEnd"/>
      <w:r w:rsidR="00AE0D62">
        <w:t xml:space="preserve"> significant processing challenges, requiring alternative strategies to obtain uniform and stable hybrid films.</w:t>
      </w:r>
    </w:p>
    <w:p w14:paraId="6B38D6BA" w14:textId="5C8589B9" w:rsidR="00AE0D62" w:rsidRDefault="00AE0D62" w:rsidP="00AE0D62">
      <w:pPr>
        <w:pStyle w:val="CETBodytext"/>
      </w:pPr>
      <w:r>
        <w:t>This work systematically investigates how the incorporation of inorganic (</w:t>
      </w:r>
      <w:proofErr w:type="spellStart"/>
      <w:r w:rsidR="00DB3517" w:rsidRPr="00DB3517">
        <w:rPr>
          <w:lang w:val="en-GB"/>
        </w:rPr>
        <w:t>TiO</w:t>
      </w:r>
      <w:proofErr w:type="spellEnd"/>
      <w:r w:rsidR="00DB3517" w:rsidRPr="00DB3517">
        <w:rPr>
          <w:rFonts w:ascii="Cambria Math" w:hAnsi="Cambria Math" w:cs="Cambria Math"/>
          <w:lang w:val="en-GB"/>
        </w:rPr>
        <w:t>₂</w:t>
      </w:r>
      <w:r w:rsidR="00DB3517" w:rsidRPr="00DB3517">
        <w:rPr>
          <w:lang w:val="en-GB"/>
        </w:rPr>
        <w:t xml:space="preserve"> nanoparticles, chosen for their superior chemical stability compared to other metal oxides</w:t>
      </w:r>
      <w:r>
        <w:t xml:space="preserve">) and organic (PVK) dopants modifies the electrical conductivity of </w:t>
      </w:r>
      <w:proofErr w:type="gramStart"/>
      <w:r>
        <w:t>PEDOT:PSS</w:t>
      </w:r>
      <w:proofErr w:type="gramEnd"/>
      <w:r>
        <w:t xml:space="preserve"> films.</w:t>
      </w:r>
    </w:p>
    <w:p w14:paraId="1D70DAC7" w14:textId="0D85C496" w:rsidR="00A3330A" w:rsidRDefault="00A3330A" w:rsidP="00A3330A">
      <w:pPr>
        <w:pStyle w:val="CETBodytext"/>
      </w:pPr>
      <w:r w:rsidRPr="00A3330A">
        <w:t xml:space="preserve">To investigate the effect of incorporating </w:t>
      </w:r>
      <w:proofErr w:type="spellStart"/>
      <w:r w:rsidRPr="00A3330A">
        <w:t>TiO</w:t>
      </w:r>
      <w:proofErr w:type="spellEnd"/>
      <w:r w:rsidRPr="00A3330A">
        <w:rPr>
          <w:rFonts w:ascii="Cambria Math" w:hAnsi="Cambria Math" w:cs="Cambria Math"/>
        </w:rPr>
        <w:t>₂</w:t>
      </w:r>
      <w:r w:rsidRPr="00A3330A">
        <w:t xml:space="preserve"> nanoparticles and PVK into </w:t>
      </w:r>
      <w:proofErr w:type="gramStart"/>
      <w:r w:rsidRPr="00A3330A">
        <w:t>PEDOT:PSS</w:t>
      </w:r>
      <w:proofErr w:type="gramEnd"/>
      <w:r w:rsidRPr="00A3330A">
        <w:t>-based layers, thin films were fabricated by spin-coating and characterized through sheet resistance measurements performed in the dark</w:t>
      </w:r>
      <w:r>
        <w:t xml:space="preserve">, without </w:t>
      </w:r>
      <w:r w:rsidRPr="00A3330A">
        <w:t>any illumination source.</w:t>
      </w:r>
      <w:r>
        <w:t xml:space="preserve"> </w:t>
      </w:r>
    </w:p>
    <w:p w14:paraId="270730EB" w14:textId="3483D682" w:rsidR="00A3330A" w:rsidRPr="00A3330A" w:rsidRDefault="00A3330A" w:rsidP="000E334E">
      <w:pPr>
        <w:pStyle w:val="CETBodytext"/>
        <w:jc w:val="left"/>
      </w:pPr>
      <w:r w:rsidRPr="00A3330A">
        <w:t>Two different structural configurations were explored:</w:t>
      </w:r>
      <w:r w:rsidRPr="00A3330A">
        <w:br/>
        <w:t>• Nanocomposite systems</w:t>
      </w:r>
      <w:r>
        <w:t xml:space="preserve">, </w:t>
      </w:r>
      <w:r w:rsidRPr="00A3330A">
        <w:t xml:space="preserve">where the additives were directly </w:t>
      </w:r>
      <w:r>
        <w:t>mixed</w:t>
      </w:r>
      <w:r w:rsidRPr="00A3330A">
        <w:t xml:space="preserve"> into the </w:t>
      </w:r>
      <w:proofErr w:type="gramStart"/>
      <w:r w:rsidRPr="00A3330A">
        <w:t>PEDOT:PSS</w:t>
      </w:r>
      <w:proofErr w:type="gramEnd"/>
      <w:r w:rsidRPr="00A3330A">
        <w:t xml:space="preserve"> solution</w:t>
      </w:r>
      <w:r>
        <w:t xml:space="preserve">, </w:t>
      </w:r>
      <w:r w:rsidR="000E334E">
        <w:t>resulting in</w:t>
      </w:r>
      <w:r w:rsidRPr="00A3330A">
        <w:rPr>
          <w:lang w:val="en-GB"/>
        </w:rPr>
        <w:t xml:space="preserve"> a single-layer blend;</w:t>
      </w:r>
      <w:r w:rsidRPr="00A3330A">
        <w:br/>
        <w:t>• Bilayer architectures, obtained by sequential spin-coating of the individual components.</w:t>
      </w:r>
    </w:p>
    <w:p w14:paraId="5D65B17B" w14:textId="77777777" w:rsidR="00A3330A" w:rsidRPr="00AE0D62" w:rsidRDefault="00A3330A" w:rsidP="00AE0D62">
      <w:pPr>
        <w:pStyle w:val="CETBodytext"/>
      </w:pPr>
    </w:p>
    <w:p w14:paraId="58D2062C" w14:textId="77777777" w:rsidR="00453E24" w:rsidRDefault="00432C83" w:rsidP="00453E24">
      <w:pPr>
        <w:pStyle w:val="CETHeading1"/>
      </w:pPr>
      <w:r>
        <w:t>Experimental</w:t>
      </w:r>
    </w:p>
    <w:p w14:paraId="0C43AE37" w14:textId="77777777" w:rsidR="00F37C06" w:rsidRPr="00F37C06" w:rsidRDefault="00F37C06" w:rsidP="00F37C06">
      <w:pPr>
        <w:rPr>
          <w:lang w:val="en-US"/>
        </w:rPr>
      </w:pPr>
      <w:r w:rsidRPr="00F37C06">
        <w:rPr>
          <w:lang w:val="en-US"/>
        </w:rPr>
        <w:t xml:space="preserve">This section describes both the chemical procedures involved in the preparation of the doped </w:t>
      </w:r>
      <w:proofErr w:type="gramStart"/>
      <w:r w:rsidRPr="00F37C06">
        <w:rPr>
          <w:lang w:val="en-US"/>
        </w:rPr>
        <w:t>PEDOT:PSS</w:t>
      </w:r>
      <w:proofErr w:type="gramEnd"/>
      <w:r w:rsidRPr="00F37C06">
        <w:rPr>
          <w:lang w:val="en-US"/>
        </w:rPr>
        <w:t xml:space="preserve"> solutions and the fabrication of thin films on glass substrates, as well as the electrical characterization performed using a custom-built four-point probe measurement system.</w:t>
      </w:r>
    </w:p>
    <w:p w14:paraId="1B7F1A7F" w14:textId="77777777" w:rsidR="00F37C06" w:rsidRPr="00F37C06" w:rsidRDefault="00F37C06" w:rsidP="00F37C06">
      <w:pPr>
        <w:pStyle w:val="CETBodytext"/>
      </w:pPr>
    </w:p>
    <w:p w14:paraId="76283B8C" w14:textId="77777777" w:rsidR="00453E24" w:rsidRDefault="00432C83" w:rsidP="00432C83">
      <w:pPr>
        <w:pStyle w:val="CETheadingx"/>
      </w:pPr>
      <w:r w:rsidRPr="00432C83">
        <w:t xml:space="preserve">Materials </w:t>
      </w:r>
    </w:p>
    <w:p w14:paraId="008159A8" w14:textId="77777777" w:rsidR="008073A5" w:rsidRPr="008073A5" w:rsidRDefault="00581F64" w:rsidP="008073A5">
      <w:pPr>
        <w:pStyle w:val="CETBodytext"/>
      </w:pPr>
      <w:r w:rsidRPr="00581F64">
        <w:rPr>
          <w:lang w:val="en-GB"/>
        </w:rPr>
        <w:t xml:space="preserve">The high-conductivity polymer </w:t>
      </w:r>
      <w:proofErr w:type="gramStart"/>
      <w:r w:rsidRPr="00581F64">
        <w:rPr>
          <w:lang w:val="en-GB"/>
        </w:rPr>
        <w:t>PEDOT:PSS</w:t>
      </w:r>
      <w:proofErr w:type="gramEnd"/>
      <w:r w:rsidRPr="00581F64">
        <w:rPr>
          <w:lang w:val="en-GB"/>
        </w:rPr>
        <w:t xml:space="preserve"> (poly(3,4-ethylenedioxythiophene</w:t>
      </w:r>
      <w:proofErr w:type="gramStart"/>
      <w:r w:rsidRPr="00581F64">
        <w:rPr>
          <w:lang w:val="en-GB"/>
        </w:rPr>
        <w:t>):poly</w:t>
      </w:r>
      <w:proofErr w:type="gramEnd"/>
      <w:r w:rsidRPr="00581F64">
        <w:rPr>
          <w:lang w:val="en-GB"/>
        </w:rPr>
        <w:t>(</w:t>
      </w:r>
      <w:proofErr w:type="spellStart"/>
      <w:r w:rsidRPr="00581F64">
        <w:rPr>
          <w:lang w:val="en-GB"/>
        </w:rPr>
        <w:t>styrenesulfonate</w:t>
      </w:r>
      <w:proofErr w:type="spellEnd"/>
      <w:r w:rsidRPr="00581F64">
        <w:rPr>
          <w:lang w:val="en-GB"/>
        </w:rPr>
        <w:t>)) in 3–4% aqueous dispersion and the hole-transporting polymer PVK (poly(N-</w:t>
      </w:r>
      <w:proofErr w:type="spellStart"/>
      <w:r w:rsidRPr="00581F64">
        <w:rPr>
          <w:lang w:val="en-GB"/>
        </w:rPr>
        <w:t>vinylcarbazole</w:t>
      </w:r>
      <w:proofErr w:type="spellEnd"/>
      <w:r w:rsidRPr="00581F64">
        <w:rPr>
          <w:lang w:val="en-GB"/>
        </w:rPr>
        <w:t>)) were supplied by Sigma-Aldrich.</w:t>
      </w:r>
      <w:r>
        <w:rPr>
          <w:lang w:val="en-GB"/>
        </w:rPr>
        <w:t xml:space="preserve"> </w:t>
      </w:r>
      <w:r w:rsidR="008073A5" w:rsidRPr="008073A5">
        <w:t xml:space="preserve">The solvents used for solution processing included anhydrous ethylene glycol (EG), with a purity of ≥99.8%, and chlorobenzene (≥99.0% purity), both purchased from Sigma-Aldrich. As the inorganic semiconductor phase, </w:t>
      </w:r>
      <w:proofErr w:type="spellStart"/>
      <w:r w:rsidR="008073A5" w:rsidRPr="008073A5">
        <w:t>TiO</w:t>
      </w:r>
      <w:proofErr w:type="spellEnd"/>
      <w:r w:rsidR="008073A5" w:rsidRPr="008073A5">
        <w:rPr>
          <w:rFonts w:ascii="Cambria Math" w:hAnsi="Cambria Math" w:cs="Cambria Math"/>
        </w:rPr>
        <w:t>₂</w:t>
      </w:r>
      <w:r w:rsidR="008073A5" w:rsidRPr="008073A5">
        <w:t xml:space="preserve"> nanoparticles (</w:t>
      </w:r>
      <w:proofErr w:type="spellStart"/>
      <w:r w:rsidR="008073A5" w:rsidRPr="008073A5">
        <w:t>Aeroxide</w:t>
      </w:r>
      <w:proofErr w:type="spellEnd"/>
      <w:r w:rsidR="008073A5" w:rsidRPr="008073A5">
        <w:rPr>
          <w:rFonts w:cs="Arial"/>
        </w:rPr>
        <w:t>®</w:t>
      </w:r>
      <w:r w:rsidR="008073A5" w:rsidRPr="008073A5">
        <w:t xml:space="preserve"> P25) were used, supplied by Evonik Industries. The latter consists of a well-known mixture of anatase and rutile crystalline phases and is commonly employed in photocatalytic and optoelectronic applications.</w:t>
      </w:r>
    </w:p>
    <w:p w14:paraId="7D5935CE" w14:textId="77777777" w:rsidR="008073A5" w:rsidRDefault="008073A5" w:rsidP="008073A5">
      <w:pPr>
        <w:pStyle w:val="CETheadingx"/>
      </w:pPr>
      <w:r w:rsidRPr="008073A5">
        <w:t>Preparation of coating solutions</w:t>
      </w:r>
    </w:p>
    <w:p w14:paraId="62720D61" w14:textId="77777777" w:rsidR="008073A5" w:rsidRDefault="008073A5" w:rsidP="008073A5">
      <w:pPr>
        <w:pStyle w:val="CETBodytext"/>
      </w:pPr>
      <w:r>
        <w:t>Two different polymer-based coating solutions were prepared for the experiments.</w:t>
      </w:r>
    </w:p>
    <w:p w14:paraId="4C783D0C" w14:textId="77777777" w:rsidR="008073A5" w:rsidRDefault="008073A5" w:rsidP="008073A5">
      <w:pPr>
        <w:pStyle w:val="CETBodytext"/>
      </w:pPr>
      <w:r>
        <w:t xml:space="preserve">In the first case, the commercial </w:t>
      </w:r>
      <w:proofErr w:type="gramStart"/>
      <w:r>
        <w:t>PEDOT:PSS</w:t>
      </w:r>
      <w:proofErr w:type="gramEnd"/>
      <w:r>
        <w:t xml:space="preserve"> dispersion was diluted with distilled water to obtain a final solid content of 1.5 </w:t>
      </w:r>
      <w:proofErr w:type="spellStart"/>
      <w:r>
        <w:t>wt</w:t>
      </w:r>
      <w:proofErr w:type="spellEnd"/>
      <w:r>
        <w:t xml:space="preserve">%. To this diluted solution, 5% v/v of anhydrous ethylene glycol (EG) was added as a conductivity enhancer, followed by the addition of 1.5 </w:t>
      </w:r>
      <w:proofErr w:type="spellStart"/>
      <w:r>
        <w:t>wt</w:t>
      </w:r>
      <w:proofErr w:type="spellEnd"/>
      <w:r>
        <w:t xml:space="preserve">% of </w:t>
      </w:r>
      <w:proofErr w:type="spellStart"/>
      <w:r>
        <w:t>TiO</w:t>
      </w:r>
      <w:proofErr w:type="spellEnd"/>
      <w:r>
        <w:rPr>
          <w:rFonts w:ascii="Cambria Math" w:hAnsi="Cambria Math" w:cs="Cambria Math"/>
        </w:rPr>
        <w:t>₂</w:t>
      </w:r>
      <w:r>
        <w:t xml:space="preserve"> P25 nanoparticles (calculated with respect to the PEDOT:PSS solid content). The resulting mixture was stirred for 10 minutes and then sonicated for 30 minutes at room temperature to ensure homogeneous dispersion of the inorganic phase.</w:t>
      </w:r>
    </w:p>
    <w:p w14:paraId="3BCAC409" w14:textId="77777777" w:rsidR="008073A5" w:rsidRPr="008073A5" w:rsidRDefault="008073A5" w:rsidP="008073A5">
      <w:pPr>
        <w:pStyle w:val="CETBodytext"/>
      </w:pPr>
      <w:r>
        <w:t xml:space="preserve">The second solution was prepared in two steps. First, 10 mg of PVK were dissolved in chlorobenzene under magnetic stirring for 20 minutes on a hot plate at 40 °C, to ensure complete dissolution. This step was necessary to promote compatibility between the PVK and the aqueous </w:t>
      </w:r>
      <w:proofErr w:type="gramStart"/>
      <w:r>
        <w:t>PEDOT:PSS</w:t>
      </w:r>
      <w:proofErr w:type="gramEnd"/>
      <w:r>
        <w:t xml:space="preserve"> dispersion. The resulting PVK solution was then added to a </w:t>
      </w:r>
      <w:proofErr w:type="gramStart"/>
      <w:r>
        <w:t>PEDOT:PSS</w:t>
      </w:r>
      <w:proofErr w:type="gramEnd"/>
      <w:r>
        <w:t xml:space="preserve"> dispersion previously diluted to 1.5 </w:t>
      </w:r>
      <w:proofErr w:type="spellStart"/>
      <w:r>
        <w:t>wt</w:t>
      </w:r>
      <w:proofErr w:type="spellEnd"/>
      <w:r>
        <w:t xml:space="preserve">% and containing 5% v/v of EG. The final concentration of PVK was adjusted to 0.05 </w:t>
      </w:r>
      <w:proofErr w:type="spellStart"/>
      <w:r>
        <w:t>wt</w:t>
      </w:r>
      <w:proofErr w:type="spellEnd"/>
      <w:r>
        <w:t xml:space="preserve">% relative to the </w:t>
      </w:r>
      <w:proofErr w:type="gramStart"/>
      <w:r>
        <w:t>PEDOT:PSS</w:t>
      </w:r>
      <w:proofErr w:type="gramEnd"/>
      <w:r>
        <w:t xml:space="preserve"> solid content. Gentle stirring was applied to obtain a macroscopically uniform blend, where the organic and aqueous components could coexist as a single-phase mixture suitable for film deposition.</w:t>
      </w:r>
    </w:p>
    <w:p w14:paraId="6CCF5C77" w14:textId="77777777" w:rsidR="008073A5" w:rsidRDefault="008073A5" w:rsidP="008073A5">
      <w:pPr>
        <w:pStyle w:val="CETheadingx"/>
      </w:pPr>
      <w:r w:rsidRPr="008073A5">
        <w:t>Film preparation</w:t>
      </w:r>
    </w:p>
    <w:p w14:paraId="6A1B4135" w14:textId="690F5746" w:rsidR="008073A5" w:rsidRDefault="008073A5" w:rsidP="008073A5">
      <w:pPr>
        <w:pStyle w:val="CETBodytext"/>
      </w:pPr>
      <w:r>
        <w:t xml:space="preserve">Glass substrates (2.5 cm × 2.5 cm) were thoroughly cleaned </w:t>
      </w:r>
      <w:r w:rsidR="00E4188A">
        <w:t>before</w:t>
      </w:r>
      <w:r>
        <w:t xml:space="preserve"> film deposition to ensure optimal surface conditions and improve wettability. The cleaning protocol consisted of three sequential ultrasonic baths, each lasting 30 minutes, carried out in acetone, isopropanol, and finally deionized water.</w:t>
      </w:r>
    </w:p>
    <w:p w14:paraId="32A17163" w14:textId="77777777" w:rsidR="008073A5" w:rsidRDefault="008073A5" w:rsidP="008073A5">
      <w:pPr>
        <w:pStyle w:val="CETBodytext"/>
      </w:pPr>
      <w:r>
        <w:t>After cleaning, the substrates were dried in a ventilated oven at 80 °C for 30 minutes to ensure complete evaporation of residual solvents.</w:t>
      </w:r>
    </w:p>
    <w:p w14:paraId="7687A25A" w14:textId="77777777" w:rsidR="00CF5BFA" w:rsidRDefault="00CF5BFA" w:rsidP="008073A5">
      <w:pPr>
        <w:pStyle w:val="CETBodytext"/>
        <w:rPr>
          <w:lang w:val="en-GB"/>
        </w:rPr>
      </w:pPr>
      <w:r w:rsidRPr="00CF5BFA">
        <w:rPr>
          <w:lang w:val="en-GB"/>
        </w:rPr>
        <w:t>Five different film configurations were prepared by spin coating the respective solutions onto cleaned and dried glass substrates, as reported in Table 1</w:t>
      </w:r>
      <w:r>
        <w:rPr>
          <w:lang w:val="en-GB"/>
        </w:rPr>
        <w:t>.</w:t>
      </w:r>
    </w:p>
    <w:p w14:paraId="4C6C4A29" w14:textId="77777777" w:rsidR="005C055C" w:rsidRDefault="005C055C" w:rsidP="008073A5">
      <w:pPr>
        <w:pStyle w:val="CETBodytext"/>
        <w:rPr>
          <w:lang w:val="en-GB"/>
        </w:rPr>
      </w:pPr>
    </w:p>
    <w:p w14:paraId="7165DD49" w14:textId="77777777" w:rsidR="005C055C" w:rsidRDefault="005C055C" w:rsidP="008073A5">
      <w:pPr>
        <w:pStyle w:val="CETBodytext"/>
        <w:rPr>
          <w:lang w:val="en-GB"/>
        </w:rPr>
      </w:pPr>
    </w:p>
    <w:p w14:paraId="6BE723EA" w14:textId="77777777" w:rsidR="005C055C" w:rsidRPr="00CF5BFA" w:rsidRDefault="005C055C" w:rsidP="008073A5">
      <w:pPr>
        <w:pStyle w:val="CETBodytext"/>
        <w:rPr>
          <w:lang w:val="en-GB"/>
        </w:rPr>
      </w:pPr>
    </w:p>
    <w:p w14:paraId="1D59C584" w14:textId="2520BB1E" w:rsidR="00CF5BFA" w:rsidRDefault="00CF5BFA" w:rsidP="00CF5BFA">
      <w:pPr>
        <w:pStyle w:val="CETTabletitle"/>
      </w:pPr>
      <w:r>
        <w:t xml:space="preserve">Table </w:t>
      </w:r>
      <w:r>
        <w:fldChar w:fldCharType="begin"/>
      </w:r>
      <w:r>
        <w:instrText xml:space="preserve"> SEQ Table \* ARABIC </w:instrText>
      </w:r>
      <w:r>
        <w:fldChar w:fldCharType="separate"/>
      </w:r>
      <w:r>
        <w:rPr>
          <w:noProof/>
        </w:rPr>
        <w:t>1</w:t>
      </w:r>
      <w:r>
        <w:fldChar w:fldCharType="end"/>
      </w:r>
      <w:r>
        <w:t xml:space="preserve">. </w:t>
      </w:r>
      <w:r w:rsidR="00F554B5" w:rsidRPr="00F554B5">
        <w:t xml:space="preserve">Sample identification and corresponding layer configurations on glass substrates, including single layers, blends, and multilayer structures based on </w:t>
      </w:r>
      <w:proofErr w:type="gramStart"/>
      <w:r w:rsidR="00F554B5" w:rsidRPr="00F554B5">
        <w:t>PEDOT:PSS</w:t>
      </w:r>
      <w:proofErr w:type="gramEnd"/>
      <w:r w:rsidR="00F554B5" w:rsidRPr="00F554B5">
        <w:t xml:space="preserve">, </w:t>
      </w:r>
      <w:proofErr w:type="spellStart"/>
      <w:r w:rsidR="00F554B5" w:rsidRPr="00F554B5">
        <w:t>TiO</w:t>
      </w:r>
      <w:proofErr w:type="spellEnd"/>
      <w:r w:rsidR="00F554B5" w:rsidRPr="00F554B5">
        <w:rPr>
          <w:rFonts w:ascii="Cambria Math" w:hAnsi="Cambria Math" w:cs="Cambria Math"/>
        </w:rPr>
        <w:t>₂</w:t>
      </w:r>
      <w:r w:rsidR="00F554B5" w:rsidRPr="00F554B5">
        <w:t xml:space="preserve"> nanoparticles</w:t>
      </w:r>
      <w:r w:rsidR="00E4188A">
        <w:t xml:space="preserve"> (NPs)</w:t>
      </w:r>
      <w:r w:rsidR="00F554B5" w:rsidRPr="00F554B5">
        <w:t>, and PVK.</w:t>
      </w:r>
    </w:p>
    <w:tbl>
      <w:tblPr>
        <w:tblW w:w="640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09"/>
        <w:gridCol w:w="5698"/>
      </w:tblGrid>
      <w:tr w:rsidR="00696081" w:rsidRPr="00BF04C3" w14:paraId="11657740" w14:textId="77777777" w:rsidTr="00EA222A">
        <w:trPr>
          <w:trHeight w:val="333"/>
        </w:trPr>
        <w:tc>
          <w:tcPr>
            <w:tcW w:w="709" w:type="dxa"/>
            <w:tcBorders>
              <w:top w:val="single" w:sz="12" w:space="0" w:color="008000"/>
              <w:bottom w:val="single" w:sz="6" w:space="0" w:color="008000"/>
            </w:tcBorders>
            <w:shd w:val="clear" w:color="auto" w:fill="FFFFFF"/>
          </w:tcPr>
          <w:p w14:paraId="17FB1606" w14:textId="77777777" w:rsidR="00696081" w:rsidRPr="00BF04C3" w:rsidRDefault="00696081" w:rsidP="004E6C6C">
            <w:pPr>
              <w:pStyle w:val="CETTabletitle"/>
            </w:pPr>
            <w:r>
              <w:t>N°</w:t>
            </w:r>
          </w:p>
        </w:tc>
        <w:tc>
          <w:tcPr>
            <w:tcW w:w="5698" w:type="dxa"/>
            <w:tcBorders>
              <w:top w:val="single" w:sz="12" w:space="0" w:color="008000"/>
              <w:bottom w:val="single" w:sz="6" w:space="0" w:color="008000"/>
            </w:tcBorders>
            <w:shd w:val="clear" w:color="auto" w:fill="FFFFFF"/>
          </w:tcPr>
          <w:p w14:paraId="16889915" w14:textId="77777777" w:rsidR="00696081" w:rsidRPr="00BF04C3" w:rsidRDefault="00696081" w:rsidP="004E6C6C">
            <w:pPr>
              <w:pStyle w:val="CETTabletitle"/>
            </w:pPr>
            <w:r w:rsidRPr="00BF04C3">
              <w:t>Sample</w:t>
            </w:r>
          </w:p>
        </w:tc>
      </w:tr>
      <w:tr w:rsidR="00696081" w:rsidRPr="00BF04C3" w14:paraId="01CCB2F2" w14:textId="77777777" w:rsidTr="00EA222A">
        <w:trPr>
          <w:trHeight w:val="333"/>
        </w:trPr>
        <w:tc>
          <w:tcPr>
            <w:tcW w:w="709" w:type="dxa"/>
            <w:shd w:val="clear" w:color="auto" w:fill="FFFFFF"/>
          </w:tcPr>
          <w:p w14:paraId="7C9C83B3" w14:textId="77777777" w:rsidR="00696081" w:rsidRDefault="00696081" w:rsidP="004E6C6C">
            <w:pPr>
              <w:pStyle w:val="CETBodytext"/>
              <w:rPr>
                <w:rFonts w:cs="Arial"/>
                <w:szCs w:val="18"/>
              </w:rPr>
            </w:pPr>
            <w:r>
              <w:rPr>
                <w:rFonts w:cs="Arial"/>
                <w:szCs w:val="18"/>
              </w:rPr>
              <w:t>1</w:t>
            </w:r>
          </w:p>
        </w:tc>
        <w:tc>
          <w:tcPr>
            <w:tcW w:w="5698" w:type="dxa"/>
            <w:shd w:val="clear" w:color="auto" w:fill="FFFFFF"/>
          </w:tcPr>
          <w:p w14:paraId="1B7565BD" w14:textId="77777777" w:rsidR="00696081" w:rsidRPr="00BF04C3" w:rsidRDefault="00696081" w:rsidP="004E6C6C">
            <w:pPr>
              <w:pStyle w:val="CETBodytext"/>
              <w:rPr>
                <w:rFonts w:cs="Arial"/>
                <w:szCs w:val="18"/>
                <w:lang w:val="en-GB"/>
              </w:rPr>
            </w:pPr>
            <w:r>
              <w:rPr>
                <w:rFonts w:cs="Arial"/>
                <w:szCs w:val="18"/>
              </w:rPr>
              <w:t xml:space="preserve">Single </w:t>
            </w:r>
            <w:r w:rsidRPr="00BF04C3">
              <w:rPr>
                <w:rFonts w:cs="Arial"/>
                <w:szCs w:val="18"/>
              </w:rPr>
              <w:t>layer PEDOT:PSS</w:t>
            </w:r>
          </w:p>
        </w:tc>
      </w:tr>
      <w:tr w:rsidR="00696081" w:rsidRPr="00BF04C3" w14:paraId="2B67B2EF" w14:textId="77777777" w:rsidTr="00EA222A">
        <w:trPr>
          <w:trHeight w:val="333"/>
        </w:trPr>
        <w:tc>
          <w:tcPr>
            <w:tcW w:w="709" w:type="dxa"/>
            <w:shd w:val="clear" w:color="auto" w:fill="FFFFFF"/>
          </w:tcPr>
          <w:p w14:paraId="24F992A2" w14:textId="77777777" w:rsidR="00696081" w:rsidRDefault="00696081" w:rsidP="004E6C6C">
            <w:pPr>
              <w:pStyle w:val="CETBodytext"/>
              <w:ind w:right="-1"/>
              <w:rPr>
                <w:rFonts w:cs="Arial"/>
                <w:szCs w:val="18"/>
              </w:rPr>
            </w:pPr>
            <w:r>
              <w:rPr>
                <w:rFonts w:cs="Arial"/>
                <w:szCs w:val="18"/>
              </w:rPr>
              <w:t>2</w:t>
            </w:r>
          </w:p>
        </w:tc>
        <w:tc>
          <w:tcPr>
            <w:tcW w:w="5698" w:type="dxa"/>
            <w:shd w:val="clear" w:color="auto" w:fill="FFFFFF"/>
          </w:tcPr>
          <w:p w14:paraId="157B047C" w14:textId="77777777" w:rsidR="00696081" w:rsidRPr="00BF04C3" w:rsidRDefault="00696081" w:rsidP="004E6C6C">
            <w:pPr>
              <w:pStyle w:val="CETBodytext"/>
              <w:ind w:right="-1"/>
              <w:rPr>
                <w:rFonts w:cs="Arial"/>
                <w:szCs w:val="18"/>
                <w:lang w:val="en-GB"/>
              </w:rPr>
            </w:pPr>
            <w:r>
              <w:rPr>
                <w:rFonts w:cs="Arial"/>
                <w:szCs w:val="18"/>
              </w:rPr>
              <w:t xml:space="preserve">Single </w:t>
            </w:r>
            <w:r w:rsidRPr="00BF04C3">
              <w:rPr>
                <w:rFonts w:cs="Arial"/>
                <w:szCs w:val="18"/>
              </w:rPr>
              <w:t xml:space="preserve">layer PEDOT:PSS + </w:t>
            </w:r>
            <w:proofErr w:type="spellStart"/>
            <w:r w:rsidRPr="00BF04C3">
              <w:rPr>
                <w:rFonts w:cs="Arial"/>
                <w:szCs w:val="18"/>
              </w:rPr>
              <w:t>TiO</w:t>
            </w:r>
            <w:proofErr w:type="spellEnd"/>
            <w:r w:rsidRPr="00BF04C3">
              <w:rPr>
                <w:rFonts w:ascii="Cambria Math" w:hAnsi="Cambria Math" w:cs="Cambria Math"/>
                <w:szCs w:val="18"/>
              </w:rPr>
              <w:t>₂</w:t>
            </w:r>
            <w:r w:rsidRPr="00BF04C3">
              <w:rPr>
                <w:rFonts w:cs="Arial"/>
                <w:szCs w:val="18"/>
              </w:rPr>
              <w:t xml:space="preserve"> NPs</w:t>
            </w:r>
          </w:p>
        </w:tc>
      </w:tr>
      <w:tr w:rsidR="00696081" w:rsidRPr="00BF04C3" w14:paraId="3EC68043" w14:textId="77777777" w:rsidTr="00EA222A">
        <w:trPr>
          <w:trHeight w:val="333"/>
        </w:trPr>
        <w:tc>
          <w:tcPr>
            <w:tcW w:w="709" w:type="dxa"/>
            <w:shd w:val="clear" w:color="auto" w:fill="FFFFFF"/>
          </w:tcPr>
          <w:p w14:paraId="444842E8" w14:textId="77777777" w:rsidR="00696081" w:rsidRPr="00BF04C3" w:rsidRDefault="00696081" w:rsidP="004E6C6C">
            <w:pPr>
              <w:pStyle w:val="CETBodytext"/>
              <w:ind w:right="-1"/>
              <w:rPr>
                <w:rFonts w:cs="Arial"/>
                <w:szCs w:val="18"/>
              </w:rPr>
            </w:pPr>
            <w:r>
              <w:rPr>
                <w:rFonts w:cs="Arial"/>
                <w:szCs w:val="18"/>
              </w:rPr>
              <w:t>3</w:t>
            </w:r>
          </w:p>
        </w:tc>
        <w:tc>
          <w:tcPr>
            <w:tcW w:w="5698" w:type="dxa"/>
            <w:shd w:val="clear" w:color="auto" w:fill="FFFFFF"/>
          </w:tcPr>
          <w:p w14:paraId="233B8E15" w14:textId="77777777" w:rsidR="00696081" w:rsidRPr="00BF04C3" w:rsidRDefault="00696081" w:rsidP="004E6C6C">
            <w:pPr>
              <w:pStyle w:val="CETBodytext"/>
              <w:ind w:right="-1"/>
              <w:rPr>
                <w:rFonts w:cs="Arial"/>
                <w:szCs w:val="18"/>
                <w:lang w:val="en-GB"/>
              </w:rPr>
            </w:pPr>
            <w:r w:rsidRPr="00BF04C3">
              <w:rPr>
                <w:rFonts w:cs="Arial"/>
                <w:szCs w:val="18"/>
              </w:rPr>
              <w:t xml:space="preserve">1st layer PEDOT:PSS + </w:t>
            </w:r>
            <w:proofErr w:type="spellStart"/>
            <w:r w:rsidRPr="00BF04C3">
              <w:rPr>
                <w:rFonts w:cs="Arial"/>
                <w:szCs w:val="18"/>
              </w:rPr>
              <w:t>TiO</w:t>
            </w:r>
            <w:proofErr w:type="spellEnd"/>
            <w:r w:rsidRPr="00BF04C3">
              <w:rPr>
                <w:rFonts w:ascii="Cambria Math" w:hAnsi="Cambria Math" w:cs="Cambria Math"/>
                <w:szCs w:val="18"/>
              </w:rPr>
              <w:t>₂</w:t>
            </w:r>
            <w:r w:rsidRPr="00BF04C3">
              <w:rPr>
                <w:rFonts w:cs="Arial"/>
                <w:szCs w:val="18"/>
              </w:rPr>
              <w:t xml:space="preserve"> NPs + 2nd layer PEDOT:PSS</w:t>
            </w:r>
          </w:p>
        </w:tc>
      </w:tr>
      <w:tr w:rsidR="00696081" w:rsidRPr="00BF04C3" w14:paraId="615F3D8F" w14:textId="77777777" w:rsidTr="00EA222A">
        <w:trPr>
          <w:trHeight w:val="333"/>
        </w:trPr>
        <w:tc>
          <w:tcPr>
            <w:tcW w:w="709" w:type="dxa"/>
            <w:shd w:val="clear" w:color="auto" w:fill="FFFFFF"/>
          </w:tcPr>
          <w:p w14:paraId="603372DD" w14:textId="77777777" w:rsidR="00696081" w:rsidRDefault="00696081" w:rsidP="004E6C6C">
            <w:pPr>
              <w:pStyle w:val="CETBodytext"/>
              <w:ind w:right="-1"/>
              <w:rPr>
                <w:rFonts w:cs="Arial"/>
                <w:szCs w:val="18"/>
              </w:rPr>
            </w:pPr>
            <w:r>
              <w:rPr>
                <w:rFonts w:cs="Arial"/>
                <w:szCs w:val="18"/>
              </w:rPr>
              <w:t>4</w:t>
            </w:r>
          </w:p>
        </w:tc>
        <w:tc>
          <w:tcPr>
            <w:tcW w:w="5698" w:type="dxa"/>
            <w:shd w:val="clear" w:color="auto" w:fill="FFFFFF"/>
          </w:tcPr>
          <w:p w14:paraId="30CA7109" w14:textId="77777777" w:rsidR="00696081" w:rsidRPr="00BF04C3" w:rsidRDefault="00696081" w:rsidP="004E6C6C">
            <w:pPr>
              <w:pStyle w:val="CETBodytext"/>
              <w:ind w:right="-1"/>
              <w:rPr>
                <w:rFonts w:cs="Arial"/>
                <w:szCs w:val="18"/>
                <w:lang w:val="en-GB"/>
              </w:rPr>
            </w:pPr>
            <w:r>
              <w:rPr>
                <w:rFonts w:cs="Arial"/>
                <w:szCs w:val="18"/>
              </w:rPr>
              <w:t xml:space="preserve">Single </w:t>
            </w:r>
            <w:r w:rsidRPr="00BF04C3">
              <w:rPr>
                <w:rFonts w:cs="Arial"/>
                <w:szCs w:val="18"/>
              </w:rPr>
              <w:t>layer PEDOT:PSS + PVK (blend)</w:t>
            </w:r>
          </w:p>
        </w:tc>
      </w:tr>
      <w:tr w:rsidR="00696081" w:rsidRPr="00BF04C3" w14:paraId="5E10B540" w14:textId="77777777" w:rsidTr="00EA222A">
        <w:trPr>
          <w:trHeight w:val="333"/>
        </w:trPr>
        <w:tc>
          <w:tcPr>
            <w:tcW w:w="709" w:type="dxa"/>
            <w:shd w:val="clear" w:color="auto" w:fill="FFFFFF"/>
          </w:tcPr>
          <w:p w14:paraId="1DC9883E" w14:textId="77777777" w:rsidR="00696081" w:rsidRDefault="00696081" w:rsidP="00696081">
            <w:pPr>
              <w:pStyle w:val="CETBodytext"/>
              <w:ind w:right="-1"/>
              <w:rPr>
                <w:rFonts w:cs="Arial"/>
                <w:szCs w:val="18"/>
              </w:rPr>
            </w:pPr>
            <w:r>
              <w:rPr>
                <w:rFonts w:cs="Arial"/>
                <w:szCs w:val="18"/>
              </w:rPr>
              <w:t>5</w:t>
            </w:r>
          </w:p>
        </w:tc>
        <w:tc>
          <w:tcPr>
            <w:tcW w:w="5698" w:type="dxa"/>
            <w:shd w:val="clear" w:color="auto" w:fill="FFFFFF"/>
          </w:tcPr>
          <w:p w14:paraId="577C7E93" w14:textId="77777777" w:rsidR="00696081" w:rsidRDefault="00696081" w:rsidP="00696081">
            <w:pPr>
              <w:pStyle w:val="CETBodytext"/>
              <w:ind w:right="-1"/>
              <w:rPr>
                <w:rFonts w:cs="Arial"/>
                <w:szCs w:val="18"/>
              </w:rPr>
            </w:pPr>
            <w:r w:rsidRPr="00BF04C3">
              <w:rPr>
                <w:rFonts w:cs="Arial"/>
                <w:szCs w:val="18"/>
              </w:rPr>
              <w:t>1st layer PEDOT:PSS + 2nd layer PVK</w:t>
            </w:r>
          </w:p>
        </w:tc>
      </w:tr>
    </w:tbl>
    <w:p w14:paraId="42064F03" w14:textId="77777777" w:rsidR="00696081" w:rsidRPr="00696081" w:rsidRDefault="00696081" w:rsidP="008073A5">
      <w:pPr>
        <w:pStyle w:val="CETBodytext"/>
        <w:rPr>
          <w:lang w:val="en-GB"/>
        </w:rPr>
      </w:pPr>
    </w:p>
    <w:p w14:paraId="0711FC1C" w14:textId="77777777" w:rsidR="008073A5" w:rsidRPr="008073A5" w:rsidRDefault="008073A5" w:rsidP="008073A5">
      <w:pPr>
        <w:pStyle w:val="CETBodytext"/>
      </w:pPr>
      <w:r>
        <w:t>All coatings were deposited using a programmable spin coater set to 3600 rpm for 60 seconds, with an acceleration of 30 rpm/s. After deposition, the films were annealed at 130 °C for 30 minutes in a ventilated oven to ensure solvent evaporation and film stabilization. For multilayer samples (3 and 5), the deposition and annealing steps were repeated identically for the second layer.</w:t>
      </w:r>
    </w:p>
    <w:p w14:paraId="580185BA" w14:textId="77777777" w:rsidR="00453E24" w:rsidRDefault="0080736F" w:rsidP="00453E24">
      <w:pPr>
        <w:pStyle w:val="CETheadingx"/>
      </w:pPr>
      <w:r>
        <w:t>Experimental setup</w:t>
      </w:r>
    </w:p>
    <w:p w14:paraId="4D741C51" w14:textId="77777777" w:rsidR="004927A6" w:rsidRDefault="00AB7941" w:rsidP="00AB7941">
      <w:pPr>
        <w:pStyle w:val="CETBodytext"/>
      </w:pPr>
      <w:r>
        <w:t xml:space="preserve">The experimental setup </w:t>
      </w:r>
      <w:r w:rsidR="00AB4FC4">
        <w:t xml:space="preserve">(Figure 2) </w:t>
      </w:r>
      <w:r>
        <w:t xml:space="preserve">was specifically designed in collaboration with and supplied by </w:t>
      </w:r>
      <w:proofErr w:type="spellStart"/>
      <w:r>
        <w:t>Exeling</w:t>
      </w:r>
      <w:proofErr w:type="spellEnd"/>
      <w:r>
        <w:t xml:space="preserve"> </w:t>
      </w:r>
      <w:proofErr w:type="spellStart"/>
      <w:r>
        <w:t>S.r.l</w:t>
      </w:r>
      <w:proofErr w:type="spellEnd"/>
      <w:r>
        <w:t xml:space="preserve">. to enable the electrical characterization of thin films, focusing on their conductive properties under various illumination conditions. The system allows implementation of four-point probe measurement techniques, including the van der Pauw method and Kelvin-connected current-voltage (I–V) analysis. </w:t>
      </w:r>
    </w:p>
    <w:p w14:paraId="7A6F30E7" w14:textId="77777777" w:rsidR="00AB7941" w:rsidRDefault="00AB7941" w:rsidP="00AB7941">
      <w:pPr>
        <w:pStyle w:val="CETBodytext"/>
      </w:pPr>
      <w:r>
        <w:t>The characterization kit is composed of the following elements:</w:t>
      </w:r>
    </w:p>
    <w:p w14:paraId="16B41A30" w14:textId="77777777" w:rsidR="0080736F" w:rsidRDefault="00AB7941" w:rsidP="00AB7941">
      <w:pPr>
        <w:pStyle w:val="CETBodytext"/>
      </w:pPr>
      <w:r>
        <w:t>•</w:t>
      </w:r>
      <w:r>
        <w:tab/>
        <w:t>Top panel: made of a printed circuit board (PCB), this component hosts four electrical terminals ensuring contact with the sample. It also includes a central window, enabling direct illumination of the film during measurements, and four accessible test points electrically connected to each terminal, allowing the integration of external measurement instrumentation such as source meters or multimeters</w:t>
      </w:r>
      <w:r w:rsidR="00FB71C8">
        <w:t xml:space="preserve"> (Figure 1a).</w:t>
      </w:r>
    </w:p>
    <w:p w14:paraId="165D581D" w14:textId="77777777" w:rsidR="00AB7941" w:rsidRDefault="00AB7941" w:rsidP="00AB7941">
      <w:pPr>
        <w:pStyle w:val="CETBodytext"/>
      </w:pPr>
      <w:r w:rsidRPr="00AB7941">
        <w:t>•</w:t>
      </w:r>
      <w:r w:rsidRPr="00AB7941">
        <w:tab/>
        <w:t>Bottom panel: identical in size to the top panel, the bottom panel serves as a stable platform for holding the sample under test. It is compatible with a wide range of substrate dimensions, ensuring versatility for different experimental needs</w:t>
      </w:r>
      <w:r w:rsidR="00FB71C8">
        <w:t xml:space="preserve"> (Figure 1b).</w:t>
      </w:r>
    </w:p>
    <w:p w14:paraId="160A1E9D" w14:textId="77777777" w:rsidR="004927A6" w:rsidRDefault="004927A6" w:rsidP="00AB7941">
      <w:pPr>
        <w:pStyle w:val="CETBodytext"/>
      </w:pPr>
    </w:p>
    <w:p w14:paraId="1D452ADA" w14:textId="0264D98B" w:rsidR="00895BFB" w:rsidRDefault="00EE42C3" w:rsidP="00895BFB">
      <w:pPr>
        <w:pStyle w:val="CETBodytext"/>
        <w:keepNext/>
      </w:pPr>
      <w:r>
        <w:rPr>
          <w:noProof/>
          <w:lang w:val="it-IT" w:eastAsia="it-IT"/>
        </w:rPr>
        <mc:AlternateContent>
          <mc:Choice Requires="wps">
            <w:drawing>
              <wp:anchor distT="0" distB="0" distL="114300" distR="114300" simplePos="0" relativeHeight="251661824" behindDoc="0" locked="0" layoutInCell="1" allowOverlap="1" wp14:anchorId="12DD8D53" wp14:editId="71FA5793">
                <wp:simplePos x="0" y="0"/>
                <wp:positionH relativeFrom="margin">
                  <wp:align>left</wp:align>
                </wp:positionH>
                <wp:positionV relativeFrom="paragraph">
                  <wp:posOffset>1344568</wp:posOffset>
                </wp:positionV>
                <wp:extent cx="2367643" cy="593272"/>
                <wp:effectExtent l="0" t="0" r="0" b="0"/>
                <wp:wrapNone/>
                <wp:docPr id="1055052550" name="Casella di testo 1"/>
                <wp:cNvGraphicFramePr/>
                <a:graphic xmlns:a="http://schemas.openxmlformats.org/drawingml/2006/main">
                  <a:graphicData uri="http://schemas.microsoft.com/office/word/2010/wordprocessingShape">
                    <wps:wsp>
                      <wps:cNvSpPr txBox="1"/>
                      <wps:spPr>
                        <a:xfrm>
                          <a:off x="0" y="0"/>
                          <a:ext cx="2367643" cy="593272"/>
                        </a:xfrm>
                        <a:prstGeom prst="rect">
                          <a:avLst/>
                        </a:prstGeom>
                        <a:solidFill>
                          <a:prstClr val="white"/>
                        </a:solidFill>
                        <a:ln>
                          <a:noFill/>
                        </a:ln>
                      </wps:spPr>
                      <wps:txbx>
                        <w:txbxContent>
                          <w:p w14:paraId="63A65BED" w14:textId="77777777" w:rsidR="00895BFB" w:rsidRPr="00F30CF9" w:rsidRDefault="00895BFB" w:rsidP="00895BFB">
                            <w:pPr>
                              <w:pStyle w:val="CETCaption"/>
                              <w:rPr>
                                <w:rFonts w:ascii="Times New Roman" w:hAnsi="Times New Roman"/>
                                <w:noProof/>
                                <w:lang w:val="en-US"/>
                              </w:rPr>
                            </w:pPr>
                            <w:r>
                              <w:t xml:space="preserve">Figure </w:t>
                            </w:r>
                            <w:r w:rsidR="006107D6">
                              <w:t>1</w:t>
                            </w:r>
                            <w:r>
                              <w:t>a:</w:t>
                            </w:r>
                            <w:r w:rsidR="008C1E50">
                              <w:t xml:space="preserve"> </w:t>
                            </w:r>
                            <w:r w:rsidR="007C4224">
                              <w:t>Top</w:t>
                            </w:r>
                            <w:r w:rsidRPr="00895BFB">
                              <w:t xml:space="preserve"> panel of the custom-built experimental setup for four-point probe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D8D53" id="_x0000_t202" coordsize="21600,21600" o:spt="202" path="m,l,21600r21600,l21600,xe">
                <v:stroke joinstyle="miter"/>
                <v:path gradientshapeok="t" o:connecttype="rect"/>
              </v:shapetype>
              <v:shape id="Casella di testo 1" o:spid="_x0000_s1026" type="#_x0000_t202" style="position:absolute;left:0;text-align:left;margin-left:0;margin-top:105.85pt;width:186.45pt;height:46.7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" stroked="f">
                <v:textbox inset="0,0,0,0">
                  <w:txbxContent>
                    <w:p w14:paraId="63A65BED" w14:textId="77777777" w:rsidR="00895BFB" w:rsidRPr="00F30CF9" w:rsidRDefault="00895BFB" w:rsidP="00895BFB">
                      <w:pPr>
                        <w:pStyle w:val="CETCaption"/>
                        <w:rPr>
                          <w:rFonts w:ascii="Times New Roman" w:hAnsi="Times New Roman"/>
                          <w:noProof/>
                          <w:lang w:val="en-US"/>
                        </w:rPr>
                      </w:pPr>
                      <w:r>
                        <w:t xml:space="preserve">Figure </w:t>
                      </w:r>
                      <w:r w:rsidR="006107D6">
                        <w:t>1</w:t>
                      </w:r>
                      <w:r>
                        <w:t>a:</w:t>
                      </w:r>
                      <w:r w:rsidR="008C1E50">
                        <w:t xml:space="preserve"> </w:t>
                      </w:r>
                      <w:r w:rsidR="007C4224">
                        <w:t>Top</w:t>
                      </w:r>
                      <w:r w:rsidRPr="00895BFB">
                        <w:t xml:space="preserve"> panel of the custom-built experimental setup for four-point probe measurements.</w:t>
                      </w:r>
                    </w:p>
                  </w:txbxContent>
                </v:textbox>
                <w10:wrap anchorx="margin"/>
              </v:shape>
            </w:pict>
          </mc:Fallback>
        </mc:AlternateContent>
      </w:r>
      <w:r w:rsidR="00895BFB" w:rsidRPr="000F38BD">
        <w:rPr>
          <w:rFonts w:ascii="Times New Roman" w:hAnsi="Times New Roman"/>
          <w:noProof/>
          <w:lang w:val="it-IT" w:eastAsia="it-IT"/>
        </w:rPr>
        <w:drawing>
          <wp:anchor distT="0" distB="0" distL="114300" distR="114300" simplePos="0" relativeHeight="251655680" behindDoc="0" locked="0" layoutInCell="1" allowOverlap="1" wp14:anchorId="3B528690" wp14:editId="6B512DE6">
            <wp:simplePos x="0" y="0"/>
            <wp:positionH relativeFrom="column">
              <wp:posOffset>3298825</wp:posOffset>
            </wp:positionH>
            <wp:positionV relativeFrom="paragraph">
              <wp:posOffset>5715</wp:posOffset>
            </wp:positionV>
            <wp:extent cx="2175510" cy="1313815"/>
            <wp:effectExtent l="0" t="0" r="0" b="635"/>
            <wp:wrapNone/>
            <wp:docPr id="921398115" name="Immagine 2" descr="Immagine che contiene Rettangolo, blu, Blu intens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8115" name="Immagine 2" descr="Immagine che contiene Rettangolo, blu, Blu intenso, linea&#10;&#10;Il contenuto generato dall'IA potrebbe non essere corretto."/>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1400">
                                  <a14:foregroundMark x1="90697" y1="49025" x2="90133" y2="52950"/>
                                  <a14:foregroundMark x1="91084" y1="46325" x2="90697" y2="49025"/>
                                  <a14:foregroundMark x1="91400" y1="44125" x2="91084" y2="46325"/>
                                  <a14:foregroundMark x1="88767" y1="43425" x2="89800" y2="49500"/>
                                  <a14:foregroundMark x1="89800" y1="49500" x2="89533" y2="50975"/>
                                  <a14:foregroundMark x1="90206" y1="49025" x2="90133" y2="50525"/>
                                  <a14:foregroundMark x1="90633" y1="40250" x2="90206" y2="49025"/>
                                  <a14:backgroundMark x1="92267" y1="43525" x2="92133" y2="44450"/>
                                  <a14:backgroundMark x1="91267" y1="43600" x2="91400" y2="52475"/>
                                  <a14:backgroundMark x1="90400" y1="52850" x2="90421" y2="51065"/>
                                  <a14:backgroundMark x1="90767" y1="51175" x2="90633" y2="49500"/>
                                  <a14:backgroundMark x1="90900" y1="49025" x2="90900" y2="49025"/>
                                  <a14:backgroundMark x1="91500" y1="46325" x2="91500" y2="46325"/>
                                  <a14:backgroundMark x1="91633" y1="48925" x2="91400" y2="45300"/>
                                  <a14:backgroundMark x1="91000" y1="49775" x2="91067" y2="43775"/>
                                  <a14:backgroundMark x1="91067" y1="43775" x2="90900" y2="43525"/>
                                </a14:backgroundRemoval>
                              </a14:imgEffect>
                            </a14:imgLayer>
                          </a14:imgProps>
                        </a:ext>
                        <a:ext uri="{28A0092B-C50C-407E-A947-70E740481C1C}">
                          <a14:useLocalDpi xmlns:a14="http://schemas.microsoft.com/office/drawing/2010/main" val="0"/>
                        </a:ext>
                      </a:extLst>
                    </a:blip>
                    <a:srcRect l="4262" t="36021" r="7485" b="24011"/>
                    <a:stretch>
                      <a:fillRect/>
                    </a:stretch>
                  </pic:blipFill>
                  <pic:spPr bwMode="auto">
                    <a:xfrm>
                      <a:off x="0" y="0"/>
                      <a:ext cx="2175510" cy="1313815"/>
                    </a:xfrm>
                    <a:prstGeom prst="rect">
                      <a:avLst/>
                    </a:prstGeom>
                    <a:noFill/>
                    <a:ln>
                      <a:noFill/>
                    </a:ln>
                    <a:extLst>
                      <a:ext uri="{53640926-AAD7-44D8-BBD7-CCE9431645EC}">
                        <a14:shadowObscured xmlns:a14="http://schemas.microsoft.com/office/drawing/2010/main"/>
                      </a:ext>
                    </a:extLst>
                  </pic:spPr>
                </pic:pic>
              </a:graphicData>
            </a:graphic>
          </wp:anchor>
        </w:drawing>
      </w:r>
      <w:r w:rsidR="00895BFB" w:rsidRPr="000F38BD">
        <w:rPr>
          <w:rFonts w:ascii="Times New Roman" w:hAnsi="Times New Roman"/>
          <w:noProof/>
          <w:lang w:val="it-IT" w:eastAsia="it-IT"/>
        </w:rPr>
        <w:drawing>
          <wp:inline distT="0" distB="0" distL="0" distR="0" wp14:anchorId="0D76B7C8" wp14:editId="1E753E23">
            <wp:extent cx="2082800" cy="1327682"/>
            <wp:effectExtent l="0" t="0" r="0" b="6350"/>
            <wp:docPr id="971872889" name="Immagine 1" descr="Immagine che contiene testo, schermata, elettronica,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2889" name="Immagine 1" descr="Immagine che contiene testo, schermata, elettronica, cerchio&#10;&#10;Il contenuto generato dall'IA potrebbe non essere corretto."/>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4000" b="77767" l="5000" r="95200">
                                  <a14:foregroundMark x1="8725" y1="6000" x2="8100" y2="71667"/>
                                  <a14:foregroundMark x1="8100" y1="71667" x2="16032" y2="75957"/>
                                  <a14:foregroundMark x1="25868" y1="76298" x2="28625" y2="76067"/>
                                  <a14:foregroundMark x1="28625" y1="76067" x2="33796" y2="76415"/>
                                  <a14:foregroundMark x1="84568" y1="75778" x2="85218" y2="75853"/>
                                  <a14:foregroundMark x1="96897" y1="64883" x2="97375" y2="63800"/>
                                  <a14:foregroundMark x1="96403" y1="66003" x2="96587" y2="65585"/>
                                  <a14:foregroundMark x1="92739" y1="74303" x2="95383" y2="68312"/>
                                  <a14:foregroundMark x1="94752" y1="34589" x2="92325" y2="7567"/>
                                  <a14:foregroundMark x1="96508" y1="54145" x2="96094" y2="49541"/>
                                  <a14:foregroundMark x1="97375" y1="63800" x2="96849" y2="57942"/>
                                  <a14:foregroundMark x1="85123" y1="3081" x2="84725" y2="2833"/>
                                  <a14:foregroundMark x1="92325" y1="7567" x2="85730" y2="3459"/>
                                  <a14:foregroundMark x1="48907" y1="3429" x2="17687" y2="3949"/>
                                  <a14:foregroundMark x1="65986" y1="3144" x2="65038" y2="3160"/>
                                  <a14:foregroundMark x1="84218" y1="2841" x2="78517" y2="2936"/>
                                  <a14:foregroundMark x1="11958" y1="4401" x2="7125" y2="7067"/>
                                  <a14:foregroundMark x1="88325" y1="5467" x2="94320" y2="11542"/>
                                  <a14:foregroundMark x1="97027" y1="24449" x2="97800" y2="31767"/>
                                  <a14:foregroundMark x1="94837" y1="39122" x2="93650" y2="42067"/>
                                  <a14:foregroundMark x1="97800" y1="31767" x2="95852" y2="36602"/>
                                  <a14:foregroundMark x1="93650" y1="42067" x2="92850" y2="71200"/>
                                  <a14:foregroundMark x1="82701" y1="75846" x2="82000" y2="76167"/>
                                  <a14:foregroundMark x1="92850" y1="71200" x2="85501" y2="74564"/>
                                  <a14:foregroundMark x1="80453" y1="74746" x2="72600" y2="67533"/>
                                  <a14:foregroundMark x1="82000" y1="76167" x2="81690" y2="75882"/>
                                  <a14:foregroundMark x1="72600" y1="67533" x2="72600" y2="67533"/>
                                  <a14:foregroundMark x1="69150" y1="4933" x2="71804" y2="4778"/>
                                  <a14:foregroundMark x1="83699" y1="4342" x2="92700" y2="5467"/>
                                  <a14:foregroundMark x1="92700" y1="5467" x2="94295" y2="10230"/>
                                  <a14:foregroundMark x1="97152" y1="24802" x2="99575" y2="62733"/>
                                  <a14:foregroundMark x1="96627" y1="71294" x2="96508" y2="71640"/>
                                  <a14:foregroundMark x1="99575" y1="62733" x2="96935" y2="70399"/>
                                  <a14:foregroundMark x1="94254" y1="75567" x2="92322" y2="75964"/>
                                  <a14:foregroundMark x1="8975" y1="74767" x2="17350" y2="76333"/>
                                  <a14:foregroundMark x1="38547" y1="75750" x2="46425" y2="75533"/>
                                  <a14:foregroundMark x1="17350" y1="76333" x2="34038" y2="75874"/>
                                  <a14:foregroundMark x1="70789" y1="76047" x2="84325" y2="76333"/>
                                  <a14:foregroundMark x1="46425" y1="75533" x2="61691" y2="75855"/>
                                  <a14:foregroundMark x1="84325" y1="76333" x2="93225" y2="75867"/>
                                  <a14:foregroundMark x1="93225" y1="75867" x2="94675" y2="74067"/>
                                  <a14:foregroundMark x1="10425" y1="4933" x2="35850" y2="4300"/>
                                  <a14:foregroundMark x1="35850" y1="4300" x2="48375" y2="5700"/>
                                  <a14:foregroundMark x1="48375" y1="5700" x2="68875" y2="3867"/>
                                  <a14:foregroundMark x1="68875" y1="3867" x2="87850" y2="5133"/>
                                  <a14:foregroundMark x1="87850" y1="5133" x2="94969" y2="10957"/>
                                  <a14:foregroundMark x1="95316" y1="17887" x2="93213" y2="76016"/>
                                  <a14:foregroundMark x1="95550" y1="11433" x2="95327" y2="17595"/>
                                  <a14:foregroundMark x1="35231" y1="75336" x2="7189" y2="74159"/>
                                  <a14:foregroundMark x1="61400" y1="76434" x2="38668" y2="75480"/>
                                  <a14:foregroundMark x1="50250" y1="75633" x2="62425" y2="75300"/>
                                  <a14:foregroundMark x1="70679" y1="75838" x2="81190" y2="76523"/>
                                  <a14:foregroundMark x1="62425" y1="75300" x2="67050" y2="75601"/>
                                  <a14:foregroundMark x1="74300" y1="74933" x2="92825" y2="75467"/>
                                  <a14:foregroundMark x1="83575" y1="75467" x2="86448" y2="76330"/>
                                  <a14:backgroundMark x1="45225" y1="78100" x2="50775" y2="78300"/>
                                  <a14:backgroundMark x1="50652" y1="76572" x2="38345" y2="76348"/>
                                  <a14:backgroundMark x1="93769" y1="75358" x2="94550" y2="75300"/>
                                  <a14:backgroundMark x1="95270" y1="33884" x2="96025" y2="74200"/>
                                  <a14:backgroundMark x1="94854" y1="11674" x2="94907" y2="14498"/>
                                  <a14:backgroundMark x1="94800" y1="8800" x2="94823" y2="10028"/>
                                  <a14:backgroundMark x1="92915" y1="78346" x2="92700" y2="78633"/>
                                  <a14:backgroundMark x1="96025" y1="74200" x2="93227" y2="77931"/>
                                  <a14:backgroundMark x1="52625" y1="3167" x2="61700" y2="533"/>
                                  <a14:backgroundMark x1="61700" y1="533" x2="83975" y2="3367"/>
                                  <a14:backgroundMark x1="83975" y1="3367" x2="87125" y2="3167"/>
                                  <a14:backgroundMark x1="11350" y1="3867" x2="35000" y2="2000"/>
                                  <a14:backgroundMark x1="35000" y1="2000" x2="64095" y2="3714"/>
                                  <a14:backgroundMark x1="79947" y1="3994" x2="85650" y2="3633"/>
                                  <a14:backgroundMark x1="85650" y1="3633" x2="87275" y2="3700"/>
                                  <a14:backgroundMark x1="22450" y1="76785" x2="40175" y2="77400"/>
                                  <a14:backgroundMark x1="94370" y1="74835" x2="96250" y2="74767"/>
                                  <a14:backgroundMark x1="38075" y1="76867" x2="48611" y2="76487"/>
                                  <a14:backgroundMark x1="96800" y1="73533" x2="96650" y2="52000"/>
                                  <a14:backgroundMark x1="7400" y1="6700" x2="7400" y2="6700"/>
                                  <a14:backgroundMark x1="65975" y1="3167" x2="75550" y2="2800"/>
                                  <a14:backgroundMark x1="75550" y1="2800" x2="78400" y2="3167"/>
                                  <a14:backgroundMark x1="96250" y1="12533" x2="96925" y2="34900"/>
                                  <a14:backgroundMark x1="91184" y1="77094" x2="91625" y2="77033"/>
                                  <a14:backgroundMark x1="83950" y1="78100" x2="84668" y2="78000"/>
                                  <a14:backgroundMark x1="76825" y1="77233" x2="91625" y2="78800"/>
                                  <a14:backgroundMark x1="94150" y1="77233" x2="71525" y2="77033"/>
                                  <a14:backgroundMark x1="94275" y1="77233" x2="88850" y2="77933"/>
                                  <a14:backgroundMark x1="5275" y1="74767" x2="5275" y2="74767"/>
                                  <a14:backgroundMark x1="3950" y1="74767" x2="7000" y2="74567"/>
                                  <a14:backgroundMark x1="44150" y1="77767" x2="53400" y2="77700"/>
                                  <a14:backgroundMark x1="53400" y1="77700" x2="54475" y2="77033"/>
                                  <a14:backgroundMark x1="72325" y1="77767" x2="69150" y2="77767"/>
                                  <a14:backgroundMark x1="71125" y1="77400" x2="64775" y2="77400"/>
                                  <a14:backgroundMark x1="86350" y1="77233" x2="93625" y2="77933"/>
                                  <a14:backgroundMark x1="92425" y1="76167" x2="87125" y2="76867"/>
                                  <a14:backgroundMark x1="92425" y1="77233" x2="94550" y2="75100"/>
                                  <a14:backgroundMark x1="96000" y1="12000" x2="96125" y2="21167"/>
                                  <a14:backgroundMark x1="96125" y1="11300" x2="96125" y2="11300"/>
                                  <a14:backgroundMark x1="95075" y1="10933" x2="96800" y2="24500"/>
                                  <a14:backgroundMark x1="96250" y1="22200" x2="94675" y2="14633"/>
                                  <a14:backgroundMark x1="33429" y1="77233" x2="38184" y2="76561"/>
                                  <a14:backgroundMark x1="61095" y1="77041" x2="66499" y2="77618"/>
                                  <a14:backgroundMark x1="71110" y1="76657" x2="67147" y2="77426"/>
                                </a14:backgroundRemoval>
                              </a14:imgEffect>
                            </a14:imgLayer>
                          </a14:imgProps>
                        </a:ext>
                        <a:ext uri="{28A0092B-C50C-407E-A947-70E740481C1C}">
                          <a14:useLocalDpi xmlns:a14="http://schemas.microsoft.com/office/drawing/2010/main" val="0"/>
                        </a:ext>
                      </a:extLst>
                    </a:blip>
                    <a:srcRect l="2365" t="1" r="3880" b="20320"/>
                    <a:stretch>
                      <a:fillRect/>
                    </a:stretch>
                  </pic:blipFill>
                  <pic:spPr bwMode="auto">
                    <a:xfrm>
                      <a:off x="0" y="0"/>
                      <a:ext cx="2082800" cy="1327682"/>
                    </a:xfrm>
                    <a:prstGeom prst="rect">
                      <a:avLst/>
                    </a:prstGeom>
                    <a:noFill/>
                    <a:ln>
                      <a:noFill/>
                    </a:ln>
                    <a:extLst>
                      <a:ext uri="{53640926-AAD7-44D8-BBD7-CCE9431645EC}">
                        <a14:shadowObscured xmlns:a14="http://schemas.microsoft.com/office/drawing/2010/main"/>
                      </a:ext>
                    </a:extLst>
                  </pic:spPr>
                </pic:pic>
              </a:graphicData>
            </a:graphic>
          </wp:inline>
        </w:drawing>
      </w:r>
    </w:p>
    <w:p w14:paraId="0189C16B" w14:textId="73042DFB" w:rsidR="00895BFB" w:rsidRDefault="00EE42C3" w:rsidP="00895BFB">
      <w:pPr>
        <w:pStyle w:val="CETCaption"/>
        <w:jc w:val="left"/>
      </w:pPr>
      <w:r>
        <w:rPr>
          <w:noProof/>
          <w:lang w:val="it-IT" w:eastAsia="it-IT"/>
        </w:rPr>
        <mc:AlternateContent>
          <mc:Choice Requires="wps">
            <w:drawing>
              <wp:anchor distT="0" distB="0" distL="114300" distR="114300" simplePos="0" relativeHeight="251658752" behindDoc="0" locked="0" layoutInCell="1" allowOverlap="1" wp14:anchorId="1D0AA0DA" wp14:editId="08FA7186">
                <wp:simplePos x="0" y="0"/>
                <wp:positionH relativeFrom="column">
                  <wp:posOffset>3317240</wp:posOffset>
                </wp:positionH>
                <wp:positionV relativeFrom="paragraph">
                  <wp:posOffset>2540</wp:posOffset>
                </wp:positionV>
                <wp:extent cx="2175510" cy="618490"/>
                <wp:effectExtent l="0" t="0" r="0" b="0"/>
                <wp:wrapNone/>
                <wp:docPr id="1925053503" name="Casella di testo 1"/>
                <wp:cNvGraphicFramePr/>
                <a:graphic xmlns:a="http://schemas.openxmlformats.org/drawingml/2006/main">
                  <a:graphicData uri="http://schemas.microsoft.com/office/word/2010/wordprocessingShape">
                    <wps:wsp>
                      <wps:cNvSpPr txBox="1"/>
                      <wps:spPr>
                        <a:xfrm>
                          <a:off x="0" y="0"/>
                          <a:ext cx="2175510" cy="618490"/>
                        </a:xfrm>
                        <a:prstGeom prst="rect">
                          <a:avLst/>
                        </a:prstGeom>
                        <a:solidFill>
                          <a:prstClr val="white"/>
                        </a:solidFill>
                        <a:ln>
                          <a:noFill/>
                        </a:ln>
                      </wps:spPr>
                      <wps:txbx>
                        <w:txbxContent>
                          <w:p w14:paraId="48F839F4" w14:textId="1CE6BA2D" w:rsidR="00895BFB" w:rsidRPr="00F30CF9" w:rsidRDefault="00895BFB" w:rsidP="00895BFB">
                            <w:pPr>
                              <w:pStyle w:val="CETCaption"/>
                              <w:rPr>
                                <w:rFonts w:ascii="Times New Roman" w:hAnsi="Times New Roman"/>
                                <w:noProof/>
                                <w:lang w:val="en-US"/>
                              </w:rPr>
                            </w:pPr>
                            <w:r>
                              <w:t xml:space="preserve">Figure </w:t>
                            </w:r>
                            <w:r>
                              <w:fldChar w:fldCharType="begin"/>
                            </w:r>
                            <w:r>
                              <w:instrText xml:space="preserve"> SEQ Figure \* ARABIC </w:instrText>
                            </w:r>
                            <w:r>
                              <w:fldChar w:fldCharType="separate"/>
                            </w:r>
                            <w:r w:rsidR="00C36222">
                              <w:rPr>
                                <w:noProof/>
                              </w:rPr>
                              <w:t>1</w:t>
                            </w:r>
                            <w:r>
                              <w:fldChar w:fldCharType="end"/>
                            </w:r>
                            <w:r>
                              <w:t>b:</w:t>
                            </w:r>
                            <w:r w:rsidR="007C4224">
                              <w:t xml:space="preserve"> </w:t>
                            </w:r>
                            <w:r w:rsidRPr="00895BFB">
                              <w:t>Bottom panel of the custom-built experimental setup for four-point probe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AA0DA" id="_x0000_s1027" type="#_x0000_t202" style="position:absolute;margin-left:261.2pt;margin-top:.2pt;width:171.3pt;height:48.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" stroked="f">
                <v:textbox inset="0,0,0,0">
                  <w:txbxContent>
                    <w:p w14:paraId="48F839F4" w14:textId="1CE6BA2D" w:rsidR="00895BFB" w:rsidRPr="00F30CF9" w:rsidRDefault="00895BFB" w:rsidP="00895BFB">
                      <w:pPr>
                        <w:pStyle w:val="CETCaption"/>
                        <w:rPr>
                          <w:rFonts w:ascii="Times New Roman" w:hAnsi="Times New Roman"/>
                          <w:noProof/>
                          <w:lang w:val="en-US"/>
                        </w:rPr>
                      </w:pPr>
                      <w:r>
                        <w:t xml:space="preserve">Figure </w:t>
                      </w:r>
                      <w:r>
                        <w:fldChar w:fldCharType="begin"/>
                      </w:r>
                      <w:r>
                        <w:instrText xml:space="preserve"> SEQ Figure \* ARABIC </w:instrText>
                      </w:r>
                      <w:r>
                        <w:fldChar w:fldCharType="separate"/>
                      </w:r>
                      <w:r w:rsidR="00C36222">
                        <w:rPr>
                          <w:noProof/>
                        </w:rPr>
                        <w:t>1</w:t>
                      </w:r>
                      <w:r>
                        <w:fldChar w:fldCharType="end"/>
                      </w:r>
                      <w:r>
                        <w:t>b:</w:t>
                      </w:r>
                      <w:r w:rsidR="007C4224">
                        <w:t xml:space="preserve"> </w:t>
                      </w:r>
                      <w:r w:rsidRPr="00895BFB">
                        <w:t>Bottom panel of the custom-built experimental setup for four-point probe measurements.</w:t>
                      </w:r>
                    </w:p>
                  </w:txbxContent>
                </v:textbox>
              </v:shape>
            </w:pict>
          </mc:Fallback>
        </mc:AlternateContent>
      </w:r>
    </w:p>
    <w:p w14:paraId="1CCDDFA5" w14:textId="77777777" w:rsidR="00895BFB" w:rsidRDefault="00895BFB" w:rsidP="00895BFB">
      <w:pPr>
        <w:pStyle w:val="CETCaption"/>
      </w:pPr>
    </w:p>
    <w:p w14:paraId="21097225" w14:textId="7864BA3E" w:rsidR="00AB7941" w:rsidRDefault="00AB7941" w:rsidP="00AB7941">
      <w:pPr>
        <w:pStyle w:val="CETBodytext"/>
      </w:pPr>
      <w:r>
        <w:t>•</w:t>
      </w:r>
      <w:r>
        <w:tab/>
        <w:t>Spring-loaded “pogo pin” type terminals: the contact terminals allow partial axial displacement. This configuration ensures constant and controlled contact pressure, providing</w:t>
      </w:r>
      <w:r w:rsidR="00DA4FA3">
        <w:t xml:space="preserve"> a</w:t>
      </w:r>
      <w:r>
        <w:t xml:space="preserve"> reliable electrical connection even on flat and fragile surfaces such as glass</w:t>
      </w:r>
      <w:r w:rsidR="00FB71C8">
        <w:t xml:space="preserve">. </w:t>
      </w:r>
    </w:p>
    <w:p w14:paraId="026CB313" w14:textId="77777777" w:rsidR="00AB7941" w:rsidRDefault="00AB7941" w:rsidP="00AB7941">
      <w:pPr>
        <w:pStyle w:val="CETBodytext"/>
      </w:pPr>
      <w:r>
        <w:t>•</w:t>
      </w:r>
      <w:r>
        <w:tab/>
        <w:t>Fixing pins/screws: these components allow the vertical distance between the two panels to be finely adjusted. This ensures optimal mechanical stability and uniform pressure over the contact area, regardless of the sample’s thickness.</w:t>
      </w:r>
    </w:p>
    <w:p w14:paraId="1F1E8F86" w14:textId="77777777" w:rsidR="001159F4" w:rsidRDefault="00610838" w:rsidP="00AB7941">
      <w:pPr>
        <w:pStyle w:val="CETBodytext"/>
      </w:pPr>
      <w:r w:rsidRPr="00610838">
        <w:rPr>
          <w:lang w:val="en-GB"/>
        </w:rPr>
        <w:t>The modular and adjustable setup enables reproducible and accurate measurements on thin films, adapting to substrates of various dimensions and material properties, including both rigid and flexible supports</w:t>
      </w:r>
      <w:r>
        <w:rPr>
          <w:lang w:val="en-GB"/>
        </w:rPr>
        <w:t>.</w:t>
      </w:r>
    </w:p>
    <w:p w14:paraId="34BEE045" w14:textId="7E8251C3" w:rsidR="00A25FDE" w:rsidRPr="00AD0949" w:rsidRDefault="006107D6" w:rsidP="00AD0949">
      <w:pPr>
        <w:pStyle w:val="CETBodytext"/>
        <w:keepNext/>
        <w:jc w:val="left"/>
      </w:pPr>
      <w:r w:rsidRPr="000F38BD">
        <w:rPr>
          <w:rFonts w:ascii="Times New Roman" w:hAnsi="Times New Roman"/>
          <w:noProof/>
          <w:lang w:val="it-IT" w:eastAsia="it-IT"/>
        </w:rPr>
        <w:lastRenderedPageBreak/>
        <w:drawing>
          <wp:inline distT="0" distB="0" distL="0" distR="0" wp14:anchorId="4293BD83" wp14:editId="38DA35BD">
            <wp:extent cx="4219449" cy="1733660"/>
            <wp:effectExtent l="0" t="0" r="0" b="0"/>
            <wp:docPr id="1472675177" name="Immagine 3" descr="Immagine che contiene terreno,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75177" name="Immagine 3" descr="Immagine che contiene terreno, interno&#10;&#10;Il contenuto generato dall'IA potrebbe non essere corretto."/>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3000"/>
                              </a14:imgEffect>
                            </a14:imgLayer>
                          </a14:imgProps>
                        </a:ext>
                        <a:ext uri="{28A0092B-C50C-407E-A947-70E740481C1C}">
                          <a14:useLocalDpi xmlns:a14="http://schemas.microsoft.com/office/drawing/2010/main" val="0"/>
                        </a:ext>
                      </a:extLst>
                    </a:blip>
                    <a:srcRect t="25562" b="43623"/>
                    <a:stretch>
                      <a:fillRect/>
                    </a:stretch>
                  </pic:blipFill>
                  <pic:spPr bwMode="auto">
                    <a:xfrm>
                      <a:off x="0" y="0"/>
                      <a:ext cx="4234094" cy="1739677"/>
                    </a:xfrm>
                    <a:prstGeom prst="rect">
                      <a:avLst/>
                    </a:prstGeom>
                    <a:noFill/>
                    <a:ln>
                      <a:noFill/>
                    </a:ln>
                    <a:extLst>
                      <a:ext uri="{53640926-AAD7-44D8-BBD7-CCE9431645EC}">
                        <a14:shadowObscured xmlns:a14="http://schemas.microsoft.com/office/drawing/2010/main"/>
                      </a:ext>
                    </a:extLst>
                  </pic:spPr>
                </pic:pic>
              </a:graphicData>
            </a:graphic>
          </wp:inline>
        </w:drawing>
      </w:r>
    </w:p>
    <w:p w14:paraId="02D9AAAC" w14:textId="226EB070" w:rsidR="00C37B2B" w:rsidRPr="00C37B2B" w:rsidRDefault="006107D6" w:rsidP="00FD5B1E">
      <w:pPr>
        <w:pStyle w:val="CETCaption"/>
        <w:jc w:val="left"/>
        <w:rPr>
          <w:lang w:val="en-US"/>
        </w:rPr>
      </w:pPr>
      <w:r>
        <w:t>Figure 2</w:t>
      </w:r>
      <w:r w:rsidR="00C36222">
        <w:t>:</w:t>
      </w:r>
      <w:r w:rsidRPr="006107D6">
        <w:rPr>
          <w:lang w:val="en-US"/>
        </w:rPr>
        <w:t xml:space="preserve"> </w:t>
      </w:r>
      <w:r w:rsidRPr="000F38BD">
        <w:rPr>
          <w:lang w:val="en-US"/>
        </w:rPr>
        <w:t>Complete view of the custom-built four-point probe setup for sheet resistance measurements</w:t>
      </w:r>
    </w:p>
    <w:p w14:paraId="73753A75" w14:textId="6CDCB6A2" w:rsidR="001500F2" w:rsidRDefault="001500F2" w:rsidP="001500F2">
      <w:pPr>
        <w:pStyle w:val="CETheadingx"/>
      </w:pPr>
      <w:r w:rsidRPr="001500F2">
        <w:t xml:space="preserve">Electrical conductivity characterization </w:t>
      </w:r>
    </w:p>
    <w:p w14:paraId="5F010775" w14:textId="57CFC3E8" w:rsidR="004A7B77" w:rsidRDefault="001500F2" w:rsidP="001500F2">
      <w:pPr>
        <w:pStyle w:val="CETBodytext"/>
      </w:pPr>
      <w:r>
        <w:t>To evaluate the sheet resistance R</w:t>
      </w:r>
      <w:r w:rsidRPr="001500F2">
        <w:rPr>
          <w:vertAlign w:val="subscript"/>
        </w:rPr>
        <w:t>S</w:t>
      </w:r>
      <w:r>
        <w:t xml:space="preserve"> of the polymeric films, the van der Pauw method </w:t>
      </w:r>
      <w:r w:rsidR="004E515E">
        <w:fldChar w:fldCharType="begin"/>
      </w:r>
      <w:r w:rsidR="004E515E">
        <w:instrText xml:space="preserve"> ADDIN ZOTERO_ITEM CSL_CITATION {"citationID":"3rpcwhLz","properties":{"formattedCitation":"(Sun et al., 1996)","plainCitation":"(Sun et al., 1996)","noteIndex":0},"citationItems":[{"id":98,"uris":["http://zotero.org/users/local/X9euHdDl/items/KTMXZ5UA"],"itemData":{"id":98,"type":"article-journal","abstract":"The sheet resistance of a cross microarea with a size as small as was determined by using a modified van der Pauw method, in which the tip positions of four probes were controlled at the peripheral areas outside a demarcation curve, as shown in the text, by direct inspection through a microscope with a magnification of . It is not necessary to prepare four metallized electrodes for setting probes. The measurement results are independent of the wanderings of probes and it is unnecessary to determine the precise positions of probes in order to make corrections for the boundary effect. These conclusions have been proved in this paper by using the finite element method (FEM) and have been confirmed by the experimental determination of sheet resistance for several boron-doped cross microareas isolated by p - n junctions on an n-type silicon wafer.","container-title":"Semiconductor Science and Technology","DOI":"10.1088/0268-1242/11/5/025","ISSN":"0268-1242","issue":"5","journalAbbreviation":"Semicond. Sci. Technol.","language":"en","page":"805","source":"Institute of Physics","title":"Measurement of sheet resistance of cross microareas using a modified van der Pauw method","volume":"11","author":[{"family":"Sun","given":"Yicai"},{"family":"Shi","given":"Junsheng"},{"family":"Meng","given":"Qinghao"}],"issued":{"date-parts":[["1996",5]]}}}],"schema":"https://github.com/citation-style-language/schema/raw/master/csl-citation.json"} </w:instrText>
      </w:r>
      <w:r w:rsidR="004E515E">
        <w:fldChar w:fldCharType="separate"/>
      </w:r>
      <w:r w:rsidR="004E515E" w:rsidRPr="004E515E">
        <w:rPr>
          <w:rFonts w:cs="Arial"/>
        </w:rPr>
        <w:t>(Sun et al., 1996)</w:t>
      </w:r>
      <w:r w:rsidR="004E515E">
        <w:fldChar w:fldCharType="end"/>
      </w:r>
      <w:r w:rsidR="004B3789">
        <w:t xml:space="preserve">  </w:t>
      </w:r>
      <w:r>
        <w:t xml:space="preserve">was employed using the custom-built four-point probe system described in the previous section. </w:t>
      </w:r>
    </w:p>
    <w:p w14:paraId="7350A0A0" w14:textId="0AA02D8E" w:rsidR="001500F2" w:rsidRDefault="00354C20" w:rsidP="001500F2">
      <w:pPr>
        <w:pStyle w:val="CETBodytext"/>
      </w:pPr>
      <w:r w:rsidRPr="00354C20">
        <w:rPr>
          <w:lang w:val="en-GB"/>
        </w:rPr>
        <w:t>A constant current of 1 mA was applied to two selected terminals of the sample using an AIM TT</w:t>
      </w:r>
      <w:r w:rsidR="00BA5216">
        <w:rPr>
          <w:lang w:val="en-GB"/>
        </w:rPr>
        <w:t>I</w:t>
      </w:r>
      <w:r w:rsidRPr="00354C20">
        <w:rPr>
          <w:lang w:val="en-GB"/>
        </w:rPr>
        <w:t xml:space="preserve"> </w:t>
      </w:r>
      <w:r w:rsidR="00BA5216">
        <w:rPr>
          <w:lang w:val="en-GB"/>
        </w:rPr>
        <w:t xml:space="preserve">EXT52M </w:t>
      </w:r>
      <w:r w:rsidRPr="00354C20">
        <w:rPr>
          <w:lang w:val="en-GB"/>
        </w:rPr>
        <w:t xml:space="preserve">laboratory DC power supply. The corresponding voltage drop across the opposite pair of terminals was measured using a Fluke 8846A benchtop </w:t>
      </w:r>
      <w:proofErr w:type="spellStart"/>
      <w:r w:rsidRPr="00354C20">
        <w:rPr>
          <w:lang w:val="en-GB"/>
        </w:rPr>
        <w:t>multimeter</w:t>
      </w:r>
      <w:proofErr w:type="spellEnd"/>
      <w:r w:rsidRPr="00354C20">
        <w:rPr>
          <w:lang w:val="en-GB"/>
        </w:rPr>
        <w:t xml:space="preserve">. </w:t>
      </w:r>
    </w:p>
    <w:p w14:paraId="177C5877" w14:textId="7670EAB4" w:rsidR="00BA5216" w:rsidRDefault="00667C66" w:rsidP="00AB7941">
      <w:pPr>
        <w:pStyle w:val="CETBodytext"/>
        <w:rPr>
          <w:lang w:val="en-GB"/>
        </w:rPr>
      </w:pPr>
      <w:r w:rsidRPr="00667C66">
        <w:rPr>
          <w:lang w:val="en-GB"/>
        </w:rPr>
        <w:t xml:space="preserve">The measurement protocol involves sequential </w:t>
      </w:r>
      <w:r w:rsidR="00BA5216">
        <w:rPr>
          <w:lang w:val="en-GB"/>
        </w:rPr>
        <w:t xml:space="preserve">injection </w:t>
      </w:r>
      <w:r w:rsidRPr="00667C66">
        <w:rPr>
          <w:lang w:val="en-GB"/>
        </w:rPr>
        <w:t>of current and sensing of voltage across distinct pairs of contacts among the four terminals positioned at the sample edges. Specifically, two r</w:t>
      </w:r>
      <w:r w:rsidR="00BA5216">
        <w:rPr>
          <w:lang w:val="en-GB"/>
        </w:rPr>
        <w:t>e</w:t>
      </w:r>
      <w:r w:rsidRPr="00667C66">
        <w:rPr>
          <w:lang w:val="en-GB"/>
        </w:rPr>
        <w:t xml:space="preserve">sistance values were measured as defined by Eq. (1) and Eq. (2): in the first configuration, current is applied between terminals 1 and 2 </w:t>
      </w:r>
      <w:r w:rsidR="00354C20">
        <w:rPr>
          <w:lang w:val="en-GB"/>
        </w:rPr>
        <w:t>(I</w:t>
      </w:r>
      <w:r w:rsidR="00354C20" w:rsidRPr="00354C20">
        <w:rPr>
          <w:vertAlign w:val="subscript"/>
          <w:lang w:val="en-GB"/>
        </w:rPr>
        <w:t>12</w:t>
      </w:r>
      <w:r w:rsidR="00354C20">
        <w:rPr>
          <w:lang w:val="en-GB"/>
        </w:rPr>
        <w:t xml:space="preserve">) </w:t>
      </w:r>
      <w:r w:rsidRPr="00667C66">
        <w:rPr>
          <w:lang w:val="en-GB"/>
        </w:rPr>
        <w:t>while the voltage drop is measured between terminals 3 and 4</w:t>
      </w:r>
      <w:r w:rsidR="00354C20">
        <w:rPr>
          <w:lang w:val="en-GB"/>
        </w:rPr>
        <w:t xml:space="preserve"> (V</w:t>
      </w:r>
      <w:r w:rsidR="00354C20" w:rsidRPr="00354C20">
        <w:rPr>
          <w:vertAlign w:val="subscript"/>
          <w:lang w:val="en-GB"/>
        </w:rPr>
        <w:t>34</w:t>
      </w:r>
      <w:r w:rsidR="00354C20">
        <w:rPr>
          <w:lang w:val="en-GB"/>
        </w:rPr>
        <w:t>)</w:t>
      </w:r>
      <w:r w:rsidR="00BA5216">
        <w:rPr>
          <w:lang w:val="en-GB"/>
        </w:rPr>
        <w:t xml:space="preserve"> (Figure 3a)</w:t>
      </w:r>
      <w:r w:rsidRPr="00667C66">
        <w:rPr>
          <w:lang w:val="en-GB"/>
        </w:rPr>
        <w:t>; in the second configuration, current is applied between terminals 2 and 3</w:t>
      </w:r>
      <w:r w:rsidR="007545CA">
        <w:rPr>
          <w:lang w:val="en-GB"/>
        </w:rPr>
        <w:t xml:space="preserve"> (I</w:t>
      </w:r>
      <w:r w:rsidR="007545CA" w:rsidRPr="007545CA">
        <w:rPr>
          <w:vertAlign w:val="subscript"/>
          <w:lang w:val="en-GB"/>
        </w:rPr>
        <w:t>23</w:t>
      </w:r>
      <w:r w:rsidR="007545CA">
        <w:rPr>
          <w:lang w:val="en-GB"/>
        </w:rPr>
        <w:t>)</w:t>
      </w:r>
      <w:r w:rsidRPr="00667C66">
        <w:rPr>
          <w:lang w:val="en-GB"/>
        </w:rPr>
        <w:t xml:space="preserve"> with the corresponding voltage measured across terminals 4 and 1</w:t>
      </w:r>
      <w:r w:rsidR="007545CA">
        <w:rPr>
          <w:lang w:val="en-GB"/>
        </w:rPr>
        <w:t xml:space="preserve"> (V</w:t>
      </w:r>
      <w:r w:rsidR="007545CA" w:rsidRPr="007545CA">
        <w:rPr>
          <w:vertAlign w:val="subscript"/>
          <w:lang w:val="en-GB"/>
        </w:rPr>
        <w:t>41</w:t>
      </w:r>
      <w:r w:rsidR="007545CA">
        <w:rPr>
          <w:lang w:val="en-GB"/>
        </w:rPr>
        <w:t>)</w:t>
      </w:r>
      <w:r w:rsidR="00BA5216">
        <w:rPr>
          <w:lang w:val="en-GB"/>
        </w:rPr>
        <w:t xml:space="preserve"> (Figure 3b)</w:t>
      </w:r>
      <w:r w:rsidRPr="00667C66">
        <w:rPr>
          <w:lang w:val="en-GB"/>
        </w:rPr>
        <w:t>.</w:t>
      </w:r>
    </w:p>
    <w:p w14:paraId="2E3764B6" w14:textId="1853C2D4" w:rsidR="00A25FDE" w:rsidRPr="004B6196" w:rsidRDefault="00A25FDE" w:rsidP="00A25FDE">
      <w:pPr>
        <w:pStyle w:val="CETBodytext"/>
        <w:keepNext/>
      </w:pPr>
    </w:p>
    <w:p w14:paraId="68A75438" w14:textId="60660EAA" w:rsidR="00C36222" w:rsidRPr="00A25FDE" w:rsidRDefault="006F3E14" w:rsidP="00C36222">
      <w:pPr>
        <w:pStyle w:val="CETBodytext"/>
        <w:keepNext/>
        <w:rPr>
          <w:lang w:val="it-IT"/>
        </w:rPr>
      </w:pPr>
      <w:r w:rsidRPr="00A25FDE">
        <w:rPr>
          <w:noProof/>
          <w:lang w:val="it-IT"/>
        </w:rPr>
        <w:drawing>
          <wp:anchor distT="0" distB="0" distL="114300" distR="114300" simplePos="0" relativeHeight="251665920" behindDoc="0" locked="0" layoutInCell="1" allowOverlap="1" wp14:anchorId="4AFEADAD" wp14:editId="2C65C423">
            <wp:simplePos x="0" y="0"/>
            <wp:positionH relativeFrom="margin">
              <wp:posOffset>3531704</wp:posOffset>
            </wp:positionH>
            <wp:positionV relativeFrom="paragraph">
              <wp:posOffset>57877</wp:posOffset>
            </wp:positionV>
            <wp:extent cx="2016676" cy="1699350"/>
            <wp:effectExtent l="0" t="0" r="3175" b="0"/>
            <wp:wrapNone/>
            <wp:docPr id="1216316578" name="Immagine 7" descr="Immagine che contiene testo, diagramma,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6578" name="Immagine 7" descr="Immagine che contiene testo, diagramma, schermata, Carattere&#10;&#10;Il contenuto generato dall'IA potrebbe non essere corretto."/>
                    <pic:cNvPicPr>
                      <a:picLocks noChangeAspect="1" noChangeArrowheads="1"/>
                    </pic:cNvPicPr>
                  </pic:nvPicPr>
                  <pic:blipFill rotWithShape="1">
                    <a:blip r:embed="rId16">
                      <a:extLst>
                        <a:ext uri="{28A0092B-C50C-407E-A947-70E740481C1C}">
                          <a14:useLocalDpi xmlns:a14="http://schemas.microsoft.com/office/drawing/2010/main" val="0"/>
                        </a:ext>
                      </a:extLst>
                    </a:blip>
                    <a:srcRect r="2057" b="9343"/>
                    <a:stretch>
                      <a:fillRect/>
                    </a:stretch>
                  </pic:blipFill>
                  <pic:spPr bwMode="auto">
                    <a:xfrm>
                      <a:off x="0" y="0"/>
                      <a:ext cx="2028357" cy="1709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D4C">
        <w:rPr>
          <w:noProof/>
        </w:rPr>
        <mc:AlternateContent>
          <mc:Choice Requires="wps">
            <w:drawing>
              <wp:anchor distT="0" distB="0" distL="114300" distR="114300" simplePos="0" relativeHeight="251664896" behindDoc="0" locked="0" layoutInCell="1" allowOverlap="1" wp14:anchorId="00DA5D8E" wp14:editId="0BD34786">
                <wp:simplePos x="0" y="0"/>
                <wp:positionH relativeFrom="margin">
                  <wp:align>right</wp:align>
                </wp:positionH>
                <wp:positionV relativeFrom="paragraph">
                  <wp:posOffset>1786573</wp:posOffset>
                </wp:positionV>
                <wp:extent cx="2019300" cy="471487"/>
                <wp:effectExtent l="0" t="0" r="0" b="5080"/>
                <wp:wrapNone/>
                <wp:docPr id="1561417107" name="Casella di testo 1"/>
                <wp:cNvGraphicFramePr/>
                <a:graphic xmlns:a="http://schemas.openxmlformats.org/drawingml/2006/main">
                  <a:graphicData uri="http://schemas.microsoft.com/office/word/2010/wordprocessingShape">
                    <wps:wsp>
                      <wps:cNvSpPr txBox="1"/>
                      <wps:spPr>
                        <a:xfrm>
                          <a:off x="0" y="0"/>
                          <a:ext cx="2019300" cy="471487"/>
                        </a:xfrm>
                        <a:prstGeom prst="rect">
                          <a:avLst/>
                        </a:prstGeom>
                        <a:solidFill>
                          <a:prstClr val="white"/>
                        </a:solidFill>
                        <a:ln>
                          <a:noFill/>
                        </a:ln>
                      </wps:spPr>
                      <wps:txbx>
                        <w:txbxContent>
                          <w:p w14:paraId="4BDB5429" w14:textId="702DFD9F" w:rsidR="00B37D4C" w:rsidRPr="00A25FDE" w:rsidRDefault="00C36222" w:rsidP="00B37D4C">
                            <w:pPr>
                              <w:pStyle w:val="CETCaption"/>
                              <w:spacing w:before="0" w:after="0"/>
                            </w:pPr>
                            <w:r w:rsidRPr="00A25FDE">
                              <w:t>Figure 3b:</w:t>
                            </w:r>
                            <w:r w:rsidR="00B37D4C" w:rsidRPr="00A25FDE">
                              <w:t xml:space="preserve"> Schematic representation</w:t>
                            </w:r>
                          </w:p>
                          <w:p w14:paraId="38388A3A" w14:textId="4273ED95" w:rsidR="00B37D4C" w:rsidRPr="00A25FDE" w:rsidRDefault="00B37D4C" w:rsidP="00B37D4C">
                            <w:pPr>
                              <w:pStyle w:val="CETCaption"/>
                              <w:spacing w:before="0" w:after="0"/>
                            </w:pPr>
                            <w:r w:rsidRPr="00A25FDE">
                              <w:t xml:space="preserve">of the experimental setup used for the </w:t>
                            </w:r>
                          </w:p>
                          <w:p w14:paraId="6C1BAB09" w14:textId="411C9AE9" w:rsidR="00B37D4C" w:rsidRPr="00B37D4C" w:rsidRDefault="00B37D4C" w:rsidP="00B37D4C">
                            <w:pPr>
                              <w:pStyle w:val="CETCaption"/>
                              <w:spacing w:before="0" w:after="0"/>
                              <w:rPr>
                                <w:vertAlign w:val="subscript"/>
                              </w:rPr>
                            </w:pPr>
                            <w:r w:rsidRPr="00A25FDE">
                              <w:t>R</w:t>
                            </w:r>
                            <w:r w:rsidRPr="00A25FDE">
                              <w:rPr>
                                <w:vertAlign w:val="subscript"/>
                              </w:rPr>
                              <w:t xml:space="preserve">23,41 </w:t>
                            </w:r>
                            <w:r w:rsidRPr="00A25FDE">
                              <w:t>measurements.</w:t>
                            </w:r>
                          </w:p>
                          <w:p w14:paraId="54A8CAC9" w14:textId="7C7D5B8C" w:rsidR="00C36222" w:rsidRPr="007021D4" w:rsidRDefault="00C36222" w:rsidP="00C36222">
                            <w:pPr>
                              <w:pStyle w:val="CET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A5D8E" id="_x0000_s1028" type="#_x0000_t202" style="position:absolute;left:0;text-align:left;margin-left:107.8pt;margin-top:140.7pt;width:159pt;height:37.1pt;z-index:251664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" stroked="f">
                <v:textbox inset="0,0,0,0">
                  <w:txbxContent>
                    <w:p w14:paraId="4BDB5429" w14:textId="702DFD9F" w:rsidR="00B37D4C" w:rsidRPr="00A25FDE" w:rsidRDefault="00C36222" w:rsidP="00B37D4C">
                      <w:pPr>
                        <w:pStyle w:val="CETCaption"/>
                        <w:spacing w:before="0" w:after="0"/>
                      </w:pPr>
                      <w:r w:rsidRPr="00A25FDE">
                        <w:t>Figure 3b:</w:t>
                      </w:r>
                      <w:r w:rsidR="00B37D4C" w:rsidRPr="00A25FDE">
                        <w:t xml:space="preserve"> Schematic representation</w:t>
                      </w:r>
                    </w:p>
                    <w:p w14:paraId="38388A3A" w14:textId="4273ED95" w:rsidR="00B37D4C" w:rsidRPr="00A25FDE" w:rsidRDefault="00B37D4C" w:rsidP="00B37D4C">
                      <w:pPr>
                        <w:pStyle w:val="CETCaption"/>
                        <w:spacing w:before="0" w:after="0"/>
                      </w:pPr>
                      <w:r w:rsidRPr="00A25FDE">
                        <w:t xml:space="preserve">of the experimental setup used for the </w:t>
                      </w:r>
                    </w:p>
                    <w:p w14:paraId="6C1BAB09" w14:textId="411C9AE9" w:rsidR="00B37D4C" w:rsidRPr="00B37D4C" w:rsidRDefault="00B37D4C" w:rsidP="00B37D4C">
                      <w:pPr>
                        <w:pStyle w:val="CETCaption"/>
                        <w:spacing w:before="0" w:after="0"/>
                        <w:rPr>
                          <w:vertAlign w:val="subscript"/>
                        </w:rPr>
                      </w:pPr>
                      <w:r w:rsidRPr="00A25FDE">
                        <w:t>R</w:t>
                      </w:r>
                      <w:r w:rsidRPr="00A25FDE">
                        <w:rPr>
                          <w:vertAlign w:val="subscript"/>
                        </w:rPr>
                        <w:t xml:space="preserve">23,41 </w:t>
                      </w:r>
                      <w:r w:rsidRPr="00A25FDE">
                        <w:t>measurements.</w:t>
                      </w:r>
                    </w:p>
                    <w:p w14:paraId="54A8CAC9" w14:textId="7C7D5B8C" w:rsidR="00C36222" w:rsidRPr="007021D4" w:rsidRDefault="00C36222" w:rsidP="00C36222">
                      <w:pPr>
                        <w:pStyle w:val="CETCaption"/>
                        <w:rPr>
                          <w:noProof/>
                          <w:lang w:val="en-US"/>
                        </w:rPr>
                      </w:pPr>
                    </w:p>
                  </w:txbxContent>
                </v:textbox>
                <w10:wrap anchorx="margin"/>
              </v:shape>
            </w:pict>
          </mc:Fallback>
        </mc:AlternateContent>
      </w:r>
      <w:r w:rsidR="00C36222">
        <w:rPr>
          <w:noProof/>
        </w:rPr>
        <w:drawing>
          <wp:inline distT="0" distB="0" distL="0" distR="0" wp14:anchorId="5783A12D" wp14:editId="6F13B76B">
            <wp:extent cx="1922400" cy="1771200"/>
            <wp:effectExtent l="0" t="0" r="1905" b="635"/>
            <wp:docPr id="433937370" name="Immagine 3" descr="Immagine che contiene testo, diagramma, Disegno tecnico,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7370" name="Immagine 3" descr="Immagine che contiene testo, diagramma, Disegno tecnico, Piano&#10;&#10;Il contenuto generato dall'IA potrebbe non essere corretto."/>
                    <pic:cNvPicPr>
                      <a:picLocks noChangeAspect="1" noChangeArrowheads="1"/>
                    </pic:cNvPicPr>
                  </pic:nvPicPr>
                  <pic:blipFill rotWithShape="1">
                    <a:blip r:embed="rId17">
                      <a:extLst>
                        <a:ext uri="{28A0092B-C50C-407E-A947-70E740481C1C}">
                          <a14:useLocalDpi xmlns:a14="http://schemas.microsoft.com/office/drawing/2010/main" val="0"/>
                        </a:ext>
                      </a:extLst>
                    </a:blip>
                    <a:srcRect r="51843" b="11804"/>
                    <a:stretch>
                      <a:fillRect/>
                    </a:stretch>
                  </pic:blipFill>
                  <pic:spPr bwMode="auto">
                    <a:xfrm>
                      <a:off x="0" y="0"/>
                      <a:ext cx="1922400" cy="1771200"/>
                    </a:xfrm>
                    <a:prstGeom prst="rect">
                      <a:avLst/>
                    </a:prstGeom>
                    <a:noFill/>
                    <a:ln>
                      <a:noFill/>
                    </a:ln>
                    <a:extLst>
                      <a:ext uri="{53640926-AAD7-44D8-BBD7-CCE9431645EC}">
                        <a14:shadowObscured xmlns:a14="http://schemas.microsoft.com/office/drawing/2010/main"/>
                      </a:ext>
                    </a:extLst>
                  </pic:spPr>
                </pic:pic>
              </a:graphicData>
            </a:graphic>
          </wp:inline>
        </w:drawing>
      </w:r>
    </w:p>
    <w:p w14:paraId="18CA82D2" w14:textId="77777777" w:rsidR="00DA4FA3" w:rsidRDefault="00C36222" w:rsidP="00B37D4C">
      <w:pPr>
        <w:pStyle w:val="CETCaption"/>
        <w:spacing w:before="0" w:after="0"/>
      </w:pPr>
      <w:r w:rsidRPr="00C36222">
        <w:t>Figure 3a</w:t>
      </w:r>
      <w:r>
        <w:t>:</w:t>
      </w:r>
      <w:r w:rsidR="00D51400">
        <w:t xml:space="preserve"> </w:t>
      </w:r>
      <w:r w:rsidR="00D51400" w:rsidRPr="00D51400">
        <w:t>Schematic representation</w:t>
      </w:r>
    </w:p>
    <w:p w14:paraId="235C354A" w14:textId="2C097234" w:rsidR="00B37D4C" w:rsidRDefault="00D51400" w:rsidP="00B37D4C">
      <w:pPr>
        <w:pStyle w:val="CETCaption"/>
        <w:spacing w:before="0" w:after="0"/>
      </w:pPr>
      <w:r w:rsidRPr="00D51400">
        <w:t xml:space="preserve">of the experimental setup used for the </w:t>
      </w:r>
    </w:p>
    <w:p w14:paraId="2D71EAC7" w14:textId="50F20EF3" w:rsidR="00C36222" w:rsidRPr="00B37D4C" w:rsidRDefault="00D51400" w:rsidP="00B37D4C">
      <w:pPr>
        <w:pStyle w:val="CETCaption"/>
        <w:spacing w:before="0" w:after="0"/>
        <w:rPr>
          <w:vertAlign w:val="subscript"/>
        </w:rPr>
      </w:pPr>
      <w:r>
        <w:t>R</w:t>
      </w:r>
      <w:r w:rsidRPr="00D51400">
        <w:rPr>
          <w:vertAlign w:val="subscript"/>
        </w:rPr>
        <w:t xml:space="preserve">12,34 </w:t>
      </w:r>
      <w:r w:rsidRPr="00D51400">
        <w:t>measurements.</w:t>
      </w:r>
    </w:p>
    <w:p w14:paraId="6390AB97" w14:textId="5850B275" w:rsidR="00667C66" w:rsidRDefault="00667C66" w:rsidP="00AB7941">
      <w:pPr>
        <w:pStyle w:val="CETBodytext"/>
      </w:pPr>
    </w:p>
    <w:tbl>
      <w:tblPr>
        <w:tblpPr w:leftFromText="141" w:rightFromText="141" w:vertAnchor="text" w:horzAnchor="margin" w:tblpY="31"/>
        <w:tblW w:w="5000" w:type="pct"/>
        <w:tblLook w:val="04A0" w:firstRow="1" w:lastRow="0" w:firstColumn="1" w:lastColumn="0" w:noHBand="0" w:noVBand="1"/>
      </w:tblPr>
      <w:tblGrid>
        <w:gridCol w:w="7986"/>
        <w:gridCol w:w="801"/>
      </w:tblGrid>
      <w:tr w:rsidR="00F7213C" w:rsidRPr="00B57B36" w14:paraId="2F4297ED" w14:textId="77777777" w:rsidTr="004E6C6C">
        <w:tc>
          <w:tcPr>
            <w:tcW w:w="7986" w:type="dxa"/>
            <w:vAlign w:val="center"/>
          </w:tcPr>
          <w:p w14:paraId="4013AF6D" w14:textId="4455C079" w:rsidR="00F7213C" w:rsidRPr="000562D9" w:rsidRDefault="00000000" w:rsidP="00E52B95">
            <w:pPr>
              <w:pStyle w:val="CETEquation"/>
            </w:pPr>
            <m:oMathPara>
              <m:oMathParaPr>
                <m:jc m:val="left"/>
              </m:oMathParaPr>
              <m:oMath>
                <m:sSub>
                  <m:sSubPr>
                    <m:ctrlPr>
                      <w:rPr>
                        <w:rFonts w:ascii="Cambria Math" w:hAnsi="Cambria Math" w:cs="Arial"/>
                        <w:bCs/>
                        <w:i/>
                      </w:rPr>
                    </m:ctrlPr>
                  </m:sSubPr>
                  <m:e>
                    <m:r>
                      <m:rPr>
                        <m:nor/>
                      </m:rPr>
                      <w:rPr>
                        <w:rFonts w:cs="Arial"/>
                      </w:rPr>
                      <m:t>R</m:t>
                    </m:r>
                  </m:e>
                  <m:sub>
                    <m:r>
                      <m:rPr>
                        <m:nor/>
                      </m:rPr>
                      <w:rPr>
                        <w:rFonts w:cs="Arial"/>
                      </w:rPr>
                      <m:t>12</m:t>
                    </m:r>
                    <m:r>
                      <m:rPr>
                        <m:nor/>
                      </m:rPr>
                      <w:rPr>
                        <w:rFonts w:cs="Arial"/>
                        <w:lang w:val="en-US"/>
                      </w:rPr>
                      <m:t>,</m:t>
                    </m:r>
                    <m:r>
                      <m:rPr>
                        <m:nor/>
                      </m:rPr>
                      <w:rPr>
                        <w:rFonts w:cs="Arial"/>
                      </w:rPr>
                      <m:t>34</m:t>
                    </m:r>
                  </m:sub>
                </m:sSub>
                <m:r>
                  <m:rPr>
                    <m:nor/>
                  </m:rPr>
                  <w:rPr>
                    <w:rFonts w:cs="Arial"/>
                    <w:lang w:val="en-US"/>
                  </w:rPr>
                  <m:t>=</m:t>
                </m:r>
                <m:f>
                  <m:fPr>
                    <m:ctrlPr>
                      <w:rPr>
                        <w:rFonts w:ascii="Cambria Math" w:hAnsi="Cambria Math" w:cs="Arial"/>
                        <w:bCs/>
                        <w:i/>
                      </w:rPr>
                    </m:ctrlPr>
                  </m:fPr>
                  <m:num>
                    <m:sSub>
                      <m:sSubPr>
                        <m:ctrlPr>
                          <w:rPr>
                            <w:rFonts w:ascii="Cambria Math" w:hAnsi="Cambria Math" w:cs="Arial"/>
                            <w:bCs/>
                            <w:i/>
                          </w:rPr>
                        </m:ctrlPr>
                      </m:sSubPr>
                      <m:e>
                        <m:r>
                          <m:rPr>
                            <m:nor/>
                          </m:rPr>
                          <w:rPr>
                            <w:rFonts w:cs="Arial"/>
                          </w:rPr>
                          <m:t>V</m:t>
                        </m:r>
                      </m:e>
                      <m:sub>
                        <m:r>
                          <m:rPr>
                            <m:nor/>
                          </m:rPr>
                          <w:rPr>
                            <w:rFonts w:cs="Arial"/>
                          </w:rPr>
                          <m:t>34</m:t>
                        </m:r>
                      </m:sub>
                    </m:sSub>
                  </m:num>
                  <m:den>
                    <m:sSub>
                      <m:sSubPr>
                        <m:ctrlPr>
                          <w:rPr>
                            <w:rFonts w:ascii="Cambria Math" w:hAnsi="Cambria Math" w:cs="Arial"/>
                            <w:bCs/>
                            <w:i/>
                          </w:rPr>
                        </m:ctrlPr>
                      </m:sSubPr>
                      <m:e>
                        <m:r>
                          <m:rPr>
                            <m:nor/>
                          </m:rPr>
                          <w:rPr>
                            <w:rFonts w:cs="Arial"/>
                          </w:rPr>
                          <m:t>I</m:t>
                        </m:r>
                      </m:e>
                      <m:sub>
                        <m:r>
                          <m:rPr>
                            <m:nor/>
                          </m:rPr>
                          <w:rPr>
                            <w:rFonts w:cs="Arial"/>
                          </w:rPr>
                          <m:t>12</m:t>
                        </m:r>
                      </m:sub>
                    </m:sSub>
                  </m:den>
                </m:f>
              </m:oMath>
            </m:oMathPara>
          </w:p>
        </w:tc>
        <w:tc>
          <w:tcPr>
            <w:tcW w:w="801" w:type="dxa"/>
            <w:vAlign w:val="center"/>
          </w:tcPr>
          <w:p w14:paraId="4E3DADD5" w14:textId="77777777" w:rsidR="00F7213C" w:rsidRPr="00B57B36" w:rsidRDefault="00F7213C" w:rsidP="004E6C6C">
            <w:pPr>
              <w:pStyle w:val="CETEquation"/>
              <w:jc w:val="right"/>
            </w:pPr>
            <w:r w:rsidRPr="00B57B36">
              <w:t>(1)</w:t>
            </w:r>
          </w:p>
        </w:tc>
      </w:tr>
    </w:tbl>
    <w:p w14:paraId="28CB26E1" w14:textId="77777777" w:rsidR="00F7213C" w:rsidRDefault="00F7213C" w:rsidP="00AB7941">
      <w:pPr>
        <w:pStyle w:val="CETBodytext"/>
      </w:pPr>
    </w:p>
    <w:tbl>
      <w:tblPr>
        <w:tblpPr w:leftFromText="141" w:rightFromText="141" w:vertAnchor="text" w:horzAnchor="margin" w:tblpY="31"/>
        <w:tblW w:w="5000" w:type="pct"/>
        <w:tblLook w:val="04A0" w:firstRow="1" w:lastRow="0" w:firstColumn="1" w:lastColumn="0" w:noHBand="0" w:noVBand="1"/>
      </w:tblPr>
      <w:tblGrid>
        <w:gridCol w:w="7986"/>
        <w:gridCol w:w="801"/>
      </w:tblGrid>
      <w:tr w:rsidR="00F7213C" w:rsidRPr="00B57B36" w14:paraId="7999576B" w14:textId="77777777" w:rsidTr="004E6C6C">
        <w:tc>
          <w:tcPr>
            <w:tcW w:w="7986" w:type="dxa"/>
            <w:vAlign w:val="center"/>
          </w:tcPr>
          <w:p w14:paraId="149F6008" w14:textId="53430FBF" w:rsidR="00F7213C" w:rsidRPr="00B1156A" w:rsidRDefault="00000000" w:rsidP="004E6C6C">
            <w:pPr>
              <w:pStyle w:val="CETEquation"/>
              <w:rPr>
                <w:rFonts w:cs="Arial"/>
                <w:iCs/>
              </w:rPr>
            </w:pPr>
            <m:oMathPara>
              <m:oMathParaPr>
                <m:jc m:val="left"/>
              </m:oMathParaPr>
              <m:oMath>
                <m:sSub>
                  <m:sSubPr>
                    <m:ctrlPr>
                      <w:rPr>
                        <w:rFonts w:ascii="Cambria Math" w:hAnsi="Cambria Math" w:cs="Arial"/>
                        <w:bCs/>
                        <w:i/>
                        <w:szCs w:val="22"/>
                      </w:rPr>
                    </m:ctrlPr>
                  </m:sSubPr>
                  <m:e>
                    <m:r>
                      <m:rPr>
                        <m:nor/>
                      </m:rPr>
                      <w:rPr>
                        <w:rFonts w:cs="Arial"/>
                        <w:szCs w:val="22"/>
                      </w:rPr>
                      <m:t>R</m:t>
                    </m:r>
                  </m:e>
                  <m:sub>
                    <m:r>
                      <m:rPr>
                        <m:nor/>
                      </m:rPr>
                      <w:rPr>
                        <w:rFonts w:cs="Arial"/>
                        <w:bCs/>
                        <w:szCs w:val="22"/>
                      </w:rPr>
                      <m:t>23,41</m:t>
                    </m:r>
                  </m:sub>
                </m:sSub>
                <m:r>
                  <m:rPr>
                    <m:nor/>
                  </m:rPr>
                  <w:rPr>
                    <w:rFonts w:cs="Arial"/>
                    <w:szCs w:val="22"/>
                    <w:lang w:val="en-US"/>
                  </w:rPr>
                  <m:t>=</m:t>
                </m:r>
                <m:f>
                  <m:fPr>
                    <m:ctrlPr>
                      <w:rPr>
                        <w:rFonts w:ascii="Cambria Math" w:hAnsi="Cambria Math" w:cs="Arial"/>
                        <w:bCs/>
                        <w:i/>
                        <w:szCs w:val="22"/>
                      </w:rPr>
                    </m:ctrlPr>
                  </m:fPr>
                  <m:num>
                    <m:sSub>
                      <m:sSubPr>
                        <m:ctrlPr>
                          <w:rPr>
                            <w:rFonts w:ascii="Cambria Math" w:hAnsi="Cambria Math" w:cs="Arial"/>
                            <w:bCs/>
                            <w:i/>
                            <w:szCs w:val="22"/>
                          </w:rPr>
                        </m:ctrlPr>
                      </m:sSubPr>
                      <m:e>
                        <m:r>
                          <m:rPr>
                            <m:nor/>
                          </m:rPr>
                          <w:rPr>
                            <w:rFonts w:cs="Arial"/>
                            <w:szCs w:val="22"/>
                          </w:rPr>
                          <m:t>V</m:t>
                        </m:r>
                      </m:e>
                      <m:sub>
                        <m:r>
                          <m:rPr>
                            <m:nor/>
                          </m:rPr>
                          <w:rPr>
                            <w:rFonts w:cs="Arial"/>
                            <w:bCs/>
                            <w:szCs w:val="22"/>
                          </w:rPr>
                          <m:t>41</m:t>
                        </m:r>
                      </m:sub>
                    </m:sSub>
                  </m:num>
                  <m:den>
                    <m:sSub>
                      <m:sSubPr>
                        <m:ctrlPr>
                          <w:rPr>
                            <w:rFonts w:ascii="Cambria Math" w:hAnsi="Cambria Math" w:cs="Arial"/>
                            <w:bCs/>
                            <w:i/>
                            <w:szCs w:val="22"/>
                          </w:rPr>
                        </m:ctrlPr>
                      </m:sSubPr>
                      <m:e>
                        <m:r>
                          <m:rPr>
                            <m:nor/>
                          </m:rPr>
                          <w:rPr>
                            <w:rFonts w:cs="Arial"/>
                            <w:szCs w:val="22"/>
                          </w:rPr>
                          <m:t>I</m:t>
                        </m:r>
                      </m:e>
                      <m:sub>
                        <m:r>
                          <m:rPr>
                            <m:nor/>
                          </m:rPr>
                          <w:rPr>
                            <w:rFonts w:cs="Arial"/>
                            <w:bCs/>
                            <w:szCs w:val="22"/>
                          </w:rPr>
                          <m:t>23</m:t>
                        </m:r>
                      </m:sub>
                    </m:sSub>
                  </m:den>
                </m:f>
              </m:oMath>
            </m:oMathPara>
          </w:p>
        </w:tc>
        <w:tc>
          <w:tcPr>
            <w:tcW w:w="801" w:type="dxa"/>
            <w:vAlign w:val="center"/>
          </w:tcPr>
          <w:p w14:paraId="4133C1A9" w14:textId="77777777" w:rsidR="00F7213C" w:rsidRPr="00B57B36" w:rsidRDefault="00F7213C" w:rsidP="004E6C6C">
            <w:pPr>
              <w:pStyle w:val="CETEquation"/>
              <w:jc w:val="right"/>
            </w:pPr>
            <w:r w:rsidRPr="00B57B36">
              <w:t>(</w:t>
            </w:r>
            <w:r>
              <w:t>2</w:t>
            </w:r>
            <w:r w:rsidRPr="00B57B36">
              <w:t>)</w:t>
            </w:r>
          </w:p>
        </w:tc>
      </w:tr>
    </w:tbl>
    <w:p w14:paraId="0ABB9AB6" w14:textId="77777777" w:rsidR="00F7213C" w:rsidRDefault="00F7213C" w:rsidP="00AB7941">
      <w:pPr>
        <w:pStyle w:val="CETBodytext"/>
      </w:pPr>
    </w:p>
    <w:p w14:paraId="5A2AEEE3" w14:textId="77777777" w:rsidR="001E7B99" w:rsidRPr="001E7B99" w:rsidRDefault="001E7B99" w:rsidP="00AB7941">
      <w:pPr>
        <w:pStyle w:val="CETBodytext"/>
        <w:rPr>
          <w:lang w:val="en-GB"/>
        </w:rPr>
      </w:pPr>
      <w:r w:rsidRPr="00305DB6">
        <w:rPr>
          <w:lang w:val="en-GB"/>
        </w:rPr>
        <w:t>These values are subsequently applied in the van der Pauw equation, as described in Eq. (3).</w:t>
      </w:r>
    </w:p>
    <w:tbl>
      <w:tblPr>
        <w:tblpPr w:leftFromText="141" w:rightFromText="141" w:vertAnchor="text" w:horzAnchor="margin" w:tblpY="31"/>
        <w:tblW w:w="4992" w:type="pct"/>
        <w:tblLook w:val="04A0" w:firstRow="1" w:lastRow="0" w:firstColumn="1" w:lastColumn="0" w:noHBand="0" w:noVBand="1"/>
      </w:tblPr>
      <w:tblGrid>
        <w:gridCol w:w="7974"/>
        <w:gridCol w:w="799"/>
      </w:tblGrid>
      <w:tr w:rsidR="001F48F5" w:rsidRPr="00B57B36" w14:paraId="00785E7F" w14:textId="77777777" w:rsidTr="00D96C92">
        <w:trPr>
          <w:trHeight w:val="773"/>
        </w:trPr>
        <w:tc>
          <w:tcPr>
            <w:tcW w:w="7974" w:type="dxa"/>
            <w:vAlign w:val="center"/>
          </w:tcPr>
          <w:p w14:paraId="3C1B7233" w14:textId="2B9E2281" w:rsidR="00F7213C" w:rsidRPr="00D86F6D" w:rsidRDefault="00000000" w:rsidP="00D34C5C">
            <w:pPr>
              <w:pStyle w:val="CETEquation"/>
            </w:pPr>
            <m:oMathPara>
              <m:oMathParaPr>
                <m:jc m:val="left"/>
              </m:oMathParaPr>
              <m:oMath>
                <m:sSup>
                  <m:sSupPr>
                    <m:ctrlPr>
                      <w:rPr>
                        <w:rFonts w:ascii="Cambria Math" w:hAnsi="Cambria Math"/>
                      </w:rPr>
                    </m:ctrlPr>
                  </m:sSupPr>
                  <m:e>
                    <m:r>
                      <m:rPr>
                        <m:nor/>
                      </m:rPr>
                      <m:t>e​</m:t>
                    </m:r>
                  </m:e>
                  <m:sup>
                    <m:r>
                      <m:rPr>
                        <m:nor/>
                      </m:rPr>
                      <m:t>-π</m:t>
                    </m:r>
                    <m:sSub>
                      <m:sSubPr>
                        <m:ctrlPr>
                          <w:rPr>
                            <w:rFonts w:ascii="Cambria Math" w:hAnsi="Cambria Math"/>
                          </w:rPr>
                        </m:ctrlPr>
                      </m:sSubPr>
                      <m:e>
                        <m:r>
                          <m:rPr>
                            <m:nor/>
                          </m:rPr>
                          <m:t>R</m:t>
                        </m:r>
                      </m:e>
                      <m:sub>
                        <m:r>
                          <m:rPr>
                            <m:nor/>
                          </m:rPr>
                          <m:t>12,34</m:t>
                        </m:r>
                      </m:sub>
                    </m:sSub>
                    <m:r>
                      <m:rPr>
                        <m:nor/>
                      </m:rPr>
                      <m:t>​/</m:t>
                    </m:r>
                    <m:sSub>
                      <m:sSubPr>
                        <m:ctrlPr>
                          <w:rPr>
                            <w:rFonts w:ascii="Cambria Math" w:hAnsi="Cambria Math"/>
                          </w:rPr>
                        </m:ctrlPr>
                      </m:sSubPr>
                      <m:e>
                        <m:r>
                          <m:rPr>
                            <m:nor/>
                          </m:rPr>
                          <m:t>R</m:t>
                        </m:r>
                      </m:e>
                      <m:sub>
                        <m:r>
                          <m:rPr>
                            <m:nor/>
                          </m:rPr>
                          <m:t>S</m:t>
                        </m:r>
                      </m:sub>
                    </m:sSub>
                  </m:sup>
                </m:sSup>
                <m:r>
                  <m:rPr>
                    <m:nor/>
                  </m:rPr>
                  <m:t>+</m:t>
                </m:r>
                <m:sSup>
                  <m:sSupPr>
                    <m:ctrlPr>
                      <w:rPr>
                        <w:rFonts w:ascii="Cambria Math" w:hAnsi="Cambria Math"/>
                      </w:rPr>
                    </m:ctrlPr>
                  </m:sSupPr>
                  <m:e>
                    <m:r>
                      <m:rPr>
                        <m:nor/>
                      </m:rPr>
                      <m:t>e</m:t>
                    </m:r>
                  </m:e>
                  <m:sup>
                    <m:r>
                      <m:rPr>
                        <m:nor/>
                      </m:rPr>
                      <m:t>-π</m:t>
                    </m:r>
                    <m:sSub>
                      <m:sSubPr>
                        <m:ctrlPr>
                          <w:rPr>
                            <w:rFonts w:ascii="Cambria Math" w:hAnsi="Cambria Math"/>
                          </w:rPr>
                        </m:ctrlPr>
                      </m:sSubPr>
                      <m:e>
                        <m:r>
                          <m:rPr>
                            <m:nor/>
                          </m:rPr>
                          <m:t>R​</m:t>
                        </m:r>
                      </m:e>
                      <m:sub>
                        <m:r>
                          <m:rPr>
                            <m:nor/>
                          </m:rPr>
                          <m:t>23,41</m:t>
                        </m:r>
                      </m:sub>
                    </m:sSub>
                    <m:r>
                      <m:rPr>
                        <m:nor/>
                      </m:rPr>
                      <m:t>/</m:t>
                    </m:r>
                    <m:sSub>
                      <m:sSubPr>
                        <m:ctrlPr>
                          <w:rPr>
                            <w:rFonts w:ascii="Cambria Math" w:hAnsi="Cambria Math"/>
                          </w:rPr>
                        </m:ctrlPr>
                      </m:sSubPr>
                      <m:e>
                        <m:r>
                          <m:rPr>
                            <m:nor/>
                          </m:rPr>
                          <m:t>R</m:t>
                        </m:r>
                      </m:e>
                      <m:sub>
                        <m:r>
                          <m:rPr>
                            <m:nor/>
                          </m:rPr>
                          <m:t>S</m:t>
                        </m:r>
                      </m:sub>
                    </m:sSub>
                    <m:r>
                      <m:rPr>
                        <m:nor/>
                      </m:rPr>
                      <m:t>​</m:t>
                    </m:r>
                  </m:sup>
                </m:sSup>
                <m:r>
                  <m:rPr>
                    <m:nor/>
                  </m:rPr>
                  <m:t>=1</m:t>
                </m:r>
              </m:oMath>
            </m:oMathPara>
          </w:p>
        </w:tc>
        <w:tc>
          <w:tcPr>
            <w:tcW w:w="799" w:type="dxa"/>
            <w:vAlign w:val="center"/>
          </w:tcPr>
          <w:p w14:paraId="03F8F269" w14:textId="77777777" w:rsidR="001F48F5" w:rsidRPr="00B57B36" w:rsidRDefault="001F48F5" w:rsidP="001F48F5">
            <w:pPr>
              <w:pStyle w:val="CETEquation"/>
              <w:jc w:val="right"/>
            </w:pPr>
            <w:r w:rsidRPr="00B57B36">
              <w:t>(</w:t>
            </w:r>
            <w:r w:rsidR="00F7213C">
              <w:t>3</w:t>
            </w:r>
            <w:r w:rsidRPr="00B57B36">
              <w:t>)</w:t>
            </w:r>
          </w:p>
        </w:tc>
      </w:tr>
    </w:tbl>
    <w:p w14:paraId="24CDD208" w14:textId="77777777" w:rsidR="00F018D4" w:rsidRDefault="00F018D4" w:rsidP="001E7B99">
      <w:pPr>
        <w:pStyle w:val="CETBodytext"/>
      </w:pPr>
    </w:p>
    <w:p w14:paraId="06FF309D" w14:textId="77777777" w:rsidR="001E7B99" w:rsidRDefault="001E7B99" w:rsidP="00F018D4">
      <w:pPr>
        <w:pStyle w:val="CETBodytext"/>
      </w:pPr>
      <w:r>
        <w:lastRenderedPageBreak/>
        <w:t>Since the van der Pauw equation has a transcendental nature, it cannot be solved analytically. Therefore, the sheet resistance R</w:t>
      </w:r>
      <w:r w:rsidRPr="001500F2">
        <w:rPr>
          <w:vertAlign w:val="subscript"/>
        </w:rPr>
        <w:t>S</w:t>
      </w:r>
      <w:r>
        <w:t xml:space="preserve"> is determined by applying an iterative numerical method.</w:t>
      </w:r>
    </w:p>
    <w:p w14:paraId="06F89C64" w14:textId="77777777" w:rsidR="001E7B99" w:rsidRPr="001E7B99" w:rsidRDefault="001F48F5" w:rsidP="001E7B99">
      <w:pPr>
        <w:pStyle w:val="CETHeading1"/>
      </w:pPr>
      <w:r w:rsidRPr="001F48F5">
        <w:t>Results and Discussion</w:t>
      </w:r>
    </w:p>
    <w:p w14:paraId="4789305A" w14:textId="0930A25A" w:rsidR="00A3732A" w:rsidRDefault="00EA15F5" w:rsidP="00EA15F5">
      <w:pPr>
        <w:pStyle w:val="CETBodytext"/>
      </w:pPr>
      <w:r w:rsidRPr="000F38BD">
        <w:t>The sheet resistance R</w:t>
      </w:r>
      <w:r w:rsidRPr="000F38BD">
        <w:rPr>
          <w:rFonts w:ascii="Cambria Math" w:hAnsi="Cambria Math" w:cs="Cambria Math"/>
        </w:rPr>
        <w:t>ₛ</w:t>
      </w:r>
      <w:r w:rsidRPr="000F38BD">
        <w:t xml:space="preserve"> of the different polymeric film configurations was evaluated using the van der Pauw method, as described in Section 2.</w:t>
      </w:r>
      <w:r>
        <w:t>5</w:t>
      </w:r>
      <w:r w:rsidRPr="000F38BD">
        <w:t xml:space="preserve">. </w:t>
      </w:r>
      <w:r w:rsidR="00C37B2B" w:rsidRPr="00C37B2B">
        <w:rPr>
          <w:lang w:val="en-GB"/>
        </w:rPr>
        <w:t>The iterative numerical approach allowed for the accurate determination of R</w:t>
      </w:r>
      <w:r w:rsidR="00C37B2B" w:rsidRPr="00C37B2B">
        <w:rPr>
          <w:rFonts w:ascii="Cambria Math" w:hAnsi="Cambria Math" w:cs="Cambria Math"/>
          <w:lang w:val="en-GB"/>
        </w:rPr>
        <w:t>ₛ</w:t>
      </w:r>
      <w:r w:rsidR="00C37B2B" w:rsidRPr="00C37B2B">
        <w:rPr>
          <w:lang w:val="en-GB"/>
        </w:rPr>
        <w:t xml:space="preserve"> values by calculating the voltage response to an applied current</w:t>
      </w:r>
      <w:r w:rsidRPr="000F38BD">
        <w:t xml:space="preserve">. All measurements reported here were performed in dark conditions. The results are summarized in </w:t>
      </w:r>
      <w:r>
        <w:t>T</w:t>
      </w:r>
      <w:r w:rsidRPr="000F38BD">
        <w:t>able</w:t>
      </w:r>
      <w:r>
        <w:t xml:space="preserve"> 2</w:t>
      </w:r>
      <w:r w:rsidR="00A3732A">
        <w:t>.</w:t>
      </w:r>
    </w:p>
    <w:p w14:paraId="7510D6DE" w14:textId="627276D2" w:rsidR="001720F6" w:rsidRPr="007E444C" w:rsidRDefault="001720F6" w:rsidP="001720F6">
      <w:pPr>
        <w:pStyle w:val="CETTabletitle"/>
        <w:rPr>
          <w:lang w:val="en-US"/>
        </w:rPr>
      </w:pPr>
      <w:r w:rsidRPr="00F554B5">
        <w:t xml:space="preserve">Table 2: Sheet resistance values of </w:t>
      </w:r>
      <w:proofErr w:type="gramStart"/>
      <w:r w:rsidRPr="00F554B5">
        <w:t>PEDOT:PSS</w:t>
      </w:r>
      <w:proofErr w:type="gramEnd"/>
      <w:r w:rsidRPr="00F554B5">
        <w:t xml:space="preserve">-based films with </w:t>
      </w:r>
      <w:r w:rsidR="00F554B5" w:rsidRPr="00F554B5">
        <w:t xml:space="preserve">different layer configurations </w:t>
      </w:r>
      <w:r w:rsidRPr="00F554B5">
        <w:t>and dopants (</w:t>
      </w:r>
      <w:proofErr w:type="spellStart"/>
      <w:r w:rsidRPr="00F554B5">
        <w:t>TiO</w:t>
      </w:r>
      <w:proofErr w:type="spellEnd"/>
      <w:r w:rsidRPr="00F554B5">
        <w:rPr>
          <w:rFonts w:ascii="Cambria Math" w:hAnsi="Cambria Math" w:cs="Cambria Math"/>
        </w:rPr>
        <w:t>₂</w:t>
      </w:r>
      <w:r w:rsidRPr="00F554B5">
        <w:t xml:space="preserve"> </w:t>
      </w:r>
      <w:r w:rsidR="00F554B5" w:rsidRPr="00F554B5">
        <w:t>nanoparticles</w:t>
      </w:r>
      <w:r w:rsidRPr="00F554B5">
        <w:t xml:space="preserve"> and PVK), measured in dark</w:t>
      </w:r>
      <w:r w:rsidR="00AD6AA9" w:rsidRPr="00F554B5">
        <w:t xml:space="preserve"> condition</w:t>
      </w:r>
      <w:r w:rsidR="00E02519">
        <w:t>s</w:t>
      </w:r>
      <w:r w:rsidRPr="00F554B5">
        <w:t xml:space="preserve"> using the van der Pauw method</w:t>
      </w:r>
      <w:r w:rsidRPr="00CB7162">
        <w:t>.</w:t>
      </w:r>
    </w:p>
    <w:tbl>
      <w:tblPr>
        <w:tblW w:w="850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168"/>
        <w:gridCol w:w="2337"/>
      </w:tblGrid>
      <w:tr w:rsidR="001720F6" w:rsidRPr="00B57B36" w14:paraId="1883707B" w14:textId="77777777" w:rsidTr="003C5B09">
        <w:trPr>
          <w:trHeight w:val="333"/>
        </w:trPr>
        <w:tc>
          <w:tcPr>
            <w:tcW w:w="6379" w:type="dxa"/>
            <w:tcBorders>
              <w:top w:val="single" w:sz="12" w:space="0" w:color="008000"/>
              <w:bottom w:val="single" w:sz="6" w:space="0" w:color="008000"/>
            </w:tcBorders>
            <w:shd w:val="clear" w:color="auto" w:fill="FFFFFF"/>
          </w:tcPr>
          <w:p w14:paraId="220FEB40" w14:textId="77777777" w:rsidR="001720F6" w:rsidRPr="00BF04C3" w:rsidRDefault="001720F6" w:rsidP="004E6C6C">
            <w:pPr>
              <w:pStyle w:val="CETTabletitle"/>
            </w:pPr>
            <w:r w:rsidRPr="00BF04C3">
              <w:t>Sample</w:t>
            </w:r>
          </w:p>
        </w:tc>
        <w:tc>
          <w:tcPr>
            <w:tcW w:w="2410" w:type="dxa"/>
            <w:tcBorders>
              <w:top w:val="single" w:sz="12" w:space="0" w:color="008000"/>
              <w:bottom w:val="single" w:sz="6" w:space="0" w:color="008000"/>
            </w:tcBorders>
            <w:shd w:val="clear" w:color="auto" w:fill="FFFFFF"/>
          </w:tcPr>
          <w:p w14:paraId="57C0BF9B" w14:textId="1A5CCAAD" w:rsidR="001720F6" w:rsidRPr="00BF04C3" w:rsidRDefault="001720F6" w:rsidP="004E6C6C">
            <w:pPr>
              <w:pStyle w:val="CETTabletitle"/>
            </w:pPr>
            <w:r w:rsidRPr="00BF04C3">
              <w:t>R</w:t>
            </w:r>
            <w:r w:rsidRPr="00BF04C3">
              <w:rPr>
                <w:rFonts w:ascii="Cambria Math" w:hAnsi="Cambria Math" w:cs="Cambria Math"/>
              </w:rPr>
              <w:t>ₛ</w:t>
            </w:r>
            <w:r w:rsidRPr="00BF04C3">
              <w:t xml:space="preserve"> [</w:t>
            </w:r>
            <w:r w:rsidRPr="00BF04C3">
              <w:rPr>
                <w:rFonts w:cs="Arial"/>
              </w:rPr>
              <w:t>Ω</w:t>
            </w:r>
            <w:r w:rsidRPr="00BF04C3">
              <w:t>]</w:t>
            </w:r>
          </w:p>
        </w:tc>
      </w:tr>
      <w:tr w:rsidR="001720F6" w:rsidRPr="00B57B36" w14:paraId="5C9E5D4B" w14:textId="77777777" w:rsidTr="003C5B09">
        <w:trPr>
          <w:trHeight w:val="333"/>
        </w:trPr>
        <w:tc>
          <w:tcPr>
            <w:tcW w:w="6379" w:type="dxa"/>
            <w:shd w:val="clear" w:color="auto" w:fill="FFFFFF"/>
          </w:tcPr>
          <w:p w14:paraId="057EE9FE" w14:textId="77777777" w:rsidR="001720F6" w:rsidRPr="00BF04C3" w:rsidRDefault="005F5A36" w:rsidP="004E6C6C">
            <w:pPr>
              <w:pStyle w:val="CETBodytext"/>
              <w:rPr>
                <w:rFonts w:cs="Arial"/>
                <w:szCs w:val="18"/>
                <w:lang w:val="en-GB"/>
              </w:rPr>
            </w:pPr>
            <w:r>
              <w:rPr>
                <w:rFonts w:cs="Arial"/>
                <w:szCs w:val="18"/>
              </w:rPr>
              <w:t xml:space="preserve">Single </w:t>
            </w:r>
            <w:r w:rsidR="001720F6" w:rsidRPr="00BF04C3">
              <w:rPr>
                <w:rFonts w:cs="Arial"/>
                <w:szCs w:val="18"/>
              </w:rPr>
              <w:t>layer PEDOT:PSS</w:t>
            </w:r>
          </w:p>
        </w:tc>
        <w:tc>
          <w:tcPr>
            <w:tcW w:w="2410" w:type="dxa"/>
            <w:shd w:val="clear" w:color="auto" w:fill="FFFFFF"/>
          </w:tcPr>
          <w:p w14:paraId="70E35770" w14:textId="77777777" w:rsidR="001720F6" w:rsidRPr="00BF04C3" w:rsidRDefault="001720F6" w:rsidP="004E6C6C">
            <w:pPr>
              <w:pStyle w:val="CETBodytext"/>
              <w:rPr>
                <w:szCs w:val="18"/>
                <w:lang w:val="en-GB"/>
              </w:rPr>
            </w:pPr>
            <w:r w:rsidRPr="00BF04C3">
              <w:rPr>
                <w:szCs w:val="18"/>
              </w:rPr>
              <w:t>227.5</w:t>
            </w:r>
          </w:p>
        </w:tc>
      </w:tr>
      <w:tr w:rsidR="001720F6" w:rsidRPr="00B57B36" w14:paraId="3446271A" w14:textId="77777777" w:rsidTr="003C5B09">
        <w:trPr>
          <w:trHeight w:val="333"/>
        </w:trPr>
        <w:tc>
          <w:tcPr>
            <w:tcW w:w="6379" w:type="dxa"/>
            <w:shd w:val="clear" w:color="auto" w:fill="FFFFFF"/>
          </w:tcPr>
          <w:p w14:paraId="426DFEF5" w14:textId="77777777" w:rsidR="001720F6" w:rsidRPr="00BF04C3" w:rsidRDefault="005F5A36" w:rsidP="004E6C6C">
            <w:pPr>
              <w:pStyle w:val="CETBodytext"/>
              <w:ind w:right="-1"/>
              <w:rPr>
                <w:rFonts w:cs="Arial"/>
                <w:szCs w:val="18"/>
                <w:lang w:val="en-GB"/>
              </w:rPr>
            </w:pPr>
            <w:r>
              <w:rPr>
                <w:rFonts w:cs="Arial"/>
                <w:szCs w:val="18"/>
              </w:rPr>
              <w:t xml:space="preserve">Single </w:t>
            </w:r>
            <w:r w:rsidRPr="00BF04C3">
              <w:rPr>
                <w:rFonts w:cs="Arial"/>
                <w:szCs w:val="18"/>
              </w:rPr>
              <w:t>layer</w:t>
            </w:r>
            <w:r w:rsidR="001720F6" w:rsidRPr="00BF04C3">
              <w:rPr>
                <w:rFonts w:cs="Arial"/>
                <w:szCs w:val="18"/>
              </w:rPr>
              <w:t xml:space="preserve"> PEDOT:PSS + </w:t>
            </w:r>
            <w:proofErr w:type="spellStart"/>
            <w:r w:rsidR="001720F6" w:rsidRPr="00BF04C3">
              <w:rPr>
                <w:rFonts w:cs="Arial"/>
                <w:szCs w:val="18"/>
              </w:rPr>
              <w:t>TiO</w:t>
            </w:r>
            <w:proofErr w:type="spellEnd"/>
            <w:r w:rsidR="001720F6" w:rsidRPr="00BF04C3">
              <w:rPr>
                <w:rFonts w:ascii="Cambria Math" w:hAnsi="Cambria Math" w:cs="Cambria Math"/>
                <w:szCs w:val="18"/>
              </w:rPr>
              <w:t>₂</w:t>
            </w:r>
            <w:r w:rsidR="001720F6" w:rsidRPr="00BF04C3">
              <w:rPr>
                <w:rFonts w:cs="Arial"/>
                <w:szCs w:val="18"/>
              </w:rPr>
              <w:t xml:space="preserve"> NPs</w:t>
            </w:r>
          </w:p>
        </w:tc>
        <w:tc>
          <w:tcPr>
            <w:tcW w:w="2410" w:type="dxa"/>
            <w:shd w:val="clear" w:color="auto" w:fill="FFFFFF"/>
          </w:tcPr>
          <w:p w14:paraId="10DAC863" w14:textId="77777777" w:rsidR="001720F6" w:rsidRPr="00BF04C3" w:rsidRDefault="001720F6" w:rsidP="004E6C6C">
            <w:pPr>
              <w:pStyle w:val="CETBodytext"/>
              <w:ind w:right="-1"/>
              <w:rPr>
                <w:rFonts w:cs="Arial"/>
                <w:szCs w:val="18"/>
                <w:lang w:val="en-GB"/>
              </w:rPr>
            </w:pPr>
            <w:r w:rsidRPr="00BF04C3">
              <w:rPr>
                <w:szCs w:val="18"/>
              </w:rPr>
              <w:t>2598.7</w:t>
            </w:r>
          </w:p>
        </w:tc>
      </w:tr>
      <w:tr w:rsidR="001720F6" w:rsidRPr="00B57B36" w14:paraId="772C3ED3" w14:textId="77777777" w:rsidTr="003C5B09">
        <w:trPr>
          <w:trHeight w:val="333"/>
        </w:trPr>
        <w:tc>
          <w:tcPr>
            <w:tcW w:w="6379" w:type="dxa"/>
            <w:shd w:val="clear" w:color="auto" w:fill="FFFFFF"/>
          </w:tcPr>
          <w:p w14:paraId="0256DF93" w14:textId="77777777" w:rsidR="001720F6" w:rsidRPr="00BF04C3" w:rsidRDefault="001720F6" w:rsidP="004E6C6C">
            <w:pPr>
              <w:pStyle w:val="CETBodytext"/>
              <w:ind w:right="-1"/>
              <w:rPr>
                <w:rFonts w:cs="Arial"/>
                <w:szCs w:val="18"/>
                <w:lang w:val="en-GB"/>
              </w:rPr>
            </w:pPr>
            <w:r w:rsidRPr="00BF04C3">
              <w:rPr>
                <w:rFonts w:cs="Arial"/>
                <w:szCs w:val="18"/>
              </w:rPr>
              <w:t xml:space="preserve">1st layer PEDOT:PSS + </w:t>
            </w:r>
            <w:proofErr w:type="spellStart"/>
            <w:r w:rsidRPr="00BF04C3">
              <w:rPr>
                <w:rFonts w:cs="Arial"/>
                <w:szCs w:val="18"/>
              </w:rPr>
              <w:t>TiO</w:t>
            </w:r>
            <w:proofErr w:type="spellEnd"/>
            <w:r w:rsidRPr="00BF04C3">
              <w:rPr>
                <w:rFonts w:ascii="Cambria Math" w:hAnsi="Cambria Math" w:cs="Cambria Math"/>
                <w:szCs w:val="18"/>
              </w:rPr>
              <w:t>₂</w:t>
            </w:r>
            <w:r w:rsidRPr="00BF04C3">
              <w:rPr>
                <w:rFonts w:cs="Arial"/>
                <w:szCs w:val="18"/>
              </w:rPr>
              <w:t xml:space="preserve"> NPs + 2nd layer PEDOT:PSS</w:t>
            </w:r>
          </w:p>
        </w:tc>
        <w:tc>
          <w:tcPr>
            <w:tcW w:w="2410" w:type="dxa"/>
            <w:shd w:val="clear" w:color="auto" w:fill="FFFFFF"/>
          </w:tcPr>
          <w:p w14:paraId="59CBB6AF" w14:textId="77777777" w:rsidR="001720F6" w:rsidRPr="00BF04C3" w:rsidRDefault="001720F6" w:rsidP="004E6C6C">
            <w:pPr>
              <w:pStyle w:val="CETBodytext"/>
              <w:ind w:right="-1"/>
              <w:rPr>
                <w:rFonts w:cs="Arial"/>
                <w:szCs w:val="18"/>
                <w:lang w:val="en-GB"/>
              </w:rPr>
            </w:pPr>
            <w:r w:rsidRPr="00BF04C3">
              <w:rPr>
                <w:szCs w:val="18"/>
              </w:rPr>
              <w:t>567.2</w:t>
            </w:r>
          </w:p>
        </w:tc>
      </w:tr>
      <w:tr w:rsidR="001720F6" w:rsidRPr="00B57B36" w14:paraId="6FD01379" w14:textId="77777777" w:rsidTr="003C5B09">
        <w:trPr>
          <w:trHeight w:val="333"/>
        </w:trPr>
        <w:tc>
          <w:tcPr>
            <w:tcW w:w="6379" w:type="dxa"/>
            <w:shd w:val="clear" w:color="auto" w:fill="FFFFFF"/>
          </w:tcPr>
          <w:p w14:paraId="77732108" w14:textId="77777777" w:rsidR="001720F6" w:rsidRPr="00BF04C3" w:rsidRDefault="005F5A36" w:rsidP="004E6C6C">
            <w:pPr>
              <w:pStyle w:val="CETBodytext"/>
              <w:ind w:right="-1"/>
              <w:rPr>
                <w:rFonts w:cs="Arial"/>
                <w:szCs w:val="18"/>
                <w:lang w:val="en-GB"/>
              </w:rPr>
            </w:pPr>
            <w:r>
              <w:rPr>
                <w:rFonts w:cs="Arial"/>
                <w:szCs w:val="18"/>
              </w:rPr>
              <w:t xml:space="preserve">Single </w:t>
            </w:r>
            <w:r w:rsidRPr="00BF04C3">
              <w:rPr>
                <w:rFonts w:cs="Arial"/>
                <w:szCs w:val="18"/>
              </w:rPr>
              <w:t xml:space="preserve">layer </w:t>
            </w:r>
            <w:r w:rsidR="001720F6" w:rsidRPr="00BF04C3">
              <w:rPr>
                <w:rFonts w:cs="Arial"/>
                <w:szCs w:val="18"/>
              </w:rPr>
              <w:t>PEDOT:PSS + PVK (blend)</w:t>
            </w:r>
          </w:p>
        </w:tc>
        <w:tc>
          <w:tcPr>
            <w:tcW w:w="2410" w:type="dxa"/>
            <w:shd w:val="clear" w:color="auto" w:fill="FFFFFF"/>
          </w:tcPr>
          <w:p w14:paraId="16C71DD4" w14:textId="77777777" w:rsidR="001720F6" w:rsidRPr="00BF04C3" w:rsidRDefault="001720F6" w:rsidP="004E6C6C">
            <w:pPr>
              <w:pStyle w:val="CETBodytext"/>
              <w:ind w:right="-1"/>
              <w:rPr>
                <w:rFonts w:cs="Arial"/>
                <w:szCs w:val="18"/>
                <w:lang w:val="en-GB"/>
              </w:rPr>
            </w:pPr>
            <w:r w:rsidRPr="00BF04C3">
              <w:rPr>
                <w:szCs w:val="18"/>
              </w:rPr>
              <w:t>1007.9</w:t>
            </w:r>
          </w:p>
        </w:tc>
      </w:tr>
      <w:tr w:rsidR="001720F6" w:rsidRPr="00B57B36" w14:paraId="40D2A377" w14:textId="77777777" w:rsidTr="003C5B09">
        <w:trPr>
          <w:trHeight w:val="333"/>
        </w:trPr>
        <w:tc>
          <w:tcPr>
            <w:tcW w:w="6379" w:type="dxa"/>
            <w:shd w:val="clear" w:color="auto" w:fill="FFFFFF"/>
          </w:tcPr>
          <w:p w14:paraId="1C87F169" w14:textId="77777777" w:rsidR="001720F6" w:rsidRPr="00BF04C3" w:rsidRDefault="001720F6" w:rsidP="004E6C6C">
            <w:pPr>
              <w:pStyle w:val="CETBodytext"/>
              <w:ind w:right="-1"/>
              <w:rPr>
                <w:rFonts w:cs="Arial"/>
                <w:szCs w:val="18"/>
                <w:lang w:val="en-GB"/>
              </w:rPr>
            </w:pPr>
            <w:r w:rsidRPr="00BF04C3">
              <w:rPr>
                <w:rFonts w:cs="Arial"/>
                <w:szCs w:val="18"/>
              </w:rPr>
              <w:t>1st layer PEDOT:PSS + 2nd layer PVK</w:t>
            </w:r>
          </w:p>
        </w:tc>
        <w:tc>
          <w:tcPr>
            <w:tcW w:w="2410" w:type="dxa"/>
            <w:shd w:val="clear" w:color="auto" w:fill="FFFFFF"/>
          </w:tcPr>
          <w:p w14:paraId="264504B7" w14:textId="77777777" w:rsidR="001720F6" w:rsidRPr="00BF04C3" w:rsidRDefault="001720F6" w:rsidP="004E6C6C">
            <w:pPr>
              <w:pStyle w:val="CETBodytext"/>
              <w:ind w:right="-1"/>
              <w:rPr>
                <w:rFonts w:cs="Arial"/>
                <w:szCs w:val="18"/>
                <w:lang w:val="en-GB"/>
              </w:rPr>
            </w:pPr>
            <w:r w:rsidRPr="00BF04C3">
              <w:rPr>
                <w:szCs w:val="18"/>
              </w:rPr>
              <w:t>1164.2</w:t>
            </w:r>
          </w:p>
        </w:tc>
      </w:tr>
    </w:tbl>
    <w:p w14:paraId="6BD5F4E7" w14:textId="77777777" w:rsidR="001720F6" w:rsidRDefault="001720F6" w:rsidP="00EA15F5">
      <w:pPr>
        <w:pStyle w:val="CETBodytext"/>
      </w:pPr>
    </w:p>
    <w:p w14:paraId="0A21389C" w14:textId="61064852" w:rsidR="00BF04C3" w:rsidRDefault="00BF04C3" w:rsidP="00BF04C3">
      <w:pPr>
        <w:pStyle w:val="CETBodytext"/>
      </w:pPr>
      <w:r>
        <w:t xml:space="preserve">As expected, the pristine </w:t>
      </w:r>
      <w:proofErr w:type="gramStart"/>
      <w:r>
        <w:t>PEDOT:PSS</w:t>
      </w:r>
      <w:proofErr w:type="gramEnd"/>
      <w:r>
        <w:t xml:space="preserve"> film exhibited the lowest sheet resistance, confirming its well-known high conductivity in thin</w:t>
      </w:r>
      <w:r w:rsidR="00C37B2B">
        <w:t xml:space="preserve"> f</w:t>
      </w:r>
      <w:r>
        <w:t xml:space="preserve">ilm applications. The introduction of </w:t>
      </w:r>
      <w:proofErr w:type="spellStart"/>
      <w:r>
        <w:t>TiO</w:t>
      </w:r>
      <w:proofErr w:type="spellEnd"/>
      <w:r>
        <w:rPr>
          <w:rFonts w:ascii="Cambria Math" w:hAnsi="Cambria Math" w:cs="Cambria Math"/>
        </w:rPr>
        <w:t>₂</w:t>
      </w:r>
      <w:r>
        <w:t xml:space="preserve"> nanoparticles into the </w:t>
      </w:r>
      <w:proofErr w:type="gramStart"/>
      <w:r>
        <w:t>PEDOT:PSS</w:t>
      </w:r>
      <w:proofErr w:type="gramEnd"/>
      <w:r>
        <w:t xml:space="preserve"> matrix led to a significant increase in R</w:t>
      </w:r>
      <w:r>
        <w:rPr>
          <w:rFonts w:ascii="Cambria Math" w:hAnsi="Cambria Math" w:cs="Cambria Math"/>
        </w:rPr>
        <w:t>ₛ</w:t>
      </w:r>
      <w:r>
        <w:t xml:space="preserve"> (2598.7 </w:t>
      </w:r>
      <w:r>
        <w:rPr>
          <w:rFonts w:cs="Arial"/>
        </w:rPr>
        <w:t>Ω</w:t>
      </w:r>
      <w:r>
        <w:t xml:space="preserve">), likely due to the </w:t>
      </w:r>
      <w:r w:rsidR="00A3732A">
        <w:t xml:space="preserve">semiconducting </w:t>
      </w:r>
      <w:r>
        <w:t xml:space="preserve">nature of </w:t>
      </w:r>
      <w:proofErr w:type="spellStart"/>
      <w:r>
        <w:t>TiO</w:t>
      </w:r>
      <w:proofErr w:type="spellEnd"/>
      <w:r>
        <w:rPr>
          <w:rFonts w:ascii="Cambria Math" w:hAnsi="Cambria Math" w:cs="Cambria Math"/>
        </w:rPr>
        <w:t>₂</w:t>
      </w:r>
      <w:r>
        <w:t xml:space="preserve"> and the disruption of the conductive polymer network.</w:t>
      </w:r>
    </w:p>
    <w:p w14:paraId="3785615C" w14:textId="315AE7F8" w:rsidR="00BF04C3" w:rsidRDefault="00BF04C3" w:rsidP="00BF04C3">
      <w:pPr>
        <w:pStyle w:val="CETBodytext"/>
      </w:pPr>
      <w:r>
        <w:t xml:space="preserve">However, when an additional </w:t>
      </w:r>
      <w:proofErr w:type="gramStart"/>
      <w:r>
        <w:t>PEDOT:PSS</w:t>
      </w:r>
      <w:proofErr w:type="gramEnd"/>
      <w:r>
        <w:t xml:space="preserve"> layer was deposited on top of the </w:t>
      </w:r>
      <w:proofErr w:type="spellStart"/>
      <w:r>
        <w:t>TiO</w:t>
      </w:r>
      <w:proofErr w:type="spellEnd"/>
      <w:r>
        <w:rPr>
          <w:rFonts w:ascii="Cambria Math" w:hAnsi="Cambria Math" w:cs="Cambria Math"/>
        </w:rPr>
        <w:t>₂</w:t>
      </w:r>
      <w:r>
        <w:t xml:space="preserve">-containing layer, the resistance dropped considerably to 567.2 </w:t>
      </w:r>
      <w:r>
        <w:rPr>
          <w:rFonts w:cs="Arial"/>
        </w:rPr>
        <w:t>Ω</w:t>
      </w:r>
      <w:r>
        <w:t>, indicating partial recovery of the conductive pathways, possibly due to improved film continuity and interface integration</w:t>
      </w:r>
      <w:r w:rsidR="00A3732A">
        <w:t xml:space="preserve"> among the polymer chain</w:t>
      </w:r>
      <w:r>
        <w:t>.</w:t>
      </w:r>
    </w:p>
    <w:p w14:paraId="12F4D21A" w14:textId="39C520EB" w:rsidR="00BF04C3" w:rsidRDefault="00BF04C3" w:rsidP="00BF04C3">
      <w:pPr>
        <w:pStyle w:val="CETBodytext"/>
      </w:pPr>
      <w:r>
        <w:t>Regarding the PVK-containing samples, both the blend and bilayer architectures showed higher R</w:t>
      </w:r>
      <w:r>
        <w:rPr>
          <w:rFonts w:ascii="Cambria Math" w:hAnsi="Cambria Math" w:cs="Cambria Math"/>
        </w:rPr>
        <w:t>ₛ</w:t>
      </w:r>
      <w:r>
        <w:t xml:space="preserve"> values than pristine </w:t>
      </w:r>
      <w:proofErr w:type="gramStart"/>
      <w:r>
        <w:t>PEDOT:PSS</w:t>
      </w:r>
      <w:proofErr w:type="gramEnd"/>
      <w:r>
        <w:t xml:space="preserve">. In the blend (1007.9 </w:t>
      </w:r>
      <w:r>
        <w:rPr>
          <w:rFonts w:cs="Arial"/>
        </w:rPr>
        <w:t>Ω</w:t>
      </w:r>
      <w:r>
        <w:t>), the increase is attributed to the poor conductivity of PVK and potential phase separation effects. The bilayer configuration (</w:t>
      </w:r>
      <w:proofErr w:type="gramStart"/>
      <w:r>
        <w:t>PEDOT:PSS</w:t>
      </w:r>
      <w:proofErr w:type="gramEnd"/>
      <w:r>
        <w:t xml:space="preserve"> + PVK) exhibited an even higher resistance (1164.2 </w:t>
      </w:r>
      <w:r>
        <w:rPr>
          <w:rFonts w:cs="Arial"/>
        </w:rPr>
        <w:t>Ω</w:t>
      </w:r>
      <w:r>
        <w:t>), likely due to the PVK layer acting as a barrier to charge transport.</w:t>
      </w:r>
    </w:p>
    <w:p w14:paraId="552CF474" w14:textId="4C46DA0C" w:rsidR="001500F2" w:rsidRPr="00FD5B1E" w:rsidRDefault="00BF04C3" w:rsidP="001500F2">
      <w:pPr>
        <w:pStyle w:val="CETBodytext"/>
      </w:pPr>
      <w:r>
        <w:t xml:space="preserve">These results clearly demonstrate that the electrical conductivity of the films is highly sensitive to both their composition and structural arrangement. In particular, the presence of </w:t>
      </w:r>
      <w:r w:rsidR="00A3732A">
        <w:t xml:space="preserve">inorganic semiconductors </w:t>
      </w:r>
      <w:r>
        <w:t xml:space="preserve">such as </w:t>
      </w:r>
      <w:proofErr w:type="spellStart"/>
      <w:r>
        <w:t>TiO</w:t>
      </w:r>
      <w:proofErr w:type="spellEnd"/>
      <w:r>
        <w:rPr>
          <w:rFonts w:ascii="Cambria Math" w:hAnsi="Cambria Math" w:cs="Cambria Math"/>
        </w:rPr>
        <w:t>₂</w:t>
      </w:r>
      <w:r>
        <w:t xml:space="preserve"> nanoparticles and PVK, which under illumination may exhibit semiconducting behavior, acted predominantly as insulating components in dark conditions. This underlines the fundamental importance of carefully engineering the interfaces and controlling the formulation of polymer-based thin films to effectively tune their conductive properties.</w:t>
      </w:r>
    </w:p>
    <w:p w14:paraId="38AAEB25" w14:textId="77777777" w:rsidR="00600535" w:rsidRPr="00B57B36" w:rsidRDefault="00600535" w:rsidP="00600535">
      <w:pPr>
        <w:pStyle w:val="CETHeading1"/>
        <w:rPr>
          <w:lang w:val="en-GB"/>
        </w:rPr>
      </w:pPr>
      <w:r w:rsidRPr="00B57B36">
        <w:rPr>
          <w:lang w:val="en-GB"/>
        </w:rPr>
        <w:t>Conclusions</w:t>
      </w:r>
    </w:p>
    <w:p w14:paraId="100BBE97" w14:textId="7444D235" w:rsidR="005A73C3" w:rsidRPr="005A73C3" w:rsidRDefault="005A73C3" w:rsidP="005A73C3">
      <w:pPr>
        <w:pStyle w:val="CETBodytext"/>
        <w:rPr>
          <w:rFonts w:cs="Arial"/>
        </w:rPr>
      </w:pPr>
      <w:r w:rsidRPr="005A73C3">
        <w:rPr>
          <w:rFonts w:cs="Arial"/>
        </w:rPr>
        <w:t xml:space="preserve">In this study, the sheet resistance of various PEDOT:PSS-based thin films was evaluated under dark conditions using a custom-built four-point probe system implementing the van der Pauw method. The results revealed that the incorporation of </w:t>
      </w:r>
      <w:proofErr w:type="spellStart"/>
      <w:r w:rsidRPr="005A73C3">
        <w:rPr>
          <w:rFonts w:cs="Arial"/>
        </w:rPr>
        <w:t>TiO</w:t>
      </w:r>
      <w:proofErr w:type="spellEnd"/>
      <w:r w:rsidRPr="005A73C3">
        <w:rPr>
          <w:rFonts w:ascii="Cambria Math" w:hAnsi="Cambria Math" w:cs="Cambria Math"/>
        </w:rPr>
        <w:t>₂</w:t>
      </w:r>
      <w:r w:rsidRPr="005A73C3">
        <w:rPr>
          <w:rFonts w:cs="Arial"/>
        </w:rPr>
        <w:t xml:space="preserve"> nanoparticles led to a significant increase in sheet resistance compared to pristine </w:t>
      </w:r>
      <w:proofErr w:type="gramStart"/>
      <w:r w:rsidRPr="005A73C3">
        <w:rPr>
          <w:rFonts w:cs="Arial"/>
        </w:rPr>
        <w:t>PEDOT:PSS</w:t>
      </w:r>
      <w:proofErr w:type="gramEnd"/>
      <w:r w:rsidRPr="005A73C3">
        <w:rPr>
          <w:rFonts w:cs="Arial"/>
        </w:rPr>
        <w:t xml:space="preserve">. This behavior is attributed to the </w:t>
      </w:r>
      <w:r w:rsidR="00A3732A">
        <w:rPr>
          <w:rFonts w:cs="Arial"/>
        </w:rPr>
        <w:t>semiconducting</w:t>
      </w:r>
      <w:r w:rsidR="00A3732A" w:rsidRPr="005A73C3">
        <w:rPr>
          <w:rFonts w:cs="Arial"/>
        </w:rPr>
        <w:t xml:space="preserve"> </w:t>
      </w:r>
      <w:r w:rsidRPr="005A73C3">
        <w:rPr>
          <w:rFonts w:cs="Arial"/>
        </w:rPr>
        <w:t xml:space="preserve">nature of </w:t>
      </w:r>
      <w:proofErr w:type="spellStart"/>
      <w:r w:rsidRPr="005A73C3">
        <w:rPr>
          <w:rFonts w:cs="Arial"/>
        </w:rPr>
        <w:t>TiO</w:t>
      </w:r>
      <w:proofErr w:type="spellEnd"/>
      <w:r w:rsidRPr="005A73C3">
        <w:rPr>
          <w:rFonts w:ascii="Cambria Math" w:hAnsi="Cambria Math" w:cs="Cambria Math"/>
        </w:rPr>
        <w:t>₂</w:t>
      </w:r>
      <w:r w:rsidRPr="005A73C3">
        <w:rPr>
          <w:rFonts w:cs="Arial"/>
        </w:rPr>
        <w:t xml:space="preserve"> in the absence of photoexcitation: without incident light, no electron–hole pairs are generated, and the nanoparticles hinder charge percolation across the film.</w:t>
      </w:r>
    </w:p>
    <w:p w14:paraId="2D9B59A9" w14:textId="77777777" w:rsidR="005A73C3" w:rsidRPr="005A73C3" w:rsidRDefault="005A73C3" w:rsidP="005A73C3">
      <w:pPr>
        <w:pStyle w:val="CETBodytext"/>
        <w:rPr>
          <w:rFonts w:cs="Arial"/>
        </w:rPr>
      </w:pPr>
      <w:r w:rsidRPr="005A73C3">
        <w:rPr>
          <w:rFonts w:cs="Arial"/>
        </w:rPr>
        <w:t xml:space="preserve">The addition of a second </w:t>
      </w:r>
      <w:proofErr w:type="gramStart"/>
      <w:r w:rsidRPr="005A73C3">
        <w:rPr>
          <w:rFonts w:cs="Arial"/>
        </w:rPr>
        <w:t>PEDOT:PSS</w:t>
      </w:r>
      <w:proofErr w:type="gramEnd"/>
      <w:r w:rsidRPr="005A73C3">
        <w:rPr>
          <w:rFonts w:cs="Arial"/>
        </w:rPr>
        <w:t xml:space="preserve"> layer on top of the </w:t>
      </w:r>
      <w:proofErr w:type="spellStart"/>
      <w:r w:rsidRPr="005A73C3">
        <w:rPr>
          <w:rFonts w:cs="Arial"/>
        </w:rPr>
        <w:t>TiO</w:t>
      </w:r>
      <w:proofErr w:type="spellEnd"/>
      <w:r w:rsidRPr="005A73C3">
        <w:rPr>
          <w:rFonts w:ascii="Cambria Math" w:hAnsi="Cambria Math" w:cs="Cambria Math"/>
        </w:rPr>
        <w:t>₂</w:t>
      </w:r>
      <w:r w:rsidRPr="005A73C3">
        <w:rPr>
          <w:rFonts w:cs="Arial"/>
        </w:rPr>
        <w:t>-containing film partially recovered conductivity, likely by improving surface coverage, continuity, and interfacial contact between the conducting domains.</w:t>
      </w:r>
    </w:p>
    <w:p w14:paraId="3BCB61B7" w14:textId="3E7C17B5" w:rsidR="009770B2" w:rsidRDefault="005A73C3" w:rsidP="005A73C3">
      <w:pPr>
        <w:pStyle w:val="CETBodytext"/>
        <w:rPr>
          <w:rFonts w:cs="Arial"/>
        </w:rPr>
      </w:pPr>
      <w:r w:rsidRPr="005A73C3">
        <w:rPr>
          <w:rFonts w:cs="Arial"/>
        </w:rPr>
        <w:t xml:space="preserve">Similarly, both the blending and layering of </w:t>
      </w:r>
      <w:proofErr w:type="gramStart"/>
      <w:r w:rsidRPr="005A73C3">
        <w:rPr>
          <w:rFonts w:cs="Arial"/>
        </w:rPr>
        <w:t>PEDOT:PSS</w:t>
      </w:r>
      <w:proofErr w:type="gramEnd"/>
      <w:r w:rsidRPr="005A73C3">
        <w:rPr>
          <w:rFonts w:cs="Arial"/>
        </w:rPr>
        <w:t xml:space="preserve"> with poly(9-vinylcarbazole) (PVK) resulted in increased sheet resistance. Since PVK exhibits low intrinsic conductivity in its neutral ground state and does not generate photoexcited charge carriers</w:t>
      </w:r>
      <w:r w:rsidR="009E6379">
        <w:rPr>
          <w:rFonts w:cs="Arial"/>
        </w:rPr>
        <w:t>,</w:t>
      </w:r>
      <w:r w:rsidRPr="005A73C3">
        <w:rPr>
          <w:rFonts w:cs="Arial"/>
        </w:rPr>
        <w:t xml:space="preserve"> its incorporation </w:t>
      </w:r>
      <w:r w:rsidR="004B1C34">
        <w:rPr>
          <w:rFonts w:cs="Arial"/>
        </w:rPr>
        <w:t>disturbs</w:t>
      </w:r>
      <w:r w:rsidRPr="005A73C3">
        <w:rPr>
          <w:rFonts w:cs="Arial"/>
        </w:rPr>
        <w:t xml:space="preserve"> the conductive pathways within the </w:t>
      </w:r>
      <w:proofErr w:type="gramStart"/>
      <w:r w:rsidRPr="005A73C3">
        <w:rPr>
          <w:rFonts w:cs="Arial"/>
        </w:rPr>
        <w:t>PEDOT:PSS</w:t>
      </w:r>
      <w:proofErr w:type="gramEnd"/>
      <w:r w:rsidRPr="005A73C3">
        <w:rPr>
          <w:rFonts w:cs="Arial"/>
        </w:rPr>
        <w:t xml:space="preserve"> matrix, resulting in reduced overall charge transport. These findings serve as a reference for the intrinsic conductive behavior of films in the absence of illumination. </w:t>
      </w:r>
    </w:p>
    <w:p w14:paraId="3FE8C24D" w14:textId="77777777" w:rsidR="00846142" w:rsidRDefault="005A73C3" w:rsidP="00846142">
      <w:pPr>
        <w:pStyle w:val="CETBodytext"/>
        <w:rPr>
          <w:rFonts w:cs="Arial"/>
        </w:rPr>
      </w:pPr>
      <w:r w:rsidRPr="005A73C3">
        <w:rPr>
          <w:rFonts w:cs="Arial"/>
        </w:rPr>
        <w:t xml:space="preserve">Considering that many of these materials are designed for optoelectronic applications, where light plays a critical role in modulating electronic properties, future work will focus on investigating their </w:t>
      </w:r>
      <w:proofErr w:type="spellStart"/>
      <w:r w:rsidRPr="005A73C3">
        <w:rPr>
          <w:rFonts w:cs="Arial"/>
        </w:rPr>
        <w:t>photoresponse</w:t>
      </w:r>
      <w:proofErr w:type="spellEnd"/>
      <w:r w:rsidRPr="005A73C3">
        <w:rPr>
          <w:rFonts w:cs="Arial"/>
        </w:rPr>
        <w:t xml:space="preserve">. Measuring </w:t>
      </w:r>
      <w:r w:rsidRPr="005A73C3">
        <w:rPr>
          <w:rFonts w:cs="Arial"/>
        </w:rPr>
        <w:lastRenderedPageBreak/>
        <w:t xml:space="preserve">the evolution of sheet resistance under </w:t>
      </w:r>
      <w:proofErr w:type="gramStart"/>
      <w:r w:rsidRPr="005A73C3">
        <w:rPr>
          <w:rFonts w:cs="Arial"/>
        </w:rPr>
        <w:t>controlled</w:t>
      </w:r>
      <w:proofErr w:type="gramEnd"/>
      <w:r w:rsidRPr="005A73C3">
        <w:rPr>
          <w:rFonts w:cs="Arial"/>
        </w:rPr>
        <w:t xml:space="preserve"> illumination will offer valuable insights into light-induced charge generation, mobility, and recombination phenomena in these hybrid systems.</w:t>
      </w:r>
      <w:r w:rsidR="004E30AD">
        <w:rPr>
          <w:rFonts w:cs="Arial"/>
        </w:rPr>
        <w:t xml:space="preserve"> </w:t>
      </w:r>
    </w:p>
    <w:p w14:paraId="3CEF450F" w14:textId="042FFC25" w:rsidR="00846142" w:rsidRPr="00846142" w:rsidRDefault="00846142" w:rsidP="00846142">
      <w:pPr>
        <w:pStyle w:val="CETBodytext"/>
        <w:rPr>
          <w:rFonts w:cs="Arial"/>
        </w:rPr>
      </w:pPr>
      <w:r w:rsidRPr="00846142">
        <w:rPr>
          <w:rFonts w:cs="Arial"/>
        </w:rPr>
        <w:t>Further studies will also examine how different dopants affect the films’ mechanical properties, such as flexibility, as well as their optical behavior, including transparency and absorption.</w:t>
      </w:r>
    </w:p>
    <w:p w14:paraId="6B28956F" w14:textId="231ABD5B" w:rsidR="00280FAF" w:rsidRPr="00280FAF" w:rsidRDefault="00280FAF" w:rsidP="005A73C3">
      <w:pPr>
        <w:pStyle w:val="CETHeadingxx"/>
        <w:rPr>
          <w:lang w:val="en-GB"/>
        </w:rPr>
        <w:sectPr w:rsidR="00280FAF" w:rsidRPr="00280FAF" w:rsidSect="00A714EF">
          <w:type w:val="continuous"/>
          <w:pgSz w:w="11906" w:h="16838" w:code="9"/>
          <w:pgMar w:top="1701" w:right="1418" w:bottom="1701" w:left="1701" w:header="1701" w:footer="0" w:gutter="0"/>
          <w:cols w:space="708"/>
          <w:formProt w:val="0"/>
          <w:titlePg/>
          <w:docGrid w:linePitch="360"/>
        </w:sectPr>
      </w:pPr>
      <w:r>
        <w:t>Nomenclature</w:t>
      </w:r>
    </w:p>
    <w:p w14:paraId="0EF9AEC6" w14:textId="5FAA5A83" w:rsidR="00280FAF" w:rsidRPr="00E377D0" w:rsidRDefault="00F25049" w:rsidP="00F25049">
      <w:pPr>
        <w:pStyle w:val="CETBodytext"/>
        <w:jc w:val="left"/>
        <w:rPr>
          <w:rFonts w:eastAsia="SimSun"/>
        </w:rPr>
        <w:sectPr w:rsidR="00280FAF" w:rsidRPr="00E377D0" w:rsidSect="00A714EF">
          <w:type w:val="continuous"/>
          <w:pgSz w:w="11906" w:h="16838" w:code="9"/>
          <w:pgMar w:top="1701" w:right="1418" w:bottom="1701" w:left="1701" w:header="1701" w:footer="0" w:gutter="0"/>
          <w:cols w:num="2" w:space="708"/>
          <w:formProt w:val="0"/>
          <w:titlePg/>
          <w:docGrid w:linePitch="360"/>
        </w:sectPr>
      </w:pPr>
      <w:r>
        <w:rPr>
          <w:rFonts w:eastAsia="SimSun"/>
        </w:rPr>
        <w:t>R</w:t>
      </w:r>
      <w:r w:rsidRPr="00F25049">
        <w:rPr>
          <w:rFonts w:eastAsia="SimSun"/>
          <w:vertAlign w:val="subscript"/>
        </w:rPr>
        <w:t>S</w:t>
      </w:r>
      <w:r w:rsidR="00280FAF" w:rsidRPr="00280FAF">
        <w:rPr>
          <w:rFonts w:eastAsia="SimSun"/>
        </w:rPr>
        <w:t xml:space="preserve"> </w:t>
      </w:r>
      <w:r w:rsidRPr="00280FAF">
        <w:rPr>
          <w:rFonts w:eastAsia="SimSun"/>
        </w:rPr>
        <w:t xml:space="preserve">– </w:t>
      </w:r>
      <w:r>
        <w:rPr>
          <w:rFonts w:eastAsia="SimSun"/>
        </w:rPr>
        <w:t>sheet</w:t>
      </w:r>
      <w:r w:rsidRPr="00F25049">
        <w:rPr>
          <w:rFonts w:eastAsia="SimSun"/>
          <w:lang w:val="en-GB"/>
        </w:rPr>
        <w:t xml:space="preserve"> </w:t>
      </w:r>
      <w:r w:rsidR="008A3E80" w:rsidRPr="00F25049">
        <w:rPr>
          <w:rFonts w:eastAsia="SimSun"/>
          <w:lang w:val="en-GB"/>
        </w:rPr>
        <w:t>resistance</w:t>
      </w:r>
      <w:r w:rsidR="008A3E80">
        <w:rPr>
          <w:rFonts w:eastAsia="SimSun"/>
        </w:rPr>
        <w:t>, Ω</w:t>
      </w:r>
    </w:p>
    <w:p w14:paraId="1BB2A7B1" w14:textId="77777777" w:rsidR="00600535" w:rsidRPr="00B57B36" w:rsidRDefault="00600535" w:rsidP="00600535">
      <w:pPr>
        <w:pStyle w:val="CETAcknowledgementstitle"/>
      </w:pPr>
      <w:r w:rsidRPr="00B57B36">
        <w:t>Acknowledgments</w:t>
      </w:r>
    </w:p>
    <w:p w14:paraId="2FD7E8E6" w14:textId="77777777" w:rsidR="005A73C3" w:rsidRDefault="005A73C3" w:rsidP="00A630CC">
      <w:pPr>
        <w:pStyle w:val="CETReferencetext"/>
      </w:pPr>
      <w:r w:rsidRPr="005A73C3">
        <w:t xml:space="preserve">The authors gratefully acknowledge </w:t>
      </w:r>
      <w:proofErr w:type="spellStart"/>
      <w:r w:rsidRPr="005A73C3">
        <w:t>Dottorato</w:t>
      </w:r>
      <w:proofErr w:type="spellEnd"/>
      <w:r w:rsidRPr="005A73C3">
        <w:t xml:space="preserve"> di Interesse Nazionale “Photovoltaics”</w:t>
      </w:r>
      <w:r w:rsidR="00764A32">
        <w:t>.</w:t>
      </w:r>
    </w:p>
    <w:p w14:paraId="090E90DB" w14:textId="77777777" w:rsidR="00764A32" w:rsidRPr="005A73C3" w:rsidRDefault="00764A32" w:rsidP="00A630CC">
      <w:pPr>
        <w:pStyle w:val="CETReferencetext"/>
      </w:pPr>
    </w:p>
    <w:p w14:paraId="0ED7D81C" w14:textId="77777777" w:rsidR="00600535" w:rsidRDefault="00600535" w:rsidP="00764A32">
      <w:pPr>
        <w:pStyle w:val="CETReference"/>
      </w:pPr>
      <w:r w:rsidRPr="00B57B36">
        <w:t>References</w:t>
      </w:r>
    </w:p>
    <w:p w14:paraId="2751BA51" w14:textId="0F41214F" w:rsidR="004C0088" w:rsidRPr="004C0088" w:rsidRDefault="00760C0D" w:rsidP="004C0088">
      <w:pPr>
        <w:pStyle w:val="CETReferencetext"/>
      </w:pPr>
      <w:r>
        <w:fldChar w:fldCharType="begin"/>
      </w:r>
      <w:r>
        <w:instrText xml:space="preserve"> ADDIN ZOTERO_BIBL {"uncited":[],"omitted":[],"custom":[]} CSL_BIBLIOGRAPHY </w:instrText>
      </w:r>
      <w:r>
        <w:fldChar w:fldCharType="separate"/>
      </w:r>
      <w:r w:rsidR="004C0088" w:rsidRPr="004C0088">
        <w:t xml:space="preserve">Fan, X., Nie, W., Tsai, H., Wang, N., Huang, H., Cheng, Y., Wen, R., Ma, L., Yan, F., &amp; Xia, Y. (2019). PEDOT:PSS for Flexible and Stretchable Electronics: Modifications, Strategies, and Applications. </w:t>
      </w:r>
      <w:r w:rsidR="004C0088" w:rsidRPr="004C0088">
        <w:rPr>
          <w:i/>
          <w:iCs/>
        </w:rPr>
        <w:t>Advanced Science</w:t>
      </w:r>
      <w:r w:rsidR="004C0088" w:rsidRPr="004C0088">
        <w:t xml:space="preserve">, </w:t>
      </w:r>
      <w:r w:rsidR="004C0088" w:rsidRPr="004C0088">
        <w:rPr>
          <w:i/>
          <w:iCs/>
        </w:rPr>
        <w:t>6</w:t>
      </w:r>
      <w:r w:rsidR="004C0088" w:rsidRPr="004C0088">
        <w:t xml:space="preserve">(19), 1900813. </w:t>
      </w:r>
    </w:p>
    <w:p w14:paraId="05658D19" w14:textId="50A79676" w:rsidR="004C0088" w:rsidRPr="004C0088" w:rsidRDefault="004C0088" w:rsidP="004C0088">
      <w:pPr>
        <w:pStyle w:val="CETReferencetext"/>
      </w:pPr>
      <w:r w:rsidRPr="004C0088">
        <w:t xml:space="preserve">Groenendaal, L., Jonas, F., Freitag, D., Pielartzik, H., &amp; Reynolds, J. R. (2000). Poly(3,4-ethylenedioxythiophene) and Its Derivatives: Past, Present, and Future. </w:t>
      </w:r>
      <w:r w:rsidRPr="004C0088">
        <w:rPr>
          <w:i/>
          <w:iCs/>
        </w:rPr>
        <w:t>Advanced Materials</w:t>
      </w:r>
      <w:r w:rsidRPr="004C0088">
        <w:t xml:space="preserve">, </w:t>
      </w:r>
      <w:r w:rsidRPr="004C0088">
        <w:rPr>
          <w:i/>
          <w:iCs/>
        </w:rPr>
        <w:t>12</w:t>
      </w:r>
      <w:r w:rsidRPr="004C0088">
        <w:t xml:space="preserve">(7), 481–494. </w:t>
      </w:r>
    </w:p>
    <w:p w14:paraId="23E29921" w14:textId="484400A3" w:rsidR="004C0088" w:rsidRPr="004C0088" w:rsidRDefault="004C0088" w:rsidP="004C0088">
      <w:pPr>
        <w:pStyle w:val="CETReferencetext"/>
      </w:pPr>
      <w:r w:rsidRPr="004C0088">
        <w:t xml:space="preserve">Huang, Y., Tang, L., &amp; Jiang, Y. (2024). Chemical Strategies of Tailoring PEDOT:PSS for Bioelectronic Applications: Synthesis, Processing and Device Fabrication. </w:t>
      </w:r>
      <w:r w:rsidRPr="004C0088">
        <w:rPr>
          <w:i/>
          <w:iCs/>
        </w:rPr>
        <w:t>CCS Chemistry</w:t>
      </w:r>
      <w:r w:rsidRPr="004C0088">
        <w:t xml:space="preserve">, </w:t>
      </w:r>
      <w:r w:rsidRPr="004C0088">
        <w:rPr>
          <w:i/>
          <w:iCs/>
        </w:rPr>
        <w:t>6</w:t>
      </w:r>
      <w:r w:rsidRPr="004C0088">
        <w:t xml:space="preserve">(8), 1844–1867. </w:t>
      </w:r>
    </w:p>
    <w:p w14:paraId="47193E6F" w14:textId="73D949E6" w:rsidR="004C0088" w:rsidRPr="004C0088" w:rsidRDefault="004C0088" w:rsidP="004C0088">
      <w:pPr>
        <w:pStyle w:val="CETReferencetext"/>
      </w:pPr>
      <w:r w:rsidRPr="004C0088">
        <w:t xml:space="preserve">Kirchmeyer, S., &amp; Reuter, K. (2005). Scientific importance, properties and growing applications of poly(3,4-ethylenedioxythiophene). </w:t>
      </w:r>
      <w:r w:rsidRPr="004C0088">
        <w:rPr>
          <w:i/>
          <w:iCs/>
        </w:rPr>
        <w:t>Journal of Materials Chemistry</w:t>
      </w:r>
      <w:r w:rsidRPr="004C0088">
        <w:t xml:space="preserve">, </w:t>
      </w:r>
      <w:r w:rsidRPr="004C0088">
        <w:rPr>
          <w:i/>
          <w:iCs/>
        </w:rPr>
        <w:t>15</w:t>
      </w:r>
      <w:r w:rsidRPr="004C0088">
        <w:t xml:space="preserve">(21), 2077–2088. </w:t>
      </w:r>
    </w:p>
    <w:p w14:paraId="2E7D120D" w14:textId="71F4F0D7" w:rsidR="004C0088" w:rsidRPr="004C0088" w:rsidRDefault="004C0088" w:rsidP="004C0088">
      <w:pPr>
        <w:pStyle w:val="CETReferencetext"/>
        <w:rPr>
          <w:lang w:val="it-IT"/>
        </w:rPr>
      </w:pPr>
      <w:r w:rsidRPr="004C0088">
        <w:t xml:space="preserve">Nowsherwan, G. A., Ali, Q., Ali, U. F., Ahmad, M., Khan, M., &amp; Hussain, S. S. (2024). Advances in Organic Materials for Next-Generation Optoelectronics: Potential and Challenges. </w:t>
      </w:r>
      <w:r w:rsidRPr="004C0088">
        <w:rPr>
          <w:i/>
          <w:iCs/>
          <w:lang w:val="it-IT"/>
        </w:rPr>
        <w:t>Organics</w:t>
      </w:r>
      <w:r w:rsidRPr="004C0088">
        <w:rPr>
          <w:lang w:val="it-IT"/>
        </w:rPr>
        <w:t xml:space="preserve">, </w:t>
      </w:r>
      <w:r w:rsidRPr="004C0088">
        <w:rPr>
          <w:i/>
          <w:iCs/>
          <w:lang w:val="it-IT"/>
        </w:rPr>
        <w:t>5</w:t>
      </w:r>
      <w:r w:rsidRPr="004C0088">
        <w:rPr>
          <w:lang w:val="it-IT"/>
        </w:rPr>
        <w:t xml:space="preserve">(4), Articolo 4. </w:t>
      </w:r>
    </w:p>
    <w:p w14:paraId="0F2A3B84" w14:textId="5CC864B6" w:rsidR="004C0088" w:rsidRPr="004C0088" w:rsidRDefault="004C0088" w:rsidP="004C0088">
      <w:pPr>
        <w:pStyle w:val="CETReferencetext"/>
      </w:pPr>
      <w:r w:rsidRPr="004C0088">
        <w:rPr>
          <w:lang w:val="it-IT"/>
        </w:rPr>
        <w:t xml:space="preserve">Park, Y., Müller-Meskamp, L., Vandewal, K., &amp; Leo, K. (2016). </w:t>
      </w:r>
      <w:r w:rsidRPr="004C0088">
        <w:t xml:space="preserve">PEDOT:PSS with embedded TiO2 nanoparticles as light trapping electrode for organic photovoltaics. </w:t>
      </w:r>
      <w:r w:rsidRPr="004C0088">
        <w:rPr>
          <w:i/>
          <w:iCs/>
        </w:rPr>
        <w:t>Applied Physics Letters</w:t>
      </w:r>
      <w:r w:rsidRPr="004C0088">
        <w:t xml:space="preserve">, </w:t>
      </w:r>
      <w:r w:rsidRPr="004C0088">
        <w:rPr>
          <w:i/>
          <w:iCs/>
        </w:rPr>
        <w:t>108</w:t>
      </w:r>
      <w:r w:rsidRPr="004C0088">
        <w:t>(25), 253302.</w:t>
      </w:r>
    </w:p>
    <w:p w14:paraId="6239F2AB" w14:textId="0ECC76A8" w:rsidR="004C0088" w:rsidRPr="004C0088" w:rsidRDefault="004C0088" w:rsidP="004C0088">
      <w:pPr>
        <w:pStyle w:val="CETReferencetext"/>
      </w:pPr>
      <w:r w:rsidRPr="004C0088">
        <w:t xml:space="preserve">Reimer, B., &amp; Bässler, H. (1979). Fast hole transport in polyvinylcarbazole. </w:t>
      </w:r>
      <w:r w:rsidRPr="004C0088">
        <w:rPr>
          <w:i/>
          <w:iCs/>
        </w:rPr>
        <w:t>Physica Status Solidi (a)</w:t>
      </w:r>
      <w:r w:rsidRPr="004C0088">
        <w:t xml:space="preserve">, </w:t>
      </w:r>
      <w:r w:rsidRPr="004C0088">
        <w:rPr>
          <w:i/>
          <w:iCs/>
        </w:rPr>
        <w:t>51</w:t>
      </w:r>
      <w:r w:rsidRPr="004C0088">
        <w:t xml:space="preserve">(2), 445–451. </w:t>
      </w:r>
    </w:p>
    <w:p w14:paraId="641F8168" w14:textId="54F0CB05" w:rsidR="004C0088" w:rsidRPr="004C0088" w:rsidRDefault="004C0088" w:rsidP="004C0088">
      <w:pPr>
        <w:pStyle w:val="CETReferencetext"/>
      </w:pPr>
      <w:r w:rsidRPr="004C0088">
        <w:t xml:space="preserve">Semaltianos, N. G., Logothetidis, S., Hastas, N., Perrie, W., Romani, S., Potter, R. J., Dearden, G., Watkins, K. G., French, P., &amp; Sharp, M. (2010). Modification of the electrical properties of PEDOT:PSS by the incorporation of ZnO nanoparticles synthesized by laser ablation. </w:t>
      </w:r>
      <w:r w:rsidRPr="004C0088">
        <w:rPr>
          <w:i/>
          <w:iCs/>
        </w:rPr>
        <w:t>Chemical Physics Letters</w:t>
      </w:r>
      <w:r w:rsidRPr="004C0088">
        <w:t xml:space="preserve">, </w:t>
      </w:r>
      <w:r w:rsidRPr="004C0088">
        <w:rPr>
          <w:i/>
          <w:iCs/>
        </w:rPr>
        <w:t>484</w:t>
      </w:r>
      <w:r w:rsidRPr="004C0088">
        <w:t xml:space="preserve">(4–6), 283–289. </w:t>
      </w:r>
    </w:p>
    <w:p w14:paraId="27B45337" w14:textId="34A95D4D" w:rsidR="004C0088" w:rsidRPr="004C0088" w:rsidRDefault="004C0088" w:rsidP="004C0088">
      <w:pPr>
        <w:pStyle w:val="CETReferencetext"/>
      </w:pPr>
      <w:r w:rsidRPr="004C0088">
        <w:t xml:space="preserve">Shankar, U., Oberoi, D., &amp; Bandyopadhyay, A. (2022). A review on the alternative of indium tin oxide coated glass substrate in flexible and bendable organic optoelectronic device. </w:t>
      </w:r>
      <w:r w:rsidRPr="004C0088">
        <w:rPr>
          <w:i/>
          <w:iCs/>
        </w:rPr>
        <w:t>Polymers for Advanced Technologies</w:t>
      </w:r>
      <w:r w:rsidRPr="004C0088">
        <w:t xml:space="preserve">, </w:t>
      </w:r>
      <w:r w:rsidRPr="004C0088">
        <w:rPr>
          <w:i/>
          <w:iCs/>
        </w:rPr>
        <w:t>33</w:t>
      </w:r>
      <w:r w:rsidRPr="004C0088">
        <w:t>(10), 3078–3111.</w:t>
      </w:r>
    </w:p>
    <w:p w14:paraId="4BE9360D" w14:textId="606D2EAF" w:rsidR="004C0088" w:rsidRPr="004C0088" w:rsidRDefault="004C0088" w:rsidP="004C0088">
      <w:pPr>
        <w:pStyle w:val="CETReferencetext"/>
      </w:pPr>
      <w:r w:rsidRPr="004C0088">
        <w:t xml:space="preserve">Shi, H., Liu, C., Jiang, Q., &amp; Xu, J. (2015). Effective Approaches to Improve the Electrical Conductivity of PEDOT:PSS: A Review. </w:t>
      </w:r>
      <w:r w:rsidRPr="004C0088">
        <w:rPr>
          <w:i/>
          <w:iCs/>
        </w:rPr>
        <w:t>Advanced Electronic Materials</w:t>
      </w:r>
      <w:r w:rsidRPr="004C0088">
        <w:t xml:space="preserve">, </w:t>
      </w:r>
      <w:r w:rsidRPr="004C0088">
        <w:rPr>
          <w:i/>
          <w:iCs/>
        </w:rPr>
        <w:t>1</w:t>
      </w:r>
      <w:r w:rsidRPr="004C0088">
        <w:t xml:space="preserve">(4), 1500017. </w:t>
      </w:r>
    </w:p>
    <w:p w14:paraId="4CCB7F17" w14:textId="57A4D600" w:rsidR="004C0088" w:rsidRPr="004C0088" w:rsidRDefault="004C0088" w:rsidP="004C0088">
      <w:pPr>
        <w:pStyle w:val="CETReferencetext"/>
      </w:pPr>
      <w:r w:rsidRPr="004C0088">
        <w:t xml:space="preserve">Sun, Y., Shi, J., &amp; Meng, Q. (1996). Measurement of sheet resistance of cross microareas using a modified van der Pauw method. </w:t>
      </w:r>
      <w:r w:rsidRPr="004C0088">
        <w:rPr>
          <w:i/>
          <w:iCs/>
        </w:rPr>
        <w:t>Semiconductor Science and Technology</w:t>
      </w:r>
      <w:r w:rsidRPr="004C0088">
        <w:t xml:space="preserve">, </w:t>
      </w:r>
      <w:r w:rsidRPr="004C0088">
        <w:rPr>
          <w:i/>
          <w:iCs/>
        </w:rPr>
        <w:t>11</w:t>
      </w:r>
      <w:r w:rsidRPr="004C0088">
        <w:t xml:space="preserve">(5), 805. </w:t>
      </w:r>
    </w:p>
    <w:p w14:paraId="35D7848D" w14:textId="69B2A373" w:rsidR="004C0088" w:rsidRPr="004C0088" w:rsidRDefault="004C0088" w:rsidP="004C0088">
      <w:pPr>
        <w:pStyle w:val="CETReferencetext"/>
      </w:pPr>
      <w:r w:rsidRPr="004C0088">
        <w:t xml:space="preserve">Xia, Y., &amp; Ouyang, J. (2010). Significant Conductivity Enhancement of Conductive Poly(3,4-ethylenedioxythiophene): Poly(styrenesulfonate) Films through a Treatment with Organic Carboxylic Acids and Inorganic Acids. </w:t>
      </w:r>
      <w:r w:rsidRPr="004C0088">
        <w:rPr>
          <w:i/>
          <w:iCs/>
        </w:rPr>
        <w:t>ACS Applied Materials &amp; Interfaces</w:t>
      </w:r>
      <w:r w:rsidRPr="004C0088">
        <w:t xml:space="preserve">, </w:t>
      </w:r>
      <w:r w:rsidRPr="004C0088">
        <w:rPr>
          <w:i/>
          <w:iCs/>
        </w:rPr>
        <w:t>2</w:t>
      </w:r>
      <w:r w:rsidRPr="004C0088">
        <w:t xml:space="preserve">(2), 474–483. </w:t>
      </w:r>
    </w:p>
    <w:p w14:paraId="28275271" w14:textId="5C6CC15D" w:rsidR="004628D2" w:rsidRDefault="00760C0D" w:rsidP="004C0088">
      <w:pPr>
        <w:pStyle w:val="CETReferencetext"/>
      </w:pPr>
      <w:r>
        <w:fldChar w:fldCharType="end"/>
      </w: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16B10" w14:textId="77777777" w:rsidR="00161F1B" w:rsidRDefault="00161F1B" w:rsidP="004F5E36">
      <w:r>
        <w:separator/>
      </w:r>
    </w:p>
  </w:endnote>
  <w:endnote w:type="continuationSeparator" w:id="0">
    <w:p w14:paraId="67B89E35" w14:textId="77777777" w:rsidR="00161F1B" w:rsidRDefault="00161F1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10F4C" w14:textId="77777777" w:rsidR="00161F1B" w:rsidRDefault="00161F1B" w:rsidP="004F5E36">
      <w:r>
        <w:separator/>
      </w:r>
    </w:p>
  </w:footnote>
  <w:footnote w:type="continuationSeparator" w:id="0">
    <w:p w14:paraId="672378BC" w14:textId="77777777" w:rsidR="00161F1B" w:rsidRDefault="00161F1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72613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9124179">
    <w:abstractNumId w:val="10"/>
  </w:num>
  <w:num w:numId="2" w16cid:durableId="1996453216">
    <w:abstractNumId w:val="8"/>
  </w:num>
  <w:num w:numId="3" w16cid:durableId="199785368">
    <w:abstractNumId w:val="3"/>
  </w:num>
  <w:num w:numId="4" w16cid:durableId="1650748846">
    <w:abstractNumId w:val="2"/>
  </w:num>
  <w:num w:numId="5" w16cid:durableId="383019834">
    <w:abstractNumId w:val="1"/>
  </w:num>
  <w:num w:numId="6" w16cid:durableId="1362122395">
    <w:abstractNumId w:val="0"/>
  </w:num>
  <w:num w:numId="7" w16cid:durableId="94524120">
    <w:abstractNumId w:val="9"/>
  </w:num>
  <w:num w:numId="8" w16cid:durableId="1859659206">
    <w:abstractNumId w:val="7"/>
  </w:num>
  <w:num w:numId="9" w16cid:durableId="2068873064">
    <w:abstractNumId w:val="6"/>
  </w:num>
  <w:num w:numId="10" w16cid:durableId="41710665">
    <w:abstractNumId w:val="5"/>
  </w:num>
  <w:num w:numId="11" w16cid:durableId="570315451">
    <w:abstractNumId w:val="4"/>
  </w:num>
  <w:num w:numId="12" w16cid:durableId="545065841">
    <w:abstractNumId w:val="17"/>
  </w:num>
  <w:num w:numId="13" w16cid:durableId="2137674411">
    <w:abstractNumId w:val="12"/>
  </w:num>
  <w:num w:numId="14" w16cid:durableId="873349267">
    <w:abstractNumId w:val="18"/>
  </w:num>
  <w:num w:numId="15" w16cid:durableId="934748016">
    <w:abstractNumId w:val="20"/>
  </w:num>
  <w:num w:numId="16" w16cid:durableId="636296727">
    <w:abstractNumId w:val="19"/>
  </w:num>
  <w:num w:numId="17" w16cid:durableId="1737126304">
    <w:abstractNumId w:val="11"/>
  </w:num>
  <w:num w:numId="18" w16cid:durableId="1126240533">
    <w:abstractNumId w:val="12"/>
    <w:lvlOverride w:ilvl="0">
      <w:startOverride w:val="1"/>
    </w:lvlOverride>
  </w:num>
  <w:num w:numId="19" w16cid:durableId="1005285265">
    <w:abstractNumId w:val="16"/>
  </w:num>
  <w:num w:numId="20" w16cid:durableId="881750499">
    <w:abstractNumId w:val="15"/>
  </w:num>
  <w:num w:numId="21" w16cid:durableId="1728606440">
    <w:abstractNumId w:val="14"/>
  </w:num>
  <w:num w:numId="22" w16cid:durableId="16392574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5679"/>
    <w:rsid w:val="0003053E"/>
    <w:rsid w:val="0003148D"/>
    <w:rsid w:val="00031EEC"/>
    <w:rsid w:val="00040633"/>
    <w:rsid w:val="00044BDD"/>
    <w:rsid w:val="00051566"/>
    <w:rsid w:val="00054288"/>
    <w:rsid w:val="000562A9"/>
    <w:rsid w:val="000562D9"/>
    <w:rsid w:val="00062A9A"/>
    <w:rsid w:val="00065058"/>
    <w:rsid w:val="00071E5B"/>
    <w:rsid w:val="00086C39"/>
    <w:rsid w:val="000A03B2"/>
    <w:rsid w:val="000C4845"/>
    <w:rsid w:val="000D0268"/>
    <w:rsid w:val="000D34BE"/>
    <w:rsid w:val="000D626A"/>
    <w:rsid w:val="000E102F"/>
    <w:rsid w:val="000E334E"/>
    <w:rsid w:val="000E36F1"/>
    <w:rsid w:val="000E3A73"/>
    <w:rsid w:val="000E414A"/>
    <w:rsid w:val="000F093C"/>
    <w:rsid w:val="000F787B"/>
    <w:rsid w:val="001159F4"/>
    <w:rsid w:val="0012091F"/>
    <w:rsid w:val="00126BC2"/>
    <w:rsid w:val="001308B6"/>
    <w:rsid w:val="0013121F"/>
    <w:rsid w:val="00131FE6"/>
    <w:rsid w:val="0013263F"/>
    <w:rsid w:val="001331DF"/>
    <w:rsid w:val="00134DE4"/>
    <w:rsid w:val="0014034D"/>
    <w:rsid w:val="00144D16"/>
    <w:rsid w:val="001500F2"/>
    <w:rsid w:val="00150E59"/>
    <w:rsid w:val="00152DE3"/>
    <w:rsid w:val="0015748D"/>
    <w:rsid w:val="00161F1B"/>
    <w:rsid w:val="00164CF9"/>
    <w:rsid w:val="001667A6"/>
    <w:rsid w:val="001720F6"/>
    <w:rsid w:val="00184AD6"/>
    <w:rsid w:val="00191884"/>
    <w:rsid w:val="001A43FB"/>
    <w:rsid w:val="001A4AF7"/>
    <w:rsid w:val="001B0349"/>
    <w:rsid w:val="001B1E93"/>
    <w:rsid w:val="001B65C1"/>
    <w:rsid w:val="001C0D62"/>
    <w:rsid w:val="001C65DF"/>
    <w:rsid w:val="001C684B"/>
    <w:rsid w:val="001D0CFB"/>
    <w:rsid w:val="001D21AF"/>
    <w:rsid w:val="001D53FC"/>
    <w:rsid w:val="001E7B99"/>
    <w:rsid w:val="001F42A5"/>
    <w:rsid w:val="001F48F5"/>
    <w:rsid w:val="001F5101"/>
    <w:rsid w:val="001F7B9D"/>
    <w:rsid w:val="001F7F35"/>
    <w:rsid w:val="00201C93"/>
    <w:rsid w:val="002224B4"/>
    <w:rsid w:val="00231C03"/>
    <w:rsid w:val="002447EF"/>
    <w:rsid w:val="00251550"/>
    <w:rsid w:val="002625C4"/>
    <w:rsid w:val="00263B05"/>
    <w:rsid w:val="0027221A"/>
    <w:rsid w:val="00275B61"/>
    <w:rsid w:val="00276B62"/>
    <w:rsid w:val="00280FAF"/>
    <w:rsid w:val="00282656"/>
    <w:rsid w:val="00296B83"/>
    <w:rsid w:val="002A5F0B"/>
    <w:rsid w:val="002B4015"/>
    <w:rsid w:val="002B58FE"/>
    <w:rsid w:val="002B78CE"/>
    <w:rsid w:val="002C2FB6"/>
    <w:rsid w:val="002C5DCE"/>
    <w:rsid w:val="002E5FA7"/>
    <w:rsid w:val="002F3309"/>
    <w:rsid w:val="002F3C96"/>
    <w:rsid w:val="003008CE"/>
    <w:rsid w:val="003009B7"/>
    <w:rsid w:val="00300E56"/>
    <w:rsid w:val="0030152C"/>
    <w:rsid w:val="0030469C"/>
    <w:rsid w:val="00305DB6"/>
    <w:rsid w:val="00313E8E"/>
    <w:rsid w:val="00321CA6"/>
    <w:rsid w:val="00323763"/>
    <w:rsid w:val="00323C5F"/>
    <w:rsid w:val="00334C09"/>
    <w:rsid w:val="00337A15"/>
    <w:rsid w:val="00344D4F"/>
    <w:rsid w:val="00354C20"/>
    <w:rsid w:val="00362040"/>
    <w:rsid w:val="003723D4"/>
    <w:rsid w:val="00374F0E"/>
    <w:rsid w:val="00381905"/>
    <w:rsid w:val="00384CC8"/>
    <w:rsid w:val="003871FD"/>
    <w:rsid w:val="003A1E30"/>
    <w:rsid w:val="003A2829"/>
    <w:rsid w:val="003A7D1C"/>
    <w:rsid w:val="003B304B"/>
    <w:rsid w:val="003B3146"/>
    <w:rsid w:val="003C0990"/>
    <w:rsid w:val="003C2DC0"/>
    <w:rsid w:val="003C2EC5"/>
    <w:rsid w:val="003C5B09"/>
    <w:rsid w:val="003F015E"/>
    <w:rsid w:val="00400414"/>
    <w:rsid w:val="00410C7E"/>
    <w:rsid w:val="0041446B"/>
    <w:rsid w:val="00431D67"/>
    <w:rsid w:val="00432C83"/>
    <w:rsid w:val="0044071E"/>
    <w:rsid w:val="0044329C"/>
    <w:rsid w:val="00443C08"/>
    <w:rsid w:val="00453E24"/>
    <w:rsid w:val="00456E55"/>
    <w:rsid w:val="00457456"/>
    <w:rsid w:val="004577FE"/>
    <w:rsid w:val="00457B9C"/>
    <w:rsid w:val="0046164A"/>
    <w:rsid w:val="004628D2"/>
    <w:rsid w:val="00462DCD"/>
    <w:rsid w:val="004648AD"/>
    <w:rsid w:val="004703A9"/>
    <w:rsid w:val="004760DE"/>
    <w:rsid w:val="004763D7"/>
    <w:rsid w:val="00490AF3"/>
    <w:rsid w:val="004927A6"/>
    <w:rsid w:val="0049360A"/>
    <w:rsid w:val="004A004E"/>
    <w:rsid w:val="004A0ED9"/>
    <w:rsid w:val="004A24CF"/>
    <w:rsid w:val="004A7B77"/>
    <w:rsid w:val="004B1C34"/>
    <w:rsid w:val="004B3789"/>
    <w:rsid w:val="004B6196"/>
    <w:rsid w:val="004C0088"/>
    <w:rsid w:val="004C3D1D"/>
    <w:rsid w:val="004C3D84"/>
    <w:rsid w:val="004C7913"/>
    <w:rsid w:val="004D35E1"/>
    <w:rsid w:val="004D482F"/>
    <w:rsid w:val="004E30AD"/>
    <w:rsid w:val="004E4DD6"/>
    <w:rsid w:val="004E515E"/>
    <w:rsid w:val="004F5B61"/>
    <w:rsid w:val="004F5E36"/>
    <w:rsid w:val="00507B47"/>
    <w:rsid w:val="00507BEF"/>
    <w:rsid w:val="00507CC9"/>
    <w:rsid w:val="005119A5"/>
    <w:rsid w:val="005278B7"/>
    <w:rsid w:val="00532016"/>
    <w:rsid w:val="005346C8"/>
    <w:rsid w:val="00543E7D"/>
    <w:rsid w:val="00547A68"/>
    <w:rsid w:val="005531C9"/>
    <w:rsid w:val="00555A3E"/>
    <w:rsid w:val="00557E00"/>
    <w:rsid w:val="00570C43"/>
    <w:rsid w:val="00572DBC"/>
    <w:rsid w:val="00576D49"/>
    <w:rsid w:val="005777E5"/>
    <w:rsid w:val="00581F64"/>
    <w:rsid w:val="005939A8"/>
    <w:rsid w:val="005A73C3"/>
    <w:rsid w:val="005B2110"/>
    <w:rsid w:val="005B61E6"/>
    <w:rsid w:val="005C055C"/>
    <w:rsid w:val="005C77E1"/>
    <w:rsid w:val="005D668A"/>
    <w:rsid w:val="005D6A2F"/>
    <w:rsid w:val="005E1A82"/>
    <w:rsid w:val="005E794C"/>
    <w:rsid w:val="005F0A28"/>
    <w:rsid w:val="005F0E5E"/>
    <w:rsid w:val="005F5A36"/>
    <w:rsid w:val="00600535"/>
    <w:rsid w:val="006107D6"/>
    <w:rsid w:val="00610838"/>
    <w:rsid w:val="00610CD6"/>
    <w:rsid w:val="00620DEE"/>
    <w:rsid w:val="00621F92"/>
    <w:rsid w:val="0062280A"/>
    <w:rsid w:val="00625639"/>
    <w:rsid w:val="00631B33"/>
    <w:rsid w:val="0064184D"/>
    <w:rsid w:val="006422CC"/>
    <w:rsid w:val="00643E2E"/>
    <w:rsid w:val="00660E3E"/>
    <w:rsid w:val="00662E74"/>
    <w:rsid w:val="00667C66"/>
    <w:rsid w:val="00673F59"/>
    <w:rsid w:val="00676A1F"/>
    <w:rsid w:val="00680C23"/>
    <w:rsid w:val="00681460"/>
    <w:rsid w:val="00684865"/>
    <w:rsid w:val="00693766"/>
    <w:rsid w:val="00696081"/>
    <w:rsid w:val="006A3281"/>
    <w:rsid w:val="006B4888"/>
    <w:rsid w:val="006C2E45"/>
    <w:rsid w:val="006C359C"/>
    <w:rsid w:val="006C4367"/>
    <w:rsid w:val="006C4472"/>
    <w:rsid w:val="006C5579"/>
    <w:rsid w:val="006D6E8B"/>
    <w:rsid w:val="006D7333"/>
    <w:rsid w:val="006E737D"/>
    <w:rsid w:val="006F2894"/>
    <w:rsid w:val="006F3E14"/>
    <w:rsid w:val="00707DD1"/>
    <w:rsid w:val="00713973"/>
    <w:rsid w:val="00720A24"/>
    <w:rsid w:val="00722079"/>
    <w:rsid w:val="00732386"/>
    <w:rsid w:val="0073514D"/>
    <w:rsid w:val="007447F3"/>
    <w:rsid w:val="007545CA"/>
    <w:rsid w:val="0075499F"/>
    <w:rsid w:val="00760C0D"/>
    <w:rsid w:val="0076310A"/>
    <w:rsid w:val="00764A32"/>
    <w:rsid w:val="007661C8"/>
    <w:rsid w:val="0077098D"/>
    <w:rsid w:val="00775F49"/>
    <w:rsid w:val="007931FA"/>
    <w:rsid w:val="007A4861"/>
    <w:rsid w:val="007A7BBA"/>
    <w:rsid w:val="007B0C50"/>
    <w:rsid w:val="007B48F9"/>
    <w:rsid w:val="007C1A43"/>
    <w:rsid w:val="007C4224"/>
    <w:rsid w:val="007D0951"/>
    <w:rsid w:val="007E444C"/>
    <w:rsid w:val="0080013E"/>
    <w:rsid w:val="00801E82"/>
    <w:rsid w:val="0080736F"/>
    <w:rsid w:val="008073A5"/>
    <w:rsid w:val="00813288"/>
    <w:rsid w:val="008168FC"/>
    <w:rsid w:val="00822F99"/>
    <w:rsid w:val="00830996"/>
    <w:rsid w:val="008345F1"/>
    <w:rsid w:val="00846142"/>
    <w:rsid w:val="00865B07"/>
    <w:rsid w:val="008667EA"/>
    <w:rsid w:val="0087637F"/>
    <w:rsid w:val="00892AD5"/>
    <w:rsid w:val="00895BFB"/>
    <w:rsid w:val="008A1512"/>
    <w:rsid w:val="008A3E80"/>
    <w:rsid w:val="008C1E50"/>
    <w:rsid w:val="008D32B9"/>
    <w:rsid w:val="008D433B"/>
    <w:rsid w:val="008D4A16"/>
    <w:rsid w:val="008D6415"/>
    <w:rsid w:val="008E566E"/>
    <w:rsid w:val="008E58F7"/>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502F"/>
    <w:rsid w:val="00967843"/>
    <w:rsid w:val="00967D54"/>
    <w:rsid w:val="00971028"/>
    <w:rsid w:val="009770B2"/>
    <w:rsid w:val="009845A3"/>
    <w:rsid w:val="00993B84"/>
    <w:rsid w:val="00996483"/>
    <w:rsid w:val="00996F5A"/>
    <w:rsid w:val="009B041A"/>
    <w:rsid w:val="009C37C3"/>
    <w:rsid w:val="009C7C86"/>
    <w:rsid w:val="009D2FF7"/>
    <w:rsid w:val="009E6379"/>
    <w:rsid w:val="009E7884"/>
    <w:rsid w:val="009E788A"/>
    <w:rsid w:val="009F0E08"/>
    <w:rsid w:val="00A1763D"/>
    <w:rsid w:val="00A17CEC"/>
    <w:rsid w:val="00A25FDE"/>
    <w:rsid w:val="00A27EF0"/>
    <w:rsid w:val="00A3330A"/>
    <w:rsid w:val="00A3732A"/>
    <w:rsid w:val="00A42361"/>
    <w:rsid w:val="00A50B20"/>
    <w:rsid w:val="00A51390"/>
    <w:rsid w:val="00A53FD3"/>
    <w:rsid w:val="00A60D13"/>
    <w:rsid w:val="00A630CC"/>
    <w:rsid w:val="00A714EF"/>
    <w:rsid w:val="00A7223D"/>
    <w:rsid w:val="00A72745"/>
    <w:rsid w:val="00A76EFC"/>
    <w:rsid w:val="00A87D50"/>
    <w:rsid w:val="00A91010"/>
    <w:rsid w:val="00A97F29"/>
    <w:rsid w:val="00AA702E"/>
    <w:rsid w:val="00AA7D26"/>
    <w:rsid w:val="00AB0964"/>
    <w:rsid w:val="00AB4FC4"/>
    <w:rsid w:val="00AB5011"/>
    <w:rsid w:val="00AB7941"/>
    <w:rsid w:val="00AC7368"/>
    <w:rsid w:val="00AD0949"/>
    <w:rsid w:val="00AD16B9"/>
    <w:rsid w:val="00AD6AA9"/>
    <w:rsid w:val="00AE0D62"/>
    <w:rsid w:val="00AE377D"/>
    <w:rsid w:val="00AF0EBA"/>
    <w:rsid w:val="00AF46C8"/>
    <w:rsid w:val="00B02C8A"/>
    <w:rsid w:val="00B1156A"/>
    <w:rsid w:val="00B17FBD"/>
    <w:rsid w:val="00B315A6"/>
    <w:rsid w:val="00B31813"/>
    <w:rsid w:val="00B33365"/>
    <w:rsid w:val="00B37D4C"/>
    <w:rsid w:val="00B57B36"/>
    <w:rsid w:val="00B57E6F"/>
    <w:rsid w:val="00B70C88"/>
    <w:rsid w:val="00B8686D"/>
    <w:rsid w:val="00B93F69"/>
    <w:rsid w:val="00BA5216"/>
    <w:rsid w:val="00BB1DDC"/>
    <w:rsid w:val="00BC30C9"/>
    <w:rsid w:val="00BD077D"/>
    <w:rsid w:val="00BE39C3"/>
    <w:rsid w:val="00BE3E58"/>
    <w:rsid w:val="00BF04C3"/>
    <w:rsid w:val="00C01616"/>
    <w:rsid w:val="00C0162B"/>
    <w:rsid w:val="00C068ED"/>
    <w:rsid w:val="00C147FD"/>
    <w:rsid w:val="00C22E0C"/>
    <w:rsid w:val="00C24AF1"/>
    <w:rsid w:val="00C345B1"/>
    <w:rsid w:val="00C36222"/>
    <w:rsid w:val="00C37B2B"/>
    <w:rsid w:val="00C40142"/>
    <w:rsid w:val="00C52C3C"/>
    <w:rsid w:val="00C56F7F"/>
    <w:rsid w:val="00C57182"/>
    <w:rsid w:val="00C57863"/>
    <w:rsid w:val="00C640AF"/>
    <w:rsid w:val="00C655FD"/>
    <w:rsid w:val="00C65FA2"/>
    <w:rsid w:val="00C75407"/>
    <w:rsid w:val="00C841C6"/>
    <w:rsid w:val="00C870A8"/>
    <w:rsid w:val="00C94434"/>
    <w:rsid w:val="00CA0D75"/>
    <w:rsid w:val="00CA1C95"/>
    <w:rsid w:val="00CA5A9C"/>
    <w:rsid w:val="00CB7162"/>
    <w:rsid w:val="00CC4C20"/>
    <w:rsid w:val="00CD3517"/>
    <w:rsid w:val="00CD5FE2"/>
    <w:rsid w:val="00CE7C68"/>
    <w:rsid w:val="00CF5BFA"/>
    <w:rsid w:val="00D02B4C"/>
    <w:rsid w:val="00D03697"/>
    <w:rsid w:val="00D040C4"/>
    <w:rsid w:val="00D20AD1"/>
    <w:rsid w:val="00D22F11"/>
    <w:rsid w:val="00D2582C"/>
    <w:rsid w:val="00D34C5C"/>
    <w:rsid w:val="00D46B7E"/>
    <w:rsid w:val="00D51400"/>
    <w:rsid w:val="00D57C84"/>
    <w:rsid w:val="00D6057D"/>
    <w:rsid w:val="00D71640"/>
    <w:rsid w:val="00D836C5"/>
    <w:rsid w:val="00D84576"/>
    <w:rsid w:val="00D86F6D"/>
    <w:rsid w:val="00D91953"/>
    <w:rsid w:val="00D96C92"/>
    <w:rsid w:val="00DA1399"/>
    <w:rsid w:val="00DA24C6"/>
    <w:rsid w:val="00DA4D7B"/>
    <w:rsid w:val="00DA4FA3"/>
    <w:rsid w:val="00DA6539"/>
    <w:rsid w:val="00DB3517"/>
    <w:rsid w:val="00DC7F09"/>
    <w:rsid w:val="00DD271C"/>
    <w:rsid w:val="00DD72F6"/>
    <w:rsid w:val="00DE264A"/>
    <w:rsid w:val="00DF5072"/>
    <w:rsid w:val="00E02519"/>
    <w:rsid w:val="00E02D18"/>
    <w:rsid w:val="00E041E7"/>
    <w:rsid w:val="00E23CA1"/>
    <w:rsid w:val="00E409A8"/>
    <w:rsid w:val="00E4188A"/>
    <w:rsid w:val="00E4303F"/>
    <w:rsid w:val="00E50C12"/>
    <w:rsid w:val="00E52B95"/>
    <w:rsid w:val="00E54720"/>
    <w:rsid w:val="00E65B91"/>
    <w:rsid w:val="00E7209D"/>
    <w:rsid w:val="00E72AF1"/>
    <w:rsid w:val="00E72EAD"/>
    <w:rsid w:val="00E77223"/>
    <w:rsid w:val="00E8528B"/>
    <w:rsid w:val="00E85B94"/>
    <w:rsid w:val="00E978D0"/>
    <w:rsid w:val="00EA15F5"/>
    <w:rsid w:val="00EA222A"/>
    <w:rsid w:val="00EA4613"/>
    <w:rsid w:val="00EA7F91"/>
    <w:rsid w:val="00EB1523"/>
    <w:rsid w:val="00EB4918"/>
    <w:rsid w:val="00EC0E49"/>
    <w:rsid w:val="00EC101F"/>
    <w:rsid w:val="00EC1D9F"/>
    <w:rsid w:val="00EE0131"/>
    <w:rsid w:val="00EE17B0"/>
    <w:rsid w:val="00EE42C3"/>
    <w:rsid w:val="00EF06D9"/>
    <w:rsid w:val="00F018D4"/>
    <w:rsid w:val="00F25049"/>
    <w:rsid w:val="00F3049E"/>
    <w:rsid w:val="00F30C64"/>
    <w:rsid w:val="00F32BA2"/>
    <w:rsid w:val="00F32CDB"/>
    <w:rsid w:val="00F37C06"/>
    <w:rsid w:val="00F42CB6"/>
    <w:rsid w:val="00F554B5"/>
    <w:rsid w:val="00F565FE"/>
    <w:rsid w:val="00F63A70"/>
    <w:rsid w:val="00F63D8C"/>
    <w:rsid w:val="00F66807"/>
    <w:rsid w:val="00F7213C"/>
    <w:rsid w:val="00F7534E"/>
    <w:rsid w:val="00F93EDF"/>
    <w:rsid w:val="00F9674E"/>
    <w:rsid w:val="00FA1802"/>
    <w:rsid w:val="00FA21D0"/>
    <w:rsid w:val="00FA5F5F"/>
    <w:rsid w:val="00FA607A"/>
    <w:rsid w:val="00FB104B"/>
    <w:rsid w:val="00FB71C8"/>
    <w:rsid w:val="00FB730C"/>
    <w:rsid w:val="00FC2695"/>
    <w:rsid w:val="00FC3E03"/>
    <w:rsid w:val="00FC3FC1"/>
    <w:rsid w:val="00FD5B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BACB1C"/>
  <w14:defaultImageDpi w14:val="330"/>
  <w15:docId w15:val="{0F4B1194-7EF2-40F7-90E0-53A7570D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8073A5"/>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48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Menzionenonrisolta1">
    <w:name w:val="Menzione non risolta1"/>
    <w:basedOn w:val="Carpredefinitoparagrafo"/>
    <w:uiPriority w:val="99"/>
    <w:semiHidden/>
    <w:unhideWhenUsed/>
    <w:rsid w:val="00676A1F"/>
    <w:rPr>
      <w:color w:val="605E5C"/>
      <w:shd w:val="clear" w:color="auto" w:fill="E1DFDD"/>
    </w:rPr>
  </w:style>
  <w:style w:type="character" w:styleId="Collegamentovisitato">
    <w:name w:val="FollowedHyperlink"/>
    <w:basedOn w:val="Carpredefinitoparagrafo"/>
    <w:uiPriority w:val="99"/>
    <w:semiHidden/>
    <w:unhideWhenUsed/>
    <w:rsid w:val="00432C83"/>
    <w:rPr>
      <w:color w:val="800080" w:themeColor="followedHyperlink"/>
      <w:u w:val="single"/>
    </w:rPr>
  </w:style>
  <w:style w:type="paragraph" w:customStyle="1" w:styleId="Stile1">
    <w:name w:val="Stile1"/>
    <w:basedOn w:val="CETAddress"/>
    <w:link w:val="Stile1Carattere"/>
    <w:rsid w:val="008073A5"/>
    <w:rPr>
      <w:color w:val="000000" w:themeColor="text1"/>
      <w:vertAlign w:val="superscript"/>
      <w:lang w:val="it-IT"/>
    </w:rPr>
  </w:style>
  <w:style w:type="character" w:customStyle="1" w:styleId="Stile1Carattere">
    <w:name w:val="Stile1 Carattere"/>
    <w:basedOn w:val="CETAddressCarattere"/>
    <w:link w:val="Stile1"/>
    <w:rsid w:val="008073A5"/>
    <w:rPr>
      <w:rFonts w:ascii="Arial" w:eastAsia="Times New Roman" w:hAnsi="Arial" w:cs="Times New Roman"/>
      <w:noProof/>
      <w:color w:val="000000" w:themeColor="text1"/>
      <w:sz w:val="16"/>
      <w:szCs w:val="20"/>
      <w:vertAlign w:val="superscript"/>
      <w:lang w:val="en-GB"/>
    </w:rPr>
  </w:style>
  <w:style w:type="paragraph" w:styleId="Revisione">
    <w:name w:val="Revision"/>
    <w:hidden/>
    <w:uiPriority w:val="99"/>
    <w:semiHidden/>
    <w:rsid w:val="004C008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636200">
      <w:bodyDiv w:val="1"/>
      <w:marLeft w:val="0"/>
      <w:marRight w:val="0"/>
      <w:marTop w:val="0"/>
      <w:marBottom w:val="0"/>
      <w:divBdr>
        <w:top w:val="none" w:sz="0" w:space="0" w:color="auto"/>
        <w:left w:val="none" w:sz="0" w:space="0" w:color="auto"/>
        <w:bottom w:val="none" w:sz="0" w:space="0" w:color="auto"/>
        <w:right w:val="none" w:sz="0" w:space="0" w:color="auto"/>
      </w:divBdr>
    </w:div>
    <w:div w:id="314653271">
      <w:bodyDiv w:val="1"/>
      <w:marLeft w:val="0"/>
      <w:marRight w:val="0"/>
      <w:marTop w:val="0"/>
      <w:marBottom w:val="0"/>
      <w:divBdr>
        <w:top w:val="none" w:sz="0" w:space="0" w:color="auto"/>
        <w:left w:val="none" w:sz="0" w:space="0" w:color="auto"/>
        <w:bottom w:val="none" w:sz="0" w:space="0" w:color="auto"/>
        <w:right w:val="none" w:sz="0" w:space="0" w:color="auto"/>
      </w:divBdr>
      <w:divsChild>
        <w:div w:id="2113472660">
          <w:marLeft w:val="0"/>
          <w:marRight w:val="0"/>
          <w:marTop w:val="0"/>
          <w:marBottom w:val="0"/>
          <w:divBdr>
            <w:top w:val="none" w:sz="0" w:space="0" w:color="auto"/>
            <w:left w:val="none" w:sz="0" w:space="0" w:color="auto"/>
            <w:bottom w:val="none" w:sz="0" w:space="0" w:color="auto"/>
            <w:right w:val="none" w:sz="0" w:space="0" w:color="auto"/>
          </w:divBdr>
          <w:divsChild>
            <w:div w:id="2076780360">
              <w:marLeft w:val="0"/>
              <w:marRight w:val="0"/>
              <w:marTop w:val="0"/>
              <w:marBottom w:val="0"/>
              <w:divBdr>
                <w:top w:val="none" w:sz="0" w:space="0" w:color="auto"/>
                <w:left w:val="none" w:sz="0" w:space="0" w:color="auto"/>
                <w:bottom w:val="none" w:sz="0" w:space="0" w:color="auto"/>
                <w:right w:val="none" w:sz="0" w:space="0" w:color="auto"/>
              </w:divBdr>
              <w:divsChild>
                <w:div w:id="739328081">
                  <w:marLeft w:val="0"/>
                  <w:marRight w:val="0"/>
                  <w:marTop w:val="0"/>
                  <w:marBottom w:val="0"/>
                  <w:divBdr>
                    <w:top w:val="none" w:sz="0" w:space="0" w:color="auto"/>
                    <w:left w:val="none" w:sz="0" w:space="0" w:color="auto"/>
                    <w:bottom w:val="none" w:sz="0" w:space="0" w:color="auto"/>
                    <w:right w:val="none" w:sz="0" w:space="0" w:color="auto"/>
                  </w:divBdr>
                  <w:divsChild>
                    <w:div w:id="997655074">
                      <w:marLeft w:val="0"/>
                      <w:marRight w:val="0"/>
                      <w:marTop w:val="0"/>
                      <w:marBottom w:val="0"/>
                      <w:divBdr>
                        <w:top w:val="none" w:sz="0" w:space="0" w:color="auto"/>
                        <w:left w:val="none" w:sz="0" w:space="0" w:color="auto"/>
                        <w:bottom w:val="none" w:sz="0" w:space="0" w:color="auto"/>
                        <w:right w:val="none" w:sz="0" w:space="0" w:color="auto"/>
                      </w:divBdr>
                      <w:divsChild>
                        <w:div w:id="577783848">
                          <w:marLeft w:val="0"/>
                          <w:marRight w:val="0"/>
                          <w:marTop w:val="0"/>
                          <w:marBottom w:val="0"/>
                          <w:divBdr>
                            <w:top w:val="none" w:sz="0" w:space="0" w:color="auto"/>
                            <w:left w:val="none" w:sz="0" w:space="0" w:color="auto"/>
                            <w:bottom w:val="none" w:sz="0" w:space="0" w:color="auto"/>
                            <w:right w:val="none" w:sz="0" w:space="0" w:color="auto"/>
                          </w:divBdr>
                          <w:divsChild>
                            <w:div w:id="297687714">
                              <w:marLeft w:val="0"/>
                              <w:marRight w:val="0"/>
                              <w:marTop w:val="0"/>
                              <w:marBottom w:val="0"/>
                              <w:divBdr>
                                <w:top w:val="none" w:sz="0" w:space="0" w:color="auto"/>
                                <w:left w:val="none" w:sz="0" w:space="0" w:color="auto"/>
                                <w:bottom w:val="none" w:sz="0" w:space="0" w:color="auto"/>
                                <w:right w:val="none" w:sz="0" w:space="0" w:color="auto"/>
                              </w:divBdr>
                              <w:divsChild>
                                <w:div w:id="1112894328">
                                  <w:marLeft w:val="0"/>
                                  <w:marRight w:val="0"/>
                                  <w:marTop w:val="0"/>
                                  <w:marBottom w:val="0"/>
                                  <w:divBdr>
                                    <w:top w:val="none" w:sz="0" w:space="0" w:color="auto"/>
                                    <w:left w:val="none" w:sz="0" w:space="0" w:color="auto"/>
                                    <w:bottom w:val="none" w:sz="0" w:space="0" w:color="auto"/>
                                    <w:right w:val="none" w:sz="0" w:space="0" w:color="auto"/>
                                  </w:divBdr>
                                  <w:divsChild>
                                    <w:div w:id="21055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87751">
                      <w:marLeft w:val="0"/>
                      <w:marRight w:val="0"/>
                      <w:marTop w:val="0"/>
                      <w:marBottom w:val="0"/>
                      <w:divBdr>
                        <w:top w:val="none" w:sz="0" w:space="0" w:color="auto"/>
                        <w:left w:val="none" w:sz="0" w:space="0" w:color="auto"/>
                        <w:bottom w:val="none" w:sz="0" w:space="0" w:color="auto"/>
                        <w:right w:val="none" w:sz="0" w:space="0" w:color="auto"/>
                      </w:divBdr>
                      <w:divsChild>
                        <w:div w:id="17250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49392">
      <w:bodyDiv w:val="1"/>
      <w:marLeft w:val="0"/>
      <w:marRight w:val="0"/>
      <w:marTop w:val="0"/>
      <w:marBottom w:val="0"/>
      <w:divBdr>
        <w:top w:val="none" w:sz="0" w:space="0" w:color="auto"/>
        <w:left w:val="none" w:sz="0" w:space="0" w:color="auto"/>
        <w:bottom w:val="none" w:sz="0" w:space="0" w:color="auto"/>
        <w:right w:val="none" w:sz="0" w:space="0" w:color="auto"/>
      </w:divBdr>
    </w:div>
    <w:div w:id="7646951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774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3612348">
      <w:bodyDiv w:val="1"/>
      <w:marLeft w:val="0"/>
      <w:marRight w:val="0"/>
      <w:marTop w:val="0"/>
      <w:marBottom w:val="0"/>
      <w:divBdr>
        <w:top w:val="none" w:sz="0" w:space="0" w:color="auto"/>
        <w:left w:val="none" w:sz="0" w:space="0" w:color="auto"/>
        <w:bottom w:val="none" w:sz="0" w:space="0" w:color="auto"/>
        <w:right w:val="none" w:sz="0" w:space="0" w:color="auto"/>
      </w:divBdr>
      <w:divsChild>
        <w:div w:id="1333871896">
          <w:marLeft w:val="0"/>
          <w:marRight w:val="0"/>
          <w:marTop w:val="0"/>
          <w:marBottom w:val="0"/>
          <w:divBdr>
            <w:top w:val="none" w:sz="0" w:space="0" w:color="auto"/>
            <w:left w:val="none" w:sz="0" w:space="0" w:color="auto"/>
            <w:bottom w:val="none" w:sz="0" w:space="0" w:color="auto"/>
            <w:right w:val="none" w:sz="0" w:space="0" w:color="auto"/>
          </w:divBdr>
          <w:divsChild>
            <w:div w:id="1713844603">
              <w:marLeft w:val="0"/>
              <w:marRight w:val="0"/>
              <w:marTop w:val="0"/>
              <w:marBottom w:val="0"/>
              <w:divBdr>
                <w:top w:val="none" w:sz="0" w:space="0" w:color="auto"/>
                <w:left w:val="none" w:sz="0" w:space="0" w:color="auto"/>
                <w:bottom w:val="none" w:sz="0" w:space="0" w:color="auto"/>
                <w:right w:val="none" w:sz="0" w:space="0" w:color="auto"/>
              </w:divBdr>
              <w:divsChild>
                <w:div w:id="221715781">
                  <w:marLeft w:val="0"/>
                  <w:marRight w:val="0"/>
                  <w:marTop w:val="0"/>
                  <w:marBottom w:val="0"/>
                  <w:divBdr>
                    <w:top w:val="none" w:sz="0" w:space="0" w:color="auto"/>
                    <w:left w:val="none" w:sz="0" w:space="0" w:color="auto"/>
                    <w:bottom w:val="none" w:sz="0" w:space="0" w:color="auto"/>
                    <w:right w:val="none" w:sz="0" w:space="0" w:color="auto"/>
                  </w:divBdr>
                  <w:divsChild>
                    <w:div w:id="419958214">
                      <w:marLeft w:val="0"/>
                      <w:marRight w:val="0"/>
                      <w:marTop w:val="0"/>
                      <w:marBottom w:val="0"/>
                      <w:divBdr>
                        <w:top w:val="none" w:sz="0" w:space="0" w:color="auto"/>
                        <w:left w:val="none" w:sz="0" w:space="0" w:color="auto"/>
                        <w:bottom w:val="none" w:sz="0" w:space="0" w:color="auto"/>
                        <w:right w:val="none" w:sz="0" w:space="0" w:color="auto"/>
                      </w:divBdr>
                      <w:divsChild>
                        <w:div w:id="324869563">
                          <w:marLeft w:val="0"/>
                          <w:marRight w:val="0"/>
                          <w:marTop w:val="0"/>
                          <w:marBottom w:val="0"/>
                          <w:divBdr>
                            <w:top w:val="none" w:sz="0" w:space="0" w:color="auto"/>
                            <w:left w:val="none" w:sz="0" w:space="0" w:color="auto"/>
                            <w:bottom w:val="none" w:sz="0" w:space="0" w:color="auto"/>
                            <w:right w:val="none" w:sz="0" w:space="0" w:color="auto"/>
                          </w:divBdr>
                          <w:divsChild>
                            <w:div w:id="16856662">
                              <w:marLeft w:val="0"/>
                              <w:marRight w:val="0"/>
                              <w:marTop w:val="0"/>
                              <w:marBottom w:val="0"/>
                              <w:divBdr>
                                <w:top w:val="none" w:sz="0" w:space="0" w:color="auto"/>
                                <w:left w:val="none" w:sz="0" w:space="0" w:color="auto"/>
                                <w:bottom w:val="none" w:sz="0" w:space="0" w:color="auto"/>
                                <w:right w:val="none" w:sz="0" w:space="0" w:color="auto"/>
                              </w:divBdr>
                              <w:divsChild>
                                <w:div w:id="1863662583">
                                  <w:marLeft w:val="0"/>
                                  <w:marRight w:val="0"/>
                                  <w:marTop w:val="0"/>
                                  <w:marBottom w:val="0"/>
                                  <w:divBdr>
                                    <w:top w:val="none" w:sz="0" w:space="0" w:color="auto"/>
                                    <w:left w:val="none" w:sz="0" w:space="0" w:color="auto"/>
                                    <w:bottom w:val="none" w:sz="0" w:space="0" w:color="auto"/>
                                    <w:right w:val="none" w:sz="0" w:space="0" w:color="auto"/>
                                  </w:divBdr>
                                  <w:divsChild>
                                    <w:div w:id="1765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1965">
                      <w:marLeft w:val="0"/>
                      <w:marRight w:val="0"/>
                      <w:marTop w:val="0"/>
                      <w:marBottom w:val="0"/>
                      <w:divBdr>
                        <w:top w:val="none" w:sz="0" w:space="0" w:color="auto"/>
                        <w:left w:val="none" w:sz="0" w:space="0" w:color="auto"/>
                        <w:bottom w:val="none" w:sz="0" w:space="0" w:color="auto"/>
                        <w:right w:val="none" w:sz="0" w:space="0" w:color="auto"/>
                      </w:divBdr>
                      <w:divsChild>
                        <w:div w:id="20706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3818">
      <w:bodyDiv w:val="1"/>
      <w:marLeft w:val="0"/>
      <w:marRight w:val="0"/>
      <w:marTop w:val="0"/>
      <w:marBottom w:val="0"/>
      <w:divBdr>
        <w:top w:val="none" w:sz="0" w:space="0" w:color="auto"/>
        <w:left w:val="none" w:sz="0" w:space="0" w:color="auto"/>
        <w:bottom w:val="none" w:sz="0" w:space="0" w:color="auto"/>
        <w:right w:val="none" w:sz="0" w:space="0" w:color="auto"/>
      </w:divBdr>
    </w:div>
    <w:div w:id="969213213">
      <w:bodyDiv w:val="1"/>
      <w:marLeft w:val="0"/>
      <w:marRight w:val="0"/>
      <w:marTop w:val="0"/>
      <w:marBottom w:val="0"/>
      <w:divBdr>
        <w:top w:val="none" w:sz="0" w:space="0" w:color="auto"/>
        <w:left w:val="none" w:sz="0" w:space="0" w:color="auto"/>
        <w:bottom w:val="none" w:sz="0" w:space="0" w:color="auto"/>
        <w:right w:val="none" w:sz="0" w:space="0" w:color="auto"/>
      </w:divBdr>
    </w:div>
    <w:div w:id="132207461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4884">
      <w:bodyDiv w:val="1"/>
      <w:marLeft w:val="0"/>
      <w:marRight w:val="0"/>
      <w:marTop w:val="0"/>
      <w:marBottom w:val="0"/>
      <w:divBdr>
        <w:top w:val="none" w:sz="0" w:space="0" w:color="auto"/>
        <w:left w:val="none" w:sz="0" w:space="0" w:color="auto"/>
        <w:bottom w:val="none" w:sz="0" w:space="0" w:color="auto"/>
        <w:right w:val="none" w:sz="0" w:space="0" w:color="auto"/>
      </w:divBdr>
    </w:div>
    <w:div w:id="1946303188">
      <w:bodyDiv w:val="1"/>
      <w:marLeft w:val="0"/>
      <w:marRight w:val="0"/>
      <w:marTop w:val="0"/>
      <w:marBottom w:val="0"/>
      <w:divBdr>
        <w:top w:val="none" w:sz="0" w:space="0" w:color="auto"/>
        <w:left w:val="none" w:sz="0" w:space="0" w:color="auto"/>
        <w:bottom w:val="none" w:sz="0" w:space="0" w:color="auto"/>
        <w:right w:val="none" w:sz="0" w:space="0" w:color="auto"/>
      </w:divBdr>
    </w:div>
    <w:div w:id="1955213180">
      <w:bodyDiv w:val="1"/>
      <w:marLeft w:val="0"/>
      <w:marRight w:val="0"/>
      <w:marTop w:val="0"/>
      <w:marBottom w:val="0"/>
      <w:divBdr>
        <w:top w:val="none" w:sz="0" w:space="0" w:color="auto"/>
        <w:left w:val="none" w:sz="0" w:space="0" w:color="auto"/>
        <w:bottom w:val="none" w:sz="0" w:space="0" w:color="auto"/>
        <w:right w:val="none" w:sz="0" w:space="0" w:color="auto"/>
      </w:divBdr>
    </w:div>
    <w:div w:id="208583891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78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91EED-041B-48D1-96B2-6A5DB679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6</Pages>
  <Words>6444</Words>
  <Characters>39633</Characters>
  <Application>Microsoft Office Word</Application>
  <DocSecurity>0</DocSecurity>
  <Lines>671</Lines>
  <Paragraphs>324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Martina RECUPERO</cp:lastModifiedBy>
  <cp:revision>54</cp:revision>
  <cp:lastPrinted>2015-05-12T18:31:00Z</cp:lastPrinted>
  <dcterms:created xsi:type="dcterms:W3CDTF">2025-07-07T08:58:00Z</dcterms:created>
  <dcterms:modified xsi:type="dcterms:W3CDTF">2025-07-19T15:27:00Z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id="4enHRdDD"/&gt;&lt;style id="http://www.zotero.org/styles/apa" locale="it-IT" hasBibliography="1" bibliographyStyleHasBeenSet="1"/&gt;&lt;prefs&gt;&lt;pref name="fieldType" value="Field"/&gt;&lt;pref name="storeReference</vt:lpwstr>
  </property>
  <property fmtid="{D5CDD505-2E9C-101B-9397-08002B2CF9AE}" pid="3" name="ZOTERO_PREF_2">
    <vt:lpwstr>s" value="true"/&gt;&lt;/prefs&gt;&lt;/data&gt;</vt:lpwstr>
  </property>
  <property fmtid="{D5CDD505-2E9C-101B-9397-08002B2CF9AE}" pid="4" name="GrammarlyDocumentId">
    <vt:lpwstr>c8bba79a-5570-476b-963d-793949a44a53</vt:lpwstr>
  </property>
</Properties>
</file>