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Borders>
          <w:bottom w:val="single" w:sz="4" w:space="0" w:color="auto"/>
        </w:tblBorders>
        <w:tblLook w:val="01E0" w:firstRow="1" w:lastRow="1" w:firstColumn="1" w:lastColumn="1" w:noHBand="0" w:noVBand="0"/>
      </w:tblPr>
      <w:tblGrid>
        <w:gridCol w:w="6940"/>
        <w:gridCol w:w="1842"/>
      </w:tblGrid>
      <w:tr w:rsidR="000A03B2" w:rsidRPr="00B57B36" w14:paraId="2A131A54" w14:textId="77777777" w:rsidTr="00711421">
        <w:trPr>
          <w:trHeight w:val="852"/>
          <w:jc w:val="center"/>
        </w:trPr>
        <w:tc>
          <w:tcPr>
            <w:tcW w:w="6940" w:type="dxa"/>
            <w:vMerge w:val="restart"/>
            <w:tcBorders>
              <w:right w:val="single" w:sz="4" w:space="0" w:color="auto"/>
            </w:tcBorders>
          </w:tcPr>
          <w:p w14:paraId="38C3D2BA" w14:textId="77777777" w:rsidR="000A03B2" w:rsidRPr="00B57B36" w:rsidRDefault="000A03B2" w:rsidP="00DE264A">
            <w:pPr>
              <w:tabs>
                <w:tab w:val="left" w:pos="-108"/>
              </w:tabs>
              <w:ind w:left="-108"/>
              <w:jc w:val="left"/>
              <w:rPr>
                <w:rFonts w:cs="Arial"/>
                <w:b/>
                <w:bCs/>
                <w:i/>
                <w:iCs/>
                <w:color w:val="000066"/>
                <w:sz w:val="12"/>
                <w:szCs w:val="12"/>
                <w:lang w:eastAsia="it-IT"/>
              </w:rPr>
            </w:pPr>
            <w:r w:rsidRPr="00B57B36">
              <w:rPr>
                <w:rFonts w:ascii="AdvP6960" w:hAnsi="AdvP6960" w:cs="AdvP6960"/>
                <w:noProof/>
                <w:color w:val="241F20"/>
                <w:szCs w:val="18"/>
                <w:lang w:val="it-IT" w:eastAsia="it-IT"/>
              </w:rPr>
              <w:drawing>
                <wp:inline distT="0" distB="0" distL="0" distR="0" wp14:anchorId="02B7C3D3" wp14:editId="5EE03112">
                  <wp:extent cx="640080" cy="373380"/>
                  <wp:effectExtent l="0" t="0" r="7620" b="7620"/>
                  <wp:docPr id="5" name="Immagine 5" descr="ce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et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080" cy="373380"/>
                          </a:xfrm>
                          <a:prstGeom prst="rect">
                            <a:avLst/>
                          </a:prstGeom>
                          <a:noFill/>
                          <a:ln>
                            <a:noFill/>
                          </a:ln>
                        </pic:spPr>
                      </pic:pic>
                    </a:graphicData>
                  </a:graphic>
                </wp:inline>
              </w:drawing>
            </w:r>
            <w:r w:rsidRPr="00B57B36">
              <w:rPr>
                <w:rFonts w:ascii="AdvP6960" w:hAnsi="AdvP6960" w:cs="AdvP6960"/>
                <w:color w:val="241F20"/>
                <w:szCs w:val="18"/>
                <w:lang w:eastAsia="it-IT"/>
              </w:rPr>
              <w:t xml:space="preserve"> </w:t>
            </w:r>
            <w:r w:rsidRPr="00B57B36">
              <w:rPr>
                <w:rFonts w:cs="Arial"/>
                <w:b/>
                <w:bCs/>
                <w:i/>
                <w:iCs/>
                <w:color w:val="000066"/>
                <w:sz w:val="24"/>
                <w:szCs w:val="24"/>
                <w:lang w:eastAsia="it-IT"/>
              </w:rPr>
              <w:t>CHEMICAL ENGINEERING</w:t>
            </w:r>
            <w:r w:rsidRPr="00B57B36">
              <w:rPr>
                <w:rFonts w:cs="Arial"/>
                <w:b/>
                <w:bCs/>
                <w:i/>
                <w:iCs/>
                <w:color w:val="0033FF"/>
                <w:sz w:val="24"/>
                <w:szCs w:val="24"/>
                <w:lang w:eastAsia="it-IT"/>
              </w:rPr>
              <w:t xml:space="preserve"> </w:t>
            </w:r>
            <w:r w:rsidRPr="00B57B36">
              <w:rPr>
                <w:rFonts w:cs="Arial"/>
                <w:b/>
                <w:bCs/>
                <w:i/>
                <w:iCs/>
                <w:color w:val="666666"/>
                <w:sz w:val="24"/>
                <w:szCs w:val="24"/>
                <w:lang w:eastAsia="it-IT"/>
              </w:rPr>
              <w:t>TRANSACTIONS</w:t>
            </w:r>
            <w:r w:rsidRPr="00B57B36">
              <w:rPr>
                <w:color w:val="333333"/>
                <w:sz w:val="24"/>
                <w:szCs w:val="24"/>
                <w:lang w:eastAsia="it-IT"/>
              </w:rPr>
              <w:t xml:space="preserve"> </w:t>
            </w:r>
            <w:r w:rsidRPr="00B57B36">
              <w:rPr>
                <w:rFonts w:cs="Arial"/>
                <w:b/>
                <w:bCs/>
                <w:i/>
                <w:iCs/>
                <w:color w:val="000066"/>
                <w:sz w:val="27"/>
                <w:szCs w:val="27"/>
                <w:lang w:eastAsia="it-IT"/>
              </w:rPr>
              <w:br/>
            </w:r>
          </w:p>
          <w:p w14:paraId="4B780582" w14:textId="0DAB3DDA" w:rsidR="000A03B2" w:rsidRPr="00B57B36" w:rsidRDefault="00A76EFC" w:rsidP="001D21AF">
            <w:pPr>
              <w:tabs>
                <w:tab w:val="left" w:pos="-108"/>
              </w:tabs>
              <w:ind w:left="-108"/>
              <w:rPr>
                <w:rFonts w:cs="Arial"/>
                <w:b/>
                <w:bCs/>
                <w:i/>
                <w:iCs/>
                <w:color w:val="000066"/>
                <w:sz w:val="22"/>
                <w:szCs w:val="22"/>
                <w:lang w:eastAsia="it-IT"/>
              </w:rPr>
            </w:pPr>
            <w:r w:rsidRPr="00B57B36">
              <w:rPr>
                <w:rFonts w:cs="Arial"/>
                <w:b/>
                <w:bCs/>
                <w:i/>
                <w:iCs/>
                <w:color w:val="000066"/>
                <w:sz w:val="22"/>
                <w:szCs w:val="22"/>
                <w:lang w:eastAsia="it-IT"/>
              </w:rPr>
              <w:t xml:space="preserve">VOL. </w:t>
            </w:r>
            <w:r w:rsidR="0030152C">
              <w:rPr>
                <w:rFonts w:cs="Arial"/>
                <w:b/>
                <w:bCs/>
                <w:i/>
                <w:iCs/>
                <w:color w:val="000066"/>
                <w:sz w:val="22"/>
                <w:szCs w:val="22"/>
                <w:lang w:eastAsia="it-IT"/>
              </w:rPr>
              <w:t xml:space="preserve"> </w:t>
            </w:r>
            <w:proofErr w:type="gramStart"/>
            <w:r w:rsidR="0030152C">
              <w:rPr>
                <w:rFonts w:cs="Arial"/>
                <w:b/>
                <w:bCs/>
                <w:i/>
                <w:iCs/>
                <w:color w:val="000066"/>
                <w:sz w:val="22"/>
                <w:szCs w:val="22"/>
                <w:lang w:eastAsia="it-IT"/>
              </w:rPr>
              <w:t xml:space="preserve">  </w:t>
            </w:r>
            <w:r w:rsidR="007B48F9">
              <w:rPr>
                <w:rFonts w:cs="Arial"/>
                <w:b/>
                <w:bCs/>
                <w:i/>
                <w:iCs/>
                <w:color w:val="000066"/>
                <w:sz w:val="22"/>
                <w:szCs w:val="22"/>
                <w:lang w:eastAsia="it-IT"/>
              </w:rPr>
              <w:t>,</w:t>
            </w:r>
            <w:proofErr w:type="gramEnd"/>
            <w:r w:rsidR="00FA5F5F">
              <w:rPr>
                <w:rFonts w:cs="Arial"/>
                <w:b/>
                <w:bCs/>
                <w:i/>
                <w:iCs/>
                <w:color w:val="000066"/>
                <w:sz w:val="22"/>
                <w:szCs w:val="22"/>
                <w:lang w:eastAsia="it-IT"/>
              </w:rPr>
              <w:t xml:space="preserve"> </w:t>
            </w:r>
            <w:r w:rsidR="0030152C">
              <w:rPr>
                <w:rFonts w:cs="Arial"/>
                <w:b/>
                <w:bCs/>
                <w:i/>
                <w:iCs/>
                <w:color w:val="000066"/>
                <w:sz w:val="22"/>
                <w:szCs w:val="22"/>
                <w:lang w:eastAsia="it-IT"/>
              </w:rPr>
              <w:t>202</w:t>
            </w:r>
            <w:r w:rsidR="00C24AF1">
              <w:rPr>
                <w:rFonts w:cs="Arial"/>
                <w:b/>
                <w:bCs/>
                <w:i/>
                <w:iCs/>
                <w:color w:val="000066"/>
                <w:sz w:val="22"/>
                <w:szCs w:val="22"/>
                <w:lang w:eastAsia="it-IT"/>
              </w:rPr>
              <w:t>5</w:t>
            </w:r>
          </w:p>
        </w:tc>
        <w:tc>
          <w:tcPr>
            <w:tcW w:w="1842" w:type="dxa"/>
            <w:tcBorders>
              <w:left w:val="single" w:sz="4" w:space="0" w:color="auto"/>
              <w:bottom w:val="nil"/>
              <w:right w:val="single" w:sz="4" w:space="0" w:color="auto"/>
            </w:tcBorders>
          </w:tcPr>
          <w:p w14:paraId="56782132" w14:textId="77777777" w:rsidR="000A03B2" w:rsidRPr="00B57B36" w:rsidRDefault="000A03B2" w:rsidP="00CD5FE2">
            <w:pPr>
              <w:spacing w:line="140" w:lineRule="atLeast"/>
              <w:jc w:val="right"/>
              <w:rPr>
                <w:rFonts w:cs="Arial"/>
                <w:sz w:val="14"/>
                <w:szCs w:val="14"/>
              </w:rPr>
            </w:pPr>
            <w:r w:rsidRPr="00B57B36">
              <w:rPr>
                <w:rFonts w:cs="Arial"/>
                <w:sz w:val="14"/>
                <w:szCs w:val="14"/>
              </w:rPr>
              <w:t>A publication of</w:t>
            </w:r>
          </w:p>
          <w:p w14:paraId="599E5441" w14:textId="77777777" w:rsidR="000A03B2" w:rsidRPr="00B57B36" w:rsidRDefault="000A03B2" w:rsidP="00CD5FE2">
            <w:pPr>
              <w:jc w:val="right"/>
            </w:pPr>
            <w:r w:rsidRPr="00B57B36">
              <w:rPr>
                <w:noProof/>
                <w:lang w:val="it-IT" w:eastAsia="it-IT"/>
              </w:rPr>
              <w:drawing>
                <wp:inline distT="0" distB="0" distL="0" distR="0" wp14:anchorId="59C75AF4" wp14:editId="4FF92432">
                  <wp:extent cx="670560" cy="358140"/>
                  <wp:effectExtent l="0" t="0" r="0" b="3810"/>
                  <wp:docPr id="6" name="Immagine 6" descr="aidiclogo_gran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idiclogo_grand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0560" cy="358140"/>
                          </a:xfrm>
                          <a:prstGeom prst="rect">
                            <a:avLst/>
                          </a:prstGeom>
                          <a:noFill/>
                          <a:ln>
                            <a:noFill/>
                          </a:ln>
                        </pic:spPr>
                      </pic:pic>
                    </a:graphicData>
                  </a:graphic>
                </wp:inline>
              </w:drawing>
            </w:r>
          </w:p>
        </w:tc>
      </w:tr>
      <w:tr w:rsidR="000A03B2" w:rsidRPr="00B57B36" w14:paraId="380FA3CD" w14:textId="77777777" w:rsidTr="00711421">
        <w:trPr>
          <w:trHeight w:val="567"/>
          <w:jc w:val="center"/>
        </w:trPr>
        <w:tc>
          <w:tcPr>
            <w:tcW w:w="6940" w:type="dxa"/>
            <w:vMerge/>
            <w:tcBorders>
              <w:right w:val="single" w:sz="4" w:space="0" w:color="auto"/>
            </w:tcBorders>
          </w:tcPr>
          <w:p w14:paraId="39E5E4C1" w14:textId="77777777" w:rsidR="000A03B2" w:rsidRPr="00B57B36" w:rsidRDefault="000A03B2" w:rsidP="00CD5FE2">
            <w:pPr>
              <w:tabs>
                <w:tab w:val="left" w:pos="-108"/>
              </w:tabs>
            </w:pPr>
          </w:p>
        </w:tc>
        <w:tc>
          <w:tcPr>
            <w:tcW w:w="1842" w:type="dxa"/>
            <w:tcBorders>
              <w:left w:val="single" w:sz="4" w:space="0" w:color="auto"/>
              <w:bottom w:val="nil"/>
              <w:right w:val="single" w:sz="4" w:space="0" w:color="auto"/>
            </w:tcBorders>
          </w:tcPr>
          <w:p w14:paraId="43858A98" w14:textId="77777777" w:rsidR="000A03B2" w:rsidRPr="00B57B36" w:rsidRDefault="000A03B2" w:rsidP="00CD5FE2">
            <w:pPr>
              <w:spacing w:line="140" w:lineRule="atLeast"/>
              <w:jc w:val="right"/>
              <w:rPr>
                <w:rFonts w:cs="Arial"/>
                <w:sz w:val="14"/>
                <w:szCs w:val="14"/>
              </w:rPr>
            </w:pPr>
            <w:r w:rsidRPr="00B57B36">
              <w:rPr>
                <w:rFonts w:cs="Arial"/>
                <w:sz w:val="14"/>
                <w:szCs w:val="14"/>
              </w:rPr>
              <w:t>The Italian Association</w:t>
            </w:r>
          </w:p>
          <w:p w14:paraId="7522B1D2" w14:textId="77777777" w:rsidR="000A03B2" w:rsidRPr="00B57B36" w:rsidRDefault="000A03B2" w:rsidP="00CD5FE2">
            <w:pPr>
              <w:spacing w:line="140" w:lineRule="atLeast"/>
              <w:jc w:val="right"/>
              <w:rPr>
                <w:rFonts w:cs="Arial"/>
                <w:sz w:val="14"/>
                <w:szCs w:val="14"/>
              </w:rPr>
            </w:pPr>
            <w:r w:rsidRPr="00B57B36">
              <w:rPr>
                <w:rFonts w:cs="Arial"/>
                <w:sz w:val="14"/>
                <w:szCs w:val="14"/>
              </w:rPr>
              <w:t>of Chemical Engineering</w:t>
            </w:r>
          </w:p>
          <w:p w14:paraId="4F0CC5DE" w14:textId="47FDB2FC" w:rsidR="000A03B2" w:rsidRPr="000D0268" w:rsidRDefault="000D0268" w:rsidP="00CD5FE2">
            <w:pPr>
              <w:spacing w:line="140" w:lineRule="atLeast"/>
              <w:jc w:val="right"/>
              <w:rPr>
                <w:rFonts w:cs="Arial"/>
                <w:sz w:val="13"/>
                <w:szCs w:val="13"/>
              </w:rPr>
            </w:pPr>
            <w:r w:rsidRPr="000D0268">
              <w:rPr>
                <w:rFonts w:cs="Arial"/>
                <w:sz w:val="13"/>
                <w:szCs w:val="13"/>
              </w:rPr>
              <w:t>Online at www.cetjournal.it</w:t>
            </w:r>
          </w:p>
        </w:tc>
      </w:tr>
      <w:tr w:rsidR="000A03B2" w:rsidRPr="00B57B36" w14:paraId="2D1B7169" w14:textId="77777777" w:rsidTr="00711421">
        <w:trPr>
          <w:trHeight w:val="68"/>
          <w:jc w:val="center"/>
        </w:trPr>
        <w:tc>
          <w:tcPr>
            <w:tcW w:w="8782" w:type="dxa"/>
            <w:gridSpan w:val="2"/>
          </w:tcPr>
          <w:p w14:paraId="1D8DD3C9" w14:textId="30FEC83E" w:rsidR="00AA7D26" w:rsidRPr="00FB41CD" w:rsidRDefault="00AA7D26" w:rsidP="00AA7D26">
            <w:pPr>
              <w:ind w:left="-107"/>
              <w:outlineLvl w:val="2"/>
              <w:rPr>
                <w:rFonts w:ascii="Tahoma" w:hAnsi="Tahoma" w:cs="Tahoma"/>
                <w:bCs/>
                <w:color w:val="000000"/>
                <w:sz w:val="14"/>
                <w:szCs w:val="14"/>
                <w:lang w:val="it-IT" w:eastAsia="it-IT"/>
              </w:rPr>
            </w:pPr>
            <w:r w:rsidRPr="00FB41CD">
              <w:rPr>
                <w:rFonts w:ascii="Tahoma" w:hAnsi="Tahoma" w:cs="Tahoma"/>
                <w:iCs/>
                <w:color w:val="333333"/>
                <w:sz w:val="14"/>
                <w:szCs w:val="14"/>
                <w:lang w:val="it-IT" w:eastAsia="it-IT"/>
              </w:rPr>
              <w:t>Guest Editors:</w:t>
            </w:r>
            <w:r w:rsidRPr="00FB41CD">
              <w:rPr>
                <w:rFonts w:ascii="Tahoma" w:hAnsi="Tahoma" w:cs="Tahoma"/>
                <w:color w:val="000000"/>
                <w:sz w:val="14"/>
                <w:szCs w:val="14"/>
                <w:shd w:val="clear" w:color="auto" w:fill="FFFFFF"/>
                <w:lang w:val="it-IT"/>
              </w:rPr>
              <w:t xml:space="preserve"> </w:t>
            </w:r>
            <w:r w:rsidR="00FB41CD" w:rsidRPr="0042148A">
              <w:rPr>
                <w:rFonts w:ascii="Tahoma" w:hAnsi="Tahoma" w:cs="Tahoma"/>
                <w:color w:val="000000"/>
                <w:sz w:val="14"/>
                <w:szCs w:val="14"/>
                <w:shd w:val="clear" w:color="auto" w:fill="FFFFFF"/>
                <w:lang w:val="it-IT"/>
              </w:rPr>
              <w:t>Paolo Ciambelli, Luca di Palma</w:t>
            </w:r>
          </w:p>
          <w:p w14:paraId="1B0F1814" w14:textId="6F18EEAD" w:rsidR="000A03B2" w:rsidRPr="00B57B36" w:rsidRDefault="00AA7D26" w:rsidP="00AA7D26">
            <w:pPr>
              <w:tabs>
                <w:tab w:val="left" w:pos="-108"/>
              </w:tabs>
              <w:spacing w:line="140" w:lineRule="atLeast"/>
              <w:ind w:left="-107"/>
              <w:jc w:val="left"/>
            </w:pPr>
            <w:r>
              <w:rPr>
                <w:rFonts w:ascii="Tahoma" w:hAnsi="Tahoma" w:cs="Tahoma"/>
                <w:iCs/>
                <w:color w:val="333333"/>
                <w:sz w:val="14"/>
                <w:szCs w:val="14"/>
                <w:lang w:eastAsia="it-IT"/>
              </w:rPr>
              <w:t>Copyright © 202</w:t>
            </w:r>
            <w:r w:rsidR="00C24AF1">
              <w:rPr>
                <w:rFonts w:ascii="Tahoma" w:hAnsi="Tahoma" w:cs="Tahoma"/>
                <w:iCs/>
                <w:color w:val="333333"/>
                <w:sz w:val="14"/>
                <w:szCs w:val="14"/>
                <w:lang w:eastAsia="it-IT"/>
              </w:rPr>
              <w:t>5</w:t>
            </w:r>
            <w:r w:rsidRPr="00B57B36">
              <w:rPr>
                <w:rFonts w:ascii="Tahoma" w:hAnsi="Tahoma" w:cs="Tahoma"/>
                <w:iCs/>
                <w:color w:val="333333"/>
                <w:sz w:val="14"/>
                <w:szCs w:val="14"/>
                <w:lang w:eastAsia="it-IT"/>
              </w:rPr>
              <w:t xml:space="preserve">, AIDIC </w:t>
            </w:r>
            <w:proofErr w:type="spellStart"/>
            <w:r w:rsidRPr="00B57B36">
              <w:rPr>
                <w:rFonts w:ascii="Tahoma" w:hAnsi="Tahoma" w:cs="Tahoma"/>
                <w:iCs/>
                <w:color w:val="333333"/>
                <w:sz w:val="14"/>
                <w:szCs w:val="14"/>
                <w:lang w:eastAsia="it-IT"/>
              </w:rPr>
              <w:t>Servizi</w:t>
            </w:r>
            <w:proofErr w:type="spellEnd"/>
            <w:r w:rsidRPr="00B57B36">
              <w:rPr>
                <w:rFonts w:ascii="Tahoma" w:hAnsi="Tahoma" w:cs="Tahoma"/>
                <w:iCs/>
                <w:color w:val="333333"/>
                <w:sz w:val="14"/>
                <w:szCs w:val="14"/>
                <w:lang w:eastAsia="it-IT"/>
              </w:rPr>
              <w:t xml:space="preserve"> </w:t>
            </w:r>
            <w:proofErr w:type="spellStart"/>
            <w:r w:rsidRPr="00B57B36">
              <w:rPr>
                <w:rFonts w:ascii="Tahoma" w:hAnsi="Tahoma" w:cs="Tahoma"/>
                <w:iCs/>
                <w:color w:val="333333"/>
                <w:sz w:val="14"/>
                <w:szCs w:val="14"/>
                <w:lang w:eastAsia="it-IT"/>
              </w:rPr>
              <w:t>S.r.l</w:t>
            </w:r>
            <w:proofErr w:type="spellEnd"/>
            <w:r w:rsidRPr="00B57B36">
              <w:rPr>
                <w:rFonts w:ascii="Tahoma" w:hAnsi="Tahoma" w:cs="Tahoma"/>
                <w:iCs/>
                <w:color w:val="333333"/>
                <w:sz w:val="14"/>
                <w:szCs w:val="14"/>
                <w:lang w:eastAsia="it-IT"/>
              </w:rPr>
              <w:t>.</w:t>
            </w:r>
            <w:r w:rsidRPr="00B57B36">
              <w:rPr>
                <w:rFonts w:ascii="Tahoma" w:hAnsi="Tahoma" w:cs="Tahoma"/>
                <w:iCs/>
                <w:color w:val="333333"/>
                <w:sz w:val="14"/>
                <w:szCs w:val="14"/>
                <w:lang w:eastAsia="it-IT"/>
              </w:rPr>
              <w:br/>
            </w:r>
            <w:r w:rsidRPr="00B57B36">
              <w:rPr>
                <w:rFonts w:ascii="Tahoma" w:hAnsi="Tahoma" w:cs="Tahoma"/>
                <w:b/>
                <w:iCs/>
                <w:color w:val="000000"/>
                <w:sz w:val="14"/>
                <w:szCs w:val="14"/>
                <w:lang w:eastAsia="it-IT"/>
              </w:rPr>
              <w:t>ISBN</w:t>
            </w:r>
            <w:r w:rsidRPr="00B57B36">
              <w:rPr>
                <w:rFonts w:ascii="Tahoma" w:hAnsi="Tahoma" w:cs="Tahoma"/>
                <w:iCs/>
                <w:color w:val="000000"/>
                <w:sz w:val="14"/>
                <w:szCs w:val="14"/>
                <w:lang w:eastAsia="it-IT"/>
              </w:rPr>
              <w:t xml:space="preserve"> </w:t>
            </w:r>
            <w:r w:rsidR="00D2582C" w:rsidRPr="000562A9">
              <w:rPr>
                <w:rFonts w:ascii="Tahoma" w:hAnsi="Tahoma" w:cs="Tahoma"/>
                <w:sz w:val="14"/>
                <w:szCs w:val="14"/>
              </w:rPr>
              <w:t>97</w:t>
            </w:r>
            <w:r w:rsidR="00D2582C">
              <w:rPr>
                <w:rFonts w:ascii="Tahoma" w:hAnsi="Tahoma" w:cs="Tahoma"/>
                <w:sz w:val="14"/>
                <w:szCs w:val="14"/>
              </w:rPr>
              <w:t>9</w:t>
            </w:r>
            <w:r w:rsidR="00D2582C" w:rsidRPr="000562A9">
              <w:rPr>
                <w:rFonts w:ascii="Tahoma" w:hAnsi="Tahoma" w:cs="Tahoma"/>
                <w:sz w:val="14"/>
                <w:szCs w:val="14"/>
              </w:rPr>
              <w:t>-</w:t>
            </w:r>
            <w:r w:rsidR="00D2582C">
              <w:rPr>
                <w:rFonts w:ascii="Tahoma" w:hAnsi="Tahoma" w:cs="Tahoma"/>
                <w:sz w:val="14"/>
                <w:szCs w:val="14"/>
              </w:rPr>
              <w:t>12</w:t>
            </w:r>
            <w:r w:rsidR="00D2582C" w:rsidRPr="000562A9">
              <w:rPr>
                <w:rFonts w:ascii="Tahoma" w:hAnsi="Tahoma" w:cs="Tahoma"/>
                <w:sz w:val="14"/>
                <w:szCs w:val="14"/>
              </w:rPr>
              <w:t>-</w:t>
            </w:r>
            <w:r w:rsidR="00D2582C">
              <w:rPr>
                <w:rFonts w:ascii="Tahoma" w:hAnsi="Tahoma" w:cs="Tahoma"/>
                <w:sz w:val="14"/>
                <w:szCs w:val="14"/>
              </w:rPr>
              <w:t>81206-</w:t>
            </w:r>
            <w:r w:rsidR="00466324">
              <w:rPr>
                <w:rFonts w:ascii="Tahoma" w:hAnsi="Tahoma" w:cs="Tahoma"/>
                <w:sz w:val="14"/>
                <w:szCs w:val="14"/>
              </w:rPr>
              <w:t>20</w:t>
            </w:r>
            <w:r w:rsidR="00D2582C">
              <w:rPr>
                <w:rFonts w:ascii="Tahoma" w:hAnsi="Tahoma" w:cs="Tahoma"/>
                <w:sz w:val="14"/>
                <w:szCs w:val="14"/>
              </w:rPr>
              <w:t>-</w:t>
            </w:r>
            <w:r w:rsidR="00466324">
              <w:rPr>
                <w:rFonts w:ascii="Tahoma" w:hAnsi="Tahoma" w:cs="Tahoma"/>
                <w:sz w:val="14"/>
                <w:szCs w:val="14"/>
              </w:rPr>
              <w:t>5</w:t>
            </w:r>
            <w:r w:rsidRPr="00EF06D9">
              <w:rPr>
                <w:rFonts w:ascii="Tahoma" w:hAnsi="Tahoma" w:cs="Tahoma"/>
                <w:iCs/>
                <w:color w:val="333333"/>
                <w:sz w:val="14"/>
                <w:szCs w:val="14"/>
                <w:lang w:eastAsia="it-IT"/>
              </w:rPr>
              <w:t>;</w:t>
            </w:r>
            <w:r w:rsidRPr="00B57B36">
              <w:rPr>
                <w:rFonts w:ascii="Tahoma" w:hAnsi="Tahoma" w:cs="Tahoma"/>
                <w:iCs/>
                <w:color w:val="333333"/>
                <w:sz w:val="14"/>
                <w:szCs w:val="14"/>
                <w:lang w:eastAsia="it-IT"/>
              </w:rPr>
              <w:t xml:space="preserve"> </w:t>
            </w:r>
            <w:r w:rsidRPr="00B57B36">
              <w:rPr>
                <w:rFonts w:ascii="Tahoma" w:hAnsi="Tahoma" w:cs="Tahoma"/>
                <w:b/>
                <w:iCs/>
                <w:color w:val="333333"/>
                <w:sz w:val="14"/>
                <w:szCs w:val="14"/>
                <w:lang w:eastAsia="it-IT"/>
              </w:rPr>
              <w:t>ISSN</w:t>
            </w:r>
            <w:r w:rsidRPr="00B57B36">
              <w:rPr>
                <w:rFonts w:ascii="Tahoma" w:hAnsi="Tahoma" w:cs="Tahoma"/>
                <w:iCs/>
                <w:color w:val="333333"/>
                <w:sz w:val="14"/>
                <w:szCs w:val="14"/>
                <w:lang w:eastAsia="it-IT"/>
              </w:rPr>
              <w:t xml:space="preserve"> 2283-9216</w:t>
            </w:r>
          </w:p>
        </w:tc>
      </w:tr>
    </w:tbl>
    <w:p w14:paraId="71BAAC05" w14:textId="77777777" w:rsidR="00711421" w:rsidRDefault="00711421" w:rsidP="00711421">
      <w:pPr>
        <w:pStyle w:val="BodyText"/>
        <w:spacing w:before="37"/>
        <w:ind w:left="426" w:hanging="142"/>
        <w:jc w:val="center"/>
        <w:rPr>
          <w:rFonts w:ascii="Times New Roman" w:eastAsia="Arial" w:hAnsi="Times New Roman"/>
          <w:b/>
          <w:bCs/>
          <w:sz w:val="28"/>
          <w:szCs w:val="28"/>
          <w:lang w:val="en-AU"/>
        </w:rPr>
      </w:pPr>
    </w:p>
    <w:p w14:paraId="4946D3FA" w14:textId="3B21C24A" w:rsidR="00DF1F8B" w:rsidRDefault="00711421" w:rsidP="0011030C">
      <w:pPr>
        <w:pStyle w:val="BodyText"/>
        <w:spacing w:before="37"/>
        <w:ind w:left="426" w:hanging="142"/>
        <w:jc w:val="center"/>
        <w:rPr>
          <w:rFonts w:eastAsia="Arial" w:cs="Arial"/>
          <w:b/>
          <w:bCs/>
          <w:sz w:val="32"/>
          <w:szCs w:val="32"/>
          <w:lang w:val="en-AU"/>
        </w:rPr>
      </w:pPr>
      <w:r w:rsidRPr="00DF1F8B">
        <w:rPr>
          <w:rFonts w:eastAsia="Arial" w:cs="Arial"/>
          <w:b/>
          <w:bCs/>
          <w:sz w:val="32"/>
          <w:szCs w:val="32"/>
          <w:lang w:val="en-AU"/>
        </w:rPr>
        <w:t xml:space="preserve">Multiscale Characterization of Graphene/ITO Hybrid Electrodes </w:t>
      </w:r>
      <w:r w:rsidR="00DF1F8B">
        <w:rPr>
          <w:rFonts w:eastAsia="Arial" w:cs="Arial"/>
          <w:b/>
          <w:bCs/>
          <w:sz w:val="32"/>
          <w:szCs w:val="32"/>
          <w:lang w:val="en-AU"/>
        </w:rPr>
        <w:t>f</w:t>
      </w:r>
      <w:r w:rsidRPr="00DF1F8B">
        <w:rPr>
          <w:rFonts w:eastAsia="Arial" w:cs="Arial"/>
          <w:b/>
          <w:bCs/>
          <w:sz w:val="32"/>
          <w:szCs w:val="32"/>
          <w:lang w:val="en-AU"/>
        </w:rPr>
        <w:t>or Solar Cells</w:t>
      </w:r>
    </w:p>
    <w:p w14:paraId="7DEA855E" w14:textId="2A254589" w:rsidR="00DF1F8B" w:rsidRPr="0011030C" w:rsidRDefault="00DF1F8B" w:rsidP="0011030C">
      <w:pPr>
        <w:pStyle w:val="CETAuthors"/>
        <w:rPr>
          <w:lang w:val="it-IT"/>
        </w:rPr>
      </w:pPr>
      <w:r w:rsidRPr="00BB7DD1">
        <w:rPr>
          <w:lang w:val="it-IT"/>
        </w:rPr>
        <w:t>Noor ul Ain Ahmed</w:t>
      </w:r>
      <w:r>
        <w:rPr>
          <w:vertAlign w:val="superscript"/>
          <w:lang w:val="it-IT"/>
        </w:rPr>
        <w:t>a*</w:t>
      </w:r>
      <w:r w:rsidRPr="00BB7DD1">
        <w:rPr>
          <w:lang w:val="it-IT"/>
        </w:rPr>
        <w:t>, Vidmantas Gulbinas</w:t>
      </w:r>
      <w:r w:rsidR="001B30FC">
        <w:rPr>
          <w:vertAlign w:val="superscript"/>
          <w:lang w:val="it-IT"/>
        </w:rPr>
        <w:t>b</w:t>
      </w:r>
      <w:r w:rsidRPr="00BB7DD1">
        <w:rPr>
          <w:lang w:val="it-IT"/>
        </w:rPr>
        <w:t>, Aniello Pelella</w:t>
      </w:r>
      <w:r w:rsidR="001B30FC">
        <w:rPr>
          <w:vertAlign w:val="superscript"/>
          <w:lang w:val="it-IT"/>
        </w:rPr>
        <w:t>c</w:t>
      </w:r>
      <w:r w:rsidRPr="00BB7DD1">
        <w:rPr>
          <w:lang w:val="it-IT"/>
        </w:rPr>
        <w:t>, Antonio Di Bartolomeo</w:t>
      </w:r>
      <w:r w:rsidR="00E15392">
        <w:rPr>
          <w:vertAlign w:val="superscript"/>
          <w:lang w:val="it-IT"/>
        </w:rPr>
        <w:t>c</w:t>
      </w:r>
      <w:r>
        <w:rPr>
          <w:lang w:val="it-IT"/>
        </w:rPr>
        <w:t>,</w:t>
      </w:r>
      <w:r w:rsidRPr="00BB7DD1">
        <w:rPr>
          <w:lang w:val="it-IT"/>
        </w:rPr>
        <w:t xml:space="preserve"> Renata Adami</w:t>
      </w:r>
      <w:r w:rsidR="00E15392">
        <w:rPr>
          <w:vertAlign w:val="superscript"/>
          <w:lang w:val="it-IT"/>
        </w:rPr>
        <w:t>c</w:t>
      </w:r>
      <w:r w:rsidRPr="00BB7DD1">
        <w:rPr>
          <w:lang w:val="it-IT"/>
        </w:rPr>
        <w:t>, Maria Sarno</w:t>
      </w:r>
      <w:r w:rsidR="00E15392">
        <w:rPr>
          <w:vertAlign w:val="superscript"/>
          <w:lang w:val="it-IT"/>
        </w:rPr>
        <w:t>c</w:t>
      </w:r>
      <w:r w:rsidRPr="00BB7DD1">
        <w:rPr>
          <w:lang w:val="it-IT"/>
        </w:rPr>
        <w:t>, Claudia Cirillo</w:t>
      </w:r>
      <w:r w:rsidR="00E15392">
        <w:rPr>
          <w:vertAlign w:val="superscript"/>
          <w:lang w:val="it-IT"/>
        </w:rPr>
        <w:t>c</w:t>
      </w:r>
      <w:r>
        <w:rPr>
          <w:lang w:val="it-IT"/>
        </w:rPr>
        <w:t>,</w:t>
      </w:r>
      <w:r w:rsidRPr="00DF1F8B">
        <w:rPr>
          <w:lang w:val="it-IT"/>
        </w:rPr>
        <w:t xml:space="preserve"> </w:t>
      </w:r>
      <w:r w:rsidR="0056425A">
        <w:rPr>
          <w:lang w:val="it-IT"/>
        </w:rPr>
        <w:t xml:space="preserve">and </w:t>
      </w:r>
      <w:r w:rsidRPr="00BB7DD1">
        <w:rPr>
          <w:lang w:val="it-IT"/>
        </w:rPr>
        <w:t>Patrizia Lamberti</w:t>
      </w:r>
      <w:r>
        <w:rPr>
          <w:vertAlign w:val="superscript"/>
          <w:lang w:val="it-IT"/>
        </w:rPr>
        <w:t>a</w:t>
      </w:r>
      <w:r w:rsidR="0056425A">
        <w:rPr>
          <w:lang w:val="it-IT"/>
        </w:rPr>
        <w:t>.</w:t>
      </w:r>
    </w:p>
    <w:p w14:paraId="290B596A" w14:textId="1DD46009" w:rsidR="00DF1F8B" w:rsidRPr="004E70AE" w:rsidRDefault="00DF1F8B" w:rsidP="00DF1F8B">
      <w:pPr>
        <w:pStyle w:val="CETAddress"/>
      </w:pPr>
      <w:r>
        <w:rPr>
          <w:vertAlign w:val="superscript"/>
        </w:rPr>
        <w:t>a</w:t>
      </w:r>
      <w:r w:rsidRPr="004E70AE">
        <w:t>Department of Information and Electrical Engineering and Applied Mathematics, University of Salerno, Fisciano (SA), Italy</w:t>
      </w:r>
    </w:p>
    <w:p w14:paraId="136147CA" w14:textId="1A9DDD18" w:rsidR="001B30FC" w:rsidRDefault="001B30FC" w:rsidP="00DF1F8B">
      <w:pPr>
        <w:pStyle w:val="CETAddress"/>
        <w:rPr>
          <w:lang w:val="en-AU"/>
        </w:rPr>
      </w:pPr>
      <w:r>
        <w:rPr>
          <w:vertAlign w:val="superscript"/>
          <w:lang w:val="en-AU"/>
        </w:rPr>
        <w:t>b</w:t>
      </w:r>
      <w:r w:rsidRPr="004E70AE">
        <w:rPr>
          <w:lang w:val="en-AU"/>
        </w:rPr>
        <w:t>Center for Physical Sciences and Technology, Vilnius, Lithuania</w:t>
      </w:r>
    </w:p>
    <w:p w14:paraId="7C8B8FC0" w14:textId="1F3B517E" w:rsidR="001B30FC" w:rsidRPr="001B30FC" w:rsidRDefault="00E15392" w:rsidP="00DF1F8B">
      <w:pPr>
        <w:pStyle w:val="CETAddress"/>
      </w:pPr>
      <w:r>
        <w:rPr>
          <w:vertAlign w:val="superscript"/>
        </w:rPr>
        <w:t>c</w:t>
      </w:r>
      <w:r w:rsidR="001B30FC" w:rsidRPr="00DB5919">
        <w:t xml:space="preserve">Department of Physics “E. R. Caianiello”, University of Salerno, </w:t>
      </w:r>
      <w:r w:rsidR="001B30FC" w:rsidRPr="005F0511">
        <w:t>Fisciano, Salerno, Italy.</w:t>
      </w:r>
    </w:p>
    <w:p w14:paraId="4D6BD40F" w14:textId="24E0E418" w:rsidR="00F92F81" w:rsidRDefault="00DF1F8B" w:rsidP="00DF1F8B">
      <w:pPr>
        <w:pStyle w:val="CETAddress"/>
      </w:pPr>
      <w:r w:rsidRPr="004E70AE">
        <w:t xml:space="preserve">*Corresponding author: </w:t>
      </w:r>
      <w:hyperlink r:id="rId10" w:history="1">
        <w:r w:rsidRPr="00F8369D">
          <w:rPr>
            <w:rStyle w:val="Hyperlink"/>
          </w:rPr>
          <w:t>nahmed@unisa.it</w:t>
        </w:r>
      </w:hyperlink>
    </w:p>
    <w:p w14:paraId="69E07641" w14:textId="77777777" w:rsidR="00DF1F8B" w:rsidRPr="00DF1F8B" w:rsidRDefault="00DF1F8B" w:rsidP="004B5F37">
      <w:pPr>
        <w:pStyle w:val="CETBodytext"/>
      </w:pPr>
    </w:p>
    <w:p w14:paraId="6D517207" w14:textId="05B47ABA" w:rsidR="003019C1" w:rsidRDefault="003019C1" w:rsidP="003019C1">
      <w:pPr>
        <w:pStyle w:val="ListParagraph"/>
        <w:ind w:left="0"/>
      </w:pPr>
      <w:r w:rsidRPr="00915141">
        <w:t xml:space="preserve">Electrodes play a crucial role in the efficiency, stability and overall performance of </w:t>
      </w:r>
      <w:r w:rsidR="000F13D2">
        <w:t>electronic and</w:t>
      </w:r>
      <w:r w:rsidRPr="00915141">
        <w:t xml:space="preserve"> optoelectronic devices, particularly solar cells. Indium tin oxide (ITO) functions as a transparent conductive electrode in solar cells because it provides high conductivity together </w:t>
      </w:r>
      <w:r w:rsidR="00E20ECB">
        <w:t xml:space="preserve">with high </w:t>
      </w:r>
      <w:r w:rsidR="0031772C">
        <w:t>transparency</w:t>
      </w:r>
      <w:r w:rsidRPr="00915141">
        <w:t xml:space="preserve">. The performance of ITO-based devices suffers because of </w:t>
      </w:r>
      <w:r w:rsidR="00F55164">
        <w:t>non-</w:t>
      </w:r>
      <w:r w:rsidR="000F62B0">
        <w:t>negligible</w:t>
      </w:r>
      <w:r w:rsidR="005808CA" w:rsidRPr="00915141">
        <w:t xml:space="preserve"> </w:t>
      </w:r>
      <w:r w:rsidRPr="00915141">
        <w:t xml:space="preserve">sheet resistance and brittleness that cause deterioration mostly in flexibly designed or large-area applications. The exceptional electrical conductivity and mechanical strength with high transparency of </w:t>
      </w:r>
      <w:r w:rsidR="00BC4A6C">
        <w:t>graphene</w:t>
      </w:r>
      <w:r w:rsidRPr="00915141">
        <w:t xml:space="preserve"> has made it a potential candidate as an electrode. The independent application of graphene fails to exhibit essential anti-reflectance characteristics</w:t>
      </w:r>
      <w:r w:rsidR="00C01FB3">
        <w:t>;</w:t>
      </w:r>
      <w:r w:rsidR="006D080F">
        <w:t xml:space="preserve"> nevertheless</w:t>
      </w:r>
      <w:r w:rsidR="00C01FB3">
        <w:t>, it</w:t>
      </w:r>
      <w:r w:rsidRPr="00915141">
        <w:t xml:space="preserve"> brings exceptional conductivity when used to enhance traditional transparent conductive oxides like ITO by optimizing their properties alongside improved electrical performance. </w:t>
      </w:r>
      <w:r w:rsidR="00322F42">
        <w:t xml:space="preserve">In </w:t>
      </w:r>
      <w:r w:rsidR="001B4215">
        <w:t xml:space="preserve">this </w:t>
      </w:r>
      <w:r w:rsidR="00F92F81" w:rsidRPr="00915141">
        <w:t>research</w:t>
      </w:r>
      <w:r w:rsidR="00F92F81">
        <w:t>, a</w:t>
      </w:r>
      <w:r w:rsidR="00322F42">
        <w:t xml:space="preserve"> monolayer</w:t>
      </w:r>
      <w:r w:rsidRPr="00915141">
        <w:t xml:space="preserve"> graphene </w:t>
      </w:r>
      <w:r w:rsidR="00322F42">
        <w:t>film</w:t>
      </w:r>
      <w:r w:rsidR="009017B3">
        <w:t>,</w:t>
      </w:r>
      <w:r w:rsidR="00322F42">
        <w:t xml:space="preserve"> obtained</w:t>
      </w:r>
      <w:r w:rsidRPr="00915141">
        <w:t xml:space="preserve"> </w:t>
      </w:r>
      <w:r w:rsidR="00BC4A6C">
        <w:t xml:space="preserve">by cold wall </w:t>
      </w:r>
      <w:r w:rsidR="000669B7">
        <w:t>c</w:t>
      </w:r>
      <w:r w:rsidR="00BC4A6C">
        <w:t xml:space="preserve">hemical vapour deposition (CVD) </w:t>
      </w:r>
      <w:r w:rsidRPr="00915141">
        <w:t xml:space="preserve">on </w:t>
      </w:r>
      <w:r w:rsidR="00322F42">
        <w:t>copper substrate</w:t>
      </w:r>
      <w:r w:rsidR="009017B3">
        <w:t>,</w:t>
      </w:r>
      <w:r w:rsidR="00322F42">
        <w:t xml:space="preserve"> </w:t>
      </w:r>
      <w:r w:rsidR="009017B3">
        <w:t>was</w:t>
      </w:r>
      <w:r w:rsidR="00322F42">
        <w:t xml:space="preserve"> transferred on </w:t>
      </w:r>
      <w:r w:rsidRPr="00915141">
        <w:t xml:space="preserve">commercial ITO electrodes. </w:t>
      </w:r>
      <w:r w:rsidR="00B7583D" w:rsidRPr="00915141">
        <w:t>S</w:t>
      </w:r>
      <w:r w:rsidR="001B4215">
        <w:t>canning electron microscopy (S</w:t>
      </w:r>
      <w:r w:rsidR="00B7583D" w:rsidRPr="00915141">
        <w:t>EM</w:t>
      </w:r>
      <w:r w:rsidR="001B4215">
        <w:t xml:space="preserve">) and </w:t>
      </w:r>
      <w:r w:rsidR="001B4215" w:rsidRPr="001B4215">
        <w:t xml:space="preserve">Energy Dispersive X-ray </w:t>
      </w:r>
      <w:r w:rsidR="00B7583D" w:rsidRPr="00915141">
        <w:t>analysis</w:t>
      </w:r>
      <w:r w:rsidR="00B26505">
        <w:t xml:space="preserve"> (microscale)</w:t>
      </w:r>
      <w:r w:rsidR="00B7583D" w:rsidRPr="00915141">
        <w:t xml:space="preserve"> </w:t>
      </w:r>
      <w:r w:rsidR="00605261">
        <w:t>provide</w:t>
      </w:r>
      <w:r w:rsidR="00605261" w:rsidRPr="00915141">
        <w:t xml:space="preserve"> </w:t>
      </w:r>
      <w:r w:rsidR="00B7583D" w:rsidRPr="00915141">
        <w:t xml:space="preserve">evidence showing that the graphene layer uniformly coats ITO with no damage to its structure. </w:t>
      </w:r>
      <w:r w:rsidRPr="00915141">
        <w:t>Four-probe</w:t>
      </w:r>
      <w:r w:rsidR="00B26505">
        <w:t xml:space="preserve"> (macroscale)</w:t>
      </w:r>
      <w:r w:rsidRPr="00915141">
        <w:t xml:space="preserve"> measurements </w:t>
      </w:r>
      <w:r w:rsidR="00BC4A6C" w:rsidRPr="00915141">
        <w:t>show</w:t>
      </w:r>
      <w:r w:rsidRPr="00915141">
        <w:t xml:space="preserve"> that </w:t>
      </w:r>
      <w:r w:rsidR="00D81E20">
        <w:t>the addition of</w:t>
      </w:r>
      <w:r w:rsidRPr="00915141">
        <w:t xml:space="preserve"> a graphene layer to ITO </w:t>
      </w:r>
      <w:r w:rsidR="00BC4A6C">
        <w:t>can</w:t>
      </w:r>
      <w:r w:rsidRPr="00915141">
        <w:t xml:space="preserve"> leads to a 23% increase in conductivity. </w:t>
      </w:r>
    </w:p>
    <w:p w14:paraId="476B2F2E" w14:textId="77777777" w:rsidR="00600535" w:rsidRPr="00B57B36" w:rsidRDefault="00600535" w:rsidP="004B5F37">
      <w:pPr>
        <w:pStyle w:val="CETHeading1"/>
        <w:rPr>
          <w:lang w:val="en-GB"/>
        </w:rPr>
      </w:pPr>
      <w:r w:rsidRPr="004B5F37">
        <w:t>Introduction</w:t>
      </w:r>
    </w:p>
    <w:p w14:paraId="3EE608B6" w14:textId="219F0CCB" w:rsidR="00B77277" w:rsidRPr="0011030C" w:rsidRDefault="00030C73" w:rsidP="0011030C">
      <w:pPr>
        <w:rPr>
          <w:rFonts w:cs="Arial"/>
          <w:szCs w:val="18"/>
        </w:rPr>
      </w:pPr>
      <w:r w:rsidRPr="00030C73">
        <w:rPr>
          <w:rFonts w:cs="Arial"/>
        </w:rPr>
        <w:t>Transparent conductive electrodes (TCEs) are important components of current optoelectronic devices such as touch screens, organic LEDs, flat-panel displays, and solar cells</w:t>
      </w:r>
      <w:r w:rsidR="00BF73F7">
        <w:rPr>
          <w:rFonts w:cs="Arial"/>
          <w:szCs w:val="18"/>
        </w:rPr>
        <w:t xml:space="preserve"> (Liu et al.,</w:t>
      </w:r>
      <w:r w:rsidR="00BF73F7">
        <w:rPr>
          <w:rFonts w:cs="Arial"/>
        </w:rPr>
        <w:t>2020).</w:t>
      </w:r>
      <w:r w:rsidRPr="00030C73">
        <w:rPr>
          <w:rFonts w:cs="Arial"/>
        </w:rPr>
        <w:t xml:space="preserve"> The efficiency of a solar cell is significantly influenced by the performance of the front contact, often a transparent conducting electrode (TCE), which governs its two fundamental processes: </w:t>
      </w:r>
      <w:r w:rsidR="006E3708">
        <w:rPr>
          <w:rFonts w:cs="Arial"/>
        </w:rPr>
        <w:t xml:space="preserve">light </w:t>
      </w:r>
      <w:r w:rsidRPr="00030C73">
        <w:rPr>
          <w:rFonts w:cs="Arial"/>
        </w:rPr>
        <w:t xml:space="preserve">absorption and </w:t>
      </w:r>
      <w:r w:rsidR="006E3708">
        <w:rPr>
          <w:rFonts w:cs="Arial"/>
        </w:rPr>
        <w:t xml:space="preserve">carrier </w:t>
      </w:r>
      <w:r w:rsidRPr="00030C73">
        <w:rPr>
          <w:rFonts w:cs="Arial"/>
        </w:rPr>
        <w:t>collection efficiencies.</w:t>
      </w:r>
      <w:r w:rsidRPr="00030C73">
        <w:rPr>
          <w:rFonts w:cs="Arial"/>
          <w:sz w:val="24"/>
          <w:szCs w:val="24"/>
          <w:lang w:eastAsia="en-AU"/>
        </w:rPr>
        <w:t xml:space="preserve"> </w:t>
      </w:r>
      <w:r w:rsidRPr="00030C73">
        <w:rPr>
          <w:rFonts w:cs="Arial"/>
        </w:rPr>
        <w:t xml:space="preserve">The illuminated side of a solar cell must demonstrate excellent optical transmittance to facilitate efficient light absorption and charge carrier production within the active layer. High electrical conductivity combined with transparency is essential for effective </w:t>
      </w:r>
      <w:r w:rsidR="00B66BE0">
        <w:rPr>
          <w:rFonts w:cs="Arial"/>
        </w:rPr>
        <w:t xml:space="preserve">photo </w:t>
      </w:r>
      <w:r w:rsidRPr="00030C73">
        <w:rPr>
          <w:rFonts w:cs="Arial"/>
        </w:rPr>
        <w:t xml:space="preserve">charge </w:t>
      </w:r>
      <w:r w:rsidR="00B66BE0">
        <w:rPr>
          <w:rFonts w:cs="Arial"/>
        </w:rPr>
        <w:t xml:space="preserve">generation and </w:t>
      </w:r>
      <w:r w:rsidRPr="00030C73">
        <w:rPr>
          <w:rFonts w:cs="Arial"/>
        </w:rPr>
        <w:t>collection</w:t>
      </w:r>
      <w:r w:rsidR="00BF73F7">
        <w:rPr>
          <w:rFonts w:cs="Arial"/>
        </w:rPr>
        <w:t xml:space="preserve"> </w:t>
      </w:r>
      <w:r w:rsidR="00BF73F7">
        <w:rPr>
          <w:rFonts w:cs="Arial"/>
          <w:szCs w:val="18"/>
        </w:rPr>
        <w:t>(Kumar, 2017)</w:t>
      </w:r>
      <w:r w:rsidRPr="00BF73F7">
        <w:rPr>
          <w:rFonts w:cs="Arial"/>
          <w:szCs w:val="18"/>
        </w:rPr>
        <w:t>.</w:t>
      </w:r>
      <w:r w:rsidR="0011030C">
        <w:rPr>
          <w:rFonts w:cs="Arial"/>
          <w:szCs w:val="18"/>
        </w:rPr>
        <w:t xml:space="preserve"> </w:t>
      </w:r>
      <w:r w:rsidRPr="00BF73F7">
        <w:rPr>
          <w:rFonts w:cs="Arial"/>
          <w:szCs w:val="18"/>
        </w:rPr>
        <w:t xml:space="preserve">Among the widely used TCE materials, </w:t>
      </w:r>
      <w:r w:rsidR="00B9703E">
        <w:rPr>
          <w:rFonts w:cs="Arial"/>
          <w:szCs w:val="18"/>
        </w:rPr>
        <w:t>i</w:t>
      </w:r>
      <w:r w:rsidRPr="00BF73F7">
        <w:rPr>
          <w:rFonts w:cs="Arial"/>
          <w:szCs w:val="18"/>
        </w:rPr>
        <w:t xml:space="preserve">ndium tin oxide (ITO) is considered the most commercially feasible option because of its high optical transparency (&gt;85%) and electrical conductivity. Nonetheless, ITO stand alone is mechanically brittle, expensive and rare. Therefore, alternative </w:t>
      </w:r>
      <w:r w:rsidR="00BB5CBD" w:rsidRPr="00BF73F7">
        <w:rPr>
          <w:rFonts w:cs="Arial"/>
          <w:szCs w:val="18"/>
        </w:rPr>
        <w:t>carbon-based</w:t>
      </w:r>
      <w:r w:rsidRPr="00BF73F7">
        <w:rPr>
          <w:rFonts w:cs="Arial"/>
          <w:szCs w:val="18"/>
        </w:rPr>
        <w:t xml:space="preserve"> materials are proven to be a potential candidate as an electrode </w:t>
      </w:r>
      <w:r w:rsidR="00BB5CBD">
        <w:rPr>
          <w:rFonts w:cs="Arial"/>
          <w:szCs w:val="18"/>
        </w:rPr>
        <w:t>(Shi et al.,</w:t>
      </w:r>
      <w:r w:rsidR="00BB5CBD">
        <w:rPr>
          <w:rFonts w:cs="Arial"/>
        </w:rPr>
        <w:t>2023) (Tran et al.,2019) (</w:t>
      </w:r>
      <w:proofErr w:type="spellStart"/>
      <w:r w:rsidR="00BB5CBD" w:rsidRPr="00BB5CBD">
        <w:rPr>
          <w:rFonts w:cs="Arial"/>
        </w:rPr>
        <w:t>Muchuweni</w:t>
      </w:r>
      <w:proofErr w:type="spellEnd"/>
      <w:r w:rsidR="00BB5CBD">
        <w:rPr>
          <w:rFonts w:cs="Arial"/>
        </w:rPr>
        <w:t xml:space="preserve"> et al.,2022).</w:t>
      </w:r>
      <w:r w:rsidR="0011030C">
        <w:rPr>
          <w:rFonts w:cs="Arial"/>
          <w:szCs w:val="18"/>
        </w:rPr>
        <w:t xml:space="preserve"> </w:t>
      </w:r>
      <w:r w:rsidRPr="00C26A5B">
        <w:rPr>
          <w:rFonts w:cs="Arial"/>
          <w:szCs w:val="18"/>
        </w:rPr>
        <w:t xml:space="preserve">Graphene, a monolayer of sp²-bonded carbon atoms arranged in a honeycomb lattice, has emerged as a potential </w:t>
      </w:r>
      <w:r w:rsidRPr="00BF73F7">
        <w:rPr>
          <w:rFonts w:cs="Arial"/>
          <w:szCs w:val="18"/>
        </w:rPr>
        <w:t>alternative</w:t>
      </w:r>
      <w:r w:rsidRPr="00BF73F7">
        <w:rPr>
          <w:rFonts w:cs="Arial"/>
          <w:szCs w:val="18"/>
          <w:lang w:eastAsia="en-AU"/>
        </w:rPr>
        <w:t xml:space="preserve"> </w:t>
      </w:r>
      <w:r w:rsidRPr="00BF73F7">
        <w:rPr>
          <w:rFonts w:cs="Arial"/>
          <w:szCs w:val="18"/>
        </w:rPr>
        <w:t xml:space="preserve">for TCEs due to its exceptional electrical conductivity (up to 1.5×10⁶ S/m), remarkable optical transparency (approximately 97.7%), and extraordinary mechanical strength and flexibility </w:t>
      </w:r>
      <w:r w:rsidR="00BB5CBD">
        <w:rPr>
          <w:rFonts w:cs="Arial"/>
          <w:szCs w:val="18"/>
        </w:rPr>
        <w:t>(Woo et al.,</w:t>
      </w:r>
      <w:r w:rsidR="00BB5CBD">
        <w:rPr>
          <w:rFonts w:cs="Arial"/>
        </w:rPr>
        <w:t>2019</w:t>
      </w:r>
      <w:r w:rsidR="000F62B0">
        <w:rPr>
          <w:rFonts w:cs="Arial"/>
        </w:rPr>
        <w:t>) (</w:t>
      </w:r>
      <w:r w:rsidR="00347F7A">
        <w:rPr>
          <w:rFonts w:cs="Arial"/>
        </w:rPr>
        <w:t>Di Bartolomeo</w:t>
      </w:r>
      <w:r w:rsidR="00BD4545">
        <w:rPr>
          <w:rFonts w:cs="Arial"/>
        </w:rPr>
        <w:t>,</w:t>
      </w:r>
      <w:r w:rsidR="00347F7A">
        <w:rPr>
          <w:rFonts w:cs="Arial"/>
        </w:rPr>
        <w:t xml:space="preserve"> 2016</w:t>
      </w:r>
      <w:r w:rsidR="00B26505">
        <w:rPr>
          <w:rFonts w:cs="Arial"/>
        </w:rPr>
        <w:t>).</w:t>
      </w:r>
      <w:r w:rsidRPr="00BF73F7">
        <w:rPr>
          <w:rFonts w:cs="Arial"/>
          <w:szCs w:val="18"/>
        </w:rPr>
        <w:t xml:space="preserve"> The independent application of graphene fails to exhibit essential anti-reflectance characteristics needed for various application</w:t>
      </w:r>
      <w:r w:rsidR="00BB0D84">
        <w:rPr>
          <w:rFonts w:cs="Arial"/>
          <w:szCs w:val="18"/>
        </w:rPr>
        <w:t xml:space="preserve">s </w:t>
      </w:r>
      <w:r w:rsidR="00BB0D84">
        <w:rPr>
          <w:rFonts w:cs="Arial"/>
        </w:rPr>
        <w:t>(Torres et al.,2021</w:t>
      </w:r>
      <w:r w:rsidR="00B26505">
        <w:rPr>
          <w:rFonts w:cs="Arial"/>
        </w:rPr>
        <w:t>)</w:t>
      </w:r>
      <w:r w:rsidR="00C0314A">
        <w:rPr>
          <w:rFonts w:cs="Arial"/>
        </w:rPr>
        <w:t xml:space="preserve">, </w:t>
      </w:r>
      <w:r w:rsidR="00F13A90">
        <w:rPr>
          <w:rFonts w:cs="Arial"/>
        </w:rPr>
        <w:t>nevertheless,</w:t>
      </w:r>
      <w:r w:rsidR="00C0314A">
        <w:rPr>
          <w:rFonts w:cs="Arial"/>
        </w:rPr>
        <w:t xml:space="preserve"> it </w:t>
      </w:r>
      <w:r w:rsidR="00F13A90">
        <w:rPr>
          <w:rFonts w:cs="Arial"/>
        </w:rPr>
        <w:t xml:space="preserve">has </w:t>
      </w:r>
      <w:r w:rsidR="00FD4C56">
        <w:rPr>
          <w:rFonts w:cs="Arial"/>
        </w:rPr>
        <w:t>potential</w:t>
      </w:r>
      <w:r w:rsidR="00C0314A">
        <w:rPr>
          <w:rFonts w:cs="Arial"/>
        </w:rPr>
        <w:t xml:space="preserve"> </w:t>
      </w:r>
      <w:r w:rsidR="00FD4C56">
        <w:rPr>
          <w:rFonts w:cs="Arial"/>
        </w:rPr>
        <w:t xml:space="preserve">when </w:t>
      </w:r>
      <w:r w:rsidR="00C0314A">
        <w:rPr>
          <w:rFonts w:cs="Arial"/>
        </w:rPr>
        <w:t>combined with other materials</w:t>
      </w:r>
      <w:r w:rsidR="00B26505">
        <w:rPr>
          <w:rFonts w:cs="Arial"/>
        </w:rPr>
        <w:t>.</w:t>
      </w:r>
      <w:r w:rsidR="00B26505" w:rsidRPr="007E3691">
        <w:rPr>
          <w:rFonts w:cs="Arial"/>
        </w:rPr>
        <w:t xml:space="preserve"> Diverse</w:t>
      </w:r>
      <w:r w:rsidRPr="007E3691">
        <w:rPr>
          <w:rFonts w:cs="Arial"/>
        </w:rPr>
        <w:t xml:space="preserve"> methods for graphene manufacturing </w:t>
      </w:r>
      <w:r w:rsidR="00D70FD0">
        <w:rPr>
          <w:rFonts w:cs="Arial"/>
        </w:rPr>
        <w:t>include</w:t>
      </w:r>
      <w:r w:rsidR="00D70FD0" w:rsidRPr="007E3691">
        <w:rPr>
          <w:rFonts w:cs="Arial"/>
        </w:rPr>
        <w:t xml:space="preserve"> </w:t>
      </w:r>
      <w:r w:rsidRPr="007E3691">
        <w:rPr>
          <w:rFonts w:cs="Arial"/>
        </w:rPr>
        <w:t xml:space="preserve">mechanical exfoliation, chemical exfoliation, epitaxial growth, and chemical vapor deposition (CVD), </w:t>
      </w:r>
      <w:r w:rsidR="0092156E">
        <w:rPr>
          <w:rFonts w:cs="Arial"/>
        </w:rPr>
        <w:t>with the latter offering</w:t>
      </w:r>
      <w:r w:rsidRPr="007E3691">
        <w:rPr>
          <w:rFonts w:cs="Arial"/>
        </w:rPr>
        <w:t xml:space="preserve"> enhanced scalability and material quality. </w:t>
      </w:r>
      <w:r w:rsidRPr="00030C73">
        <w:rPr>
          <w:rFonts w:cs="Arial"/>
        </w:rPr>
        <w:t xml:space="preserve">However, the transfer of CVD-grown graphene onto certain substrates has challenges, such as wrinkles, cracks, and residual </w:t>
      </w:r>
      <w:r w:rsidRPr="00BF73F7">
        <w:rPr>
          <w:rFonts w:cs="Arial"/>
          <w:szCs w:val="18"/>
        </w:rPr>
        <w:t>contamination</w:t>
      </w:r>
      <w:r w:rsidR="00BB0D84">
        <w:rPr>
          <w:rFonts w:cs="Arial"/>
          <w:szCs w:val="18"/>
        </w:rPr>
        <w:t xml:space="preserve"> </w:t>
      </w:r>
      <w:r w:rsidR="00BB0D84">
        <w:rPr>
          <w:rFonts w:cs="Arial"/>
        </w:rPr>
        <w:t>(Song et al.,2021)</w:t>
      </w:r>
      <w:r w:rsidRPr="00BF73F7">
        <w:rPr>
          <w:rFonts w:cs="Arial"/>
          <w:szCs w:val="18"/>
        </w:rPr>
        <w:t xml:space="preserve">. </w:t>
      </w:r>
      <w:r w:rsidRPr="00CF0B86">
        <w:rPr>
          <w:rFonts w:cs="Arial"/>
          <w:szCs w:val="18"/>
        </w:rPr>
        <w:t xml:space="preserve">Defects often result from the insufficient removal of transfer polymers </w:t>
      </w:r>
      <w:r w:rsidRPr="00CF0B86">
        <w:rPr>
          <w:rFonts w:cs="Arial"/>
          <w:szCs w:val="18"/>
        </w:rPr>
        <w:lastRenderedPageBreak/>
        <w:t>like polymethyl methacrylate (PMMA), which can alter doping levels and reduce the overall electrical performance of graphene-based films</w:t>
      </w:r>
      <w:r w:rsidR="00BB0D84">
        <w:rPr>
          <w:rFonts w:cs="Arial"/>
          <w:szCs w:val="18"/>
        </w:rPr>
        <w:t xml:space="preserve"> </w:t>
      </w:r>
      <w:r w:rsidR="00BB0D84">
        <w:rPr>
          <w:rFonts w:cs="Arial"/>
        </w:rPr>
        <w:t>(Zhang et al.,202</w:t>
      </w:r>
      <w:r w:rsidR="005014BB">
        <w:rPr>
          <w:rFonts w:cs="Arial"/>
        </w:rPr>
        <w:t>2</w:t>
      </w:r>
      <w:r w:rsidR="00BB0D84">
        <w:rPr>
          <w:rFonts w:cs="Arial"/>
        </w:rPr>
        <w:t>)</w:t>
      </w:r>
      <w:r w:rsidRPr="00BF73F7">
        <w:rPr>
          <w:rFonts w:cs="Arial"/>
          <w:szCs w:val="18"/>
        </w:rPr>
        <w:t>. Researchers are investigating</w:t>
      </w:r>
      <w:r w:rsidR="0056425A">
        <w:rPr>
          <w:rFonts w:cs="Arial"/>
          <w:szCs w:val="18"/>
        </w:rPr>
        <w:t xml:space="preserve"> </w:t>
      </w:r>
      <w:r w:rsidRPr="00BF73F7">
        <w:rPr>
          <w:rFonts w:cs="Arial"/>
          <w:szCs w:val="18"/>
        </w:rPr>
        <w:t xml:space="preserve">different approaches to improve the optoelectronic ability of graphene. This </w:t>
      </w:r>
      <w:r w:rsidR="00BB0D84" w:rsidRPr="00BF73F7">
        <w:rPr>
          <w:rFonts w:cs="Arial"/>
          <w:szCs w:val="18"/>
        </w:rPr>
        <w:t>includes</w:t>
      </w:r>
      <w:r w:rsidRPr="00BF73F7">
        <w:rPr>
          <w:rFonts w:cs="Arial"/>
          <w:szCs w:val="18"/>
        </w:rPr>
        <w:t xml:space="preserve"> chemical doping, surface alterations, and hybridization with other electrodes of</w:t>
      </w:r>
      <w:r w:rsidR="0056425A">
        <w:rPr>
          <w:rFonts w:cs="Arial"/>
          <w:szCs w:val="18"/>
        </w:rPr>
        <w:t xml:space="preserve"> </w:t>
      </w:r>
      <w:r w:rsidRPr="00BF73F7">
        <w:rPr>
          <w:rFonts w:cs="Arial"/>
          <w:szCs w:val="18"/>
        </w:rPr>
        <w:t xml:space="preserve">conductive or semiconductive materials </w:t>
      </w:r>
      <w:r w:rsidR="00BB0D84">
        <w:rPr>
          <w:rFonts w:cs="Arial"/>
        </w:rPr>
        <w:t>(Hu et al.,2022</w:t>
      </w:r>
      <w:r w:rsidR="00782B71">
        <w:rPr>
          <w:rFonts w:cs="Arial"/>
        </w:rPr>
        <w:t>)</w:t>
      </w:r>
      <w:r w:rsidR="00782B71" w:rsidRPr="00BF73F7">
        <w:rPr>
          <w:rFonts w:cs="Arial"/>
          <w:szCs w:val="18"/>
        </w:rPr>
        <w:t>.</w:t>
      </w:r>
      <w:r w:rsidR="00782B71" w:rsidRPr="00030C73">
        <w:rPr>
          <w:rFonts w:cs="Arial"/>
        </w:rPr>
        <w:t xml:space="preserve"> One</w:t>
      </w:r>
      <w:r w:rsidRPr="00030C73">
        <w:rPr>
          <w:rFonts w:cs="Arial"/>
        </w:rPr>
        <w:t xml:space="preserve"> of the most promising strategies is based on the incorporation of graphene with other well-known transparent conductive materials like ITO. This method takes advantage of the high electrical conductivity of graphene in enhancing </w:t>
      </w:r>
      <w:r w:rsidR="00E50D16">
        <w:rPr>
          <w:rFonts w:cs="Arial"/>
        </w:rPr>
        <w:t xml:space="preserve">the </w:t>
      </w:r>
      <w:r w:rsidRPr="00030C73">
        <w:rPr>
          <w:rFonts w:cs="Arial"/>
        </w:rPr>
        <w:t>conductivity of ITO based devices while preserving the anti-reflection and transparency of the oxide. The hybrid</w:t>
      </w:r>
      <w:r w:rsidR="00754232">
        <w:rPr>
          <w:rFonts w:cs="Arial"/>
        </w:rPr>
        <w:t xml:space="preserve"> Graphene/ITO</w:t>
      </w:r>
      <w:r w:rsidRPr="00030C73">
        <w:rPr>
          <w:rFonts w:cs="Arial"/>
        </w:rPr>
        <w:t xml:space="preserve"> electrodes</w:t>
      </w:r>
      <w:r w:rsidR="00754232">
        <w:rPr>
          <w:rFonts w:cs="Arial"/>
        </w:rPr>
        <w:t xml:space="preserve"> </w:t>
      </w:r>
      <w:r w:rsidR="00754232" w:rsidRPr="00BF73F7">
        <w:rPr>
          <w:rFonts w:cs="Arial"/>
          <w:szCs w:val="18"/>
        </w:rPr>
        <w:t>produced by a dual-step CVD</w:t>
      </w:r>
      <w:r w:rsidRPr="00030C73">
        <w:rPr>
          <w:rFonts w:cs="Arial"/>
        </w:rPr>
        <w:t xml:space="preserve"> can reduce sheet resistance and improve mechanical </w:t>
      </w:r>
      <w:r w:rsidRPr="00BF73F7">
        <w:rPr>
          <w:rFonts w:cs="Arial"/>
          <w:szCs w:val="18"/>
        </w:rPr>
        <w:t>endurance</w:t>
      </w:r>
      <w:r w:rsidR="005014BB">
        <w:rPr>
          <w:rFonts w:cs="Arial"/>
          <w:szCs w:val="18"/>
        </w:rPr>
        <w:t xml:space="preserve"> </w:t>
      </w:r>
      <w:r w:rsidR="00754232">
        <w:rPr>
          <w:rFonts w:cs="Arial"/>
          <w:szCs w:val="18"/>
        </w:rPr>
        <w:t xml:space="preserve">as </w:t>
      </w:r>
      <w:r w:rsidR="00754232" w:rsidRPr="00BF73F7">
        <w:rPr>
          <w:rFonts w:cs="Arial"/>
          <w:szCs w:val="18"/>
        </w:rPr>
        <w:t xml:space="preserve">demonstrated </w:t>
      </w:r>
      <w:r w:rsidR="00754232">
        <w:rPr>
          <w:rFonts w:cs="Arial"/>
          <w:szCs w:val="18"/>
        </w:rPr>
        <w:t xml:space="preserve">by </w:t>
      </w:r>
      <w:r w:rsidR="00754232" w:rsidRPr="00754232">
        <w:rPr>
          <w:rFonts w:cs="Arial"/>
          <w:szCs w:val="18"/>
        </w:rPr>
        <w:t>(Liu et al., 2016)</w:t>
      </w:r>
      <w:r w:rsidR="00754232">
        <w:rPr>
          <w:rFonts w:cs="Arial"/>
          <w:szCs w:val="18"/>
        </w:rPr>
        <w:t xml:space="preserve">. </w:t>
      </w:r>
      <w:r w:rsidR="00BB0D84">
        <w:rPr>
          <w:rFonts w:cs="Arial"/>
          <w:szCs w:val="18"/>
        </w:rPr>
        <w:t>(</w:t>
      </w:r>
      <w:proofErr w:type="spellStart"/>
      <w:r w:rsidR="00BB0D84">
        <w:rPr>
          <w:rFonts w:cs="Arial"/>
          <w:szCs w:val="18"/>
        </w:rPr>
        <w:t>Harindu</w:t>
      </w:r>
      <w:proofErr w:type="spellEnd"/>
      <w:r w:rsidRPr="00EB26ED">
        <w:rPr>
          <w:rFonts w:cs="Arial"/>
          <w:szCs w:val="18"/>
        </w:rPr>
        <w:t xml:space="preserve"> et.al</w:t>
      </w:r>
      <w:r w:rsidR="00BB0D84">
        <w:rPr>
          <w:rFonts w:cs="Arial"/>
          <w:szCs w:val="18"/>
        </w:rPr>
        <w:t>.,2018)</w:t>
      </w:r>
      <w:r w:rsidRPr="00EB26ED">
        <w:rPr>
          <w:rFonts w:cs="Arial"/>
          <w:szCs w:val="18"/>
        </w:rPr>
        <w:t xml:space="preserve"> use</w:t>
      </w:r>
      <w:r w:rsidR="0056425A">
        <w:rPr>
          <w:rFonts w:cs="Arial"/>
          <w:szCs w:val="18"/>
        </w:rPr>
        <w:t xml:space="preserve"> </w:t>
      </w:r>
      <w:r w:rsidRPr="00EB26ED">
        <w:rPr>
          <w:rFonts w:cs="Arial"/>
          <w:szCs w:val="18"/>
        </w:rPr>
        <w:t>electroless deposition technique involving vacuum annealing to uniformly deposit ITO nanoparticles (25–35 nm) on</w:t>
      </w:r>
      <w:r w:rsidRPr="00BF73F7">
        <w:rPr>
          <w:rFonts w:cs="Arial"/>
          <w:szCs w:val="18"/>
        </w:rPr>
        <w:t xml:space="preserve"> CVD grown</w:t>
      </w:r>
      <w:r w:rsidRPr="00EB26ED">
        <w:rPr>
          <w:rFonts w:cs="Arial"/>
          <w:szCs w:val="18"/>
        </w:rPr>
        <w:t xml:space="preserve"> graphene. The resultant ITO–graphene hybrid demonstrated enhanced electrical conductivity, evidenced by a 28.2% decrease in sheet resistance, while preserving high optical transparency (&gt;85%) within the visible spectrum.</w:t>
      </w:r>
      <w:r w:rsidRPr="00BF73F7">
        <w:rPr>
          <w:rFonts w:cs="Arial"/>
          <w:szCs w:val="18"/>
          <w:lang w:eastAsia="en-AU"/>
        </w:rPr>
        <w:t xml:space="preserve"> </w:t>
      </w:r>
      <w:r w:rsidR="00BB0D84">
        <w:rPr>
          <w:rFonts w:cs="Arial"/>
          <w:szCs w:val="18"/>
        </w:rPr>
        <w:t>(</w:t>
      </w:r>
      <w:r w:rsidRPr="00BF73F7">
        <w:rPr>
          <w:rFonts w:cs="Arial"/>
          <w:szCs w:val="18"/>
        </w:rPr>
        <w:t>Bourahla et.al</w:t>
      </w:r>
      <w:r w:rsidR="00BB0D84">
        <w:rPr>
          <w:rFonts w:cs="Arial"/>
          <w:szCs w:val="18"/>
        </w:rPr>
        <w:t>., 2025)</w:t>
      </w:r>
      <w:r w:rsidR="0056425A">
        <w:rPr>
          <w:rFonts w:cs="Arial"/>
          <w:szCs w:val="18"/>
        </w:rPr>
        <w:t xml:space="preserve"> </w:t>
      </w:r>
      <w:r w:rsidRPr="00BF73F7">
        <w:rPr>
          <w:rFonts w:cs="Arial"/>
          <w:szCs w:val="18"/>
        </w:rPr>
        <w:t>introduced</w:t>
      </w:r>
      <w:r w:rsidR="0056425A">
        <w:rPr>
          <w:rFonts w:cs="Arial"/>
          <w:szCs w:val="18"/>
        </w:rPr>
        <w:t xml:space="preserve"> </w:t>
      </w:r>
      <w:r w:rsidRPr="00BF73F7">
        <w:rPr>
          <w:rFonts w:cs="Arial"/>
          <w:szCs w:val="18"/>
        </w:rPr>
        <w:t>an efficient TCE</w:t>
      </w:r>
      <w:r w:rsidR="0056425A">
        <w:rPr>
          <w:rFonts w:cs="Arial"/>
          <w:szCs w:val="18"/>
        </w:rPr>
        <w:t xml:space="preserve"> </w:t>
      </w:r>
      <w:r w:rsidRPr="00BF73F7">
        <w:rPr>
          <w:rFonts w:cs="Arial"/>
          <w:szCs w:val="18"/>
        </w:rPr>
        <w:t>achieved by integrating CVD obtained</w:t>
      </w:r>
      <w:r w:rsidR="0056425A">
        <w:rPr>
          <w:rFonts w:cs="Arial"/>
          <w:szCs w:val="18"/>
        </w:rPr>
        <w:t xml:space="preserve"> </w:t>
      </w:r>
      <w:r w:rsidRPr="00BF73F7">
        <w:rPr>
          <w:rFonts w:cs="Arial"/>
          <w:szCs w:val="18"/>
        </w:rPr>
        <w:t xml:space="preserve">graphene with ITO, further improved by the incorporation of silver nanowire (Ag-NWs) doping. The optimized hybrid structure </w:t>
      </w:r>
      <w:r w:rsidR="00E94276" w:rsidRPr="00BF73F7">
        <w:rPr>
          <w:rFonts w:cs="Arial"/>
          <w:szCs w:val="18"/>
        </w:rPr>
        <w:t>demonstrate</w:t>
      </w:r>
      <w:r w:rsidR="00E94276">
        <w:rPr>
          <w:rFonts w:cs="Arial"/>
          <w:szCs w:val="18"/>
        </w:rPr>
        <w:t>d</w:t>
      </w:r>
      <w:r w:rsidR="00E94276" w:rsidRPr="00BF73F7">
        <w:rPr>
          <w:rFonts w:cs="Arial"/>
          <w:szCs w:val="18"/>
        </w:rPr>
        <w:t xml:space="preserve"> </w:t>
      </w:r>
      <w:r w:rsidRPr="00BF73F7">
        <w:rPr>
          <w:rFonts w:cs="Arial"/>
          <w:szCs w:val="18"/>
        </w:rPr>
        <w:t>a low sheet resistance of 42.4 Ω/</w:t>
      </w:r>
      <w:proofErr w:type="spellStart"/>
      <w:r w:rsidRPr="00BF73F7">
        <w:rPr>
          <w:rFonts w:cs="Arial"/>
          <w:szCs w:val="18"/>
        </w:rPr>
        <w:t>sq</w:t>
      </w:r>
      <w:proofErr w:type="spellEnd"/>
      <w:r w:rsidRPr="00BF73F7">
        <w:rPr>
          <w:rFonts w:cs="Arial"/>
          <w:szCs w:val="18"/>
        </w:rPr>
        <w:t xml:space="preserve"> and a high optical transmittance of 87.3%, making it well-suited for optoelectronic applications. </w:t>
      </w:r>
      <w:r w:rsidR="00BB0D84">
        <w:rPr>
          <w:rFonts w:cs="Arial"/>
          <w:szCs w:val="18"/>
        </w:rPr>
        <w:t>(</w:t>
      </w:r>
      <w:proofErr w:type="spellStart"/>
      <w:r w:rsidR="00BB0D84">
        <w:rPr>
          <w:rFonts w:cs="Arial"/>
          <w:szCs w:val="18"/>
        </w:rPr>
        <w:t>Harindu</w:t>
      </w:r>
      <w:proofErr w:type="spellEnd"/>
      <w:r w:rsidR="00BB0D84">
        <w:rPr>
          <w:rFonts w:cs="Arial"/>
          <w:szCs w:val="18"/>
        </w:rPr>
        <w:t xml:space="preserve"> et al., 2017)</w:t>
      </w:r>
      <w:r w:rsidRPr="00BF73F7">
        <w:rPr>
          <w:rFonts w:cs="Arial"/>
          <w:szCs w:val="18"/>
        </w:rPr>
        <w:t xml:space="preserve"> detail</w:t>
      </w:r>
      <w:r w:rsidR="00BB0D84">
        <w:rPr>
          <w:rFonts w:cs="Arial"/>
          <w:szCs w:val="18"/>
        </w:rPr>
        <w:t>ed</w:t>
      </w:r>
      <w:r w:rsidRPr="00BF73F7">
        <w:rPr>
          <w:rFonts w:cs="Arial"/>
          <w:szCs w:val="18"/>
        </w:rPr>
        <w:t xml:space="preserve"> the creation of a transparent conductive bi-layer film composed of graphene and ITO, utilizing CVD graphene and sol-gel ITO films, all while excluding organic additives. Furthermore, the hybrid structure's morphology is distinguished by its enhanced conductivity, with a sheet resistance of approximately 117 Ω/</w:t>
      </w:r>
      <w:proofErr w:type="spellStart"/>
      <w:r w:rsidRPr="00BF73F7">
        <w:rPr>
          <w:rFonts w:cs="Arial"/>
          <w:szCs w:val="18"/>
        </w:rPr>
        <w:t>sq</w:t>
      </w:r>
      <w:proofErr w:type="spellEnd"/>
      <w:r w:rsidRPr="00BF73F7">
        <w:rPr>
          <w:rFonts w:cs="Arial"/>
          <w:szCs w:val="18"/>
        </w:rPr>
        <w:t xml:space="preserve"> for the film, with an observed transmittance of 88.66%. These properties make the material an appealing candidate for further application in optoelectronics.</w:t>
      </w:r>
      <w:bookmarkStart w:id="0" w:name="_Hlk197622781"/>
      <w:r w:rsidR="0011030C">
        <w:rPr>
          <w:rFonts w:cs="Arial"/>
          <w:szCs w:val="18"/>
        </w:rPr>
        <w:t xml:space="preserve"> </w:t>
      </w:r>
      <w:r w:rsidR="00A50707">
        <w:rPr>
          <w:rFonts w:cs="Arial"/>
          <w:szCs w:val="18"/>
        </w:rPr>
        <w:t>In this contest,</w:t>
      </w:r>
      <w:r w:rsidR="00B94BEA">
        <w:rPr>
          <w:rFonts w:cs="Arial"/>
          <w:szCs w:val="18"/>
        </w:rPr>
        <w:t xml:space="preserve"> </w:t>
      </w:r>
      <w:r w:rsidR="00B77277" w:rsidRPr="00B77277">
        <w:rPr>
          <w:rFonts w:cs="Arial"/>
          <w:szCs w:val="18"/>
          <w:lang w:val="en-AU"/>
        </w:rPr>
        <w:t xml:space="preserve">CVD has emerged as a potential method for the industrial fabrication of graphene films, offering notable control and homogeneity. In traditional hot-wall CVD systems, graphene films produced via CVD suffer surface contamination due to gas-phase reactions during high-temperature development. The cold-wall CVD technique effectively suppresses gas-phase reactions, enabling the controlled and </w:t>
      </w:r>
      <w:proofErr w:type="spellStart"/>
      <w:r w:rsidR="00B77277" w:rsidRPr="00B77277">
        <w:rPr>
          <w:rFonts w:cs="Arial"/>
          <w:szCs w:val="18"/>
          <w:lang w:val="en-AU"/>
        </w:rPr>
        <w:t>superclean</w:t>
      </w:r>
      <w:proofErr w:type="spellEnd"/>
      <w:r w:rsidR="00B77277" w:rsidRPr="00B77277">
        <w:rPr>
          <w:rFonts w:cs="Arial"/>
          <w:szCs w:val="18"/>
          <w:lang w:val="en-AU"/>
        </w:rPr>
        <w:t xml:space="preserve"> development of graphene films</w:t>
      </w:r>
      <w:r w:rsidR="00B77277">
        <w:rPr>
          <w:rFonts w:cs="Arial"/>
          <w:szCs w:val="18"/>
          <w:lang w:val="en-AU"/>
        </w:rPr>
        <w:t xml:space="preserve"> (Jia et al., 2020)</w:t>
      </w:r>
      <w:r w:rsidR="00B77277" w:rsidRPr="00B77277">
        <w:rPr>
          <w:rFonts w:cs="Arial"/>
          <w:szCs w:val="18"/>
          <w:lang w:val="en-AU"/>
        </w:rPr>
        <w:t>.</w:t>
      </w:r>
    </w:p>
    <w:bookmarkEnd w:id="0"/>
    <w:p w14:paraId="0838954D" w14:textId="77777777" w:rsidR="004B5F37" w:rsidRDefault="004B5F37" w:rsidP="0056425A">
      <w:pPr>
        <w:pStyle w:val="CETBodytext"/>
      </w:pPr>
    </w:p>
    <w:p w14:paraId="5ADF33FB" w14:textId="66683351" w:rsidR="00387837" w:rsidRDefault="00586E65" w:rsidP="007033A3">
      <w:pPr>
        <w:pStyle w:val="CETBodytext"/>
      </w:pPr>
      <w:r>
        <w:t xml:space="preserve">The purpose of this study is to develop a simple yet effective method to enhance the electrical performance of </w:t>
      </w:r>
      <w:r w:rsidR="00191A07">
        <w:t xml:space="preserve">commercially used ITO electrodes by profiting from the high electrical conductivity of graphene. </w:t>
      </w:r>
      <w:r w:rsidR="00030C73" w:rsidRPr="00BF73F7">
        <w:t>In this respect, our study introduces a</w:t>
      </w:r>
      <w:r w:rsidR="00D51F10">
        <w:t>n</w:t>
      </w:r>
      <w:r w:rsidR="00030C73" w:rsidRPr="00BF73F7">
        <w:t xml:space="preserve"> </w:t>
      </w:r>
      <w:r w:rsidR="0078493F">
        <w:t>e</w:t>
      </w:r>
      <w:r w:rsidR="00030C73" w:rsidRPr="00BF73F7">
        <w:t>fficient</w:t>
      </w:r>
      <w:r w:rsidR="0078493F">
        <w:t xml:space="preserve"> and scalable</w:t>
      </w:r>
      <w:r w:rsidR="00030C73" w:rsidRPr="00BF73F7">
        <w:t xml:space="preserve"> approach to improve commercially obtained ITO-based transparent electrodes</w:t>
      </w:r>
      <w:r w:rsidR="005014BB">
        <w:t xml:space="preserve"> (</w:t>
      </w:r>
      <w:proofErr w:type="spellStart"/>
      <w:r w:rsidR="005014BB">
        <w:t>Ossila</w:t>
      </w:r>
      <w:proofErr w:type="spellEnd"/>
      <w:r w:rsidR="005014BB">
        <w:t>)</w:t>
      </w:r>
      <w:r w:rsidR="00030C73" w:rsidRPr="00BF73F7">
        <w:t xml:space="preserve"> through the incorporation of a monolayer graphene</w:t>
      </w:r>
      <w:r w:rsidR="002D65C8">
        <w:t>, grown by</w:t>
      </w:r>
      <w:r w:rsidR="00030C73" w:rsidRPr="00BF73F7">
        <w:t xml:space="preserve"> cold wall </w:t>
      </w:r>
      <w:r w:rsidR="00B94BEA">
        <w:t>CVD</w:t>
      </w:r>
      <w:r w:rsidR="002D65C8">
        <w:t xml:space="preserve">, </w:t>
      </w:r>
      <w:r w:rsidR="00191A07">
        <w:t>subsequently</w:t>
      </w:r>
      <w:r w:rsidR="00563B3F">
        <w:t xml:space="preserve"> </w:t>
      </w:r>
      <w:r w:rsidR="002D65C8" w:rsidRPr="002D65C8">
        <w:t>transferred on ITO-coated glass</w:t>
      </w:r>
      <w:r w:rsidR="00D51F10">
        <w:t>. Unlike</w:t>
      </w:r>
      <w:r w:rsidR="00D51F10">
        <w:rPr>
          <w:lang w:val="en-AU"/>
        </w:rPr>
        <w:t xml:space="preserve"> </w:t>
      </w:r>
      <w:r w:rsidR="0011030C" w:rsidRPr="00B979FB">
        <w:rPr>
          <w:lang w:val="en-AU"/>
        </w:rPr>
        <w:t>traditional methods that depend on high-temperature transfer techniques or complex manufacturing processes</w:t>
      </w:r>
      <w:r w:rsidR="00D51F10">
        <w:t>,</w:t>
      </w:r>
      <w:r w:rsidR="00825BA4">
        <w:t xml:space="preserve"> </w:t>
      </w:r>
      <w:r w:rsidR="00825BA4" w:rsidRPr="00BF73F7">
        <w:t>this</w:t>
      </w:r>
      <w:r w:rsidR="00030C73" w:rsidRPr="00BF73F7">
        <w:t xml:space="preserve"> configuration </w:t>
      </w:r>
      <w:r>
        <w:t>employs</w:t>
      </w:r>
      <w:r w:rsidR="00030C73" w:rsidRPr="00BF73F7">
        <w:t xml:space="preserve"> a</w:t>
      </w:r>
      <w:r w:rsidR="00D51F10">
        <w:t xml:space="preserve"> synthesis and transfer protocol that preserves the quality of graphene and ensures clean and uniform deposition.</w:t>
      </w:r>
    </w:p>
    <w:p w14:paraId="7448FE1D" w14:textId="77777777" w:rsidR="00387837" w:rsidRDefault="00387837" w:rsidP="007033A3">
      <w:pPr>
        <w:pStyle w:val="CETBodytext"/>
      </w:pPr>
    </w:p>
    <w:p w14:paraId="142EF9AB" w14:textId="20BAC59F" w:rsidR="00732349" w:rsidRDefault="00D51F10" w:rsidP="007033A3">
      <w:pPr>
        <w:pStyle w:val="CETBodytext"/>
      </w:pPr>
      <w:r w:rsidRPr="00D51F10">
        <w:t>To the best of our knowledge, no prior study has been reported</w:t>
      </w:r>
      <w:r w:rsidR="00586E65">
        <w:t xml:space="preserve"> on the manufacturing of graphene/ITO hybrid electrodes via cold wall CVD. </w:t>
      </w:r>
      <w:r>
        <w:t xml:space="preserve">The novelty lies in </w:t>
      </w:r>
      <w:r w:rsidR="00586E65">
        <w:t xml:space="preserve">the </w:t>
      </w:r>
      <w:r w:rsidR="00586E65">
        <w:rPr>
          <w:lang w:val="en-GB"/>
        </w:rPr>
        <w:t xml:space="preserve">temperature-controlled synthesis and </w:t>
      </w:r>
      <w:r w:rsidR="00586E65" w:rsidRPr="00586E65">
        <w:rPr>
          <w:lang w:val="en-GB"/>
        </w:rPr>
        <w:t>industrial compatibility</w:t>
      </w:r>
      <w:r w:rsidR="00586E65">
        <w:rPr>
          <w:lang w:val="en-GB"/>
        </w:rPr>
        <w:t xml:space="preserve"> offering a </w:t>
      </w:r>
      <w:r w:rsidR="00030C73" w:rsidRPr="00BF73F7">
        <w:t xml:space="preserve">more regulated way of </w:t>
      </w:r>
      <w:r w:rsidR="00191A07" w:rsidRPr="00191A07">
        <w:rPr>
          <w:lang w:val="en-GB"/>
        </w:rPr>
        <w:t>bridging the gap between high-performance nanomaterials and scalable device fabrication</w:t>
      </w:r>
      <w:r w:rsidR="00191A07">
        <w:rPr>
          <w:lang w:val="en-GB"/>
        </w:rPr>
        <w:t xml:space="preserve">, thus enabling </w:t>
      </w:r>
      <w:r w:rsidR="0060401B">
        <w:rPr>
          <w:lang w:val="en-GB"/>
        </w:rPr>
        <w:t>practical</w:t>
      </w:r>
      <w:r w:rsidR="00191A07">
        <w:rPr>
          <w:lang w:val="en-GB"/>
        </w:rPr>
        <w:t xml:space="preserve"> </w:t>
      </w:r>
      <w:r w:rsidR="005C0D38">
        <w:t>“</w:t>
      </w:r>
      <w:r w:rsidR="00030C73" w:rsidRPr="00BF73F7">
        <w:t>lab to market</w:t>
      </w:r>
      <w:r w:rsidR="005C0D38">
        <w:t>”</w:t>
      </w:r>
      <w:r w:rsidR="00030C73" w:rsidRPr="00BF73F7">
        <w:t xml:space="preserve"> transition</w:t>
      </w:r>
      <w:r w:rsidR="00586E65">
        <w:t xml:space="preserve">. </w:t>
      </w:r>
      <w:r w:rsidR="00030C73" w:rsidRPr="00BF73F7">
        <w:t xml:space="preserve">Scanning electron microscopy (SEM) verifies the successful and homogeneous deposition of graphene on the ITO </w:t>
      </w:r>
      <w:r w:rsidR="00191A07" w:rsidRPr="00BF73F7">
        <w:t>substrate.</w:t>
      </w:r>
      <w:r w:rsidR="00191A07" w:rsidRPr="001B4215">
        <w:t xml:space="preserve"> Energy</w:t>
      </w:r>
      <w:r w:rsidR="001B4215" w:rsidRPr="001B4215">
        <w:t xml:space="preserve"> Dispersive X-ray analysis</w:t>
      </w:r>
      <w:r w:rsidR="001B4215">
        <w:t xml:space="preserve"> (EDX) confirms this deposition by elemental analysis.</w:t>
      </w:r>
      <w:r w:rsidR="0060401B">
        <w:t xml:space="preserve"> </w:t>
      </w:r>
      <w:r w:rsidR="0060401B" w:rsidRPr="00BF73F7">
        <w:t xml:space="preserve">Four probe measurements performed on the graphene–ITO hybrid devices </w:t>
      </w:r>
      <w:r w:rsidR="00825BA4" w:rsidRPr="00BF73F7">
        <w:t>demonstrate</w:t>
      </w:r>
      <w:r w:rsidR="00825BA4">
        <w:t xml:space="preserve"> thermal stability around 300-400K </w:t>
      </w:r>
      <w:r w:rsidR="0060401B" w:rsidRPr="00BF73F7">
        <w:t>a</w:t>
      </w:r>
      <w:r w:rsidR="00825BA4">
        <w:t>nd</w:t>
      </w:r>
      <w:r w:rsidR="0060401B" w:rsidRPr="00BF73F7">
        <w:t xml:space="preserve"> 23% enhancement in conductivit</w:t>
      </w:r>
      <w:r w:rsidR="0060401B">
        <w:t>y, evidencing the</w:t>
      </w:r>
      <w:r w:rsidR="0060401B" w:rsidRPr="00BF73F7">
        <w:t xml:space="preserve"> effect of graphene in reducing sheet resistance relative to bare ITO</w:t>
      </w:r>
      <w:r w:rsidR="00825BA4">
        <w:t xml:space="preserve">. The enhanced performance </w:t>
      </w:r>
      <w:r w:rsidR="0060401B" w:rsidRPr="0060401B">
        <w:rPr>
          <w:lang w:val="en-GB"/>
        </w:rPr>
        <w:t>mark</w:t>
      </w:r>
      <w:r w:rsidR="00825BA4">
        <w:rPr>
          <w:lang w:val="en-GB"/>
        </w:rPr>
        <w:t>s</w:t>
      </w:r>
      <w:r w:rsidR="0060401B" w:rsidRPr="0060401B">
        <w:rPr>
          <w:lang w:val="en-GB"/>
        </w:rPr>
        <w:t xml:space="preserve"> a significant advance in</w:t>
      </w:r>
      <w:r w:rsidR="00825BA4">
        <w:rPr>
          <w:lang w:val="en-GB"/>
        </w:rPr>
        <w:t xml:space="preserve"> the design of</w:t>
      </w:r>
      <w:r w:rsidR="0060401B" w:rsidRPr="0060401B">
        <w:rPr>
          <w:lang w:val="en-GB"/>
        </w:rPr>
        <w:t xml:space="preserve"> transparent electrode technology</w:t>
      </w:r>
      <w:r w:rsidR="00825BA4">
        <w:t xml:space="preserve">. The obtained hybrid material </w:t>
      </w:r>
      <w:r w:rsidR="00387837">
        <w:t xml:space="preserve">is well suited to be </w:t>
      </w:r>
      <w:proofErr w:type="gramStart"/>
      <w:r w:rsidR="00387837">
        <w:t>use</w:t>
      </w:r>
      <w:proofErr w:type="gramEnd"/>
      <w:r w:rsidR="00387837">
        <w:t xml:space="preserve"> as a front electrode</w:t>
      </w:r>
      <w:r w:rsidR="00825BA4" w:rsidRPr="00825BA4">
        <w:rPr>
          <w:lang w:val="en-GB"/>
        </w:rPr>
        <w:t xml:space="preserve"> </w:t>
      </w:r>
      <w:r w:rsidR="00387837">
        <w:rPr>
          <w:lang w:val="en-GB"/>
        </w:rPr>
        <w:t>in</w:t>
      </w:r>
      <w:r w:rsidR="00387837" w:rsidRPr="00387837">
        <w:rPr>
          <w:lang w:val="en-GB"/>
        </w:rPr>
        <w:t xml:space="preserve"> optoelectronic devices</w:t>
      </w:r>
      <w:r w:rsidR="00387837">
        <w:rPr>
          <w:lang w:val="en-GB"/>
        </w:rPr>
        <w:t xml:space="preserve"> where transparency and conductivity are critical to </w:t>
      </w:r>
      <w:proofErr w:type="gramStart"/>
      <w:r w:rsidR="00387837">
        <w:rPr>
          <w:lang w:val="en-GB"/>
        </w:rPr>
        <w:t>maximize</w:t>
      </w:r>
      <w:proofErr w:type="gramEnd"/>
      <w:r w:rsidR="00387837">
        <w:rPr>
          <w:lang w:val="en-GB"/>
        </w:rPr>
        <w:t xml:space="preserve"> overall device efficiency.</w:t>
      </w:r>
    </w:p>
    <w:p w14:paraId="49FA1A27" w14:textId="604DF7A1" w:rsidR="00030C73" w:rsidRPr="001C03CE" w:rsidRDefault="005014BB" w:rsidP="004B5F37">
      <w:pPr>
        <w:pStyle w:val="CETHeading1"/>
      </w:pPr>
      <w:bookmarkStart w:id="1" w:name="_Hlk197619564"/>
      <w:r>
        <w:t>Material and Methods</w:t>
      </w:r>
    </w:p>
    <w:p w14:paraId="3458AC66" w14:textId="2F4DBB28" w:rsidR="00A85E00" w:rsidRPr="00A85E00" w:rsidRDefault="00A85E00" w:rsidP="004B5F37">
      <w:pPr>
        <w:pStyle w:val="CETheadingx"/>
      </w:pPr>
      <w:r w:rsidRPr="00A85E00">
        <w:t>Commercially obtained ITO electrodes</w:t>
      </w:r>
    </w:p>
    <w:p w14:paraId="77E61AE7" w14:textId="2B32B247" w:rsidR="007356A5" w:rsidRDefault="00A85E00" w:rsidP="00BC4A6C">
      <w:pPr>
        <w:pStyle w:val="CETBodytext"/>
      </w:pPr>
      <w:r w:rsidRPr="00A85E00">
        <w:rPr>
          <w:lang w:val="en-GB"/>
        </w:rPr>
        <w:t>ITO</w:t>
      </w:r>
      <w:r w:rsidR="007356A5">
        <w:rPr>
          <w:lang w:val="en-GB"/>
        </w:rPr>
        <w:t xml:space="preserve"> electrodes </w:t>
      </w:r>
      <w:r w:rsidR="007356A5" w:rsidRPr="00A85E00">
        <w:rPr>
          <w:lang w:val="en-GB"/>
        </w:rPr>
        <w:t>20 mm × 15 mm and a thickness of 1.1 mm</w:t>
      </w:r>
      <w:r w:rsidR="007356A5">
        <w:rPr>
          <w:lang w:val="en-GB"/>
        </w:rPr>
        <w:t xml:space="preserve"> were purchased from </w:t>
      </w:r>
      <w:proofErr w:type="spellStart"/>
      <w:r w:rsidR="007356A5" w:rsidRPr="007356A5">
        <w:rPr>
          <w:lang w:val="en-GB"/>
        </w:rPr>
        <w:t>Ossila</w:t>
      </w:r>
      <w:proofErr w:type="spellEnd"/>
      <w:r w:rsidR="007356A5" w:rsidRPr="007356A5">
        <w:rPr>
          <w:lang w:val="en-GB"/>
        </w:rPr>
        <w:t xml:space="preserve"> Ltd. (Sheffield, UK).</w:t>
      </w:r>
      <w:r w:rsidR="007356A5">
        <w:rPr>
          <w:lang w:val="en-GB"/>
        </w:rPr>
        <w:t xml:space="preserve"> F</w:t>
      </w:r>
      <w:r w:rsidR="007356A5" w:rsidRPr="00A85E00">
        <w:rPr>
          <w:lang w:val="en-GB"/>
        </w:rPr>
        <w:t xml:space="preserve">ully oxidized </w:t>
      </w:r>
      <w:r w:rsidR="007356A5">
        <w:rPr>
          <w:lang w:val="en-GB"/>
        </w:rPr>
        <w:t>100</w:t>
      </w:r>
      <w:r w:rsidR="00FE5E91">
        <w:rPr>
          <w:lang w:val="en-GB"/>
        </w:rPr>
        <w:t xml:space="preserve"> </w:t>
      </w:r>
      <w:r w:rsidR="007356A5">
        <w:rPr>
          <w:lang w:val="en-GB"/>
        </w:rPr>
        <w:t xml:space="preserve">nm </w:t>
      </w:r>
      <w:r w:rsidR="007356A5" w:rsidRPr="00A85E00">
        <w:rPr>
          <w:lang w:val="en-GB"/>
        </w:rPr>
        <w:t xml:space="preserve">indium tin oxide (ITO) is deposited on the glass surface </w:t>
      </w:r>
      <w:r w:rsidRPr="00A85E00">
        <w:rPr>
          <w:lang w:val="en-GB"/>
        </w:rPr>
        <w:t>polished soda lime float glass</w:t>
      </w:r>
      <w:r w:rsidR="007356A5">
        <w:rPr>
          <w:lang w:val="en-GB"/>
        </w:rPr>
        <w:t>.</w:t>
      </w:r>
      <w:r w:rsidR="00B71D85">
        <w:rPr>
          <w:lang w:val="en-GB"/>
        </w:rPr>
        <w:t xml:space="preserve"> The detailed ITO configuration is represented in Figure </w:t>
      </w:r>
      <w:r w:rsidR="007033A3">
        <w:rPr>
          <w:lang w:val="en-GB"/>
        </w:rPr>
        <w:t>1 (b)</w:t>
      </w:r>
      <w:r w:rsidR="00B71D85">
        <w:rPr>
          <w:lang w:val="en-GB"/>
        </w:rPr>
        <w:t>.</w:t>
      </w:r>
      <w:r w:rsidR="007356A5">
        <w:rPr>
          <w:lang w:val="en-GB"/>
        </w:rPr>
        <w:t xml:space="preserve"> </w:t>
      </w:r>
      <w:r w:rsidRPr="00A85E00">
        <w:rPr>
          <w:lang w:val="en-GB"/>
        </w:rPr>
        <w:t xml:space="preserve">These electrodes were used as the transparent conductive base layer in </w:t>
      </w:r>
      <w:r w:rsidR="007356A5">
        <w:rPr>
          <w:lang w:val="en-GB"/>
        </w:rPr>
        <w:t>hybrid electrode formation</w:t>
      </w:r>
      <w:r w:rsidRPr="00A85E00">
        <w:rPr>
          <w:lang w:val="en-GB"/>
        </w:rPr>
        <w:t xml:space="preserve"> without further modification</w:t>
      </w:r>
      <w:r w:rsidR="007356A5">
        <w:rPr>
          <w:lang w:val="en-GB"/>
        </w:rPr>
        <w:t xml:space="preserve">. </w:t>
      </w:r>
    </w:p>
    <w:p w14:paraId="5B1CB1C0" w14:textId="6639B477" w:rsidR="003C2ED9" w:rsidRDefault="00F00AEA" w:rsidP="004B5F37">
      <w:pPr>
        <w:pStyle w:val="CETheadingx"/>
      </w:pPr>
      <w:r w:rsidRPr="00F00AEA">
        <w:t xml:space="preserve">Graphene </w:t>
      </w:r>
      <w:r w:rsidR="006E20DE">
        <w:t>m</w:t>
      </w:r>
      <w:r w:rsidRPr="00F00AEA">
        <w:t xml:space="preserve">onolayer </w:t>
      </w:r>
      <w:r w:rsidR="006E20DE">
        <w:t>g</w:t>
      </w:r>
      <w:r w:rsidRPr="00F00AEA">
        <w:t xml:space="preserve">rowth on Cu </w:t>
      </w:r>
      <w:r w:rsidR="006E20DE">
        <w:t>f</w:t>
      </w:r>
      <w:r w:rsidRPr="00F00AEA">
        <w:t xml:space="preserve">oil and </w:t>
      </w:r>
      <w:r w:rsidR="006E20DE">
        <w:t>t</w:t>
      </w:r>
      <w:r w:rsidRPr="00F00AEA">
        <w:t>ransfer on</w:t>
      </w:r>
      <w:r w:rsidR="006E20DE">
        <w:t xml:space="preserve"> </w:t>
      </w:r>
      <w:r w:rsidRPr="00F00AEA">
        <w:t xml:space="preserve">ITO </w:t>
      </w:r>
      <w:r w:rsidR="006E20DE">
        <w:t>s</w:t>
      </w:r>
      <w:r w:rsidRPr="00F00AEA">
        <w:t>ubstrates</w:t>
      </w:r>
    </w:p>
    <w:p w14:paraId="40B6196D" w14:textId="75E76A18" w:rsidR="0011030C" w:rsidRPr="005F0511" w:rsidRDefault="004905E4" w:rsidP="0056425A">
      <w:pPr>
        <w:pStyle w:val="CETBodytext"/>
        <w:rPr>
          <w:lang w:val="en-GB"/>
        </w:rPr>
      </w:pPr>
      <w:r w:rsidRPr="005F0511">
        <w:t xml:space="preserve">Monolayer graphene was synthesized on copper </w:t>
      </w:r>
      <w:r w:rsidR="00782B71" w:rsidRPr="005F0511">
        <w:t>foil (</w:t>
      </w:r>
      <w:r w:rsidR="00D31E6A" w:rsidRPr="005F0511">
        <w:t>10 × 30 mm</w:t>
      </w:r>
      <w:r w:rsidR="00D31E6A" w:rsidRPr="000F62B0">
        <w:rPr>
          <w:vertAlign w:val="superscript"/>
        </w:rPr>
        <w:t>2</w:t>
      </w:r>
      <w:r w:rsidR="00D31E6A" w:rsidRPr="005F0511">
        <w:t xml:space="preserve">, no. 46365, 25 </w:t>
      </w:r>
      <w:proofErr w:type="spellStart"/>
      <w:r w:rsidR="00D31E6A" w:rsidRPr="005F0511">
        <w:t>μm</w:t>
      </w:r>
      <w:proofErr w:type="spellEnd"/>
      <w:r w:rsidR="00D31E6A" w:rsidRPr="005F0511">
        <w:t xml:space="preserve"> thick, annealed, uncoated, 99.8%, Alfa </w:t>
      </w:r>
      <w:proofErr w:type="spellStart"/>
      <w:r w:rsidR="00D31E6A" w:rsidRPr="005F0511">
        <w:t>Aesar</w:t>
      </w:r>
      <w:proofErr w:type="spellEnd"/>
      <w:r w:rsidR="00D31E6A" w:rsidRPr="005F0511">
        <w:t xml:space="preserve">), </w:t>
      </w:r>
      <w:r w:rsidRPr="005F0511">
        <w:t xml:space="preserve">using a cold-wall CVD process, following the optimized protocol for </w:t>
      </w:r>
      <w:r w:rsidR="005C3774" w:rsidRPr="005F0511">
        <w:t xml:space="preserve">sample </w:t>
      </w:r>
      <w:r w:rsidRPr="005F0511">
        <w:t>8 as described by Sarno et al. (2018). The synthesis was carried out in a Moorfield nanoCVD-8G cold-wall reactor using high-purity gases: methane (99.998%), hydrogen (99.998%), and argon (99.999%). The copper substrate was pre-</w:t>
      </w:r>
      <w:r w:rsidRPr="005F0511">
        <w:lastRenderedPageBreak/>
        <w:t>treated with nitric acid (HNO</w:t>
      </w:r>
      <w:r w:rsidRPr="005F0511">
        <w:rPr>
          <w:rFonts w:ascii="Cambria Math" w:hAnsi="Cambria Math" w:cs="Cambria Math"/>
        </w:rPr>
        <w:t>₃</w:t>
      </w:r>
      <w:r w:rsidRPr="005F0511">
        <w:t xml:space="preserve">), then annealed at 900 °C for 120 seconds under a flow of 120 </w:t>
      </w:r>
      <w:proofErr w:type="spellStart"/>
      <w:r w:rsidRPr="005F0511">
        <w:t>sccm</w:t>
      </w:r>
      <w:proofErr w:type="spellEnd"/>
      <w:r w:rsidRPr="005F0511">
        <w:t xml:space="preserve"> argon and 10 </w:t>
      </w:r>
      <w:proofErr w:type="spellStart"/>
      <w:r w:rsidRPr="005F0511">
        <w:t>sccm</w:t>
      </w:r>
      <w:proofErr w:type="spellEnd"/>
      <w:r w:rsidRPr="005F0511">
        <w:t xml:space="preserve"> hydrogen. The temperature was then raised to 1000 °C and maintained for 900 seconds under the same </w:t>
      </w:r>
      <w:proofErr w:type="spellStart"/>
      <w:r w:rsidRPr="005F0511">
        <w:t>Ar</w:t>
      </w:r>
      <w:proofErr w:type="spellEnd"/>
      <w:r w:rsidRPr="005F0511">
        <w:t>/H</w:t>
      </w:r>
      <w:r w:rsidRPr="005F0511">
        <w:rPr>
          <w:rFonts w:ascii="Cambria Math" w:hAnsi="Cambria Math" w:cs="Cambria Math"/>
        </w:rPr>
        <w:t>₂</w:t>
      </w:r>
      <w:r w:rsidRPr="005F0511">
        <w:t xml:space="preserve"> flow to increase copper grain size. Graphene growth was initiated by introducing methane at 20 </w:t>
      </w:r>
      <w:proofErr w:type="spellStart"/>
      <w:r w:rsidRPr="005F0511">
        <w:t>sccm</w:t>
      </w:r>
      <w:proofErr w:type="spellEnd"/>
      <w:r w:rsidRPr="005F0511">
        <w:t xml:space="preserve"> for 700 seconds, keeping the temperature and pressure constant at 1000 °C and 8 Torr, respectively. After growth, the system was cooled to 100 °</w:t>
      </w:r>
      <w:proofErr w:type="spellStart"/>
      <w:r w:rsidRPr="005F0511">
        <w:t>C over</w:t>
      </w:r>
      <w:proofErr w:type="spellEnd"/>
      <w:r w:rsidRPr="005F0511">
        <w:t xml:space="preserve"> 630 seconds under </w:t>
      </w:r>
      <w:proofErr w:type="spellStart"/>
      <w:r w:rsidRPr="005F0511">
        <w:t>Ar</w:t>
      </w:r>
      <w:proofErr w:type="spellEnd"/>
      <w:r w:rsidRPr="005F0511">
        <w:t>/H</w:t>
      </w:r>
      <w:r w:rsidRPr="005F0511">
        <w:rPr>
          <w:rFonts w:ascii="Cambria Math" w:hAnsi="Cambria Math" w:cs="Cambria Math"/>
        </w:rPr>
        <w:t>₂</w:t>
      </w:r>
      <w:r w:rsidRPr="005F0511">
        <w:t xml:space="preserve"> flow, followed by cooling to room temperature in ambient air. The resulting monolayer graphene film was then transferred from the copper substrate onto commercially obtained ITO-coated glass (</w:t>
      </w:r>
      <w:proofErr w:type="spellStart"/>
      <w:r w:rsidRPr="005F0511">
        <w:t>Ossila</w:t>
      </w:r>
      <w:proofErr w:type="spellEnd"/>
      <w:r w:rsidRPr="005F0511">
        <w:t xml:space="preserve"> Ltd., UK) using the same thermal release tape method reported by Sarno </w:t>
      </w:r>
      <w:r w:rsidR="00782B71" w:rsidRPr="005F0511">
        <w:t>et al. (</w:t>
      </w:r>
      <w:r w:rsidR="005C3774" w:rsidRPr="005F0511">
        <w:t>2018).</w:t>
      </w:r>
      <w:r w:rsidRPr="005F0511">
        <w:t xml:space="preserve"> In this process, the backside of the Cu foil was first polished with nitric acid to remove unwanted graphene, and the copper was etched in a 1 M </w:t>
      </w:r>
      <w:proofErr w:type="spellStart"/>
      <w:r w:rsidRPr="005F0511">
        <w:t>FeCl</w:t>
      </w:r>
      <w:proofErr w:type="spellEnd"/>
      <w:r w:rsidRPr="005F0511">
        <w:rPr>
          <w:rFonts w:ascii="Cambria Math" w:hAnsi="Cambria Math" w:cs="Cambria Math"/>
        </w:rPr>
        <w:t>₃</w:t>
      </w:r>
      <w:r w:rsidRPr="005F0511">
        <w:t xml:space="preserve"> solution. After rinsing, the graphene film supported on the tape was transferred to the ITO/glass substrate by applying heat to release the tape. This method allows for a clean and uniform transfer without damaging the ITO layer. Table 1 summarizes the CVD process steps and parameters.</w:t>
      </w:r>
      <w:r>
        <w:t xml:space="preserve"> </w:t>
      </w:r>
      <w:r w:rsidR="005C3774">
        <w:t xml:space="preserve">Following the </w:t>
      </w:r>
      <w:r w:rsidR="00782B71">
        <w:t>above-mentioned</w:t>
      </w:r>
      <w:r w:rsidR="005C3774">
        <w:t xml:space="preserve"> deposition procedure, transparent electrodes were prepared and shown in Figure </w:t>
      </w:r>
      <w:r w:rsidR="007033A3">
        <w:t>1 (b)</w:t>
      </w:r>
      <w:r w:rsidR="005C3774">
        <w:t xml:space="preserve">. </w:t>
      </w:r>
      <w:r w:rsidR="00B77277" w:rsidRPr="00B77277">
        <w:t>The four silver dots visible on the surface were applied using conductive silver paste to enable electrical contact points for subsequent characterization.</w:t>
      </w:r>
    </w:p>
    <w:p w14:paraId="1C9EC455" w14:textId="1560E176" w:rsidR="00ED4F43" w:rsidRPr="00B57B36" w:rsidRDefault="003C2ED9" w:rsidP="004B5F37">
      <w:pPr>
        <w:pStyle w:val="CETTabletitle"/>
      </w:pPr>
      <w:r w:rsidRPr="00B57B36">
        <w:t xml:space="preserve">Table 1: </w:t>
      </w:r>
      <w:r w:rsidR="00ED4F43" w:rsidRPr="00ED4F43">
        <w:t xml:space="preserve">Optimized cold-wall CVD process parameters used for the deposition of monolayer graphene as adapted from </w:t>
      </w:r>
      <w:r w:rsidR="00ED4F43">
        <w:t>(</w:t>
      </w:r>
      <w:r w:rsidR="00ED4F43" w:rsidRPr="00ED4F43">
        <w:t>Sarno et al.</w:t>
      </w:r>
      <w:r w:rsidR="00ED4F43">
        <w:t xml:space="preserve">, </w:t>
      </w:r>
      <w:r w:rsidR="00ED4F43" w:rsidRPr="00ED4F43">
        <w:t>2018).</w:t>
      </w:r>
    </w:p>
    <w:tbl>
      <w:tblPr>
        <w:tblpPr w:leftFromText="180" w:rightFromText="180" w:vertAnchor="text" w:tblpY="1"/>
        <w:tblOverlap w:val="never"/>
        <w:tblW w:w="0" w:type="auto"/>
        <w:tblBorders>
          <w:top w:val="single" w:sz="12" w:space="0" w:color="008000"/>
          <w:bottom w:val="single" w:sz="12" w:space="0" w:color="008000"/>
        </w:tblBorders>
        <w:shd w:val="clear" w:color="auto" w:fill="FFFFFF"/>
        <w:tblCellMar>
          <w:left w:w="0" w:type="dxa"/>
          <w:right w:w="0" w:type="dxa"/>
        </w:tblCellMar>
        <w:tblLook w:val="00A0" w:firstRow="1" w:lastRow="0" w:firstColumn="1" w:lastColumn="0" w:noHBand="0" w:noVBand="0"/>
      </w:tblPr>
      <w:tblGrid>
        <w:gridCol w:w="1134"/>
        <w:gridCol w:w="1134"/>
        <w:gridCol w:w="1134"/>
        <w:gridCol w:w="1134"/>
        <w:gridCol w:w="2268"/>
      </w:tblGrid>
      <w:tr w:rsidR="003C2ED9" w:rsidRPr="00B57B36" w14:paraId="725E397B" w14:textId="77777777" w:rsidTr="00ED4F43">
        <w:tc>
          <w:tcPr>
            <w:tcW w:w="1134" w:type="dxa"/>
            <w:tcBorders>
              <w:top w:val="single" w:sz="12" w:space="0" w:color="008000"/>
              <w:bottom w:val="single" w:sz="6" w:space="0" w:color="008000"/>
            </w:tcBorders>
            <w:shd w:val="clear" w:color="auto" w:fill="FFFFFF"/>
          </w:tcPr>
          <w:p w14:paraId="13EC8AEB" w14:textId="77777777" w:rsidR="003C2ED9" w:rsidRDefault="003C2ED9" w:rsidP="00ED4F43">
            <w:pPr>
              <w:tabs>
                <w:tab w:val="clear" w:pos="7100"/>
              </w:tabs>
              <w:spacing w:line="240" w:lineRule="auto"/>
              <w:jc w:val="center"/>
              <w:rPr>
                <w:rFonts w:ascii="Aptos Narrow" w:hAnsi="Aptos Narrow"/>
                <w:color w:val="000000"/>
                <w:sz w:val="22"/>
                <w:szCs w:val="22"/>
                <w:lang w:val="en-AU"/>
              </w:rPr>
            </w:pPr>
            <w:r>
              <w:rPr>
                <w:rFonts w:ascii="Aptos Narrow" w:hAnsi="Aptos Narrow"/>
                <w:color w:val="000000"/>
                <w:sz w:val="22"/>
                <w:szCs w:val="22"/>
              </w:rPr>
              <w:t>Step</w:t>
            </w:r>
          </w:p>
          <w:p w14:paraId="094C8DE6" w14:textId="0A9830F0" w:rsidR="003C2ED9" w:rsidRPr="00B57B36" w:rsidRDefault="003C2ED9" w:rsidP="00ED4F43">
            <w:pPr>
              <w:pStyle w:val="CETBodytext"/>
              <w:jc w:val="center"/>
              <w:rPr>
                <w:lang w:val="en-GB"/>
              </w:rPr>
            </w:pPr>
          </w:p>
        </w:tc>
        <w:tc>
          <w:tcPr>
            <w:tcW w:w="1134" w:type="dxa"/>
            <w:tcBorders>
              <w:top w:val="single" w:sz="12" w:space="0" w:color="008000"/>
              <w:bottom w:val="single" w:sz="6" w:space="0" w:color="008000"/>
            </w:tcBorders>
            <w:shd w:val="clear" w:color="auto" w:fill="FFFFFF"/>
          </w:tcPr>
          <w:p w14:paraId="58EC5F3C" w14:textId="1B18CFF2" w:rsidR="003C2ED9" w:rsidRPr="00B57B36" w:rsidRDefault="003C2ED9" w:rsidP="00ED4F43">
            <w:pPr>
              <w:pStyle w:val="CETBodytext"/>
              <w:jc w:val="center"/>
              <w:rPr>
                <w:lang w:val="en-GB"/>
              </w:rPr>
            </w:pPr>
            <w:r w:rsidRPr="003C2ED9">
              <w:rPr>
                <w:lang w:val="en-GB"/>
              </w:rPr>
              <w:t>Temp (°C)</w:t>
            </w:r>
          </w:p>
        </w:tc>
        <w:tc>
          <w:tcPr>
            <w:tcW w:w="1134" w:type="dxa"/>
            <w:tcBorders>
              <w:top w:val="single" w:sz="12" w:space="0" w:color="008000"/>
              <w:bottom w:val="single" w:sz="6" w:space="0" w:color="008000"/>
            </w:tcBorders>
            <w:shd w:val="clear" w:color="auto" w:fill="FFFFFF"/>
          </w:tcPr>
          <w:p w14:paraId="7F0E60DA" w14:textId="3B760C2F" w:rsidR="003C2ED9" w:rsidRPr="00B57B36" w:rsidRDefault="003C2ED9" w:rsidP="00ED4F43">
            <w:pPr>
              <w:pStyle w:val="CETBodytext"/>
              <w:jc w:val="center"/>
              <w:rPr>
                <w:lang w:val="en-GB"/>
              </w:rPr>
            </w:pPr>
            <w:r>
              <w:rPr>
                <w:lang w:val="en-GB"/>
              </w:rPr>
              <w:t>CH</w:t>
            </w:r>
            <w:r w:rsidRPr="003C2ED9">
              <w:rPr>
                <w:vertAlign w:val="subscript"/>
                <w:lang w:val="en-GB"/>
              </w:rPr>
              <w:t xml:space="preserve">4 </w:t>
            </w:r>
            <w:r>
              <w:rPr>
                <w:lang w:val="en-GB"/>
              </w:rPr>
              <w:t>(</w:t>
            </w:r>
            <w:proofErr w:type="spellStart"/>
            <w:r>
              <w:rPr>
                <w:lang w:val="en-GB"/>
              </w:rPr>
              <w:t>sccm</w:t>
            </w:r>
            <w:proofErr w:type="spellEnd"/>
            <w:r>
              <w:rPr>
                <w:lang w:val="en-GB"/>
              </w:rPr>
              <w:t>)</w:t>
            </w:r>
          </w:p>
        </w:tc>
        <w:tc>
          <w:tcPr>
            <w:tcW w:w="1134" w:type="dxa"/>
            <w:tcBorders>
              <w:top w:val="single" w:sz="12" w:space="0" w:color="008000"/>
              <w:bottom w:val="single" w:sz="6" w:space="0" w:color="008000"/>
            </w:tcBorders>
            <w:shd w:val="clear" w:color="auto" w:fill="FFFFFF"/>
          </w:tcPr>
          <w:p w14:paraId="65A68627" w14:textId="18162736" w:rsidR="003C2ED9" w:rsidRPr="00B57B36" w:rsidRDefault="003C2ED9" w:rsidP="00ED4F43">
            <w:pPr>
              <w:pStyle w:val="CETBodytext"/>
              <w:ind w:right="-1"/>
              <w:jc w:val="center"/>
              <w:rPr>
                <w:rFonts w:cs="Arial"/>
                <w:szCs w:val="18"/>
                <w:lang w:val="en-GB"/>
              </w:rPr>
            </w:pPr>
            <w:r w:rsidRPr="003C2ED9">
              <w:rPr>
                <w:rFonts w:cs="Arial"/>
                <w:szCs w:val="18"/>
                <w:lang w:val="en-GB"/>
              </w:rPr>
              <w:t>Time (s)</w:t>
            </w:r>
          </w:p>
        </w:tc>
        <w:tc>
          <w:tcPr>
            <w:tcW w:w="2268" w:type="dxa"/>
            <w:tcBorders>
              <w:top w:val="single" w:sz="12" w:space="0" w:color="008000"/>
              <w:bottom w:val="single" w:sz="6" w:space="0" w:color="008000"/>
            </w:tcBorders>
            <w:shd w:val="clear" w:color="auto" w:fill="FFFFFF"/>
          </w:tcPr>
          <w:p w14:paraId="407562DB" w14:textId="7D8CE1CE" w:rsidR="003C2ED9" w:rsidRPr="00B57B36" w:rsidRDefault="003C2ED9" w:rsidP="00ED4F43">
            <w:pPr>
              <w:pStyle w:val="CETBodytext"/>
              <w:ind w:right="-1"/>
              <w:jc w:val="center"/>
              <w:rPr>
                <w:rFonts w:cs="Arial"/>
                <w:szCs w:val="18"/>
                <w:lang w:val="en-GB"/>
              </w:rPr>
            </w:pPr>
            <w:r w:rsidRPr="003C2ED9">
              <w:rPr>
                <w:rFonts w:cs="Arial"/>
                <w:szCs w:val="18"/>
                <w:lang w:val="en-GB"/>
              </w:rPr>
              <w:t>Purpose</w:t>
            </w:r>
          </w:p>
        </w:tc>
      </w:tr>
      <w:tr w:rsidR="003C2ED9" w:rsidRPr="00B57B36" w14:paraId="5D98A650" w14:textId="77777777" w:rsidTr="00ED4F43">
        <w:tc>
          <w:tcPr>
            <w:tcW w:w="1134" w:type="dxa"/>
            <w:shd w:val="clear" w:color="auto" w:fill="FFFFFF"/>
          </w:tcPr>
          <w:p w14:paraId="23D0204B" w14:textId="06BAE9D3" w:rsidR="003C2ED9" w:rsidRPr="00B57B36" w:rsidRDefault="003C2ED9" w:rsidP="00ED4F43">
            <w:pPr>
              <w:pStyle w:val="CETBodytext"/>
              <w:jc w:val="center"/>
              <w:rPr>
                <w:lang w:val="en-GB"/>
              </w:rPr>
            </w:pPr>
            <w:r>
              <w:rPr>
                <w:lang w:val="en-GB"/>
              </w:rPr>
              <w:t>1</w:t>
            </w:r>
          </w:p>
        </w:tc>
        <w:tc>
          <w:tcPr>
            <w:tcW w:w="1134" w:type="dxa"/>
            <w:shd w:val="clear" w:color="auto" w:fill="FFFFFF"/>
          </w:tcPr>
          <w:p w14:paraId="0273936C" w14:textId="17D50B91" w:rsidR="003C2ED9" w:rsidRPr="00B57B36" w:rsidRDefault="00E32634" w:rsidP="00ED4F43">
            <w:pPr>
              <w:pStyle w:val="CETBodytext"/>
              <w:jc w:val="center"/>
              <w:rPr>
                <w:lang w:val="en-GB"/>
              </w:rPr>
            </w:pPr>
            <w:r>
              <w:rPr>
                <w:lang w:val="en-GB"/>
              </w:rPr>
              <w:t>900</w:t>
            </w:r>
          </w:p>
        </w:tc>
        <w:tc>
          <w:tcPr>
            <w:tcW w:w="1134" w:type="dxa"/>
            <w:shd w:val="clear" w:color="auto" w:fill="FFFFFF"/>
          </w:tcPr>
          <w:p w14:paraId="26EB563A" w14:textId="119C842B" w:rsidR="003C2ED9" w:rsidRPr="00B57B36" w:rsidRDefault="00E32634" w:rsidP="00ED4F43">
            <w:pPr>
              <w:pStyle w:val="CETBodytext"/>
              <w:jc w:val="center"/>
              <w:rPr>
                <w:lang w:val="en-GB"/>
              </w:rPr>
            </w:pPr>
            <w:r>
              <w:rPr>
                <w:lang w:val="en-GB"/>
              </w:rPr>
              <w:t>0</w:t>
            </w:r>
          </w:p>
        </w:tc>
        <w:tc>
          <w:tcPr>
            <w:tcW w:w="1134" w:type="dxa"/>
            <w:shd w:val="clear" w:color="auto" w:fill="FFFFFF"/>
          </w:tcPr>
          <w:p w14:paraId="2D57A732" w14:textId="1427C583" w:rsidR="003C2ED9" w:rsidRPr="00B57B36" w:rsidRDefault="00E32634" w:rsidP="00ED4F43">
            <w:pPr>
              <w:pStyle w:val="CETBodytext"/>
              <w:ind w:right="-1"/>
              <w:jc w:val="center"/>
              <w:rPr>
                <w:rFonts w:cs="Arial"/>
                <w:szCs w:val="18"/>
                <w:lang w:val="en-GB"/>
              </w:rPr>
            </w:pPr>
            <w:r>
              <w:rPr>
                <w:rFonts w:cs="Arial"/>
                <w:szCs w:val="18"/>
                <w:lang w:val="en-GB"/>
              </w:rPr>
              <w:t>120</w:t>
            </w:r>
          </w:p>
        </w:tc>
        <w:tc>
          <w:tcPr>
            <w:tcW w:w="2268" w:type="dxa"/>
            <w:shd w:val="clear" w:color="auto" w:fill="FFFFFF"/>
          </w:tcPr>
          <w:p w14:paraId="2C8CABD4" w14:textId="77777777" w:rsidR="003C2ED9" w:rsidRDefault="00E32634" w:rsidP="00ED4F43">
            <w:pPr>
              <w:pStyle w:val="CETBodytext"/>
              <w:ind w:right="-1"/>
              <w:jc w:val="center"/>
              <w:rPr>
                <w:rFonts w:cs="Arial"/>
                <w:szCs w:val="18"/>
                <w:lang w:val="en-GB"/>
              </w:rPr>
            </w:pPr>
            <w:r w:rsidRPr="00E32634">
              <w:rPr>
                <w:rFonts w:cs="Arial"/>
                <w:szCs w:val="18"/>
                <w:lang w:val="en-GB"/>
              </w:rPr>
              <w:t>Pre-treatment (</w:t>
            </w:r>
            <w:proofErr w:type="spellStart"/>
            <w:r w:rsidRPr="00E32634">
              <w:rPr>
                <w:rFonts w:cs="Arial"/>
                <w:szCs w:val="18"/>
                <w:lang w:val="en-GB"/>
              </w:rPr>
              <w:t>Ar</w:t>
            </w:r>
            <w:proofErr w:type="spellEnd"/>
            <w:r w:rsidRPr="00E32634">
              <w:rPr>
                <w:rFonts w:cs="Arial"/>
                <w:szCs w:val="18"/>
                <w:lang w:val="en-GB"/>
              </w:rPr>
              <w:t>/H</w:t>
            </w:r>
            <w:r w:rsidRPr="00E32634">
              <w:rPr>
                <w:rFonts w:cs="Arial"/>
                <w:szCs w:val="18"/>
                <w:vertAlign w:val="subscript"/>
                <w:lang w:val="en-GB"/>
              </w:rPr>
              <w:t>2</w:t>
            </w:r>
            <w:r w:rsidRPr="00E32634">
              <w:rPr>
                <w:rFonts w:cs="Arial"/>
                <w:szCs w:val="18"/>
                <w:lang w:val="en-GB"/>
              </w:rPr>
              <w:t>‚ only)</w:t>
            </w:r>
          </w:p>
          <w:p w14:paraId="16B5F585" w14:textId="55F40B2A" w:rsidR="00ED4F43" w:rsidRPr="00B57B36" w:rsidRDefault="00ED4F43" w:rsidP="00ED4F43">
            <w:pPr>
              <w:pStyle w:val="CETBodytext"/>
              <w:ind w:right="-1"/>
              <w:jc w:val="center"/>
              <w:rPr>
                <w:rFonts w:cs="Arial"/>
                <w:szCs w:val="18"/>
                <w:lang w:val="en-GB"/>
              </w:rPr>
            </w:pPr>
          </w:p>
        </w:tc>
      </w:tr>
      <w:tr w:rsidR="003C2ED9" w:rsidRPr="00B57B36" w14:paraId="44462567" w14:textId="77777777" w:rsidTr="00ED4F43">
        <w:tc>
          <w:tcPr>
            <w:tcW w:w="1134" w:type="dxa"/>
            <w:shd w:val="clear" w:color="auto" w:fill="FFFFFF"/>
          </w:tcPr>
          <w:p w14:paraId="44313157" w14:textId="4DE28FDA" w:rsidR="003C2ED9" w:rsidRPr="00B57B36" w:rsidRDefault="00E32634" w:rsidP="00ED4F43">
            <w:pPr>
              <w:pStyle w:val="CETBodytext"/>
              <w:ind w:right="-1"/>
              <w:jc w:val="center"/>
              <w:rPr>
                <w:rFonts w:cs="Arial"/>
                <w:szCs w:val="18"/>
                <w:lang w:val="en-GB"/>
              </w:rPr>
            </w:pPr>
            <w:r>
              <w:rPr>
                <w:rFonts w:cs="Arial"/>
                <w:szCs w:val="18"/>
                <w:lang w:val="en-GB"/>
              </w:rPr>
              <w:t>2</w:t>
            </w:r>
          </w:p>
        </w:tc>
        <w:tc>
          <w:tcPr>
            <w:tcW w:w="1134" w:type="dxa"/>
            <w:shd w:val="clear" w:color="auto" w:fill="FFFFFF"/>
          </w:tcPr>
          <w:p w14:paraId="2E3EAE20" w14:textId="7B6DDD82" w:rsidR="003C2ED9" w:rsidRPr="00B57B36" w:rsidRDefault="00E32634" w:rsidP="00ED4F43">
            <w:pPr>
              <w:pStyle w:val="CETBodytext"/>
              <w:ind w:right="-1"/>
              <w:jc w:val="center"/>
              <w:rPr>
                <w:rFonts w:cs="Arial"/>
                <w:szCs w:val="18"/>
                <w:lang w:val="en-GB"/>
              </w:rPr>
            </w:pPr>
            <w:r>
              <w:rPr>
                <w:rFonts w:cs="Arial"/>
                <w:szCs w:val="18"/>
                <w:lang w:val="en-GB"/>
              </w:rPr>
              <w:t>1000</w:t>
            </w:r>
          </w:p>
        </w:tc>
        <w:tc>
          <w:tcPr>
            <w:tcW w:w="1134" w:type="dxa"/>
            <w:shd w:val="clear" w:color="auto" w:fill="FFFFFF"/>
          </w:tcPr>
          <w:p w14:paraId="35AABB19" w14:textId="3C87161A" w:rsidR="003C2ED9" w:rsidRPr="00B57B36" w:rsidRDefault="00E32634" w:rsidP="00ED4F43">
            <w:pPr>
              <w:pStyle w:val="CETBodytext"/>
              <w:ind w:right="-1"/>
              <w:jc w:val="center"/>
              <w:rPr>
                <w:rFonts w:cs="Arial"/>
                <w:szCs w:val="18"/>
                <w:lang w:val="en-GB"/>
              </w:rPr>
            </w:pPr>
            <w:r>
              <w:rPr>
                <w:rFonts w:cs="Arial"/>
                <w:szCs w:val="18"/>
                <w:lang w:val="en-GB"/>
              </w:rPr>
              <w:t>0</w:t>
            </w:r>
          </w:p>
        </w:tc>
        <w:tc>
          <w:tcPr>
            <w:tcW w:w="1134" w:type="dxa"/>
            <w:shd w:val="clear" w:color="auto" w:fill="FFFFFF"/>
          </w:tcPr>
          <w:p w14:paraId="71D86DC5" w14:textId="50777ADE" w:rsidR="003C2ED9" w:rsidRPr="00B57B36" w:rsidRDefault="00E32634" w:rsidP="00ED4F43">
            <w:pPr>
              <w:pStyle w:val="CETBodytext"/>
              <w:ind w:right="-1"/>
              <w:jc w:val="center"/>
              <w:rPr>
                <w:rFonts w:cs="Arial"/>
                <w:szCs w:val="18"/>
                <w:lang w:val="en-GB"/>
              </w:rPr>
            </w:pPr>
            <w:r>
              <w:rPr>
                <w:rFonts w:cs="Arial"/>
                <w:szCs w:val="18"/>
                <w:lang w:val="en-GB"/>
              </w:rPr>
              <w:t>900</w:t>
            </w:r>
          </w:p>
        </w:tc>
        <w:tc>
          <w:tcPr>
            <w:tcW w:w="2268" w:type="dxa"/>
            <w:shd w:val="clear" w:color="auto" w:fill="FFFFFF"/>
          </w:tcPr>
          <w:p w14:paraId="2E0EDD69" w14:textId="29E78E59" w:rsidR="00E32634" w:rsidRDefault="00E32634" w:rsidP="00ED4F43">
            <w:pPr>
              <w:tabs>
                <w:tab w:val="clear" w:pos="7100"/>
              </w:tabs>
              <w:spacing w:line="240" w:lineRule="auto"/>
              <w:jc w:val="center"/>
              <w:rPr>
                <w:rFonts w:ascii="Aptos Narrow" w:hAnsi="Aptos Narrow"/>
                <w:color w:val="000000"/>
                <w:sz w:val="22"/>
                <w:szCs w:val="22"/>
                <w:lang w:val="en-AU"/>
              </w:rPr>
            </w:pPr>
            <w:r>
              <w:rPr>
                <w:rFonts w:ascii="Aptos Narrow" w:hAnsi="Aptos Narrow"/>
                <w:color w:val="000000"/>
                <w:sz w:val="22"/>
                <w:szCs w:val="22"/>
              </w:rPr>
              <w:t>Annealing no methane yet</w:t>
            </w:r>
          </w:p>
          <w:p w14:paraId="16F8078B" w14:textId="77777777" w:rsidR="003C2ED9" w:rsidRPr="00B57B36" w:rsidRDefault="003C2ED9" w:rsidP="00ED4F43">
            <w:pPr>
              <w:pStyle w:val="CETBodytext"/>
              <w:ind w:right="-1"/>
              <w:jc w:val="center"/>
              <w:rPr>
                <w:rFonts w:cs="Arial"/>
                <w:szCs w:val="18"/>
                <w:lang w:val="en-GB"/>
              </w:rPr>
            </w:pPr>
          </w:p>
        </w:tc>
      </w:tr>
      <w:tr w:rsidR="00E32634" w:rsidRPr="00B57B36" w14:paraId="11C9D5D3" w14:textId="77777777" w:rsidTr="00ED4F43">
        <w:tc>
          <w:tcPr>
            <w:tcW w:w="1134" w:type="dxa"/>
            <w:shd w:val="clear" w:color="auto" w:fill="FFFFFF"/>
          </w:tcPr>
          <w:p w14:paraId="3DBE5C38" w14:textId="16BE8CE1" w:rsidR="00E32634" w:rsidRPr="00B57B36" w:rsidRDefault="00E32634" w:rsidP="00ED4F43">
            <w:pPr>
              <w:pStyle w:val="CETBodytext"/>
              <w:ind w:right="-1"/>
              <w:jc w:val="center"/>
              <w:rPr>
                <w:rFonts w:cs="Arial"/>
                <w:szCs w:val="18"/>
                <w:lang w:val="en-GB"/>
              </w:rPr>
            </w:pPr>
            <w:r>
              <w:rPr>
                <w:rFonts w:cs="Arial"/>
                <w:szCs w:val="18"/>
                <w:lang w:val="en-GB"/>
              </w:rPr>
              <w:t>3</w:t>
            </w:r>
          </w:p>
        </w:tc>
        <w:tc>
          <w:tcPr>
            <w:tcW w:w="1134" w:type="dxa"/>
            <w:shd w:val="clear" w:color="auto" w:fill="FFFFFF"/>
          </w:tcPr>
          <w:p w14:paraId="4AE49773" w14:textId="13EB5346" w:rsidR="00E32634" w:rsidRPr="00B57B36" w:rsidRDefault="00E32634" w:rsidP="00ED4F43">
            <w:pPr>
              <w:pStyle w:val="CETBodytext"/>
              <w:ind w:right="-1"/>
              <w:jc w:val="center"/>
              <w:rPr>
                <w:rFonts w:cs="Arial"/>
                <w:szCs w:val="18"/>
                <w:lang w:val="en-GB"/>
              </w:rPr>
            </w:pPr>
            <w:r>
              <w:rPr>
                <w:rFonts w:cs="Arial"/>
                <w:szCs w:val="18"/>
                <w:lang w:val="en-GB"/>
              </w:rPr>
              <w:t>1000</w:t>
            </w:r>
          </w:p>
        </w:tc>
        <w:tc>
          <w:tcPr>
            <w:tcW w:w="1134" w:type="dxa"/>
            <w:shd w:val="clear" w:color="auto" w:fill="FFFFFF"/>
          </w:tcPr>
          <w:p w14:paraId="3E92FF14" w14:textId="15152AE1" w:rsidR="00E32634" w:rsidRPr="00B57B36" w:rsidRDefault="00E32634" w:rsidP="00ED4F43">
            <w:pPr>
              <w:pStyle w:val="CETBodytext"/>
              <w:ind w:right="-1"/>
              <w:jc w:val="center"/>
              <w:rPr>
                <w:rFonts w:cs="Arial"/>
                <w:szCs w:val="18"/>
                <w:lang w:val="en-GB"/>
              </w:rPr>
            </w:pPr>
            <w:r>
              <w:rPr>
                <w:rFonts w:cs="Arial"/>
                <w:szCs w:val="18"/>
                <w:lang w:val="en-GB"/>
              </w:rPr>
              <w:t>20</w:t>
            </w:r>
          </w:p>
        </w:tc>
        <w:tc>
          <w:tcPr>
            <w:tcW w:w="1134" w:type="dxa"/>
            <w:shd w:val="clear" w:color="auto" w:fill="FFFFFF"/>
          </w:tcPr>
          <w:p w14:paraId="2850761D" w14:textId="4DF3CAF4" w:rsidR="00E32634" w:rsidRPr="00B57B36" w:rsidRDefault="00E32634" w:rsidP="00ED4F43">
            <w:pPr>
              <w:pStyle w:val="CETBodytext"/>
              <w:ind w:right="-1"/>
              <w:jc w:val="center"/>
              <w:rPr>
                <w:rFonts w:cs="Arial"/>
                <w:szCs w:val="18"/>
                <w:lang w:val="en-GB"/>
              </w:rPr>
            </w:pPr>
            <w:r>
              <w:rPr>
                <w:rFonts w:cs="Arial"/>
                <w:szCs w:val="18"/>
                <w:lang w:val="en-GB"/>
              </w:rPr>
              <w:t>700</w:t>
            </w:r>
          </w:p>
        </w:tc>
        <w:tc>
          <w:tcPr>
            <w:tcW w:w="2268" w:type="dxa"/>
            <w:shd w:val="clear" w:color="auto" w:fill="FFFFFF"/>
          </w:tcPr>
          <w:p w14:paraId="4A193D19" w14:textId="77777777" w:rsidR="00E32634" w:rsidRDefault="00E32634" w:rsidP="00ED4F43">
            <w:pPr>
              <w:tabs>
                <w:tab w:val="clear" w:pos="7100"/>
              </w:tabs>
              <w:spacing w:line="240" w:lineRule="auto"/>
              <w:jc w:val="center"/>
              <w:rPr>
                <w:rFonts w:ascii="Aptos Narrow" w:hAnsi="Aptos Narrow"/>
                <w:color w:val="000000"/>
                <w:sz w:val="22"/>
                <w:szCs w:val="22"/>
                <w:lang w:val="en-AU"/>
              </w:rPr>
            </w:pPr>
            <w:r>
              <w:rPr>
                <w:rFonts w:ascii="Aptos Narrow" w:hAnsi="Aptos Narrow"/>
                <w:color w:val="000000"/>
                <w:sz w:val="22"/>
                <w:szCs w:val="22"/>
              </w:rPr>
              <w:t>Graphene growth phase</w:t>
            </w:r>
          </w:p>
          <w:p w14:paraId="31CFF3D4" w14:textId="77777777" w:rsidR="00E32634" w:rsidRPr="00B57B36" w:rsidRDefault="00E32634" w:rsidP="00ED4F43">
            <w:pPr>
              <w:pStyle w:val="CETBodytext"/>
              <w:ind w:right="-1"/>
              <w:jc w:val="center"/>
              <w:rPr>
                <w:rFonts w:cs="Arial"/>
                <w:szCs w:val="18"/>
                <w:lang w:val="en-GB"/>
              </w:rPr>
            </w:pPr>
          </w:p>
        </w:tc>
      </w:tr>
      <w:tr w:rsidR="00E32634" w:rsidRPr="00B57B36" w14:paraId="5B479D5C" w14:textId="77777777" w:rsidTr="00ED4F43">
        <w:tc>
          <w:tcPr>
            <w:tcW w:w="1134" w:type="dxa"/>
            <w:shd w:val="clear" w:color="auto" w:fill="FFFFFF"/>
          </w:tcPr>
          <w:p w14:paraId="071CAFE9" w14:textId="272F547A" w:rsidR="00E32634" w:rsidRPr="00B57B36" w:rsidRDefault="00E32634" w:rsidP="00ED4F43">
            <w:pPr>
              <w:pStyle w:val="CETBodytext"/>
              <w:ind w:right="-1"/>
              <w:jc w:val="center"/>
              <w:rPr>
                <w:rFonts w:cs="Arial"/>
                <w:szCs w:val="18"/>
                <w:lang w:val="en-GB"/>
              </w:rPr>
            </w:pPr>
            <w:r>
              <w:rPr>
                <w:rFonts w:cs="Arial"/>
                <w:szCs w:val="18"/>
                <w:lang w:val="en-GB"/>
              </w:rPr>
              <w:t>4</w:t>
            </w:r>
          </w:p>
        </w:tc>
        <w:tc>
          <w:tcPr>
            <w:tcW w:w="1134" w:type="dxa"/>
            <w:shd w:val="clear" w:color="auto" w:fill="FFFFFF"/>
          </w:tcPr>
          <w:p w14:paraId="72953038" w14:textId="13C898D9" w:rsidR="00E32634" w:rsidRPr="00B57B36" w:rsidRDefault="00E32634" w:rsidP="00ED4F43">
            <w:pPr>
              <w:pStyle w:val="CETBodytext"/>
              <w:ind w:right="-1"/>
              <w:jc w:val="center"/>
              <w:rPr>
                <w:rFonts w:cs="Arial"/>
                <w:szCs w:val="18"/>
                <w:lang w:val="en-GB"/>
              </w:rPr>
            </w:pPr>
            <w:r>
              <w:rPr>
                <w:rFonts w:cs="Arial"/>
                <w:szCs w:val="18"/>
                <w:lang w:val="en-GB"/>
              </w:rPr>
              <w:t>100</w:t>
            </w:r>
          </w:p>
        </w:tc>
        <w:tc>
          <w:tcPr>
            <w:tcW w:w="1134" w:type="dxa"/>
            <w:shd w:val="clear" w:color="auto" w:fill="FFFFFF"/>
          </w:tcPr>
          <w:p w14:paraId="6067C57C" w14:textId="681AB8FA" w:rsidR="00E32634" w:rsidRPr="00B57B36" w:rsidRDefault="00E32634" w:rsidP="00ED4F43">
            <w:pPr>
              <w:pStyle w:val="CETBodytext"/>
              <w:ind w:right="-1"/>
              <w:jc w:val="center"/>
              <w:rPr>
                <w:rFonts w:cs="Arial"/>
                <w:szCs w:val="18"/>
                <w:lang w:val="en-GB"/>
              </w:rPr>
            </w:pPr>
            <w:r>
              <w:rPr>
                <w:rFonts w:cs="Arial"/>
                <w:szCs w:val="18"/>
                <w:lang w:val="en-GB"/>
              </w:rPr>
              <w:t>0</w:t>
            </w:r>
          </w:p>
        </w:tc>
        <w:tc>
          <w:tcPr>
            <w:tcW w:w="1134" w:type="dxa"/>
            <w:shd w:val="clear" w:color="auto" w:fill="FFFFFF"/>
          </w:tcPr>
          <w:p w14:paraId="08100AAE" w14:textId="6440C215" w:rsidR="00E32634" w:rsidRPr="00B57B36" w:rsidRDefault="00E32634" w:rsidP="00ED4F43">
            <w:pPr>
              <w:pStyle w:val="CETBodytext"/>
              <w:ind w:right="-1"/>
              <w:jc w:val="center"/>
              <w:rPr>
                <w:rFonts w:cs="Arial"/>
                <w:szCs w:val="18"/>
                <w:lang w:val="en-GB"/>
              </w:rPr>
            </w:pPr>
            <w:r>
              <w:rPr>
                <w:rFonts w:cs="Arial"/>
                <w:szCs w:val="18"/>
                <w:lang w:val="en-GB"/>
              </w:rPr>
              <w:t>630</w:t>
            </w:r>
          </w:p>
        </w:tc>
        <w:tc>
          <w:tcPr>
            <w:tcW w:w="2268" w:type="dxa"/>
            <w:shd w:val="clear" w:color="auto" w:fill="FFFFFF"/>
          </w:tcPr>
          <w:p w14:paraId="5887227A" w14:textId="77777777" w:rsidR="00E32634" w:rsidRDefault="00E32634" w:rsidP="00ED4F43">
            <w:pPr>
              <w:tabs>
                <w:tab w:val="clear" w:pos="7100"/>
              </w:tabs>
              <w:spacing w:line="240" w:lineRule="auto"/>
              <w:jc w:val="center"/>
              <w:rPr>
                <w:rFonts w:ascii="Aptos Narrow" w:hAnsi="Aptos Narrow"/>
                <w:color w:val="000000"/>
                <w:sz w:val="22"/>
                <w:szCs w:val="22"/>
                <w:lang w:val="en-AU"/>
              </w:rPr>
            </w:pPr>
            <w:r>
              <w:rPr>
                <w:rFonts w:ascii="Aptos Narrow" w:hAnsi="Aptos Narrow"/>
                <w:color w:val="000000"/>
                <w:sz w:val="22"/>
                <w:szCs w:val="22"/>
              </w:rPr>
              <w:t>Cooling phase</w:t>
            </w:r>
          </w:p>
          <w:p w14:paraId="6A766683" w14:textId="77777777" w:rsidR="00E32634" w:rsidRPr="00B57B36" w:rsidRDefault="00E32634" w:rsidP="00ED4F43">
            <w:pPr>
              <w:pStyle w:val="CETBodytext"/>
              <w:ind w:right="-1"/>
              <w:jc w:val="center"/>
              <w:rPr>
                <w:rFonts w:cs="Arial"/>
                <w:szCs w:val="18"/>
                <w:lang w:val="en-GB"/>
              </w:rPr>
            </w:pPr>
          </w:p>
        </w:tc>
      </w:tr>
    </w:tbl>
    <w:p w14:paraId="4E3532A7" w14:textId="3110F557" w:rsidR="00732349" w:rsidRPr="00B26505" w:rsidRDefault="007033A3" w:rsidP="004B5F37">
      <w:pPr>
        <w:pStyle w:val="CETBodytext"/>
        <w:rPr>
          <w:lang w:val="en-GB"/>
        </w:rPr>
      </w:pPr>
      <w:r w:rsidRPr="007033A3">
        <w:rPr>
          <w:noProof/>
          <w:lang w:val="en-GB"/>
        </w:rPr>
        <w:drawing>
          <wp:inline distT="0" distB="0" distL="0" distR="0" wp14:anchorId="172BD37C" wp14:editId="53E4F59B">
            <wp:extent cx="1944915" cy="1013517"/>
            <wp:effectExtent l="0" t="0" r="0" b="0"/>
            <wp:docPr id="101516813" name="Picture 1" descr="A diagram of a graphe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516813" name="Picture 1" descr="A diagram of a graphene&#10;&#10;AI-generated content may be incorrect."/>
                    <pic:cNvPicPr/>
                  </pic:nvPicPr>
                  <pic:blipFill>
                    <a:blip r:embed="rId11"/>
                    <a:stretch>
                      <a:fillRect/>
                    </a:stretch>
                  </pic:blipFill>
                  <pic:spPr>
                    <a:xfrm>
                      <a:off x="0" y="0"/>
                      <a:ext cx="1976590" cy="1030023"/>
                    </a:xfrm>
                    <a:prstGeom prst="rect">
                      <a:avLst/>
                    </a:prstGeom>
                  </pic:spPr>
                </pic:pic>
              </a:graphicData>
            </a:graphic>
          </wp:inline>
        </w:drawing>
      </w:r>
    </w:p>
    <w:p w14:paraId="06D103F0" w14:textId="54F5A9C7" w:rsidR="00076DAE" w:rsidRDefault="00732349" w:rsidP="004B5F37">
      <w:pPr>
        <w:pStyle w:val="CETCaption"/>
      </w:pPr>
      <w:r w:rsidRPr="00B77277">
        <w:t xml:space="preserve">Figure </w:t>
      </w:r>
      <w:r w:rsidR="007033A3">
        <w:t>1</w:t>
      </w:r>
      <w:r w:rsidRPr="00B77277">
        <w:t xml:space="preserve">: </w:t>
      </w:r>
      <w:r w:rsidR="007033A3">
        <w:t xml:space="preserve">(a): Schematic of proposed geometry (b): </w:t>
      </w:r>
      <w:r w:rsidR="00B77277" w:rsidRPr="00B77277">
        <w:t xml:space="preserve">Bottom: </w:t>
      </w:r>
      <w:r w:rsidR="0011030C">
        <w:t>C</w:t>
      </w:r>
      <w:r w:rsidR="00B77277" w:rsidRPr="00B77277">
        <w:t>ommercially sourced patterned ITO electrodes</w:t>
      </w:r>
      <w:r w:rsidR="0011030C">
        <w:t>.</w:t>
      </w:r>
      <w:r w:rsidR="00B71D85">
        <w:t xml:space="preserve"> The light grey area corresponds to glass and rest of the part is ITO coated.</w:t>
      </w:r>
      <w:r w:rsidR="00B71D85" w:rsidRPr="00B71D85">
        <w:t xml:space="preserve"> </w:t>
      </w:r>
      <w:r w:rsidR="00B71D85" w:rsidRPr="00B77277">
        <w:t xml:space="preserve">Top: </w:t>
      </w:r>
      <w:r w:rsidR="00B71D85">
        <w:t>T</w:t>
      </w:r>
      <w:r w:rsidR="00B71D85" w:rsidRPr="00B77277">
        <w:t>ransparent hybrid electrode prepared via</w:t>
      </w:r>
      <w:r w:rsidR="005F0511">
        <w:t xml:space="preserve"> </w:t>
      </w:r>
      <w:r w:rsidR="00B71D85" w:rsidRPr="00B77277">
        <w:t>cold-wall CVD</w:t>
      </w:r>
      <w:r w:rsidR="00B71D85">
        <w:t>.</w:t>
      </w:r>
      <w:r w:rsidR="00130F48">
        <w:t xml:space="preserve"> </w:t>
      </w:r>
      <w:r w:rsidR="00B71D85">
        <w:t>The graphene monolayer</w:t>
      </w:r>
      <w:r w:rsidR="00130F48">
        <w:t>, grown on copper foil, was transferred</w:t>
      </w:r>
      <w:r w:rsidR="005F0511">
        <w:t xml:space="preserve"> </w:t>
      </w:r>
      <w:r w:rsidR="00B71D85">
        <w:t>on the complete ITO-coated glass.</w:t>
      </w:r>
    </w:p>
    <w:p w14:paraId="00F5BB07" w14:textId="6540FDAC" w:rsidR="00B979FB" w:rsidRDefault="00B979FB" w:rsidP="004B5F37">
      <w:pPr>
        <w:pStyle w:val="CETHeading1"/>
        <w:rPr>
          <w:lang w:val="en-GB"/>
        </w:rPr>
      </w:pPr>
      <w:r>
        <w:rPr>
          <w:lang w:val="en-GB"/>
        </w:rPr>
        <w:t xml:space="preserve">Results </w:t>
      </w:r>
      <w:r w:rsidRPr="004B5F37">
        <w:t>and</w:t>
      </w:r>
      <w:r>
        <w:rPr>
          <w:lang w:val="en-GB"/>
        </w:rPr>
        <w:t xml:space="preserve"> Discussion</w:t>
      </w:r>
    </w:p>
    <w:p w14:paraId="2DCC0C58" w14:textId="0187B15E" w:rsidR="006469FF" w:rsidRDefault="006469FF" w:rsidP="004B5F37">
      <w:pPr>
        <w:pStyle w:val="CETheadingx"/>
      </w:pPr>
      <w:r>
        <w:t xml:space="preserve">Electrical properties </w:t>
      </w:r>
    </w:p>
    <w:p w14:paraId="7A0DF17B" w14:textId="05298898" w:rsidR="0005491A" w:rsidRPr="00BB1D27" w:rsidRDefault="005E75F4" w:rsidP="0005491A">
      <w:pPr>
        <w:pStyle w:val="CETBodytext"/>
      </w:pPr>
      <w:r w:rsidRPr="006469FF">
        <w:t xml:space="preserve">Four-probe measurements </w:t>
      </w:r>
      <w:r w:rsidRPr="006469FF">
        <w:rPr>
          <w:rFonts w:cs="Arial"/>
          <w:szCs w:val="18"/>
          <w:lang w:val="en-AU" w:eastAsia="en-AU"/>
        </w:rPr>
        <w:t xml:space="preserve">were performed utilizing a Keithley 4200-SCS Semiconductor Parameter Analyzer with a Janis probe station. A current sweep from 0 to </w:t>
      </w:r>
      <w:r w:rsidR="00427617">
        <w:rPr>
          <w:rFonts w:cs="Arial"/>
          <w:szCs w:val="18"/>
          <w:lang w:val="en-AU" w:eastAsia="en-AU"/>
        </w:rPr>
        <w:t>10</w:t>
      </w:r>
      <w:r w:rsidRPr="006469FF">
        <w:rPr>
          <w:rFonts w:cs="Arial"/>
          <w:szCs w:val="18"/>
          <w:lang w:val="en-AU" w:eastAsia="en-AU"/>
        </w:rPr>
        <w:t xml:space="preserve"> </w:t>
      </w:r>
      <w:r w:rsidR="00427617">
        <w:rPr>
          <w:rFonts w:cs="Arial"/>
          <w:szCs w:val="18"/>
          <w:lang w:val="en-AU" w:eastAsia="en-AU"/>
        </w:rPr>
        <w:t>m</w:t>
      </w:r>
      <w:r w:rsidRPr="006469FF">
        <w:rPr>
          <w:rFonts w:cs="Arial"/>
          <w:szCs w:val="18"/>
          <w:lang w:val="en-AU" w:eastAsia="en-AU"/>
        </w:rPr>
        <w:t>A was executed in increments of 0.</w:t>
      </w:r>
      <w:r w:rsidR="00427617" w:rsidRPr="006469FF" w:rsidDel="00427617">
        <w:rPr>
          <w:rFonts w:cs="Arial"/>
          <w:szCs w:val="18"/>
          <w:lang w:val="en-AU" w:eastAsia="en-AU"/>
        </w:rPr>
        <w:t xml:space="preserve"> </w:t>
      </w:r>
      <w:r w:rsidRPr="006469FF">
        <w:rPr>
          <w:rFonts w:cs="Arial"/>
          <w:szCs w:val="18"/>
          <w:lang w:val="en-AU" w:eastAsia="en-AU"/>
        </w:rPr>
        <w:t xml:space="preserve">5 </w:t>
      </w:r>
      <w:r w:rsidR="00427617">
        <w:rPr>
          <w:rFonts w:cs="Arial"/>
          <w:szCs w:val="18"/>
          <w:lang w:val="en-AU" w:eastAsia="en-AU"/>
        </w:rPr>
        <w:t>m</w:t>
      </w:r>
      <w:r w:rsidRPr="006469FF">
        <w:rPr>
          <w:rFonts w:cs="Arial"/>
          <w:szCs w:val="18"/>
          <w:lang w:val="en-AU" w:eastAsia="en-AU"/>
        </w:rPr>
        <w:t>A, and the voltage drop across</w:t>
      </w:r>
      <w:r w:rsidR="000D6E08">
        <w:rPr>
          <w:rFonts w:cs="Arial"/>
          <w:szCs w:val="18"/>
          <w:lang w:val="en-AU" w:eastAsia="en-AU"/>
        </w:rPr>
        <w:t xml:space="preserve"> the</w:t>
      </w:r>
      <w:r w:rsidRPr="006469FF">
        <w:rPr>
          <w:rFonts w:cs="Arial"/>
          <w:szCs w:val="18"/>
          <w:lang w:val="en-AU" w:eastAsia="en-AU"/>
        </w:rPr>
        <w:t xml:space="preserve"> </w:t>
      </w:r>
      <w:r w:rsidR="000D6E08">
        <w:rPr>
          <w:rFonts w:cs="Arial"/>
          <w:szCs w:val="18"/>
          <w:lang w:val="en-AU" w:eastAsia="en-AU"/>
        </w:rPr>
        <w:t>material under test</w:t>
      </w:r>
      <w:r w:rsidRPr="006469FF">
        <w:rPr>
          <w:rFonts w:cs="Arial"/>
          <w:szCs w:val="18"/>
          <w:lang w:val="en-AU" w:eastAsia="en-AU"/>
        </w:rPr>
        <w:t xml:space="preserve"> was measured</w:t>
      </w:r>
      <w:r>
        <w:rPr>
          <w:rFonts w:cs="Arial"/>
          <w:szCs w:val="18"/>
          <w:lang w:val="en-AU" w:eastAsia="en-AU"/>
        </w:rPr>
        <w:t xml:space="preserve">. </w:t>
      </w:r>
      <w:r>
        <w:t>The obtained I-V curve</w:t>
      </w:r>
      <w:r w:rsidR="009A2CDB">
        <w:t>s</w:t>
      </w:r>
      <w:r w:rsidR="00BB1D27" w:rsidRPr="006469FF">
        <w:t xml:space="preserve"> confirm</w:t>
      </w:r>
      <w:r>
        <w:t>s</w:t>
      </w:r>
      <w:r w:rsidR="00BB1D27" w:rsidRPr="006469FF">
        <w:t xml:space="preserve"> that adding a graphene overlayer reduces the resist</w:t>
      </w:r>
      <w:r w:rsidR="00062556">
        <w:t>ance</w:t>
      </w:r>
      <w:r w:rsidR="00BB1D27" w:rsidRPr="006469FF">
        <w:t xml:space="preserve"> of the ITO electrode</w:t>
      </w:r>
      <w:r w:rsidR="00BB1D27">
        <w:t xml:space="preserve">s shown in Figure </w:t>
      </w:r>
      <w:r w:rsidR="007033A3">
        <w:t>2</w:t>
      </w:r>
      <w:r w:rsidR="00BB1D27">
        <w:t xml:space="preserve"> (Sun et al.,2023)</w:t>
      </w:r>
      <w:r w:rsidR="00BB1D27" w:rsidRPr="006469FF">
        <w:t xml:space="preserve">. The ITO-only sample shows a </w:t>
      </w:r>
      <w:r w:rsidR="00E32C50">
        <w:t>four</w:t>
      </w:r>
      <w:r w:rsidR="00BB1D27" w:rsidRPr="006469FF">
        <w:t xml:space="preserve">-probe resistance of 9.3 Ω, corresponding to a sheet resistance of approximately 3.1 Ω/□ </w:t>
      </w:r>
      <w:r w:rsidR="00062556">
        <w:t xml:space="preserve">measured </w:t>
      </w:r>
      <w:r w:rsidR="00BB1D27" w:rsidRPr="006469FF">
        <w:t>using Rs = R·W/L</w:t>
      </w:r>
      <w:r w:rsidR="00A65EED">
        <w:t>, where</w:t>
      </w:r>
      <w:r w:rsidR="00DB2AC8">
        <w:rPr>
          <w:rStyle w:val="CETBodytextCarattere"/>
        </w:rPr>
        <w:t xml:space="preserve"> </w:t>
      </w:r>
      <w:r w:rsidR="00A65EED" w:rsidRPr="00711421">
        <w:rPr>
          <w:rStyle w:val="CETBodytextCarattere"/>
        </w:rPr>
        <w:t xml:space="preserve">R </w:t>
      </w:r>
      <w:r w:rsidR="00A65EED">
        <w:rPr>
          <w:rStyle w:val="CETBodytextCarattere"/>
        </w:rPr>
        <w:t xml:space="preserve">is the resistance and </w:t>
      </w:r>
      <w:r w:rsidR="00062556" w:rsidRPr="00711421">
        <w:rPr>
          <w:rStyle w:val="CETBodytextCarattere"/>
        </w:rPr>
        <w:t>W = 0.5</w:t>
      </w:r>
      <w:r w:rsidR="00A65EED">
        <w:rPr>
          <w:rStyle w:val="CETBodytextCarattere"/>
        </w:rPr>
        <w:t xml:space="preserve"> </w:t>
      </w:r>
      <w:r w:rsidR="00062556" w:rsidRPr="00711421">
        <w:rPr>
          <w:rStyle w:val="CETBodytextCarattere"/>
        </w:rPr>
        <w:t>mm</w:t>
      </w:r>
      <w:r w:rsidR="00E6654D">
        <w:rPr>
          <w:rStyle w:val="CETBodytextCarattere"/>
        </w:rPr>
        <w:t xml:space="preserve"> and</w:t>
      </w:r>
      <w:r w:rsidR="00062556" w:rsidRPr="00711421">
        <w:rPr>
          <w:rStyle w:val="CETBodytextCarattere"/>
        </w:rPr>
        <w:t xml:space="preserve"> L = 1.5</w:t>
      </w:r>
      <w:r w:rsidR="00A65EED">
        <w:rPr>
          <w:rStyle w:val="CETBodytextCarattere"/>
        </w:rPr>
        <w:t xml:space="preserve"> </w:t>
      </w:r>
      <w:r w:rsidR="00062556" w:rsidRPr="00711421">
        <w:rPr>
          <w:rStyle w:val="CETBodytextCarattere"/>
        </w:rPr>
        <w:t>mm</w:t>
      </w:r>
      <w:r w:rsidR="00E6654D">
        <w:rPr>
          <w:rStyle w:val="CETBodytextCarattere"/>
        </w:rPr>
        <w:t xml:space="preserve"> are the width and the length</w:t>
      </w:r>
      <w:r w:rsidR="00A65EED">
        <w:rPr>
          <w:rStyle w:val="CETBodytextCarattere"/>
        </w:rPr>
        <w:t xml:space="preserve"> </w:t>
      </w:r>
      <w:r w:rsidR="0041352E" w:rsidRPr="0041352E">
        <w:rPr>
          <w:rStyle w:val="CETBodytextCarattere"/>
        </w:rPr>
        <w:t>of the sample area under test</w:t>
      </w:r>
      <w:r w:rsidR="00E6654D">
        <w:rPr>
          <w:rStyle w:val="CETBodytextCarattere"/>
        </w:rPr>
        <w:t>,</w:t>
      </w:r>
      <w:r w:rsidR="00A65EED">
        <w:rPr>
          <w:rStyle w:val="CETBodytextCarattere"/>
        </w:rPr>
        <w:t xml:space="preserve"> </w:t>
      </w:r>
      <w:r w:rsidR="00E6654D">
        <w:rPr>
          <w:rStyle w:val="CETBodytextCarattere"/>
        </w:rPr>
        <w:t>respectively</w:t>
      </w:r>
      <w:r w:rsidR="005858CC">
        <w:rPr>
          <w:rStyle w:val="CETBodytextCarattere"/>
        </w:rPr>
        <w:t>. R</w:t>
      </w:r>
      <w:r w:rsidR="00062556">
        <w:rPr>
          <w:rStyle w:val="CETBodytextCarattere"/>
        </w:rPr>
        <w:t xml:space="preserve"> is evaluated by taking the inverse value of the slope of </w:t>
      </w:r>
      <w:r w:rsidR="008A362E">
        <w:rPr>
          <w:rStyle w:val="CETBodytextCarattere"/>
        </w:rPr>
        <w:t xml:space="preserve">the I-V </w:t>
      </w:r>
      <w:r w:rsidR="00062556">
        <w:rPr>
          <w:rStyle w:val="CETBodytextCarattere"/>
        </w:rPr>
        <w:t>curves</w:t>
      </w:r>
      <w:r w:rsidR="008A362E">
        <w:rPr>
          <w:rStyle w:val="CETBodytextCarattere"/>
        </w:rPr>
        <w:t>, reported</w:t>
      </w:r>
      <w:r w:rsidR="00062556">
        <w:rPr>
          <w:rStyle w:val="CETBodytextCarattere"/>
        </w:rPr>
        <w:t xml:space="preserve"> in Figure </w:t>
      </w:r>
      <w:r w:rsidR="007033A3">
        <w:rPr>
          <w:rStyle w:val="CETBodytextCarattere"/>
        </w:rPr>
        <w:t>2</w:t>
      </w:r>
      <w:r w:rsidR="00BB1D27" w:rsidRPr="006469FF">
        <w:t>. In contrast, the graphene–ITO composite yields 7.1 Ω over the same geometry, i.e. about 2.4 Ω/□.</w:t>
      </w:r>
      <w:r w:rsidR="00402E39">
        <w:t xml:space="preserve"> </w:t>
      </w:r>
      <w:r w:rsidR="00BB1D27" w:rsidRPr="006469FF">
        <w:t>The ~23% reduction in sheet resistance reflects the additional highly conductive pathway provided by graphene</w:t>
      </w:r>
      <w:r w:rsidR="00BB1D27">
        <w:t>.</w:t>
      </w:r>
      <w:r w:rsidR="0005491A" w:rsidRPr="0005491A">
        <w:t xml:space="preserve"> </w:t>
      </w:r>
      <w:r w:rsidR="0005491A" w:rsidRPr="006469FF">
        <w:t>Such a decrease in resistive losses is significant for optoelectronic applications; a lower sheet resistance in the front contact ensures more efficient current flow with minimal ohmic losses.</w:t>
      </w:r>
      <w:r w:rsidR="0005491A" w:rsidRPr="0005491A">
        <w:t xml:space="preserve"> </w:t>
      </w:r>
      <w:r w:rsidR="0005491A" w:rsidRPr="006469FF">
        <w:t xml:space="preserve">In perovskite solar cells, for example, the improved conductivity of the graphene–ITO electrode can directly translate to higher fill factors and </w:t>
      </w:r>
      <w:r w:rsidR="00361CAC">
        <w:t>enhanced</w:t>
      </w:r>
      <w:r w:rsidR="00361CAC" w:rsidRPr="006469FF">
        <w:t xml:space="preserve"> </w:t>
      </w:r>
      <w:r w:rsidR="0005491A" w:rsidRPr="006469FF">
        <w:t>power conversion efficiency</w:t>
      </w:r>
      <w:r w:rsidR="0005491A">
        <w:t xml:space="preserve"> (You et al., 2015)</w:t>
      </w:r>
      <w:r w:rsidR="0005491A" w:rsidRPr="006469FF">
        <w:t>.</w:t>
      </w:r>
      <w:r w:rsidR="0005491A" w:rsidRPr="0005491A">
        <w:t xml:space="preserve"> </w:t>
      </w:r>
      <w:r w:rsidR="0005491A" w:rsidRPr="006469FF">
        <w:t xml:space="preserve">Notably, this enhancement is achieved without appreciable sacrifice in transparency since monolayer graphene is nearly </w:t>
      </w:r>
      <w:r w:rsidR="0005491A" w:rsidRPr="006469FF">
        <w:lastRenderedPageBreak/>
        <w:t>invisible optically</w:t>
      </w:r>
      <w:r w:rsidR="0005491A">
        <w:t xml:space="preserve"> (Amer et al., 2020)</w:t>
      </w:r>
      <w:r w:rsidR="0005491A" w:rsidRPr="006469FF">
        <w:t xml:space="preserve"> Combining graphene with ITO thus offers a transparent conducting electrode with superior electrical performance, aligning with reports that graphene-based transparent electrodes can simultaneously deliver low sheet resistance and high transmittance in solar cells </w:t>
      </w:r>
      <w:r w:rsidR="0005491A">
        <w:t>(Fernandez et al.,2019)</w:t>
      </w:r>
      <w:r w:rsidR="0005491A" w:rsidRPr="006469FF">
        <w:t>. The results endorse the viability of graphene–ITO composite films as superior transparent electrodes in optoelectronic applications, especially for perovskite solar cells where front contact is extremely important for the maximum utilization of natural sunlight</w:t>
      </w:r>
      <w:r w:rsidR="0005491A">
        <w:t xml:space="preserve"> (</w:t>
      </w:r>
      <w:proofErr w:type="spellStart"/>
      <w:r w:rsidR="0005491A" w:rsidRPr="006469FF">
        <w:rPr>
          <w:rFonts w:cs="Arial"/>
          <w:lang w:val="en-AU"/>
        </w:rPr>
        <w:t>Kasparavičiuset</w:t>
      </w:r>
      <w:proofErr w:type="spellEnd"/>
      <w:r w:rsidR="0005491A" w:rsidRPr="006469FF">
        <w:rPr>
          <w:rFonts w:cs="Arial"/>
          <w:lang w:val="en-AU"/>
        </w:rPr>
        <w:t xml:space="preserve"> al., 2024</w:t>
      </w:r>
      <w:r w:rsidR="0005491A" w:rsidRPr="006469FF">
        <w:rPr>
          <w:rFonts w:cs="Arial"/>
        </w:rPr>
        <w:t>).</w:t>
      </w:r>
    </w:p>
    <w:p w14:paraId="2CF2126D" w14:textId="03F5E51D" w:rsidR="00BB1D27" w:rsidRDefault="00BB1D27" w:rsidP="00BB1D27">
      <w:pPr>
        <w:pStyle w:val="CETBodytext"/>
      </w:pPr>
    </w:p>
    <w:p w14:paraId="3D70E9D3" w14:textId="62C0BEEA" w:rsidR="006469FF" w:rsidRDefault="00402E39" w:rsidP="006469FF">
      <w:pPr>
        <w:keepNext/>
        <w:jc w:val="left"/>
      </w:pPr>
      <w:r w:rsidRPr="00402E39">
        <w:rPr>
          <w:noProof/>
        </w:rPr>
        <w:t xml:space="preserve"> </w:t>
      </w:r>
      <w:r w:rsidR="00AD601D" w:rsidRPr="00AD601D">
        <w:rPr>
          <w:noProof/>
        </w:rPr>
        <w:drawing>
          <wp:inline distT="0" distB="0" distL="0" distR="0" wp14:anchorId="379406A9" wp14:editId="77AACF74">
            <wp:extent cx="2253781" cy="1761066"/>
            <wp:effectExtent l="0" t="0" r="0" b="0"/>
            <wp:docPr id="1369672145" name="Picture 1" descr="A graph of a voltag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9672145" name="Picture 1" descr="A graph of a voltage&#10;&#10;AI-generated content may be incorrect."/>
                    <pic:cNvPicPr/>
                  </pic:nvPicPr>
                  <pic:blipFill>
                    <a:blip r:embed="rId12"/>
                    <a:stretch>
                      <a:fillRect/>
                    </a:stretch>
                  </pic:blipFill>
                  <pic:spPr>
                    <a:xfrm>
                      <a:off x="0" y="0"/>
                      <a:ext cx="2317888" cy="1811158"/>
                    </a:xfrm>
                    <a:prstGeom prst="rect">
                      <a:avLst/>
                    </a:prstGeom>
                  </pic:spPr>
                </pic:pic>
              </a:graphicData>
            </a:graphic>
          </wp:inline>
        </w:drawing>
      </w:r>
    </w:p>
    <w:p w14:paraId="47AD1E05" w14:textId="7C4D1729" w:rsidR="006469FF" w:rsidRPr="00BB1D27" w:rsidRDefault="006469FF" w:rsidP="00BB1D27">
      <w:pPr>
        <w:pStyle w:val="CETCaption"/>
      </w:pPr>
      <w:r>
        <w:t xml:space="preserve">Figure </w:t>
      </w:r>
      <w:r w:rsidR="007033A3">
        <w:t>2</w:t>
      </w:r>
      <w:r>
        <w:t xml:space="preserve">: </w:t>
      </w:r>
      <w:r w:rsidRPr="00D83E7F">
        <w:t xml:space="preserve">Comparison of </w:t>
      </w:r>
      <w:r>
        <w:t xml:space="preserve">Current voltage (I-V) characteristic of </w:t>
      </w:r>
      <w:r w:rsidRPr="00D83E7F">
        <w:t xml:space="preserve">ITO and </w:t>
      </w:r>
      <w:r>
        <w:t>ITO/Graphene hybrid electrode</w:t>
      </w:r>
      <w:r w:rsidRPr="00D83E7F">
        <w:t xml:space="preserve"> with four probe measurement.</w:t>
      </w:r>
    </w:p>
    <w:p w14:paraId="43752E8D" w14:textId="0D39C681" w:rsidR="006469FF" w:rsidRDefault="0000214B" w:rsidP="0000214B">
      <w:pPr>
        <w:pStyle w:val="CETheadingx"/>
      </w:pPr>
      <w:r w:rsidRPr="0000214B">
        <w:t xml:space="preserve">Temperature-Dependent Sheet Resistance </w:t>
      </w:r>
    </w:p>
    <w:p w14:paraId="659A5C2A" w14:textId="7D020622" w:rsidR="00711421" w:rsidRPr="00C768DE" w:rsidRDefault="00D338D3" w:rsidP="00C768DE">
      <w:pPr>
        <w:pStyle w:val="CETBodytext"/>
      </w:pPr>
      <w:r>
        <w:t>Figure 3</w:t>
      </w:r>
      <w:r w:rsidR="00BE7E4B">
        <w:t xml:space="preserve"> </w:t>
      </w:r>
      <w:r>
        <w:t>(a) shows the IV curve measurement for ITO/Graphene electrode at different temperatures</w:t>
      </w:r>
      <w:r w:rsidR="00C768DE">
        <w:t xml:space="preserve"> while 3</w:t>
      </w:r>
      <w:r>
        <w:rPr>
          <w:rFonts w:cs="Arial"/>
          <w:szCs w:val="18"/>
        </w:rPr>
        <w:t>(b)</w:t>
      </w:r>
      <w:r w:rsidR="00711421" w:rsidRPr="00711421">
        <w:rPr>
          <w:rFonts w:cs="Arial"/>
          <w:szCs w:val="18"/>
        </w:rPr>
        <w:t xml:space="preserve"> depicts the fluctuation in sheet resistance (Ω/□) graphene-coated ITO (ITO/Graphene) as a function of temperature within the range of 300–400 K</w:t>
      </w:r>
      <w:r>
        <w:rPr>
          <w:rFonts w:cs="Arial"/>
          <w:szCs w:val="18"/>
        </w:rPr>
        <w:t>.</w:t>
      </w:r>
    </w:p>
    <w:p w14:paraId="1F77739E" w14:textId="77777777" w:rsidR="00D338D3" w:rsidRPr="00711421" w:rsidRDefault="00D338D3" w:rsidP="00711421">
      <w:pPr>
        <w:pStyle w:val="ListParagraph"/>
        <w:ind w:left="0"/>
        <w:rPr>
          <w:rStyle w:val="CETBodytextCarattere"/>
        </w:rPr>
      </w:pPr>
    </w:p>
    <w:p w14:paraId="03EF88D2" w14:textId="37B5538C" w:rsidR="00BB1D27" w:rsidRPr="008E6F3B" w:rsidRDefault="00D338D3" w:rsidP="004B5F37">
      <w:pPr>
        <w:pStyle w:val="CETBodytext"/>
      </w:pPr>
      <w:r w:rsidRPr="00D338D3">
        <w:rPr>
          <w:noProof/>
        </w:rPr>
        <w:drawing>
          <wp:inline distT="0" distB="0" distL="0" distR="0" wp14:anchorId="105BBD58" wp14:editId="20D99D10">
            <wp:extent cx="4934368" cy="2137833"/>
            <wp:effectExtent l="0" t="0" r="0" b="0"/>
            <wp:docPr id="1533165256" name="Picture 1" descr="A graph of graphing and sheet resistan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3165256" name="Picture 1" descr="A graph of graphing and sheet resistance&#10;&#10;AI-generated content may be incorrect."/>
                    <pic:cNvPicPr/>
                  </pic:nvPicPr>
                  <pic:blipFill>
                    <a:blip r:embed="rId13"/>
                    <a:stretch>
                      <a:fillRect/>
                    </a:stretch>
                  </pic:blipFill>
                  <pic:spPr>
                    <a:xfrm>
                      <a:off x="0" y="0"/>
                      <a:ext cx="4941536" cy="2140939"/>
                    </a:xfrm>
                    <a:prstGeom prst="rect">
                      <a:avLst/>
                    </a:prstGeom>
                  </pic:spPr>
                </pic:pic>
              </a:graphicData>
            </a:graphic>
          </wp:inline>
        </w:drawing>
      </w:r>
    </w:p>
    <w:p w14:paraId="2AA3C69B" w14:textId="73846C90" w:rsidR="00711421" w:rsidRDefault="00BB1D27" w:rsidP="001C03CE">
      <w:pPr>
        <w:pStyle w:val="CETCaption"/>
      </w:pPr>
      <w:r>
        <w:t xml:space="preserve">Figure </w:t>
      </w:r>
      <w:r w:rsidR="007033A3">
        <w:t>3</w:t>
      </w:r>
      <w:r>
        <w:t>:</w:t>
      </w:r>
      <w:r w:rsidRPr="00AC19A2">
        <w:t xml:space="preserve"> </w:t>
      </w:r>
      <w:r w:rsidR="00186140">
        <w:t xml:space="preserve">(a) </w:t>
      </w:r>
      <w:r w:rsidR="00D338D3">
        <w:t>I-V curve</w:t>
      </w:r>
      <w:r w:rsidR="00D338D3" w:rsidRPr="00AC19A2">
        <w:t xml:space="preserve"> </w:t>
      </w:r>
      <w:r w:rsidR="00D338D3">
        <w:t xml:space="preserve">and </w:t>
      </w:r>
      <w:r w:rsidRPr="00AC19A2">
        <w:t>Temperature-dependent sheet resistance</w:t>
      </w:r>
      <w:r w:rsidR="00186140">
        <w:t xml:space="preserve"> (b) </w:t>
      </w:r>
      <w:r w:rsidRPr="00AC19A2">
        <w:t>of hybrid ITO/graphene electrodes measured from 300 K to 400 K</w:t>
      </w:r>
      <w:r w:rsidR="00064DCA">
        <w:t>.</w:t>
      </w:r>
    </w:p>
    <w:p w14:paraId="117A9559" w14:textId="2B2FB484" w:rsidR="00D338D3" w:rsidRDefault="007033A3" w:rsidP="00D338D3">
      <w:pPr>
        <w:pStyle w:val="CETBodytext"/>
      </w:pPr>
      <w:r>
        <w:rPr>
          <w:lang w:val="en-GB"/>
        </w:rPr>
        <w:t>Th</w:t>
      </w:r>
      <w:r w:rsidR="00711421" w:rsidRPr="00711421">
        <w:t>e ITO/Graphene sample consistently exhibits reduced sheet resistance, ranging from 2.4 to 2.6 Ω/□, throughout the whole temperature range. Furthermore, its resistance is largely unaffected by temperature, signifying a considerable degree of thermal stability in its electrical transport characteristics. This effect is due to the graphene coating, which creates a parallel, high-conductivity channel that alleviates the temperature-sensitive transport properties of the underlying ITO</w:t>
      </w:r>
      <w:r w:rsidR="00711421">
        <w:t xml:space="preserve"> </w:t>
      </w:r>
      <w:r w:rsidR="00711421" w:rsidRPr="00711421">
        <w:t>(Chen et al., 2013)</w:t>
      </w:r>
      <w:r w:rsidR="00711421">
        <w:t xml:space="preserve"> </w:t>
      </w:r>
      <w:r w:rsidR="00711421" w:rsidRPr="00711421">
        <w:t>(</w:t>
      </w:r>
      <w:r w:rsidR="00711421">
        <w:t>Seo</w:t>
      </w:r>
      <w:r w:rsidR="00711421" w:rsidRPr="00711421">
        <w:t xml:space="preserve"> et al., 201</w:t>
      </w:r>
      <w:r w:rsidR="00711421">
        <w:t>8</w:t>
      </w:r>
      <w:r w:rsidR="00711421" w:rsidRPr="00711421">
        <w:t>). The</w:t>
      </w:r>
      <w:r w:rsidR="003C138B">
        <w:t xml:space="preserve"> </w:t>
      </w:r>
      <w:r w:rsidR="003C138B" w:rsidRPr="00711421">
        <w:t>decrease in sheet resistance</w:t>
      </w:r>
      <w:r w:rsidR="003C138B">
        <w:t xml:space="preserve"> due to the</w:t>
      </w:r>
      <w:r w:rsidR="00711421" w:rsidRPr="00711421">
        <w:t xml:space="preserve"> incorporation of </w:t>
      </w:r>
      <w:proofErr w:type="gramStart"/>
      <w:r w:rsidR="00711421" w:rsidRPr="00711421">
        <w:t xml:space="preserve">graphene  </w:t>
      </w:r>
      <w:r w:rsidR="00A84FDE">
        <w:t>validates</w:t>
      </w:r>
      <w:proofErr w:type="gramEnd"/>
      <w:r w:rsidR="00A84FDE" w:rsidRPr="00711421">
        <w:t xml:space="preserve"> </w:t>
      </w:r>
      <w:r w:rsidR="00A84FDE">
        <w:t>graphene</w:t>
      </w:r>
      <w:r w:rsidR="00A84FDE" w:rsidRPr="00711421">
        <w:t xml:space="preserve"> </w:t>
      </w:r>
      <w:r w:rsidR="00711421" w:rsidRPr="00711421">
        <w:t>function in improving charge carrier mobility. The graphene layer efficiently connects surface imperfections and grain boundaries of the ITO film, therefore reducing contact resistance and enhancing overall conductivity. The thermally stable sheet resistance highlights the synergistic impact of integrating graphene with ITO to create a hybrid transparent conductive electrode with exceptional electrical and thermal properties</w:t>
      </w:r>
      <w:r w:rsidR="00711421">
        <w:t xml:space="preserve"> </w:t>
      </w:r>
      <w:r w:rsidR="00711421" w:rsidRPr="00711421">
        <w:t>(</w:t>
      </w:r>
      <w:r w:rsidR="00711421">
        <w:t>Wang</w:t>
      </w:r>
      <w:r w:rsidR="00711421" w:rsidRPr="00711421">
        <w:t xml:space="preserve"> et al., 20</w:t>
      </w:r>
      <w:r w:rsidR="00711421">
        <w:t>21</w:t>
      </w:r>
      <w:r w:rsidR="00711421" w:rsidRPr="00711421">
        <w:t>).</w:t>
      </w:r>
      <w:r w:rsidR="008E6F3B">
        <w:t xml:space="preserve"> </w:t>
      </w:r>
    </w:p>
    <w:p w14:paraId="6A52BEFC" w14:textId="50D44A82" w:rsidR="00A30460" w:rsidRDefault="00D338D3" w:rsidP="00D338D3">
      <w:pPr>
        <w:pStyle w:val="CETheadingx"/>
        <w:numPr>
          <w:ilvl w:val="0"/>
          <w:numId w:val="0"/>
        </w:numPr>
      </w:pPr>
      <w:r>
        <w:lastRenderedPageBreak/>
        <w:t xml:space="preserve">3.3 </w:t>
      </w:r>
      <w:r w:rsidR="00A30460" w:rsidRPr="00A30460">
        <w:t xml:space="preserve">SEM </w:t>
      </w:r>
      <w:r w:rsidR="001B4215">
        <w:t xml:space="preserve">and EDX </w:t>
      </w:r>
      <w:r w:rsidR="00A30460" w:rsidRPr="004B5F37">
        <w:t>Analysis</w:t>
      </w:r>
    </w:p>
    <w:p w14:paraId="39C1FF08" w14:textId="44B9BB02" w:rsidR="0064131C" w:rsidRDefault="00A30460" w:rsidP="00D338D3">
      <w:pPr>
        <w:rPr>
          <w:rFonts w:cs="Arial"/>
          <w:szCs w:val="18"/>
        </w:rPr>
      </w:pPr>
      <w:bookmarkStart w:id="2" w:name="_Hlk197701854"/>
      <w:r>
        <w:t xml:space="preserve">SEM images of full view and </w:t>
      </w:r>
      <w:r w:rsidR="00451EA2">
        <w:t>zoomed-in</w:t>
      </w:r>
      <w:r>
        <w:t xml:space="preserve"> part of ITO and ITO/Graphene hybrid electrode are shown</w:t>
      </w:r>
      <w:r w:rsidR="00753C64">
        <w:t xml:space="preserve"> in Figure 4</w:t>
      </w:r>
      <w:r>
        <w:t xml:space="preserve">. The highlighted part represents fingers between cells </w:t>
      </w:r>
      <w:r w:rsidR="00635B5E">
        <w:t xml:space="preserve">which </w:t>
      </w:r>
      <w:r>
        <w:t>is bare glass in case of ITO sample</w:t>
      </w:r>
      <w:r w:rsidR="00635B5E">
        <w:t xml:space="preserve"> </w:t>
      </w:r>
      <w:r>
        <w:t>(b) and</w:t>
      </w:r>
      <w:r w:rsidR="000F62B0">
        <w:t xml:space="preserve"> </w:t>
      </w:r>
      <w:r>
        <w:t>graphene monolayer on glass for the ITO/Graphene hybrid electrode</w:t>
      </w:r>
      <w:r w:rsidR="00635B5E">
        <w:t xml:space="preserve"> </w:t>
      </w:r>
      <w:r>
        <w:t xml:space="preserve">(c). Figure </w:t>
      </w:r>
      <w:r w:rsidR="007033A3">
        <w:t>4</w:t>
      </w:r>
      <w:r>
        <w:t xml:space="preserve">(b) shows </w:t>
      </w:r>
      <w:r w:rsidR="00785B6C">
        <w:t xml:space="preserve">a </w:t>
      </w:r>
      <w:r>
        <w:t>SEM image of glas</w:t>
      </w:r>
      <w:r w:rsidR="0064131C">
        <w:t>s</w:t>
      </w:r>
      <w:r w:rsidR="00610F12">
        <w:t>,</w:t>
      </w:r>
      <w:r>
        <w:t xml:space="preserve"> </w:t>
      </w:r>
      <w:r w:rsidR="00834BC1">
        <w:t xml:space="preserve">while </w:t>
      </w:r>
      <w:r w:rsidR="0005491A">
        <w:t>4</w:t>
      </w:r>
      <w:r>
        <w:t>(c) confirms the graphene particles and uniform coating of graphene monolayer on glass</w:t>
      </w:r>
      <w:r w:rsidR="0064131C">
        <w:rPr>
          <w:rFonts w:cs="Arial"/>
          <w:szCs w:val="18"/>
        </w:rPr>
        <w:t>.</w:t>
      </w:r>
      <w:r w:rsidR="00A82DBF" w:rsidRPr="00A82DBF">
        <w:rPr>
          <w:rFonts w:cs="Arial"/>
          <w:szCs w:val="18"/>
        </w:rPr>
        <w:t xml:space="preserve"> </w:t>
      </w:r>
      <w:r w:rsidR="00A82DBF" w:rsidRPr="00D338D3">
        <w:rPr>
          <w:rFonts w:cs="Arial"/>
          <w:szCs w:val="18"/>
        </w:rPr>
        <w:t xml:space="preserve">Figure 5 presents the </w:t>
      </w:r>
      <w:r w:rsidR="00A82DBF">
        <w:rPr>
          <w:rFonts w:cs="Arial"/>
          <w:szCs w:val="18"/>
        </w:rPr>
        <w:t xml:space="preserve">spectrum of </w:t>
      </w:r>
      <w:r w:rsidR="00A82DBF" w:rsidRPr="00D338D3">
        <w:rPr>
          <w:rFonts w:cs="Arial"/>
          <w:szCs w:val="18"/>
        </w:rPr>
        <w:t xml:space="preserve">EDX analysis of the ITO/Graphene sample. The C peak indicates the presence of graphene, while the </w:t>
      </w:r>
      <w:proofErr w:type="gramStart"/>
      <w:r w:rsidR="00A82DBF" w:rsidRPr="00D338D3">
        <w:rPr>
          <w:rFonts w:cs="Arial"/>
          <w:szCs w:val="18"/>
        </w:rPr>
        <w:t>In</w:t>
      </w:r>
      <w:proofErr w:type="gramEnd"/>
      <w:r w:rsidR="00A82DBF" w:rsidRPr="00D338D3">
        <w:rPr>
          <w:rFonts w:cs="Arial"/>
          <w:szCs w:val="18"/>
        </w:rPr>
        <w:t xml:space="preserve"> peak corresponds to indium. The additional Si, O, and Al peaks are related to the ITO-coated glass substrate.</w:t>
      </w:r>
      <w:r w:rsidR="0060401B">
        <w:rPr>
          <w:rFonts w:cs="Arial"/>
          <w:szCs w:val="18"/>
        </w:rPr>
        <w:t xml:space="preserve"> </w:t>
      </w:r>
      <w:r w:rsidR="0064131C">
        <w:rPr>
          <w:rFonts w:cs="Arial"/>
          <w:szCs w:val="18"/>
        </w:rPr>
        <w:t xml:space="preserve">This hybrid configuration can </w:t>
      </w:r>
      <w:r w:rsidR="0056283D">
        <w:rPr>
          <w:rFonts w:cs="Arial"/>
          <w:szCs w:val="18"/>
        </w:rPr>
        <w:t>serve</w:t>
      </w:r>
      <w:r w:rsidR="0064131C">
        <w:rPr>
          <w:rFonts w:cs="Arial"/>
          <w:szCs w:val="18"/>
        </w:rPr>
        <w:t xml:space="preserve"> as a </w:t>
      </w:r>
      <w:r w:rsidR="0064131C" w:rsidRPr="0064131C">
        <w:rPr>
          <w:rFonts w:cs="Arial"/>
          <w:szCs w:val="18"/>
        </w:rPr>
        <w:t>mechanically robust reinforcement for brittle ITO,</w:t>
      </w:r>
      <w:r w:rsidR="00A82DBF">
        <w:rPr>
          <w:rFonts w:cs="Arial"/>
          <w:szCs w:val="18"/>
        </w:rPr>
        <w:t xml:space="preserve"> by</w:t>
      </w:r>
      <w:r w:rsidR="0064131C" w:rsidRPr="0064131C">
        <w:rPr>
          <w:rFonts w:cs="Arial"/>
          <w:szCs w:val="18"/>
        </w:rPr>
        <w:t xml:space="preserve"> bridging micro-cracks and enhancing flexibility due to graphene’s high strain tolerance</w:t>
      </w:r>
      <w:r w:rsidR="0064131C">
        <w:rPr>
          <w:rFonts w:cs="Arial"/>
          <w:szCs w:val="18"/>
        </w:rPr>
        <w:t xml:space="preserve"> </w:t>
      </w:r>
      <w:r w:rsidR="0064131C" w:rsidRPr="0064131C">
        <w:rPr>
          <w:rFonts w:cs="Arial"/>
          <w:szCs w:val="18"/>
        </w:rPr>
        <w:t>~25%</w:t>
      </w:r>
      <w:r w:rsidR="0064131C">
        <w:rPr>
          <w:rFonts w:cs="Arial"/>
          <w:szCs w:val="18"/>
        </w:rPr>
        <w:t xml:space="preserve"> </w:t>
      </w:r>
      <w:r w:rsidR="0064131C" w:rsidRPr="00D338D3">
        <w:rPr>
          <w:rFonts w:cs="Arial"/>
          <w:szCs w:val="18"/>
        </w:rPr>
        <w:t>(</w:t>
      </w:r>
      <w:r w:rsidR="0064131C" w:rsidRPr="0064131C">
        <w:t>Hwang</w:t>
      </w:r>
      <w:r w:rsidR="0064131C" w:rsidRPr="00D338D3">
        <w:rPr>
          <w:rFonts w:cs="Arial"/>
          <w:szCs w:val="18"/>
        </w:rPr>
        <w:t xml:space="preserve"> et al., 20</w:t>
      </w:r>
      <w:r w:rsidR="0064131C">
        <w:rPr>
          <w:rFonts w:cs="Arial"/>
          <w:szCs w:val="18"/>
        </w:rPr>
        <w:t>20</w:t>
      </w:r>
      <w:r w:rsidR="0064131C" w:rsidRPr="00D338D3">
        <w:rPr>
          <w:rFonts w:cs="Arial"/>
          <w:szCs w:val="18"/>
        </w:rPr>
        <w:t>)</w:t>
      </w:r>
      <w:r w:rsidR="0064131C">
        <w:rPr>
          <w:rFonts w:cs="Arial"/>
          <w:szCs w:val="18"/>
        </w:rPr>
        <w:t xml:space="preserve">. </w:t>
      </w:r>
      <w:r w:rsidR="0060401B">
        <w:rPr>
          <w:rFonts w:cs="Arial"/>
          <w:szCs w:val="18"/>
        </w:rPr>
        <w:t xml:space="preserve">This hybrid configuration is capable to </w:t>
      </w:r>
      <w:r w:rsidR="00A82DBF" w:rsidRPr="00A82DBF">
        <w:rPr>
          <w:rFonts w:cs="Arial"/>
          <w:szCs w:val="18"/>
        </w:rPr>
        <w:t>maintain</w:t>
      </w:r>
      <w:r w:rsidR="00A82DBF">
        <w:rPr>
          <w:rFonts w:cs="Arial"/>
          <w:szCs w:val="18"/>
        </w:rPr>
        <w:t xml:space="preserve"> </w:t>
      </w:r>
      <w:r w:rsidR="00A82DBF" w:rsidRPr="00A82DBF">
        <w:rPr>
          <w:rFonts w:cs="Arial"/>
          <w:szCs w:val="18"/>
        </w:rPr>
        <w:t>resistance stability over 1000 bending cycles under strain</w:t>
      </w:r>
      <w:r w:rsidR="0060401B">
        <w:rPr>
          <w:rFonts w:cs="Arial"/>
          <w:szCs w:val="18"/>
        </w:rPr>
        <w:t xml:space="preserve"> </w:t>
      </w:r>
      <w:r w:rsidR="0060401B" w:rsidRPr="00A82DBF">
        <w:rPr>
          <w:rFonts w:cs="Arial"/>
          <w:szCs w:val="18"/>
        </w:rPr>
        <w:t>(Lee et al., 2017)</w:t>
      </w:r>
      <w:r w:rsidR="0060401B">
        <w:rPr>
          <w:rFonts w:cs="Arial"/>
          <w:szCs w:val="18"/>
        </w:rPr>
        <w:t>.</w:t>
      </w:r>
    </w:p>
    <w:p w14:paraId="0570573A" w14:textId="77777777" w:rsidR="0064131C" w:rsidRDefault="0064131C" w:rsidP="00D338D3">
      <w:pPr>
        <w:rPr>
          <w:rFonts w:cs="Arial"/>
          <w:szCs w:val="18"/>
        </w:rPr>
      </w:pPr>
    </w:p>
    <w:p w14:paraId="04069105" w14:textId="77777777" w:rsidR="00B7583D" w:rsidRDefault="00B7583D" w:rsidP="00F77673">
      <w:pPr>
        <w:pStyle w:val="ListParagraph"/>
        <w:ind w:left="142"/>
      </w:pPr>
      <w:r w:rsidRPr="000F26D8">
        <w:rPr>
          <w:noProof/>
        </w:rPr>
        <w:drawing>
          <wp:inline distT="0" distB="0" distL="0" distR="0" wp14:anchorId="2733DF72" wp14:editId="78DDD72C">
            <wp:extent cx="4108105" cy="1509743"/>
            <wp:effectExtent l="0" t="0" r="6985" b="0"/>
            <wp:docPr id="1523914179"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3914179" name="Picture 1" descr="A screenshot of a computer&#10;&#10;AI-generated content may be incorrect."/>
                    <pic:cNvPicPr/>
                  </pic:nvPicPr>
                  <pic:blipFill>
                    <a:blip r:embed="rId14"/>
                    <a:stretch>
                      <a:fillRect/>
                    </a:stretch>
                  </pic:blipFill>
                  <pic:spPr>
                    <a:xfrm>
                      <a:off x="0" y="0"/>
                      <a:ext cx="4181904" cy="1536864"/>
                    </a:xfrm>
                    <a:prstGeom prst="rect">
                      <a:avLst/>
                    </a:prstGeom>
                  </pic:spPr>
                </pic:pic>
              </a:graphicData>
            </a:graphic>
          </wp:inline>
        </w:drawing>
      </w:r>
    </w:p>
    <w:p w14:paraId="36B43668" w14:textId="2DAE6500" w:rsidR="00B7583D" w:rsidRPr="00B7583D" w:rsidRDefault="00B7583D" w:rsidP="004B5F37">
      <w:pPr>
        <w:pStyle w:val="CETCaption"/>
      </w:pPr>
      <w:r w:rsidRPr="00B7583D">
        <w:t xml:space="preserve">Figure </w:t>
      </w:r>
      <w:r w:rsidR="007033A3">
        <w:t>4</w:t>
      </w:r>
      <w:r w:rsidRPr="00B7583D">
        <w:t>: SEM images of ITO</w:t>
      </w:r>
      <w:r w:rsidR="00B91F9A">
        <w:t xml:space="preserve"> (a-b)</w:t>
      </w:r>
      <w:r w:rsidRPr="00B7583D">
        <w:t xml:space="preserve"> and ITO/Graphene </w:t>
      </w:r>
      <w:r w:rsidR="00B91F9A">
        <w:t>(</w:t>
      </w:r>
      <w:r w:rsidR="00977D8C">
        <w:t xml:space="preserve">c-d) </w:t>
      </w:r>
      <w:r w:rsidRPr="00B7583D">
        <w:t>electrodes showing full view (2 mm scale) and zoomed-in finger region (50 µm) used for surface morphology analysis.</w:t>
      </w:r>
    </w:p>
    <w:bookmarkEnd w:id="2"/>
    <w:p w14:paraId="2DAE866B" w14:textId="544E74A4" w:rsidR="001B4215" w:rsidRPr="007033A3" w:rsidRDefault="0005491A" w:rsidP="0021632E">
      <w:pPr>
        <w:pStyle w:val="CETBodytext"/>
        <w:keepNext/>
        <w:tabs>
          <w:tab w:val="left" w:pos="1560"/>
        </w:tabs>
        <w:rPr>
          <w:lang w:val="en-GB"/>
        </w:rPr>
      </w:pPr>
      <w:r w:rsidRPr="0005491A">
        <w:rPr>
          <w:noProof/>
          <w:lang w:val="en-GB"/>
        </w:rPr>
        <w:drawing>
          <wp:inline distT="0" distB="0" distL="0" distR="0" wp14:anchorId="60DD9C6E" wp14:editId="5E917CBB">
            <wp:extent cx="4001408" cy="1612949"/>
            <wp:effectExtent l="0" t="0" r="0" b="6350"/>
            <wp:docPr id="955282890" name="Picture 1" descr="A graph of a person with a red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5282890" name="Picture 1" descr="A graph of a person with a red line&#10;&#10;AI-generated content may be incorrect."/>
                    <pic:cNvPicPr/>
                  </pic:nvPicPr>
                  <pic:blipFill>
                    <a:blip r:embed="rId15"/>
                    <a:stretch>
                      <a:fillRect/>
                    </a:stretch>
                  </pic:blipFill>
                  <pic:spPr>
                    <a:xfrm>
                      <a:off x="0" y="0"/>
                      <a:ext cx="4031733" cy="1625173"/>
                    </a:xfrm>
                    <a:prstGeom prst="rect">
                      <a:avLst/>
                    </a:prstGeom>
                  </pic:spPr>
                </pic:pic>
              </a:graphicData>
            </a:graphic>
          </wp:inline>
        </w:drawing>
      </w:r>
    </w:p>
    <w:p w14:paraId="022FF0A7" w14:textId="188CFD2A" w:rsidR="00A30460" w:rsidRPr="001B4215" w:rsidRDefault="001B4215" w:rsidP="004B5F37">
      <w:pPr>
        <w:pStyle w:val="CETCaption"/>
        <w:rPr>
          <w:b/>
          <w:bCs/>
        </w:rPr>
      </w:pPr>
      <w:r w:rsidRPr="001B4215">
        <w:t xml:space="preserve">Figure </w:t>
      </w:r>
      <w:r w:rsidR="007033A3">
        <w:t>5</w:t>
      </w:r>
      <w:r w:rsidRPr="001B4215">
        <w:t>: EDX Spectra of ITO/Graphene</w:t>
      </w:r>
    </w:p>
    <w:bookmarkEnd w:id="1"/>
    <w:p w14:paraId="68D26B83" w14:textId="77777777" w:rsidR="00600535" w:rsidRPr="00B57B36" w:rsidRDefault="00600535" w:rsidP="00600535">
      <w:pPr>
        <w:pStyle w:val="CETHeading1"/>
        <w:rPr>
          <w:lang w:val="en-GB"/>
        </w:rPr>
      </w:pPr>
      <w:r w:rsidRPr="00B57B36">
        <w:rPr>
          <w:lang w:val="en-GB"/>
        </w:rPr>
        <w:t>Conclusions</w:t>
      </w:r>
    </w:p>
    <w:p w14:paraId="24876D8A" w14:textId="3FE80E89" w:rsidR="00C24AF1" w:rsidRPr="00B57B36" w:rsidRDefault="00B26505" w:rsidP="00600535">
      <w:pPr>
        <w:pStyle w:val="CETBodytext"/>
        <w:rPr>
          <w:lang w:val="en-GB"/>
        </w:rPr>
      </w:pPr>
      <w:r w:rsidRPr="00B26505">
        <w:rPr>
          <w:lang w:val="en-GB"/>
        </w:rPr>
        <w:t xml:space="preserve">We have demonstrated a multiscale evaluation of hybrid ITO/graphene electrodes produced by cold-wall CVD. Four-probe measurements revealed a sheet resistance </w:t>
      </w:r>
      <w:r w:rsidRPr="00711421">
        <w:t>from 2.4 to 2.6 Ω/</w:t>
      </w:r>
      <w:r w:rsidR="0005491A" w:rsidRPr="00711421">
        <w:t xml:space="preserve">□, </w:t>
      </w:r>
      <w:r w:rsidR="0005491A">
        <w:t>lower</w:t>
      </w:r>
      <w:r w:rsidRPr="00B26505">
        <w:rPr>
          <w:lang w:val="en-GB"/>
        </w:rPr>
        <w:t xml:space="preserve"> than commercial ITO, with negligible </w:t>
      </w:r>
      <w:r>
        <w:rPr>
          <w:lang w:val="en-GB"/>
        </w:rPr>
        <w:t>fluctuation</w:t>
      </w:r>
      <w:r w:rsidRPr="00B26505">
        <w:rPr>
          <w:lang w:val="en-GB"/>
        </w:rPr>
        <w:t xml:space="preserve"> from 300 K to 400 K. Complementary SEM and EDX analyses confirmed that a defect-free monolayer graphene film uniformly blankets the soda-lime glass gaps between ITO fingers, providing a continuous conductive path. Linking these microscale observations to device-scale I-V behaviour shows</w:t>
      </w:r>
      <w:r w:rsidR="0060401B">
        <w:rPr>
          <w:lang w:val="en-GB"/>
        </w:rPr>
        <w:t xml:space="preserve"> 23% </w:t>
      </w:r>
      <w:r w:rsidRPr="00B26505">
        <w:rPr>
          <w:lang w:val="en-GB"/>
        </w:rPr>
        <w:t>electrical improvement aris</w:t>
      </w:r>
      <w:r w:rsidR="0060401B">
        <w:rPr>
          <w:lang w:val="en-GB"/>
        </w:rPr>
        <w:t>ing</w:t>
      </w:r>
      <w:r w:rsidRPr="00B26505">
        <w:rPr>
          <w:lang w:val="en-GB"/>
        </w:rPr>
        <w:t xml:space="preserve"> directly from the graphene overlayer. The method delivers a transparent, low-resistance electrode </w:t>
      </w:r>
      <w:r w:rsidR="00771639" w:rsidRPr="00771639">
        <w:rPr>
          <w:lang w:val="en-GB"/>
        </w:rPr>
        <w:t xml:space="preserve">through a well-controlled transfer process, avoiding polymer contamination and preserving the quality of both graphene and ITO </w:t>
      </w:r>
      <w:r w:rsidR="005F0511" w:rsidRPr="00771639">
        <w:rPr>
          <w:lang w:val="en-GB"/>
        </w:rPr>
        <w:t>substrates</w:t>
      </w:r>
      <w:r w:rsidR="005F0511">
        <w:rPr>
          <w:lang w:val="en-GB"/>
        </w:rPr>
        <w:t>,</w:t>
      </w:r>
      <w:r w:rsidRPr="00B26505">
        <w:rPr>
          <w:lang w:val="en-GB"/>
        </w:rPr>
        <w:t xml:space="preserve"> making it attractive for large-area displays and solar cells</w:t>
      </w:r>
      <w:r w:rsidR="004F15BC">
        <w:rPr>
          <w:lang w:val="en-GB"/>
        </w:rPr>
        <w:t>.</w:t>
      </w:r>
    </w:p>
    <w:p w14:paraId="4F1327F8" w14:textId="77777777" w:rsidR="00600535" w:rsidRDefault="00600535" w:rsidP="004B5F37">
      <w:pPr>
        <w:pStyle w:val="CETReference"/>
      </w:pPr>
      <w:r w:rsidRPr="004B5F37">
        <w:t>References</w:t>
      </w:r>
    </w:p>
    <w:p w14:paraId="62F4787F" w14:textId="77777777" w:rsidR="00771639" w:rsidRDefault="00771639" w:rsidP="004B5F37">
      <w:pPr>
        <w:pStyle w:val="CETReferencetext"/>
      </w:pPr>
      <w:bookmarkStart w:id="3" w:name="_Hlk197795987"/>
      <w:bookmarkStart w:id="4" w:name="_Hlk197795798"/>
      <w:r w:rsidRPr="006469FF">
        <w:t xml:space="preserve">Amer, M.S.; Al </w:t>
      </w:r>
      <w:proofErr w:type="spellStart"/>
      <w:r w:rsidRPr="006469FF">
        <w:t>Mafrage</w:t>
      </w:r>
      <w:proofErr w:type="spellEnd"/>
      <w:r w:rsidRPr="006469FF">
        <w:t>, A.M.; Mohammed, M.K. On the Production, Mechanical and Electro-Optic Properties of Large-Area Monolayer Graphene Films Using Langmuir-Blodgett Technique. Materials Research Express 2020, 7, 015024.</w:t>
      </w:r>
    </w:p>
    <w:p w14:paraId="6C1E0ACB" w14:textId="77777777" w:rsidR="00771639" w:rsidRDefault="00771639" w:rsidP="00771639">
      <w:pPr>
        <w:pStyle w:val="CETReferencetext"/>
      </w:pPr>
      <w:r w:rsidRPr="009B43A0">
        <w:lastRenderedPageBreak/>
        <w:t>Chen, R.; Das, S.R.; Jeong, C.W.; Khan, M.R.; Janes, D.B.; Alam, M.A. Co</w:t>
      </w:r>
      <w:r w:rsidRPr="009B43A0">
        <w:rPr>
          <w:rFonts w:ascii="Cambria Math" w:hAnsi="Cambria Math" w:cs="Cambria Math"/>
        </w:rPr>
        <w:t>‐</w:t>
      </w:r>
      <w:r w:rsidRPr="009B43A0">
        <w:t>Percolating Graphene</w:t>
      </w:r>
      <w:r w:rsidRPr="009B43A0">
        <w:rPr>
          <w:rFonts w:ascii="Cambria Math" w:hAnsi="Cambria Math" w:cs="Cambria Math"/>
        </w:rPr>
        <w:t>‐</w:t>
      </w:r>
      <w:r w:rsidRPr="009B43A0">
        <w:t xml:space="preserve">Wrapped Silver Nanowire Network for High Performance, Highly Stable, Transparent Conducting Electrodes. </w:t>
      </w:r>
      <w:r w:rsidRPr="000F62B0">
        <w:t>Advanced Functional Materials</w:t>
      </w:r>
      <w:r w:rsidRPr="009B43A0">
        <w:t xml:space="preserve"> </w:t>
      </w:r>
      <w:r w:rsidRPr="000F62B0">
        <w:t>2013</w:t>
      </w:r>
      <w:r w:rsidRPr="009B43A0">
        <w:t xml:space="preserve">, </w:t>
      </w:r>
      <w:r w:rsidRPr="000F62B0">
        <w:t>23</w:t>
      </w:r>
      <w:r w:rsidRPr="009B43A0">
        <w:t>.</w:t>
      </w:r>
      <w:r>
        <w:t xml:space="preserve"> </w:t>
      </w:r>
    </w:p>
    <w:p w14:paraId="1E124B9D" w14:textId="30B5B93B" w:rsidR="004A6842" w:rsidRPr="004A6842" w:rsidRDefault="00F55D80" w:rsidP="004A6842">
      <w:pPr>
        <w:pStyle w:val="CETReferencetext"/>
      </w:pPr>
      <w:r>
        <w:t xml:space="preserve">Di Bartolomeo A. Graphene </w:t>
      </w:r>
      <w:r w:rsidR="004A6842" w:rsidRPr="000F62B0">
        <w:t>Schottky diodes: An experimental review of the rectifying graphene/semiconductor heterojunction</w:t>
      </w:r>
      <w:r w:rsidR="004A6842">
        <w:t xml:space="preserve">. </w:t>
      </w:r>
      <w:r w:rsidR="004A6842" w:rsidRPr="000F62B0">
        <w:t>Physics Reports</w:t>
      </w:r>
      <w:r w:rsidR="004A6842">
        <w:t xml:space="preserve"> </w:t>
      </w:r>
      <w:r>
        <w:t>2016,</w:t>
      </w:r>
      <w:r w:rsidR="004A6842" w:rsidRPr="000F62B0">
        <w:t xml:space="preserve"> 606</w:t>
      </w:r>
      <w:r>
        <w:t>,</w:t>
      </w:r>
      <w:r w:rsidR="004A6842" w:rsidRPr="004A6842">
        <w:t xml:space="preserve"> 1-58</w:t>
      </w:r>
    </w:p>
    <w:p w14:paraId="5791094D" w14:textId="6F730B45" w:rsidR="00771639" w:rsidRPr="006469FF" w:rsidRDefault="00771639" w:rsidP="00771639">
      <w:pPr>
        <w:pStyle w:val="CETReferencetext"/>
      </w:pPr>
      <w:r w:rsidRPr="006469FF">
        <w:t xml:space="preserve">Fernández, S.; </w:t>
      </w:r>
      <w:proofErr w:type="spellStart"/>
      <w:r w:rsidRPr="006469FF">
        <w:t>Boscá</w:t>
      </w:r>
      <w:proofErr w:type="spellEnd"/>
      <w:r w:rsidRPr="006469FF">
        <w:t xml:space="preserve">, A.; </w:t>
      </w:r>
      <w:proofErr w:type="spellStart"/>
      <w:r w:rsidRPr="006469FF">
        <w:t>Pedrós</w:t>
      </w:r>
      <w:proofErr w:type="spellEnd"/>
      <w:r w:rsidRPr="006469FF">
        <w:t>, J.; Inés, A.; Fernández, M.; Arnedo, I.; González, J.P.; de la Cruz, M.; Sanz, D.; Molinero, A.; et al. Advanced Graphene-Based Transparent Conductive Electrodes for Photovoltaic Applications. Micromachines 2019, 10.</w:t>
      </w:r>
    </w:p>
    <w:p w14:paraId="20472252" w14:textId="77777777" w:rsidR="00771639" w:rsidRPr="00030C73" w:rsidRDefault="00771639" w:rsidP="00771639">
      <w:pPr>
        <w:pStyle w:val="CETReferencetext"/>
      </w:pPr>
      <w:proofErr w:type="spellStart"/>
      <w:r w:rsidRPr="00030C73">
        <w:t>Harindu</w:t>
      </w:r>
      <w:proofErr w:type="spellEnd"/>
      <w:r w:rsidRPr="00030C73">
        <w:t>, N.; Kim, J.-K.; Lee, J.-M. Synthesis and Characterization of Graphene/ITO Nanoparticle Hybrid Transparent Conducting Electrode. Nano-Micro Letters 2018, 10, doi:10.1007/s40820-017-0174-0.</w:t>
      </w:r>
    </w:p>
    <w:p w14:paraId="63FC56AA" w14:textId="77777777" w:rsidR="00771639" w:rsidRDefault="00771639" w:rsidP="00771639">
      <w:pPr>
        <w:pStyle w:val="CETReferencetext"/>
      </w:pPr>
      <w:r w:rsidRPr="00030C73">
        <w:t>Hu, Z.; Zhao, Y.; Zou, W.; Lu, Q.; Liao, J.; Li, F.; Shang, M.; Lin, L.; Liu, Z. Doping of Graphene Films: Open the Way to Applications in Electronics and Optoelectronics. Advanced Functional Materials 2022, 32.</w:t>
      </w:r>
    </w:p>
    <w:p w14:paraId="27CD79DE" w14:textId="4579F10B" w:rsidR="0064131C" w:rsidRPr="00030C73" w:rsidRDefault="0064131C" w:rsidP="00771639">
      <w:pPr>
        <w:pStyle w:val="CETReferencetext"/>
      </w:pPr>
      <w:r w:rsidRPr="0064131C">
        <w:t xml:space="preserve">Hwang, </w:t>
      </w:r>
      <w:proofErr w:type="spellStart"/>
      <w:r w:rsidRPr="0064131C">
        <w:t>Yooji</w:t>
      </w:r>
      <w:proofErr w:type="spellEnd"/>
      <w:r w:rsidRPr="0064131C">
        <w:t xml:space="preserve"> &amp; Choi, Junhee &amp; Kim, Ji-Weon &amp; Lee, Jin-Woo &amp; Kim, Jae &amp; Hwang, Ha &amp; Choi, Kwang &amp; Lee, Wang-Hoon &amp; Ju, Byeong-Kwon. (2020). Ag-</w:t>
      </w:r>
      <w:proofErr w:type="spellStart"/>
      <w:r w:rsidRPr="0064131C">
        <w:t>fiber</w:t>
      </w:r>
      <w:proofErr w:type="spellEnd"/>
      <w:r w:rsidRPr="0064131C">
        <w:t>/graphene hybrid electrodes for highly flexible and transparent optoelectronic devices. Scientific Reports. 10. 5117. 10.1038/s41598-020-62056-1.</w:t>
      </w:r>
    </w:p>
    <w:p w14:paraId="62959E68" w14:textId="77777777" w:rsidR="00771639" w:rsidRDefault="00771639" w:rsidP="00771639">
      <w:pPr>
        <w:pStyle w:val="CETReferencetext"/>
      </w:pPr>
      <w:r w:rsidRPr="005F0511">
        <w:t xml:space="preserve">Jia K, Ci H, Zhang J, et al. </w:t>
      </w:r>
      <w:proofErr w:type="spellStart"/>
      <w:r w:rsidRPr="00B77277">
        <w:t>Superclean</w:t>
      </w:r>
      <w:proofErr w:type="spellEnd"/>
      <w:r w:rsidRPr="00B77277">
        <w:t xml:space="preserve"> Growth of Graphene Using a Cold-Wall Chemical Vapor Deposition Approach. </w:t>
      </w:r>
      <w:proofErr w:type="spellStart"/>
      <w:r w:rsidRPr="00B77277">
        <w:rPr>
          <w:i/>
          <w:iCs/>
        </w:rPr>
        <w:t>Angew</w:t>
      </w:r>
      <w:proofErr w:type="spellEnd"/>
      <w:r w:rsidRPr="00B77277">
        <w:rPr>
          <w:i/>
          <w:iCs/>
        </w:rPr>
        <w:t xml:space="preserve"> Chem Int Ed Engl</w:t>
      </w:r>
      <w:r w:rsidRPr="00B77277">
        <w:t>. 2020;59(39):17214-17218</w:t>
      </w:r>
      <w:r>
        <w:t>.</w:t>
      </w:r>
    </w:p>
    <w:p w14:paraId="20EAF624" w14:textId="77777777" w:rsidR="00771639" w:rsidRDefault="00771639" w:rsidP="00771639">
      <w:pPr>
        <w:pStyle w:val="CETReferencetext"/>
      </w:pPr>
      <w:proofErr w:type="spellStart"/>
      <w:r w:rsidRPr="006469FF">
        <w:t>Kasparavičius</w:t>
      </w:r>
      <w:proofErr w:type="spellEnd"/>
      <w:r w:rsidRPr="006469FF">
        <w:t xml:space="preserve">, E.; </w:t>
      </w:r>
      <w:proofErr w:type="spellStart"/>
      <w:r w:rsidRPr="006469FF">
        <w:t>Franckevičius</w:t>
      </w:r>
      <w:proofErr w:type="spellEnd"/>
      <w:r w:rsidRPr="006469FF">
        <w:t xml:space="preserve">, M.; </w:t>
      </w:r>
      <w:proofErr w:type="spellStart"/>
      <w:r w:rsidRPr="006469FF">
        <w:t>Driukas</w:t>
      </w:r>
      <w:proofErr w:type="spellEnd"/>
      <w:r w:rsidRPr="006469FF">
        <w:t xml:space="preserve">, S.; </w:t>
      </w:r>
      <w:proofErr w:type="spellStart"/>
      <w:r w:rsidRPr="006469FF">
        <w:t>Gulbinas</w:t>
      </w:r>
      <w:proofErr w:type="spellEnd"/>
      <w:r w:rsidRPr="006469FF">
        <w:t>, V. Charge Carrier Dynamics at the Perovskite Interface with Self-Assembled Monolayers. ACS Applied Materials &amp; Interfaces 2024, 16, doi:10.1021/acsami.4c10223.</w:t>
      </w:r>
    </w:p>
    <w:p w14:paraId="70F18E4E" w14:textId="77777777" w:rsidR="00771639" w:rsidRDefault="00771639" w:rsidP="00771639">
      <w:pPr>
        <w:pStyle w:val="CETReferencetext"/>
      </w:pPr>
      <w:r w:rsidRPr="00030C73">
        <w:t>Kumar, A. Predicting Efficiency of Solar Cells Based on Transparent Conducting Electrodes. Journal of Applied Physics 2017, 121, 014502.</w:t>
      </w:r>
    </w:p>
    <w:p w14:paraId="1D9AD632" w14:textId="657691BD" w:rsidR="00A82DBF" w:rsidRPr="00030C73" w:rsidRDefault="00A82DBF" w:rsidP="00771639">
      <w:pPr>
        <w:pStyle w:val="CETReferencetext"/>
      </w:pPr>
      <w:r w:rsidRPr="00A82DBF">
        <w:t xml:space="preserve">Sang Jin, Lee &amp; Kim, </w:t>
      </w:r>
      <w:proofErr w:type="spellStart"/>
      <w:r w:rsidRPr="00A82DBF">
        <w:t>Yekyung</w:t>
      </w:r>
      <w:proofErr w:type="spellEnd"/>
      <w:r w:rsidRPr="00A82DBF">
        <w:t xml:space="preserve"> &amp; Hwang, Jun-Yeon &amp; Lee, Ju-Ho &amp; Jung, </w:t>
      </w:r>
      <w:proofErr w:type="spellStart"/>
      <w:r w:rsidRPr="00A82DBF">
        <w:t>Seungon</w:t>
      </w:r>
      <w:proofErr w:type="spellEnd"/>
      <w:r w:rsidRPr="00A82DBF">
        <w:t xml:space="preserve"> &amp; Park, </w:t>
      </w:r>
      <w:proofErr w:type="spellStart"/>
      <w:r w:rsidRPr="00A82DBF">
        <w:t>Hyesung</w:t>
      </w:r>
      <w:proofErr w:type="spellEnd"/>
      <w:r w:rsidRPr="00A82DBF">
        <w:t xml:space="preserve"> &amp; Cho, </w:t>
      </w:r>
      <w:proofErr w:type="spellStart"/>
      <w:r w:rsidRPr="00A82DBF">
        <w:t>Seungmin</w:t>
      </w:r>
      <w:proofErr w:type="spellEnd"/>
      <w:r w:rsidRPr="00A82DBF">
        <w:t xml:space="preserve"> &amp; Nahm, Sahn &amp; Yang, Woo-Seok &amp; Kim, </w:t>
      </w:r>
      <w:proofErr w:type="spellStart"/>
      <w:r w:rsidRPr="00A82DBF">
        <w:t>Hyeongkeun</w:t>
      </w:r>
      <w:proofErr w:type="spellEnd"/>
      <w:r w:rsidRPr="00A82DBF">
        <w:t xml:space="preserve"> &amp; Han, Seung. (2017). Flexible Indium–Tin Oxide Crystal on Plastic Substrates Supported by Graphene Monolayer. Scientific Reports. 7. 10.1038/s41598-017-02265-3.</w:t>
      </w:r>
    </w:p>
    <w:p w14:paraId="7DED2E42" w14:textId="77777777" w:rsidR="00771639" w:rsidRPr="005014BB" w:rsidRDefault="00771639" w:rsidP="00771639">
      <w:pPr>
        <w:pStyle w:val="CETReferencetext"/>
      </w:pPr>
      <w:r w:rsidRPr="005014BB">
        <w:t>Liu, J.; Yi, Y.; Zhou, Y.; Cai, H. Highly Stretchable and Flexible Graphene/ITO Hybrid Transparent Electrode. Nanoscale research letters 2016, 11.</w:t>
      </w:r>
    </w:p>
    <w:p w14:paraId="240FAC99" w14:textId="77777777" w:rsidR="00771639" w:rsidRDefault="00771639" w:rsidP="00771639">
      <w:pPr>
        <w:pStyle w:val="CETReferencetext"/>
      </w:pPr>
      <w:r w:rsidRPr="00030C73">
        <w:t>Liu, L.; Cao, K.; Chen, S.; Huang, W. Toward See-Through Optoelectronics: Transparent Light-Emitting Diodes and Solar Cells. Advanced Optical Materials 2020, 8, 2001122</w:t>
      </w:r>
      <w:r>
        <w:t>.</w:t>
      </w:r>
    </w:p>
    <w:p w14:paraId="7AAE91E6" w14:textId="77777777" w:rsidR="00771639" w:rsidRPr="00030C73" w:rsidRDefault="00771639" w:rsidP="00771639">
      <w:pPr>
        <w:pStyle w:val="CETReferencetext"/>
      </w:pPr>
      <w:proofErr w:type="spellStart"/>
      <w:r w:rsidRPr="00030C73">
        <w:t>Muchuweni</w:t>
      </w:r>
      <w:proofErr w:type="spellEnd"/>
      <w:r w:rsidRPr="00030C73">
        <w:t xml:space="preserve">, E.; Mombeshora, E.T.; </w:t>
      </w:r>
      <w:proofErr w:type="spellStart"/>
      <w:r w:rsidRPr="00030C73">
        <w:t>Martincigh</w:t>
      </w:r>
      <w:proofErr w:type="spellEnd"/>
      <w:r w:rsidRPr="00030C73">
        <w:t xml:space="preserve">, B.S.; </w:t>
      </w:r>
      <w:proofErr w:type="spellStart"/>
      <w:r w:rsidRPr="00030C73">
        <w:t>Nyamori</w:t>
      </w:r>
      <w:proofErr w:type="spellEnd"/>
      <w:r w:rsidRPr="00030C73">
        <w:t>, V.O. Recent Applications of Carbon Nanotubes in Organic Solar Cells. Frontiers in Chemistry 2022, Volume 9-2021, doi:10.3389/fchem.2021.733552.</w:t>
      </w:r>
    </w:p>
    <w:p w14:paraId="162014A6" w14:textId="77777777" w:rsidR="00771639" w:rsidRDefault="00771639" w:rsidP="00771639">
      <w:pPr>
        <w:pStyle w:val="CETReferencetext"/>
      </w:pPr>
      <w:r w:rsidRPr="00ED4F43">
        <w:t xml:space="preserve">Sarno, M.; Rossi, G.; Cirillo, C.; Incarnato, L. Cold Wall Chemical Vapor Deposition Graphene-Based Conductive </w:t>
      </w:r>
      <w:proofErr w:type="spellStart"/>
      <w:r w:rsidRPr="00ED4F43">
        <w:t>Tunable</w:t>
      </w:r>
      <w:proofErr w:type="spellEnd"/>
      <w:r w:rsidRPr="00ED4F43">
        <w:t xml:space="preserve"> Film Barrier. Industrial &amp; Engineering Chemistry Research 2018, 57, 4895–4906</w:t>
      </w:r>
      <w:r>
        <w:t>.</w:t>
      </w:r>
    </w:p>
    <w:p w14:paraId="67C4F3F4" w14:textId="77777777" w:rsidR="00771639" w:rsidRDefault="00771639" w:rsidP="00771639">
      <w:pPr>
        <w:pStyle w:val="CETReferencetext"/>
      </w:pPr>
      <w:r w:rsidRPr="009B43A0">
        <w:t xml:space="preserve">Seo, Y.-M.; Cho, H.-J.; Jang, H.-S.; Jang, W.; Lim, J.-Y.; Jang, Y.; Gu, T.; Choi, J.-Y.; Whang, D. 2D Doping Layer for Flexible Transparent Conducting Graphene Electrodes with Low Sheet Resistance and High Stability. </w:t>
      </w:r>
      <w:r w:rsidRPr="009B43A0">
        <w:rPr>
          <w:i/>
          <w:iCs/>
        </w:rPr>
        <w:t>Advanced Electronic Materials</w:t>
      </w:r>
      <w:r w:rsidRPr="009B43A0">
        <w:t xml:space="preserve"> </w:t>
      </w:r>
      <w:r w:rsidRPr="009B43A0">
        <w:rPr>
          <w:b/>
          <w:bCs/>
        </w:rPr>
        <w:t>2018</w:t>
      </w:r>
      <w:r w:rsidRPr="009B43A0">
        <w:t xml:space="preserve">, </w:t>
      </w:r>
      <w:r w:rsidRPr="009B43A0">
        <w:rPr>
          <w:i/>
          <w:iCs/>
        </w:rPr>
        <w:t>4</w:t>
      </w:r>
      <w:r w:rsidRPr="009B43A0">
        <w:t>.</w:t>
      </w:r>
    </w:p>
    <w:p w14:paraId="09CFB4B5" w14:textId="77777777" w:rsidR="00771639" w:rsidRPr="00030C73" w:rsidRDefault="00771639" w:rsidP="00771639">
      <w:pPr>
        <w:pStyle w:val="CETReferencetext"/>
        <w:ind w:left="0" w:firstLine="0"/>
      </w:pPr>
      <w:r w:rsidRPr="00030C73">
        <w:t xml:space="preserve">Shi, X.; Chen, S. Carbon-Based Electrodes for Organic Solar Cells. </w:t>
      </w:r>
      <w:proofErr w:type="spellStart"/>
      <w:r w:rsidRPr="00030C73">
        <w:t>ChemPlusChem</w:t>
      </w:r>
      <w:proofErr w:type="spellEnd"/>
      <w:r w:rsidRPr="00030C73">
        <w:t xml:space="preserve"> 2023, 88, e202300008.</w:t>
      </w:r>
    </w:p>
    <w:p w14:paraId="005427CC" w14:textId="77777777" w:rsidR="00771639" w:rsidRPr="00030C73" w:rsidRDefault="00771639" w:rsidP="00771639">
      <w:pPr>
        <w:pStyle w:val="CETReferencetext"/>
      </w:pPr>
      <w:r w:rsidRPr="00030C73">
        <w:t>Song, Y.; Zou, W.; Lu, Q.; Lin, L.; Liu, Z. Graphene Transfer: Paving the Road for Applications of Chemical Vapor Deposition Graphene. Small 2021, e2007600.</w:t>
      </w:r>
    </w:p>
    <w:p w14:paraId="37877EBF" w14:textId="77777777" w:rsidR="00771639" w:rsidRDefault="00771639" w:rsidP="00771639">
      <w:pPr>
        <w:pStyle w:val="CETReferencetext"/>
      </w:pPr>
      <w:r w:rsidRPr="006469FF">
        <w:t xml:space="preserve">Sun, J.; Zhang, K.; Han, Y.; Ni, C. Enhanced Performance of </w:t>
      </w:r>
      <w:proofErr w:type="spellStart"/>
      <w:r w:rsidRPr="006469FF">
        <w:t>GaN</w:t>
      </w:r>
      <w:proofErr w:type="spellEnd"/>
      <w:r w:rsidRPr="006469FF">
        <w:t>-Based Long-Wavelength Blue Light-Emitting Diodes with Graphene-ITO Composite Film as Transparent Conductive Electrode. Materials Research Express 2023, 10</w:t>
      </w:r>
    </w:p>
    <w:p w14:paraId="641643B9" w14:textId="77777777" w:rsidR="00771639" w:rsidRPr="00030C73" w:rsidRDefault="00771639" w:rsidP="00771639">
      <w:pPr>
        <w:pStyle w:val="CETReferencetext"/>
      </w:pPr>
      <w:r w:rsidRPr="00030C73">
        <w:t>Torres, I.; Fernández, S.; Fernández-Vallejo, M.; Arnedo, I.; Gandía, J.J. Graphene-Based Electrodes for Silicon Heterojunction Solar Cell Technology. Materials 2021, 14, doi:10.3390/ma14174833.</w:t>
      </w:r>
    </w:p>
    <w:p w14:paraId="4530EC5E" w14:textId="77777777" w:rsidR="00771639" w:rsidRDefault="00771639" w:rsidP="00771639">
      <w:pPr>
        <w:pStyle w:val="CETReferencetext"/>
      </w:pPr>
      <w:r w:rsidRPr="00030C73">
        <w:t>Tran, V.-D.; Pammi, S.V.N.; Park, B.-J.; Han, Y.; Jeon, C.; Yoon, S.-G. Transfer-Free Graphene Electrodes for Super-Flexible and Semi-Transparent Perovskite Solar Cells Fabricated under Ambient Air. Nano Energy 2019, 65, 104018.</w:t>
      </w:r>
    </w:p>
    <w:p w14:paraId="00E8BC07" w14:textId="77777777" w:rsidR="00771639" w:rsidRPr="009B43A0" w:rsidRDefault="00771639" w:rsidP="00771639">
      <w:pPr>
        <w:pStyle w:val="CETReferencetext"/>
      </w:pPr>
      <w:r w:rsidRPr="009B43A0">
        <w:t>Wang, P.; Jian, M.; Zhang, C.; Wu, M.; Ling, X.; Zhang, J.; Wei, B.; Yang, L. Highly Stable Graphene</w:t>
      </w:r>
      <w:r w:rsidRPr="009B43A0">
        <w:rPr>
          <w:rFonts w:ascii="Cambria Math" w:hAnsi="Cambria Math" w:cs="Cambria Math"/>
        </w:rPr>
        <w:t>‐</w:t>
      </w:r>
      <w:r w:rsidRPr="009B43A0">
        <w:t xml:space="preserve">Based Flexible Hybrid Transparent Conductive Electrodes for Organic Solar Cells. </w:t>
      </w:r>
      <w:r w:rsidRPr="009B43A0">
        <w:rPr>
          <w:i/>
          <w:iCs/>
        </w:rPr>
        <w:t>Advanced Materials Interfaces</w:t>
      </w:r>
      <w:r w:rsidRPr="009B43A0">
        <w:t xml:space="preserve"> </w:t>
      </w:r>
      <w:r w:rsidRPr="009B43A0">
        <w:rPr>
          <w:b/>
          <w:bCs/>
        </w:rPr>
        <w:t>2021</w:t>
      </w:r>
      <w:r w:rsidRPr="009B43A0">
        <w:t xml:space="preserve">, </w:t>
      </w:r>
      <w:r w:rsidRPr="009B43A0">
        <w:rPr>
          <w:i/>
          <w:iCs/>
        </w:rPr>
        <w:t>9</w:t>
      </w:r>
      <w:r w:rsidRPr="009B43A0">
        <w:t>.</w:t>
      </w:r>
    </w:p>
    <w:p w14:paraId="7B81FEE7" w14:textId="77777777" w:rsidR="00771639" w:rsidRDefault="00771639" w:rsidP="00771639">
      <w:pPr>
        <w:pStyle w:val="CETReferencetext"/>
      </w:pPr>
      <w:r w:rsidRPr="00030C73">
        <w:t>Woo, Y.S. Transparent Conductive Electrodes Based on Graphene-Related Materials. Micromachines 2019, 10, doi:10.3390/mi10010013.</w:t>
      </w:r>
    </w:p>
    <w:p w14:paraId="0068568D" w14:textId="77777777" w:rsidR="00771639" w:rsidRDefault="00771639" w:rsidP="00771639">
      <w:pPr>
        <w:pStyle w:val="CETReferencetext"/>
      </w:pPr>
      <w:r w:rsidRPr="006469FF">
        <w:t xml:space="preserve">You, P.; Liu, Z.; Tai, Q.; Liu, S.; Yan, F. Efficient </w:t>
      </w:r>
      <w:proofErr w:type="spellStart"/>
      <w:r w:rsidRPr="006469FF">
        <w:t>Semitransparent</w:t>
      </w:r>
      <w:proofErr w:type="spellEnd"/>
      <w:r w:rsidRPr="006469FF">
        <w:t xml:space="preserve"> Perovskite Solar Cells with Graphene Electrodes. Advanced Materials 2015, 27, 3632–3638</w:t>
      </w:r>
      <w:r>
        <w:t>.</w:t>
      </w:r>
    </w:p>
    <w:p w14:paraId="3AFD0E12" w14:textId="39E792E8" w:rsidR="000F62B0" w:rsidRDefault="00771639" w:rsidP="00B27047">
      <w:pPr>
        <w:pStyle w:val="CETReferencetext"/>
      </w:pPr>
      <w:r w:rsidRPr="00030C73">
        <w:t>Zhang, D.; Zhang, Q.; Liang, X.; Pang, X.; Zhao, Y. Defects Produced during Wet Transfer Affect the Electrical Properties of Graphene. Micromachines 2022, 13, doi:10.3390/mi13020227.</w:t>
      </w:r>
      <w:bookmarkEnd w:id="3"/>
      <w:bookmarkEnd w:id="4"/>
    </w:p>
    <w:sectPr w:rsidR="000F62B0" w:rsidSect="00A714EF">
      <w:type w:val="continuous"/>
      <w:pgSz w:w="11906" w:h="16838" w:code="9"/>
      <w:pgMar w:top="1701" w:right="1418" w:bottom="1701" w:left="1701" w:header="1701" w:footer="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820D2A" w14:textId="77777777" w:rsidR="004806BD" w:rsidRDefault="004806BD" w:rsidP="004F5E36">
      <w:r>
        <w:separator/>
      </w:r>
    </w:p>
  </w:endnote>
  <w:endnote w:type="continuationSeparator" w:id="0">
    <w:p w14:paraId="2346961C" w14:textId="77777777" w:rsidR="004806BD" w:rsidRDefault="004806BD" w:rsidP="004F5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dvP6960">
    <w:altName w:val="Times New Roman"/>
    <w:panose1 w:val="00000000000000000000"/>
    <w:charset w:val="4D"/>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ptos Narrow">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FA1142" w14:textId="77777777" w:rsidR="004806BD" w:rsidRDefault="004806BD" w:rsidP="004F5E36">
      <w:r>
        <w:separator/>
      </w:r>
    </w:p>
  </w:footnote>
  <w:footnote w:type="continuationSeparator" w:id="0">
    <w:p w14:paraId="480244E0" w14:textId="77777777" w:rsidR="004806BD" w:rsidRDefault="004806BD" w:rsidP="004F5E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58AF15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5EC884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08CBE9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FC0B38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CA34EB4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85C6BD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87A996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D2793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F4206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06ACE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438217E"/>
    <w:multiLevelType w:val="multilevel"/>
    <w:tmpl w:val="4FF83C4A"/>
    <w:lvl w:ilvl="0">
      <w:start w:val="1"/>
      <w:numFmt w:val="decimal"/>
      <w:suff w:val="space"/>
      <w:lvlText w:val="Chapter %1"/>
      <w:lvlJc w:val="left"/>
      <w:pPr>
        <w:ind w:left="284" w:firstLine="0"/>
      </w:pPr>
      <w:rPr>
        <w:rFonts w:hint="default"/>
      </w:rPr>
    </w:lvl>
    <w:lvl w:ilvl="1">
      <w:start w:val="1"/>
      <w:numFmt w:val="decimal"/>
      <w:pStyle w:val="CETHeading1"/>
      <w:suff w:val="space"/>
      <w:lvlText w:val="%2."/>
      <w:lvlJc w:val="left"/>
      <w:pPr>
        <w:ind w:left="0" w:firstLine="0"/>
      </w:pPr>
      <w:rPr>
        <w:rFonts w:hint="default"/>
      </w:rPr>
    </w:lvl>
    <w:lvl w:ilvl="2">
      <w:start w:val="1"/>
      <w:numFmt w:val="decimal"/>
      <w:pStyle w:val="CETheadingx"/>
      <w:suff w:val="space"/>
      <w:lvlText w:val="%2.%3"/>
      <w:lvlJc w:val="left"/>
      <w:pPr>
        <w:ind w:left="0" w:firstLine="0"/>
      </w:pPr>
      <w:rPr>
        <w:rFonts w:hint="default"/>
      </w:rPr>
    </w:lvl>
    <w:lvl w:ilvl="3">
      <w:start w:val="1"/>
      <w:numFmt w:val="decimal"/>
      <w:pStyle w:val="TableSimple1"/>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1" w15:restartNumberingAfterBreak="0">
    <w:nsid w:val="330B7370"/>
    <w:multiLevelType w:val="hybridMultilevel"/>
    <w:tmpl w:val="12E2AD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351E0394"/>
    <w:multiLevelType w:val="hybridMultilevel"/>
    <w:tmpl w:val="806658E2"/>
    <w:lvl w:ilvl="0" w:tplc="14B0F7A8">
      <w:start w:val="1"/>
      <w:numFmt w:val="bullet"/>
      <w:pStyle w:val="CETnumberingbullets"/>
      <w:lvlText w:val=""/>
      <w:lvlJc w:val="left"/>
      <w:pPr>
        <w:ind w:left="340" w:hanging="22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9C329B9"/>
    <w:multiLevelType w:val="hybridMultilevel"/>
    <w:tmpl w:val="A2E6C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B100E8"/>
    <w:multiLevelType w:val="hybridMultilevel"/>
    <w:tmpl w:val="6F34C070"/>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 w15:restartNumberingAfterBreak="0">
    <w:nsid w:val="50A87BA7"/>
    <w:multiLevelType w:val="hybridMultilevel"/>
    <w:tmpl w:val="1F6A8AD4"/>
    <w:lvl w:ilvl="0" w:tplc="14B0F7A8">
      <w:start w:val="1"/>
      <w:numFmt w:val="bullet"/>
      <w:lvlText w:val=""/>
      <w:lvlJc w:val="left"/>
      <w:pPr>
        <w:ind w:left="340" w:hanging="22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52217387"/>
    <w:multiLevelType w:val="hybridMultilevel"/>
    <w:tmpl w:val="C2AE185A"/>
    <w:lvl w:ilvl="0" w:tplc="14090011">
      <w:start w:val="1"/>
      <w:numFmt w:val="decimal"/>
      <w:lvlText w:val="%1)"/>
      <w:lvlJc w:val="left"/>
      <w:pPr>
        <w:ind w:left="340" w:hanging="227"/>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6205803"/>
    <w:multiLevelType w:val="multilevel"/>
    <w:tmpl w:val="444C89D0"/>
    <w:lvl w:ilvl="0">
      <w:start w:val="1"/>
      <w:numFmt w:val="decimal"/>
      <w:suff w:val="space"/>
      <w:lvlText w:val="Chapter %1"/>
      <w:lvlJc w:val="left"/>
      <w:pPr>
        <w:ind w:left="0" w:firstLine="0"/>
      </w:pPr>
      <w:rPr>
        <w:rFonts w:hint="default"/>
      </w:rPr>
    </w:lvl>
    <w:lvl w:ilvl="1">
      <w:start w:val="1"/>
      <w:numFmt w:val="decimal"/>
      <w:suff w:val="space"/>
      <w:lvlText w:val="%2."/>
      <w:lvlJc w:val="left"/>
      <w:pPr>
        <w:ind w:left="0" w:firstLine="0"/>
      </w:pPr>
      <w:rPr>
        <w:rFonts w:hint="default"/>
      </w:rPr>
    </w:lvl>
    <w:lvl w:ilvl="2">
      <w:start w:val="1"/>
      <w:numFmt w:val="decimal"/>
      <w:suff w:val="space"/>
      <w:lvlText w:val="%2.%3."/>
      <w:lvlJc w:val="left"/>
      <w:pPr>
        <w:ind w:left="0" w:firstLine="0"/>
      </w:pPr>
      <w:rPr>
        <w:rFonts w:hint="default"/>
      </w:rPr>
    </w:lvl>
    <w:lvl w:ilvl="3">
      <w:start w:val="1"/>
      <w:numFmt w:val="decimal"/>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8" w15:restartNumberingAfterBreak="0">
    <w:nsid w:val="5AD311D0"/>
    <w:multiLevelType w:val="hybridMultilevel"/>
    <w:tmpl w:val="F198FF08"/>
    <w:lvl w:ilvl="0" w:tplc="62EA088C">
      <w:start w:val="1"/>
      <w:numFmt w:val="decimal"/>
      <w:pStyle w:val="CETnumbering1"/>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662015B5"/>
    <w:multiLevelType w:val="hybridMultilevel"/>
    <w:tmpl w:val="CCDE094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6865266D"/>
    <w:multiLevelType w:val="hybridMultilevel"/>
    <w:tmpl w:val="F5BE3C4A"/>
    <w:lvl w:ilvl="0" w:tplc="9FC4D28C">
      <w:start w:val="1"/>
      <w:numFmt w:val="lowerLetter"/>
      <w:pStyle w:val="CETnumberinga"/>
      <w:lvlText w:val="%1."/>
      <w:lvlJc w:val="left"/>
      <w:pPr>
        <w:ind w:left="340" w:hanging="227"/>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316882765">
    <w:abstractNumId w:val="10"/>
  </w:num>
  <w:num w:numId="2" w16cid:durableId="1954094313">
    <w:abstractNumId w:val="8"/>
  </w:num>
  <w:num w:numId="3" w16cid:durableId="2001083081">
    <w:abstractNumId w:val="3"/>
  </w:num>
  <w:num w:numId="4" w16cid:durableId="665287687">
    <w:abstractNumId w:val="2"/>
  </w:num>
  <w:num w:numId="5" w16cid:durableId="1763211618">
    <w:abstractNumId w:val="1"/>
  </w:num>
  <w:num w:numId="6" w16cid:durableId="733351894">
    <w:abstractNumId w:val="0"/>
  </w:num>
  <w:num w:numId="7" w16cid:durableId="1265187038">
    <w:abstractNumId w:val="9"/>
  </w:num>
  <w:num w:numId="8" w16cid:durableId="458382672">
    <w:abstractNumId w:val="7"/>
  </w:num>
  <w:num w:numId="9" w16cid:durableId="652636510">
    <w:abstractNumId w:val="6"/>
  </w:num>
  <w:num w:numId="10" w16cid:durableId="1972591888">
    <w:abstractNumId w:val="5"/>
  </w:num>
  <w:num w:numId="11" w16cid:durableId="1179278139">
    <w:abstractNumId w:val="4"/>
  </w:num>
  <w:num w:numId="12" w16cid:durableId="1575509198">
    <w:abstractNumId w:val="17"/>
  </w:num>
  <w:num w:numId="13" w16cid:durableId="695733619">
    <w:abstractNumId w:val="12"/>
  </w:num>
  <w:num w:numId="14" w16cid:durableId="145903400">
    <w:abstractNumId w:val="18"/>
  </w:num>
  <w:num w:numId="15" w16cid:durableId="19162326">
    <w:abstractNumId w:val="20"/>
  </w:num>
  <w:num w:numId="16" w16cid:durableId="1977102699">
    <w:abstractNumId w:val="19"/>
  </w:num>
  <w:num w:numId="17" w16cid:durableId="860774865">
    <w:abstractNumId w:val="11"/>
  </w:num>
  <w:num w:numId="18" w16cid:durableId="313221457">
    <w:abstractNumId w:val="12"/>
    <w:lvlOverride w:ilvl="0">
      <w:startOverride w:val="1"/>
    </w:lvlOverride>
  </w:num>
  <w:num w:numId="19" w16cid:durableId="534971577">
    <w:abstractNumId w:val="16"/>
  </w:num>
  <w:num w:numId="20" w16cid:durableId="1150947773">
    <w:abstractNumId w:val="15"/>
  </w:num>
  <w:num w:numId="21" w16cid:durableId="124660497">
    <w:abstractNumId w:val="14"/>
  </w:num>
  <w:num w:numId="22" w16cid:durableId="209986147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trackRevisions/>
  <w:documentProtection w:edit="forms" w:enforcement="0"/>
  <w:autoFormatOverride/>
  <w:styleLockTheme/>
  <w:styleLockQFSet/>
  <w:defaultTabStop w:val="708"/>
  <w:hyphenationZone w:val="283"/>
  <w:clickAndTypeStyle w:val="CETBodytext"/>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I0NzezsDA3M7MwMTJW0lEKTi0uzszPAymwrAUAugS3IywAAAA="/>
  </w:docVars>
  <w:rsids>
    <w:rsidRoot w:val="000E414A"/>
    <w:rsid w:val="0000214B"/>
    <w:rsid w:val="000027C0"/>
    <w:rsid w:val="000052FB"/>
    <w:rsid w:val="00005A19"/>
    <w:rsid w:val="000117CB"/>
    <w:rsid w:val="00030C73"/>
    <w:rsid w:val="0003148D"/>
    <w:rsid w:val="00031EEC"/>
    <w:rsid w:val="00051566"/>
    <w:rsid w:val="00054288"/>
    <w:rsid w:val="0005491A"/>
    <w:rsid w:val="000562A9"/>
    <w:rsid w:val="00062556"/>
    <w:rsid w:val="00062A9A"/>
    <w:rsid w:val="00064DCA"/>
    <w:rsid w:val="00065058"/>
    <w:rsid w:val="000669B7"/>
    <w:rsid w:val="00076DAE"/>
    <w:rsid w:val="00080A64"/>
    <w:rsid w:val="00081FF1"/>
    <w:rsid w:val="00086C39"/>
    <w:rsid w:val="00094153"/>
    <w:rsid w:val="000A03B2"/>
    <w:rsid w:val="000C1F6F"/>
    <w:rsid w:val="000C5F34"/>
    <w:rsid w:val="000D0268"/>
    <w:rsid w:val="000D34BE"/>
    <w:rsid w:val="000D6E08"/>
    <w:rsid w:val="000E102F"/>
    <w:rsid w:val="000E36F1"/>
    <w:rsid w:val="000E3A73"/>
    <w:rsid w:val="000E414A"/>
    <w:rsid w:val="000F093C"/>
    <w:rsid w:val="000F13D2"/>
    <w:rsid w:val="000F62B0"/>
    <w:rsid w:val="000F787B"/>
    <w:rsid w:val="0010104F"/>
    <w:rsid w:val="0011030C"/>
    <w:rsid w:val="0012091F"/>
    <w:rsid w:val="00126BC2"/>
    <w:rsid w:val="001308B6"/>
    <w:rsid w:val="00130F48"/>
    <w:rsid w:val="0013121F"/>
    <w:rsid w:val="00131FE6"/>
    <w:rsid w:val="0013263F"/>
    <w:rsid w:val="001331DF"/>
    <w:rsid w:val="00134121"/>
    <w:rsid w:val="00134DE4"/>
    <w:rsid w:val="0014034D"/>
    <w:rsid w:val="00144D16"/>
    <w:rsid w:val="00150E59"/>
    <w:rsid w:val="00152DE3"/>
    <w:rsid w:val="0016195D"/>
    <w:rsid w:val="00164CF9"/>
    <w:rsid w:val="001667A6"/>
    <w:rsid w:val="0016779D"/>
    <w:rsid w:val="0017452B"/>
    <w:rsid w:val="00175729"/>
    <w:rsid w:val="00184AD6"/>
    <w:rsid w:val="00186140"/>
    <w:rsid w:val="00191A07"/>
    <w:rsid w:val="001A4AF7"/>
    <w:rsid w:val="001B0349"/>
    <w:rsid w:val="001B1E93"/>
    <w:rsid w:val="001B30FC"/>
    <w:rsid w:val="001B4215"/>
    <w:rsid w:val="001B65C1"/>
    <w:rsid w:val="001C03CE"/>
    <w:rsid w:val="001C684B"/>
    <w:rsid w:val="001D032F"/>
    <w:rsid w:val="001D0CFB"/>
    <w:rsid w:val="001D21AF"/>
    <w:rsid w:val="001D53FC"/>
    <w:rsid w:val="001F42A5"/>
    <w:rsid w:val="001F7B9D"/>
    <w:rsid w:val="001F7F35"/>
    <w:rsid w:val="00201C93"/>
    <w:rsid w:val="00205D1D"/>
    <w:rsid w:val="0021632E"/>
    <w:rsid w:val="002224B4"/>
    <w:rsid w:val="002235F4"/>
    <w:rsid w:val="002447EF"/>
    <w:rsid w:val="00246584"/>
    <w:rsid w:val="00251550"/>
    <w:rsid w:val="00263B05"/>
    <w:rsid w:val="0027221A"/>
    <w:rsid w:val="00275B61"/>
    <w:rsid w:val="00280FAF"/>
    <w:rsid w:val="00282656"/>
    <w:rsid w:val="00296B83"/>
    <w:rsid w:val="002B4015"/>
    <w:rsid w:val="002B78CE"/>
    <w:rsid w:val="002C2FB6"/>
    <w:rsid w:val="002D65C8"/>
    <w:rsid w:val="002E5FA7"/>
    <w:rsid w:val="002E7405"/>
    <w:rsid w:val="002F3309"/>
    <w:rsid w:val="003008CE"/>
    <w:rsid w:val="003009B7"/>
    <w:rsid w:val="00300E56"/>
    <w:rsid w:val="0030152C"/>
    <w:rsid w:val="003019C1"/>
    <w:rsid w:val="0030469C"/>
    <w:rsid w:val="00304F0C"/>
    <w:rsid w:val="0031772C"/>
    <w:rsid w:val="00321CA6"/>
    <w:rsid w:val="00322F42"/>
    <w:rsid w:val="00323763"/>
    <w:rsid w:val="00323C5F"/>
    <w:rsid w:val="00324DC3"/>
    <w:rsid w:val="00334C09"/>
    <w:rsid w:val="00347F7A"/>
    <w:rsid w:val="00361CAC"/>
    <w:rsid w:val="003723D4"/>
    <w:rsid w:val="00374F0E"/>
    <w:rsid w:val="00381905"/>
    <w:rsid w:val="00384CC8"/>
    <w:rsid w:val="003871FD"/>
    <w:rsid w:val="00387837"/>
    <w:rsid w:val="003A1E30"/>
    <w:rsid w:val="003A2829"/>
    <w:rsid w:val="003A5D87"/>
    <w:rsid w:val="003A7D1C"/>
    <w:rsid w:val="003B304B"/>
    <w:rsid w:val="003B3146"/>
    <w:rsid w:val="003C138B"/>
    <w:rsid w:val="003C2ED9"/>
    <w:rsid w:val="003C47FC"/>
    <w:rsid w:val="003C644E"/>
    <w:rsid w:val="003D4BC0"/>
    <w:rsid w:val="003F015E"/>
    <w:rsid w:val="00400414"/>
    <w:rsid w:val="00402E39"/>
    <w:rsid w:val="0041352E"/>
    <w:rsid w:val="0041446B"/>
    <w:rsid w:val="0042148A"/>
    <w:rsid w:val="00427617"/>
    <w:rsid w:val="00431D67"/>
    <w:rsid w:val="0044071E"/>
    <w:rsid w:val="0044329C"/>
    <w:rsid w:val="004437AA"/>
    <w:rsid w:val="004474F8"/>
    <w:rsid w:val="00451EA2"/>
    <w:rsid w:val="00453E24"/>
    <w:rsid w:val="00457456"/>
    <w:rsid w:val="004577FE"/>
    <w:rsid w:val="00457B9C"/>
    <w:rsid w:val="0046164A"/>
    <w:rsid w:val="004628D2"/>
    <w:rsid w:val="00462DCD"/>
    <w:rsid w:val="004648AD"/>
    <w:rsid w:val="00466324"/>
    <w:rsid w:val="004703A9"/>
    <w:rsid w:val="004760DE"/>
    <w:rsid w:val="004763D7"/>
    <w:rsid w:val="004806BD"/>
    <w:rsid w:val="0048765D"/>
    <w:rsid w:val="00487FA0"/>
    <w:rsid w:val="004905E4"/>
    <w:rsid w:val="004A004E"/>
    <w:rsid w:val="004A03C3"/>
    <w:rsid w:val="004A24CF"/>
    <w:rsid w:val="004A6842"/>
    <w:rsid w:val="004B5F37"/>
    <w:rsid w:val="004C3D1D"/>
    <w:rsid w:val="004C3D84"/>
    <w:rsid w:val="004C7913"/>
    <w:rsid w:val="004D482F"/>
    <w:rsid w:val="004E102A"/>
    <w:rsid w:val="004E4DD6"/>
    <w:rsid w:val="004F15BC"/>
    <w:rsid w:val="004F5E36"/>
    <w:rsid w:val="005014BB"/>
    <w:rsid w:val="00507B47"/>
    <w:rsid w:val="00507BEF"/>
    <w:rsid w:val="00507CC9"/>
    <w:rsid w:val="005119A5"/>
    <w:rsid w:val="00515D10"/>
    <w:rsid w:val="005223A2"/>
    <w:rsid w:val="00522D7D"/>
    <w:rsid w:val="005278B7"/>
    <w:rsid w:val="00532016"/>
    <w:rsid w:val="005346C8"/>
    <w:rsid w:val="00543E7D"/>
    <w:rsid w:val="00547A68"/>
    <w:rsid w:val="005531C9"/>
    <w:rsid w:val="00553BD7"/>
    <w:rsid w:val="00557E00"/>
    <w:rsid w:val="0056283D"/>
    <w:rsid w:val="00563B3F"/>
    <w:rsid w:val="0056425A"/>
    <w:rsid w:val="00567C4C"/>
    <w:rsid w:val="00570C43"/>
    <w:rsid w:val="005808CA"/>
    <w:rsid w:val="0058548A"/>
    <w:rsid w:val="005858CC"/>
    <w:rsid w:val="00586E65"/>
    <w:rsid w:val="005915D0"/>
    <w:rsid w:val="005B2110"/>
    <w:rsid w:val="005B61E6"/>
    <w:rsid w:val="005B7C5F"/>
    <w:rsid w:val="005C0D38"/>
    <w:rsid w:val="005C3774"/>
    <w:rsid w:val="005C77E1"/>
    <w:rsid w:val="005D668A"/>
    <w:rsid w:val="005D6A2F"/>
    <w:rsid w:val="005E1A82"/>
    <w:rsid w:val="005E75F4"/>
    <w:rsid w:val="005E794C"/>
    <w:rsid w:val="005F0511"/>
    <w:rsid w:val="005F0A28"/>
    <w:rsid w:val="005F0E5E"/>
    <w:rsid w:val="00600535"/>
    <w:rsid w:val="0060401B"/>
    <w:rsid w:val="00605261"/>
    <w:rsid w:val="00610CD6"/>
    <w:rsid w:val="00610F12"/>
    <w:rsid w:val="00620164"/>
    <w:rsid w:val="00620DEE"/>
    <w:rsid w:val="00621F92"/>
    <w:rsid w:val="0062280A"/>
    <w:rsid w:val="006249F3"/>
    <w:rsid w:val="00625639"/>
    <w:rsid w:val="00631B33"/>
    <w:rsid w:val="00635B5E"/>
    <w:rsid w:val="0064131C"/>
    <w:rsid w:val="0064184D"/>
    <w:rsid w:val="006422CC"/>
    <w:rsid w:val="006469FF"/>
    <w:rsid w:val="00656ACD"/>
    <w:rsid w:val="00657FA8"/>
    <w:rsid w:val="00660E3E"/>
    <w:rsid w:val="00662E74"/>
    <w:rsid w:val="00673C31"/>
    <w:rsid w:val="006775ED"/>
    <w:rsid w:val="00680C23"/>
    <w:rsid w:val="00681460"/>
    <w:rsid w:val="00691FF9"/>
    <w:rsid w:val="00693766"/>
    <w:rsid w:val="00695E1B"/>
    <w:rsid w:val="006A3281"/>
    <w:rsid w:val="006B4888"/>
    <w:rsid w:val="006C2E45"/>
    <w:rsid w:val="006C359C"/>
    <w:rsid w:val="006C5579"/>
    <w:rsid w:val="006D080F"/>
    <w:rsid w:val="006D6E8B"/>
    <w:rsid w:val="006E20DE"/>
    <w:rsid w:val="006E3708"/>
    <w:rsid w:val="006E63C7"/>
    <w:rsid w:val="006E737D"/>
    <w:rsid w:val="006F1F95"/>
    <w:rsid w:val="00701442"/>
    <w:rsid w:val="007033A3"/>
    <w:rsid w:val="00707DD1"/>
    <w:rsid w:val="00711421"/>
    <w:rsid w:val="00713973"/>
    <w:rsid w:val="00720A24"/>
    <w:rsid w:val="00732349"/>
    <w:rsid w:val="00732386"/>
    <w:rsid w:val="00733ACB"/>
    <w:rsid w:val="0073514D"/>
    <w:rsid w:val="007356A5"/>
    <w:rsid w:val="00742549"/>
    <w:rsid w:val="007447F3"/>
    <w:rsid w:val="00753C64"/>
    <w:rsid w:val="00754232"/>
    <w:rsid w:val="0075499F"/>
    <w:rsid w:val="007661C8"/>
    <w:rsid w:val="0077098D"/>
    <w:rsid w:val="00771639"/>
    <w:rsid w:val="00772087"/>
    <w:rsid w:val="0077680A"/>
    <w:rsid w:val="00782B71"/>
    <w:rsid w:val="0078493F"/>
    <w:rsid w:val="00785B6C"/>
    <w:rsid w:val="007931FA"/>
    <w:rsid w:val="007A4861"/>
    <w:rsid w:val="007A7BBA"/>
    <w:rsid w:val="007A7CA0"/>
    <w:rsid w:val="007B0C50"/>
    <w:rsid w:val="007B48F9"/>
    <w:rsid w:val="007B6DE6"/>
    <w:rsid w:val="007C1A43"/>
    <w:rsid w:val="007C5202"/>
    <w:rsid w:val="007D0951"/>
    <w:rsid w:val="0080013E"/>
    <w:rsid w:val="00813288"/>
    <w:rsid w:val="008168FC"/>
    <w:rsid w:val="0081759D"/>
    <w:rsid w:val="00821762"/>
    <w:rsid w:val="0082589C"/>
    <w:rsid w:val="00825BA4"/>
    <w:rsid w:val="00830996"/>
    <w:rsid w:val="008345F1"/>
    <w:rsid w:val="00834BC1"/>
    <w:rsid w:val="00862B3E"/>
    <w:rsid w:val="00865B07"/>
    <w:rsid w:val="008667EA"/>
    <w:rsid w:val="008748E1"/>
    <w:rsid w:val="0087637F"/>
    <w:rsid w:val="008923C1"/>
    <w:rsid w:val="00892AD5"/>
    <w:rsid w:val="008942C7"/>
    <w:rsid w:val="008A1512"/>
    <w:rsid w:val="008A1DC5"/>
    <w:rsid w:val="008A362E"/>
    <w:rsid w:val="008C433F"/>
    <w:rsid w:val="008D32B9"/>
    <w:rsid w:val="008D433B"/>
    <w:rsid w:val="008D4A16"/>
    <w:rsid w:val="008D568E"/>
    <w:rsid w:val="008E566E"/>
    <w:rsid w:val="008E58F7"/>
    <w:rsid w:val="008E6F3B"/>
    <w:rsid w:val="0090161A"/>
    <w:rsid w:val="009017B3"/>
    <w:rsid w:val="00901EB6"/>
    <w:rsid w:val="00904C62"/>
    <w:rsid w:val="009124BD"/>
    <w:rsid w:val="0092156E"/>
    <w:rsid w:val="00922BA8"/>
    <w:rsid w:val="00924DAC"/>
    <w:rsid w:val="00927058"/>
    <w:rsid w:val="00934A75"/>
    <w:rsid w:val="00942750"/>
    <w:rsid w:val="009450CE"/>
    <w:rsid w:val="009459BB"/>
    <w:rsid w:val="00947179"/>
    <w:rsid w:val="0095164B"/>
    <w:rsid w:val="00951D8E"/>
    <w:rsid w:val="00954090"/>
    <w:rsid w:val="009573E7"/>
    <w:rsid w:val="00963E05"/>
    <w:rsid w:val="00964A45"/>
    <w:rsid w:val="00965EE6"/>
    <w:rsid w:val="00967843"/>
    <w:rsid w:val="00967D54"/>
    <w:rsid w:val="00971028"/>
    <w:rsid w:val="00973643"/>
    <w:rsid w:val="00977D8C"/>
    <w:rsid w:val="009840D2"/>
    <w:rsid w:val="00993B84"/>
    <w:rsid w:val="00996269"/>
    <w:rsid w:val="00996483"/>
    <w:rsid w:val="00996F5A"/>
    <w:rsid w:val="009A2CDB"/>
    <w:rsid w:val="009B041A"/>
    <w:rsid w:val="009B2094"/>
    <w:rsid w:val="009C37C3"/>
    <w:rsid w:val="009C512D"/>
    <w:rsid w:val="009C7C86"/>
    <w:rsid w:val="009D2FF7"/>
    <w:rsid w:val="009E7884"/>
    <w:rsid w:val="009E788A"/>
    <w:rsid w:val="009F0E08"/>
    <w:rsid w:val="009F0F2A"/>
    <w:rsid w:val="00A10BF1"/>
    <w:rsid w:val="00A1763D"/>
    <w:rsid w:val="00A17CEC"/>
    <w:rsid w:val="00A27EF0"/>
    <w:rsid w:val="00A30460"/>
    <w:rsid w:val="00A31F1F"/>
    <w:rsid w:val="00A374F7"/>
    <w:rsid w:val="00A42361"/>
    <w:rsid w:val="00A47BD0"/>
    <w:rsid w:val="00A50707"/>
    <w:rsid w:val="00A50B20"/>
    <w:rsid w:val="00A51390"/>
    <w:rsid w:val="00A554FE"/>
    <w:rsid w:val="00A569C8"/>
    <w:rsid w:val="00A60D13"/>
    <w:rsid w:val="00A65EED"/>
    <w:rsid w:val="00A714EF"/>
    <w:rsid w:val="00A7223D"/>
    <w:rsid w:val="00A72745"/>
    <w:rsid w:val="00A76EFC"/>
    <w:rsid w:val="00A82DBF"/>
    <w:rsid w:val="00A84FDE"/>
    <w:rsid w:val="00A85E00"/>
    <w:rsid w:val="00A87D50"/>
    <w:rsid w:val="00A87E49"/>
    <w:rsid w:val="00A91010"/>
    <w:rsid w:val="00A922BF"/>
    <w:rsid w:val="00A97F29"/>
    <w:rsid w:val="00AA702E"/>
    <w:rsid w:val="00AA7D26"/>
    <w:rsid w:val="00AB0964"/>
    <w:rsid w:val="00AB5011"/>
    <w:rsid w:val="00AB7F5A"/>
    <w:rsid w:val="00AC7368"/>
    <w:rsid w:val="00AD16B9"/>
    <w:rsid w:val="00AD601D"/>
    <w:rsid w:val="00AE377D"/>
    <w:rsid w:val="00AF0EBA"/>
    <w:rsid w:val="00AF46C8"/>
    <w:rsid w:val="00B02A29"/>
    <w:rsid w:val="00B02C8A"/>
    <w:rsid w:val="00B041DF"/>
    <w:rsid w:val="00B17FBD"/>
    <w:rsid w:val="00B26505"/>
    <w:rsid w:val="00B27047"/>
    <w:rsid w:val="00B315A6"/>
    <w:rsid w:val="00B31813"/>
    <w:rsid w:val="00B33365"/>
    <w:rsid w:val="00B54274"/>
    <w:rsid w:val="00B57B36"/>
    <w:rsid w:val="00B57E6F"/>
    <w:rsid w:val="00B639F0"/>
    <w:rsid w:val="00B66BE0"/>
    <w:rsid w:val="00B701F1"/>
    <w:rsid w:val="00B71D85"/>
    <w:rsid w:val="00B735F8"/>
    <w:rsid w:val="00B7583D"/>
    <w:rsid w:val="00B77277"/>
    <w:rsid w:val="00B80001"/>
    <w:rsid w:val="00B8686D"/>
    <w:rsid w:val="00B91F9A"/>
    <w:rsid w:val="00B93F69"/>
    <w:rsid w:val="00B94BEA"/>
    <w:rsid w:val="00B9609A"/>
    <w:rsid w:val="00B9703E"/>
    <w:rsid w:val="00B979FB"/>
    <w:rsid w:val="00BB0D84"/>
    <w:rsid w:val="00BB1D27"/>
    <w:rsid w:val="00BB1DDC"/>
    <w:rsid w:val="00BB3674"/>
    <w:rsid w:val="00BB5CBD"/>
    <w:rsid w:val="00BC30C9"/>
    <w:rsid w:val="00BC36AB"/>
    <w:rsid w:val="00BC4A6C"/>
    <w:rsid w:val="00BD077D"/>
    <w:rsid w:val="00BD4545"/>
    <w:rsid w:val="00BE3E58"/>
    <w:rsid w:val="00BE7E4B"/>
    <w:rsid w:val="00BF73F7"/>
    <w:rsid w:val="00C01616"/>
    <w:rsid w:val="00C0162B"/>
    <w:rsid w:val="00C01FB3"/>
    <w:rsid w:val="00C0314A"/>
    <w:rsid w:val="00C068ED"/>
    <w:rsid w:val="00C16396"/>
    <w:rsid w:val="00C22CDA"/>
    <w:rsid w:val="00C22E0C"/>
    <w:rsid w:val="00C24AF1"/>
    <w:rsid w:val="00C3384B"/>
    <w:rsid w:val="00C345B1"/>
    <w:rsid w:val="00C40142"/>
    <w:rsid w:val="00C52C3C"/>
    <w:rsid w:val="00C52E55"/>
    <w:rsid w:val="00C55B37"/>
    <w:rsid w:val="00C57182"/>
    <w:rsid w:val="00C57863"/>
    <w:rsid w:val="00C640AF"/>
    <w:rsid w:val="00C655FD"/>
    <w:rsid w:val="00C668FD"/>
    <w:rsid w:val="00C75407"/>
    <w:rsid w:val="00C768DE"/>
    <w:rsid w:val="00C841C6"/>
    <w:rsid w:val="00C870A8"/>
    <w:rsid w:val="00C92D44"/>
    <w:rsid w:val="00C94434"/>
    <w:rsid w:val="00CA0D75"/>
    <w:rsid w:val="00CA1C95"/>
    <w:rsid w:val="00CA5A9C"/>
    <w:rsid w:val="00CA5BCB"/>
    <w:rsid w:val="00CB2BE3"/>
    <w:rsid w:val="00CB5A42"/>
    <w:rsid w:val="00CB722B"/>
    <w:rsid w:val="00CC3AE4"/>
    <w:rsid w:val="00CC4C20"/>
    <w:rsid w:val="00CD3517"/>
    <w:rsid w:val="00CD5FE2"/>
    <w:rsid w:val="00CE7C68"/>
    <w:rsid w:val="00CF698C"/>
    <w:rsid w:val="00D02B4C"/>
    <w:rsid w:val="00D040C4"/>
    <w:rsid w:val="00D173E6"/>
    <w:rsid w:val="00D20AD1"/>
    <w:rsid w:val="00D20BA6"/>
    <w:rsid w:val="00D2582C"/>
    <w:rsid w:val="00D31E6A"/>
    <w:rsid w:val="00D338D3"/>
    <w:rsid w:val="00D34B9F"/>
    <w:rsid w:val="00D46B7E"/>
    <w:rsid w:val="00D51F10"/>
    <w:rsid w:val="00D57C84"/>
    <w:rsid w:val="00D6057D"/>
    <w:rsid w:val="00D70FD0"/>
    <w:rsid w:val="00D71640"/>
    <w:rsid w:val="00D71C71"/>
    <w:rsid w:val="00D81E20"/>
    <w:rsid w:val="00D836C5"/>
    <w:rsid w:val="00D84576"/>
    <w:rsid w:val="00DA1399"/>
    <w:rsid w:val="00DA24C6"/>
    <w:rsid w:val="00DA4D7B"/>
    <w:rsid w:val="00DB0FB3"/>
    <w:rsid w:val="00DB2AC8"/>
    <w:rsid w:val="00DB5919"/>
    <w:rsid w:val="00DD271C"/>
    <w:rsid w:val="00DD3E9C"/>
    <w:rsid w:val="00DE264A"/>
    <w:rsid w:val="00DF1F8B"/>
    <w:rsid w:val="00DF28E8"/>
    <w:rsid w:val="00DF4539"/>
    <w:rsid w:val="00DF5072"/>
    <w:rsid w:val="00E02D18"/>
    <w:rsid w:val="00E041E7"/>
    <w:rsid w:val="00E15392"/>
    <w:rsid w:val="00E15E7A"/>
    <w:rsid w:val="00E20ECB"/>
    <w:rsid w:val="00E23CA1"/>
    <w:rsid w:val="00E32634"/>
    <w:rsid w:val="00E32C50"/>
    <w:rsid w:val="00E409A8"/>
    <w:rsid w:val="00E50C12"/>
    <w:rsid w:val="00E50D16"/>
    <w:rsid w:val="00E60494"/>
    <w:rsid w:val="00E65B91"/>
    <w:rsid w:val="00E6654D"/>
    <w:rsid w:val="00E66C33"/>
    <w:rsid w:val="00E7209D"/>
    <w:rsid w:val="00E72EAD"/>
    <w:rsid w:val="00E77223"/>
    <w:rsid w:val="00E8528B"/>
    <w:rsid w:val="00E85B94"/>
    <w:rsid w:val="00E94276"/>
    <w:rsid w:val="00E978D0"/>
    <w:rsid w:val="00EA4613"/>
    <w:rsid w:val="00EA7F91"/>
    <w:rsid w:val="00EB1523"/>
    <w:rsid w:val="00EB44BB"/>
    <w:rsid w:val="00EC0E49"/>
    <w:rsid w:val="00EC101F"/>
    <w:rsid w:val="00EC1D9F"/>
    <w:rsid w:val="00EC4880"/>
    <w:rsid w:val="00ED02A5"/>
    <w:rsid w:val="00ED4F43"/>
    <w:rsid w:val="00ED50A6"/>
    <w:rsid w:val="00EE0131"/>
    <w:rsid w:val="00EE17B0"/>
    <w:rsid w:val="00EF06D9"/>
    <w:rsid w:val="00F00AEA"/>
    <w:rsid w:val="00F07EAE"/>
    <w:rsid w:val="00F13A90"/>
    <w:rsid w:val="00F1565E"/>
    <w:rsid w:val="00F21C2A"/>
    <w:rsid w:val="00F3049E"/>
    <w:rsid w:val="00F30C64"/>
    <w:rsid w:val="00F32BA2"/>
    <w:rsid w:val="00F32CDB"/>
    <w:rsid w:val="00F54B10"/>
    <w:rsid w:val="00F55164"/>
    <w:rsid w:val="00F55D80"/>
    <w:rsid w:val="00F565FE"/>
    <w:rsid w:val="00F63A70"/>
    <w:rsid w:val="00F63D8C"/>
    <w:rsid w:val="00F66807"/>
    <w:rsid w:val="00F7534E"/>
    <w:rsid w:val="00F77673"/>
    <w:rsid w:val="00F92F81"/>
    <w:rsid w:val="00F93EDF"/>
    <w:rsid w:val="00FA1802"/>
    <w:rsid w:val="00FA21D0"/>
    <w:rsid w:val="00FA5F5F"/>
    <w:rsid w:val="00FB41CD"/>
    <w:rsid w:val="00FB730C"/>
    <w:rsid w:val="00FC2695"/>
    <w:rsid w:val="00FC3E03"/>
    <w:rsid w:val="00FC3FC1"/>
    <w:rsid w:val="00FC514B"/>
    <w:rsid w:val="00FD4C56"/>
    <w:rsid w:val="00FE5E91"/>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AE0CC22"/>
  <w14:defaultImageDpi w14:val="330"/>
  <w15:docId w15:val="{0B95FB59-9D38-42B5-B090-D2348EE1E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ET Top_page"/>
    <w:rsid w:val="00620DEE"/>
    <w:pPr>
      <w:tabs>
        <w:tab w:val="right" w:pos="7100"/>
      </w:tabs>
      <w:spacing w:after="0" w:line="264" w:lineRule="auto"/>
      <w:jc w:val="both"/>
    </w:pPr>
    <w:rPr>
      <w:rFonts w:ascii="Arial" w:eastAsia="Times New Roman" w:hAnsi="Arial" w:cs="Times New Roman"/>
      <w:sz w:val="18"/>
      <w:szCs w:val="20"/>
      <w:lang w:val="en-GB"/>
    </w:rPr>
  </w:style>
  <w:style w:type="paragraph" w:styleId="Heading1">
    <w:name w:val="heading 1"/>
    <w:basedOn w:val="CETHeading1"/>
    <w:next w:val="Normal"/>
    <w:link w:val="Heading1Char"/>
    <w:uiPriority w:val="9"/>
    <w:rsid w:val="004F5E36"/>
    <w:pPr>
      <w:tabs>
        <w:tab w:val="clear" w:pos="360"/>
        <w:tab w:val="right" w:pos="7100"/>
      </w:tabs>
      <w:jc w:val="both"/>
      <w:outlineLvl w:val="0"/>
    </w:pPr>
    <w:rPr>
      <w:lang w:val="en-GB"/>
    </w:rPr>
  </w:style>
  <w:style w:type="paragraph" w:styleId="Heading2">
    <w:name w:val="heading 2"/>
    <w:basedOn w:val="Normal"/>
    <w:next w:val="Normal"/>
    <w:link w:val="Heading2Char"/>
    <w:uiPriority w:val="9"/>
    <w:semiHidden/>
    <w:unhideWhenUsed/>
    <w:qFormat/>
    <w:rsid w:val="0003148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3148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03148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03148D"/>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03148D"/>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03148D"/>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3148D"/>
    <w:pPr>
      <w:keepNext/>
      <w:keepLines/>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unhideWhenUsed/>
    <w:qFormat/>
    <w:rsid w:val="0003148D"/>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TAuthors">
    <w:name w:val="CET Authors"/>
    <w:basedOn w:val="CETBodytext"/>
    <w:link w:val="CETAuthorsCarattere"/>
    <w:qFormat/>
    <w:rsid w:val="000E414A"/>
    <w:pPr>
      <w:keepNext/>
      <w:suppressAutoHyphens/>
      <w:spacing w:after="120"/>
    </w:pPr>
    <w:rPr>
      <w:noProof/>
      <w:sz w:val="24"/>
      <w:lang w:val="en-GB"/>
    </w:rPr>
  </w:style>
  <w:style w:type="paragraph" w:customStyle="1" w:styleId="CETTitle">
    <w:name w:val="CET Title"/>
    <w:next w:val="CETAuthors"/>
    <w:link w:val="CETTitleCarattere"/>
    <w:rsid w:val="00FB730C"/>
    <w:pPr>
      <w:suppressAutoHyphens/>
      <w:spacing w:before="480" w:after="120" w:line="264" w:lineRule="auto"/>
      <w:jc w:val="center"/>
      <w:outlineLvl w:val="0"/>
    </w:pPr>
    <w:rPr>
      <w:rFonts w:ascii="Arial" w:eastAsia="Times New Roman" w:hAnsi="Arial" w:cs="Times New Roman"/>
      <w:sz w:val="32"/>
      <w:szCs w:val="20"/>
      <w:lang w:val="en-GB"/>
    </w:rPr>
  </w:style>
  <w:style w:type="character" w:customStyle="1" w:styleId="CETAuthorsCarattere">
    <w:name w:val="CET Authors Carattere"/>
    <w:link w:val="CETAuthors"/>
    <w:rsid w:val="009E788A"/>
    <w:rPr>
      <w:rFonts w:ascii="Arial" w:eastAsia="Times New Roman" w:hAnsi="Arial" w:cs="Times New Roman"/>
      <w:noProof/>
      <w:sz w:val="24"/>
      <w:szCs w:val="20"/>
      <w:lang w:val="en-GB"/>
    </w:rPr>
  </w:style>
  <w:style w:type="character" w:customStyle="1" w:styleId="CETTitleCarattere">
    <w:name w:val="CET Title Carattere"/>
    <w:link w:val="CETTitle"/>
    <w:rsid w:val="00FB730C"/>
    <w:rPr>
      <w:rFonts w:ascii="Arial" w:eastAsia="Times New Roman" w:hAnsi="Arial" w:cs="Times New Roman"/>
      <w:sz w:val="32"/>
      <w:szCs w:val="20"/>
      <w:lang w:val="en-GB"/>
    </w:rPr>
  </w:style>
  <w:style w:type="paragraph" w:customStyle="1" w:styleId="CETHeading1">
    <w:name w:val="CET Heading1"/>
    <w:next w:val="CETBodytext"/>
    <w:qFormat/>
    <w:rsid w:val="009E788A"/>
    <w:pPr>
      <w:keepNext/>
      <w:numPr>
        <w:ilvl w:val="1"/>
        <w:numId w:val="1"/>
      </w:numPr>
      <w:tabs>
        <w:tab w:val="num" w:pos="360"/>
      </w:tabs>
      <w:suppressAutoHyphens/>
      <w:spacing w:before="240" w:after="120" w:line="240" w:lineRule="auto"/>
    </w:pPr>
    <w:rPr>
      <w:rFonts w:ascii="Arial" w:eastAsia="Times New Roman" w:hAnsi="Arial" w:cs="Times New Roman"/>
      <w:b/>
      <w:sz w:val="20"/>
      <w:szCs w:val="20"/>
      <w:lang w:val="en-US"/>
    </w:rPr>
  </w:style>
  <w:style w:type="paragraph" w:customStyle="1" w:styleId="CETBodytext">
    <w:name w:val="CET Body text"/>
    <w:link w:val="CETBodytextCarattere"/>
    <w:qFormat/>
    <w:rsid w:val="000E414A"/>
    <w:pPr>
      <w:tabs>
        <w:tab w:val="right" w:pos="7100"/>
      </w:tabs>
      <w:spacing w:after="0" w:line="264" w:lineRule="auto"/>
      <w:jc w:val="both"/>
    </w:pPr>
    <w:rPr>
      <w:rFonts w:ascii="Arial" w:eastAsia="Times New Roman" w:hAnsi="Arial" w:cs="Times New Roman"/>
      <w:sz w:val="18"/>
      <w:szCs w:val="20"/>
      <w:lang w:val="en-US"/>
    </w:rPr>
  </w:style>
  <w:style w:type="paragraph" w:customStyle="1" w:styleId="CETheadingx">
    <w:name w:val="CET headingx"/>
    <w:next w:val="CETBodytext"/>
    <w:link w:val="CETheadingxCarattere"/>
    <w:autoRedefine/>
    <w:qFormat/>
    <w:rsid w:val="004B5F37"/>
    <w:pPr>
      <w:keepNext/>
      <w:numPr>
        <w:ilvl w:val="2"/>
        <w:numId w:val="1"/>
      </w:numPr>
      <w:suppressAutoHyphens/>
      <w:spacing w:before="120" w:after="120" w:line="240" w:lineRule="auto"/>
    </w:pPr>
    <w:rPr>
      <w:rFonts w:ascii="Arial" w:eastAsia="Times New Roman" w:hAnsi="Arial" w:cs="Times New Roman"/>
      <w:b/>
      <w:sz w:val="18"/>
      <w:szCs w:val="20"/>
      <w:lang w:val="en-US"/>
    </w:rPr>
  </w:style>
  <w:style w:type="paragraph" w:customStyle="1" w:styleId="CETAddress">
    <w:name w:val="CET Address"/>
    <w:link w:val="CETAddressCarattere"/>
    <w:qFormat/>
    <w:rsid w:val="009E788A"/>
    <w:pPr>
      <w:keepNext/>
      <w:suppressAutoHyphens/>
      <w:spacing w:after="0"/>
      <w:contextualSpacing/>
    </w:pPr>
    <w:rPr>
      <w:rFonts w:ascii="Arial" w:eastAsia="Times New Roman" w:hAnsi="Arial" w:cs="Times New Roman"/>
      <w:noProof/>
      <w:sz w:val="16"/>
      <w:szCs w:val="20"/>
      <w:lang w:val="en-GB"/>
    </w:rPr>
  </w:style>
  <w:style w:type="table" w:styleId="TableSimple1">
    <w:name w:val="Table Simple 1"/>
    <w:basedOn w:val="TableNormal"/>
    <w:semiHidden/>
    <w:rsid w:val="000E414A"/>
    <w:pPr>
      <w:numPr>
        <w:ilvl w:val="3"/>
        <w:numId w:val="1"/>
      </w:numPr>
      <w:spacing w:after="0" w:line="264" w:lineRule="auto"/>
      <w:jc w:val="both"/>
    </w:pPr>
    <w:rPr>
      <w:rFonts w:ascii="Times New Roman" w:eastAsia="Times New Roman" w:hAnsi="Times New Roman" w:cs="Times New Roman"/>
      <w:sz w:val="20"/>
      <w:szCs w:val="20"/>
      <w:lang w:eastAsia="it-IT"/>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CETBodytextCarattere">
    <w:name w:val="CET Body text Carattere"/>
    <w:link w:val="CETBodytext"/>
    <w:rsid w:val="000E414A"/>
    <w:rPr>
      <w:rFonts w:ascii="Arial" w:eastAsia="Times New Roman" w:hAnsi="Arial" w:cs="Times New Roman"/>
      <w:sz w:val="18"/>
      <w:szCs w:val="20"/>
      <w:lang w:val="en-US"/>
    </w:rPr>
  </w:style>
  <w:style w:type="paragraph" w:customStyle="1" w:styleId="CETReference">
    <w:name w:val="CET Reference"/>
    <w:qFormat/>
    <w:rsid w:val="00FC2695"/>
    <w:pPr>
      <w:spacing w:before="200" w:after="120" w:line="240" w:lineRule="auto"/>
    </w:pPr>
    <w:rPr>
      <w:rFonts w:ascii="Arial" w:eastAsia="Times New Roman" w:hAnsi="Arial" w:cs="Times New Roman"/>
      <w:b/>
      <w:sz w:val="18"/>
      <w:szCs w:val="20"/>
      <w:lang w:val="en-GB"/>
    </w:rPr>
  </w:style>
  <w:style w:type="paragraph" w:customStyle="1" w:styleId="CETCaption">
    <w:name w:val="CET Caption"/>
    <w:link w:val="CETCaptionCarattere"/>
    <w:qFormat/>
    <w:rsid w:val="00F7534E"/>
    <w:pPr>
      <w:spacing w:before="240" w:after="240" w:line="264" w:lineRule="auto"/>
      <w:jc w:val="both"/>
    </w:pPr>
    <w:rPr>
      <w:rFonts w:ascii="Arial" w:eastAsia="Times New Roman" w:hAnsi="Arial" w:cs="Times New Roman"/>
      <w:i/>
      <w:sz w:val="18"/>
      <w:szCs w:val="20"/>
      <w:lang w:val="en-GB"/>
    </w:rPr>
  </w:style>
  <w:style w:type="character" w:customStyle="1" w:styleId="CETheadingxCarattere">
    <w:name w:val="CET headingx Carattere"/>
    <w:link w:val="CETheadingx"/>
    <w:rsid w:val="004B5F37"/>
    <w:rPr>
      <w:rFonts w:ascii="Arial" w:eastAsia="Times New Roman" w:hAnsi="Arial" w:cs="Times New Roman"/>
      <w:b/>
      <w:sz w:val="18"/>
      <w:szCs w:val="20"/>
      <w:lang w:val="en-US"/>
    </w:rPr>
  </w:style>
  <w:style w:type="character" w:customStyle="1" w:styleId="CETCaptionCarattere">
    <w:name w:val="CET Caption Carattere"/>
    <w:link w:val="CETCaption"/>
    <w:rsid w:val="00F7534E"/>
    <w:rPr>
      <w:rFonts w:ascii="Arial" w:eastAsia="Times New Roman" w:hAnsi="Arial" w:cs="Times New Roman"/>
      <w:i/>
      <w:sz w:val="18"/>
      <w:szCs w:val="20"/>
      <w:lang w:val="en-GB"/>
    </w:rPr>
  </w:style>
  <w:style w:type="paragraph" w:customStyle="1" w:styleId="CETBodytextItalic">
    <w:name w:val="CET Body text (Italic)"/>
    <w:basedOn w:val="CETBodytext"/>
    <w:qFormat/>
    <w:rsid w:val="004F5E36"/>
    <w:rPr>
      <w:i/>
      <w:lang w:val="en-GB"/>
    </w:rPr>
  </w:style>
  <w:style w:type="character" w:styleId="CommentReference">
    <w:name w:val="annotation reference"/>
    <w:basedOn w:val="DefaultParagraphFont"/>
    <w:uiPriority w:val="99"/>
    <w:semiHidden/>
    <w:unhideWhenUsed/>
    <w:rsid w:val="004577FE"/>
    <w:rPr>
      <w:sz w:val="16"/>
      <w:szCs w:val="16"/>
    </w:rPr>
  </w:style>
  <w:style w:type="paragraph" w:styleId="BalloonText">
    <w:name w:val="Balloon Text"/>
    <w:basedOn w:val="Normal"/>
    <w:link w:val="BalloonTextChar"/>
    <w:uiPriority w:val="99"/>
    <w:semiHidden/>
    <w:unhideWhenUsed/>
    <w:rsid w:val="000D34B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34BE"/>
    <w:rPr>
      <w:rFonts w:ascii="Tahoma" w:hAnsi="Tahoma" w:cs="Tahoma"/>
      <w:sz w:val="16"/>
      <w:szCs w:val="16"/>
    </w:rPr>
  </w:style>
  <w:style w:type="paragraph" w:styleId="Bibliography">
    <w:name w:val="Bibliography"/>
    <w:basedOn w:val="CETReferencetext"/>
    <w:uiPriority w:val="37"/>
    <w:unhideWhenUsed/>
    <w:rsid w:val="00631B33"/>
    <w:pPr>
      <w:spacing w:line="240" w:lineRule="auto"/>
      <w:ind w:left="720" w:hanging="720"/>
    </w:pPr>
  </w:style>
  <w:style w:type="paragraph" w:styleId="BodyText2">
    <w:name w:val="Body Text 2"/>
    <w:basedOn w:val="Normal"/>
    <w:link w:val="BodyText2Char"/>
    <w:uiPriority w:val="99"/>
    <w:semiHidden/>
    <w:unhideWhenUsed/>
    <w:rsid w:val="0003148D"/>
    <w:pPr>
      <w:spacing w:after="120" w:line="480" w:lineRule="auto"/>
    </w:pPr>
  </w:style>
  <w:style w:type="character" w:customStyle="1" w:styleId="BodyText2Char">
    <w:name w:val="Body Text 2 Char"/>
    <w:basedOn w:val="DefaultParagraphFont"/>
    <w:link w:val="BodyText2"/>
    <w:uiPriority w:val="99"/>
    <w:semiHidden/>
    <w:rsid w:val="0003148D"/>
  </w:style>
  <w:style w:type="paragraph" w:styleId="BodyText3">
    <w:name w:val="Body Text 3"/>
    <w:basedOn w:val="Normal"/>
    <w:link w:val="BodyText3Char"/>
    <w:uiPriority w:val="99"/>
    <w:semiHidden/>
    <w:unhideWhenUsed/>
    <w:rsid w:val="0003148D"/>
    <w:pPr>
      <w:spacing w:after="120"/>
    </w:pPr>
    <w:rPr>
      <w:sz w:val="16"/>
      <w:szCs w:val="16"/>
    </w:rPr>
  </w:style>
  <w:style w:type="character" w:customStyle="1" w:styleId="BodyText3Char">
    <w:name w:val="Body Text 3 Char"/>
    <w:basedOn w:val="DefaultParagraphFont"/>
    <w:link w:val="BodyText3"/>
    <w:uiPriority w:val="99"/>
    <w:semiHidden/>
    <w:rsid w:val="0003148D"/>
    <w:rPr>
      <w:sz w:val="16"/>
      <w:szCs w:val="16"/>
    </w:rPr>
  </w:style>
  <w:style w:type="paragraph" w:styleId="BodyText">
    <w:name w:val="Body Text"/>
    <w:basedOn w:val="Normal"/>
    <w:link w:val="BodyTextChar"/>
    <w:uiPriority w:val="99"/>
    <w:semiHidden/>
    <w:unhideWhenUsed/>
    <w:rsid w:val="0003148D"/>
    <w:pPr>
      <w:spacing w:after="120"/>
    </w:pPr>
  </w:style>
  <w:style w:type="character" w:customStyle="1" w:styleId="BodyTextChar">
    <w:name w:val="Body Text Char"/>
    <w:basedOn w:val="DefaultParagraphFont"/>
    <w:link w:val="BodyText"/>
    <w:uiPriority w:val="99"/>
    <w:semiHidden/>
    <w:rsid w:val="0003148D"/>
  </w:style>
  <w:style w:type="paragraph" w:styleId="Date">
    <w:name w:val="Date"/>
    <w:basedOn w:val="Normal"/>
    <w:next w:val="Normal"/>
    <w:link w:val="DateChar"/>
    <w:uiPriority w:val="99"/>
    <w:semiHidden/>
    <w:unhideWhenUsed/>
    <w:rsid w:val="0003148D"/>
  </w:style>
  <w:style w:type="character" w:customStyle="1" w:styleId="DateChar">
    <w:name w:val="Date Char"/>
    <w:basedOn w:val="DefaultParagraphFont"/>
    <w:link w:val="Date"/>
    <w:uiPriority w:val="99"/>
    <w:semiHidden/>
    <w:rsid w:val="0003148D"/>
  </w:style>
  <w:style w:type="paragraph" w:styleId="Caption">
    <w:name w:val="caption"/>
    <w:basedOn w:val="Normal"/>
    <w:next w:val="Normal"/>
    <w:uiPriority w:val="35"/>
    <w:unhideWhenUsed/>
    <w:qFormat/>
    <w:rsid w:val="0003148D"/>
    <w:pPr>
      <w:spacing w:line="240" w:lineRule="auto"/>
    </w:pPr>
    <w:rPr>
      <w:b/>
      <w:bCs/>
      <w:color w:val="4F81BD" w:themeColor="accent1"/>
      <w:szCs w:val="18"/>
    </w:rPr>
  </w:style>
  <w:style w:type="paragraph" w:styleId="List">
    <w:name w:val="List"/>
    <w:basedOn w:val="Normal"/>
    <w:uiPriority w:val="99"/>
    <w:semiHidden/>
    <w:unhideWhenUsed/>
    <w:rsid w:val="0003148D"/>
    <w:pPr>
      <w:ind w:left="283" w:hanging="283"/>
      <w:contextualSpacing/>
    </w:pPr>
  </w:style>
  <w:style w:type="paragraph" w:styleId="List2">
    <w:name w:val="List 2"/>
    <w:basedOn w:val="Normal"/>
    <w:uiPriority w:val="99"/>
    <w:semiHidden/>
    <w:unhideWhenUsed/>
    <w:rsid w:val="0003148D"/>
    <w:pPr>
      <w:ind w:left="566" w:hanging="283"/>
      <w:contextualSpacing/>
    </w:pPr>
  </w:style>
  <w:style w:type="paragraph" w:styleId="List3">
    <w:name w:val="List 3"/>
    <w:basedOn w:val="Normal"/>
    <w:uiPriority w:val="99"/>
    <w:semiHidden/>
    <w:unhideWhenUsed/>
    <w:rsid w:val="0003148D"/>
    <w:pPr>
      <w:ind w:left="849" w:hanging="283"/>
      <w:contextualSpacing/>
    </w:pPr>
  </w:style>
  <w:style w:type="paragraph" w:styleId="List4">
    <w:name w:val="List 4"/>
    <w:basedOn w:val="Normal"/>
    <w:uiPriority w:val="99"/>
    <w:semiHidden/>
    <w:unhideWhenUsed/>
    <w:rsid w:val="0003148D"/>
    <w:pPr>
      <w:ind w:left="1132" w:hanging="283"/>
      <w:contextualSpacing/>
    </w:pPr>
  </w:style>
  <w:style w:type="paragraph" w:styleId="List5">
    <w:name w:val="List 5"/>
    <w:basedOn w:val="Normal"/>
    <w:uiPriority w:val="99"/>
    <w:semiHidden/>
    <w:unhideWhenUsed/>
    <w:rsid w:val="0003148D"/>
    <w:pPr>
      <w:ind w:left="1415" w:hanging="283"/>
      <w:contextualSpacing/>
    </w:pPr>
  </w:style>
  <w:style w:type="paragraph" w:styleId="ListContinue">
    <w:name w:val="List Continue"/>
    <w:basedOn w:val="Normal"/>
    <w:uiPriority w:val="99"/>
    <w:semiHidden/>
    <w:unhideWhenUsed/>
    <w:rsid w:val="0003148D"/>
    <w:pPr>
      <w:spacing w:after="120"/>
      <w:ind w:left="283"/>
      <w:contextualSpacing/>
    </w:pPr>
  </w:style>
  <w:style w:type="paragraph" w:styleId="ListContinue2">
    <w:name w:val="List Continue 2"/>
    <w:basedOn w:val="Normal"/>
    <w:uiPriority w:val="99"/>
    <w:semiHidden/>
    <w:unhideWhenUsed/>
    <w:rsid w:val="0003148D"/>
    <w:pPr>
      <w:spacing w:after="120"/>
      <w:ind w:left="566"/>
      <w:contextualSpacing/>
    </w:pPr>
  </w:style>
  <w:style w:type="paragraph" w:styleId="ListContinue3">
    <w:name w:val="List Continue 3"/>
    <w:basedOn w:val="Normal"/>
    <w:uiPriority w:val="99"/>
    <w:semiHidden/>
    <w:unhideWhenUsed/>
    <w:rsid w:val="0003148D"/>
    <w:pPr>
      <w:spacing w:after="120"/>
      <w:ind w:left="849"/>
      <w:contextualSpacing/>
    </w:pPr>
  </w:style>
  <w:style w:type="paragraph" w:styleId="ListContinue4">
    <w:name w:val="List Continue 4"/>
    <w:basedOn w:val="Normal"/>
    <w:uiPriority w:val="99"/>
    <w:semiHidden/>
    <w:unhideWhenUsed/>
    <w:rsid w:val="0003148D"/>
    <w:pPr>
      <w:spacing w:after="120"/>
      <w:ind w:left="1132"/>
      <w:contextualSpacing/>
    </w:pPr>
  </w:style>
  <w:style w:type="paragraph" w:styleId="ListContinue5">
    <w:name w:val="List Continue 5"/>
    <w:basedOn w:val="Normal"/>
    <w:uiPriority w:val="99"/>
    <w:semiHidden/>
    <w:unhideWhenUsed/>
    <w:rsid w:val="0003148D"/>
    <w:pPr>
      <w:spacing w:after="120"/>
      <w:ind w:left="1415"/>
      <w:contextualSpacing/>
    </w:pPr>
  </w:style>
  <w:style w:type="paragraph" w:styleId="Signature">
    <w:name w:val="Signature"/>
    <w:basedOn w:val="Normal"/>
    <w:link w:val="SignatureChar"/>
    <w:uiPriority w:val="99"/>
    <w:semiHidden/>
    <w:unhideWhenUsed/>
    <w:rsid w:val="0003148D"/>
    <w:pPr>
      <w:spacing w:line="240" w:lineRule="auto"/>
      <w:ind w:left="4252"/>
    </w:pPr>
  </w:style>
  <w:style w:type="character" w:customStyle="1" w:styleId="SignatureChar">
    <w:name w:val="Signature Char"/>
    <w:basedOn w:val="DefaultParagraphFont"/>
    <w:link w:val="Signature"/>
    <w:uiPriority w:val="99"/>
    <w:semiHidden/>
    <w:rsid w:val="0003148D"/>
  </w:style>
  <w:style w:type="paragraph" w:styleId="E-mailSignature">
    <w:name w:val="E-mail Signature"/>
    <w:basedOn w:val="Normal"/>
    <w:link w:val="E-mailSignatureChar"/>
    <w:uiPriority w:val="99"/>
    <w:semiHidden/>
    <w:unhideWhenUsed/>
    <w:rsid w:val="0003148D"/>
    <w:pPr>
      <w:spacing w:line="240" w:lineRule="auto"/>
    </w:pPr>
  </w:style>
  <w:style w:type="character" w:customStyle="1" w:styleId="E-mailSignatureChar">
    <w:name w:val="E-mail Signature Char"/>
    <w:basedOn w:val="DefaultParagraphFont"/>
    <w:link w:val="E-mailSignature"/>
    <w:uiPriority w:val="99"/>
    <w:semiHidden/>
    <w:rsid w:val="0003148D"/>
  </w:style>
  <w:style w:type="paragraph" w:styleId="Salutation">
    <w:name w:val="Salutation"/>
    <w:basedOn w:val="Normal"/>
    <w:next w:val="Normal"/>
    <w:link w:val="SalutationChar"/>
    <w:uiPriority w:val="99"/>
    <w:semiHidden/>
    <w:unhideWhenUsed/>
    <w:rsid w:val="0003148D"/>
  </w:style>
  <w:style w:type="character" w:customStyle="1" w:styleId="SalutationChar">
    <w:name w:val="Salutation Char"/>
    <w:basedOn w:val="DefaultParagraphFont"/>
    <w:link w:val="Salutation"/>
    <w:uiPriority w:val="99"/>
    <w:semiHidden/>
    <w:rsid w:val="0003148D"/>
  </w:style>
  <w:style w:type="paragraph" w:styleId="Closing">
    <w:name w:val="Closing"/>
    <w:basedOn w:val="Normal"/>
    <w:link w:val="ClosingChar"/>
    <w:uiPriority w:val="99"/>
    <w:semiHidden/>
    <w:unhideWhenUsed/>
    <w:rsid w:val="0003148D"/>
    <w:pPr>
      <w:spacing w:line="240" w:lineRule="auto"/>
      <w:ind w:left="4252"/>
    </w:pPr>
  </w:style>
  <w:style w:type="character" w:customStyle="1" w:styleId="ClosingChar">
    <w:name w:val="Closing Char"/>
    <w:basedOn w:val="DefaultParagraphFont"/>
    <w:link w:val="Closing"/>
    <w:uiPriority w:val="99"/>
    <w:semiHidden/>
    <w:rsid w:val="0003148D"/>
  </w:style>
  <w:style w:type="paragraph" w:styleId="Index1">
    <w:name w:val="index 1"/>
    <w:basedOn w:val="Normal"/>
    <w:next w:val="Normal"/>
    <w:autoRedefine/>
    <w:uiPriority w:val="99"/>
    <w:semiHidden/>
    <w:unhideWhenUsed/>
    <w:rsid w:val="0003148D"/>
    <w:pPr>
      <w:spacing w:line="240" w:lineRule="auto"/>
      <w:ind w:left="220" w:hanging="220"/>
    </w:pPr>
  </w:style>
  <w:style w:type="paragraph" w:styleId="Index2">
    <w:name w:val="index 2"/>
    <w:basedOn w:val="Normal"/>
    <w:next w:val="Normal"/>
    <w:autoRedefine/>
    <w:uiPriority w:val="99"/>
    <w:semiHidden/>
    <w:unhideWhenUsed/>
    <w:rsid w:val="0003148D"/>
    <w:pPr>
      <w:spacing w:line="240" w:lineRule="auto"/>
      <w:ind w:left="440" w:hanging="220"/>
    </w:pPr>
  </w:style>
  <w:style w:type="paragraph" w:styleId="Index3">
    <w:name w:val="index 3"/>
    <w:basedOn w:val="Normal"/>
    <w:next w:val="Normal"/>
    <w:autoRedefine/>
    <w:uiPriority w:val="99"/>
    <w:semiHidden/>
    <w:unhideWhenUsed/>
    <w:rsid w:val="0003148D"/>
    <w:pPr>
      <w:spacing w:line="240" w:lineRule="auto"/>
      <w:ind w:left="660" w:hanging="220"/>
    </w:pPr>
  </w:style>
  <w:style w:type="paragraph" w:styleId="Index4">
    <w:name w:val="index 4"/>
    <w:basedOn w:val="Normal"/>
    <w:next w:val="Normal"/>
    <w:autoRedefine/>
    <w:uiPriority w:val="99"/>
    <w:semiHidden/>
    <w:unhideWhenUsed/>
    <w:rsid w:val="0003148D"/>
    <w:pPr>
      <w:spacing w:line="240" w:lineRule="auto"/>
      <w:ind w:left="880" w:hanging="220"/>
    </w:pPr>
  </w:style>
  <w:style w:type="paragraph" w:styleId="Index5">
    <w:name w:val="index 5"/>
    <w:basedOn w:val="Normal"/>
    <w:next w:val="Normal"/>
    <w:autoRedefine/>
    <w:uiPriority w:val="99"/>
    <w:semiHidden/>
    <w:unhideWhenUsed/>
    <w:rsid w:val="0003148D"/>
    <w:pPr>
      <w:spacing w:line="240" w:lineRule="auto"/>
      <w:ind w:left="1100" w:hanging="220"/>
    </w:pPr>
  </w:style>
  <w:style w:type="paragraph" w:styleId="Index6">
    <w:name w:val="index 6"/>
    <w:basedOn w:val="Normal"/>
    <w:next w:val="Normal"/>
    <w:autoRedefine/>
    <w:uiPriority w:val="99"/>
    <w:semiHidden/>
    <w:unhideWhenUsed/>
    <w:rsid w:val="0003148D"/>
    <w:pPr>
      <w:spacing w:line="240" w:lineRule="auto"/>
      <w:ind w:left="1320" w:hanging="220"/>
    </w:pPr>
  </w:style>
  <w:style w:type="paragraph" w:styleId="Index7">
    <w:name w:val="index 7"/>
    <w:basedOn w:val="Normal"/>
    <w:next w:val="Normal"/>
    <w:autoRedefine/>
    <w:uiPriority w:val="99"/>
    <w:semiHidden/>
    <w:unhideWhenUsed/>
    <w:rsid w:val="0003148D"/>
    <w:pPr>
      <w:spacing w:line="240" w:lineRule="auto"/>
      <w:ind w:left="1540" w:hanging="220"/>
    </w:pPr>
  </w:style>
  <w:style w:type="paragraph" w:styleId="Index8">
    <w:name w:val="index 8"/>
    <w:basedOn w:val="Normal"/>
    <w:next w:val="Normal"/>
    <w:autoRedefine/>
    <w:uiPriority w:val="99"/>
    <w:semiHidden/>
    <w:unhideWhenUsed/>
    <w:rsid w:val="0003148D"/>
    <w:pPr>
      <w:spacing w:line="240" w:lineRule="auto"/>
      <w:ind w:left="1760" w:hanging="220"/>
    </w:pPr>
  </w:style>
  <w:style w:type="paragraph" w:styleId="Index9">
    <w:name w:val="index 9"/>
    <w:basedOn w:val="Normal"/>
    <w:next w:val="Normal"/>
    <w:autoRedefine/>
    <w:uiPriority w:val="99"/>
    <w:semiHidden/>
    <w:unhideWhenUsed/>
    <w:rsid w:val="0003148D"/>
    <w:pPr>
      <w:spacing w:line="240" w:lineRule="auto"/>
      <w:ind w:left="1980" w:hanging="220"/>
    </w:pPr>
  </w:style>
  <w:style w:type="paragraph" w:styleId="TableofFigures">
    <w:name w:val="table of figures"/>
    <w:basedOn w:val="Normal"/>
    <w:next w:val="Normal"/>
    <w:uiPriority w:val="99"/>
    <w:semiHidden/>
    <w:unhideWhenUsed/>
    <w:rsid w:val="0003148D"/>
  </w:style>
  <w:style w:type="paragraph" w:styleId="TableofAuthorities">
    <w:name w:val="table of authorities"/>
    <w:basedOn w:val="Normal"/>
    <w:next w:val="Normal"/>
    <w:uiPriority w:val="99"/>
    <w:semiHidden/>
    <w:unhideWhenUsed/>
    <w:rsid w:val="0003148D"/>
    <w:pPr>
      <w:ind w:left="220" w:hanging="220"/>
    </w:pPr>
  </w:style>
  <w:style w:type="paragraph" w:styleId="EnvelopeAddress">
    <w:name w:val="envelope address"/>
    <w:basedOn w:val="Normal"/>
    <w:uiPriority w:val="99"/>
    <w:semiHidden/>
    <w:unhideWhenUsed/>
    <w:rsid w:val="0003148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HTMLAddress">
    <w:name w:val="HTML Address"/>
    <w:basedOn w:val="Normal"/>
    <w:link w:val="HTMLAddressChar"/>
    <w:uiPriority w:val="99"/>
    <w:semiHidden/>
    <w:unhideWhenUsed/>
    <w:rsid w:val="0003148D"/>
    <w:pPr>
      <w:spacing w:line="240" w:lineRule="auto"/>
    </w:pPr>
    <w:rPr>
      <w:i/>
      <w:iCs/>
    </w:rPr>
  </w:style>
  <w:style w:type="character" w:customStyle="1" w:styleId="HTMLAddressChar">
    <w:name w:val="HTML Address Char"/>
    <w:basedOn w:val="DefaultParagraphFont"/>
    <w:link w:val="HTMLAddress"/>
    <w:uiPriority w:val="99"/>
    <w:semiHidden/>
    <w:rsid w:val="0003148D"/>
    <w:rPr>
      <w:i/>
      <w:iCs/>
    </w:rPr>
  </w:style>
  <w:style w:type="paragraph" w:styleId="EnvelopeReturn">
    <w:name w:val="envelope return"/>
    <w:basedOn w:val="Normal"/>
    <w:uiPriority w:val="99"/>
    <w:semiHidden/>
    <w:unhideWhenUsed/>
    <w:rsid w:val="0003148D"/>
    <w:pPr>
      <w:spacing w:line="240" w:lineRule="auto"/>
    </w:pPr>
    <w:rPr>
      <w:rFonts w:asciiTheme="majorHAnsi" w:eastAsiaTheme="majorEastAsia" w:hAnsiTheme="majorHAnsi" w:cstheme="majorBidi"/>
    </w:rPr>
  </w:style>
  <w:style w:type="paragraph" w:styleId="MessageHeader">
    <w:name w:val="Message Header"/>
    <w:basedOn w:val="Normal"/>
    <w:link w:val="MessageHeaderChar"/>
    <w:uiPriority w:val="99"/>
    <w:semiHidden/>
    <w:unhideWhenUsed/>
    <w:rsid w:val="0003148D"/>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3148D"/>
    <w:rPr>
      <w:rFonts w:asciiTheme="majorHAnsi" w:eastAsiaTheme="majorEastAsia" w:hAnsiTheme="majorHAnsi" w:cstheme="majorBidi"/>
      <w:sz w:val="24"/>
      <w:szCs w:val="24"/>
      <w:shd w:val="pct20" w:color="auto" w:fill="auto"/>
    </w:rPr>
  </w:style>
  <w:style w:type="paragraph" w:styleId="NoteHeading">
    <w:name w:val="Note Heading"/>
    <w:basedOn w:val="Normal"/>
    <w:next w:val="Normal"/>
    <w:link w:val="NoteHeadingChar"/>
    <w:uiPriority w:val="99"/>
    <w:semiHidden/>
    <w:unhideWhenUsed/>
    <w:rsid w:val="0003148D"/>
    <w:pPr>
      <w:spacing w:line="240" w:lineRule="auto"/>
    </w:pPr>
  </w:style>
  <w:style w:type="character" w:customStyle="1" w:styleId="NoteHeadingChar">
    <w:name w:val="Note Heading Char"/>
    <w:basedOn w:val="DefaultParagraphFont"/>
    <w:link w:val="NoteHeading"/>
    <w:uiPriority w:val="99"/>
    <w:semiHidden/>
    <w:rsid w:val="0003148D"/>
  </w:style>
  <w:style w:type="paragraph" w:styleId="DocumentMap">
    <w:name w:val="Document Map"/>
    <w:basedOn w:val="Normal"/>
    <w:link w:val="DocumentMapChar"/>
    <w:uiPriority w:val="99"/>
    <w:semiHidden/>
    <w:unhideWhenUsed/>
    <w:rsid w:val="0003148D"/>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03148D"/>
    <w:rPr>
      <w:rFonts w:ascii="Tahoma" w:hAnsi="Tahoma" w:cs="Tahoma"/>
      <w:sz w:val="16"/>
      <w:szCs w:val="16"/>
    </w:rPr>
  </w:style>
  <w:style w:type="paragraph" w:styleId="NormalWeb">
    <w:name w:val="Normal (Web)"/>
    <w:basedOn w:val="Normal"/>
    <w:uiPriority w:val="99"/>
    <w:semiHidden/>
    <w:unhideWhenUsed/>
    <w:rsid w:val="0003148D"/>
    <w:rPr>
      <w:sz w:val="24"/>
      <w:szCs w:val="24"/>
    </w:rPr>
  </w:style>
  <w:style w:type="paragraph" w:styleId="ListNumber">
    <w:name w:val="List Number"/>
    <w:basedOn w:val="Normal"/>
    <w:uiPriority w:val="99"/>
    <w:semiHidden/>
    <w:unhideWhenUsed/>
    <w:rsid w:val="0003148D"/>
    <w:pPr>
      <w:numPr>
        <w:numId w:val="2"/>
      </w:numPr>
      <w:contextualSpacing/>
    </w:pPr>
  </w:style>
  <w:style w:type="paragraph" w:styleId="ListNumber2">
    <w:name w:val="List Number 2"/>
    <w:basedOn w:val="Normal"/>
    <w:uiPriority w:val="99"/>
    <w:semiHidden/>
    <w:unhideWhenUsed/>
    <w:rsid w:val="0003148D"/>
    <w:pPr>
      <w:numPr>
        <w:numId w:val="3"/>
      </w:numPr>
      <w:contextualSpacing/>
    </w:pPr>
  </w:style>
  <w:style w:type="paragraph" w:styleId="ListNumber3">
    <w:name w:val="List Number 3"/>
    <w:basedOn w:val="Normal"/>
    <w:uiPriority w:val="99"/>
    <w:semiHidden/>
    <w:unhideWhenUsed/>
    <w:rsid w:val="0003148D"/>
    <w:pPr>
      <w:numPr>
        <w:numId w:val="4"/>
      </w:numPr>
      <w:contextualSpacing/>
    </w:pPr>
  </w:style>
  <w:style w:type="paragraph" w:styleId="ListNumber4">
    <w:name w:val="List Number 4"/>
    <w:basedOn w:val="Normal"/>
    <w:uiPriority w:val="99"/>
    <w:semiHidden/>
    <w:unhideWhenUsed/>
    <w:rsid w:val="0003148D"/>
    <w:pPr>
      <w:numPr>
        <w:numId w:val="5"/>
      </w:numPr>
      <w:contextualSpacing/>
    </w:pPr>
  </w:style>
  <w:style w:type="paragraph" w:styleId="ListNumber5">
    <w:name w:val="List Number 5"/>
    <w:basedOn w:val="Normal"/>
    <w:uiPriority w:val="99"/>
    <w:semiHidden/>
    <w:unhideWhenUsed/>
    <w:rsid w:val="0003148D"/>
    <w:pPr>
      <w:numPr>
        <w:numId w:val="6"/>
      </w:numPr>
      <w:contextualSpacing/>
    </w:pPr>
  </w:style>
  <w:style w:type="paragraph" w:styleId="HTMLPreformatted">
    <w:name w:val="HTML Preformatted"/>
    <w:basedOn w:val="Normal"/>
    <w:link w:val="HTMLPreformattedChar"/>
    <w:uiPriority w:val="99"/>
    <w:semiHidden/>
    <w:unhideWhenUsed/>
    <w:rsid w:val="0003148D"/>
    <w:pPr>
      <w:spacing w:line="240" w:lineRule="auto"/>
    </w:pPr>
    <w:rPr>
      <w:rFonts w:ascii="Consolas" w:hAnsi="Consolas" w:cs="Consolas"/>
    </w:rPr>
  </w:style>
  <w:style w:type="character" w:customStyle="1" w:styleId="HTMLPreformattedChar">
    <w:name w:val="HTML Preformatted Char"/>
    <w:basedOn w:val="DefaultParagraphFont"/>
    <w:link w:val="HTMLPreformatted"/>
    <w:uiPriority w:val="99"/>
    <w:semiHidden/>
    <w:rsid w:val="0003148D"/>
    <w:rPr>
      <w:rFonts w:ascii="Consolas" w:hAnsi="Consolas" w:cs="Consolas"/>
      <w:sz w:val="20"/>
      <w:szCs w:val="20"/>
    </w:rPr>
  </w:style>
  <w:style w:type="paragraph" w:styleId="BodyTextFirstIndent">
    <w:name w:val="Body Text First Indent"/>
    <w:basedOn w:val="BodyText"/>
    <w:link w:val="BodyTextFirstIndentChar"/>
    <w:uiPriority w:val="99"/>
    <w:semiHidden/>
    <w:unhideWhenUsed/>
    <w:rsid w:val="0003148D"/>
    <w:pPr>
      <w:spacing w:after="200"/>
      <w:ind w:firstLine="360"/>
    </w:pPr>
  </w:style>
  <w:style w:type="character" w:customStyle="1" w:styleId="BodyTextFirstIndentChar">
    <w:name w:val="Body Text First Indent Char"/>
    <w:basedOn w:val="BodyTextChar"/>
    <w:link w:val="BodyTextFirstIndent"/>
    <w:uiPriority w:val="99"/>
    <w:semiHidden/>
    <w:rsid w:val="0003148D"/>
  </w:style>
  <w:style w:type="paragraph" w:styleId="BodyTextIndent">
    <w:name w:val="Body Text Indent"/>
    <w:basedOn w:val="Normal"/>
    <w:link w:val="BodyTextIndentChar"/>
    <w:uiPriority w:val="99"/>
    <w:semiHidden/>
    <w:unhideWhenUsed/>
    <w:rsid w:val="0003148D"/>
    <w:pPr>
      <w:spacing w:after="120"/>
      <w:ind w:left="283"/>
    </w:pPr>
  </w:style>
  <w:style w:type="character" w:customStyle="1" w:styleId="BodyTextIndentChar">
    <w:name w:val="Body Text Indent Char"/>
    <w:basedOn w:val="DefaultParagraphFont"/>
    <w:link w:val="BodyTextIndent"/>
    <w:uiPriority w:val="99"/>
    <w:semiHidden/>
    <w:rsid w:val="0003148D"/>
  </w:style>
  <w:style w:type="paragraph" w:styleId="BodyTextFirstIndent2">
    <w:name w:val="Body Text First Indent 2"/>
    <w:basedOn w:val="BodyTextIndent"/>
    <w:link w:val="BodyTextFirstIndent2Char"/>
    <w:uiPriority w:val="99"/>
    <w:semiHidden/>
    <w:unhideWhenUsed/>
    <w:rsid w:val="0003148D"/>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03148D"/>
  </w:style>
  <w:style w:type="paragraph" w:styleId="ListBullet">
    <w:name w:val="List Bullet"/>
    <w:basedOn w:val="Normal"/>
    <w:uiPriority w:val="99"/>
    <w:semiHidden/>
    <w:unhideWhenUsed/>
    <w:rsid w:val="0003148D"/>
    <w:pPr>
      <w:numPr>
        <w:numId w:val="7"/>
      </w:numPr>
      <w:contextualSpacing/>
    </w:pPr>
  </w:style>
  <w:style w:type="paragraph" w:styleId="ListBullet2">
    <w:name w:val="List Bullet 2"/>
    <w:basedOn w:val="Normal"/>
    <w:uiPriority w:val="99"/>
    <w:semiHidden/>
    <w:unhideWhenUsed/>
    <w:rsid w:val="0003148D"/>
    <w:pPr>
      <w:numPr>
        <w:numId w:val="8"/>
      </w:numPr>
      <w:contextualSpacing/>
    </w:pPr>
  </w:style>
  <w:style w:type="paragraph" w:styleId="ListBullet3">
    <w:name w:val="List Bullet 3"/>
    <w:basedOn w:val="Normal"/>
    <w:uiPriority w:val="99"/>
    <w:semiHidden/>
    <w:unhideWhenUsed/>
    <w:rsid w:val="0003148D"/>
    <w:pPr>
      <w:numPr>
        <w:numId w:val="9"/>
      </w:numPr>
      <w:contextualSpacing/>
    </w:pPr>
  </w:style>
  <w:style w:type="paragraph" w:styleId="ListBullet4">
    <w:name w:val="List Bullet 4"/>
    <w:basedOn w:val="Normal"/>
    <w:uiPriority w:val="99"/>
    <w:semiHidden/>
    <w:unhideWhenUsed/>
    <w:rsid w:val="0003148D"/>
    <w:pPr>
      <w:numPr>
        <w:numId w:val="10"/>
      </w:numPr>
      <w:contextualSpacing/>
    </w:pPr>
  </w:style>
  <w:style w:type="paragraph" w:styleId="ListBullet5">
    <w:name w:val="List Bullet 5"/>
    <w:basedOn w:val="Normal"/>
    <w:uiPriority w:val="99"/>
    <w:semiHidden/>
    <w:unhideWhenUsed/>
    <w:rsid w:val="0003148D"/>
    <w:pPr>
      <w:numPr>
        <w:numId w:val="11"/>
      </w:numPr>
      <w:contextualSpacing/>
    </w:pPr>
  </w:style>
  <w:style w:type="paragraph" w:styleId="BodyTextIndent2">
    <w:name w:val="Body Text Indent 2"/>
    <w:basedOn w:val="Normal"/>
    <w:link w:val="BodyTextIndent2Char"/>
    <w:uiPriority w:val="99"/>
    <w:semiHidden/>
    <w:unhideWhenUsed/>
    <w:rsid w:val="0003148D"/>
    <w:pPr>
      <w:spacing w:after="120" w:line="480" w:lineRule="auto"/>
      <w:ind w:left="283"/>
    </w:pPr>
  </w:style>
  <w:style w:type="character" w:customStyle="1" w:styleId="BodyTextIndent2Char">
    <w:name w:val="Body Text Indent 2 Char"/>
    <w:basedOn w:val="DefaultParagraphFont"/>
    <w:link w:val="BodyTextIndent2"/>
    <w:uiPriority w:val="99"/>
    <w:semiHidden/>
    <w:rsid w:val="0003148D"/>
  </w:style>
  <w:style w:type="paragraph" w:styleId="BodyTextIndent3">
    <w:name w:val="Body Text Indent 3"/>
    <w:basedOn w:val="Normal"/>
    <w:link w:val="BodyTextIndent3Char"/>
    <w:uiPriority w:val="99"/>
    <w:semiHidden/>
    <w:unhideWhenUsed/>
    <w:rsid w:val="0003148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03148D"/>
    <w:rPr>
      <w:sz w:val="16"/>
      <w:szCs w:val="16"/>
    </w:rPr>
  </w:style>
  <w:style w:type="paragraph" w:styleId="NormalIndent">
    <w:name w:val="Normal Indent"/>
    <w:basedOn w:val="Normal"/>
    <w:uiPriority w:val="99"/>
    <w:semiHidden/>
    <w:unhideWhenUsed/>
    <w:rsid w:val="0003148D"/>
    <w:pPr>
      <w:ind w:left="720"/>
    </w:pPr>
  </w:style>
  <w:style w:type="paragraph" w:styleId="CommentText">
    <w:name w:val="annotation text"/>
    <w:basedOn w:val="Normal"/>
    <w:link w:val="CommentTextChar"/>
    <w:uiPriority w:val="99"/>
    <w:unhideWhenUsed/>
    <w:rsid w:val="0003148D"/>
    <w:pPr>
      <w:spacing w:line="240" w:lineRule="auto"/>
    </w:pPr>
  </w:style>
  <w:style w:type="character" w:customStyle="1" w:styleId="CommentTextChar">
    <w:name w:val="Comment Text Char"/>
    <w:basedOn w:val="DefaultParagraphFont"/>
    <w:link w:val="CommentText"/>
    <w:uiPriority w:val="99"/>
    <w:rsid w:val="0003148D"/>
    <w:rPr>
      <w:sz w:val="20"/>
      <w:szCs w:val="20"/>
    </w:rPr>
  </w:style>
  <w:style w:type="paragraph" w:styleId="CommentSubject">
    <w:name w:val="annotation subject"/>
    <w:basedOn w:val="CommentText"/>
    <w:next w:val="CommentText"/>
    <w:link w:val="CommentSubjectChar"/>
    <w:uiPriority w:val="99"/>
    <w:semiHidden/>
    <w:unhideWhenUsed/>
    <w:rsid w:val="0003148D"/>
    <w:rPr>
      <w:b/>
      <w:bCs/>
    </w:rPr>
  </w:style>
  <w:style w:type="character" w:customStyle="1" w:styleId="CommentSubjectChar">
    <w:name w:val="Comment Subject Char"/>
    <w:basedOn w:val="CommentTextChar"/>
    <w:link w:val="CommentSubject"/>
    <w:uiPriority w:val="99"/>
    <w:semiHidden/>
    <w:rsid w:val="0003148D"/>
    <w:rPr>
      <w:b/>
      <w:bCs/>
      <w:sz w:val="20"/>
      <w:szCs w:val="20"/>
    </w:rPr>
  </w:style>
  <w:style w:type="paragraph" w:styleId="TOC1">
    <w:name w:val="toc 1"/>
    <w:basedOn w:val="Normal"/>
    <w:next w:val="Normal"/>
    <w:autoRedefine/>
    <w:uiPriority w:val="39"/>
    <w:semiHidden/>
    <w:unhideWhenUsed/>
    <w:rsid w:val="0003148D"/>
    <w:pPr>
      <w:spacing w:after="100"/>
    </w:pPr>
  </w:style>
  <w:style w:type="paragraph" w:styleId="TOC2">
    <w:name w:val="toc 2"/>
    <w:basedOn w:val="Normal"/>
    <w:next w:val="Normal"/>
    <w:autoRedefine/>
    <w:uiPriority w:val="39"/>
    <w:semiHidden/>
    <w:unhideWhenUsed/>
    <w:rsid w:val="0003148D"/>
    <w:pPr>
      <w:spacing w:after="100"/>
      <w:ind w:left="220"/>
    </w:pPr>
  </w:style>
  <w:style w:type="paragraph" w:styleId="TOC3">
    <w:name w:val="toc 3"/>
    <w:basedOn w:val="Normal"/>
    <w:next w:val="Normal"/>
    <w:autoRedefine/>
    <w:uiPriority w:val="39"/>
    <w:semiHidden/>
    <w:unhideWhenUsed/>
    <w:rsid w:val="0003148D"/>
    <w:pPr>
      <w:spacing w:after="100"/>
      <w:ind w:left="440"/>
    </w:pPr>
  </w:style>
  <w:style w:type="paragraph" w:styleId="TOC4">
    <w:name w:val="toc 4"/>
    <w:basedOn w:val="Normal"/>
    <w:next w:val="Normal"/>
    <w:autoRedefine/>
    <w:uiPriority w:val="39"/>
    <w:semiHidden/>
    <w:unhideWhenUsed/>
    <w:rsid w:val="0003148D"/>
    <w:pPr>
      <w:spacing w:after="100"/>
      <w:ind w:left="660"/>
    </w:pPr>
  </w:style>
  <w:style w:type="paragraph" w:styleId="TOC5">
    <w:name w:val="toc 5"/>
    <w:basedOn w:val="Normal"/>
    <w:next w:val="Normal"/>
    <w:autoRedefine/>
    <w:uiPriority w:val="39"/>
    <w:semiHidden/>
    <w:unhideWhenUsed/>
    <w:rsid w:val="0003148D"/>
    <w:pPr>
      <w:spacing w:after="100"/>
      <w:ind w:left="880"/>
    </w:pPr>
  </w:style>
  <w:style w:type="paragraph" w:styleId="TOC6">
    <w:name w:val="toc 6"/>
    <w:basedOn w:val="Normal"/>
    <w:next w:val="Normal"/>
    <w:autoRedefine/>
    <w:uiPriority w:val="39"/>
    <w:semiHidden/>
    <w:unhideWhenUsed/>
    <w:rsid w:val="0003148D"/>
    <w:pPr>
      <w:spacing w:after="100"/>
      <w:ind w:left="1100"/>
    </w:pPr>
  </w:style>
  <w:style w:type="paragraph" w:styleId="TOC7">
    <w:name w:val="toc 7"/>
    <w:basedOn w:val="Normal"/>
    <w:next w:val="Normal"/>
    <w:autoRedefine/>
    <w:uiPriority w:val="39"/>
    <w:semiHidden/>
    <w:unhideWhenUsed/>
    <w:rsid w:val="0003148D"/>
    <w:pPr>
      <w:spacing w:after="100"/>
      <w:ind w:left="1320"/>
    </w:pPr>
  </w:style>
  <w:style w:type="paragraph" w:styleId="TOC8">
    <w:name w:val="toc 8"/>
    <w:basedOn w:val="Normal"/>
    <w:next w:val="Normal"/>
    <w:autoRedefine/>
    <w:uiPriority w:val="39"/>
    <w:semiHidden/>
    <w:unhideWhenUsed/>
    <w:rsid w:val="0003148D"/>
    <w:pPr>
      <w:spacing w:after="100"/>
      <w:ind w:left="1540"/>
    </w:pPr>
  </w:style>
  <w:style w:type="paragraph" w:styleId="TOC9">
    <w:name w:val="toc 9"/>
    <w:basedOn w:val="Normal"/>
    <w:next w:val="Normal"/>
    <w:autoRedefine/>
    <w:uiPriority w:val="39"/>
    <w:semiHidden/>
    <w:unhideWhenUsed/>
    <w:rsid w:val="0003148D"/>
    <w:pPr>
      <w:spacing w:after="100"/>
      <w:ind w:left="1760"/>
    </w:pPr>
  </w:style>
  <w:style w:type="paragraph" w:styleId="BlockText">
    <w:name w:val="Block Text"/>
    <w:basedOn w:val="Normal"/>
    <w:uiPriority w:val="99"/>
    <w:semiHidden/>
    <w:unhideWhenUsed/>
    <w:rsid w:val="0003148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MacroText">
    <w:name w:val="macro"/>
    <w:link w:val="MacroTextChar"/>
    <w:uiPriority w:val="99"/>
    <w:semiHidden/>
    <w:unhideWhenUsed/>
    <w:rsid w:val="0003148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Text"/>
    <w:uiPriority w:val="99"/>
    <w:semiHidden/>
    <w:rsid w:val="0003148D"/>
    <w:rPr>
      <w:rFonts w:ascii="Consolas" w:hAnsi="Consolas" w:cs="Consolas"/>
      <w:sz w:val="20"/>
      <w:szCs w:val="20"/>
    </w:rPr>
  </w:style>
  <w:style w:type="paragraph" w:styleId="PlainText">
    <w:name w:val="Plain Text"/>
    <w:basedOn w:val="Normal"/>
    <w:link w:val="PlainTextChar"/>
    <w:uiPriority w:val="99"/>
    <w:semiHidden/>
    <w:unhideWhenUsed/>
    <w:rsid w:val="0003148D"/>
    <w:pPr>
      <w:spacing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03148D"/>
    <w:rPr>
      <w:rFonts w:ascii="Consolas" w:hAnsi="Consolas" w:cs="Consolas"/>
      <w:sz w:val="21"/>
      <w:szCs w:val="21"/>
    </w:rPr>
  </w:style>
  <w:style w:type="paragraph" w:styleId="FootnoteText">
    <w:name w:val="footnote text"/>
    <w:basedOn w:val="Normal"/>
    <w:link w:val="FootnoteTextChar"/>
    <w:uiPriority w:val="99"/>
    <w:semiHidden/>
    <w:unhideWhenUsed/>
    <w:rsid w:val="0003148D"/>
    <w:pPr>
      <w:spacing w:line="240" w:lineRule="auto"/>
    </w:pPr>
  </w:style>
  <w:style w:type="character" w:customStyle="1" w:styleId="FootnoteTextChar">
    <w:name w:val="Footnote Text Char"/>
    <w:basedOn w:val="DefaultParagraphFont"/>
    <w:link w:val="FootnoteText"/>
    <w:uiPriority w:val="99"/>
    <w:semiHidden/>
    <w:rsid w:val="0003148D"/>
    <w:rPr>
      <w:sz w:val="20"/>
      <w:szCs w:val="20"/>
    </w:rPr>
  </w:style>
  <w:style w:type="paragraph" w:styleId="EndnoteText">
    <w:name w:val="endnote text"/>
    <w:basedOn w:val="Normal"/>
    <w:link w:val="EndnoteTextChar"/>
    <w:uiPriority w:val="99"/>
    <w:semiHidden/>
    <w:unhideWhenUsed/>
    <w:rsid w:val="0003148D"/>
    <w:pPr>
      <w:spacing w:line="240" w:lineRule="auto"/>
    </w:pPr>
  </w:style>
  <w:style w:type="character" w:customStyle="1" w:styleId="EndnoteTextChar">
    <w:name w:val="Endnote Text Char"/>
    <w:basedOn w:val="DefaultParagraphFont"/>
    <w:link w:val="EndnoteText"/>
    <w:uiPriority w:val="99"/>
    <w:semiHidden/>
    <w:rsid w:val="0003148D"/>
    <w:rPr>
      <w:sz w:val="20"/>
      <w:szCs w:val="20"/>
    </w:rPr>
  </w:style>
  <w:style w:type="character" w:customStyle="1" w:styleId="Heading1Char">
    <w:name w:val="Heading 1 Char"/>
    <w:basedOn w:val="DefaultParagraphFont"/>
    <w:link w:val="Heading1"/>
    <w:uiPriority w:val="9"/>
    <w:rsid w:val="004F5E36"/>
    <w:rPr>
      <w:rFonts w:ascii="Arial" w:eastAsia="Times New Roman" w:hAnsi="Arial" w:cs="Times New Roman"/>
      <w:b/>
      <w:sz w:val="20"/>
      <w:szCs w:val="20"/>
      <w:lang w:val="en-GB"/>
    </w:rPr>
  </w:style>
  <w:style w:type="character" w:customStyle="1" w:styleId="Heading2Char">
    <w:name w:val="Heading 2 Char"/>
    <w:basedOn w:val="DefaultParagraphFont"/>
    <w:link w:val="Heading2"/>
    <w:uiPriority w:val="9"/>
    <w:semiHidden/>
    <w:rsid w:val="0003148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03148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03148D"/>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03148D"/>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03148D"/>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03148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3148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03148D"/>
    <w:rPr>
      <w:rFonts w:asciiTheme="majorHAnsi" w:eastAsiaTheme="majorEastAsia" w:hAnsiTheme="majorHAnsi" w:cstheme="majorBidi"/>
      <w:i/>
      <w:iCs/>
      <w:color w:val="404040" w:themeColor="text1" w:themeTint="BF"/>
      <w:sz w:val="20"/>
      <w:szCs w:val="20"/>
    </w:rPr>
  </w:style>
  <w:style w:type="paragraph" w:styleId="IndexHeading">
    <w:name w:val="index heading"/>
    <w:basedOn w:val="Normal"/>
    <w:next w:val="Index1"/>
    <w:uiPriority w:val="99"/>
    <w:semiHidden/>
    <w:unhideWhenUsed/>
    <w:rsid w:val="0003148D"/>
    <w:rPr>
      <w:rFonts w:asciiTheme="majorHAnsi" w:eastAsiaTheme="majorEastAsia" w:hAnsiTheme="majorHAnsi" w:cstheme="majorBidi"/>
      <w:b/>
      <w:bCs/>
    </w:rPr>
  </w:style>
  <w:style w:type="paragraph" w:styleId="TOAHeading">
    <w:name w:val="toa heading"/>
    <w:basedOn w:val="Normal"/>
    <w:next w:val="Normal"/>
    <w:uiPriority w:val="99"/>
    <w:semiHidden/>
    <w:unhideWhenUsed/>
    <w:rsid w:val="0003148D"/>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03148D"/>
    <w:pPr>
      <w:outlineLvl w:val="9"/>
    </w:pPr>
  </w:style>
  <w:style w:type="paragraph" w:customStyle="1" w:styleId="CETemail">
    <w:name w:val="CET email"/>
    <w:next w:val="CETBodytext"/>
    <w:rsid w:val="009E788A"/>
    <w:pPr>
      <w:spacing w:after="240"/>
    </w:pPr>
    <w:rPr>
      <w:rFonts w:ascii="Arial" w:eastAsia="Times New Roman" w:hAnsi="Arial" w:cs="Times New Roman"/>
      <w:noProof/>
      <w:sz w:val="16"/>
      <w:szCs w:val="20"/>
      <w:lang w:val="en-GB"/>
    </w:rPr>
  </w:style>
  <w:style w:type="character" w:customStyle="1" w:styleId="CETAddressCarattere">
    <w:name w:val="CET Address Carattere"/>
    <w:basedOn w:val="DefaultParagraphFont"/>
    <w:link w:val="CETAddress"/>
    <w:rsid w:val="009E788A"/>
    <w:rPr>
      <w:rFonts w:ascii="Arial" w:eastAsia="Times New Roman" w:hAnsi="Arial" w:cs="Times New Roman"/>
      <w:noProof/>
      <w:sz w:val="16"/>
      <w:szCs w:val="20"/>
      <w:lang w:val="en-GB"/>
    </w:rPr>
  </w:style>
  <w:style w:type="paragraph" w:customStyle="1" w:styleId="CETBodytextBold">
    <w:name w:val="CET Body text (Bold)"/>
    <w:basedOn w:val="CETBodytext"/>
    <w:rsid w:val="00901EB6"/>
    <w:rPr>
      <w:b/>
    </w:rPr>
  </w:style>
  <w:style w:type="paragraph" w:customStyle="1" w:styleId="CETnumberingbullets">
    <w:name w:val="CET numbering (bullets)"/>
    <w:rsid w:val="008D433B"/>
    <w:pPr>
      <w:numPr>
        <w:numId w:val="13"/>
      </w:numPr>
      <w:spacing w:after="0" w:line="264" w:lineRule="auto"/>
    </w:pPr>
    <w:rPr>
      <w:rFonts w:ascii="Arial" w:eastAsia="Times New Roman" w:hAnsi="Arial" w:cs="Times New Roman"/>
      <w:sz w:val="18"/>
      <w:szCs w:val="20"/>
      <w:lang w:val="en-GB"/>
    </w:rPr>
  </w:style>
  <w:style w:type="paragraph" w:customStyle="1" w:styleId="CETnumbering1">
    <w:name w:val="CET numbering (1"/>
    <w:aliases w:val="2..)"/>
    <w:rsid w:val="00B57B36"/>
    <w:pPr>
      <w:numPr>
        <w:numId w:val="14"/>
      </w:numPr>
      <w:spacing w:after="0" w:line="264" w:lineRule="auto"/>
      <w:ind w:left="340" w:hanging="227"/>
    </w:pPr>
    <w:rPr>
      <w:rFonts w:ascii="Arial" w:eastAsia="Times New Roman" w:hAnsi="Arial" w:cs="Times New Roman"/>
      <w:sz w:val="18"/>
      <w:szCs w:val="20"/>
      <w:lang w:val="en-US"/>
    </w:rPr>
  </w:style>
  <w:style w:type="paragraph" w:customStyle="1" w:styleId="CETnumberinga">
    <w:name w:val="CET numbering (a"/>
    <w:aliases w:val="b,..)"/>
    <w:rsid w:val="00B57B36"/>
    <w:pPr>
      <w:numPr>
        <w:numId w:val="15"/>
      </w:numPr>
      <w:spacing w:after="0" w:line="264" w:lineRule="auto"/>
    </w:pPr>
    <w:rPr>
      <w:rFonts w:ascii="Arial" w:eastAsia="Times New Roman" w:hAnsi="Arial" w:cs="Times New Roman"/>
      <w:sz w:val="18"/>
      <w:szCs w:val="20"/>
      <w:lang w:val="en-GB"/>
    </w:rPr>
  </w:style>
  <w:style w:type="paragraph" w:styleId="Header">
    <w:name w:val="header"/>
    <w:basedOn w:val="Normal"/>
    <w:link w:val="HeaderChar"/>
    <w:uiPriority w:val="99"/>
    <w:unhideWhenUsed/>
    <w:rsid w:val="005278B7"/>
    <w:pPr>
      <w:tabs>
        <w:tab w:val="clear" w:pos="7100"/>
        <w:tab w:val="center" w:pos="4819"/>
        <w:tab w:val="right" w:pos="9638"/>
      </w:tabs>
      <w:spacing w:line="240" w:lineRule="auto"/>
    </w:pPr>
  </w:style>
  <w:style w:type="character" w:customStyle="1" w:styleId="HeaderChar">
    <w:name w:val="Header Char"/>
    <w:basedOn w:val="DefaultParagraphFont"/>
    <w:link w:val="Header"/>
    <w:uiPriority w:val="99"/>
    <w:rsid w:val="005278B7"/>
    <w:rPr>
      <w:rFonts w:ascii="Arial" w:eastAsia="Times New Roman" w:hAnsi="Arial" w:cs="Times New Roman"/>
      <w:sz w:val="18"/>
      <w:szCs w:val="20"/>
      <w:lang w:val="en-GB"/>
    </w:rPr>
  </w:style>
  <w:style w:type="paragraph" w:styleId="Footer">
    <w:name w:val="footer"/>
    <w:basedOn w:val="Normal"/>
    <w:link w:val="FooterChar"/>
    <w:uiPriority w:val="99"/>
    <w:unhideWhenUsed/>
    <w:rsid w:val="005278B7"/>
    <w:pPr>
      <w:tabs>
        <w:tab w:val="clear" w:pos="7100"/>
        <w:tab w:val="center" w:pos="4819"/>
        <w:tab w:val="right" w:pos="9638"/>
      </w:tabs>
      <w:spacing w:line="240" w:lineRule="auto"/>
    </w:pPr>
  </w:style>
  <w:style w:type="character" w:customStyle="1" w:styleId="FooterChar">
    <w:name w:val="Footer Char"/>
    <w:basedOn w:val="DefaultParagraphFont"/>
    <w:link w:val="Footer"/>
    <w:uiPriority w:val="99"/>
    <w:rsid w:val="005278B7"/>
    <w:rPr>
      <w:rFonts w:ascii="Arial" w:eastAsia="Times New Roman" w:hAnsi="Arial" w:cs="Times New Roman"/>
      <w:sz w:val="18"/>
      <w:szCs w:val="20"/>
      <w:lang w:val="en-GB"/>
    </w:rPr>
  </w:style>
  <w:style w:type="table" w:styleId="TableGrid">
    <w:name w:val="Table Grid"/>
    <w:basedOn w:val="TableNormal"/>
    <w:uiPriority w:val="59"/>
    <w:rsid w:val="00660E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04C62"/>
    <w:rPr>
      <w:color w:val="0000FF" w:themeColor="hyperlink"/>
      <w:u w:val="single"/>
    </w:rPr>
  </w:style>
  <w:style w:type="character" w:customStyle="1" w:styleId="eudoraheader">
    <w:name w:val="eudoraheader"/>
    <w:basedOn w:val="DefaultParagraphFont"/>
    <w:rsid w:val="00904C62"/>
  </w:style>
  <w:style w:type="paragraph" w:customStyle="1" w:styleId="CETListbullets">
    <w:name w:val="CET List bullets"/>
    <w:qFormat/>
    <w:rsid w:val="004577FE"/>
    <w:pPr>
      <w:spacing w:after="0" w:line="264" w:lineRule="auto"/>
      <w:ind w:left="340" w:hanging="227"/>
      <w:jc w:val="both"/>
    </w:pPr>
    <w:rPr>
      <w:rFonts w:ascii="Arial" w:eastAsia="Times New Roman" w:hAnsi="Arial" w:cs="Times New Roman"/>
      <w:sz w:val="18"/>
      <w:szCs w:val="20"/>
      <w:lang w:val="en-GB"/>
    </w:rPr>
  </w:style>
  <w:style w:type="paragraph" w:customStyle="1" w:styleId="CETReferencetext">
    <w:name w:val="CET Reference text"/>
    <w:qFormat/>
    <w:rsid w:val="00600535"/>
    <w:pPr>
      <w:spacing w:after="0" w:line="264" w:lineRule="auto"/>
      <w:ind w:left="284" w:hanging="284"/>
      <w:jc w:val="both"/>
    </w:pPr>
    <w:rPr>
      <w:rFonts w:ascii="Arial" w:eastAsia="Times New Roman" w:hAnsi="Arial" w:cs="Times New Roman"/>
      <w:sz w:val="18"/>
      <w:szCs w:val="20"/>
      <w:lang w:val="en-GB"/>
    </w:rPr>
  </w:style>
  <w:style w:type="paragraph" w:customStyle="1" w:styleId="CETTabletitle">
    <w:name w:val="CET Table title"/>
    <w:qFormat/>
    <w:rsid w:val="00600535"/>
    <w:pPr>
      <w:keepNext/>
      <w:spacing w:before="240" w:after="80" w:line="240" w:lineRule="exact"/>
    </w:pPr>
    <w:rPr>
      <w:rFonts w:ascii="Arial" w:eastAsia="Times New Roman" w:hAnsi="Arial" w:cs="Times New Roman"/>
      <w:i/>
      <w:sz w:val="18"/>
      <w:szCs w:val="20"/>
      <w:lang w:val="en-GB"/>
    </w:rPr>
  </w:style>
  <w:style w:type="paragraph" w:customStyle="1" w:styleId="CETAcknowledgementstitle">
    <w:name w:val="CET Acknowledgements title"/>
    <w:next w:val="CETBodytext"/>
    <w:qFormat/>
    <w:rsid w:val="00600535"/>
    <w:pPr>
      <w:spacing w:before="200" w:after="120"/>
    </w:pPr>
    <w:rPr>
      <w:rFonts w:ascii="Arial" w:eastAsia="Times New Roman" w:hAnsi="Arial" w:cs="Times New Roman"/>
      <w:b/>
      <w:sz w:val="18"/>
      <w:szCs w:val="20"/>
      <w:lang w:val="en-GB"/>
    </w:rPr>
  </w:style>
  <w:style w:type="paragraph" w:customStyle="1" w:styleId="CETEquation">
    <w:name w:val="CET Equation"/>
    <w:basedOn w:val="CETBodytext"/>
    <w:next w:val="CETBodytext"/>
    <w:qFormat/>
    <w:rsid w:val="00600535"/>
    <w:pPr>
      <w:spacing w:before="120" w:after="120"/>
      <w:jc w:val="left"/>
    </w:pPr>
    <w:rPr>
      <w:lang w:val="en-GB"/>
    </w:rPr>
  </w:style>
  <w:style w:type="paragraph" w:customStyle="1" w:styleId="CETHeadingxx">
    <w:name w:val="CET Headingxx"/>
    <w:basedOn w:val="CETheadingx"/>
    <w:link w:val="CETHeadingxxChar"/>
    <w:qFormat/>
    <w:rsid w:val="000F787B"/>
    <w:pPr>
      <w:numPr>
        <w:ilvl w:val="0"/>
        <w:numId w:val="0"/>
      </w:numPr>
    </w:pPr>
  </w:style>
  <w:style w:type="character" w:customStyle="1" w:styleId="CETHeadingxxChar">
    <w:name w:val="CET Headingxx Char"/>
    <w:basedOn w:val="CETheadingxCarattere"/>
    <w:link w:val="CETHeadingxx"/>
    <w:rsid w:val="000F787B"/>
    <w:rPr>
      <w:rFonts w:ascii="Arial" w:eastAsia="Times New Roman" w:hAnsi="Arial" w:cs="Times New Roman"/>
      <w:b/>
      <w:sz w:val="18"/>
      <w:szCs w:val="20"/>
      <w:lang w:val="en-US"/>
    </w:rPr>
  </w:style>
  <w:style w:type="paragraph" w:styleId="ListParagraph">
    <w:name w:val="List Paragraph"/>
    <w:basedOn w:val="Normal"/>
    <w:uiPriority w:val="34"/>
    <w:rsid w:val="00280FAF"/>
    <w:pPr>
      <w:ind w:left="720"/>
      <w:contextualSpacing/>
    </w:pPr>
  </w:style>
  <w:style w:type="character" w:customStyle="1" w:styleId="gmail-apple-converted-space">
    <w:name w:val="gmail-apple-converted-space"/>
    <w:basedOn w:val="DefaultParagraphFont"/>
    <w:rsid w:val="00005A19"/>
  </w:style>
  <w:style w:type="character" w:styleId="UnresolvedMention">
    <w:name w:val="Unresolved Mention"/>
    <w:basedOn w:val="DefaultParagraphFont"/>
    <w:uiPriority w:val="99"/>
    <w:semiHidden/>
    <w:unhideWhenUsed/>
    <w:rsid w:val="00DF1F8B"/>
    <w:rPr>
      <w:color w:val="605E5C"/>
      <w:shd w:val="clear" w:color="auto" w:fill="E1DFDD"/>
    </w:rPr>
  </w:style>
  <w:style w:type="paragraph" w:styleId="Revision">
    <w:name w:val="Revision"/>
    <w:hidden/>
    <w:uiPriority w:val="99"/>
    <w:semiHidden/>
    <w:rsid w:val="008748E1"/>
    <w:pPr>
      <w:spacing w:after="0" w:line="240" w:lineRule="auto"/>
    </w:pPr>
    <w:rPr>
      <w:rFonts w:ascii="Arial" w:eastAsia="Times New Roman" w:hAnsi="Arial" w:cs="Times New Roman"/>
      <w:sz w:val="18"/>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072687">
      <w:bodyDiv w:val="1"/>
      <w:marLeft w:val="0"/>
      <w:marRight w:val="0"/>
      <w:marTop w:val="0"/>
      <w:marBottom w:val="0"/>
      <w:divBdr>
        <w:top w:val="none" w:sz="0" w:space="0" w:color="auto"/>
        <w:left w:val="none" w:sz="0" w:space="0" w:color="auto"/>
        <w:bottom w:val="none" w:sz="0" w:space="0" w:color="auto"/>
        <w:right w:val="none" w:sz="0" w:space="0" w:color="auto"/>
      </w:divBdr>
    </w:div>
    <w:div w:id="322395063">
      <w:bodyDiv w:val="1"/>
      <w:marLeft w:val="0"/>
      <w:marRight w:val="0"/>
      <w:marTop w:val="0"/>
      <w:marBottom w:val="0"/>
      <w:divBdr>
        <w:top w:val="none" w:sz="0" w:space="0" w:color="auto"/>
        <w:left w:val="none" w:sz="0" w:space="0" w:color="auto"/>
        <w:bottom w:val="none" w:sz="0" w:space="0" w:color="auto"/>
        <w:right w:val="none" w:sz="0" w:space="0" w:color="auto"/>
      </w:divBdr>
    </w:div>
    <w:div w:id="344794605">
      <w:bodyDiv w:val="1"/>
      <w:marLeft w:val="0"/>
      <w:marRight w:val="0"/>
      <w:marTop w:val="0"/>
      <w:marBottom w:val="0"/>
      <w:divBdr>
        <w:top w:val="none" w:sz="0" w:space="0" w:color="auto"/>
        <w:left w:val="none" w:sz="0" w:space="0" w:color="auto"/>
        <w:bottom w:val="none" w:sz="0" w:space="0" w:color="auto"/>
        <w:right w:val="none" w:sz="0" w:space="0" w:color="auto"/>
      </w:divBdr>
    </w:div>
    <w:div w:id="385688661">
      <w:bodyDiv w:val="1"/>
      <w:marLeft w:val="0"/>
      <w:marRight w:val="0"/>
      <w:marTop w:val="0"/>
      <w:marBottom w:val="0"/>
      <w:divBdr>
        <w:top w:val="none" w:sz="0" w:space="0" w:color="auto"/>
        <w:left w:val="none" w:sz="0" w:space="0" w:color="auto"/>
        <w:bottom w:val="none" w:sz="0" w:space="0" w:color="auto"/>
        <w:right w:val="none" w:sz="0" w:space="0" w:color="auto"/>
      </w:divBdr>
    </w:div>
    <w:div w:id="489173801">
      <w:bodyDiv w:val="1"/>
      <w:marLeft w:val="0"/>
      <w:marRight w:val="0"/>
      <w:marTop w:val="0"/>
      <w:marBottom w:val="0"/>
      <w:divBdr>
        <w:top w:val="none" w:sz="0" w:space="0" w:color="auto"/>
        <w:left w:val="none" w:sz="0" w:space="0" w:color="auto"/>
        <w:bottom w:val="none" w:sz="0" w:space="0" w:color="auto"/>
        <w:right w:val="none" w:sz="0" w:space="0" w:color="auto"/>
      </w:divBdr>
    </w:div>
    <w:div w:id="614022138">
      <w:bodyDiv w:val="1"/>
      <w:marLeft w:val="0"/>
      <w:marRight w:val="0"/>
      <w:marTop w:val="0"/>
      <w:marBottom w:val="0"/>
      <w:divBdr>
        <w:top w:val="none" w:sz="0" w:space="0" w:color="auto"/>
        <w:left w:val="none" w:sz="0" w:space="0" w:color="auto"/>
        <w:bottom w:val="none" w:sz="0" w:space="0" w:color="auto"/>
        <w:right w:val="none" w:sz="0" w:space="0" w:color="auto"/>
      </w:divBdr>
    </w:div>
    <w:div w:id="780609195">
      <w:bodyDiv w:val="1"/>
      <w:marLeft w:val="0"/>
      <w:marRight w:val="0"/>
      <w:marTop w:val="0"/>
      <w:marBottom w:val="0"/>
      <w:divBdr>
        <w:top w:val="none" w:sz="0" w:space="0" w:color="auto"/>
        <w:left w:val="none" w:sz="0" w:space="0" w:color="auto"/>
        <w:bottom w:val="none" w:sz="0" w:space="0" w:color="auto"/>
        <w:right w:val="none" w:sz="0" w:space="0" w:color="auto"/>
      </w:divBdr>
      <w:divsChild>
        <w:div w:id="1810825834">
          <w:marLeft w:val="0"/>
          <w:marRight w:val="0"/>
          <w:marTop w:val="0"/>
          <w:marBottom w:val="0"/>
          <w:divBdr>
            <w:top w:val="none" w:sz="0" w:space="0" w:color="auto"/>
            <w:left w:val="none" w:sz="0" w:space="0" w:color="auto"/>
            <w:bottom w:val="none" w:sz="0" w:space="0" w:color="auto"/>
            <w:right w:val="none" w:sz="0" w:space="0" w:color="auto"/>
          </w:divBdr>
          <w:divsChild>
            <w:div w:id="57883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321189">
      <w:bodyDiv w:val="1"/>
      <w:marLeft w:val="0"/>
      <w:marRight w:val="0"/>
      <w:marTop w:val="0"/>
      <w:marBottom w:val="0"/>
      <w:divBdr>
        <w:top w:val="none" w:sz="0" w:space="0" w:color="auto"/>
        <w:left w:val="none" w:sz="0" w:space="0" w:color="auto"/>
        <w:bottom w:val="none" w:sz="0" w:space="0" w:color="auto"/>
        <w:right w:val="none" w:sz="0" w:space="0" w:color="auto"/>
      </w:divBdr>
      <w:divsChild>
        <w:div w:id="19673504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3056226">
      <w:bodyDiv w:val="1"/>
      <w:marLeft w:val="0"/>
      <w:marRight w:val="0"/>
      <w:marTop w:val="0"/>
      <w:marBottom w:val="0"/>
      <w:divBdr>
        <w:top w:val="none" w:sz="0" w:space="0" w:color="auto"/>
        <w:left w:val="none" w:sz="0" w:space="0" w:color="auto"/>
        <w:bottom w:val="none" w:sz="0" w:space="0" w:color="auto"/>
        <w:right w:val="none" w:sz="0" w:space="0" w:color="auto"/>
      </w:divBdr>
      <w:divsChild>
        <w:div w:id="790123951">
          <w:marLeft w:val="0"/>
          <w:marRight w:val="0"/>
          <w:marTop w:val="0"/>
          <w:marBottom w:val="0"/>
          <w:divBdr>
            <w:top w:val="none" w:sz="0" w:space="0" w:color="auto"/>
            <w:left w:val="none" w:sz="0" w:space="0" w:color="auto"/>
            <w:bottom w:val="none" w:sz="0" w:space="0" w:color="auto"/>
            <w:right w:val="none" w:sz="0" w:space="0" w:color="auto"/>
          </w:divBdr>
          <w:divsChild>
            <w:div w:id="182146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508945">
      <w:bodyDiv w:val="1"/>
      <w:marLeft w:val="0"/>
      <w:marRight w:val="0"/>
      <w:marTop w:val="0"/>
      <w:marBottom w:val="0"/>
      <w:divBdr>
        <w:top w:val="none" w:sz="0" w:space="0" w:color="auto"/>
        <w:left w:val="none" w:sz="0" w:space="0" w:color="auto"/>
        <w:bottom w:val="none" w:sz="0" w:space="0" w:color="auto"/>
        <w:right w:val="none" w:sz="0" w:space="0" w:color="auto"/>
      </w:divBdr>
    </w:div>
    <w:div w:id="1293898223">
      <w:bodyDiv w:val="1"/>
      <w:marLeft w:val="0"/>
      <w:marRight w:val="0"/>
      <w:marTop w:val="0"/>
      <w:marBottom w:val="0"/>
      <w:divBdr>
        <w:top w:val="none" w:sz="0" w:space="0" w:color="auto"/>
        <w:left w:val="none" w:sz="0" w:space="0" w:color="auto"/>
        <w:bottom w:val="none" w:sz="0" w:space="0" w:color="auto"/>
        <w:right w:val="none" w:sz="0" w:space="0" w:color="auto"/>
      </w:divBdr>
    </w:div>
    <w:div w:id="1294213922">
      <w:bodyDiv w:val="1"/>
      <w:marLeft w:val="0"/>
      <w:marRight w:val="0"/>
      <w:marTop w:val="0"/>
      <w:marBottom w:val="0"/>
      <w:divBdr>
        <w:top w:val="none" w:sz="0" w:space="0" w:color="auto"/>
        <w:left w:val="none" w:sz="0" w:space="0" w:color="auto"/>
        <w:bottom w:val="none" w:sz="0" w:space="0" w:color="auto"/>
        <w:right w:val="none" w:sz="0" w:space="0" w:color="auto"/>
      </w:divBdr>
      <w:divsChild>
        <w:div w:id="968391050">
          <w:marLeft w:val="0"/>
          <w:marRight w:val="0"/>
          <w:marTop w:val="0"/>
          <w:marBottom w:val="0"/>
          <w:divBdr>
            <w:top w:val="none" w:sz="0" w:space="0" w:color="auto"/>
            <w:left w:val="none" w:sz="0" w:space="0" w:color="auto"/>
            <w:bottom w:val="none" w:sz="0" w:space="0" w:color="auto"/>
            <w:right w:val="none" w:sz="0" w:space="0" w:color="auto"/>
          </w:divBdr>
          <w:divsChild>
            <w:div w:id="443884851">
              <w:marLeft w:val="0"/>
              <w:marRight w:val="0"/>
              <w:marTop w:val="100"/>
              <w:marBottom w:val="100"/>
              <w:divBdr>
                <w:top w:val="none" w:sz="0" w:space="0" w:color="auto"/>
                <w:left w:val="none" w:sz="0" w:space="0" w:color="auto"/>
                <w:bottom w:val="none" w:sz="0" w:space="0" w:color="auto"/>
                <w:right w:val="none" w:sz="0" w:space="0" w:color="auto"/>
              </w:divBdr>
              <w:divsChild>
                <w:div w:id="1585340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585675">
      <w:bodyDiv w:val="1"/>
      <w:marLeft w:val="0"/>
      <w:marRight w:val="0"/>
      <w:marTop w:val="0"/>
      <w:marBottom w:val="0"/>
      <w:divBdr>
        <w:top w:val="none" w:sz="0" w:space="0" w:color="auto"/>
        <w:left w:val="none" w:sz="0" w:space="0" w:color="auto"/>
        <w:bottom w:val="none" w:sz="0" w:space="0" w:color="auto"/>
        <w:right w:val="none" w:sz="0" w:space="0" w:color="auto"/>
      </w:divBdr>
    </w:div>
    <w:div w:id="1429156813">
      <w:bodyDiv w:val="1"/>
      <w:marLeft w:val="0"/>
      <w:marRight w:val="0"/>
      <w:marTop w:val="0"/>
      <w:marBottom w:val="0"/>
      <w:divBdr>
        <w:top w:val="none" w:sz="0" w:space="0" w:color="auto"/>
        <w:left w:val="none" w:sz="0" w:space="0" w:color="auto"/>
        <w:bottom w:val="none" w:sz="0" w:space="0" w:color="auto"/>
        <w:right w:val="none" w:sz="0" w:space="0" w:color="auto"/>
      </w:divBdr>
    </w:div>
    <w:div w:id="1489904563">
      <w:bodyDiv w:val="1"/>
      <w:marLeft w:val="0"/>
      <w:marRight w:val="0"/>
      <w:marTop w:val="0"/>
      <w:marBottom w:val="0"/>
      <w:divBdr>
        <w:top w:val="none" w:sz="0" w:space="0" w:color="auto"/>
        <w:left w:val="none" w:sz="0" w:space="0" w:color="auto"/>
        <w:bottom w:val="none" w:sz="0" w:space="0" w:color="auto"/>
        <w:right w:val="none" w:sz="0" w:space="0" w:color="auto"/>
      </w:divBdr>
    </w:div>
    <w:div w:id="1544977854">
      <w:bodyDiv w:val="1"/>
      <w:marLeft w:val="0"/>
      <w:marRight w:val="0"/>
      <w:marTop w:val="0"/>
      <w:marBottom w:val="0"/>
      <w:divBdr>
        <w:top w:val="none" w:sz="0" w:space="0" w:color="auto"/>
        <w:left w:val="none" w:sz="0" w:space="0" w:color="auto"/>
        <w:bottom w:val="none" w:sz="0" w:space="0" w:color="auto"/>
        <w:right w:val="none" w:sz="0" w:space="0" w:color="auto"/>
      </w:divBdr>
    </w:div>
    <w:div w:id="1646741598">
      <w:bodyDiv w:val="1"/>
      <w:marLeft w:val="0"/>
      <w:marRight w:val="0"/>
      <w:marTop w:val="0"/>
      <w:marBottom w:val="0"/>
      <w:divBdr>
        <w:top w:val="none" w:sz="0" w:space="0" w:color="auto"/>
        <w:left w:val="none" w:sz="0" w:space="0" w:color="auto"/>
        <w:bottom w:val="none" w:sz="0" w:space="0" w:color="auto"/>
        <w:right w:val="none" w:sz="0" w:space="0" w:color="auto"/>
      </w:divBdr>
    </w:div>
    <w:div w:id="1682856157">
      <w:bodyDiv w:val="1"/>
      <w:marLeft w:val="0"/>
      <w:marRight w:val="0"/>
      <w:marTop w:val="0"/>
      <w:marBottom w:val="0"/>
      <w:divBdr>
        <w:top w:val="none" w:sz="0" w:space="0" w:color="auto"/>
        <w:left w:val="none" w:sz="0" w:space="0" w:color="auto"/>
        <w:bottom w:val="none" w:sz="0" w:space="0" w:color="auto"/>
        <w:right w:val="none" w:sz="0" w:space="0" w:color="auto"/>
      </w:divBdr>
      <w:divsChild>
        <w:div w:id="2102991222">
          <w:marLeft w:val="0"/>
          <w:marRight w:val="0"/>
          <w:marTop w:val="0"/>
          <w:marBottom w:val="0"/>
          <w:divBdr>
            <w:top w:val="none" w:sz="0" w:space="0" w:color="auto"/>
            <w:left w:val="none" w:sz="0" w:space="0" w:color="auto"/>
            <w:bottom w:val="none" w:sz="0" w:space="0" w:color="auto"/>
            <w:right w:val="none" w:sz="0" w:space="0" w:color="auto"/>
          </w:divBdr>
          <w:divsChild>
            <w:div w:id="108908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520526">
      <w:bodyDiv w:val="1"/>
      <w:marLeft w:val="0"/>
      <w:marRight w:val="0"/>
      <w:marTop w:val="0"/>
      <w:marBottom w:val="0"/>
      <w:divBdr>
        <w:top w:val="none" w:sz="0" w:space="0" w:color="auto"/>
        <w:left w:val="none" w:sz="0" w:space="0" w:color="auto"/>
        <w:bottom w:val="none" w:sz="0" w:space="0" w:color="auto"/>
        <w:right w:val="none" w:sz="0" w:space="0" w:color="auto"/>
      </w:divBdr>
    </w:div>
    <w:div w:id="1830369646">
      <w:bodyDiv w:val="1"/>
      <w:marLeft w:val="0"/>
      <w:marRight w:val="0"/>
      <w:marTop w:val="0"/>
      <w:marBottom w:val="0"/>
      <w:divBdr>
        <w:top w:val="none" w:sz="0" w:space="0" w:color="auto"/>
        <w:left w:val="none" w:sz="0" w:space="0" w:color="auto"/>
        <w:bottom w:val="none" w:sz="0" w:space="0" w:color="auto"/>
        <w:right w:val="none" w:sz="0" w:space="0" w:color="auto"/>
      </w:divBdr>
    </w:div>
    <w:div w:id="1854145506">
      <w:bodyDiv w:val="1"/>
      <w:marLeft w:val="0"/>
      <w:marRight w:val="0"/>
      <w:marTop w:val="0"/>
      <w:marBottom w:val="0"/>
      <w:divBdr>
        <w:top w:val="none" w:sz="0" w:space="0" w:color="auto"/>
        <w:left w:val="none" w:sz="0" w:space="0" w:color="auto"/>
        <w:bottom w:val="none" w:sz="0" w:space="0" w:color="auto"/>
        <w:right w:val="none" w:sz="0" w:space="0" w:color="auto"/>
      </w:divBdr>
    </w:div>
    <w:div w:id="1972662565">
      <w:bodyDiv w:val="1"/>
      <w:marLeft w:val="0"/>
      <w:marRight w:val="0"/>
      <w:marTop w:val="0"/>
      <w:marBottom w:val="0"/>
      <w:divBdr>
        <w:top w:val="none" w:sz="0" w:space="0" w:color="auto"/>
        <w:left w:val="none" w:sz="0" w:space="0" w:color="auto"/>
        <w:bottom w:val="none" w:sz="0" w:space="0" w:color="auto"/>
        <w:right w:val="none" w:sz="0" w:space="0" w:color="auto"/>
      </w:divBdr>
    </w:div>
    <w:div w:id="2128087599">
      <w:bodyDiv w:val="1"/>
      <w:marLeft w:val="0"/>
      <w:marRight w:val="0"/>
      <w:marTop w:val="0"/>
      <w:marBottom w:val="0"/>
      <w:divBdr>
        <w:top w:val="none" w:sz="0" w:space="0" w:color="auto"/>
        <w:left w:val="none" w:sz="0" w:space="0" w:color="auto"/>
        <w:bottom w:val="none" w:sz="0" w:space="0" w:color="auto"/>
        <w:right w:val="none" w:sz="0" w:space="0" w:color="auto"/>
      </w:divBdr>
      <w:divsChild>
        <w:div w:id="15006597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hyperlink" Target="mailto:nahmed@unisa.it"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3983C9-6D0A-480C-BF79-A63BD3D99E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3438</Words>
  <Characters>19597</Characters>
  <Application>Microsoft Office Word</Application>
  <DocSecurity>0</DocSecurity>
  <Lines>163</Lines>
  <Paragraphs>45</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Dipartimento CMIC - Politecnico di Milano</Company>
  <LinksUpToDate>false</LinksUpToDate>
  <CharactersWithSpaces>22990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raffaella</dc:creator>
  <cp:lastModifiedBy>Noor Ul Ain AHMED</cp:lastModifiedBy>
  <cp:revision>2</cp:revision>
  <cp:lastPrinted>2015-05-12T18:31:00Z</cp:lastPrinted>
  <dcterms:created xsi:type="dcterms:W3CDTF">2025-07-18T18:12:00Z</dcterms:created>
  <dcterms:modified xsi:type="dcterms:W3CDTF">2025-07-18T18:12:00Z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id="te6NWwtd"/&gt;&lt;style id="http://www.zotero.org/styles/american-chemical-society" hasBibliography="1" bibliographyStyleHasBeenSet="1"/&gt;&lt;prefs&gt;&lt;pref name="fieldType" value="Field"/&gt;&lt;pref name="storeRe</vt:lpwstr>
  </property>
  <property fmtid="{D5CDD505-2E9C-101B-9397-08002B2CF9AE}" pid="3" name="ZOTERO_PREF_2">
    <vt:lpwstr>ferences" value="true"/&gt;&lt;/prefs&gt;&lt;/data&gt;</vt:lpwstr>
  </property>
  <property fmtid="{D5CDD505-2E9C-101B-9397-08002B2CF9AE}" pid="4" name="GrammarlyDocumentId">
    <vt:lpwstr>2ca3b230-6303-4652-8559-c6a84b838d78</vt:lpwstr>
  </property>
</Properties>
</file>