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A33C66" w14:paraId="2A131A54" w14:textId="77777777" w:rsidTr="00F91027">
        <w:trPr>
          <w:trHeight w:val="852"/>
          <w:jc w:val="center"/>
        </w:trPr>
        <w:tc>
          <w:tcPr>
            <w:tcW w:w="6940" w:type="dxa"/>
            <w:vMerge w:val="restart"/>
            <w:tcBorders>
              <w:right w:val="single" w:sz="4" w:space="0" w:color="auto"/>
            </w:tcBorders>
          </w:tcPr>
          <w:p w14:paraId="38C3D2BA" w14:textId="77777777" w:rsidR="000A03B2" w:rsidRPr="00A33C66" w:rsidRDefault="000A03B2" w:rsidP="00DE264A">
            <w:pPr>
              <w:tabs>
                <w:tab w:val="left" w:pos="-108"/>
              </w:tabs>
              <w:ind w:left="-108"/>
              <w:jc w:val="left"/>
              <w:rPr>
                <w:rFonts w:cs="Arial"/>
                <w:b/>
                <w:bCs/>
                <w:i/>
                <w:iCs/>
                <w:color w:val="000066"/>
                <w:sz w:val="12"/>
                <w:szCs w:val="12"/>
                <w:lang w:eastAsia="it-IT"/>
              </w:rPr>
            </w:pPr>
            <w:r w:rsidRPr="00A33C66">
              <w:rPr>
                <w:rFonts w:ascii="AdvP6960" w:hAnsi="AdvP6960" w:cs="AdvP6960"/>
                <w:noProof/>
                <w:color w:val="241F20"/>
                <w:szCs w:val="18"/>
                <w:lang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A33C66">
              <w:rPr>
                <w:rFonts w:ascii="AdvP6960" w:hAnsi="AdvP6960" w:cs="AdvP6960"/>
                <w:color w:val="241F20"/>
                <w:szCs w:val="18"/>
                <w:lang w:eastAsia="it-IT"/>
              </w:rPr>
              <w:t xml:space="preserve"> </w:t>
            </w:r>
            <w:r w:rsidRPr="00A33C66">
              <w:rPr>
                <w:rFonts w:cs="Arial"/>
                <w:b/>
                <w:bCs/>
                <w:i/>
                <w:iCs/>
                <w:color w:val="000066"/>
                <w:sz w:val="24"/>
                <w:szCs w:val="24"/>
                <w:lang w:eastAsia="it-IT"/>
              </w:rPr>
              <w:t>CHEMICAL ENGINEERING</w:t>
            </w:r>
            <w:r w:rsidRPr="00A33C66">
              <w:rPr>
                <w:rFonts w:cs="Arial"/>
                <w:b/>
                <w:bCs/>
                <w:i/>
                <w:iCs/>
                <w:color w:val="0033FF"/>
                <w:sz w:val="24"/>
                <w:szCs w:val="24"/>
                <w:lang w:eastAsia="it-IT"/>
              </w:rPr>
              <w:t xml:space="preserve"> </w:t>
            </w:r>
            <w:r w:rsidRPr="00A33C66">
              <w:rPr>
                <w:rFonts w:cs="Arial"/>
                <w:b/>
                <w:bCs/>
                <w:i/>
                <w:iCs/>
                <w:color w:val="666666"/>
                <w:sz w:val="24"/>
                <w:szCs w:val="24"/>
                <w:lang w:eastAsia="it-IT"/>
              </w:rPr>
              <w:t>TRANSACTIONS</w:t>
            </w:r>
            <w:r w:rsidRPr="00A33C66">
              <w:rPr>
                <w:color w:val="333333"/>
                <w:sz w:val="24"/>
                <w:szCs w:val="24"/>
                <w:lang w:eastAsia="it-IT"/>
              </w:rPr>
              <w:t xml:space="preserve"> </w:t>
            </w:r>
            <w:r w:rsidRPr="00A33C66">
              <w:rPr>
                <w:rFonts w:cs="Arial"/>
                <w:b/>
                <w:bCs/>
                <w:i/>
                <w:iCs/>
                <w:color w:val="000066"/>
                <w:sz w:val="27"/>
                <w:szCs w:val="27"/>
                <w:lang w:eastAsia="it-IT"/>
              </w:rPr>
              <w:br/>
            </w:r>
          </w:p>
          <w:p w14:paraId="4B780582" w14:textId="0DAB3DDA" w:rsidR="000A03B2" w:rsidRPr="00A33C66" w:rsidRDefault="00A76EFC" w:rsidP="001D21AF">
            <w:pPr>
              <w:tabs>
                <w:tab w:val="left" w:pos="-108"/>
              </w:tabs>
              <w:ind w:left="-108"/>
              <w:rPr>
                <w:rFonts w:cs="Arial"/>
                <w:b/>
                <w:bCs/>
                <w:i/>
                <w:iCs/>
                <w:color w:val="000066"/>
                <w:sz w:val="22"/>
                <w:szCs w:val="22"/>
                <w:lang w:eastAsia="it-IT"/>
              </w:rPr>
            </w:pPr>
            <w:r w:rsidRPr="00A33C66">
              <w:rPr>
                <w:rFonts w:cs="Arial"/>
                <w:b/>
                <w:bCs/>
                <w:i/>
                <w:iCs/>
                <w:color w:val="000066"/>
                <w:sz w:val="22"/>
                <w:szCs w:val="22"/>
                <w:lang w:eastAsia="it-IT"/>
              </w:rPr>
              <w:t xml:space="preserve">VOL. </w:t>
            </w:r>
            <w:r w:rsidR="0030152C" w:rsidRPr="00A33C66">
              <w:rPr>
                <w:rFonts w:cs="Arial"/>
                <w:b/>
                <w:bCs/>
                <w:i/>
                <w:iCs/>
                <w:color w:val="000066"/>
                <w:sz w:val="22"/>
                <w:szCs w:val="22"/>
                <w:lang w:eastAsia="it-IT"/>
              </w:rPr>
              <w:t xml:space="preserve"> </w:t>
            </w:r>
            <w:proofErr w:type="gramStart"/>
            <w:r w:rsidR="0030152C" w:rsidRPr="00A33C66">
              <w:rPr>
                <w:rFonts w:cs="Arial"/>
                <w:b/>
                <w:bCs/>
                <w:i/>
                <w:iCs/>
                <w:color w:val="000066"/>
                <w:sz w:val="22"/>
                <w:szCs w:val="22"/>
                <w:lang w:eastAsia="it-IT"/>
              </w:rPr>
              <w:t xml:space="preserve">  </w:t>
            </w:r>
            <w:r w:rsidR="007B48F9" w:rsidRPr="00A33C66">
              <w:rPr>
                <w:rFonts w:cs="Arial"/>
                <w:b/>
                <w:bCs/>
                <w:i/>
                <w:iCs/>
                <w:color w:val="000066"/>
                <w:sz w:val="22"/>
                <w:szCs w:val="22"/>
                <w:lang w:eastAsia="it-IT"/>
              </w:rPr>
              <w:t>,</w:t>
            </w:r>
            <w:proofErr w:type="gramEnd"/>
            <w:r w:rsidR="00FA5F5F" w:rsidRPr="00A33C66">
              <w:rPr>
                <w:rFonts w:cs="Arial"/>
                <w:b/>
                <w:bCs/>
                <w:i/>
                <w:iCs/>
                <w:color w:val="000066"/>
                <w:sz w:val="22"/>
                <w:szCs w:val="22"/>
                <w:lang w:eastAsia="it-IT"/>
              </w:rPr>
              <w:t xml:space="preserve"> </w:t>
            </w:r>
            <w:r w:rsidR="0030152C" w:rsidRPr="00A33C66">
              <w:rPr>
                <w:rFonts w:cs="Arial"/>
                <w:b/>
                <w:bCs/>
                <w:i/>
                <w:iCs/>
                <w:color w:val="000066"/>
                <w:sz w:val="22"/>
                <w:szCs w:val="22"/>
                <w:lang w:eastAsia="it-IT"/>
              </w:rPr>
              <w:t>202</w:t>
            </w:r>
            <w:r w:rsidR="00C24AF1" w:rsidRPr="00A33C66">
              <w:rPr>
                <w:rFonts w:cs="Arial"/>
                <w:b/>
                <w:bCs/>
                <w:i/>
                <w:iCs/>
                <w:color w:val="000066"/>
                <w:sz w:val="22"/>
                <w:szCs w:val="22"/>
                <w:lang w:eastAsia="it-IT"/>
              </w:rPr>
              <w:t>5</w:t>
            </w:r>
          </w:p>
        </w:tc>
        <w:tc>
          <w:tcPr>
            <w:tcW w:w="1842" w:type="dxa"/>
            <w:tcBorders>
              <w:left w:val="single" w:sz="4" w:space="0" w:color="auto"/>
              <w:bottom w:val="nil"/>
              <w:right w:val="single" w:sz="4" w:space="0" w:color="auto"/>
            </w:tcBorders>
          </w:tcPr>
          <w:p w14:paraId="56782132" w14:textId="77777777" w:rsidR="000A03B2" w:rsidRPr="00A33C66" w:rsidRDefault="000A03B2" w:rsidP="00CD5FE2">
            <w:pPr>
              <w:spacing w:line="140" w:lineRule="atLeast"/>
              <w:jc w:val="right"/>
              <w:rPr>
                <w:rFonts w:cs="Arial"/>
                <w:sz w:val="14"/>
                <w:szCs w:val="14"/>
              </w:rPr>
            </w:pPr>
            <w:r w:rsidRPr="00A33C66">
              <w:rPr>
                <w:rFonts w:cs="Arial"/>
                <w:sz w:val="14"/>
                <w:szCs w:val="14"/>
              </w:rPr>
              <w:t>A publication of</w:t>
            </w:r>
          </w:p>
          <w:p w14:paraId="599E5441" w14:textId="77777777" w:rsidR="000A03B2" w:rsidRPr="00A33C66" w:rsidRDefault="000A03B2" w:rsidP="00CD5FE2">
            <w:pPr>
              <w:jc w:val="right"/>
            </w:pPr>
            <w:r w:rsidRPr="00A33C66">
              <w:rPr>
                <w:noProof/>
                <w:lang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A33C66" w14:paraId="380FA3CD" w14:textId="77777777" w:rsidTr="00F91027">
        <w:trPr>
          <w:trHeight w:val="567"/>
          <w:jc w:val="center"/>
        </w:trPr>
        <w:tc>
          <w:tcPr>
            <w:tcW w:w="6940" w:type="dxa"/>
            <w:vMerge/>
            <w:tcBorders>
              <w:right w:val="single" w:sz="4" w:space="0" w:color="auto"/>
            </w:tcBorders>
          </w:tcPr>
          <w:p w14:paraId="39E5E4C1" w14:textId="77777777" w:rsidR="000A03B2" w:rsidRPr="00A33C6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A33C66" w:rsidRDefault="000A03B2" w:rsidP="00CD5FE2">
            <w:pPr>
              <w:spacing w:line="140" w:lineRule="atLeast"/>
              <w:jc w:val="right"/>
              <w:rPr>
                <w:rFonts w:cs="Arial"/>
                <w:sz w:val="14"/>
                <w:szCs w:val="14"/>
              </w:rPr>
            </w:pPr>
            <w:r w:rsidRPr="00A33C66">
              <w:rPr>
                <w:rFonts w:cs="Arial"/>
                <w:sz w:val="14"/>
                <w:szCs w:val="14"/>
              </w:rPr>
              <w:t>The Italian Association</w:t>
            </w:r>
          </w:p>
          <w:p w14:paraId="7522B1D2" w14:textId="77777777" w:rsidR="000A03B2" w:rsidRPr="00A33C66" w:rsidRDefault="000A03B2" w:rsidP="00CD5FE2">
            <w:pPr>
              <w:spacing w:line="140" w:lineRule="atLeast"/>
              <w:jc w:val="right"/>
              <w:rPr>
                <w:rFonts w:cs="Arial"/>
                <w:sz w:val="14"/>
                <w:szCs w:val="14"/>
              </w:rPr>
            </w:pPr>
            <w:r w:rsidRPr="00A33C66">
              <w:rPr>
                <w:rFonts w:cs="Arial"/>
                <w:sz w:val="14"/>
                <w:szCs w:val="14"/>
              </w:rPr>
              <w:t>of Chemical Engineering</w:t>
            </w:r>
          </w:p>
          <w:p w14:paraId="4F0CC5DE" w14:textId="47FDB2FC" w:rsidR="000A03B2" w:rsidRPr="00A33C66" w:rsidRDefault="000D0268" w:rsidP="00CD5FE2">
            <w:pPr>
              <w:spacing w:line="140" w:lineRule="atLeast"/>
              <w:jc w:val="right"/>
              <w:rPr>
                <w:rFonts w:cs="Arial"/>
                <w:sz w:val="13"/>
                <w:szCs w:val="13"/>
              </w:rPr>
            </w:pPr>
            <w:r w:rsidRPr="00A33C66">
              <w:rPr>
                <w:rFonts w:cs="Arial"/>
                <w:sz w:val="13"/>
                <w:szCs w:val="13"/>
              </w:rPr>
              <w:t>Online at www.cetjournal.it</w:t>
            </w:r>
          </w:p>
        </w:tc>
      </w:tr>
      <w:tr w:rsidR="000A03B2" w:rsidRPr="00A33C66" w14:paraId="2D1B7169" w14:textId="77777777" w:rsidTr="00F91027">
        <w:trPr>
          <w:trHeight w:val="68"/>
          <w:jc w:val="center"/>
        </w:trPr>
        <w:tc>
          <w:tcPr>
            <w:tcW w:w="8782" w:type="dxa"/>
            <w:gridSpan w:val="2"/>
          </w:tcPr>
          <w:p w14:paraId="1D8DD3C9" w14:textId="30FEC83E" w:rsidR="00AA7D26" w:rsidRPr="00A33C66" w:rsidRDefault="00AA7D26" w:rsidP="00AA7D26">
            <w:pPr>
              <w:ind w:left="-107"/>
              <w:outlineLvl w:val="2"/>
              <w:rPr>
                <w:rFonts w:ascii="Tahoma" w:hAnsi="Tahoma" w:cs="Tahoma"/>
                <w:bCs/>
                <w:color w:val="000000"/>
                <w:sz w:val="14"/>
                <w:szCs w:val="14"/>
                <w:lang w:val="it-IT" w:eastAsia="it-IT"/>
              </w:rPr>
            </w:pPr>
            <w:r w:rsidRPr="00A33C66">
              <w:rPr>
                <w:rFonts w:ascii="Tahoma" w:hAnsi="Tahoma" w:cs="Tahoma"/>
                <w:iCs/>
                <w:color w:val="333333"/>
                <w:sz w:val="14"/>
                <w:szCs w:val="14"/>
                <w:lang w:val="it-IT" w:eastAsia="it-IT"/>
              </w:rPr>
              <w:t>Guest Editors:</w:t>
            </w:r>
            <w:r w:rsidRPr="00A33C66">
              <w:rPr>
                <w:rFonts w:ascii="Tahoma" w:hAnsi="Tahoma" w:cs="Tahoma"/>
                <w:color w:val="000000"/>
                <w:sz w:val="14"/>
                <w:szCs w:val="14"/>
                <w:shd w:val="clear" w:color="auto" w:fill="FFFFFF"/>
                <w:lang w:val="it-IT"/>
              </w:rPr>
              <w:t xml:space="preserve"> </w:t>
            </w:r>
            <w:r w:rsidR="00FB41CD" w:rsidRPr="00A33C66">
              <w:rPr>
                <w:rFonts w:ascii="Tahoma" w:hAnsi="Tahoma" w:cs="Tahoma"/>
                <w:color w:val="000000"/>
                <w:sz w:val="14"/>
                <w:szCs w:val="14"/>
                <w:shd w:val="clear" w:color="auto" w:fill="FFFFFF"/>
                <w:lang w:val="it-IT"/>
              </w:rPr>
              <w:t xml:space="preserve">Paolo </w:t>
            </w:r>
            <w:proofErr w:type="spellStart"/>
            <w:r w:rsidR="00FB41CD" w:rsidRPr="00A33C66">
              <w:rPr>
                <w:rFonts w:ascii="Tahoma" w:hAnsi="Tahoma" w:cs="Tahoma"/>
                <w:color w:val="000000"/>
                <w:sz w:val="14"/>
                <w:szCs w:val="14"/>
                <w:shd w:val="clear" w:color="auto" w:fill="FFFFFF"/>
                <w:lang w:val="it-IT"/>
              </w:rPr>
              <w:t>Ciambelli</w:t>
            </w:r>
            <w:proofErr w:type="spellEnd"/>
            <w:r w:rsidR="00FB41CD" w:rsidRPr="00A33C66">
              <w:rPr>
                <w:rFonts w:ascii="Tahoma" w:hAnsi="Tahoma" w:cs="Tahoma"/>
                <w:color w:val="000000"/>
                <w:sz w:val="14"/>
                <w:szCs w:val="14"/>
                <w:shd w:val="clear" w:color="auto" w:fill="FFFFFF"/>
                <w:lang w:val="it-IT"/>
              </w:rPr>
              <w:t>, Luca di Palma</w:t>
            </w:r>
          </w:p>
          <w:p w14:paraId="1B0F1814" w14:textId="6F18EEAD" w:rsidR="000A03B2" w:rsidRPr="00A33C66" w:rsidRDefault="00AA7D26" w:rsidP="00AA7D26">
            <w:pPr>
              <w:tabs>
                <w:tab w:val="left" w:pos="-108"/>
              </w:tabs>
              <w:spacing w:line="140" w:lineRule="atLeast"/>
              <w:ind w:left="-107"/>
              <w:jc w:val="left"/>
            </w:pPr>
            <w:r w:rsidRPr="00A33C66">
              <w:rPr>
                <w:rFonts w:ascii="Tahoma" w:hAnsi="Tahoma" w:cs="Tahoma"/>
                <w:iCs/>
                <w:color w:val="333333"/>
                <w:sz w:val="14"/>
                <w:szCs w:val="14"/>
                <w:lang w:eastAsia="it-IT"/>
              </w:rPr>
              <w:t>Copyright © 202</w:t>
            </w:r>
            <w:r w:rsidR="00C24AF1" w:rsidRPr="00A33C66">
              <w:rPr>
                <w:rFonts w:ascii="Tahoma" w:hAnsi="Tahoma" w:cs="Tahoma"/>
                <w:iCs/>
                <w:color w:val="333333"/>
                <w:sz w:val="14"/>
                <w:szCs w:val="14"/>
                <w:lang w:eastAsia="it-IT"/>
              </w:rPr>
              <w:t>5</w:t>
            </w:r>
            <w:r w:rsidRPr="00A33C66">
              <w:rPr>
                <w:rFonts w:ascii="Tahoma" w:hAnsi="Tahoma" w:cs="Tahoma"/>
                <w:iCs/>
                <w:color w:val="333333"/>
                <w:sz w:val="14"/>
                <w:szCs w:val="14"/>
                <w:lang w:eastAsia="it-IT"/>
              </w:rPr>
              <w:t xml:space="preserve">, AIDIC </w:t>
            </w:r>
            <w:proofErr w:type="spellStart"/>
            <w:r w:rsidRPr="00A33C66">
              <w:rPr>
                <w:rFonts w:ascii="Tahoma" w:hAnsi="Tahoma" w:cs="Tahoma"/>
                <w:iCs/>
                <w:color w:val="333333"/>
                <w:sz w:val="14"/>
                <w:szCs w:val="14"/>
                <w:lang w:eastAsia="it-IT"/>
              </w:rPr>
              <w:t>Servizi</w:t>
            </w:r>
            <w:proofErr w:type="spellEnd"/>
            <w:r w:rsidRPr="00A33C66">
              <w:rPr>
                <w:rFonts w:ascii="Tahoma" w:hAnsi="Tahoma" w:cs="Tahoma"/>
                <w:iCs/>
                <w:color w:val="333333"/>
                <w:sz w:val="14"/>
                <w:szCs w:val="14"/>
                <w:lang w:eastAsia="it-IT"/>
              </w:rPr>
              <w:t xml:space="preserve"> </w:t>
            </w:r>
            <w:proofErr w:type="spellStart"/>
            <w:r w:rsidRPr="00A33C66">
              <w:rPr>
                <w:rFonts w:ascii="Tahoma" w:hAnsi="Tahoma" w:cs="Tahoma"/>
                <w:iCs/>
                <w:color w:val="333333"/>
                <w:sz w:val="14"/>
                <w:szCs w:val="14"/>
                <w:lang w:eastAsia="it-IT"/>
              </w:rPr>
              <w:t>S.r.l</w:t>
            </w:r>
            <w:proofErr w:type="spellEnd"/>
            <w:r w:rsidRPr="00A33C66">
              <w:rPr>
                <w:rFonts w:ascii="Tahoma" w:hAnsi="Tahoma" w:cs="Tahoma"/>
                <w:iCs/>
                <w:color w:val="333333"/>
                <w:sz w:val="14"/>
                <w:szCs w:val="14"/>
                <w:lang w:eastAsia="it-IT"/>
              </w:rPr>
              <w:t>.</w:t>
            </w:r>
            <w:r w:rsidRPr="00A33C66">
              <w:rPr>
                <w:rFonts w:ascii="Tahoma" w:hAnsi="Tahoma" w:cs="Tahoma"/>
                <w:iCs/>
                <w:color w:val="333333"/>
                <w:sz w:val="14"/>
                <w:szCs w:val="14"/>
                <w:lang w:eastAsia="it-IT"/>
              </w:rPr>
              <w:br/>
            </w:r>
            <w:r w:rsidRPr="00A33C66">
              <w:rPr>
                <w:rFonts w:ascii="Tahoma" w:hAnsi="Tahoma" w:cs="Tahoma"/>
                <w:b/>
                <w:iCs/>
                <w:color w:val="000000"/>
                <w:sz w:val="14"/>
                <w:szCs w:val="14"/>
                <w:lang w:eastAsia="it-IT"/>
              </w:rPr>
              <w:t>ISBN</w:t>
            </w:r>
            <w:r w:rsidRPr="00A33C66">
              <w:rPr>
                <w:rFonts w:ascii="Tahoma" w:hAnsi="Tahoma" w:cs="Tahoma"/>
                <w:iCs/>
                <w:color w:val="000000"/>
                <w:sz w:val="14"/>
                <w:szCs w:val="14"/>
                <w:lang w:eastAsia="it-IT"/>
              </w:rPr>
              <w:t xml:space="preserve"> </w:t>
            </w:r>
            <w:r w:rsidR="00D2582C" w:rsidRPr="00A33C66">
              <w:rPr>
                <w:rFonts w:ascii="Tahoma" w:hAnsi="Tahoma" w:cs="Tahoma"/>
                <w:sz w:val="14"/>
                <w:szCs w:val="14"/>
              </w:rPr>
              <w:t>979-12-81206-</w:t>
            </w:r>
            <w:r w:rsidR="00466324" w:rsidRPr="00A33C66">
              <w:rPr>
                <w:rFonts w:ascii="Tahoma" w:hAnsi="Tahoma" w:cs="Tahoma"/>
                <w:sz w:val="14"/>
                <w:szCs w:val="14"/>
              </w:rPr>
              <w:t>20</w:t>
            </w:r>
            <w:r w:rsidR="00D2582C" w:rsidRPr="00A33C66">
              <w:rPr>
                <w:rFonts w:ascii="Tahoma" w:hAnsi="Tahoma" w:cs="Tahoma"/>
                <w:sz w:val="14"/>
                <w:szCs w:val="14"/>
              </w:rPr>
              <w:t>-</w:t>
            </w:r>
            <w:r w:rsidR="00466324" w:rsidRPr="00A33C66">
              <w:rPr>
                <w:rFonts w:ascii="Tahoma" w:hAnsi="Tahoma" w:cs="Tahoma"/>
                <w:sz w:val="14"/>
                <w:szCs w:val="14"/>
              </w:rPr>
              <w:t>5</w:t>
            </w:r>
            <w:r w:rsidRPr="00A33C66">
              <w:rPr>
                <w:rFonts w:ascii="Tahoma" w:hAnsi="Tahoma" w:cs="Tahoma"/>
                <w:iCs/>
                <w:color w:val="333333"/>
                <w:sz w:val="14"/>
                <w:szCs w:val="14"/>
                <w:lang w:eastAsia="it-IT"/>
              </w:rPr>
              <w:t xml:space="preserve">; </w:t>
            </w:r>
            <w:r w:rsidRPr="00A33C66">
              <w:rPr>
                <w:rFonts w:ascii="Tahoma" w:hAnsi="Tahoma" w:cs="Tahoma"/>
                <w:b/>
                <w:iCs/>
                <w:color w:val="333333"/>
                <w:sz w:val="14"/>
                <w:szCs w:val="14"/>
                <w:lang w:eastAsia="it-IT"/>
              </w:rPr>
              <w:t>ISSN</w:t>
            </w:r>
            <w:r w:rsidRPr="00A33C66">
              <w:rPr>
                <w:rFonts w:ascii="Tahoma" w:hAnsi="Tahoma" w:cs="Tahoma"/>
                <w:iCs/>
                <w:color w:val="333333"/>
                <w:sz w:val="14"/>
                <w:szCs w:val="14"/>
                <w:lang w:eastAsia="it-IT"/>
              </w:rPr>
              <w:t xml:space="preserve"> 2283-9216</w:t>
            </w:r>
          </w:p>
        </w:tc>
      </w:tr>
    </w:tbl>
    <w:p w14:paraId="2E667253" w14:textId="1AD35D29" w:rsidR="00E978D0" w:rsidRPr="00A33C66" w:rsidRDefault="00F91027" w:rsidP="00E978D0">
      <w:pPr>
        <w:pStyle w:val="CETTitle"/>
        <w:rPr>
          <w:lang w:val="en-US"/>
        </w:rPr>
      </w:pPr>
      <w:r w:rsidRPr="00A33C66">
        <w:rPr>
          <w:lang w:val="en-US"/>
        </w:rPr>
        <w:t>Computer-aided Investigation of the Performance of Water-based Metal Oxide Nanofluids</w:t>
      </w:r>
    </w:p>
    <w:p w14:paraId="0488FED2" w14:textId="204004E0" w:rsidR="00B57E6F" w:rsidRPr="00A33C66" w:rsidRDefault="00F91027" w:rsidP="00DD6A94">
      <w:pPr>
        <w:pStyle w:val="CETAuthors"/>
        <w:jc w:val="center"/>
        <w:rPr>
          <w:noProof w:val="0"/>
          <w:lang w:val="it-IT"/>
        </w:rPr>
      </w:pPr>
      <w:r w:rsidRPr="00A33C66">
        <w:rPr>
          <w:noProof w:val="0"/>
          <w:lang w:val="it-IT"/>
        </w:rPr>
        <w:t xml:space="preserve">Hamed </w:t>
      </w:r>
      <w:proofErr w:type="spellStart"/>
      <w:r w:rsidRPr="00A33C66">
        <w:rPr>
          <w:noProof w:val="0"/>
          <w:lang w:val="it-IT"/>
        </w:rPr>
        <w:t>Nazerian</w:t>
      </w:r>
      <w:proofErr w:type="spellEnd"/>
      <w:r w:rsidRPr="00A33C66">
        <w:rPr>
          <w:noProof w:val="0"/>
          <w:lang w:val="it-IT"/>
        </w:rPr>
        <w:t>, Tommaso Angiolini, Maurizio Ferretti, Andrea P. Reverberi, Marco Vocciante*</w:t>
      </w:r>
    </w:p>
    <w:p w14:paraId="3D72B0B0" w14:textId="79BD05D8" w:rsidR="00B57E6F" w:rsidRPr="00A33C66" w:rsidRDefault="00F91027" w:rsidP="00B57E6F">
      <w:pPr>
        <w:pStyle w:val="CETAddress"/>
        <w:rPr>
          <w:noProof w:val="0"/>
          <w:lang w:val="it-IT"/>
        </w:rPr>
      </w:pPr>
      <w:r w:rsidRPr="00A33C66">
        <w:rPr>
          <w:noProof w:val="0"/>
          <w:lang w:val="it-IT"/>
        </w:rPr>
        <w:t xml:space="preserve">Dipartimento di Chimica e Chimica Industriale, Università degli Studi di Genova, Genova, </w:t>
      </w:r>
      <w:proofErr w:type="spellStart"/>
      <w:r w:rsidRPr="00A33C66">
        <w:rPr>
          <w:noProof w:val="0"/>
          <w:lang w:val="it-IT"/>
        </w:rPr>
        <w:t>Italy</w:t>
      </w:r>
      <w:proofErr w:type="spellEnd"/>
      <w:r w:rsidR="00B57E6F" w:rsidRPr="00A33C66">
        <w:rPr>
          <w:noProof w:val="0"/>
          <w:lang w:val="it-IT"/>
        </w:rPr>
        <w:t xml:space="preserve"> </w:t>
      </w:r>
    </w:p>
    <w:p w14:paraId="325C1225" w14:textId="7AE39C06" w:rsidR="00681460" w:rsidRPr="00A33C66" w:rsidRDefault="00F91027" w:rsidP="00681460">
      <w:pPr>
        <w:pStyle w:val="CETemail"/>
        <w:rPr>
          <w:noProof w:val="0"/>
          <w:lang w:val="en-US"/>
        </w:rPr>
      </w:pPr>
      <w:r w:rsidRPr="00A33C66">
        <w:rPr>
          <w:noProof w:val="0"/>
          <w:lang w:val="en-US"/>
        </w:rPr>
        <w:t>marco.vocciante@unige.it</w:t>
      </w:r>
    </w:p>
    <w:p w14:paraId="69E75A4E" w14:textId="222C8F4E" w:rsidR="00431D67" w:rsidRPr="00A33C66" w:rsidRDefault="00EC6B7C" w:rsidP="00EC6B7C">
      <w:pPr>
        <w:pStyle w:val="CETBodytext"/>
      </w:pPr>
      <w:r w:rsidRPr="00A33C66">
        <w:t xml:space="preserve">Computational Fluid Dynamics (CFD) has emerged as a powerful tool for simulating the </w:t>
      </w:r>
      <w:r w:rsidR="00663052" w:rsidRPr="00A33C66">
        <w:t>behavior</w:t>
      </w:r>
      <w:r w:rsidRPr="00A33C66">
        <w:t xml:space="preserve"> of nanofluids in thermal systems, providing a cost-effective alternative to experimental studies. This contribution presents a comprehensive computational modelling approach to study the flow and heat transfer characteristics of nanofluids, based on experimental data from synthesized prototypes of </w:t>
      </w:r>
      <w:proofErr w:type="spellStart"/>
      <w:r w:rsidRPr="00A33C66">
        <w:t>CuO</w:t>
      </w:r>
      <w:proofErr w:type="spellEnd"/>
      <w:r w:rsidRPr="00A33C66">
        <w:t xml:space="preserve"> </w:t>
      </w:r>
      <w:r w:rsidR="1A4BA342" w:rsidRPr="00A33C66">
        <w:t>(1</w:t>
      </w:r>
      <w:r w:rsidR="00B26FB0" w:rsidRPr="00A33C66">
        <w:t xml:space="preserve"> </w:t>
      </w:r>
      <w:proofErr w:type="spellStart"/>
      <w:r w:rsidR="00F73476" w:rsidRPr="00A33C66">
        <w:t>wt</w:t>
      </w:r>
      <w:proofErr w:type="spellEnd"/>
      <w:r w:rsidR="00F73476" w:rsidRPr="00A33C66">
        <w:t xml:space="preserve"> </w:t>
      </w:r>
      <w:r w:rsidR="1A4BA342" w:rsidRPr="00A33C66">
        <w:t xml:space="preserve">%, 5 </w:t>
      </w:r>
      <w:proofErr w:type="spellStart"/>
      <w:r w:rsidR="00F73476" w:rsidRPr="00A33C66">
        <w:t>wt</w:t>
      </w:r>
      <w:proofErr w:type="spellEnd"/>
      <w:r w:rsidR="00F73476" w:rsidRPr="00A33C66">
        <w:t xml:space="preserve"> </w:t>
      </w:r>
      <w:r w:rsidR="1A4BA342" w:rsidRPr="00A33C66">
        <w:t xml:space="preserve">%) </w:t>
      </w:r>
      <w:r w:rsidRPr="00A33C66">
        <w:t>and Al</w:t>
      </w:r>
      <w:r w:rsidRPr="00A33C66">
        <w:rPr>
          <w:vertAlign w:val="subscript"/>
        </w:rPr>
        <w:t>2</w:t>
      </w:r>
      <w:r w:rsidRPr="00A33C66">
        <w:t>O</w:t>
      </w:r>
      <w:r w:rsidRPr="00A33C66">
        <w:rPr>
          <w:vertAlign w:val="subscript"/>
        </w:rPr>
        <w:t>3</w:t>
      </w:r>
      <w:r w:rsidRPr="00A33C66">
        <w:t xml:space="preserve"> </w:t>
      </w:r>
      <w:r w:rsidR="795700AA" w:rsidRPr="00A33C66">
        <w:t>(1</w:t>
      </w:r>
      <w:r w:rsidR="00B26FB0" w:rsidRPr="00A33C66">
        <w:t xml:space="preserve"> </w:t>
      </w:r>
      <w:proofErr w:type="spellStart"/>
      <w:r w:rsidR="00F73476" w:rsidRPr="00A33C66">
        <w:t>wt</w:t>
      </w:r>
      <w:proofErr w:type="spellEnd"/>
      <w:r w:rsidR="00F73476" w:rsidRPr="00A33C66">
        <w:t xml:space="preserve"> </w:t>
      </w:r>
      <w:r w:rsidR="795700AA" w:rsidRPr="00A33C66">
        <w:t xml:space="preserve">%, 5 </w:t>
      </w:r>
      <w:proofErr w:type="spellStart"/>
      <w:r w:rsidR="00F73476" w:rsidRPr="00A33C66">
        <w:t>wt</w:t>
      </w:r>
      <w:proofErr w:type="spellEnd"/>
      <w:r w:rsidR="00F73476" w:rsidRPr="00A33C66">
        <w:t xml:space="preserve"> </w:t>
      </w:r>
      <w:r w:rsidR="795700AA" w:rsidRPr="00A33C66">
        <w:t xml:space="preserve">%) </w:t>
      </w:r>
      <w:r w:rsidRPr="00A33C66">
        <w:t xml:space="preserve">nanoparticles in water. The </w:t>
      </w:r>
      <w:r w:rsidR="37F8F9CA" w:rsidRPr="00A33C66">
        <w:t>modeling</w:t>
      </w:r>
      <w:r w:rsidRPr="00A33C66">
        <w:t xml:space="preserve"> was performed using </w:t>
      </w:r>
      <w:proofErr w:type="spellStart"/>
      <w:r w:rsidRPr="00A33C66">
        <w:t>OpenFOAM</w:t>
      </w:r>
      <w:proofErr w:type="spellEnd"/>
      <w:r w:rsidRPr="00A33C66">
        <w:t xml:space="preserve">, an open-source CFD Software that allows a high degree of customization of </w:t>
      </w:r>
      <w:r w:rsidR="018BA0FF" w:rsidRPr="00A33C66">
        <w:t>simulation</w:t>
      </w:r>
      <w:r w:rsidRPr="00A33C66">
        <w:t xml:space="preserve"> parameters.</w:t>
      </w:r>
      <w:r w:rsidR="0034029F" w:rsidRPr="00A33C66">
        <w:t xml:space="preserve"> </w:t>
      </w:r>
      <w:r w:rsidRPr="00A33C66">
        <w:t>The study involved the development of detailed CFD models to investigate the influence of nanoparticle morphological properties on the thermal performance of nanofluids. Different multiphase schemes were used to accurately simulate the complex interactions between nanoparticles and base fluids. The simulation results were compared with experimental and literature data to validate the models and ensure their reliability. The validated models were then used to extend the experimental campaign, exploring the potential of different nanoparticle compositions and concentrations to optimize thermal efficiency.</w:t>
      </w:r>
      <w:r w:rsidR="0034029F" w:rsidRPr="00A33C66">
        <w:t xml:space="preserve"> </w:t>
      </w:r>
      <w:r w:rsidRPr="00A33C66">
        <w:t xml:space="preserve">The results demonstrate that CFD </w:t>
      </w:r>
      <w:r w:rsidR="3B014F4E" w:rsidRPr="00A33C66">
        <w:t>modeling</w:t>
      </w:r>
      <w:r w:rsidRPr="00A33C66">
        <w:t xml:space="preserve"> can effectively predict the </w:t>
      </w:r>
      <w:r w:rsidR="00663052" w:rsidRPr="00A33C66">
        <w:t>behavior</w:t>
      </w:r>
      <w:r w:rsidRPr="00A33C66">
        <w:t xml:space="preserve"> of nanofluids, providing a robust framework for optimizing their performance in real-world applications. The study underscores the importance of integrating experimental and computational approaches to achieve a comprehensive understanding of nanofluid dynamics. The insights gained from this research contribute to the advancement of nanofluid technology, offering practical solutions for enhancing heat transfer efficiency in industrial processes.</w:t>
      </w:r>
      <w:r w:rsidR="00431D67" w:rsidRPr="00A33C66">
        <w:t xml:space="preserve"> </w:t>
      </w:r>
    </w:p>
    <w:p w14:paraId="476B2F2E" w14:textId="77777777" w:rsidR="00600535" w:rsidRPr="00A33C66" w:rsidRDefault="00600535" w:rsidP="00600535">
      <w:pPr>
        <w:pStyle w:val="CETHeading1"/>
      </w:pPr>
      <w:r w:rsidRPr="00A33C66">
        <w:t>Introduction</w:t>
      </w:r>
    </w:p>
    <w:p w14:paraId="22555F87" w14:textId="08E4576A" w:rsidR="0063266E" w:rsidRPr="00A33C66" w:rsidRDefault="0063266E" w:rsidP="0028126E">
      <w:pPr>
        <w:pStyle w:val="CETBodytext"/>
      </w:pPr>
      <w:r w:rsidRPr="00A33C66">
        <w:t xml:space="preserve">Efficient heat transfer is </w:t>
      </w:r>
      <w:r w:rsidR="00231210" w:rsidRPr="00A33C66">
        <w:t xml:space="preserve">essential </w:t>
      </w:r>
      <w:r w:rsidRPr="00A33C66">
        <w:t xml:space="preserve">for </w:t>
      </w:r>
      <w:r w:rsidR="00231210" w:rsidRPr="00A33C66">
        <w:t xml:space="preserve">many </w:t>
      </w:r>
      <w:r w:rsidRPr="00A33C66">
        <w:t xml:space="preserve">industrial processes, including power generation, </w:t>
      </w:r>
      <w:r w:rsidR="00231210" w:rsidRPr="00A33C66">
        <w:t xml:space="preserve">cooling </w:t>
      </w:r>
      <w:r w:rsidRPr="00A33C66">
        <w:t xml:space="preserve">electronics </w:t>
      </w:r>
      <w:r w:rsidR="00231210" w:rsidRPr="00A33C66">
        <w:t>and</w:t>
      </w:r>
      <w:r w:rsidRPr="00A33C66">
        <w:t xml:space="preserve"> automotive systems, and chemical processing. </w:t>
      </w:r>
      <w:r w:rsidR="00231210" w:rsidRPr="00A33C66">
        <w:t>However, c</w:t>
      </w:r>
      <w:r w:rsidRPr="00A33C66">
        <w:t>onventional heat transfer fluids</w:t>
      </w:r>
      <w:r w:rsidR="00231210" w:rsidRPr="00A33C66">
        <w:t>,</w:t>
      </w:r>
      <w:r w:rsidRPr="00A33C66">
        <w:t xml:space="preserve"> such as water, oil, and ethylene glycol</w:t>
      </w:r>
      <w:r w:rsidR="00231210" w:rsidRPr="00A33C66">
        <w:t>,</w:t>
      </w:r>
      <w:r w:rsidRPr="00A33C66">
        <w:t xml:space="preserve"> exhibit limited thermal conductivity, which limits </w:t>
      </w:r>
      <w:r w:rsidR="00231210" w:rsidRPr="00A33C66">
        <w:t xml:space="preserve">the performance of </w:t>
      </w:r>
      <w:r w:rsidRPr="00A33C66">
        <w:t>heat exchanger</w:t>
      </w:r>
      <w:r w:rsidR="00231210" w:rsidRPr="00A33C66">
        <w:t>s</w:t>
      </w:r>
      <w:r w:rsidRPr="00A33C66">
        <w:t xml:space="preserve">. To </w:t>
      </w:r>
      <w:r w:rsidR="00231210" w:rsidRPr="00A33C66">
        <w:t xml:space="preserve">address </w:t>
      </w:r>
      <w:r w:rsidRPr="00A33C66">
        <w:t xml:space="preserve">this </w:t>
      </w:r>
      <w:r w:rsidR="00231210" w:rsidRPr="00A33C66">
        <w:t>issue</w:t>
      </w:r>
      <w:r w:rsidRPr="00A33C66">
        <w:t xml:space="preserve">, researchers have focused on </w:t>
      </w:r>
      <w:r w:rsidR="00231210" w:rsidRPr="00A33C66">
        <w:t xml:space="preserve">improving </w:t>
      </w:r>
      <w:r w:rsidRPr="00A33C66">
        <w:t>heat transfer characteristics through advanced working fluids.</w:t>
      </w:r>
      <w:r w:rsidR="00231210" w:rsidRPr="00A33C66">
        <w:t xml:space="preserve"> </w:t>
      </w:r>
      <w:r w:rsidRPr="00A33C66">
        <w:t>Nanofluids</w:t>
      </w:r>
      <w:r w:rsidR="00663052" w:rsidRPr="00A33C66">
        <w:t xml:space="preserve"> (NFs)</w:t>
      </w:r>
      <w:r w:rsidRPr="00A33C66">
        <w:t>, engineered suspensions of nanoscale solid particles dispersed in conventional fluids</w:t>
      </w:r>
      <w:r w:rsidR="00663052" w:rsidRPr="00A33C66">
        <w:t xml:space="preserve"> (Choi and Eastman, 1995)</w:t>
      </w:r>
      <w:r w:rsidRPr="00A33C66">
        <w:t xml:space="preserve">, have </w:t>
      </w:r>
      <w:r w:rsidR="00231210" w:rsidRPr="00A33C66">
        <w:t xml:space="preserve">demonstrated significant </w:t>
      </w:r>
      <w:r w:rsidRPr="00A33C66">
        <w:t>improvements in thermal conductivity, heat transfer rates, and overall thermal efficiency</w:t>
      </w:r>
      <w:r w:rsidR="00231210" w:rsidRPr="00A33C66">
        <w:t xml:space="preserve"> (</w:t>
      </w:r>
      <w:r w:rsidR="00663052" w:rsidRPr="00A33C66">
        <w:t>Sajid and Ali, 2019), especially when combined with more efficient devices to further increase savings (Vocciante and Kenig, 2021)</w:t>
      </w:r>
      <w:r w:rsidRPr="00A33C66">
        <w:t>.</w:t>
      </w:r>
      <w:r w:rsidR="00231210" w:rsidRPr="00A33C66">
        <w:t xml:space="preserve"> </w:t>
      </w:r>
      <w:r w:rsidRPr="00A33C66">
        <w:t>The addition of nanoparticles</w:t>
      </w:r>
      <w:r w:rsidR="00231210" w:rsidRPr="00A33C66">
        <w:t>,</w:t>
      </w:r>
      <w:r w:rsidRPr="00A33C66">
        <w:t xml:space="preserve"> such as metal oxides, metals, and carbon-based materials</w:t>
      </w:r>
      <w:r w:rsidR="00231210" w:rsidRPr="00A33C66">
        <w:t>,</w:t>
      </w:r>
      <w:r w:rsidRPr="00A33C66">
        <w:t xml:space="preserve"> significantly </w:t>
      </w:r>
      <w:r w:rsidR="00231210" w:rsidRPr="00A33C66">
        <w:t xml:space="preserve">increases </w:t>
      </w:r>
      <w:r w:rsidRPr="00A33C66">
        <w:t>the effective thermal conductivity of the base fluid</w:t>
      </w:r>
      <w:r w:rsidR="00231210" w:rsidRPr="00A33C66">
        <w:t xml:space="preserve"> (</w:t>
      </w:r>
      <w:r w:rsidR="0028126E" w:rsidRPr="00A33C66">
        <w:t>Yu and Xie, 2012</w:t>
      </w:r>
      <w:r w:rsidR="00231210" w:rsidRPr="00A33C66">
        <w:t>)</w:t>
      </w:r>
      <w:r w:rsidRPr="00A33C66">
        <w:t>. This enhancement arises primarily due to mechanisms such as nanoparticle Brownian motion, thermophoresis, particle-fluid interface layering, and enhanced conduction pathways</w:t>
      </w:r>
      <w:r w:rsidR="00946849" w:rsidRPr="00A33C66">
        <w:t xml:space="preserve"> (</w:t>
      </w:r>
      <w:proofErr w:type="spellStart"/>
      <w:r w:rsidR="0028126E" w:rsidRPr="00A33C66">
        <w:t>Mahian</w:t>
      </w:r>
      <w:proofErr w:type="spellEnd"/>
      <w:r w:rsidR="0028126E" w:rsidRPr="00A33C66">
        <w:t xml:space="preserve"> et al., 2013</w:t>
      </w:r>
      <w:r w:rsidR="00946849" w:rsidRPr="00A33C66">
        <w:t>)</w:t>
      </w:r>
      <w:r w:rsidRPr="00A33C66">
        <w:t>. Experimental investigations have demonstrated notable improvements in convective heat transfer coefficients and overall heat transfer performance when employing nanofluids, even at relatively low particle concentrations</w:t>
      </w:r>
      <w:r w:rsidR="00946849" w:rsidRPr="00A33C66">
        <w:t xml:space="preserve"> (</w:t>
      </w:r>
      <w:proofErr w:type="spellStart"/>
      <w:r w:rsidR="0028126E" w:rsidRPr="00A33C66">
        <w:t>Saidur</w:t>
      </w:r>
      <w:proofErr w:type="spellEnd"/>
      <w:r w:rsidR="0028126E" w:rsidRPr="00A33C66">
        <w:t xml:space="preserve"> et al., 2011</w:t>
      </w:r>
      <w:r w:rsidR="00946849" w:rsidRPr="00A33C66">
        <w:t>)</w:t>
      </w:r>
      <w:r w:rsidRPr="00A33C66">
        <w:t>.</w:t>
      </w:r>
      <w:r w:rsidR="00B217B1" w:rsidRPr="00A33C66">
        <w:t xml:space="preserve"> </w:t>
      </w:r>
    </w:p>
    <w:p w14:paraId="0A575018" w14:textId="7B7FFE10" w:rsidR="00430A3A" w:rsidRPr="00A33C66" w:rsidRDefault="00430A3A" w:rsidP="0063266E">
      <w:pPr>
        <w:pStyle w:val="CETBodytext"/>
      </w:pPr>
      <w:r w:rsidRPr="00A33C66">
        <w:t xml:space="preserve">As a result, the use of </w:t>
      </w:r>
      <w:r w:rsidR="00521ACA" w:rsidRPr="00A33C66">
        <w:t>NFs</w:t>
      </w:r>
      <w:r w:rsidRPr="00A33C66">
        <w:t xml:space="preserve"> </w:t>
      </w:r>
      <w:r w:rsidR="00521ACA" w:rsidRPr="00A33C66">
        <w:t>in different</w:t>
      </w:r>
      <w:r w:rsidRPr="00A33C66">
        <w:t xml:space="preserve"> applications has recently been explored showing encouraging potential </w:t>
      </w:r>
      <w:r w:rsidRPr="00A33C66">
        <w:rPr>
          <w:color w:val="000000" w:themeColor="text1"/>
        </w:rPr>
        <w:t>(Sathishkumar et al., 2024).</w:t>
      </w:r>
      <w:r w:rsidR="7EB6F2BA" w:rsidRPr="00A33C66">
        <w:rPr>
          <w:color w:val="000000" w:themeColor="text1"/>
        </w:rPr>
        <w:t xml:space="preserve"> </w:t>
      </w:r>
      <w:r w:rsidR="00350A1D" w:rsidRPr="00A33C66">
        <w:rPr>
          <w:color w:val="000000" w:themeColor="text1"/>
        </w:rPr>
        <w:t>This</w:t>
      </w:r>
      <w:r w:rsidR="00EF0481" w:rsidRPr="00A33C66">
        <w:rPr>
          <w:color w:val="000000" w:themeColor="text1"/>
        </w:rPr>
        <w:t xml:space="preserve"> is not limited to the industrial sector, </w:t>
      </w:r>
      <w:r w:rsidR="00350A1D" w:rsidRPr="00A33C66">
        <w:rPr>
          <w:color w:val="000000" w:themeColor="text1"/>
        </w:rPr>
        <w:t>includ</w:t>
      </w:r>
      <w:r w:rsidR="00FC6A2F" w:rsidRPr="00A33C66">
        <w:rPr>
          <w:color w:val="000000" w:themeColor="text1"/>
        </w:rPr>
        <w:t>ing for instance</w:t>
      </w:r>
      <w:r w:rsidR="00350A1D" w:rsidRPr="00A33C66">
        <w:rPr>
          <w:color w:val="000000" w:themeColor="text1"/>
        </w:rPr>
        <w:t xml:space="preserve"> buildings application, where it not only improves energy efficiency, but also enhances the resilience of buildings to climate change </w:t>
      </w:r>
      <w:r w:rsidR="00350A1D" w:rsidRPr="00A33C66">
        <w:rPr>
          <w:color w:val="000000" w:themeColor="text1"/>
        </w:rPr>
        <w:lastRenderedPageBreak/>
        <w:t>(Peri et al., 2024)</w:t>
      </w:r>
      <w:r w:rsidR="00FC6A2F" w:rsidRPr="00A33C66">
        <w:rPr>
          <w:color w:val="000000" w:themeColor="text1"/>
        </w:rPr>
        <w:t>.</w:t>
      </w:r>
      <w:r w:rsidR="00350A1D" w:rsidRPr="00A33C66">
        <w:rPr>
          <w:color w:val="000000" w:themeColor="text1"/>
        </w:rPr>
        <w:t xml:space="preserve"> </w:t>
      </w:r>
      <w:r w:rsidR="00FC6A2F" w:rsidRPr="00A33C66">
        <w:rPr>
          <w:color w:val="000000" w:themeColor="text1"/>
        </w:rPr>
        <w:t xml:space="preserve">This is in line with </w:t>
      </w:r>
      <w:r w:rsidR="00350A1D" w:rsidRPr="00A33C66">
        <w:rPr>
          <w:color w:val="000000" w:themeColor="text1"/>
        </w:rPr>
        <w:t>recommend</w:t>
      </w:r>
      <w:r w:rsidR="00FC6A2F" w:rsidRPr="00A33C66">
        <w:rPr>
          <w:color w:val="000000" w:themeColor="text1"/>
        </w:rPr>
        <w:t>ations from</w:t>
      </w:r>
      <w:r w:rsidR="00350A1D" w:rsidRPr="00A33C66">
        <w:rPr>
          <w:color w:val="000000" w:themeColor="text1"/>
        </w:rPr>
        <w:t xml:space="preserve"> various European and national directives (Cirrincione et al., 2023a). </w:t>
      </w:r>
      <w:r w:rsidR="00E72560" w:rsidRPr="00A33C66">
        <w:rPr>
          <w:color w:val="000000" w:themeColor="text1"/>
        </w:rPr>
        <w:t>Indeed, e</w:t>
      </w:r>
      <w:r w:rsidRPr="00A33C66">
        <w:rPr>
          <w:color w:val="000000" w:themeColor="text1"/>
        </w:rPr>
        <w:t>nergy-efficient, smart and flexible energy storage and exchange systems</w:t>
      </w:r>
      <w:r w:rsidR="004A1C10" w:rsidRPr="00A33C66">
        <w:rPr>
          <w:color w:val="000000" w:themeColor="text1"/>
        </w:rPr>
        <w:t xml:space="preserve"> (Cirrincione et al., 2023</w:t>
      </w:r>
      <w:r w:rsidR="00272F70" w:rsidRPr="00A33C66">
        <w:rPr>
          <w:color w:val="000000" w:themeColor="text1"/>
        </w:rPr>
        <w:t>b</w:t>
      </w:r>
      <w:r w:rsidR="004A1C10" w:rsidRPr="00A33C66">
        <w:rPr>
          <w:color w:val="000000" w:themeColor="text1"/>
        </w:rPr>
        <w:t>)</w:t>
      </w:r>
      <w:r w:rsidR="00E72560" w:rsidRPr="00A33C66">
        <w:rPr>
          <w:color w:val="000000" w:themeColor="text1"/>
        </w:rPr>
        <w:t>, including integrate renewable solutions (Cirrincione et al., 2020),</w:t>
      </w:r>
      <w:r w:rsidRPr="00A33C66">
        <w:rPr>
          <w:color w:val="000000" w:themeColor="text1"/>
        </w:rPr>
        <w:t xml:space="preserve"> are vital for sustainable energy management within district energy systems (Cirrincione et al., 2022)</w:t>
      </w:r>
      <w:r w:rsidR="00117A84" w:rsidRPr="00A33C66">
        <w:rPr>
          <w:color w:val="000000" w:themeColor="text1"/>
        </w:rPr>
        <w:t xml:space="preserve">. </w:t>
      </w:r>
    </w:p>
    <w:p w14:paraId="403E8D5B" w14:textId="67424C2C" w:rsidR="0063266E" w:rsidRPr="00A33C66" w:rsidRDefault="0063266E" w:rsidP="0028126E">
      <w:pPr>
        <w:pStyle w:val="CETBodytext"/>
      </w:pPr>
      <w:r w:rsidRPr="00A33C66">
        <w:t>Despite their promising performance, nanofluids present practical challenges</w:t>
      </w:r>
      <w:r w:rsidR="00946849" w:rsidRPr="00A33C66">
        <w:t>, including</w:t>
      </w:r>
      <w:r w:rsidRPr="00A33C66">
        <w:t xml:space="preserve"> particle sedimentation</w:t>
      </w:r>
      <w:r w:rsidR="00946849" w:rsidRPr="00A33C66">
        <w:t xml:space="preserve"> and </w:t>
      </w:r>
      <w:r w:rsidRPr="00A33C66">
        <w:t xml:space="preserve">agglomeration, </w:t>
      </w:r>
      <w:r w:rsidR="00946849" w:rsidRPr="00A33C66">
        <w:t xml:space="preserve">as well as </w:t>
      </w:r>
      <w:r w:rsidRPr="00A33C66">
        <w:t>associated stability concerns</w:t>
      </w:r>
      <w:r w:rsidR="00946849" w:rsidRPr="00A33C66">
        <w:t xml:space="preserve"> (</w:t>
      </w:r>
      <w:proofErr w:type="spellStart"/>
      <w:r w:rsidR="00AC4B2A" w:rsidRPr="00A33C66">
        <w:t>Reverberi</w:t>
      </w:r>
      <w:proofErr w:type="spellEnd"/>
      <w:r w:rsidR="00AC4B2A" w:rsidRPr="00A33C66">
        <w:t xml:space="preserve"> et al., 2022</w:t>
      </w:r>
      <w:r w:rsidR="00946849" w:rsidRPr="00A33C66">
        <w:t>)</w:t>
      </w:r>
      <w:r w:rsidRPr="00A33C66">
        <w:t>. These challenges limit scalability</w:t>
      </w:r>
      <w:r w:rsidR="00946849" w:rsidRPr="00A33C66">
        <w:t>,</w:t>
      </w:r>
      <w:r w:rsidRPr="00A33C66">
        <w:t xml:space="preserve"> create difficulties in maintaining consistent thermal properties, </w:t>
      </w:r>
      <w:r w:rsidR="00946849" w:rsidRPr="00A33C66">
        <w:t xml:space="preserve">and make </w:t>
      </w:r>
      <w:r w:rsidRPr="00A33C66">
        <w:t>experimental studies complex, costly, and often time-consuming. Consequently, numerical simulations, in particular Computational Fluid Dynamics (CFD), have emerged as a powerful</w:t>
      </w:r>
      <w:r w:rsidR="009A7008" w:rsidRPr="00A33C66">
        <w:t>,</w:t>
      </w:r>
      <w:r w:rsidRPr="00A33C66">
        <w:t xml:space="preserve"> </w:t>
      </w:r>
      <w:r w:rsidR="009A7008" w:rsidRPr="00A33C66">
        <w:t xml:space="preserve">complementary </w:t>
      </w:r>
      <w:r w:rsidRPr="00A33C66">
        <w:t>approach to predict, analyze, and optimize nanofluid performance under different conditions.</w:t>
      </w:r>
    </w:p>
    <w:p w14:paraId="3AC1ACF2" w14:textId="7F1C9C73" w:rsidR="0063266E" w:rsidRPr="00A33C66" w:rsidRDefault="0063266E" w:rsidP="006C4D57">
      <w:pPr>
        <w:pStyle w:val="CETBodytext"/>
      </w:pPr>
      <w:r w:rsidRPr="00A33C66">
        <w:t>CFD simulations may offer significant advantages, providing detailed insights into fluid flow and thermal behavior, reducing the reliance on extensive experimental setups, and enabling rapid exploration of numerous design parameters. Through CFD, researchers can accurately simulate various particle-fluid interactions, assess heat transfer enhancements, and systematically optimize nanofluid formulations for targeted industrial applications.</w:t>
      </w:r>
      <w:r w:rsidR="00833C35" w:rsidRPr="00A33C66">
        <w:t xml:space="preserve"> Of the </w:t>
      </w:r>
      <w:r w:rsidR="002E05C7" w:rsidRPr="00A33C66">
        <w:t>various</w:t>
      </w:r>
      <w:r w:rsidR="00833C35" w:rsidRPr="00A33C66">
        <w:t xml:space="preserve"> available tools, </w:t>
      </w:r>
      <w:proofErr w:type="spellStart"/>
      <w:r w:rsidR="00833C35" w:rsidRPr="00A33C66">
        <w:t>OpenFOAM</w:t>
      </w:r>
      <w:proofErr w:type="spellEnd"/>
      <w:r w:rsidR="00833C35" w:rsidRPr="00A33C66">
        <w:t>, an open-source CFD software package, is particularly advantageous due to its flexibility, cost-effectiveness, and ability to model complex multiphase interactions using advanced numerical schemes (</w:t>
      </w:r>
      <w:r w:rsidR="006C4D57" w:rsidRPr="00A33C66">
        <w:t>Weller et al., 1998</w:t>
      </w:r>
      <w:r w:rsidR="00833C35" w:rsidRPr="00A33C66">
        <w:t>).</w:t>
      </w:r>
    </w:p>
    <w:p w14:paraId="0560D3EC" w14:textId="78B50409" w:rsidR="0063266E" w:rsidRPr="00A33C66" w:rsidRDefault="0063266E" w:rsidP="0063266E">
      <w:pPr>
        <w:pStyle w:val="CETBodytext"/>
      </w:pPr>
      <w:r w:rsidRPr="00A33C66">
        <w:t xml:space="preserve">This study utilizes CFD simulations performed with </w:t>
      </w:r>
      <w:proofErr w:type="spellStart"/>
      <w:r w:rsidRPr="00A33C66">
        <w:t>OpenFOAM</w:t>
      </w:r>
      <w:proofErr w:type="spellEnd"/>
      <w:r w:rsidRPr="00A33C66">
        <w:t xml:space="preserve"> </w:t>
      </w:r>
      <w:r w:rsidR="000E5949" w:rsidRPr="00A33C66">
        <w:t xml:space="preserve">(OF) </w:t>
      </w:r>
      <w:r w:rsidRPr="00A33C66">
        <w:t xml:space="preserve">to investigate the thermal and flow characteristics of </w:t>
      </w:r>
      <w:proofErr w:type="spellStart"/>
      <w:r w:rsidRPr="00A33C66">
        <w:t>CuO</w:t>
      </w:r>
      <w:proofErr w:type="spellEnd"/>
      <w:r w:rsidRPr="00A33C66">
        <w:t xml:space="preserve">-water and </w:t>
      </w:r>
      <w:proofErr w:type="spellStart"/>
      <w:r w:rsidRPr="00A33C66">
        <w:t>Al</w:t>
      </w:r>
      <w:r w:rsidRPr="00A33C66">
        <w:rPr>
          <w:rFonts w:ascii="Cambria Math" w:hAnsi="Cambria Math" w:cs="Cambria Math"/>
        </w:rPr>
        <w:t>₂</w:t>
      </w:r>
      <w:r w:rsidRPr="00A33C66">
        <w:t>O</w:t>
      </w:r>
      <w:proofErr w:type="spellEnd"/>
      <w:r w:rsidRPr="00A33C66">
        <w:rPr>
          <w:rFonts w:ascii="Cambria Math" w:hAnsi="Cambria Math" w:cs="Cambria Math"/>
        </w:rPr>
        <w:t>₃</w:t>
      </w:r>
      <w:r w:rsidRPr="00A33C66">
        <w:t xml:space="preserve">-water nanofluids. By validating </w:t>
      </w:r>
      <w:r w:rsidR="5F829326" w:rsidRPr="00A33C66">
        <w:t>numerical</w:t>
      </w:r>
      <w:r w:rsidRPr="00A33C66">
        <w:t xml:space="preserve"> models against rigorous experimental data, </w:t>
      </w:r>
      <w:r w:rsidR="00833C35" w:rsidRPr="00A33C66">
        <w:t xml:space="preserve">the </w:t>
      </w:r>
      <w:r w:rsidRPr="00A33C66">
        <w:t xml:space="preserve">research ensures high prediction accuracy. </w:t>
      </w:r>
      <w:r w:rsidR="00833C35" w:rsidRPr="00A33C66">
        <w:t>T</w:t>
      </w:r>
      <w:r w:rsidRPr="00A33C66">
        <w:t xml:space="preserve">he models are </w:t>
      </w:r>
      <w:r w:rsidR="00833C35" w:rsidRPr="00A33C66">
        <w:t xml:space="preserve">also </w:t>
      </w:r>
      <w:r w:rsidRPr="00A33C66">
        <w:t xml:space="preserve">extended to investigate the performance implications of hybrid nanoparticle mixtures and </w:t>
      </w:r>
      <w:r w:rsidR="00833C35" w:rsidRPr="00A33C66">
        <w:t>various</w:t>
      </w:r>
      <w:r w:rsidRPr="00A33C66">
        <w:t xml:space="preserve"> particle concentrations, providing a thorough and comprehensive approach to optimizing heat exchanger designs. The </w:t>
      </w:r>
      <w:proofErr w:type="gramStart"/>
      <w:r w:rsidRPr="00A33C66">
        <w:t>outcomes</w:t>
      </w:r>
      <w:proofErr w:type="gramEnd"/>
      <w:r w:rsidRPr="00A33C66">
        <w:t xml:space="preserve"> of this study </w:t>
      </w:r>
      <w:proofErr w:type="gramStart"/>
      <w:r w:rsidRPr="00A33C66">
        <w:t>aim</w:t>
      </w:r>
      <w:proofErr w:type="gramEnd"/>
      <w:r w:rsidRPr="00A33C66">
        <w:t xml:space="preserve"> to provide practical insights and guidelines for the effective implementation of nanofluid technology in various thermal management applications, promoting energy efficiency and improving the thermal performance of industrial processes.</w:t>
      </w:r>
    </w:p>
    <w:p w14:paraId="09406386" w14:textId="2933B9FD" w:rsidR="00453E24" w:rsidRPr="00A33C66" w:rsidRDefault="00111C0B" w:rsidP="00BE30AE">
      <w:pPr>
        <w:pStyle w:val="CETHeading1"/>
      </w:pPr>
      <w:r w:rsidRPr="00A33C66">
        <w:t>Material and Methods</w:t>
      </w:r>
    </w:p>
    <w:p w14:paraId="0636B784" w14:textId="34AB9DAC" w:rsidR="00453E24" w:rsidRPr="00A33C66" w:rsidRDefault="00111C0B" w:rsidP="00453E24">
      <w:pPr>
        <w:pStyle w:val="CETheadingx"/>
      </w:pPr>
      <w:r w:rsidRPr="00A33C66">
        <w:t>Nanofluid Preparation and Properties</w:t>
      </w:r>
    </w:p>
    <w:p w14:paraId="7C2B0064" w14:textId="0E7222AA" w:rsidR="00453E24" w:rsidRPr="00A33C66" w:rsidRDefault="00111C0B" w:rsidP="00453E24">
      <w:pPr>
        <w:pStyle w:val="CETBodytext"/>
      </w:pPr>
      <w:r w:rsidRPr="00A33C66">
        <w:t>Nanofluids were prepared using distilled (DI) water as the base fluid. To improve dispersion stability, 1</w:t>
      </w:r>
      <w:r w:rsidR="009D6A1C" w:rsidRPr="00A33C66">
        <w:t xml:space="preserve"> </w:t>
      </w:r>
      <w:r w:rsidRPr="00A33C66">
        <w:t>vol</w:t>
      </w:r>
      <w:r w:rsidR="00F73476" w:rsidRPr="00A33C66">
        <w:t xml:space="preserve"> %</w:t>
      </w:r>
      <w:r w:rsidRPr="00A33C66">
        <w:t xml:space="preserve"> of sodium dodecyl sulfate (SDS) surfactant was added to the DI water</w:t>
      </w:r>
      <w:r w:rsidR="00BE30AE" w:rsidRPr="00A33C66">
        <w:t>.</w:t>
      </w:r>
      <w:r w:rsidRPr="00A33C66">
        <w:t xml:space="preserve"> </w:t>
      </w:r>
      <w:r w:rsidR="00BE30AE" w:rsidRPr="00A33C66">
        <w:t xml:space="preserve">The mixture was then </w:t>
      </w:r>
      <w:r w:rsidRPr="00A33C66">
        <w:t xml:space="preserve">stirred at 500 rpm for 15 min to ensure uniform distribution. Commercially sourced </w:t>
      </w:r>
      <w:proofErr w:type="spellStart"/>
      <w:r w:rsidRPr="00A33C66">
        <w:t>CuO</w:t>
      </w:r>
      <w:proofErr w:type="spellEnd"/>
      <w:r w:rsidRPr="00A33C66">
        <w:t xml:space="preserve"> and </w:t>
      </w:r>
      <w:proofErr w:type="spellStart"/>
      <w:r w:rsidRPr="00A33C66">
        <w:t>Al</w:t>
      </w:r>
      <w:r w:rsidRPr="00A33C66">
        <w:rPr>
          <w:rFonts w:ascii="Cambria Math" w:hAnsi="Cambria Math" w:cs="Cambria Math"/>
        </w:rPr>
        <w:t>₂</w:t>
      </w:r>
      <w:r w:rsidRPr="00A33C66">
        <w:t>O</w:t>
      </w:r>
      <w:proofErr w:type="spellEnd"/>
      <w:r w:rsidRPr="00A33C66">
        <w:rPr>
          <w:rFonts w:ascii="Cambria Math" w:hAnsi="Cambria Math" w:cs="Cambria Math"/>
        </w:rPr>
        <w:t>₃</w:t>
      </w:r>
      <w:r w:rsidRPr="00A33C66">
        <w:t xml:space="preserve"> nanoparticles, with average diameters of approximately 30 nm and 50 nm</w:t>
      </w:r>
      <w:r w:rsidR="00BE30AE" w:rsidRPr="00A33C66">
        <w:t>,</w:t>
      </w:r>
      <w:r w:rsidRPr="00A33C66">
        <w:t xml:space="preserve"> respectively, were then measured using a precision balance. </w:t>
      </w:r>
      <w:r w:rsidR="00BE30AE" w:rsidRPr="00A33C66">
        <w:t xml:space="preserve">The </w:t>
      </w:r>
      <w:r w:rsidR="002E05C7" w:rsidRPr="00A33C66">
        <w:t>masses</w:t>
      </w:r>
      <w:r w:rsidRPr="00A33C66">
        <w:t xml:space="preserve"> were selected to achieve target nanoparticle weight fraction of approximately 0.1</w:t>
      </w:r>
      <w:r w:rsidR="009D6A1C" w:rsidRPr="00A33C66">
        <w:t xml:space="preserve"> </w:t>
      </w:r>
      <w:r w:rsidRPr="00A33C66">
        <w:t>% and 0.5</w:t>
      </w:r>
      <w:r w:rsidR="009D6A1C" w:rsidRPr="00A33C66">
        <w:t xml:space="preserve"> </w:t>
      </w:r>
      <w:r w:rsidRPr="00A33C66">
        <w:t xml:space="preserve">%, calculated using the </w:t>
      </w:r>
      <w:r w:rsidR="00BE30AE" w:rsidRPr="00A33C66">
        <w:t xml:space="preserve">following </w:t>
      </w:r>
      <w:r w:rsidRPr="00A33C66">
        <w:t>formula:</w:t>
      </w:r>
    </w:p>
    <w:tbl>
      <w:tblPr>
        <w:tblW w:w="5000" w:type="pct"/>
        <w:tblLook w:val="04A0" w:firstRow="1" w:lastRow="0" w:firstColumn="1" w:lastColumn="0" w:noHBand="0" w:noVBand="1"/>
      </w:tblPr>
      <w:tblGrid>
        <w:gridCol w:w="7982"/>
        <w:gridCol w:w="805"/>
      </w:tblGrid>
      <w:tr w:rsidR="001D78EF" w:rsidRPr="00A33C66" w14:paraId="73EFE4D6" w14:textId="77777777" w:rsidTr="001D78EF">
        <w:tc>
          <w:tcPr>
            <w:tcW w:w="7982" w:type="dxa"/>
            <w:vAlign w:val="center"/>
          </w:tcPr>
          <w:p w14:paraId="6752BF54" w14:textId="77777777" w:rsidR="001D78EF" w:rsidRPr="00A33C66" w:rsidRDefault="001D78EF" w:rsidP="006E3440">
            <w:pPr>
              <w:pStyle w:val="CETEquation"/>
              <w:rPr>
                <w:sz w:val="20"/>
                <w:szCs w:val="22"/>
                <w:lang w:val="en-US" w:eastAsia="it-IT"/>
              </w:rPr>
            </w:pPr>
            <m:oMath>
              <m:r>
                <w:rPr>
                  <w:rFonts w:ascii="Cambria Math" w:hAnsi="Cambria Math"/>
                  <w:sz w:val="20"/>
                  <w:szCs w:val="22"/>
                  <w:lang w:val="en-US" w:eastAsia="it-IT"/>
                </w:rPr>
                <m:t>w=</m:t>
              </m:r>
              <m:r>
                <m:rPr>
                  <m:lit/>
                </m:rPr>
                <w:rPr>
                  <w:rFonts w:ascii="Cambria Math" w:hAnsi="Cambria Math"/>
                  <w:sz w:val="20"/>
                  <w:szCs w:val="22"/>
                  <w:lang w:val="en-US" w:eastAsia="it-IT"/>
                </w:rPr>
                <m:t xml:space="preserve"> </m:t>
              </m:r>
              <m:f>
                <m:fPr>
                  <m:ctrlPr>
                    <w:rPr>
                      <w:rFonts w:ascii="Cambria Math" w:hAnsi="Cambria Math"/>
                      <w:i/>
                      <w:sz w:val="20"/>
                      <w:szCs w:val="22"/>
                      <w:lang w:val="en-US" w:eastAsia="it-IT"/>
                    </w:rPr>
                  </m:ctrlPr>
                </m:fPr>
                <m:num>
                  <w:bookmarkStart w:id="0" w:name="_Hlk203001022"/>
                  <m:sSub>
                    <m:sSubPr>
                      <m:ctrlPr>
                        <w:rPr>
                          <w:rFonts w:ascii="Cambria Math" w:hAnsi="Cambria Math"/>
                          <w:i/>
                          <w:sz w:val="20"/>
                          <w:szCs w:val="22"/>
                          <w:lang w:val="en-US" w:eastAsia="it-IT"/>
                        </w:rPr>
                      </m:ctrlPr>
                    </m:sSubPr>
                    <m:e>
                      <m:r>
                        <m:rPr>
                          <m:sty m:val="p"/>
                        </m:rPr>
                        <w:rPr>
                          <w:rFonts w:ascii="Cambria Math" w:hAnsi="Cambria Math"/>
                          <w:sz w:val="20"/>
                          <w:szCs w:val="22"/>
                          <w:lang w:val="en-US" w:eastAsia="it-IT"/>
                        </w:rPr>
                        <m:t>m</m:t>
                      </m:r>
                    </m:e>
                    <m:sub>
                      <m:r>
                        <w:rPr>
                          <w:rFonts w:ascii="Cambria Math" w:hAnsi="Cambria Math"/>
                          <w:sz w:val="20"/>
                          <w:szCs w:val="22"/>
                          <w:lang w:val="en-US" w:eastAsia="it-IT"/>
                        </w:rPr>
                        <m:t>np</m:t>
                      </m:r>
                    </m:sub>
                  </m:sSub>
                  <w:bookmarkEnd w:id="0"/>
                </m:num>
                <m:den>
                  <m:sSub>
                    <m:sSubPr>
                      <m:ctrlPr>
                        <w:rPr>
                          <w:rFonts w:ascii="Cambria Math" w:hAnsi="Cambria Math"/>
                          <w:i/>
                          <w:sz w:val="20"/>
                          <w:szCs w:val="22"/>
                          <w:lang w:val="en-US" w:eastAsia="it-IT"/>
                        </w:rPr>
                      </m:ctrlPr>
                    </m:sSubPr>
                    <m:e>
                      <m:r>
                        <m:rPr>
                          <m:sty m:val="p"/>
                        </m:rPr>
                        <w:rPr>
                          <w:rFonts w:ascii="Cambria Math" w:hAnsi="Cambria Math"/>
                          <w:sz w:val="20"/>
                          <w:szCs w:val="22"/>
                          <w:lang w:val="en-US" w:eastAsia="it-IT"/>
                        </w:rPr>
                        <m:t>m</m:t>
                      </m:r>
                    </m:e>
                    <m:sub>
                      <m:r>
                        <w:rPr>
                          <w:rFonts w:ascii="Cambria Math" w:hAnsi="Cambria Math"/>
                          <w:sz w:val="20"/>
                          <w:szCs w:val="22"/>
                          <w:lang w:val="en-US" w:eastAsia="it-IT"/>
                        </w:rPr>
                        <m:t>np</m:t>
                      </m:r>
                    </m:sub>
                  </m:sSub>
                  <m:r>
                    <w:rPr>
                      <w:rFonts w:ascii="Cambria Math" w:hAnsi="Cambria Math"/>
                      <w:sz w:val="20"/>
                      <w:szCs w:val="22"/>
                      <w:lang w:val="en-US" w:eastAsia="it-IT"/>
                    </w:rPr>
                    <m:t>+</m:t>
                  </m:r>
                  <m:sSub>
                    <m:sSubPr>
                      <m:ctrlPr>
                        <w:rPr>
                          <w:rFonts w:ascii="Cambria Math" w:hAnsi="Cambria Math"/>
                          <w:i/>
                          <w:sz w:val="20"/>
                          <w:szCs w:val="22"/>
                          <w:lang w:val="en-US" w:eastAsia="it-IT"/>
                        </w:rPr>
                      </m:ctrlPr>
                    </m:sSubPr>
                    <m:e>
                      <m:r>
                        <w:rPr>
                          <w:rFonts w:ascii="Cambria Math" w:hAnsi="Cambria Math"/>
                          <w:sz w:val="20"/>
                          <w:szCs w:val="22"/>
                          <w:lang w:val="en-US" w:eastAsia="it-IT"/>
                        </w:rPr>
                        <m:t>ρ</m:t>
                      </m:r>
                    </m:e>
                    <m:sub>
                      <m:r>
                        <w:rPr>
                          <w:rFonts w:ascii="Cambria Math" w:hAnsi="Cambria Math"/>
                          <w:sz w:val="20"/>
                          <w:szCs w:val="22"/>
                          <w:lang w:val="en-US" w:eastAsia="it-IT"/>
                        </w:rPr>
                        <m:t>f</m:t>
                      </m:r>
                    </m:sub>
                  </m:sSub>
                  <m:r>
                    <w:rPr>
                      <w:rFonts w:ascii="Cambria Math" w:hAnsi="Cambria Math"/>
                      <w:sz w:val="20"/>
                      <w:szCs w:val="22"/>
                      <w:lang w:val="en-US" w:eastAsia="it-IT"/>
                    </w:rPr>
                    <m:t>∙</m:t>
                  </m:r>
                  <m:sSub>
                    <m:sSubPr>
                      <m:ctrlPr>
                        <w:rPr>
                          <w:rFonts w:ascii="Cambria Math" w:hAnsi="Cambria Math"/>
                          <w:i/>
                          <w:sz w:val="20"/>
                          <w:szCs w:val="22"/>
                          <w:lang w:val="en-US" w:eastAsia="it-IT"/>
                        </w:rPr>
                      </m:ctrlPr>
                    </m:sSubPr>
                    <m:e>
                      <m:r>
                        <m:rPr>
                          <m:sty m:val="p"/>
                        </m:rPr>
                        <w:rPr>
                          <w:rFonts w:ascii="Cambria Math" w:hAnsi="Cambria Math"/>
                          <w:sz w:val="20"/>
                          <w:szCs w:val="22"/>
                          <w:lang w:val="en-US" w:eastAsia="it-IT"/>
                        </w:rPr>
                        <m:t>V</m:t>
                      </m:r>
                    </m:e>
                    <m:sub>
                      <m:r>
                        <w:rPr>
                          <w:rFonts w:ascii="Cambria Math" w:hAnsi="Cambria Math"/>
                          <w:sz w:val="20"/>
                          <w:szCs w:val="22"/>
                          <w:lang w:val="en-US" w:eastAsia="it-IT"/>
                        </w:rPr>
                        <m:t>f</m:t>
                      </m:r>
                      <m:r>
                        <m:rPr>
                          <m:lit/>
                        </m:rPr>
                        <w:rPr>
                          <w:rFonts w:ascii="Cambria Math" w:hAnsi="Cambria Math"/>
                          <w:sz w:val="20"/>
                          <w:szCs w:val="22"/>
                          <w:lang w:val="en-US" w:eastAsia="it-IT"/>
                        </w:rPr>
                        <m:t xml:space="preserve"> </m:t>
                      </m:r>
                    </m:sub>
                  </m:sSub>
                </m:den>
              </m:f>
            </m:oMath>
            <w:r w:rsidRPr="00A33C66">
              <w:rPr>
                <w:sz w:val="20"/>
                <w:szCs w:val="22"/>
                <w:lang w:val="en-US" w:eastAsia="it-IT"/>
              </w:rPr>
              <w:t xml:space="preserve"> , </w:t>
            </w:r>
            <m:oMath>
              <m:r>
                <w:rPr>
                  <w:rFonts w:ascii="Cambria Math" w:hAnsi="Cambria Math"/>
                  <w:sz w:val="20"/>
                  <w:szCs w:val="22"/>
                  <w:lang w:val="en-US" w:eastAsia="it-IT"/>
                </w:rPr>
                <m:t>ϕ</m:t>
              </m:r>
              <m:r>
                <m:rPr>
                  <m:lit/>
                </m:rPr>
                <w:rPr>
                  <w:rFonts w:ascii="Cambria Math" w:hAnsi="Cambria Math"/>
                  <w:sz w:val="20"/>
                  <w:szCs w:val="22"/>
                  <w:lang w:val="en-US" w:eastAsia="it-IT"/>
                </w:rPr>
                <m:t xml:space="preserve"> </m:t>
              </m:r>
              <m:r>
                <w:rPr>
                  <w:rFonts w:ascii="Cambria Math" w:hAnsi="Cambria Math"/>
                  <w:sz w:val="20"/>
                  <w:szCs w:val="22"/>
                  <w:lang w:val="en-US" w:eastAsia="it-IT"/>
                </w:rPr>
                <m:t>=</m:t>
              </m:r>
              <m:r>
                <m:rPr>
                  <m:lit/>
                </m:rPr>
                <w:rPr>
                  <w:rFonts w:ascii="Cambria Math" w:hAnsi="Cambria Math"/>
                  <w:sz w:val="20"/>
                  <w:szCs w:val="22"/>
                  <w:lang w:val="en-US" w:eastAsia="it-IT"/>
                </w:rPr>
                <m:t xml:space="preserve"> </m:t>
              </m:r>
              <m:f>
                <m:fPr>
                  <m:ctrlPr>
                    <w:rPr>
                      <w:rFonts w:ascii="Cambria Math" w:hAnsi="Cambria Math"/>
                      <w:i/>
                      <w:sz w:val="20"/>
                      <w:szCs w:val="22"/>
                      <w:lang w:val="en-US" w:eastAsia="it-IT"/>
                    </w:rPr>
                  </m:ctrlPr>
                </m:fPr>
                <m:num>
                  <m:f>
                    <m:fPr>
                      <m:ctrlPr>
                        <w:rPr>
                          <w:rFonts w:ascii="Cambria Math" w:hAnsi="Cambria Math"/>
                          <w:i/>
                          <w:sz w:val="20"/>
                          <w:szCs w:val="22"/>
                          <w:lang w:val="en-US" w:eastAsia="it-IT"/>
                        </w:rPr>
                      </m:ctrlPr>
                    </m:fPr>
                    <m:num>
                      <m:sSub>
                        <m:sSubPr>
                          <m:ctrlPr>
                            <w:rPr>
                              <w:rFonts w:ascii="Cambria Math" w:hAnsi="Cambria Math"/>
                              <w:i/>
                              <w:sz w:val="20"/>
                              <w:szCs w:val="22"/>
                              <w:lang w:val="en-US" w:eastAsia="it-IT"/>
                            </w:rPr>
                          </m:ctrlPr>
                        </m:sSubPr>
                        <m:e>
                          <m:r>
                            <m:rPr>
                              <m:sty m:val="p"/>
                            </m:rPr>
                            <w:rPr>
                              <w:rFonts w:ascii="Cambria Math" w:hAnsi="Cambria Math"/>
                              <w:sz w:val="20"/>
                              <w:szCs w:val="22"/>
                              <w:lang w:val="en-US" w:eastAsia="it-IT"/>
                            </w:rPr>
                            <m:t>m</m:t>
                          </m:r>
                        </m:e>
                        <m:sub>
                          <m:r>
                            <w:rPr>
                              <w:rFonts w:ascii="Cambria Math" w:hAnsi="Cambria Math"/>
                              <w:sz w:val="20"/>
                              <w:szCs w:val="22"/>
                              <w:lang w:val="en-US" w:eastAsia="it-IT"/>
                            </w:rPr>
                            <m:t>np</m:t>
                          </m:r>
                        </m:sub>
                      </m:sSub>
                    </m:num>
                    <m:den>
                      <w:bookmarkStart w:id="1" w:name="_Hlk203001037"/>
                      <m:sSub>
                        <m:sSubPr>
                          <m:ctrlPr>
                            <w:rPr>
                              <w:rFonts w:ascii="Cambria Math" w:hAnsi="Cambria Math"/>
                              <w:i/>
                              <w:sz w:val="20"/>
                              <w:szCs w:val="22"/>
                              <w:lang w:val="en-US" w:eastAsia="it-IT"/>
                            </w:rPr>
                          </m:ctrlPr>
                        </m:sSubPr>
                        <m:e>
                          <m:r>
                            <w:rPr>
                              <w:rFonts w:ascii="Cambria Math" w:hAnsi="Cambria Math"/>
                              <w:sz w:val="20"/>
                              <w:szCs w:val="22"/>
                              <w:lang w:val="en-US" w:eastAsia="it-IT"/>
                            </w:rPr>
                            <m:t>ρ</m:t>
                          </m:r>
                        </m:e>
                        <m:sub>
                          <m:r>
                            <w:rPr>
                              <w:rFonts w:ascii="Cambria Math" w:hAnsi="Cambria Math"/>
                              <w:sz w:val="20"/>
                              <w:szCs w:val="22"/>
                              <w:lang w:val="en-US" w:eastAsia="it-IT"/>
                            </w:rPr>
                            <m:t>np</m:t>
                          </m:r>
                        </m:sub>
                      </m:sSub>
                      <w:bookmarkEnd w:id="1"/>
                    </m:den>
                  </m:f>
                </m:num>
                <m:den>
                  <m:sSub>
                    <m:sSubPr>
                      <m:ctrlPr>
                        <w:rPr>
                          <w:rFonts w:ascii="Cambria Math" w:hAnsi="Cambria Math"/>
                          <w:i/>
                          <w:sz w:val="20"/>
                          <w:szCs w:val="22"/>
                          <w:lang w:val="en-US" w:eastAsia="it-IT"/>
                        </w:rPr>
                      </m:ctrlPr>
                    </m:sSubPr>
                    <m:e>
                      <m:r>
                        <m:rPr>
                          <m:sty m:val="p"/>
                        </m:rPr>
                        <w:rPr>
                          <w:rFonts w:ascii="Cambria Math" w:hAnsi="Cambria Math"/>
                          <w:sz w:val="20"/>
                          <w:szCs w:val="22"/>
                          <w:lang w:val="en-US" w:eastAsia="it-IT"/>
                        </w:rPr>
                        <m:t>V</m:t>
                      </m:r>
                    </m:e>
                    <m:sub>
                      <m:r>
                        <m:rPr>
                          <m:sty m:val="p"/>
                        </m:rPr>
                        <w:rPr>
                          <w:rFonts w:ascii="Cambria Math" w:hAnsi="Cambria Math"/>
                          <w:sz w:val="20"/>
                          <w:szCs w:val="22"/>
                          <w:lang w:val="en-US" w:eastAsia="it-IT"/>
                        </w:rPr>
                        <m:t>f</m:t>
                      </m:r>
                      <m:r>
                        <m:rPr>
                          <m:lit/>
                        </m:rPr>
                        <w:rPr>
                          <w:rFonts w:ascii="Cambria Math" w:hAnsi="Cambria Math"/>
                          <w:sz w:val="20"/>
                          <w:szCs w:val="22"/>
                          <w:lang w:val="en-US" w:eastAsia="it-IT"/>
                        </w:rPr>
                        <m:t xml:space="preserve"> </m:t>
                      </m:r>
                    </m:sub>
                  </m:sSub>
                  <m:r>
                    <w:rPr>
                      <w:rFonts w:ascii="Cambria Math" w:hAnsi="Cambria Math"/>
                      <w:sz w:val="20"/>
                      <w:szCs w:val="22"/>
                      <w:lang w:val="en-US" w:eastAsia="it-IT"/>
                    </w:rPr>
                    <m:t>+</m:t>
                  </m:r>
                  <m:f>
                    <m:fPr>
                      <m:ctrlPr>
                        <w:rPr>
                          <w:rFonts w:ascii="Cambria Math" w:hAnsi="Cambria Math"/>
                          <w:i/>
                          <w:sz w:val="20"/>
                          <w:szCs w:val="22"/>
                          <w:lang w:val="en-US" w:eastAsia="it-IT"/>
                        </w:rPr>
                      </m:ctrlPr>
                    </m:fPr>
                    <m:num>
                      <m:sSub>
                        <m:sSubPr>
                          <m:ctrlPr>
                            <w:rPr>
                              <w:rFonts w:ascii="Cambria Math" w:hAnsi="Cambria Math"/>
                              <w:i/>
                              <w:sz w:val="20"/>
                              <w:szCs w:val="22"/>
                              <w:lang w:val="en-US" w:eastAsia="it-IT"/>
                            </w:rPr>
                          </m:ctrlPr>
                        </m:sSubPr>
                        <m:e>
                          <m:r>
                            <m:rPr>
                              <m:sty m:val="p"/>
                            </m:rPr>
                            <w:rPr>
                              <w:rFonts w:ascii="Cambria Math" w:hAnsi="Cambria Math"/>
                              <w:sz w:val="20"/>
                              <w:szCs w:val="22"/>
                              <w:lang w:val="en-US" w:eastAsia="it-IT"/>
                            </w:rPr>
                            <m:t>m</m:t>
                          </m:r>
                        </m:e>
                        <m:sub>
                          <m:r>
                            <w:rPr>
                              <w:rFonts w:ascii="Cambria Math" w:hAnsi="Cambria Math"/>
                              <w:sz w:val="20"/>
                              <w:szCs w:val="22"/>
                              <w:lang w:val="en-US" w:eastAsia="it-IT"/>
                            </w:rPr>
                            <m:t>np</m:t>
                          </m:r>
                        </m:sub>
                      </m:sSub>
                    </m:num>
                    <m:den>
                      <m:sSub>
                        <m:sSubPr>
                          <m:ctrlPr>
                            <w:rPr>
                              <w:rFonts w:ascii="Cambria Math" w:hAnsi="Cambria Math"/>
                              <w:i/>
                              <w:sz w:val="20"/>
                              <w:szCs w:val="22"/>
                              <w:lang w:val="en-US" w:eastAsia="it-IT"/>
                            </w:rPr>
                          </m:ctrlPr>
                        </m:sSubPr>
                        <m:e>
                          <m:r>
                            <w:rPr>
                              <w:rFonts w:ascii="Cambria Math" w:hAnsi="Cambria Math"/>
                              <w:sz w:val="20"/>
                              <w:szCs w:val="22"/>
                              <w:lang w:val="en-US" w:eastAsia="it-IT"/>
                            </w:rPr>
                            <m:t>ρ</m:t>
                          </m:r>
                        </m:e>
                        <m:sub>
                          <m:r>
                            <w:rPr>
                              <w:rFonts w:ascii="Cambria Math" w:hAnsi="Cambria Math"/>
                              <w:sz w:val="20"/>
                              <w:szCs w:val="22"/>
                              <w:lang w:val="en-US" w:eastAsia="it-IT"/>
                            </w:rPr>
                            <m:t>np</m:t>
                          </m:r>
                        </m:sub>
                      </m:sSub>
                    </m:den>
                  </m:f>
                </m:den>
              </m:f>
            </m:oMath>
            <w:r w:rsidRPr="00A33C66">
              <w:rPr>
                <w:sz w:val="20"/>
                <w:szCs w:val="22"/>
                <w:lang w:val="en-US" w:eastAsia="it-IT"/>
              </w:rPr>
              <w:t xml:space="preserve"> </w:t>
            </w:r>
          </w:p>
        </w:tc>
        <w:tc>
          <w:tcPr>
            <w:tcW w:w="805" w:type="dxa"/>
            <w:vAlign w:val="center"/>
          </w:tcPr>
          <w:p w14:paraId="6C82E09D" w14:textId="77777777" w:rsidR="001D78EF" w:rsidRPr="00A33C66" w:rsidRDefault="001D78EF" w:rsidP="006E3440">
            <w:pPr>
              <w:pStyle w:val="CETEquation"/>
              <w:jc w:val="right"/>
              <w:rPr>
                <w:lang w:val="en-US"/>
              </w:rPr>
            </w:pPr>
            <w:r w:rsidRPr="00A33C66">
              <w:rPr>
                <w:lang w:val="en-US"/>
              </w:rPr>
              <w:t>(1)</w:t>
            </w:r>
          </w:p>
        </w:tc>
      </w:tr>
    </w:tbl>
    <w:p w14:paraId="4B4C7646" w14:textId="0F822BF0" w:rsidR="00111C0B" w:rsidRPr="00A33C66" w:rsidRDefault="004C2237" w:rsidP="00111C0B">
      <w:pPr>
        <w:pStyle w:val="CETBodytext"/>
      </w:pPr>
      <w:r w:rsidRPr="00A33C66">
        <w:t xml:space="preserve">where </w:t>
      </w:r>
      <m:oMath>
        <m:sSub>
          <m:sSubPr>
            <m:ctrlPr>
              <w:rPr>
                <w:rFonts w:ascii="Cambria Math" w:hAnsi="Cambria Math"/>
                <w:i/>
                <w:lang w:val="it-IT"/>
              </w:rPr>
            </m:ctrlPr>
          </m:sSubPr>
          <m:e>
            <m:r>
              <m:rPr>
                <m:sty m:val="p"/>
              </m:rPr>
              <w:rPr>
                <w:rFonts w:ascii="Cambria Math" w:hAnsi="Cambria Math"/>
              </w:rPr>
              <m:t>m</m:t>
            </m:r>
          </m:e>
          <m:sub>
            <m:r>
              <w:rPr>
                <w:rFonts w:ascii="Cambria Math" w:hAnsi="Cambria Math"/>
                <w:lang w:val="it-IT"/>
              </w:rPr>
              <m:t>np</m:t>
            </m:r>
          </m:sub>
        </m:sSub>
      </m:oMath>
      <w:r w:rsidRPr="00A33C66">
        <w:t xml:space="preserve"> and ​</w:t>
      </w:r>
      <m:oMath>
        <m:sSub>
          <m:sSubPr>
            <m:ctrlPr>
              <w:rPr>
                <w:rFonts w:ascii="Cambria Math" w:hAnsi="Cambria Math"/>
                <w:i/>
                <w:lang w:val="it-IT"/>
              </w:rPr>
            </m:ctrlPr>
          </m:sSubPr>
          <m:e>
            <m:r>
              <w:rPr>
                <w:rFonts w:ascii="Cambria Math" w:hAnsi="Cambria Math"/>
                <w:lang w:val="it-IT"/>
              </w:rPr>
              <m:t>ρ</m:t>
            </m:r>
          </m:e>
          <m:sub>
            <m:r>
              <w:rPr>
                <w:rFonts w:ascii="Cambria Math" w:hAnsi="Cambria Math"/>
                <w:lang w:val="it-IT"/>
              </w:rPr>
              <m:t>np</m:t>
            </m:r>
          </m:sub>
        </m:sSub>
      </m:oMath>
      <w:r w:rsidRPr="00A33C66">
        <w:t xml:space="preserve"> refer to nanoparticle mass and density, and ​</w:t>
      </w:r>
      <m:oMath>
        <m:sSub>
          <m:sSubPr>
            <m:ctrlPr>
              <w:rPr>
                <w:rFonts w:ascii="Cambria Math" w:hAnsi="Cambria Math"/>
                <w:i/>
                <w:lang w:val="it-IT"/>
              </w:rPr>
            </m:ctrlPr>
          </m:sSubPr>
          <m:e>
            <m:r>
              <w:rPr>
                <w:rFonts w:ascii="Cambria Math" w:hAnsi="Cambria Math"/>
                <w:lang w:val="it-IT"/>
              </w:rPr>
              <m:t>ρ</m:t>
            </m:r>
          </m:e>
          <m:sub>
            <m:r>
              <w:rPr>
                <w:rFonts w:ascii="Cambria Math" w:hAnsi="Cambria Math"/>
                <w:lang w:val="it-IT"/>
              </w:rPr>
              <m:t>f</m:t>
            </m:r>
          </m:sub>
        </m:sSub>
      </m:oMath>
      <w:r w:rsidRPr="00A33C66">
        <w:t xml:space="preserve"> and </w:t>
      </w:r>
      <m:oMath>
        <m:sSub>
          <m:sSubPr>
            <m:ctrlPr>
              <w:rPr>
                <w:rFonts w:ascii="Cambria Math" w:hAnsi="Cambria Math"/>
                <w:i/>
                <w:lang w:val="it-IT"/>
              </w:rPr>
            </m:ctrlPr>
          </m:sSubPr>
          <m:e>
            <m:r>
              <w:rPr>
                <w:rFonts w:ascii="Cambria Math" w:hAnsi="Cambria Math"/>
                <w:lang w:val="it-IT"/>
              </w:rPr>
              <m:t>V</m:t>
            </m:r>
          </m:e>
          <m:sub>
            <m:r>
              <w:rPr>
                <w:rFonts w:ascii="Cambria Math" w:hAnsi="Cambria Math"/>
                <w:lang w:val="it-IT"/>
              </w:rPr>
              <m:t>f</m:t>
            </m:r>
          </m:sub>
        </m:sSub>
      </m:oMath>
      <w:r w:rsidRPr="00A33C66">
        <w:t xml:space="preserve"> refer to the solvent density and volume, respectively.</w:t>
      </w:r>
    </w:p>
    <w:p w14:paraId="67705C62" w14:textId="0635FADA" w:rsidR="00111C0B" w:rsidRPr="00A33C66" w:rsidRDefault="00111C0B" w:rsidP="000315B1">
      <w:pPr>
        <w:pStyle w:val="CETBodytext"/>
      </w:pPr>
      <w:r w:rsidRPr="00A33C66">
        <w:t xml:space="preserve">The nanoparticle-surfactant-based fluid mixture </w:t>
      </w:r>
      <w:r w:rsidR="00BE30AE" w:rsidRPr="00A33C66">
        <w:t>underwent</w:t>
      </w:r>
      <w:r w:rsidRPr="00A33C66">
        <w:t xml:space="preserve"> a two-step dispersion protocol. First, the suspension was mechanically stirred at 700 rpm for 45 minutes. </w:t>
      </w:r>
      <w:r w:rsidR="00C60CC8" w:rsidRPr="00A33C66">
        <w:t>Then,</w:t>
      </w:r>
      <w:r w:rsidRPr="00A33C66">
        <w:t xml:space="preserve"> ultrasonication </w:t>
      </w:r>
      <w:r w:rsidR="00C60CC8" w:rsidRPr="00A33C66">
        <w:t xml:space="preserve">was performed </w:t>
      </w:r>
      <w:r w:rsidRPr="00A33C66">
        <w:t xml:space="preserve">in a bath </w:t>
      </w:r>
      <w:proofErr w:type="spellStart"/>
      <w:r w:rsidRPr="00A33C66">
        <w:t>sonicator</w:t>
      </w:r>
      <w:proofErr w:type="spellEnd"/>
      <w:r w:rsidRPr="00A33C66">
        <w:t xml:space="preserve"> for 120 minutes to break up any agglomerates and ensure a stable colloidal suspension. </w:t>
      </w:r>
      <w:r w:rsidR="00C60CC8" w:rsidRPr="00A33C66">
        <w:t>In accordance with current best practices in nanofluid synthesis (</w:t>
      </w:r>
      <w:r w:rsidR="000315B1" w:rsidRPr="00A33C66">
        <w:t>Hong et al., 2020</w:t>
      </w:r>
      <w:r w:rsidR="00C60CC8" w:rsidRPr="00A33C66">
        <w:t>), t</w:t>
      </w:r>
      <w:r w:rsidRPr="00A33C66">
        <w:t>he stability</w:t>
      </w:r>
      <w:r w:rsidR="00BE30AE" w:rsidRPr="00A33C66">
        <w:t xml:space="preserve"> </w:t>
      </w:r>
      <w:r w:rsidRPr="00A33C66">
        <w:t>of the nanofluids was monitored visually over 48 hours and quantified using zeta potential measurements and UV–vis spectroscopy.</w:t>
      </w:r>
    </w:p>
    <w:p w14:paraId="5B64AD07" w14:textId="5B641123" w:rsidR="00111C0B" w:rsidRPr="00A33C66" w:rsidRDefault="00B76DBF" w:rsidP="00453E24">
      <w:pPr>
        <w:pStyle w:val="CETBodytext"/>
      </w:pPr>
      <w:r w:rsidRPr="00A33C66">
        <w:t xml:space="preserve">Meanwhile, </w:t>
      </w:r>
      <w:r w:rsidR="00950285" w:rsidRPr="00A33C66">
        <w:t>t</w:t>
      </w:r>
      <w:r w:rsidRPr="00A33C66">
        <w:t>he effective thermophysical properties at room temp</w:t>
      </w:r>
      <w:r w:rsidR="00C60CC8" w:rsidRPr="00A33C66">
        <w:t>erature</w:t>
      </w:r>
      <w:r w:rsidRPr="00A33C66">
        <w:t xml:space="preserve"> (20 °C) </w:t>
      </w:r>
      <w:r w:rsidR="00C60CC8" w:rsidRPr="00A33C66">
        <w:t xml:space="preserve">for the simulation process, </w:t>
      </w:r>
      <w:r w:rsidRPr="00A33C66">
        <w:t xml:space="preserve">taken from Xuan </w:t>
      </w:r>
      <w:r w:rsidR="00C60CC8" w:rsidRPr="00A33C66">
        <w:t xml:space="preserve">and </w:t>
      </w:r>
      <w:r w:rsidRPr="00A33C66">
        <w:t>Li</w:t>
      </w:r>
      <w:r w:rsidR="00C60CC8" w:rsidRPr="00A33C66">
        <w:t xml:space="preserve"> (2000)</w:t>
      </w:r>
      <w:r w:rsidRPr="00A33C66">
        <w:t>,</w:t>
      </w:r>
      <w:r w:rsidR="00211204" w:rsidRPr="00A33C66">
        <w:t xml:space="preserve"> </w:t>
      </w:r>
      <w:r w:rsidRPr="00A33C66">
        <w:t>are given in Table 1.</w:t>
      </w:r>
    </w:p>
    <w:p w14:paraId="61BDE438" w14:textId="0F0D3E98" w:rsidR="00C14DE0" w:rsidRPr="00A33C66" w:rsidRDefault="00C14DE0" w:rsidP="00C14DE0">
      <w:pPr>
        <w:pStyle w:val="CETTabletitle"/>
        <w:rPr>
          <w:lang w:val="en-US"/>
        </w:rPr>
      </w:pPr>
      <w:r w:rsidRPr="00A33C66">
        <w:rPr>
          <w:lang w:val="en-US"/>
        </w:rPr>
        <w:t xml:space="preserve">Table 1: </w:t>
      </w:r>
      <w:r w:rsidR="00615A3B" w:rsidRPr="00A33C66">
        <w:rPr>
          <w:lang w:val="en-US"/>
        </w:rPr>
        <w:t>Thermophysical properties at 20 °C</w:t>
      </w:r>
      <w:r w:rsidR="00B65746" w:rsidRPr="00A33C66">
        <w:rPr>
          <w:lang w:val="en-US"/>
        </w:rPr>
        <w:t xml:space="preserve">, </w:t>
      </w:r>
      <w:r w:rsidR="003A6315" w:rsidRPr="00A33C66">
        <w:rPr>
          <w:lang w:val="en-US"/>
        </w:rPr>
        <w:t xml:space="preserve">derived from Xuan and Li </w:t>
      </w:r>
      <w:r w:rsidR="00B65746" w:rsidRPr="00A33C66">
        <w:rPr>
          <w:lang w:val="en-US"/>
        </w:rPr>
        <w:t>(</w:t>
      </w:r>
      <w:r w:rsidR="003A6315" w:rsidRPr="00A33C66">
        <w:rPr>
          <w:lang w:val="en-US"/>
        </w:rPr>
        <w:t>2000</w:t>
      </w:r>
      <w:r w:rsidR="00B65746" w:rsidRPr="00A33C66">
        <w:rPr>
          <w:lang w:val="en-US"/>
        </w:rPr>
        <w:t>)</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984"/>
        <w:gridCol w:w="1134"/>
        <w:gridCol w:w="1134"/>
        <w:gridCol w:w="1134"/>
        <w:gridCol w:w="1134"/>
      </w:tblGrid>
      <w:tr w:rsidR="00615A3B" w:rsidRPr="00A33C66" w14:paraId="6B69743D" w14:textId="77777777" w:rsidTr="00615A3B">
        <w:tc>
          <w:tcPr>
            <w:tcW w:w="1984" w:type="dxa"/>
            <w:tcBorders>
              <w:top w:val="single" w:sz="12" w:space="0" w:color="008000"/>
              <w:bottom w:val="single" w:sz="6" w:space="0" w:color="008000"/>
            </w:tcBorders>
            <w:shd w:val="clear" w:color="auto" w:fill="FFFFFF"/>
          </w:tcPr>
          <w:p w14:paraId="4CE914CE" w14:textId="20800E24" w:rsidR="00615A3B" w:rsidRPr="00A33C66" w:rsidRDefault="00615A3B" w:rsidP="00615A3B">
            <w:pPr>
              <w:pStyle w:val="CETBodytext"/>
            </w:pPr>
            <w:r w:rsidRPr="00A33C66">
              <w:t xml:space="preserve">Fluid </w:t>
            </w:r>
          </w:p>
        </w:tc>
        <w:tc>
          <w:tcPr>
            <w:tcW w:w="1134" w:type="dxa"/>
            <w:tcBorders>
              <w:top w:val="single" w:sz="12" w:space="0" w:color="008000"/>
              <w:left w:val="nil"/>
              <w:bottom w:val="single" w:sz="6" w:space="0" w:color="008000"/>
              <w:right w:val="nil"/>
            </w:tcBorders>
            <w:shd w:val="clear" w:color="auto" w:fill="FFFFFF"/>
          </w:tcPr>
          <w:p w14:paraId="24D00239" w14:textId="1B72F2C9" w:rsidR="00615A3B" w:rsidRPr="00A33C66" w:rsidRDefault="00615A3B" w:rsidP="00615A3B">
            <w:pPr>
              <w:pStyle w:val="CETBodytext"/>
            </w:pPr>
            <w:r w:rsidRPr="00A33C66">
              <w:t>ρ (kg/m³) </w:t>
            </w:r>
          </w:p>
        </w:tc>
        <w:tc>
          <w:tcPr>
            <w:tcW w:w="1134" w:type="dxa"/>
            <w:tcBorders>
              <w:top w:val="single" w:sz="12" w:space="0" w:color="008000"/>
              <w:left w:val="nil"/>
              <w:bottom w:val="single" w:sz="6" w:space="0" w:color="008000"/>
              <w:right w:val="nil"/>
            </w:tcBorders>
            <w:shd w:val="clear" w:color="auto" w:fill="FFFFFF"/>
          </w:tcPr>
          <w:p w14:paraId="5AF200F3" w14:textId="4E2895C6" w:rsidR="00615A3B" w:rsidRPr="00A33C66" w:rsidRDefault="00615A3B" w:rsidP="00615A3B">
            <w:pPr>
              <w:pStyle w:val="CETBodytext"/>
            </w:pPr>
            <w:r w:rsidRPr="00A33C66">
              <w:t>μ (</w:t>
            </w:r>
            <w:proofErr w:type="spellStart"/>
            <w:r w:rsidRPr="00A33C66">
              <w:t>Pa·s</w:t>
            </w:r>
            <w:proofErr w:type="spellEnd"/>
            <w:r w:rsidRPr="00A33C66">
              <w:t>)</w:t>
            </w:r>
          </w:p>
        </w:tc>
        <w:tc>
          <w:tcPr>
            <w:tcW w:w="1134" w:type="dxa"/>
            <w:tcBorders>
              <w:top w:val="single" w:sz="12" w:space="0" w:color="008000"/>
              <w:left w:val="nil"/>
              <w:bottom w:val="single" w:sz="6" w:space="0" w:color="008000"/>
              <w:right w:val="nil"/>
            </w:tcBorders>
            <w:shd w:val="clear" w:color="auto" w:fill="FFFFFF"/>
          </w:tcPr>
          <w:p w14:paraId="111B459E" w14:textId="06069A09" w:rsidR="00615A3B" w:rsidRPr="00A33C66" w:rsidRDefault="00615A3B" w:rsidP="00615A3B">
            <w:pPr>
              <w:pStyle w:val="CETBodytext"/>
              <w:ind w:right="-1"/>
              <w:rPr>
                <w:rFonts w:cs="Arial"/>
                <w:szCs w:val="18"/>
              </w:rPr>
            </w:pPr>
            <w:r w:rsidRPr="00A33C66">
              <w:t>C</w:t>
            </w:r>
            <w:r w:rsidRPr="00A33C66">
              <w:rPr>
                <w:rFonts w:ascii="Cambria Math" w:hAnsi="Cambria Math" w:cs="Cambria Math"/>
              </w:rPr>
              <w:t>ₚ</w:t>
            </w:r>
            <w:r w:rsidRPr="00A33C66">
              <w:t xml:space="preserve"> (J/</w:t>
            </w:r>
            <w:proofErr w:type="spellStart"/>
            <w:r w:rsidRPr="00A33C66">
              <w:t>kg</w:t>
            </w:r>
            <w:r w:rsidRPr="00A33C66">
              <w:rPr>
                <w:rFonts w:cs="Arial"/>
              </w:rPr>
              <w:t>·</w:t>
            </w:r>
            <w:r w:rsidRPr="00A33C66">
              <w:t>K</w:t>
            </w:r>
            <w:proofErr w:type="spellEnd"/>
            <w:r w:rsidRPr="00A33C66">
              <w:t>)</w:t>
            </w:r>
          </w:p>
        </w:tc>
        <w:tc>
          <w:tcPr>
            <w:tcW w:w="1134" w:type="dxa"/>
            <w:tcBorders>
              <w:top w:val="single" w:sz="12" w:space="0" w:color="008000"/>
              <w:left w:val="nil"/>
              <w:bottom w:val="single" w:sz="6" w:space="0" w:color="008000"/>
              <w:right w:val="nil"/>
            </w:tcBorders>
            <w:shd w:val="clear" w:color="auto" w:fill="FFFFFF"/>
            <w:vAlign w:val="center"/>
          </w:tcPr>
          <w:p w14:paraId="5E4A81FB" w14:textId="464FFB39" w:rsidR="00615A3B" w:rsidRPr="00A33C66" w:rsidRDefault="00615A3B" w:rsidP="00615A3B">
            <w:pPr>
              <w:pStyle w:val="CETBodytext"/>
              <w:ind w:right="-1"/>
              <w:rPr>
                <w:rFonts w:cs="Arial"/>
                <w:szCs w:val="18"/>
              </w:rPr>
            </w:pPr>
            <w:r w:rsidRPr="00A33C66">
              <w:t>k (W/</w:t>
            </w:r>
            <w:proofErr w:type="spellStart"/>
            <w:r w:rsidRPr="00A33C66">
              <w:t>m·K</w:t>
            </w:r>
            <w:proofErr w:type="spellEnd"/>
            <w:r w:rsidRPr="00A33C66">
              <w:t>)</w:t>
            </w:r>
          </w:p>
        </w:tc>
      </w:tr>
      <w:tr w:rsidR="00615A3B" w:rsidRPr="00A33C66" w14:paraId="45E6B308" w14:textId="77777777" w:rsidTr="00615A3B">
        <w:tc>
          <w:tcPr>
            <w:tcW w:w="1984" w:type="dxa"/>
            <w:shd w:val="clear" w:color="auto" w:fill="FFFFFF"/>
          </w:tcPr>
          <w:p w14:paraId="479D443E" w14:textId="035B034A" w:rsidR="00615A3B" w:rsidRPr="00A33C66" w:rsidRDefault="00615A3B" w:rsidP="00615A3B">
            <w:pPr>
              <w:pStyle w:val="CETBodytext"/>
            </w:pPr>
            <w:r w:rsidRPr="00A33C66">
              <w:t>Water</w:t>
            </w:r>
          </w:p>
        </w:tc>
        <w:tc>
          <w:tcPr>
            <w:tcW w:w="1134" w:type="dxa"/>
            <w:shd w:val="clear" w:color="auto" w:fill="FFFFFF"/>
          </w:tcPr>
          <w:p w14:paraId="774FD091" w14:textId="5599E76D" w:rsidR="00615A3B" w:rsidRPr="00A33C66" w:rsidRDefault="00615A3B" w:rsidP="00615A3B">
            <w:pPr>
              <w:pStyle w:val="CETBodytext"/>
            </w:pPr>
            <w:r w:rsidRPr="00A33C66">
              <w:t>998</w:t>
            </w:r>
          </w:p>
        </w:tc>
        <w:tc>
          <w:tcPr>
            <w:tcW w:w="1134" w:type="dxa"/>
            <w:shd w:val="clear" w:color="auto" w:fill="FFFFFF"/>
          </w:tcPr>
          <w:p w14:paraId="4C0146E8" w14:textId="0C502D9F" w:rsidR="00615A3B" w:rsidRPr="00A33C66" w:rsidRDefault="00615A3B" w:rsidP="00615A3B">
            <w:pPr>
              <w:pStyle w:val="CETBodytext"/>
            </w:pPr>
            <w:r w:rsidRPr="00A33C66">
              <w:t>1.00 × 10</w:t>
            </w:r>
            <w:r w:rsidRPr="00A33C66">
              <w:rPr>
                <w:rFonts w:ascii="Cambria Math" w:hAnsi="Cambria Math" w:cs="Cambria Math"/>
              </w:rPr>
              <w:t>⁻</w:t>
            </w:r>
            <w:r w:rsidRPr="00A33C66">
              <w:rPr>
                <w:rFonts w:ascii="Aptos" w:hAnsi="Aptos" w:cs="Aptos"/>
              </w:rPr>
              <w:t>³</w:t>
            </w:r>
          </w:p>
        </w:tc>
        <w:tc>
          <w:tcPr>
            <w:tcW w:w="1134" w:type="dxa"/>
            <w:shd w:val="clear" w:color="auto" w:fill="FFFFFF"/>
          </w:tcPr>
          <w:p w14:paraId="680A126A" w14:textId="10FA555F" w:rsidR="00615A3B" w:rsidRPr="00A33C66" w:rsidRDefault="00615A3B" w:rsidP="00615A3B">
            <w:pPr>
              <w:pStyle w:val="CETBodytext"/>
              <w:ind w:right="-1"/>
              <w:rPr>
                <w:rFonts w:cs="Arial"/>
                <w:szCs w:val="18"/>
              </w:rPr>
            </w:pPr>
            <w:r w:rsidRPr="00A33C66">
              <w:t>4</w:t>
            </w:r>
            <w:r w:rsidR="00506D6F" w:rsidRPr="00A33C66">
              <w:t>,</w:t>
            </w:r>
            <w:r w:rsidRPr="00A33C66">
              <w:t>182</w:t>
            </w:r>
          </w:p>
        </w:tc>
        <w:tc>
          <w:tcPr>
            <w:tcW w:w="1134" w:type="dxa"/>
            <w:shd w:val="clear" w:color="auto" w:fill="FFFFFF"/>
          </w:tcPr>
          <w:p w14:paraId="65714811" w14:textId="193D5BC0" w:rsidR="00615A3B" w:rsidRPr="00A33C66" w:rsidRDefault="00615A3B" w:rsidP="00615A3B">
            <w:pPr>
              <w:pStyle w:val="CETBodytext"/>
              <w:ind w:right="-1"/>
              <w:rPr>
                <w:rFonts w:cs="Arial"/>
                <w:szCs w:val="18"/>
              </w:rPr>
            </w:pPr>
            <w:r w:rsidRPr="00A33C66">
              <w:t>0.60</w:t>
            </w:r>
          </w:p>
        </w:tc>
      </w:tr>
      <w:tr w:rsidR="00615A3B" w:rsidRPr="00A33C66" w14:paraId="257BECF3" w14:textId="77777777" w:rsidTr="00615A3B">
        <w:tc>
          <w:tcPr>
            <w:tcW w:w="1984" w:type="dxa"/>
            <w:shd w:val="clear" w:color="auto" w:fill="FFFFFF"/>
          </w:tcPr>
          <w:p w14:paraId="5D760BCB" w14:textId="7F0573C4" w:rsidR="00615A3B" w:rsidRPr="00A33C66" w:rsidRDefault="00615A3B" w:rsidP="00615A3B">
            <w:pPr>
              <w:pStyle w:val="CETBodytext"/>
            </w:pPr>
            <w:proofErr w:type="spellStart"/>
            <w:r w:rsidRPr="00A33C66">
              <w:t>CuO</w:t>
            </w:r>
            <w:proofErr w:type="spellEnd"/>
            <w:r w:rsidRPr="00A33C66">
              <w:t xml:space="preserve">–water (1 </w:t>
            </w:r>
            <w:proofErr w:type="spellStart"/>
            <w:r w:rsidRPr="00A33C66">
              <w:t>wt</w:t>
            </w:r>
            <w:proofErr w:type="spellEnd"/>
            <w:r w:rsidRPr="00A33C66">
              <w:t xml:space="preserve"> %)</w:t>
            </w:r>
          </w:p>
        </w:tc>
        <w:tc>
          <w:tcPr>
            <w:tcW w:w="1134" w:type="dxa"/>
            <w:shd w:val="clear" w:color="auto" w:fill="FFFFFF"/>
          </w:tcPr>
          <w:p w14:paraId="14AF5226" w14:textId="340B1292" w:rsidR="00615A3B" w:rsidRPr="00A33C66" w:rsidRDefault="00615A3B" w:rsidP="00615A3B">
            <w:pPr>
              <w:pStyle w:val="CETBodytext"/>
            </w:pPr>
            <w:r w:rsidRPr="00A33C66">
              <w:t>1</w:t>
            </w:r>
            <w:r w:rsidR="00E41BD7" w:rsidRPr="00A33C66">
              <w:t>,</w:t>
            </w:r>
            <w:r w:rsidRPr="00A33C66">
              <w:t>003</w:t>
            </w:r>
          </w:p>
        </w:tc>
        <w:tc>
          <w:tcPr>
            <w:tcW w:w="1134" w:type="dxa"/>
            <w:shd w:val="clear" w:color="auto" w:fill="FFFFFF"/>
          </w:tcPr>
          <w:p w14:paraId="24EF48C2" w14:textId="64EE19A0" w:rsidR="00615A3B" w:rsidRPr="00A33C66" w:rsidRDefault="00615A3B" w:rsidP="00615A3B">
            <w:pPr>
              <w:pStyle w:val="CETBodytext"/>
            </w:pPr>
            <w:r w:rsidRPr="00A33C66">
              <w:t>1.00 × 10</w:t>
            </w:r>
            <w:r w:rsidRPr="00A33C66">
              <w:rPr>
                <w:rFonts w:ascii="Cambria Math" w:hAnsi="Cambria Math" w:cs="Cambria Math"/>
              </w:rPr>
              <w:t>⁻</w:t>
            </w:r>
            <w:r w:rsidRPr="00A33C66">
              <w:rPr>
                <w:rFonts w:ascii="Aptos" w:hAnsi="Aptos" w:cs="Aptos"/>
              </w:rPr>
              <w:t>³</w:t>
            </w:r>
          </w:p>
        </w:tc>
        <w:tc>
          <w:tcPr>
            <w:tcW w:w="1134" w:type="dxa"/>
            <w:shd w:val="clear" w:color="auto" w:fill="FFFFFF"/>
          </w:tcPr>
          <w:p w14:paraId="0AC702DC" w14:textId="4535C9CA" w:rsidR="00615A3B" w:rsidRPr="00A33C66" w:rsidRDefault="00615A3B" w:rsidP="00615A3B">
            <w:pPr>
              <w:pStyle w:val="CETBodytext"/>
              <w:ind w:right="-1"/>
              <w:rPr>
                <w:rFonts w:cs="Arial"/>
                <w:szCs w:val="18"/>
              </w:rPr>
            </w:pPr>
            <w:r w:rsidRPr="00A33C66">
              <w:t>4</w:t>
            </w:r>
            <w:r w:rsidR="00506D6F" w:rsidRPr="00A33C66">
              <w:t>,</w:t>
            </w:r>
            <w:r w:rsidRPr="00A33C66">
              <w:t>050</w:t>
            </w:r>
          </w:p>
        </w:tc>
        <w:tc>
          <w:tcPr>
            <w:tcW w:w="1134" w:type="dxa"/>
            <w:shd w:val="clear" w:color="auto" w:fill="FFFFFF"/>
          </w:tcPr>
          <w:p w14:paraId="0FC5773C" w14:textId="52F8AC47" w:rsidR="00615A3B" w:rsidRPr="00A33C66" w:rsidRDefault="00615A3B" w:rsidP="00615A3B">
            <w:pPr>
              <w:pStyle w:val="CETBodytext"/>
              <w:ind w:right="-1"/>
              <w:rPr>
                <w:rFonts w:cs="Arial"/>
                <w:szCs w:val="18"/>
              </w:rPr>
            </w:pPr>
            <w:r w:rsidRPr="00A33C66">
              <w:t>0.59</w:t>
            </w:r>
          </w:p>
        </w:tc>
      </w:tr>
      <w:tr w:rsidR="00615A3B" w:rsidRPr="00A33C66" w14:paraId="6DC29472" w14:textId="77777777" w:rsidTr="00615A3B">
        <w:tc>
          <w:tcPr>
            <w:tcW w:w="1984" w:type="dxa"/>
            <w:shd w:val="clear" w:color="auto" w:fill="FFFFFF"/>
          </w:tcPr>
          <w:p w14:paraId="0CECC70A" w14:textId="28F5F404" w:rsidR="00615A3B" w:rsidRPr="00A33C66" w:rsidRDefault="00615A3B" w:rsidP="00615A3B">
            <w:pPr>
              <w:pStyle w:val="CETBodytext"/>
            </w:pPr>
            <w:proofErr w:type="spellStart"/>
            <w:r w:rsidRPr="00A33C66">
              <w:t>CuO</w:t>
            </w:r>
            <w:proofErr w:type="spellEnd"/>
            <w:r w:rsidRPr="00A33C66">
              <w:t xml:space="preserve">–water (5 </w:t>
            </w:r>
            <w:proofErr w:type="spellStart"/>
            <w:r w:rsidRPr="00A33C66">
              <w:t>wt</w:t>
            </w:r>
            <w:proofErr w:type="spellEnd"/>
            <w:r w:rsidRPr="00A33C66">
              <w:t xml:space="preserve"> %)</w:t>
            </w:r>
          </w:p>
        </w:tc>
        <w:tc>
          <w:tcPr>
            <w:tcW w:w="1134" w:type="dxa"/>
            <w:shd w:val="clear" w:color="auto" w:fill="FFFFFF"/>
          </w:tcPr>
          <w:p w14:paraId="729C7B1C" w14:textId="27D43226" w:rsidR="00615A3B" w:rsidRPr="00A33C66" w:rsidRDefault="00615A3B" w:rsidP="00615A3B">
            <w:pPr>
              <w:pStyle w:val="CETBodytext"/>
            </w:pPr>
            <w:r w:rsidRPr="00A33C66">
              <w:t>1</w:t>
            </w:r>
            <w:r w:rsidR="00E41BD7" w:rsidRPr="00A33C66">
              <w:t>,</w:t>
            </w:r>
            <w:r w:rsidRPr="00A33C66">
              <w:t>025</w:t>
            </w:r>
          </w:p>
        </w:tc>
        <w:tc>
          <w:tcPr>
            <w:tcW w:w="1134" w:type="dxa"/>
            <w:shd w:val="clear" w:color="auto" w:fill="FFFFFF"/>
          </w:tcPr>
          <w:p w14:paraId="782BCF03" w14:textId="337F2145" w:rsidR="00615A3B" w:rsidRPr="00A33C66" w:rsidRDefault="00615A3B" w:rsidP="00615A3B">
            <w:pPr>
              <w:pStyle w:val="CETBodytext"/>
            </w:pPr>
            <w:r w:rsidRPr="00A33C66">
              <w:t>1.15 × 10</w:t>
            </w:r>
            <w:r w:rsidRPr="00A33C66">
              <w:rPr>
                <w:rFonts w:ascii="Cambria Math" w:hAnsi="Cambria Math" w:cs="Cambria Math"/>
              </w:rPr>
              <w:t>⁻</w:t>
            </w:r>
            <w:r w:rsidRPr="00A33C66">
              <w:rPr>
                <w:rFonts w:ascii="Aptos" w:hAnsi="Aptos" w:cs="Aptos"/>
              </w:rPr>
              <w:t>³</w:t>
            </w:r>
          </w:p>
        </w:tc>
        <w:tc>
          <w:tcPr>
            <w:tcW w:w="1134" w:type="dxa"/>
            <w:shd w:val="clear" w:color="auto" w:fill="FFFFFF"/>
          </w:tcPr>
          <w:p w14:paraId="43B1B162" w14:textId="3B8B1FF4" w:rsidR="00615A3B" w:rsidRPr="00A33C66" w:rsidRDefault="00615A3B" w:rsidP="00615A3B">
            <w:pPr>
              <w:pStyle w:val="CETBodytext"/>
              <w:ind w:right="-1"/>
              <w:rPr>
                <w:rFonts w:cs="Arial"/>
                <w:szCs w:val="18"/>
              </w:rPr>
            </w:pPr>
            <w:r w:rsidRPr="00A33C66">
              <w:t>3</w:t>
            </w:r>
            <w:r w:rsidR="00506D6F" w:rsidRPr="00A33C66">
              <w:t>,</w:t>
            </w:r>
            <w:r w:rsidRPr="00A33C66">
              <w:t>750</w:t>
            </w:r>
          </w:p>
        </w:tc>
        <w:tc>
          <w:tcPr>
            <w:tcW w:w="1134" w:type="dxa"/>
            <w:shd w:val="clear" w:color="auto" w:fill="FFFFFF"/>
          </w:tcPr>
          <w:p w14:paraId="12EEC9DB" w14:textId="4CBBF106" w:rsidR="00615A3B" w:rsidRPr="00A33C66" w:rsidRDefault="00615A3B" w:rsidP="00615A3B">
            <w:pPr>
              <w:pStyle w:val="CETBodytext"/>
              <w:ind w:right="-1"/>
              <w:rPr>
                <w:rFonts w:cs="Arial"/>
                <w:szCs w:val="18"/>
              </w:rPr>
            </w:pPr>
            <w:r w:rsidRPr="00A33C66">
              <w:t>0.64</w:t>
            </w:r>
          </w:p>
        </w:tc>
      </w:tr>
      <w:tr w:rsidR="00615A3B" w:rsidRPr="00A33C66" w14:paraId="0AF2A679" w14:textId="77777777" w:rsidTr="00615A3B">
        <w:tc>
          <w:tcPr>
            <w:tcW w:w="1984" w:type="dxa"/>
            <w:shd w:val="clear" w:color="auto" w:fill="FFFFFF"/>
          </w:tcPr>
          <w:p w14:paraId="3C4B4040" w14:textId="611A41C7" w:rsidR="00615A3B" w:rsidRPr="00A33C66" w:rsidRDefault="00615A3B" w:rsidP="00615A3B">
            <w:pPr>
              <w:pStyle w:val="CETBodytext"/>
            </w:pPr>
            <w:proofErr w:type="spellStart"/>
            <w:r w:rsidRPr="00A33C66">
              <w:t>Al</w:t>
            </w:r>
            <w:r w:rsidRPr="00A33C66">
              <w:rPr>
                <w:rFonts w:ascii="Cambria Math" w:hAnsi="Cambria Math" w:cs="Cambria Math"/>
              </w:rPr>
              <w:t>₂</w:t>
            </w:r>
            <w:r w:rsidRPr="00A33C66">
              <w:t>O</w:t>
            </w:r>
            <w:proofErr w:type="spellEnd"/>
            <w:r w:rsidRPr="00A33C66">
              <w:rPr>
                <w:rFonts w:ascii="Cambria Math" w:hAnsi="Cambria Math" w:cs="Cambria Math"/>
              </w:rPr>
              <w:t>₃</w:t>
            </w:r>
            <w:r w:rsidRPr="00A33C66">
              <w:rPr>
                <w:rFonts w:cs="Arial"/>
              </w:rPr>
              <w:t>–</w:t>
            </w:r>
            <w:r w:rsidRPr="00A33C66">
              <w:t xml:space="preserve">water (1 </w:t>
            </w:r>
            <w:proofErr w:type="spellStart"/>
            <w:r w:rsidRPr="00A33C66">
              <w:t>wt</w:t>
            </w:r>
            <w:proofErr w:type="spellEnd"/>
            <w:r w:rsidRPr="00A33C66">
              <w:t xml:space="preserve"> %)</w:t>
            </w:r>
          </w:p>
        </w:tc>
        <w:tc>
          <w:tcPr>
            <w:tcW w:w="1134" w:type="dxa"/>
            <w:shd w:val="clear" w:color="auto" w:fill="FFFFFF"/>
          </w:tcPr>
          <w:p w14:paraId="2DECB390" w14:textId="1294A93F" w:rsidR="00615A3B" w:rsidRPr="00A33C66" w:rsidRDefault="00615A3B" w:rsidP="00615A3B">
            <w:pPr>
              <w:pStyle w:val="CETBodytext"/>
            </w:pPr>
            <w:r w:rsidRPr="00A33C66">
              <w:t>1</w:t>
            </w:r>
            <w:r w:rsidR="00E41BD7" w:rsidRPr="00A33C66">
              <w:t>,</w:t>
            </w:r>
            <w:r w:rsidRPr="00A33C66">
              <w:t>000</w:t>
            </w:r>
          </w:p>
        </w:tc>
        <w:tc>
          <w:tcPr>
            <w:tcW w:w="1134" w:type="dxa"/>
            <w:shd w:val="clear" w:color="auto" w:fill="FFFFFF"/>
          </w:tcPr>
          <w:p w14:paraId="6CB16CC2" w14:textId="70D0AB33" w:rsidR="00615A3B" w:rsidRPr="00A33C66" w:rsidRDefault="00615A3B" w:rsidP="00615A3B">
            <w:pPr>
              <w:pStyle w:val="CETBodytext"/>
            </w:pPr>
            <w:r w:rsidRPr="00A33C66">
              <w:t>1.05 × 10</w:t>
            </w:r>
            <w:r w:rsidRPr="00A33C66">
              <w:rPr>
                <w:rFonts w:ascii="Cambria Math" w:hAnsi="Cambria Math" w:cs="Cambria Math"/>
              </w:rPr>
              <w:t>⁻</w:t>
            </w:r>
            <w:r w:rsidRPr="00A33C66">
              <w:rPr>
                <w:rFonts w:ascii="Aptos" w:hAnsi="Aptos" w:cs="Aptos"/>
              </w:rPr>
              <w:t>³</w:t>
            </w:r>
          </w:p>
        </w:tc>
        <w:tc>
          <w:tcPr>
            <w:tcW w:w="1134" w:type="dxa"/>
            <w:shd w:val="clear" w:color="auto" w:fill="FFFFFF"/>
          </w:tcPr>
          <w:p w14:paraId="6DA63952" w14:textId="6355AEC0" w:rsidR="00615A3B" w:rsidRPr="00A33C66" w:rsidRDefault="00615A3B" w:rsidP="00615A3B">
            <w:pPr>
              <w:pStyle w:val="CETBodytext"/>
              <w:ind w:right="-1"/>
              <w:rPr>
                <w:rFonts w:cs="Arial"/>
                <w:szCs w:val="18"/>
              </w:rPr>
            </w:pPr>
            <w:r w:rsidRPr="00A33C66">
              <w:t>4</w:t>
            </w:r>
            <w:r w:rsidR="00506D6F" w:rsidRPr="00A33C66">
              <w:t>,</w:t>
            </w:r>
            <w:r w:rsidRPr="00A33C66">
              <w:t>100</w:t>
            </w:r>
          </w:p>
        </w:tc>
        <w:tc>
          <w:tcPr>
            <w:tcW w:w="1134" w:type="dxa"/>
            <w:shd w:val="clear" w:color="auto" w:fill="FFFFFF"/>
          </w:tcPr>
          <w:p w14:paraId="1CF1FFE5" w14:textId="34AC0195" w:rsidR="00615A3B" w:rsidRPr="00A33C66" w:rsidRDefault="00615A3B" w:rsidP="00615A3B">
            <w:pPr>
              <w:pStyle w:val="CETBodytext"/>
              <w:ind w:right="-1"/>
              <w:rPr>
                <w:rFonts w:cs="Arial"/>
                <w:szCs w:val="18"/>
              </w:rPr>
            </w:pPr>
            <w:r w:rsidRPr="00A33C66">
              <w:t>0.62</w:t>
            </w:r>
          </w:p>
        </w:tc>
      </w:tr>
      <w:tr w:rsidR="00615A3B" w:rsidRPr="00A33C66" w14:paraId="4CDBD2CF" w14:textId="77777777" w:rsidTr="00615A3B">
        <w:tc>
          <w:tcPr>
            <w:tcW w:w="1984" w:type="dxa"/>
            <w:shd w:val="clear" w:color="auto" w:fill="FFFFFF"/>
          </w:tcPr>
          <w:p w14:paraId="3E6F013D" w14:textId="45C57A69" w:rsidR="00615A3B" w:rsidRPr="00A33C66" w:rsidRDefault="00615A3B" w:rsidP="00615A3B">
            <w:pPr>
              <w:pStyle w:val="CETBodytext"/>
              <w:ind w:right="-1"/>
              <w:rPr>
                <w:rFonts w:cs="Arial"/>
                <w:szCs w:val="18"/>
              </w:rPr>
            </w:pPr>
            <w:proofErr w:type="spellStart"/>
            <w:r w:rsidRPr="00A33C66">
              <w:t>Al</w:t>
            </w:r>
            <w:r w:rsidRPr="00A33C66">
              <w:rPr>
                <w:rFonts w:ascii="Cambria Math" w:hAnsi="Cambria Math" w:cs="Cambria Math"/>
              </w:rPr>
              <w:t>₂</w:t>
            </w:r>
            <w:r w:rsidRPr="00A33C66">
              <w:t>O</w:t>
            </w:r>
            <w:proofErr w:type="spellEnd"/>
            <w:r w:rsidRPr="00A33C66">
              <w:rPr>
                <w:rFonts w:ascii="Cambria Math" w:hAnsi="Cambria Math" w:cs="Cambria Math"/>
              </w:rPr>
              <w:t>₃</w:t>
            </w:r>
            <w:r w:rsidRPr="00A33C66">
              <w:rPr>
                <w:rFonts w:cs="Arial"/>
              </w:rPr>
              <w:t>–</w:t>
            </w:r>
            <w:r w:rsidRPr="00A33C66">
              <w:t xml:space="preserve">water (5 </w:t>
            </w:r>
            <w:proofErr w:type="spellStart"/>
            <w:r w:rsidRPr="00A33C66">
              <w:t>wt</w:t>
            </w:r>
            <w:proofErr w:type="spellEnd"/>
            <w:r w:rsidRPr="00A33C66">
              <w:t xml:space="preserve"> %)</w:t>
            </w:r>
          </w:p>
        </w:tc>
        <w:tc>
          <w:tcPr>
            <w:tcW w:w="1134" w:type="dxa"/>
            <w:shd w:val="clear" w:color="auto" w:fill="FFFFFF"/>
          </w:tcPr>
          <w:p w14:paraId="438F5801" w14:textId="6C2D9204" w:rsidR="00615A3B" w:rsidRPr="00A33C66" w:rsidRDefault="00615A3B" w:rsidP="00615A3B">
            <w:pPr>
              <w:pStyle w:val="CETBodytext"/>
              <w:ind w:right="-1"/>
              <w:rPr>
                <w:rFonts w:cs="Arial"/>
                <w:szCs w:val="18"/>
              </w:rPr>
            </w:pPr>
            <w:r w:rsidRPr="00A33C66">
              <w:t>1</w:t>
            </w:r>
            <w:r w:rsidR="00E41BD7" w:rsidRPr="00A33C66">
              <w:t>,</w:t>
            </w:r>
            <w:r w:rsidRPr="00A33C66">
              <w:t>030</w:t>
            </w:r>
          </w:p>
        </w:tc>
        <w:tc>
          <w:tcPr>
            <w:tcW w:w="1134" w:type="dxa"/>
            <w:shd w:val="clear" w:color="auto" w:fill="FFFFFF"/>
          </w:tcPr>
          <w:p w14:paraId="6D2FE5D8" w14:textId="27B78901" w:rsidR="00615A3B" w:rsidRPr="00A33C66" w:rsidRDefault="00615A3B" w:rsidP="00615A3B">
            <w:pPr>
              <w:pStyle w:val="CETBodytext"/>
              <w:ind w:right="-1"/>
              <w:rPr>
                <w:rFonts w:cs="Arial"/>
                <w:szCs w:val="18"/>
              </w:rPr>
            </w:pPr>
            <w:r w:rsidRPr="00A33C66">
              <w:t>1.20 × 10</w:t>
            </w:r>
            <w:r w:rsidRPr="00A33C66">
              <w:rPr>
                <w:rFonts w:ascii="Cambria Math" w:hAnsi="Cambria Math" w:cs="Cambria Math"/>
              </w:rPr>
              <w:t>⁻</w:t>
            </w:r>
            <w:r w:rsidRPr="00A33C66">
              <w:rPr>
                <w:rFonts w:ascii="Aptos" w:hAnsi="Aptos" w:cs="Aptos"/>
              </w:rPr>
              <w:t>³</w:t>
            </w:r>
          </w:p>
        </w:tc>
        <w:tc>
          <w:tcPr>
            <w:tcW w:w="1134" w:type="dxa"/>
            <w:shd w:val="clear" w:color="auto" w:fill="FFFFFF"/>
          </w:tcPr>
          <w:p w14:paraId="6191743F" w14:textId="691DF728" w:rsidR="00615A3B" w:rsidRPr="00A33C66" w:rsidRDefault="00615A3B" w:rsidP="00615A3B">
            <w:pPr>
              <w:pStyle w:val="CETBodytext"/>
              <w:ind w:right="-1"/>
              <w:rPr>
                <w:rFonts w:cs="Arial"/>
                <w:szCs w:val="18"/>
              </w:rPr>
            </w:pPr>
            <w:r w:rsidRPr="00A33C66">
              <w:t>3</w:t>
            </w:r>
            <w:r w:rsidR="00506D6F" w:rsidRPr="00A33C66">
              <w:t>,</w:t>
            </w:r>
            <w:r w:rsidRPr="00A33C66">
              <w:t>800</w:t>
            </w:r>
          </w:p>
        </w:tc>
        <w:tc>
          <w:tcPr>
            <w:tcW w:w="1134" w:type="dxa"/>
            <w:shd w:val="clear" w:color="auto" w:fill="FFFFFF"/>
          </w:tcPr>
          <w:p w14:paraId="24257A91" w14:textId="73AA9E9E" w:rsidR="00615A3B" w:rsidRPr="00A33C66" w:rsidRDefault="00615A3B" w:rsidP="00615A3B">
            <w:pPr>
              <w:pStyle w:val="CETBodytext"/>
              <w:ind w:right="-1"/>
              <w:rPr>
                <w:rFonts w:cs="Arial"/>
                <w:szCs w:val="18"/>
              </w:rPr>
            </w:pPr>
            <w:r w:rsidRPr="00A33C66">
              <w:t>0.69</w:t>
            </w:r>
          </w:p>
        </w:tc>
      </w:tr>
    </w:tbl>
    <w:p w14:paraId="18BAFA6F" w14:textId="794A6B16" w:rsidR="00453E24" w:rsidRPr="00A33C66" w:rsidRDefault="00C14DE0" w:rsidP="00453E24">
      <w:pPr>
        <w:pStyle w:val="CETheadingx"/>
      </w:pPr>
      <w:r w:rsidRPr="00A33C66">
        <w:lastRenderedPageBreak/>
        <w:t>CFD Simulation Setup</w:t>
      </w:r>
    </w:p>
    <w:p w14:paraId="7B8EB9CB" w14:textId="4BF6A5EF" w:rsidR="003D1D27" w:rsidRPr="00A33C66" w:rsidRDefault="003D1D27" w:rsidP="003D1D27">
      <w:pPr>
        <w:pStyle w:val="CETHeadingxx"/>
      </w:pPr>
      <w:r w:rsidRPr="00A33C66">
        <w:t>2.3.1 Computational domain and discretization</w:t>
      </w:r>
    </w:p>
    <w:p w14:paraId="3E49D724" w14:textId="4E10EE89" w:rsidR="00F1483D" w:rsidRPr="00A33C66" w:rsidRDefault="00F1483D" w:rsidP="00453E24">
      <w:pPr>
        <w:pStyle w:val="CETBodytext"/>
        <w:rPr>
          <w:lang w:val="en-GB"/>
        </w:rPr>
      </w:pPr>
      <w:r w:rsidRPr="00A33C66">
        <w:t xml:space="preserve">The computational domain consisted of a straight circular tube of inner radius r = 5 mm and length L = 0.1 m (L/D = 20). </w:t>
      </w:r>
      <w:r w:rsidR="00BC61EA" w:rsidRPr="00A33C66">
        <w:t xml:space="preserve">By exploiting the axial symmetry of the problem, it was possible to simplify the study by working in a two-dimensional representation (r-z) as shown in Figure 1. </w:t>
      </w:r>
      <w:r w:rsidRPr="00A33C66">
        <w:rPr>
          <w:lang w:val="en-GB"/>
        </w:rPr>
        <w:t xml:space="preserve">For the domain discretization, </w:t>
      </w:r>
      <w:r w:rsidR="00F774A5" w:rsidRPr="00A33C66">
        <w:t>a free triangular mesh with four boundary</w:t>
      </w:r>
      <w:r w:rsidR="00F774A5" w:rsidRPr="00A33C66">
        <w:rPr>
          <w:rFonts w:ascii="Cambria Math" w:hAnsi="Cambria Math" w:cs="Cambria Math"/>
        </w:rPr>
        <w:t>‐</w:t>
      </w:r>
      <w:r w:rsidR="00F774A5" w:rsidRPr="00A33C66">
        <w:t>layer rows on the heated wall (first layer y</w:t>
      </w:r>
      <w:r w:rsidR="00F774A5" w:rsidRPr="00A33C66">
        <w:rPr>
          <w:rFonts w:ascii="Cambria Math" w:hAnsi="Cambria Math" w:cs="Cambria Math"/>
        </w:rPr>
        <w:t>₁</w:t>
      </w:r>
      <w:r w:rsidR="00F774A5" w:rsidRPr="00A33C66">
        <w:t xml:space="preserve"> = 1.6 mm, stretching factor = 1.2, target y</w:t>
      </w:r>
      <w:r w:rsidR="00F774A5" w:rsidRPr="00A33C66">
        <w:rPr>
          <w:rFonts w:ascii="Cambria Math" w:hAnsi="Cambria Math" w:cs="Cambria Math"/>
        </w:rPr>
        <w:t>⁺</w:t>
      </w:r>
      <w:r w:rsidR="00F774A5" w:rsidRPr="00A33C66">
        <w:t xml:space="preserve"> ≈ 50) was used. The core domain employed “custom” element sizing with a minimum size of 1.6 mm and varying maximum sizes.</w:t>
      </w:r>
      <w:r w:rsidRPr="00A33C66">
        <w:rPr>
          <w:lang w:val="en-GB"/>
        </w:rPr>
        <w:t xml:space="preserve"> The grid has been generated by using OF release</w:t>
      </w:r>
      <w:r w:rsidR="00F774A5" w:rsidRPr="00A33C66">
        <w:rPr>
          <w:lang w:val="en-GB"/>
        </w:rPr>
        <w:t xml:space="preserve"> 12</w:t>
      </w:r>
      <w:r w:rsidRPr="00A33C66">
        <w:rPr>
          <w:lang w:val="en-GB"/>
        </w:rPr>
        <w:t xml:space="preserve">. The meshes obtained had </w:t>
      </w:r>
      <w:r w:rsidR="003D1D27" w:rsidRPr="00A33C66">
        <w:rPr>
          <w:lang w:val="en-GB"/>
        </w:rPr>
        <w:t xml:space="preserve">up to </w:t>
      </w:r>
      <w:r w:rsidRPr="00A33C66">
        <w:rPr>
          <w:lang w:val="en-GB"/>
        </w:rPr>
        <w:t xml:space="preserve">over </w:t>
      </w:r>
      <w:r w:rsidR="003D1D27" w:rsidRPr="00A33C66">
        <w:rPr>
          <w:lang w:val="en-GB"/>
        </w:rPr>
        <w:t>7</w:t>
      </w:r>
      <w:r w:rsidRPr="00A33C66">
        <w:rPr>
          <w:lang w:val="en-GB"/>
        </w:rPr>
        <w:t xml:space="preserve"> million cells</w:t>
      </w:r>
      <w:r w:rsidR="003D1D27" w:rsidRPr="00A33C66">
        <w:rPr>
          <w:lang w:val="en-GB"/>
        </w:rPr>
        <w:t>, as explained in the section 2.3.</w:t>
      </w:r>
      <w:r w:rsidR="00692EEB" w:rsidRPr="00A33C66">
        <w:rPr>
          <w:lang w:val="en-GB"/>
        </w:rPr>
        <w:t>3</w:t>
      </w:r>
      <w:r w:rsidRPr="00A33C66">
        <w:rPr>
          <w:lang w:val="en-GB"/>
        </w:rPr>
        <w:t>.</w:t>
      </w:r>
    </w:p>
    <w:p w14:paraId="2BC5566A" w14:textId="023C8F1C" w:rsidR="008E6898" w:rsidRPr="00A33C66" w:rsidRDefault="003A72B0" w:rsidP="008E6898">
      <w:pPr>
        <w:pStyle w:val="CETCaption"/>
        <w:rPr>
          <w:lang w:val="en-US"/>
        </w:rPr>
      </w:pPr>
      <w:r w:rsidRPr="00A33C66">
        <w:rPr>
          <w:noProof/>
          <w:lang w:val="en-US"/>
        </w:rPr>
        <w:drawing>
          <wp:inline distT="0" distB="0" distL="0" distR="0" wp14:anchorId="684AD653" wp14:editId="7E13EBCB">
            <wp:extent cx="763869" cy="1654565"/>
            <wp:effectExtent l="0" t="7303" r="0" b="0"/>
            <wp:docPr id="1683295212" name="Picture 2" descr="A grey rectangular structure with black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295212" name="Picture 2" descr="A grey rectangular structure with black lines&#10;&#10;AI-generated content may be incorrect."/>
                    <pic:cNvPicPr/>
                  </pic:nvPicPr>
                  <pic:blipFill rotWithShape="1">
                    <a:blip r:embed="rId10"/>
                    <a:srcRect l="24394" t="11363" r="39562"/>
                    <a:stretch>
                      <a:fillRect/>
                    </a:stretch>
                  </pic:blipFill>
                  <pic:spPr bwMode="auto">
                    <a:xfrm rot="5400000">
                      <a:off x="0" y="0"/>
                      <a:ext cx="764540" cy="1656018"/>
                    </a:xfrm>
                    <a:prstGeom prst="rect">
                      <a:avLst/>
                    </a:prstGeom>
                    <a:ln>
                      <a:noFill/>
                    </a:ln>
                    <a:extLst>
                      <a:ext uri="{53640926-AAD7-44D8-BBD7-CCE9431645EC}">
                        <a14:shadowObscured xmlns:a14="http://schemas.microsoft.com/office/drawing/2010/main"/>
                      </a:ext>
                    </a:extLst>
                  </pic:spPr>
                </pic:pic>
              </a:graphicData>
            </a:graphic>
          </wp:inline>
        </w:drawing>
      </w:r>
    </w:p>
    <w:p w14:paraId="4C90E1B2" w14:textId="78760D21" w:rsidR="008E6898" w:rsidRPr="00A33C66" w:rsidRDefault="008E6898" w:rsidP="00CA2C5D">
      <w:pPr>
        <w:pStyle w:val="CETCaption"/>
        <w:rPr>
          <w:lang w:val="en-US"/>
        </w:rPr>
      </w:pPr>
      <w:r w:rsidRPr="00A33C66">
        <w:rPr>
          <w:rStyle w:val="CETCaptionCarattere"/>
          <w:i/>
          <w:lang w:val="en-US"/>
        </w:rPr>
        <w:t>Figure 1</w:t>
      </w:r>
      <w:r w:rsidR="002A3563" w:rsidRPr="00A33C66">
        <w:rPr>
          <w:rStyle w:val="CETCaptionCarattere"/>
          <w:i/>
          <w:lang w:val="en-US"/>
        </w:rPr>
        <w:t xml:space="preserve">: </w:t>
      </w:r>
      <w:r w:rsidR="00CA2C5D" w:rsidRPr="00A33C66">
        <w:rPr>
          <w:lang w:val="en-US"/>
        </w:rPr>
        <w:t>Computational mesh of the pipe domain with boundary-layer refinement</w:t>
      </w:r>
    </w:p>
    <w:p w14:paraId="5DC544A0" w14:textId="4B1D3C5E" w:rsidR="0008012C" w:rsidRPr="00A33C66" w:rsidRDefault="0008012C" w:rsidP="0008012C">
      <w:pPr>
        <w:pStyle w:val="CETHeadingxx"/>
      </w:pPr>
      <w:r w:rsidRPr="00A33C66">
        <w:t>2.3.2 Governing equations and boundary conditions</w:t>
      </w:r>
    </w:p>
    <w:p w14:paraId="25A5372F" w14:textId="64598047" w:rsidR="00C14DE0" w:rsidRPr="00A33C66" w:rsidRDefault="00C14DE0" w:rsidP="00453E24">
      <w:pPr>
        <w:pStyle w:val="CETBodytext"/>
      </w:pPr>
      <w:r w:rsidRPr="00A33C66">
        <w:t xml:space="preserve">Numerical simulations </w:t>
      </w:r>
      <w:r w:rsidR="00836B92" w:rsidRPr="00A33C66">
        <w:t xml:space="preserve">to obtain the thermal and hydrodynamic fields within the pipe </w:t>
      </w:r>
      <w:r w:rsidRPr="00A33C66">
        <w:t>were carried out by solving the steady, axisymmetric Reynolds</w:t>
      </w:r>
      <w:r w:rsidRPr="00A33C66">
        <w:rPr>
          <w:rFonts w:ascii="Cambria Math" w:hAnsi="Cambria Math" w:cs="Cambria Math"/>
        </w:rPr>
        <w:t>‐</w:t>
      </w:r>
      <w:r w:rsidRPr="00A33C66">
        <w:t xml:space="preserve">averaged Navier–Stokes </w:t>
      </w:r>
      <w:r w:rsidR="00F1483D" w:rsidRPr="00A33C66">
        <w:t xml:space="preserve">(RANS) </w:t>
      </w:r>
      <w:r w:rsidRPr="00A33C66">
        <w:t>and energy equations with a standard k–ε turbulence closure.</w:t>
      </w:r>
      <w:r w:rsidR="00836B92" w:rsidRPr="00A33C66">
        <w:t xml:space="preserve"> This closure provides a reliable balance between accuracy and computational cost in fully developed turbulent pipe flow</w:t>
      </w:r>
      <w:r w:rsidR="00D869F3" w:rsidRPr="00A33C66">
        <w:t xml:space="preserve"> (</w:t>
      </w:r>
      <w:r w:rsidR="00BF0F5D" w:rsidRPr="00A33C66">
        <w:t>Launder and Spalding, 1974</w:t>
      </w:r>
      <w:r w:rsidR="00D869F3" w:rsidRPr="00A33C66">
        <w:t>)</w:t>
      </w:r>
      <w:r w:rsidR="00836B92" w:rsidRPr="00A33C66">
        <w:t>.</w:t>
      </w:r>
      <w:r w:rsidRPr="00A33C66">
        <w:t xml:space="preserve"> At the inlet, a uniform axial velocity of 0.50 m/s and a fixed temperature of 293.15 K were imposed. A constant heat flux of </w:t>
      </w:r>
      <w:r w:rsidR="00B449FC" w:rsidRPr="00A33C66">
        <w:t>10,</w:t>
      </w:r>
      <w:r w:rsidRPr="00A33C66">
        <w:t xml:space="preserve">000 W/m² was applied to the inner wall, and </w:t>
      </w:r>
      <w:r w:rsidR="00B449FC" w:rsidRPr="00A33C66">
        <w:t xml:space="preserve">zero-gauge pressure was maintained at </w:t>
      </w:r>
      <w:r w:rsidRPr="00A33C66">
        <w:t>the outlet. Mesh refinement and solver settings were held constant across all cases to ensure mesh</w:t>
      </w:r>
      <w:r w:rsidRPr="00A33C66">
        <w:rPr>
          <w:rFonts w:ascii="Cambria Math" w:hAnsi="Cambria Math" w:cs="Cambria Math"/>
        </w:rPr>
        <w:t>‐</w:t>
      </w:r>
      <w:r w:rsidRPr="00A33C66">
        <w:t>independent, directly comparable results.</w:t>
      </w:r>
      <w:r w:rsidR="002E1E16" w:rsidRPr="00A33C66">
        <w:t xml:space="preserve"> </w:t>
      </w:r>
    </w:p>
    <w:p w14:paraId="1D39CD1E" w14:textId="70DAF1C5" w:rsidR="00C14DE0" w:rsidRPr="00A33C66" w:rsidRDefault="00C14DE0" w:rsidP="00C14DE0">
      <w:pPr>
        <w:pStyle w:val="CETBodytext"/>
      </w:pPr>
      <w:r w:rsidRPr="00A33C66">
        <w:t>To verify that the flow remains turbulent</w:t>
      </w:r>
      <w:r w:rsidR="00F7470F" w:rsidRPr="00A33C66">
        <w:t xml:space="preserve"> in all fluids</w:t>
      </w:r>
      <w:r w:rsidRPr="00A33C66">
        <w:t>, the Reynolds number</w:t>
      </w:r>
      <w:r w:rsidR="00692EEB" w:rsidRPr="00A33C66">
        <w:t xml:space="preserve">, </w:t>
      </w:r>
      <w:r w:rsidRPr="00A33C66">
        <w:t>defined as</w:t>
      </w:r>
      <w:r w:rsidR="004E6ABF" w:rsidRPr="00A33C66">
        <w:t xml:space="preserve"> </w:t>
      </w:r>
      <w:r w:rsidR="008B096A" w:rsidRPr="00A33C66">
        <w:t xml:space="preserve">in </w:t>
      </w:r>
      <w:proofErr w:type="gramStart"/>
      <w:r w:rsidR="004E6ABF" w:rsidRPr="00A33C66">
        <w:t>Eq(</w:t>
      </w:r>
      <w:proofErr w:type="gramEnd"/>
      <w:r w:rsidR="004E6ABF" w:rsidRPr="00A33C66">
        <w:t>2) has been evaluated for all the systems by using of the related thermophysical properties at 20 °C as reported in Table 2.</w:t>
      </w:r>
    </w:p>
    <w:tbl>
      <w:tblPr>
        <w:tblW w:w="5000" w:type="pct"/>
        <w:tblLook w:val="04A0" w:firstRow="1" w:lastRow="0" w:firstColumn="1" w:lastColumn="0" w:noHBand="0" w:noVBand="1"/>
      </w:tblPr>
      <w:tblGrid>
        <w:gridCol w:w="7986"/>
        <w:gridCol w:w="801"/>
      </w:tblGrid>
      <w:tr w:rsidR="00552148" w:rsidRPr="00A33C66" w14:paraId="1C573CF4" w14:textId="77777777" w:rsidTr="007B7B06">
        <w:tc>
          <w:tcPr>
            <w:tcW w:w="7986" w:type="dxa"/>
            <w:vAlign w:val="center"/>
          </w:tcPr>
          <w:p w14:paraId="2D2EEA30" w14:textId="74526B45" w:rsidR="00552148" w:rsidRPr="00A33C66" w:rsidRDefault="007B7B06" w:rsidP="007B7B06">
            <w:pPr>
              <w:pStyle w:val="CETEquation"/>
              <w:rPr>
                <w:lang w:val="en-US"/>
              </w:rPr>
            </w:pPr>
            <m:oMathPara>
              <m:oMathParaPr>
                <m:jc m:val="left"/>
              </m:oMathParaPr>
              <m:oMath>
                <m:r>
                  <m:rPr>
                    <m:nor/>
                  </m:rPr>
                  <w:rPr>
                    <w:lang w:val="en-US"/>
                  </w:rPr>
                  <m:t>Re</m:t>
                </m:r>
                <m:r>
                  <m:rPr>
                    <m:sty m:val="p"/>
                  </m:rPr>
                  <w:rPr>
                    <w:rFonts w:ascii="Cambria Math" w:hAnsi="Cambria Math"/>
                    <w:lang w:val="en-US"/>
                  </w:rPr>
                  <m:t>=</m:t>
                </m:r>
                <m:f>
                  <m:fPr>
                    <m:ctrlPr>
                      <w:rPr>
                        <w:rFonts w:ascii="Cambria Math" w:hAnsi="Cambria Math"/>
                        <w:lang w:val="en-US"/>
                      </w:rPr>
                    </m:ctrlPr>
                  </m:fPr>
                  <m:num>
                    <m:r>
                      <w:rPr>
                        <w:rFonts w:ascii="Cambria Math" w:hAnsi="Cambria Math"/>
                        <w:lang w:val="en-US"/>
                      </w:rPr>
                      <m:t>ρ</m:t>
                    </m:r>
                    <m:r>
                      <m:rPr>
                        <m:sty m:val="p"/>
                      </m:rPr>
                      <w:rPr>
                        <w:rFonts w:ascii="Cambria Math" w:hAnsi="Cambria Math"/>
                        <w:lang w:val="en-US"/>
                      </w:rPr>
                      <m:t> </m:t>
                    </m:r>
                    <m:r>
                      <w:rPr>
                        <w:rFonts w:ascii="Cambria Math" w:hAnsi="Cambria Math"/>
                        <w:lang w:val="en-US"/>
                      </w:rPr>
                      <m:t>u</m:t>
                    </m:r>
                    <m:r>
                      <m:rPr>
                        <m:sty m:val="p"/>
                      </m:rPr>
                      <w:rPr>
                        <w:rFonts w:ascii="Cambria Math" w:hAnsi="Cambria Math"/>
                        <w:lang w:val="en-US"/>
                      </w:rPr>
                      <m:t> </m:t>
                    </m:r>
                    <m:r>
                      <w:rPr>
                        <w:rFonts w:ascii="Cambria Math" w:hAnsi="Cambria Math"/>
                        <w:lang w:val="en-US"/>
                      </w:rPr>
                      <m:t>D</m:t>
                    </m:r>
                  </m:num>
                  <m:den>
                    <m:r>
                      <w:rPr>
                        <w:rFonts w:ascii="Cambria Math" w:hAnsi="Cambria Math"/>
                        <w:lang w:val="en-US"/>
                      </w:rPr>
                      <m:t>μ</m:t>
                    </m:r>
                  </m:den>
                </m:f>
              </m:oMath>
            </m:oMathPara>
          </w:p>
        </w:tc>
        <w:tc>
          <w:tcPr>
            <w:tcW w:w="801" w:type="dxa"/>
            <w:vAlign w:val="center"/>
          </w:tcPr>
          <w:p w14:paraId="7BDB04E2" w14:textId="29B043B0" w:rsidR="00552148" w:rsidRPr="00A33C66" w:rsidRDefault="00552148" w:rsidP="002D6278">
            <w:pPr>
              <w:pStyle w:val="CETEquation"/>
              <w:jc w:val="right"/>
              <w:rPr>
                <w:lang w:val="en-US"/>
              </w:rPr>
            </w:pPr>
            <w:r w:rsidRPr="00A33C66">
              <w:rPr>
                <w:lang w:val="en-US"/>
              </w:rPr>
              <w:t>(</w:t>
            </w:r>
            <w:r w:rsidR="002D7CE6" w:rsidRPr="00A33C66">
              <w:rPr>
                <w:lang w:val="en-US"/>
              </w:rPr>
              <w:t>2</w:t>
            </w:r>
            <w:r w:rsidRPr="00A33C66">
              <w:rPr>
                <w:lang w:val="en-US"/>
              </w:rPr>
              <w:t>)</w:t>
            </w:r>
          </w:p>
        </w:tc>
      </w:tr>
    </w:tbl>
    <w:p w14:paraId="57536387" w14:textId="3C65D180" w:rsidR="00552148" w:rsidRPr="00A33C66" w:rsidRDefault="00552148" w:rsidP="00552148">
      <w:pPr>
        <w:pStyle w:val="CETTabletitle"/>
        <w:rPr>
          <w:lang w:val="en-US"/>
        </w:rPr>
      </w:pPr>
      <w:r w:rsidRPr="00A33C66">
        <w:rPr>
          <w:lang w:val="en-US"/>
        </w:rPr>
        <w:t xml:space="preserve">Table </w:t>
      </w:r>
      <w:r w:rsidR="007B7B06" w:rsidRPr="00A33C66">
        <w:rPr>
          <w:lang w:val="en-US"/>
        </w:rPr>
        <w:t>2</w:t>
      </w:r>
      <w:r w:rsidRPr="00A33C66">
        <w:rPr>
          <w:lang w:val="en-US"/>
        </w:rPr>
        <w:t xml:space="preserve">: </w:t>
      </w:r>
      <w:r w:rsidR="006E1FE8" w:rsidRPr="00A33C66">
        <w:rPr>
          <w:lang w:val="en-US"/>
        </w:rPr>
        <w:t>Reynolds number in the operating conditions</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814"/>
        <w:gridCol w:w="1134"/>
        <w:gridCol w:w="1134"/>
        <w:gridCol w:w="1134"/>
      </w:tblGrid>
      <w:tr w:rsidR="00F251C4" w:rsidRPr="00A33C66" w14:paraId="7DE5E65E" w14:textId="77777777" w:rsidTr="008F14E6">
        <w:tc>
          <w:tcPr>
            <w:tcW w:w="1814" w:type="dxa"/>
            <w:tcBorders>
              <w:top w:val="single" w:sz="12" w:space="0" w:color="008000"/>
              <w:left w:val="nil"/>
              <w:bottom w:val="single" w:sz="6" w:space="0" w:color="008000"/>
              <w:right w:val="nil"/>
            </w:tcBorders>
            <w:shd w:val="clear" w:color="auto" w:fill="FFFFFF"/>
          </w:tcPr>
          <w:p w14:paraId="351E2968" w14:textId="450E48C9" w:rsidR="00F251C4" w:rsidRPr="00A33C66" w:rsidRDefault="00F251C4" w:rsidP="00F251C4">
            <w:pPr>
              <w:pStyle w:val="CETBodytext"/>
            </w:pPr>
            <w:r w:rsidRPr="00A33C66">
              <w:t>Fluid</w:t>
            </w:r>
          </w:p>
        </w:tc>
        <w:tc>
          <w:tcPr>
            <w:tcW w:w="1134" w:type="dxa"/>
            <w:tcBorders>
              <w:top w:val="single" w:sz="12" w:space="0" w:color="008000"/>
              <w:left w:val="nil"/>
              <w:bottom w:val="single" w:sz="6" w:space="0" w:color="008000"/>
              <w:right w:val="nil"/>
            </w:tcBorders>
            <w:shd w:val="clear" w:color="auto" w:fill="FFFFFF"/>
          </w:tcPr>
          <w:p w14:paraId="61273BD1" w14:textId="58540E6F" w:rsidR="00F251C4" w:rsidRPr="00A33C66" w:rsidRDefault="00F251C4" w:rsidP="00F251C4">
            <w:pPr>
              <w:pStyle w:val="CETBodytext"/>
            </w:pPr>
            <w:r w:rsidRPr="00A33C66">
              <w:t>ρ (kg/m³) </w:t>
            </w:r>
          </w:p>
        </w:tc>
        <w:tc>
          <w:tcPr>
            <w:tcW w:w="1134" w:type="dxa"/>
            <w:tcBorders>
              <w:top w:val="single" w:sz="12" w:space="0" w:color="008000"/>
              <w:left w:val="nil"/>
              <w:bottom w:val="single" w:sz="6" w:space="0" w:color="008000"/>
              <w:right w:val="nil"/>
            </w:tcBorders>
            <w:shd w:val="clear" w:color="auto" w:fill="FFFFFF"/>
          </w:tcPr>
          <w:p w14:paraId="7A03043A" w14:textId="4EF6AF3C" w:rsidR="00F251C4" w:rsidRPr="00A33C66" w:rsidRDefault="00F251C4" w:rsidP="00F251C4">
            <w:pPr>
              <w:pStyle w:val="CETBodytext"/>
            </w:pPr>
            <w:r w:rsidRPr="00A33C66">
              <w:t>μ (</w:t>
            </w:r>
            <w:proofErr w:type="spellStart"/>
            <w:r w:rsidRPr="00A33C66">
              <w:t>Pa·s</w:t>
            </w:r>
            <w:proofErr w:type="spellEnd"/>
            <w:r w:rsidRPr="00A33C66">
              <w:t>)</w:t>
            </w:r>
          </w:p>
        </w:tc>
        <w:tc>
          <w:tcPr>
            <w:tcW w:w="1134" w:type="dxa"/>
            <w:tcBorders>
              <w:top w:val="single" w:sz="12" w:space="0" w:color="008000"/>
              <w:left w:val="nil"/>
              <w:bottom w:val="single" w:sz="6" w:space="0" w:color="008000"/>
              <w:right w:val="nil"/>
            </w:tcBorders>
            <w:shd w:val="clear" w:color="auto" w:fill="FFFFFF"/>
          </w:tcPr>
          <w:p w14:paraId="4FC576E7" w14:textId="0D1351CD" w:rsidR="00F251C4" w:rsidRPr="00A33C66" w:rsidRDefault="00F251C4" w:rsidP="00F251C4">
            <w:pPr>
              <w:pStyle w:val="CETBodytext"/>
              <w:ind w:right="-1"/>
              <w:rPr>
                <w:rFonts w:cs="Arial"/>
                <w:szCs w:val="18"/>
              </w:rPr>
            </w:pPr>
            <w:r w:rsidRPr="00A33C66">
              <w:t>Re</w:t>
            </w:r>
          </w:p>
        </w:tc>
      </w:tr>
      <w:tr w:rsidR="00F251C4" w:rsidRPr="00A33C66" w14:paraId="4D08FF97" w14:textId="77777777" w:rsidTr="008F14E6">
        <w:tc>
          <w:tcPr>
            <w:tcW w:w="1814" w:type="dxa"/>
            <w:shd w:val="clear" w:color="auto" w:fill="FFFFFF"/>
          </w:tcPr>
          <w:p w14:paraId="77C38E2B" w14:textId="69A029DC" w:rsidR="00F251C4" w:rsidRPr="00A33C66" w:rsidRDefault="00F251C4" w:rsidP="00F251C4">
            <w:pPr>
              <w:pStyle w:val="CETBodytext"/>
            </w:pPr>
            <w:r w:rsidRPr="00A33C66">
              <w:t>Water</w:t>
            </w:r>
          </w:p>
        </w:tc>
        <w:tc>
          <w:tcPr>
            <w:tcW w:w="1134" w:type="dxa"/>
            <w:shd w:val="clear" w:color="auto" w:fill="FFFFFF"/>
          </w:tcPr>
          <w:p w14:paraId="243208B9" w14:textId="4072C692" w:rsidR="00F251C4" w:rsidRPr="00A33C66" w:rsidRDefault="00F251C4" w:rsidP="00F251C4">
            <w:pPr>
              <w:pStyle w:val="CETBodytext"/>
            </w:pPr>
            <w:r w:rsidRPr="00A33C66">
              <w:t>998</w:t>
            </w:r>
          </w:p>
        </w:tc>
        <w:tc>
          <w:tcPr>
            <w:tcW w:w="1134" w:type="dxa"/>
            <w:shd w:val="clear" w:color="auto" w:fill="FFFFFF"/>
          </w:tcPr>
          <w:p w14:paraId="2A26D2FC" w14:textId="68AD6983" w:rsidR="00F251C4" w:rsidRPr="00A33C66" w:rsidRDefault="00F251C4" w:rsidP="00F251C4">
            <w:pPr>
              <w:pStyle w:val="CETBodytext"/>
            </w:pPr>
            <w:r w:rsidRPr="00A33C66">
              <w:t>1.00 × 10</w:t>
            </w:r>
            <w:r w:rsidRPr="00A33C66">
              <w:rPr>
                <w:rFonts w:ascii="Cambria Math" w:hAnsi="Cambria Math" w:cs="Cambria Math"/>
              </w:rPr>
              <w:t>⁻</w:t>
            </w:r>
            <w:r w:rsidRPr="00A33C66">
              <w:rPr>
                <w:rFonts w:ascii="Aptos" w:hAnsi="Aptos" w:cs="Aptos"/>
              </w:rPr>
              <w:t>³</w:t>
            </w:r>
          </w:p>
        </w:tc>
        <w:tc>
          <w:tcPr>
            <w:tcW w:w="1134" w:type="dxa"/>
            <w:shd w:val="clear" w:color="auto" w:fill="FFFFFF"/>
          </w:tcPr>
          <w:p w14:paraId="51A04F1A" w14:textId="3E0E2C5C" w:rsidR="00F251C4" w:rsidRPr="00A33C66" w:rsidRDefault="00F251C4" w:rsidP="00F251C4">
            <w:pPr>
              <w:pStyle w:val="CETBodytext"/>
              <w:ind w:right="-1"/>
              <w:rPr>
                <w:rFonts w:cs="Arial"/>
                <w:szCs w:val="18"/>
              </w:rPr>
            </w:pPr>
            <w:r w:rsidRPr="00A33C66">
              <w:t>4,990</w:t>
            </w:r>
          </w:p>
        </w:tc>
      </w:tr>
      <w:tr w:rsidR="00F251C4" w:rsidRPr="00A33C66" w14:paraId="08DFA14C" w14:textId="77777777" w:rsidTr="008F14E6">
        <w:tc>
          <w:tcPr>
            <w:tcW w:w="1814" w:type="dxa"/>
            <w:shd w:val="clear" w:color="auto" w:fill="FFFFFF"/>
          </w:tcPr>
          <w:p w14:paraId="4ADA0C27" w14:textId="35D24032" w:rsidR="00F251C4" w:rsidRPr="00A33C66" w:rsidRDefault="00F251C4" w:rsidP="00F251C4">
            <w:pPr>
              <w:pStyle w:val="CETBodytext"/>
            </w:pPr>
            <w:proofErr w:type="spellStart"/>
            <w:r w:rsidRPr="00A33C66">
              <w:t>CuO</w:t>
            </w:r>
            <w:proofErr w:type="spellEnd"/>
            <w:r w:rsidRPr="00A33C66">
              <w:t xml:space="preserve">–water (1 </w:t>
            </w:r>
            <w:proofErr w:type="spellStart"/>
            <w:r w:rsidRPr="00A33C66">
              <w:t>wt</w:t>
            </w:r>
            <w:proofErr w:type="spellEnd"/>
            <w:r w:rsidRPr="00A33C66">
              <w:t xml:space="preserve"> %)</w:t>
            </w:r>
          </w:p>
        </w:tc>
        <w:tc>
          <w:tcPr>
            <w:tcW w:w="1134" w:type="dxa"/>
            <w:shd w:val="clear" w:color="auto" w:fill="FFFFFF"/>
          </w:tcPr>
          <w:p w14:paraId="2A11131B" w14:textId="6DAE65B2" w:rsidR="00F251C4" w:rsidRPr="00A33C66" w:rsidRDefault="00F251C4" w:rsidP="00F251C4">
            <w:pPr>
              <w:pStyle w:val="CETBodytext"/>
            </w:pPr>
            <w:r w:rsidRPr="00A33C66">
              <w:t>1</w:t>
            </w:r>
            <w:r w:rsidR="00D54C54" w:rsidRPr="00A33C66">
              <w:t>,</w:t>
            </w:r>
            <w:r w:rsidRPr="00A33C66">
              <w:t>003</w:t>
            </w:r>
          </w:p>
        </w:tc>
        <w:tc>
          <w:tcPr>
            <w:tcW w:w="1134" w:type="dxa"/>
            <w:shd w:val="clear" w:color="auto" w:fill="FFFFFF"/>
          </w:tcPr>
          <w:p w14:paraId="6F7CB0B2" w14:textId="5FB5A2D3" w:rsidR="00F251C4" w:rsidRPr="00A33C66" w:rsidRDefault="00F251C4" w:rsidP="00F251C4">
            <w:pPr>
              <w:pStyle w:val="CETBodytext"/>
            </w:pPr>
            <w:r w:rsidRPr="00A33C66">
              <w:t>1.00 × 10</w:t>
            </w:r>
            <w:r w:rsidRPr="00A33C66">
              <w:rPr>
                <w:rFonts w:ascii="Cambria Math" w:hAnsi="Cambria Math" w:cs="Cambria Math"/>
              </w:rPr>
              <w:t>⁻</w:t>
            </w:r>
            <w:r w:rsidRPr="00A33C66">
              <w:rPr>
                <w:rFonts w:ascii="Aptos" w:hAnsi="Aptos" w:cs="Aptos"/>
              </w:rPr>
              <w:t>³</w:t>
            </w:r>
          </w:p>
        </w:tc>
        <w:tc>
          <w:tcPr>
            <w:tcW w:w="1134" w:type="dxa"/>
            <w:shd w:val="clear" w:color="auto" w:fill="FFFFFF"/>
          </w:tcPr>
          <w:p w14:paraId="3CC22702" w14:textId="1B6C101C" w:rsidR="00F251C4" w:rsidRPr="00A33C66" w:rsidRDefault="00F251C4" w:rsidP="00F251C4">
            <w:pPr>
              <w:pStyle w:val="CETBodytext"/>
              <w:ind w:right="-1"/>
              <w:rPr>
                <w:rFonts w:cs="Arial"/>
                <w:szCs w:val="18"/>
              </w:rPr>
            </w:pPr>
            <w:r w:rsidRPr="00A33C66">
              <w:t>4,490</w:t>
            </w:r>
          </w:p>
        </w:tc>
      </w:tr>
      <w:tr w:rsidR="00F251C4" w:rsidRPr="00A33C66" w14:paraId="3527EC65" w14:textId="77777777" w:rsidTr="008F14E6">
        <w:tc>
          <w:tcPr>
            <w:tcW w:w="1814" w:type="dxa"/>
            <w:shd w:val="clear" w:color="auto" w:fill="FFFFFF"/>
          </w:tcPr>
          <w:p w14:paraId="18E73687" w14:textId="042ADF2E" w:rsidR="00F251C4" w:rsidRPr="00A33C66" w:rsidRDefault="00F251C4" w:rsidP="00F251C4">
            <w:pPr>
              <w:pStyle w:val="CETBodytext"/>
            </w:pPr>
            <w:proofErr w:type="spellStart"/>
            <w:r w:rsidRPr="00A33C66">
              <w:t>CuO</w:t>
            </w:r>
            <w:proofErr w:type="spellEnd"/>
            <w:r w:rsidRPr="00A33C66">
              <w:t xml:space="preserve">–water (5 </w:t>
            </w:r>
            <w:proofErr w:type="spellStart"/>
            <w:r w:rsidRPr="00A33C66">
              <w:t>wt</w:t>
            </w:r>
            <w:proofErr w:type="spellEnd"/>
            <w:r w:rsidRPr="00A33C66">
              <w:t xml:space="preserve"> %)</w:t>
            </w:r>
          </w:p>
        </w:tc>
        <w:tc>
          <w:tcPr>
            <w:tcW w:w="1134" w:type="dxa"/>
            <w:shd w:val="clear" w:color="auto" w:fill="FFFFFF"/>
          </w:tcPr>
          <w:p w14:paraId="79238E9D" w14:textId="63213DA1" w:rsidR="00F251C4" w:rsidRPr="00A33C66" w:rsidRDefault="00F251C4" w:rsidP="00F251C4">
            <w:pPr>
              <w:pStyle w:val="CETBodytext"/>
            </w:pPr>
            <w:r w:rsidRPr="00A33C66">
              <w:t>1,025</w:t>
            </w:r>
          </w:p>
        </w:tc>
        <w:tc>
          <w:tcPr>
            <w:tcW w:w="1134" w:type="dxa"/>
            <w:shd w:val="clear" w:color="auto" w:fill="FFFFFF"/>
          </w:tcPr>
          <w:p w14:paraId="3F60CB93" w14:textId="5634697E" w:rsidR="00F251C4" w:rsidRPr="00A33C66" w:rsidRDefault="00F251C4" w:rsidP="00F251C4">
            <w:pPr>
              <w:pStyle w:val="CETBodytext"/>
            </w:pPr>
            <w:r w:rsidRPr="00A33C66">
              <w:t>1.15 × 10</w:t>
            </w:r>
            <w:r w:rsidRPr="00A33C66">
              <w:rPr>
                <w:rFonts w:ascii="Cambria Math" w:hAnsi="Cambria Math" w:cs="Cambria Math"/>
              </w:rPr>
              <w:t>⁻</w:t>
            </w:r>
            <w:r w:rsidRPr="00A33C66">
              <w:rPr>
                <w:rFonts w:ascii="Aptos" w:hAnsi="Aptos" w:cs="Aptos"/>
              </w:rPr>
              <w:t>³</w:t>
            </w:r>
          </w:p>
        </w:tc>
        <w:tc>
          <w:tcPr>
            <w:tcW w:w="1134" w:type="dxa"/>
            <w:shd w:val="clear" w:color="auto" w:fill="FFFFFF"/>
          </w:tcPr>
          <w:p w14:paraId="316AA764" w14:textId="38CC08D6" w:rsidR="00F251C4" w:rsidRPr="00A33C66" w:rsidRDefault="00F251C4" w:rsidP="00F251C4">
            <w:pPr>
              <w:pStyle w:val="CETBodytext"/>
              <w:ind w:right="-1"/>
              <w:rPr>
                <w:rFonts w:cs="Arial"/>
                <w:szCs w:val="18"/>
              </w:rPr>
            </w:pPr>
            <w:r w:rsidRPr="00A33C66">
              <w:t>3,480</w:t>
            </w:r>
          </w:p>
        </w:tc>
      </w:tr>
      <w:tr w:rsidR="00F251C4" w:rsidRPr="00A33C66" w14:paraId="485A915F" w14:textId="77777777" w:rsidTr="008F14E6">
        <w:tc>
          <w:tcPr>
            <w:tcW w:w="1814" w:type="dxa"/>
            <w:shd w:val="clear" w:color="auto" w:fill="FFFFFF"/>
          </w:tcPr>
          <w:p w14:paraId="2E15C329" w14:textId="7BBA5C6B" w:rsidR="00F251C4" w:rsidRPr="00A33C66" w:rsidRDefault="00F251C4" w:rsidP="00F251C4">
            <w:pPr>
              <w:pStyle w:val="CETBodytext"/>
            </w:pPr>
            <w:proofErr w:type="spellStart"/>
            <w:r w:rsidRPr="00A33C66">
              <w:t>Al</w:t>
            </w:r>
            <w:r w:rsidRPr="00A33C66">
              <w:rPr>
                <w:rFonts w:ascii="Cambria Math" w:hAnsi="Cambria Math" w:cs="Cambria Math"/>
              </w:rPr>
              <w:t>₂</w:t>
            </w:r>
            <w:r w:rsidRPr="00A33C66">
              <w:t>O</w:t>
            </w:r>
            <w:proofErr w:type="spellEnd"/>
            <w:r w:rsidRPr="00A33C66">
              <w:rPr>
                <w:rFonts w:ascii="Cambria Math" w:hAnsi="Cambria Math" w:cs="Cambria Math"/>
              </w:rPr>
              <w:t>₃</w:t>
            </w:r>
            <w:r w:rsidRPr="00A33C66">
              <w:rPr>
                <w:rFonts w:cs="Arial"/>
              </w:rPr>
              <w:t>–</w:t>
            </w:r>
            <w:r w:rsidRPr="00A33C66">
              <w:t xml:space="preserve">water (1 </w:t>
            </w:r>
            <w:proofErr w:type="spellStart"/>
            <w:r w:rsidRPr="00A33C66">
              <w:t>wt</w:t>
            </w:r>
            <w:proofErr w:type="spellEnd"/>
            <w:r w:rsidRPr="00A33C66">
              <w:t xml:space="preserve"> %)</w:t>
            </w:r>
          </w:p>
        </w:tc>
        <w:tc>
          <w:tcPr>
            <w:tcW w:w="1134" w:type="dxa"/>
            <w:shd w:val="clear" w:color="auto" w:fill="FFFFFF"/>
          </w:tcPr>
          <w:p w14:paraId="13ECC866" w14:textId="0905F77C" w:rsidR="00F251C4" w:rsidRPr="00A33C66" w:rsidRDefault="00F251C4" w:rsidP="00F251C4">
            <w:pPr>
              <w:pStyle w:val="CETBodytext"/>
            </w:pPr>
            <w:r w:rsidRPr="00A33C66">
              <w:t>1,000</w:t>
            </w:r>
          </w:p>
        </w:tc>
        <w:tc>
          <w:tcPr>
            <w:tcW w:w="1134" w:type="dxa"/>
            <w:shd w:val="clear" w:color="auto" w:fill="FFFFFF"/>
          </w:tcPr>
          <w:p w14:paraId="537ECB41" w14:textId="33BFF5BE" w:rsidR="00F251C4" w:rsidRPr="00A33C66" w:rsidRDefault="00F251C4" w:rsidP="00F251C4">
            <w:pPr>
              <w:pStyle w:val="CETBodytext"/>
            </w:pPr>
            <w:r w:rsidRPr="00A33C66">
              <w:t>1.05 × 10</w:t>
            </w:r>
            <w:r w:rsidRPr="00A33C66">
              <w:rPr>
                <w:rFonts w:ascii="Cambria Math" w:hAnsi="Cambria Math" w:cs="Cambria Math"/>
              </w:rPr>
              <w:t>⁻</w:t>
            </w:r>
            <w:r w:rsidRPr="00A33C66">
              <w:rPr>
                <w:rFonts w:ascii="Aptos" w:hAnsi="Aptos" w:cs="Aptos"/>
              </w:rPr>
              <w:t>³</w:t>
            </w:r>
          </w:p>
        </w:tc>
        <w:tc>
          <w:tcPr>
            <w:tcW w:w="1134" w:type="dxa"/>
            <w:shd w:val="clear" w:color="auto" w:fill="FFFFFF"/>
          </w:tcPr>
          <w:p w14:paraId="4AE288F2" w14:textId="105764D4" w:rsidR="00F251C4" w:rsidRPr="00A33C66" w:rsidRDefault="00F251C4" w:rsidP="00F251C4">
            <w:pPr>
              <w:pStyle w:val="CETBodytext"/>
              <w:ind w:right="-1"/>
              <w:rPr>
                <w:rFonts w:cs="Arial"/>
                <w:szCs w:val="18"/>
              </w:rPr>
            </w:pPr>
            <w:r w:rsidRPr="00A33C66">
              <w:t>4,580</w:t>
            </w:r>
          </w:p>
        </w:tc>
      </w:tr>
      <w:tr w:rsidR="00F251C4" w:rsidRPr="00A33C66" w14:paraId="2DC02214" w14:textId="77777777" w:rsidTr="008F14E6">
        <w:tc>
          <w:tcPr>
            <w:tcW w:w="1814" w:type="dxa"/>
            <w:shd w:val="clear" w:color="auto" w:fill="FFFFFF"/>
          </w:tcPr>
          <w:p w14:paraId="6D422197" w14:textId="134B6A84" w:rsidR="00F251C4" w:rsidRPr="00A33C66" w:rsidRDefault="00F251C4" w:rsidP="00F251C4">
            <w:pPr>
              <w:pStyle w:val="CETBodytext"/>
              <w:ind w:right="-1"/>
              <w:rPr>
                <w:rFonts w:cs="Arial"/>
                <w:szCs w:val="18"/>
              </w:rPr>
            </w:pPr>
            <w:proofErr w:type="spellStart"/>
            <w:r w:rsidRPr="00A33C66">
              <w:t>Al</w:t>
            </w:r>
            <w:r w:rsidRPr="00A33C66">
              <w:rPr>
                <w:rFonts w:ascii="Cambria Math" w:hAnsi="Cambria Math" w:cs="Cambria Math"/>
              </w:rPr>
              <w:t>₂</w:t>
            </w:r>
            <w:r w:rsidRPr="00A33C66">
              <w:t>O</w:t>
            </w:r>
            <w:proofErr w:type="spellEnd"/>
            <w:r w:rsidRPr="00A33C66">
              <w:rPr>
                <w:rFonts w:ascii="Cambria Math" w:hAnsi="Cambria Math" w:cs="Cambria Math"/>
              </w:rPr>
              <w:t>₃</w:t>
            </w:r>
            <w:r w:rsidRPr="00A33C66">
              <w:rPr>
                <w:rFonts w:cs="Arial"/>
              </w:rPr>
              <w:t>–</w:t>
            </w:r>
            <w:r w:rsidRPr="00A33C66">
              <w:t xml:space="preserve">water (5 </w:t>
            </w:r>
            <w:proofErr w:type="spellStart"/>
            <w:r w:rsidRPr="00A33C66">
              <w:t>wt</w:t>
            </w:r>
            <w:proofErr w:type="spellEnd"/>
            <w:r w:rsidRPr="00A33C66">
              <w:t xml:space="preserve"> %)</w:t>
            </w:r>
          </w:p>
        </w:tc>
        <w:tc>
          <w:tcPr>
            <w:tcW w:w="1134" w:type="dxa"/>
            <w:shd w:val="clear" w:color="auto" w:fill="FFFFFF"/>
          </w:tcPr>
          <w:p w14:paraId="1D0F809D" w14:textId="68C2B889" w:rsidR="00F251C4" w:rsidRPr="00A33C66" w:rsidRDefault="00F251C4" w:rsidP="00F251C4">
            <w:pPr>
              <w:pStyle w:val="CETBodytext"/>
              <w:ind w:right="-1"/>
              <w:rPr>
                <w:rFonts w:cs="Arial"/>
                <w:szCs w:val="18"/>
              </w:rPr>
            </w:pPr>
            <w:r w:rsidRPr="00A33C66">
              <w:t>1,030</w:t>
            </w:r>
          </w:p>
        </w:tc>
        <w:tc>
          <w:tcPr>
            <w:tcW w:w="1134" w:type="dxa"/>
            <w:shd w:val="clear" w:color="auto" w:fill="FFFFFF"/>
          </w:tcPr>
          <w:p w14:paraId="6BB0B73E" w14:textId="40037650" w:rsidR="00F251C4" w:rsidRPr="00A33C66" w:rsidRDefault="00F251C4" w:rsidP="00F251C4">
            <w:pPr>
              <w:pStyle w:val="CETBodytext"/>
              <w:ind w:right="-1"/>
              <w:rPr>
                <w:rFonts w:cs="Arial"/>
                <w:szCs w:val="18"/>
              </w:rPr>
            </w:pPr>
            <w:r w:rsidRPr="00A33C66">
              <w:t>1.20 × 10</w:t>
            </w:r>
            <w:r w:rsidRPr="00A33C66">
              <w:rPr>
                <w:rFonts w:ascii="Cambria Math" w:hAnsi="Cambria Math" w:cs="Cambria Math"/>
              </w:rPr>
              <w:t>⁻</w:t>
            </w:r>
            <w:r w:rsidRPr="00A33C66">
              <w:rPr>
                <w:rFonts w:ascii="Aptos" w:hAnsi="Aptos" w:cs="Aptos"/>
              </w:rPr>
              <w:t>³</w:t>
            </w:r>
          </w:p>
        </w:tc>
        <w:tc>
          <w:tcPr>
            <w:tcW w:w="1134" w:type="dxa"/>
            <w:shd w:val="clear" w:color="auto" w:fill="FFFFFF"/>
          </w:tcPr>
          <w:p w14:paraId="1CE6EA5D" w14:textId="409F4752" w:rsidR="00F251C4" w:rsidRPr="00A33C66" w:rsidRDefault="00F251C4" w:rsidP="00F251C4">
            <w:pPr>
              <w:pStyle w:val="CETBodytext"/>
              <w:ind w:right="-1"/>
              <w:rPr>
                <w:rFonts w:cs="Arial"/>
                <w:szCs w:val="18"/>
              </w:rPr>
            </w:pPr>
            <w:r w:rsidRPr="00A33C66">
              <w:t>3,350</w:t>
            </w:r>
          </w:p>
        </w:tc>
      </w:tr>
    </w:tbl>
    <w:p w14:paraId="27F0B289" w14:textId="77777777" w:rsidR="00552148" w:rsidRPr="00A33C66" w:rsidRDefault="00552148" w:rsidP="00453E24">
      <w:pPr>
        <w:pStyle w:val="CETBodytext"/>
      </w:pPr>
    </w:p>
    <w:p w14:paraId="57EEA003" w14:textId="34DEB525" w:rsidR="00135BCC" w:rsidRPr="00A33C66" w:rsidRDefault="00552148" w:rsidP="00135BCC">
      <w:pPr>
        <w:pStyle w:val="CETBodytext"/>
      </w:pPr>
      <w:r w:rsidRPr="00A33C66">
        <w:t>All cases exhibit Re</w:t>
      </w:r>
      <w:r w:rsidR="00E42DA8" w:rsidRPr="00A33C66">
        <w:t xml:space="preserve"> </w:t>
      </w:r>
      <w:r w:rsidRPr="00A33C66">
        <w:t>&gt;</w:t>
      </w:r>
      <w:r w:rsidR="00E42DA8" w:rsidRPr="00A33C66">
        <w:t xml:space="preserve"> </w:t>
      </w:r>
      <w:r w:rsidRPr="00A33C66">
        <w:t>3</w:t>
      </w:r>
      <w:r w:rsidR="00E42DA8" w:rsidRPr="00A33C66">
        <w:t>,</w:t>
      </w:r>
      <w:r w:rsidRPr="00A33C66">
        <w:t xml:space="preserve">000, </w:t>
      </w:r>
      <w:r w:rsidR="00E42DA8" w:rsidRPr="00A33C66">
        <w:t xml:space="preserve">which is well </w:t>
      </w:r>
      <w:r w:rsidRPr="00A33C66">
        <w:t xml:space="preserve">above the laminar–turbulent transition </w:t>
      </w:r>
      <w:r w:rsidR="00E42DA8" w:rsidRPr="00A33C66">
        <w:t>(approximately 2,</w:t>
      </w:r>
      <w:r w:rsidRPr="00A33C66">
        <w:t>300) and thus warrant</w:t>
      </w:r>
      <w:r w:rsidR="00E42DA8" w:rsidRPr="00A33C66">
        <w:t>s</w:t>
      </w:r>
      <w:r w:rsidRPr="00A33C66">
        <w:t xml:space="preserve"> the use of a turbulent closure.</w:t>
      </w:r>
      <w:r w:rsidR="000B4A64" w:rsidRPr="00A33C66">
        <w:t xml:space="preserve"> </w:t>
      </w:r>
      <w:r w:rsidR="00135BCC" w:rsidRPr="00A33C66">
        <w:t>The steady RANS energy equation</w:t>
      </w:r>
      <w:r w:rsidR="00F26B32" w:rsidRPr="00A33C66">
        <w:t xml:space="preserve"> </w:t>
      </w:r>
      <w:proofErr w:type="gramStart"/>
      <w:r w:rsidR="003C60E8" w:rsidRPr="00A33C66">
        <w:t>Eq</w:t>
      </w:r>
      <w:r w:rsidR="0026199C" w:rsidRPr="00A33C66">
        <w:t>(</w:t>
      </w:r>
      <w:proofErr w:type="gramEnd"/>
      <w:r w:rsidR="0026199C" w:rsidRPr="00A33C66">
        <w:t xml:space="preserve">3) </w:t>
      </w:r>
      <w:r w:rsidR="00F26B32" w:rsidRPr="00A33C66">
        <w:t>was solved</w:t>
      </w:r>
      <w:r w:rsidR="00D97DB3" w:rsidRPr="00A33C66">
        <w:t>.</w:t>
      </w:r>
    </w:p>
    <w:tbl>
      <w:tblPr>
        <w:tblW w:w="5000" w:type="pct"/>
        <w:tblLook w:val="04A0" w:firstRow="1" w:lastRow="0" w:firstColumn="1" w:lastColumn="0" w:noHBand="0" w:noVBand="1"/>
      </w:tblPr>
      <w:tblGrid>
        <w:gridCol w:w="7983"/>
        <w:gridCol w:w="804"/>
      </w:tblGrid>
      <w:tr w:rsidR="00135BCC" w:rsidRPr="00A33C66" w14:paraId="21337C66" w14:textId="77777777" w:rsidTr="0048610B">
        <w:tc>
          <w:tcPr>
            <w:tcW w:w="7983" w:type="dxa"/>
            <w:vAlign w:val="center"/>
          </w:tcPr>
          <w:p w14:paraId="7ECB9800" w14:textId="513D4B12" w:rsidR="00135BCC" w:rsidRPr="00A33C66" w:rsidRDefault="00135BCC" w:rsidP="00627C19">
            <w:pPr>
              <w:pStyle w:val="CETEquation"/>
              <w:rPr>
                <w:lang w:val="en-US"/>
              </w:rPr>
            </w:pPr>
            <m:oMath>
              <m:r>
                <w:rPr>
                  <w:rFonts w:ascii="Cambria Math" w:hAnsi="Cambria Math"/>
                  <w:lang w:val="en-US"/>
                </w:rPr>
                <m:t>ρ</m:t>
              </m:r>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p</m:t>
                  </m:r>
                </m:sub>
              </m:sSub>
              <m:r>
                <m:rPr>
                  <m:sty m:val="p"/>
                </m:rPr>
                <w:rPr>
                  <w:rFonts w:ascii="Cambria Math" w:hAnsi="Cambria Math"/>
                  <w:lang w:val="en-US"/>
                </w:rPr>
                <m:t xml:space="preserve"> u⋅</m:t>
              </m:r>
              <m:r>
                <m:rPr>
                  <m:nor/>
                </m:rPr>
                <w:rPr>
                  <w:rFonts w:ascii="Cambria Math" w:hAnsi="Cambria Math" w:cs="Cambria Math"/>
                  <w:lang w:val="en-US"/>
                </w:rPr>
                <m:t>∇</m:t>
              </m:r>
              <m:r>
                <m:rPr>
                  <m:nor/>
                </m:rPr>
                <w:rPr>
                  <w:lang w:val="en-US"/>
                </w:rPr>
                <m:t>T</m:t>
              </m:r>
              <m:r>
                <m:rPr>
                  <m:sty m:val="p"/>
                </m:rPr>
                <w:rPr>
                  <w:rFonts w:ascii="Cambria Math" w:hAnsi="Cambria Math"/>
                  <w:lang w:val="en-US"/>
                </w:rPr>
                <m:t>=</m:t>
              </m:r>
              <m:r>
                <m:rPr>
                  <m:nor/>
                </m:rPr>
                <w:rPr>
                  <w:rFonts w:ascii="Cambria Math" w:hAnsi="Cambria Math" w:cs="Cambria Math"/>
                  <w:lang w:val="en-US"/>
                </w:rPr>
                <m:t>∇</m:t>
              </m:r>
              <m:r>
                <m:rPr>
                  <m:sty m:val="p"/>
                </m:rPr>
                <w:rPr>
                  <w:rFonts w:ascii="Cambria Math" w:hAnsi="Cambria Math"/>
                  <w:lang w:val="en-US"/>
                </w:rPr>
                <m:t>⋅</m:t>
              </m:r>
              <m:d>
                <m:dPr>
                  <m:begChr m:val="["/>
                  <m:endChr m:val="]"/>
                  <m:ctrlPr>
                    <w:rPr>
                      <w:rFonts w:ascii="Cambria Math" w:hAnsi="Cambria Math"/>
                      <w:lang w:val="en-US"/>
                    </w:rPr>
                  </m:ctrlPr>
                </m:dPr>
                <m:e>
                  <m:d>
                    <m:dPr>
                      <m:ctrlPr>
                        <w:rPr>
                          <w:rFonts w:ascii="Cambria Math" w:hAnsi="Cambria Math"/>
                          <w:lang w:val="en-US"/>
                        </w:rPr>
                      </m:ctrlPr>
                    </m:dPr>
                    <m:e>
                      <m:r>
                        <w:rPr>
                          <w:rFonts w:ascii="Cambria Math" w:hAnsi="Cambria Math"/>
                          <w:lang w:val="en-US"/>
                        </w:rPr>
                        <m:t>k</m:t>
                      </m:r>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k</m:t>
                          </m:r>
                        </m:e>
                        <m:sub>
                          <m:r>
                            <m:rPr>
                              <m:sty m:val="p"/>
                            </m:rPr>
                            <w:rPr>
                              <w:rFonts w:ascii="Cambria Math" w:hAnsi="Cambria Math"/>
                              <w:lang w:val="en-US"/>
                            </w:rPr>
                            <m:t>t</m:t>
                          </m:r>
                        </m:sub>
                      </m:sSub>
                      <m:r>
                        <m:rPr>
                          <m:sty m:val="p"/>
                        </m:rPr>
                        <w:rPr>
                          <w:rFonts w:ascii="Cambria Math" w:hAnsi="Cambria Math"/>
                          <w:lang w:val="en-US"/>
                        </w:rPr>
                        <m:t>​</m:t>
                      </m:r>
                    </m:e>
                  </m:d>
                  <m:r>
                    <w:rPr>
                      <w:rFonts w:ascii="Cambria Math" w:hAnsi="Cambria Math"/>
                      <w:lang w:val="en-US"/>
                    </w:rPr>
                    <m:t>∇T</m:t>
                  </m:r>
                </m:e>
              </m:d>
            </m:oMath>
            <w:r w:rsidRPr="00A33C66">
              <w:rPr>
                <w:lang w:val="en-US"/>
              </w:rPr>
              <w:t xml:space="preserve"> , </w:t>
            </w:r>
            <w:r w:rsidR="00720E47" w:rsidRPr="00A33C66">
              <w:rPr>
                <w:lang w:val="en-US"/>
              </w:rPr>
              <w:t xml:space="preserve"> </w:t>
            </w:r>
            <m:oMath>
              <m:sSub>
                <m:sSubPr>
                  <m:ctrlPr>
                    <w:rPr>
                      <w:rFonts w:ascii="Cambria Math" w:hAnsi="Cambria Math"/>
                      <w:lang w:val="en-US"/>
                    </w:rPr>
                  </m:ctrlPr>
                </m:sSubPr>
                <m:e>
                  <m:r>
                    <m:rPr>
                      <m:sty m:val="p"/>
                    </m:rPr>
                    <w:rPr>
                      <w:rFonts w:ascii="Cambria Math" w:hAnsi="Cambria Math"/>
                      <w:lang w:val="en-US"/>
                    </w:rPr>
                    <m:t>k</m:t>
                  </m:r>
                </m:e>
                <m:sub>
                  <m:r>
                    <m:rPr>
                      <m:sty m:val="p"/>
                    </m:rPr>
                    <w:rPr>
                      <w:rFonts w:ascii="Cambria Math" w:hAnsi="Cambria Math"/>
                      <w:lang w:val="en-US"/>
                    </w:rPr>
                    <m:t>t</m:t>
                  </m:r>
                </m:sub>
              </m:sSub>
              <m:r>
                <m:rPr>
                  <m:sty m:val="p"/>
                </m:rPr>
                <w:rPr>
                  <w:rFonts w:ascii="Cambria Math" w:hAnsi="Cambria Math"/>
                  <w:lang w:val="en-US"/>
                </w:rPr>
                <m:t>=</m:t>
              </m:r>
              <m:f>
                <m:fPr>
                  <m:ctrlPr>
                    <w:rPr>
                      <w:rFonts w:ascii="Cambria Math" w:hAnsi="Cambria Math"/>
                      <w:lang w:val="en-US"/>
                    </w:rPr>
                  </m:ctrlPr>
                </m:fPr>
                <m:num>
                  <m:sSub>
                    <m:sSubPr>
                      <m:ctrlPr>
                        <w:rPr>
                          <w:rFonts w:ascii="Cambria Math" w:hAnsi="Cambria Math"/>
                          <w:lang w:val="en-US"/>
                        </w:rPr>
                      </m:ctrlPr>
                    </m:sSubPr>
                    <m:e>
                      <m:r>
                        <w:rPr>
                          <w:rFonts w:ascii="Cambria Math" w:hAnsi="Cambria Math"/>
                          <w:lang w:val="en-US"/>
                        </w:rPr>
                        <m:t>μ</m:t>
                      </m:r>
                    </m:e>
                    <m:sub>
                      <m:r>
                        <m:rPr>
                          <m:sty m:val="p"/>
                        </m:rPr>
                        <w:rPr>
                          <w:rFonts w:ascii="Cambria Math" w:hAnsi="Cambria Math"/>
                          <w:lang w:val="en-US"/>
                        </w:rPr>
                        <m:t>t</m:t>
                      </m:r>
                    </m:sub>
                  </m:sSub>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p</m:t>
                      </m:r>
                    </m:sub>
                  </m:sSub>
                </m:num>
                <m:den>
                  <m:sSub>
                    <m:sSubPr>
                      <m:ctrlPr>
                        <w:rPr>
                          <w:rFonts w:ascii="Cambria Math" w:hAnsi="Cambria Math"/>
                          <w:lang w:val="en-US"/>
                        </w:rPr>
                      </m:ctrlPr>
                    </m:sSubPr>
                    <m:e>
                      <m:r>
                        <m:rPr>
                          <m:sty m:val="p"/>
                        </m:rPr>
                        <w:rPr>
                          <w:rFonts w:ascii="Cambria Math" w:hAnsi="Cambria Math"/>
                          <w:lang w:val="en-US"/>
                        </w:rPr>
                        <m:t>Pr</m:t>
                      </m:r>
                    </m:e>
                    <m:sub>
                      <m:r>
                        <m:rPr>
                          <m:sty m:val="p"/>
                        </m:rPr>
                        <w:rPr>
                          <w:rFonts w:ascii="Cambria Math" w:hAnsi="Cambria Math"/>
                          <w:lang w:val="en-US"/>
                        </w:rPr>
                        <m:t>t</m:t>
                      </m:r>
                    </m:sub>
                  </m:sSub>
                </m:den>
              </m:f>
              <m:r>
                <m:rPr>
                  <m:sty m:val="p"/>
                </m:rPr>
                <w:rPr>
                  <w:rFonts w:ascii="Cambria Math" w:hAnsi="Cambria Math"/>
                  <w:lang w:val="en-US"/>
                </w:rPr>
                <m:t xml:space="preserve"> ,  </m:t>
              </m:r>
              <m:sSub>
                <m:sSubPr>
                  <m:ctrlPr>
                    <w:rPr>
                      <w:rFonts w:ascii="Cambria Math" w:hAnsi="Cambria Math"/>
                      <w:lang w:val="en-US"/>
                    </w:rPr>
                  </m:ctrlPr>
                </m:sSubPr>
                <m:e>
                  <m:r>
                    <m:rPr>
                      <m:sty m:val="p"/>
                    </m:rPr>
                    <w:rPr>
                      <w:rFonts w:ascii="Cambria Math" w:hAnsi="Cambria Math"/>
                      <w:lang w:val="en-US"/>
                    </w:rPr>
                    <m:t>Pr</m:t>
                  </m:r>
                </m:e>
                <m:sub>
                  <m:r>
                    <m:rPr>
                      <m:sty m:val="p"/>
                    </m:rPr>
                    <w:rPr>
                      <w:rFonts w:ascii="Cambria Math" w:hAnsi="Cambria Math"/>
                      <w:lang w:val="en-US"/>
                    </w:rPr>
                    <m:t>t</m:t>
                  </m:r>
                </m:sub>
              </m:sSub>
              <m:r>
                <m:rPr>
                  <m:sty m:val="p"/>
                </m:rPr>
                <w:rPr>
                  <w:rFonts w:ascii="Cambria Math" w:hAnsi="Cambria Math"/>
                  <w:lang w:val="en-US"/>
                </w:rPr>
                <m:t>=0.9</m:t>
              </m:r>
            </m:oMath>
          </w:p>
        </w:tc>
        <w:tc>
          <w:tcPr>
            <w:tcW w:w="804" w:type="dxa"/>
            <w:vAlign w:val="center"/>
          </w:tcPr>
          <w:p w14:paraId="639333B4" w14:textId="77777777" w:rsidR="00135BCC" w:rsidRPr="00A33C66" w:rsidRDefault="00135BCC" w:rsidP="00627C19">
            <w:pPr>
              <w:pStyle w:val="CETEquation"/>
              <w:jc w:val="right"/>
              <w:rPr>
                <w:lang w:val="en-US"/>
              </w:rPr>
            </w:pPr>
            <w:r w:rsidRPr="00A33C66">
              <w:rPr>
                <w:lang w:val="en-US"/>
              </w:rPr>
              <w:t>(3)</w:t>
            </w:r>
          </w:p>
        </w:tc>
      </w:tr>
    </w:tbl>
    <w:p w14:paraId="37359257" w14:textId="6CBA95F1" w:rsidR="00135BCC" w:rsidRPr="00A33C66" w:rsidRDefault="00135BCC" w:rsidP="00135BCC">
      <w:pPr>
        <w:pStyle w:val="CETBodytext"/>
      </w:pPr>
      <w:r w:rsidRPr="00A33C66">
        <w:t>Wall</w:t>
      </w:r>
      <w:r w:rsidRPr="00A33C66">
        <w:rPr>
          <w:rFonts w:ascii="Cambria Math" w:hAnsi="Cambria Math" w:cs="Cambria Math"/>
        </w:rPr>
        <w:t>‐</w:t>
      </w:r>
      <w:r w:rsidRPr="00A33C66">
        <w:t>averaged temperature T</w:t>
      </w:r>
      <w:r w:rsidRPr="00A33C66">
        <w:rPr>
          <w:rFonts w:ascii="Cambria Math" w:hAnsi="Cambria Math" w:cs="Cambria Math"/>
        </w:rPr>
        <w:t>ₛ</w:t>
      </w:r>
      <w:r w:rsidRPr="00A33C66">
        <w:t xml:space="preserve"> and bulk</w:t>
      </w:r>
      <w:r w:rsidRPr="00A33C66">
        <w:rPr>
          <w:rFonts w:ascii="Cambria Math" w:hAnsi="Cambria Math" w:cs="Cambria Math"/>
        </w:rPr>
        <w:t>‐</w:t>
      </w:r>
      <w:r w:rsidRPr="00A33C66">
        <w:t>averaged Tᵦ were obtained via coupling operators. Then, the heat</w:t>
      </w:r>
      <w:r w:rsidRPr="00A33C66">
        <w:rPr>
          <w:rFonts w:ascii="Cambria Math" w:hAnsi="Cambria Math" w:cs="Cambria Math"/>
        </w:rPr>
        <w:t>‐</w:t>
      </w:r>
      <w:r w:rsidRPr="00A33C66">
        <w:t>transfer coefficient and Nusselt number were computed as</w:t>
      </w:r>
      <w:r w:rsidR="00B24E1E" w:rsidRPr="00A33C66">
        <w:t>:</w:t>
      </w:r>
    </w:p>
    <w:tbl>
      <w:tblPr>
        <w:tblW w:w="5000" w:type="pct"/>
        <w:tblLook w:val="04A0" w:firstRow="1" w:lastRow="0" w:firstColumn="1" w:lastColumn="0" w:noHBand="0" w:noVBand="1"/>
      </w:tblPr>
      <w:tblGrid>
        <w:gridCol w:w="7983"/>
        <w:gridCol w:w="804"/>
      </w:tblGrid>
      <w:tr w:rsidR="00135BCC" w:rsidRPr="00A33C66" w14:paraId="44C40E71" w14:textId="77777777" w:rsidTr="0048610B">
        <w:tc>
          <w:tcPr>
            <w:tcW w:w="7983" w:type="dxa"/>
            <w:vAlign w:val="center"/>
          </w:tcPr>
          <w:p w14:paraId="1FEE5621" w14:textId="3775D27F" w:rsidR="00135BCC" w:rsidRPr="00A33C66" w:rsidRDefault="00135BCC" w:rsidP="00627C19">
            <w:pPr>
              <w:pStyle w:val="CETBodytext"/>
              <w:jc w:val="left"/>
              <w:rPr>
                <w:lang w:val="it-IT"/>
              </w:rPr>
            </w:pPr>
            <m:oMathPara>
              <m:oMathParaPr>
                <m:jc m:val="left"/>
              </m:oMathParaPr>
              <m:oMath>
                <m:r>
                  <w:rPr>
                    <w:rFonts w:ascii="Cambria Math" w:hAnsi="Cambria Math"/>
                    <w:lang w:val="it-IT"/>
                  </w:rPr>
                  <m:t>h=</m:t>
                </m:r>
                <m:f>
                  <m:fPr>
                    <m:ctrlPr>
                      <w:rPr>
                        <w:rFonts w:ascii="Cambria Math" w:hAnsi="Cambria Math"/>
                        <w:i/>
                      </w:rPr>
                    </m:ctrlPr>
                  </m:fPr>
                  <m:num>
                    <m:sSup>
                      <m:sSupPr>
                        <m:ctrlPr>
                          <w:rPr>
                            <w:rFonts w:ascii="Cambria Math" w:hAnsi="Cambria Math"/>
                            <w:i/>
                          </w:rPr>
                        </m:ctrlPr>
                      </m:sSupPr>
                      <m:e>
                        <m:r>
                          <w:rPr>
                            <w:rFonts w:ascii="Cambria Math" w:hAnsi="Cambria Math"/>
                          </w:rPr>
                          <m:t>q</m:t>
                        </m:r>
                      </m:e>
                      <m:sup>
                        <m:r>
                          <w:rPr>
                            <w:rFonts w:ascii="Cambria Math" w:hAnsi="Cambria Math"/>
                            <w:lang w:val="it-IT"/>
                          </w:rPr>
                          <m:t>''</m:t>
                        </m:r>
                      </m:sup>
                    </m:sSup>
                  </m:num>
                  <m:den>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lang w:val="it-IT"/>
                      </w:rPr>
                      <m:t>-</m:t>
                    </m:r>
                    <m:sSub>
                      <m:sSubPr>
                        <m:ctrlPr>
                          <w:rPr>
                            <w:rFonts w:ascii="Cambria Math" w:hAnsi="Cambria Math"/>
                            <w:i/>
                          </w:rPr>
                        </m:ctrlPr>
                      </m:sSubPr>
                      <m:e>
                        <m:r>
                          <w:rPr>
                            <w:rFonts w:ascii="Cambria Math" w:hAnsi="Cambria Math"/>
                          </w:rPr>
                          <m:t>T</m:t>
                        </m:r>
                      </m:e>
                      <m:sub>
                        <m:r>
                          <w:rPr>
                            <w:rFonts w:ascii="Cambria Math" w:hAnsi="Cambria Math"/>
                          </w:rPr>
                          <m:t>b</m:t>
                        </m:r>
                      </m:sub>
                    </m:sSub>
                  </m:den>
                </m:f>
                <m:r>
                  <w:rPr>
                    <w:rFonts w:ascii="Cambria Math" w:hAnsi="Cambria Math"/>
                    <w:lang w:val="it-IT"/>
                  </w:rPr>
                  <m:t xml:space="preserve">,  </m:t>
                </m:r>
                <m:r>
                  <m:rPr>
                    <m:nor/>
                  </m:rPr>
                  <w:rPr>
                    <w:rFonts w:ascii="Cambria Math" w:hAnsi="Cambria Math"/>
                    <w:lang w:val="it-IT"/>
                  </w:rPr>
                  <m:t>Nu</m:t>
                </m:r>
                <m:r>
                  <w:rPr>
                    <w:rFonts w:ascii="Cambria Math" w:hAnsi="Cambria Math"/>
                    <w:lang w:val="it-IT"/>
                  </w:rPr>
                  <m:t>=</m:t>
                </m:r>
                <m:f>
                  <m:fPr>
                    <m:ctrlPr>
                      <w:rPr>
                        <w:rFonts w:ascii="Cambria Math" w:hAnsi="Cambria Math"/>
                      </w:rPr>
                    </m:ctrlPr>
                  </m:fPr>
                  <m:num>
                    <m:r>
                      <w:rPr>
                        <w:rFonts w:ascii="Cambria Math" w:hAnsi="Cambria Math"/>
                        <w:lang w:val="it-IT"/>
                      </w:rPr>
                      <m:t>h </m:t>
                    </m:r>
                    <m:d>
                      <m:dPr>
                        <m:ctrlPr>
                          <w:rPr>
                            <w:rFonts w:ascii="Cambria Math" w:hAnsi="Cambria Math"/>
                            <w:i/>
                          </w:rPr>
                        </m:ctrlPr>
                      </m:dPr>
                      <m:e>
                        <m:r>
                          <w:rPr>
                            <w:rFonts w:ascii="Cambria Math" w:hAnsi="Cambria Math"/>
                            <w:lang w:val="it-IT"/>
                          </w:rPr>
                          <m:t>2</m:t>
                        </m:r>
                        <m:r>
                          <w:rPr>
                            <w:rFonts w:ascii="Cambria Math" w:hAnsi="Cambria Math"/>
                          </w:rPr>
                          <m:t>r</m:t>
                        </m:r>
                      </m:e>
                    </m:d>
                    <m:ctrlPr>
                      <w:rPr>
                        <w:rFonts w:ascii="Cambria Math" w:hAnsi="Cambria Math"/>
                        <w:i/>
                      </w:rPr>
                    </m:ctrlPr>
                  </m:num>
                  <m:den>
                    <m:r>
                      <w:rPr>
                        <w:rFonts w:ascii="Cambria Math" w:hAnsi="Cambria Math"/>
                      </w:rPr>
                      <m:t>k</m:t>
                    </m:r>
                    <m:ctrlPr>
                      <w:rPr>
                        <w:rFonts w:ascii="Cambria Math" w:hAnsi="Cambria Math"/>
                        <w:i/>
                      </w:rPr>
                    </m:ctrlPr>
                  </m:den>
                </m:f>
              </m:oMath>
            </m:oMathPara>
          </w:p>
        </w:tc>
        <w:tc>
          <w:tcPr>
            <w:tcW w:w="804" w:type="dxa"/>
            <w:vAlign w:val="center"/>
          </w:tcPr>
          <w:p w14:paraId="156AFEF7" w14:textId="77777777" w:rsidR="00135BCC" w:rsidRPr="00A33C66" w:rsidRDefault="00135BCC" w:rsidP="00627C19">
            <w:pPr>
              <w:pStyle w:val="CETEquation"/>
              <w:jc w:val="right"/>
              <w:rPr>
                <w:lang w:val="en-US"/>
              </w:rPr>
            </w:pPr>
            <w:r w:rsidRPr="00A33C66">
              <w:rPr>
                <w:lang w:val="en-US"/>
              </w:rPr>
              <w:t>(4)</w:t>
            </w:r>
          </w:p>
        </w:tc>
      </w:tr>
    </w:tbl>
    <w:p w14:paraId="64B4ABFA" w14:textId="149C5B43" w:rsidR="00552148" w:rsidRPr="00A33C66" w:rsidRDefault="00552148" w:rsidP="00552148">
      <w:pPr>
        <w:pStyle w:val="CETHeadingxx"/>
      </w:pPr>
      <w:r w:rsidRPr="00A33C66">
        <w:t>2.3.</w:t>
      </w:r>
      <w:r w:rsidR="00692EEB" w:rsidRPr="00A33C66">
        <w:t xml:space="preserve">3 </w:t>
      </w:r>
      <w:r w:rsidRPr="00A33C66">
        <w:t>Mesh Convergence</w:t>
      </w:r>
    </w:p>
    <w:p w14:paraId="47DA3E51" w14:textId="77777777" w:rsidR="00707096" w:rsidRPr="00A33C66" w:rsidRDefault="00692EEB" w:rsidP="00707096">
      <w:pPr>
        <w:pStyle w:val="CETBodytext"/>
      </w:pPr>
      <w:r w:rsidRPr="00A33C66">
        <w:t xml:space="preserve">A </w:t>
      </w:r>
      <w:r w:rsidR="00414853" w:rsidRPr="00A33C66">
        <w:t xml:space="preserve">convergence </w:t>
      </w:r>
      <w:r w:rsidRPr="00A33C66">
        <w:t xml:space="preserve">study on pure water </w:t>
      </w:r>
      <w:r w:rsidR="00414853" w:rsidRPr="00A33C66">
        <w:t xml:space="preserve">was conducted prior to </w:t>
      </w:r>
      <w:r w:rsidR="00110BD3" w:rsidRPr="00A33C66">
        <w:t xml:space="preserve">the simulation campaign to assess the </w:t>
      </w:r>
      <w:r w:rsidR="00414853" w:rsidRPr="00A33C66">
        <w:t>grid</w:t>
      </w:r>
      <w:r w:rsidR="00414853" w:rsidRPr="00A33C66">
        <w:rPr>
          <w:rFonts w:ascii="Cambria Math" w:hAnsi="Cambria Math" w:cs="Cambria Math"/>
        </w:rPr>
        <w:t>‐</w:t>
      </w:r>
      <w:r w:rsidR="00414853" w:rsidRPr="00A33C66">
        <w:t xml:space="preserve">independence </w:t>
      </w:r>
      <w:r w:rsidR="00110BD3" w:rsidRPr="00A33C66">
        <w:t xml:space="preserve">of the results. </w:t>
      </w:r>
      <w:r w:rsidR="00707096" w:rsidRPr="00A33C66">
        <w:t xml:space="preserve">Figure 2 shows the relative error, defined as in </w:t>
      </w:r>
      <w:proofErr w:type="gramStart"/>
      <w:r w:rsidR="00707096" w:rsidRPr="00A33C66">
        <w:t>Eq(</w:t>
      </w:r>
      <w:proofErr w:type="gramEnd"/>
      <w:r w:rsidR="00707096" w:rsidRPr="00A33C66">
        <w:t>5), between the point values of temperature obtained along the outlet section of the pipe evaluated with the various meshes.</w:t>
      </w:r>
    </w:p>
    <w:tbl>
      <w:tblPr>
        <w:tblW w:w="5000" w:type="pct"/>
        <w:tblLook w:val="04A0" w:firstRow="1" w:lastRow="0" w:firstColumn="1" w:lastColumn="0" w:noHBand="0" w:noVBand="1"/>
      </w:tblPr>
      <w:tblGrid>
        <w:gridCol w:w="7983"/>
        <w:gridCol w:w="804"/>
      </w:tblGrid>
      <w:tr w:rsidR="00707096" w:rsidRPr="00A33C66" w14:paraId="1F9F0B6D" w14:textId="77777777" w:rsidTr="00722B2E">
        <w:tc>
          <w:tcPr>
            <w:tcW w:w="7983" w:type="dxa"/>
            <w:vAlign w:val="center"/>
          </w:tcPr>
          <w:p w14:paraId="1A958A03" w14:textId="77777777" w:rsidR="00707096" w:rsidRPr="00A33C66" w:rsidRDefault="00707096" w:rsidP="00722B2E">
            <w:pPr>
              <w:pStyle w:val="CETBodytext"/>
              <w:jc w:val="left"/>
              <w:rPr>
                <w:lang w:val="it-IT"/>
              </w:rPr>
            </w:pPr>
            <m:oMathPara>
              <m:oMathParaPr>
                <m:jc m:val="left"/>
              </m:oMathParaPr>
              <m:oMath>
                <m:r>
                  <w:rPr>
                    <w:rFonts w:ascii="Cambria Math" w:hAnsi="Cambria Math"/>
                    <w:lang w:val="it-IT"/>
                  </w:rPr>
                  <w:lastRenderedPageBreak/>
                  <m:t>Relative error=</m:t>
                </m:r>
                <m:f>
                  <m:fPr>
                    <m:ctrlPr>
                      <w:rPr>
                        <w:rFonts w:ascii="Cambria Math" w:hAnsi="Cambria Math"/>
                        <w:i/>
                      </w:rPr>
                    </m:ctrlPr>
                  </m:fPr>
                  <m:num>
                    <m:sSub>
                      <m:sSubPr>
                        <m:ctrlPr>
                          <w:rPr>
                            <w:rFonts w:ascii="Cambria Math" w:hAnsi="Cambria Math"/>
                            <w:i/>
                          </w:rPr>
                        </m:ctrlPr>
                      </m:sSubPr>
                      <m:e>
                        <m:r>
                          <w:rPr>
                            <w:rFonts w:ascii="Cambria Math" w:hAnsi="Cambria Math"/>
                          </w:rPr>
                          <m:t>x</m:t>
                        </m:r>
                      </m:e>
                      <m:sub>
                        <m:sSub>
                          <m:sSubPr>
                            <m:ctrlPr>
                              <w:rPr>
                                <w:rFonts w:ascii="Cambria Math" w:hAnsi="Cambria Math"/>
                                <w:i/>
                              </w:rPr>
                            </m:ctrlPr>
                          </m:sSubPr>
                          <m:e>
                            <m:r>
                              <w:rPr>
                                <w:rFonts w:ascii="Cambria Math" w:hAnsi="Cambria Math"/>
                              </w:rPr>
                              <m:t>M</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x</m:t>
                        </m:r>
                      </m:e>
                      <m:sub>
                        <m:sSub>
                          <m:sSubPr>
                            <m:ctrlPr>
                              <w:rPr>
                                <w:rFonts w:ascii="Cambria Math" w:hAnsi="Cambria Math"/>
                                <w:i/>
                              </w:rPr>
                            </m:ctrlPr>
                          </m:sSubPr>
                          <m:e>
                            <m:r>
                              <w:rPr>
                                <w:rFonts w:ascii="Cambria Math" w:hAnsi="Cambria Math"/>
                              </w:rPr>
                              <m:t>M</m:t>
                            </m:r>
                          </m:e>
                          <m:sub>
                            <m:r>
                              <w:rPr>
                                <w:rFonts w:ascii="Cambria Math" w:hAnsi="Cambria Math"/>
                              </w:rPr>
                              <m:t>i+1</m:t>
                            </m:r>
                          </m:sub>
                        </m:sSub>
                      </m:sub>
                    </m:sSub>
                  </m:num>
                  <m:den>
                    <m:sSub>
                      <m:sSubPr>
                        <m:ctrlPr>
                          <w:rPr>
                            <w:rFonts w:ascii="Cambria Math" w:hAnsi="Cambria Math"/>
                            <w:i/>
                          </w:rPr>
                        </m:ctrlPr>
                      </m:sSubPr>
                      <m:e>
                        <m:r>
                          <w:rPr>
                            <w:rFonts w:ascii="Cambria Math" w:hAnsi="Cambria Math"/>
                          </w:rPr>
                          <m:t>x</m:t>
                        </m:r>
                      </m:e>
                      <m:sub>
                        <m:sSub>
                          <m:sSubPr>
                            <m:ctrlPr>
                              <w:rPr>
                                <w:rFonts w:ascii="Cambria Math" w:hAnsi="Cambria Math"/>
                                <w:i/>
                              </w:rPr>
                            </m:ctrlPr>
                          </m:sSubPr>
                          <m:e>
                            <m:r>
                              <w:rPr>
                                <w:rFonts w:ascii="Cambria Math" w:hAnsi="Cambria Math"/>
                              </w:rPr>
                              <m:t>M</m:t>
                            </m:r>
                          </m:e>
                          <m:sub>
                            <m:r>
                              <w:rPr>
                                <w:rFonts w:ascii="Cambria Math" w:hAnsi="Cambria Math"/>
                              </w:rPr>
                              <m:t>i</m:t>
                            </m:r>
                          </m:sub>
                        </m:sSub>
                      </m:sub>
                    </m:sSub>
                  </m:den>
                </m:f>
                <m:r>
                  <w:rPr>
                    <w:rFonts w:ascii="Cambria Math" w:hAnsi="Cambria Math"/>
                  </w:rPr>
                  <m:t>∙100</m:t>
                </m:r>
              </m:oMath>
            </m:oMathPara>
          </w:p>
        </w:tc>
        <w:tc>
          <w:tcPr>
            <w:tcW w:w="804" w:type="dxa"/>
            <w:vAlign w:val="center"/>
          </w:tcPr>
          <w:p w14:paraId="75DC4DBC" w14:textId="77777777" w:rsidR="00707096" w:rsidRPr="00A33C66" w:rsidRDefault="00707096" w:rsidP="00722B2E">
            <w:pPr>
              <w:pStyle w:val="CETEquation"/>
              <w:jc w:val="right"/>
              <w:rPr>
                <w:lang w:val="en-US"/>
              </w:rPr>
            </w:pPr>
            <w:r w:rsidRPr="00A33C66">
              <w:rPr>
                <w:lang w:val="en-US"/>
              </w:rPr>
              <w:t>(5)</w:t>
            </w:r>
          </w:p>
        </w:tc>
      </w:tr>
    </w:tbl>
    <w:p w14:paraId="62D83BCD" w14:textId="77777777" w:rsidR="0026619A" w:rsidRPr="00A33C66" w:rsidRDefault="00110BD3" w:rsidP="00707096">
      <w:pPr>
        <w:pStyle w:val="CETBodytext"/>
      </w:pPr>
      <w:r w:rsidRPr="00A33C66">
        <w:t>As shown in Table 3, this study revealed that Mesh 6 (</w:t>
      </w:r>
      <w:r w:rsidRPr="00A33C66">
        <w:rPr>
          <w:rFonts w:cs="Arial"/>
        </w:rPr>
        <w:t>≈</w:t>
      </w:r>
      <w:r w:rsidRPr="00A33C66">
        <w:t>180,000 elements) yields outlet</w:t>
      </w:r>
      <w:r w:rsidRPr="00A33C66">
        <w:rPr>
          <w:rFonts w:ascii="Cambria Math" w:hAnsi="Cambria Math" w:cs="Cambria Math"/>
        </w:rPr>
        <w:t>‐</w:t>
      </w:r>
      <w:r w:rsidRPr="00A33C66">
        <w:t>temperature changes of less than 0.002 K relative to a 660,000</w:t>
      </w:r>
      <w:r w:rsidRPr="00A33C66">
        <w:rPr>
          <w:rFonts w:ascii="Cambria Math" w:hAnsi="Cambria Math" w:cs="Cambria Math"/>
        </w:rPr>
        <w:t>‐</w:t>
      </w:r>
      <w:r w:rsidRPr="00A33C66">
        <w:t>element reference (&lt; 0.001 %).</w:t>
      </w:r>
    </w:p>
    <w:p w14:paraId="1C7B1612" w14:textId="77777777" w:rsidR="0026619A" w:rsidRPr="00A33C66" w:rsidRDefault="0026619A" w:rsidP="0026619A">
      <w:pPr>
        <w:pStyle w:val="CETCaption"/>
        <w:rPr>
          <w:lang w:val="en-US"/>
        </w:rPr>
      </w:pPr>
      <w:r w:rsidRPr="00A33C66">
        <w:rPr>
          <w:noProof/>
          <w:lang w:val="en-US" w:eastAsia="it-IT"/>
        </w:rPr>
        <w:drawing>
          <wp:inline distT="0" distB="0" distL="0" distR="0" wp14:anchorId="5F413866" wp14:editId="3373D5E0">
            <wp:extent cx="3632570" cy="1800000"/>
            <wp:effectExtent l="0" t="0" r="6350" b="0"/>
            <wp:docPr id="268780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780260" name="Picture 1"/>
                    <pic:cNvPicPr>
                      <a:picLocks noChangeAspect="1" noChangeArrowheads="1"/>
                    </pic:cNvPicPr>
                  </pic:nvPicPr>
                  <pic:blipFill rotWithShape="1">
                    <a:blip r:embed="rId11"/>
                    <a:srcRect l="-72" r="80"/>
                    <a:stretch>
                      <a:fillRect/>
                    </a:stretch>
                  </pic:blipFill>
                  <pic:spPr bwMode="auto">
                    <a:xfrm>
                      <a:off x="0" y="0"/>
                      <a:ext cx="3632570" cy="1800000"/>
                    </a:xfrm>
                    <a:prstGeom prst="rect">
                      <a:avLst/>
                    </a:prstGeom>
                    <a:ln>
                      <a:noFill/>
                    </a:ln>
                    <a:extLst>
                      <a:ext uri="{53640926-AAD7-44D8-BBD7-CCE9431645EC}">
                        <a14:shadowObscured xmlns:a14="http://schemas.microsoft.com/office/drawing/2010/main"/>
                      </a:ext>
                    </a:extLst>
                  </pic:spPr>
                </pic:pic>
              </a:graphicData>
            </a:graphic>
          </wp:inline>
        </w:drawing>
      </w:r>
    </w:p>
    <w:p w14:paraId="390A67E9" w14:textId="0CFD021B" w:rsidR="0026619A" w:rsidRPr="00A33C66" w:rsidRDefault="0026619A" w:rsidP="0026619A">
      <w:pPr>
        <w:pStyle w:val="CETCaption"/>
        <w:rPr>
          <w:lang w:val="en-US"/>
        </w:rPr>
      </w:pPr>
      <w:r w:rsidRPr="00A33C66">
        <w:rPr>
          <w:rStyle w:val="CETCaptionCarattere"/>
          <w:i/>
          <w:lang w:val="en-US"/>
        </w:rPr>
        <w:t xml:space="preserve">Figure 2: </w:t>
      </w:r>
      <w:r w:rsidR="004F02FC" w:rsidRPr="00A33C66">
        <w:rPr>
          <w:rStyle w:val="CETCaptionCarattere"/>
          <w:i/>
          <w:lang w:val="en-US"/>
        </w:rPr>
        <w:t xml:space="preserve">Relative error </w:t>
      </w:r>
      <w:r w:rsidR="00D079D6" w:rsidRPr="00A33C66">
        <w:rPr>
          <w:rStyle w:val="CETCaptionCarattere"/>
          <w:i/>
          <w:lang w:val="en-US"/>
        </w:rPr>
        <w:t xml:space="preserve">on the </w:t>
      </w:r>
      <w:r w:rsidRPr="00A33C66">
        <w:rPr>
          <w:rStyle w:val="CETCaptionCarattere"/>
          <w:i/>
          <w:lang w:val="en-US"/>
        </w:rPr>
        <w:t>temperature</w:t>
      </w:r>
      <w:r w:rsidRPr="00A33C66">
        <w:rPr>
          <w:lang w:val="en-US"/>
        </w:rPr>
        <w:t xml:space="preserve"> </w:t>
      </w:r>
      <w:r w:rsidR="004F02FC" w:rsidRPr="00A33C66">
        <w:rPr>
          <w:lang w:val="en-US"/>
        </w:rPr>
        <w:t>along the outlet section</w:t>
      </w:r>
      <w:r w:rsidR="00D079D6" w:rsidRPr="00A33C66">
        <w:rPr>
          <w:lang w:val="en-US"/>
        </w:rPr>
        <w:t xml:space="preserve"> between the considered meshes</w:t>
      </w:r>
    </w:p>
    <w:p w14:paraId="544EEFBB" w14:textId="6001013C" w:rsidR="003C6C81" w:rsidRPr="00A33C66" w:rsidRDefault="003C6C81" w:rsidP="00CC7FB1">
      <w:pPr>
        <w:pStyle w:val="CETTabletitle"/>
        <w:rPr>
          <w:lang w:val="en-US"/>
        </w:rPr>
      </w:pPr>
      <w:r w:rsidRPr="00A33C66">
        <w:rPr>
          <w:lang w:val="en-US"/>
        </w:rPr>
        <w:t xml:space="preserve">Table 3: </w:t>
      </w:r>
      <w:r w:rsidR="00874C93" w:rsidRPr="00A33C66">
        <w:rPr>
          <w:lang w:val="en-US"/>
        </w:rPr>
        <w:t>Average o</w:t>
      </w:r>
      <w:r w:rsidRPr="00A33C66">
        <w:rPr>
          <w:lang w:val="en-US"/>
        </w:rPr>
        <w:t>utlet</w:t>
      </w:r>
      <w:r w:rsidRPr="00A33C66">
        <w:rPr>
          <w:rFonts w:ascii="Cambria Math" w:hAnsi="Cambria Math" w:cs="Cambria Math"/>
          <w:lang w:val="en-US"/>
        </w:rPr>
        <w:t>‐</w:t>
      </w:r>
      <w:r w:rsidRPr="00A33C66">
        <w:rPr>
          <w:lang w:val="en-US"/>
        </w:rPr>
        <w:t>temperature convergence</w:t>
      </w:r>
    </w:p>
    <w:tbl>
      <w:tblPr>
        <w:tblpPr w:leftFromText="180" w:rightFromText="180" w:vertAnchor="text" w:tblpY="1"/>
        <w:tblOverlap w:val="neve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134"/>
        <w:gridCol w:w="1134"/>
        <w:gridCol w:w="1134"/>
        <w:gridCol w:w="1134"/>
      </w:tblGrid>
      <w:tr w:rsidR="003C6C81" w:rsidRPr="00A33C66" w14:paraId="710DD02C" w14:textId="77777777" w:rsidTr="00995332">
        <w:tc>
          <w:tcPr>
            <w:tcW w:w="1134" w:type="dxa"/>
            <w:tcBorders>
              <w:top w:val="single" w:sz="12" w:space="0" w:color="008000"/>
              <w:left w:val="nil"/>
              <w:bottom w:val="single" w:sz="6" w:space="0" w:color="008000"/>
              <w:right w:val="nil"/>
            </w:tcBorders>
            <w:shd w:val="clear" w:color="auto" w:fill="FFFFFF"/>
          </w:tcPr>
          <w:p w14:paraId="734FB804" w14:textId="77777777" w:rsidR="003C6C81" w:rsidRPr="00A33C66" w:rsidRDefault="003C6C81" w:rsidP="00995332">
            <w:pPr>
              <w:pStyle w:val="CETBodytext"/>
            </w:pPr>
            <w:r w:rsidRPr="00A33C66">
              <w:t>Mesh</w:t>
            </w:r>
          </w:p>
        </w:tc>
        <w:tc>
          <w:tcPr>
            <w:tcW w:w="1134" w:type="dxa"/>
            <w:tcBorders>
              <w:top w:val="single" w:sz="12" w:space="0" w:color="008000"/>
              <w:left w:val="nil"/>
              <w:bottom w:val="single" w:sz="6" w:space="0" w:color="008000"/>
              <w:right w:val="nil"/>
            </w:tcBorders>
            <w:shd w:val="clear" w:color="auto" w:fill="FFFFFF"/>
          </w:tcPr>
          <w:p w14:paraId="54535E8C" w14:textId="77777777" w:rsidR="003C6C81" w:rsidRPr="00A33C66" w:rsidRDefault="003C6C81" w:rsidP="00995332">
            <w:pPr>
              <w:pStyle w:val="CETBodytext"/>
            </w:pPr>
            <w:r w:rsidRPr="00A33C66">
              <w:t>Elements</w:t>
            </w:r>
          </w:p>
        </w:tc>
        <w:tc>
          <w:tcPr>
            <w:tcW w:w="1134" w:type="dxa"/>
            <w:tcBorders>
              <w:top w:val="single" w:sz="12" w:space="0" w:color="008000"/>
              <w:left w:val="nil"/>
              <w:bottom w:val="single" w:sz="6" w:space="0" w:color="008000"/>
              <w:right w:val="nil"/>
            </w:tcBorders>
            <w:shd w:val="clear" w:color="auto" w:fill="FFFFFF"/>
            <w:vAlign w:val="center"/>
          </w:tcPr>
          <w:p w14:paraId="1D5F0CAF" w14:textId="77777777" w:rsidR="003C6C81" w:rsidRPr="00A33C66" w:rsidRDefault="003C6C81" w:rsidP="00995332">
            <w:pPr>
              <w:pStyle w:val="CETBodytext"/>
            </w:pPr>
            <w:r w:rsidRPr="00A33C66">
              <w:t>Tₒᵤ</w:t>
            </w:r>
            <w:r w:rsidRPr="00A33C66">
              <w:rPr>
                <w:rFonts w:ascii="Cambria Math" w:hAnsi="Cambria Math" w:cs="Cambria Math"/>
              </w:rPr>
              <w:t>ₜ</w:t>
            </w:r>
            <w:r w:rsidRPr="00A33C66">
              <w:t xml:space="preserve"> [K]</w:t>
            </w:r>
          </w:p>
        </w:tc>
        <w:tc>
          <w:tcPr>
            <w:tcW w:w="1134" w:type="dxa"/>
            <w:tcBorders>
              <w:top w:val="single" w:sz="12" w:space="0" w:color="008000"/>
              <w:left w:val="nil"/>
              <w:bottom w:val="single" w:sz="6" w:space="0" w:color="008000"/>
              <w:right w:val="nil"/>
            </w:tcBorders>
            <w:shd w:val="clear" w:color="auto" w:fill="FFFFFF"/>
            <w:vAlign w:val="center"/>
          </w:tcPr>
          <w:p w14:paraId="627657A9" w14:textId="77777777" w:rsidR="003C6C81" w:rsidRPr="00A33C66" w:rsidRDefault="003C6C81" w:rsidP="00995332">
            <w:pPr>
              <w:pStyle w:val="CETBodytext"/>
              <w:ind w:right="-1"/>
              <w:rPr>
                <w:rFonts w:cs="Arial"/>
                <w:szCs w:val="18"/>
              </w:rPr>
            </w:pPr>
            <w:r w:rsidRPr="00A33C66">
              <w:t>ΔT vs prior [K]</w:t>
            </w:r>
          </w:p>
        </w:tc>
      </w:tr>
      <w:tr w:rsidR="003C6C81" w:rsidRPr="00A33C66" w14:paraId="754A2702" w14:textId="77777777" w:rsidTr="00995332">
        <w:tc>
          <w:tcPr>
            <w:tcW w:w="1134" w:type="dxa"/>
            <w:shd w:val="clear" w:color="auto" w:fill="FFFFFF"/>
          </w:tcPr>
          <w:p w14:paraId="39F829C3" w14:textId="77777777" w:rsidR="003C6C81" w:rsidRPr="00A33C66" w:rsidRDefault="003C6C81" w:rsidP="00995332">
            <w:pPr>
              <w:pStyle w:val="CETBodytext"/>
            </w:pPr>
            <w:r w:rsidRPr="00A33C66">
              <w:t>1</w:t>
            </w:r>
          </w:p>
        </w:tc>
        <w:tc>
          <w:tcPr>
            <w:tcW w:w="1134" w:type="dxa"/>
            <w:shd w:val="clear" w:color="auto" w:fill="FFFFFF"/>
          </w:tcPr>
          <w:p w14:paraId="0066E866" w14:textId="77777777" w:rsidR="003C6C81" w:rsidRPr="00A33C66" w:rsidRDefault="003C6C81" w:rsidP="00995332">
            <w:pPr>
              <w:pStyle w:val="CETBodytext"/>
            </w:pPr>
            <w:r w:rsidRPr="00A33C66">
              <w:t>1,736</w:t>
            </w:r>
          </w:p>
        </w:tc>
        <w:tc>
          <w:tcPr>
            <w:tcW w:w="1134" w:type="dxa"/>
            <w:shd w:val="clear" w:color="auto" w:fill="FFFFFF"/>
          </w:tcPr>
          <w:p w14:paraId="06EE3A45" w14:textId="77777777" w:rsidR="003C6C81" w:rsidRPr="00A33C66" w:rsidRDefault="003C6C81" w:rsidP="00995332">
            <w:pPr>
              <w:pStyle w:val="CETBodytext"/>
            </w:pPr>
            <w:r w:rsidRPr="00A33C66">
              <w:t>296.79971</w:t>
            </w:r>
          </w:p>
        </w:tc>
        <w:tc>
          <w:tcPr>
            <w:tcW w:w="1134" w:type="dxa"/>
            <w:shd w:val="clear" w:color="auto" w:fill="FFFFFF"/>
          </w:tcPr>
          <w:p w14:paraId="7C3E18CB" w14:textId="77777777" w:rsidR="003C6C81" w:rsidRPr="00A33C66" w:rsidRDefault="003C6C81" w:rsidP="00995332">
            <w:pPr>
              <w:pStyle w:val="CETBodytext"/>
              <w:ind w:right="-1"/>
              <w:rPr>
                <w:rFonts w:cs="Arial"/>
                <w:szCs w:val="18"/>
              </w:rPr>
            </w:pPr>
            <w:r w:rsidRPr="00A33C66">
              <w:t>---</w:t>
            </w:r>
          </w:p>
        </w:tc>
      </w:tr>
      <w:tr w:rsidR="003C6C81" w:rsidRPr="00A33C66" w14:paraId="64F54E05" w14:textId="77777777" w:rsidTr="00995332">
        <w:tc>
          <w:tcPr>
            <w:tcW w:w="1134" w:type="dxa"/>
            <w:shd w:val="clear" w:color="auto" w:fill="FFFFFF"/>
          </w:tcPr>
          <w:p w14:paraId="38C771C9" w14:textId="77777777" w:rsidR="003C6C81" w:rsidRPr="00A33C66" w:rsidRDefault="003C6C81" w:rsidP="00995332">
            <w:pPr>
              <w:pStyle w:val="CETBodytext"/>
            </w:pPr>
            <w:r w:rsidRPr="00A33C66">
              <w:t>2</w:t>
            </w:r>
          </w:p>
        </w:tc>
        <w:tc>
          <w:tcPr>
            <w:tcW w:w="1134" w:type="dxa"/>
            <w:shd w:val="clear" w:color="auto" w:fill="FFFFFF"/>
          </w:tcPr>
          <w:p w14:paraId="566501D0" w14:textId="77777777" w:rsidR="003C6C81" w:rsidRPr="00A33C66" w:rsidRDefault="003C6C81" w:rsidP="00995332">
            <w:pPr>
              <w:pStyle w:val="CETBodytext"/>
            </w:pPr>
            <w:r w:rsidRPr="00A33C66">
              <w:t>3,200</w:t>
            </w:r>
          </w:p>
        </w:tc>
        <w:tc>
          <w:tcPr>
            <w:tcW w:w="1134" w:type="dxa"/>
            <w:shd w:val="clear" w:color="auto" w:fill="FFFFFF"/>
          </w:tcPr>
          <w:p w14:paraId="7C036193" w14:textId="77777777" w:rsidR="003C6C81" w:rsidRPr="00A33C66" w:rsidRDefault="003C6C81" w:rsidP="00995332">
            <w:pPr>
              <w:pStyle w:val="CETBodytext"/>
            </w:pPr>
            <w:r w:rsidRPr="00A33C66">
              <w:t>296.72458</w:t>
            </w:r>
          </w:p>
        </w:tc>
        <w:tc>
          <w:tcPr>
            <w:tcW w:w="1134" w:type="dxa"/>
            <w:shd w:val="clear" w:color="auto" w:fill="FFFFFF"/>
          </w:tcPr>
          <w:p w14:paraId="28C33C84" w14:textId="77777777" w:rsidR="003C6C81" w:rsidRPr="00A33C66" w:rsidRDefault="003C6C81" w:rsidP="00995332">
            <w:pPr>
              <w:pStyle w:val="CETBodytext"/>
              <w:ind w:right="-1"/>
              <w:rPr>
                <w:rFonts w:cs="Arial"/>
                <w:szCs w:val="18"/>
              </w:rPr>
            </w:pPr>
            <w:r w:rsidRPr="00A33C66">
              <w:t>–0.07512</w:t>
            </w:r>
          </w:p>
        </w:tc>
      </w:tr>
      <w:tr w:rsidR="003C6C81" w:rsidRPr="00A33C66" w14:paraId="52CEDD9B" w14:textId="77777777" w:rsidTr="00995332">
        <w:tc>
          <w:tcPr>
            <w:tcW w:w="1134" w:type="dxa"/>
            <w:shd w:val="clear" w:color="auto" w:fill="FFFFFF"/>
          </w:tcPr>
          <w:p w14:paraId="31BF0D41" w14:textId="77777777" w:rsidR="003C6C81" w:rsidRPr="00A33C66" w:rsidRDefault="003C6C81" w:rsidP="00995332">
            <w:pPr>
              <w:pStyle w:val="CETBodytext"/>
            </w:pPr>
            <w:r w:rsidRPr="00A33C66">
              <w:t>3</w:t>
            </w:r>
          </w:p>
        </w:tc>
        <w:tc>
          <w:tcPr>
            <w:tcW w:w="1134" w:type="dxa"/>
            <w:shd w:val="clear" w:color="auto" w:fill="FFFFFF"/>
          </w:tcPr>
          <w:p w14:paraId="096C3E9F" w14:textId="77777777" w:rsidR="003C6C81" w:rsidRPr="00A33C66" w:rsidRDefault="003C6C81" w:rsidP="00995332">
            <w:pPr>
              <w:pStyle w:val="CETBodytext"/>
            </w:pPr>
            <w:r w:rsidRPr="00A33C66">
              <w:t>8,002</w:t>
            </w:r>
          </w:p>
        </w:tc>
        <w:tc>
          <w:tcPr>
            <w:tcW w:w="1134" w:type="dxa"/>
            <w:shd w:val="clear" w:color="auto" w:fill="FFFFFF"/>
          </w:tcPr>
          <w:p w14:paraId="18AB2298" w14:textId="77777777" w:rsidR="003C6C81" w:rsidRPr="00A33C66" w:rsidRDefault="003C6C81" w:rsidP="00995332">
            <w:pPr>
              <w:pStyle w:val="CETBodytext"/>
            </w:pPr>
            <w:r w:rsidRPr="00A33C66">
              <w:t>296.73201</w:t>
            </w:r>
          </w:p>
        </w:tc>
        <w:tc>
          <w:tcPr>
            <w:tcW w:w="1134" w:type="dxa"/>
            <w:shd w:val="clear" w:color="auto" w:fill="FFFFFF"/>
          </w:tcPr>
          <w:p w14:paraId="785AE9F9" w14:textId="77777777" w:rsidR="003C6C81" w:rsidRPr="00A33C66" w:rsidRDefault="003C6C81" w:rsidP="00995332">
            <w:pPr>
              <w:pStyle w:val="CETBodytext"/>
              <w:ind w:right="-1"/>
              <w:rPr>
                <w:rFonts w:cs="Arial"/>
                <w:szCs w:val="18"/>
              </w:rPr>
            </w:pPr>
            <w:r w:rsidRPr="00A33C66">
              <w:t>+0.00743</w:t>
            </w:r>
          </w:p>
        </w:tc>
      </w:tr>
      <w:tr w:rsidR="003C6C81" w:rsidRPr="00A33C66" w14:paraId="2A46281B" w14:textId="77777777" w:rsidTr="00995332">
        <w:tc>
          <w:tcPr>
            <w:tcW w:w="1134" w:type="dxa"/>
            <w:shd w:val="clear" w:color="auto" w:fill="FFFFFF"/>
          </w:tcPr>
          <w:p w14:paraId="65186FBA" w14:textId="77777777" w:rsidR="003C6C81" w:rsidRPr="00A33C66" w:rsidRDefault="003C6C81" w:rsidP="00995332">
            <w:pPr>
              <w:pStyle w:val="CETBodytext"/>
            </w:pPr>
            <w:r w:rsidRPr="00A33C66">
              <w:t>4</w:t>
            </w:r>
          </w:p>
        </w:tc>
        <w:tc>
          <w:tcPr>
            <w:tcW w:w="1134" w:type="dxa"/>
            <w:shd w:val="clear" w:color="auto" w:fill="FFFFFF"/>
          </w:tcPr>
          <w:p w14:paraId="75832C67" w14:textId="77777777" w:rsidR="003C6C81" w:rsidRPr="00A33C66" w:rsidRDefault="003C6C81" w:rsidP="00995332">
            <w:pPr>
              <w:pStyle w:val="CETBodytext"/>
            </w:pPr>
            <w:r w:rsidRPr="00A33C66">
              <w:t>16,020</w:t>
            </w:r>
          </w:p>
        </w:tc>
        <w:tc>
          <w:tcPr>
            <w:tcW w:w="1134" w:type="dxa"/>
            <w:shd w:val="clear" w:color="auto" w:fill="FFFFFF"/>
          </w:tcPr>
          <w:p w14:paraId="444B5298" w14:textId="77777777" w:rsidR="003C6C81" w:rsidRPr="00A33C66" w:rsidRDefault="003C6C81" w:rsidP="00995332">
            <w:pPr>
              <w:pStyle w:val="CETBodytext"/>
            </w:pPr>
            <w:r w:rsidRPr="00A33C66">
              <w:t>296.72586</w:t>
            </w:r>
          </w:p>
        </w:tc>
        <w:tc>
          <w:tcPr>
            <w:tcW w:w="1134" w:type="dxa"/>
            <w:shd w:val="clear" w:color="auto" w:fill="FFFFFF"/>
          </w:tcPr>
          <w:p w14:paraId="18AC6FB5" w14:textId="77777777" w:rsidR="003C6C81" w:rsidRPr="00A33C66" w:rsidRDefault="003C6C81" w:rsidP="00995332">
            <w:pPr>
              <w:pStyle w:val="CETBodytext"/>
              <w:ind w:right="-1"/>
              <w:rPr>
                <w:rFonts w:cs="Arial"/>
                <w:szCs w:val="18"/>
              </w:rPr>
            </w:pPr>
            <w:r w:rsidRPr="00A33C66">
              <w:t>–0.00615</w:t>
            </w:r>
          </w:p>
        </w:tc>
      </w:tr>
      <w:tr w:rsidR="003C6C81" w:rsidRPr="00A33C66" w14:paraId="0D77364A" w14:textId="77777777" w:rsidTr="00995332">
        <w:tc>
          <w:tcPr>
            <w:tcW w:w="1134" w:type="dxa"/>
            <w:shd w:val="clear" w:color="auto" w:fill="FFFFFF"/>
          </w:tcPr>
          <w:p w14:paraId="607D53DF" w14:textId="77777777" w:rsidR="003C6C81" w:rsidRPr="00A33C66" w:rsidRDefault="003C6C81" w:rsidP="00995332">
            <w:pPr>
              <w:pStyle w:val="CETBodytext"/>
            </w:pPr>
            <w:r w:rsidRPr="00A33C66">
              <w:t>5</w:t>
            </w:r>
          </w:p>
        </w:tc>
        <w:tc>
          <w:tcPr>
            <w:tcW w:w="1134" w:type="dxa"/>
            <w:shd w:val="clear" w:color="auto" w:fill="FFFFFF"/>
          </w:tcPr>
          <w:p w14:paraId="43077777" w14:textId="77777777" w:rsidR="003C6C81" w:rsidRPr="00A33C66" w:rsidRDefault="003C6C81" w:rsidP="00995332">
            <w:pPr>
              <w:pStyle w:val="CETBodytext"/>
            </w:pPr>
            <w:r w:rsidRPr="00A33C66">
              <w:t>50,020</w:t>
            </w:r>
          </w:p>
        </w:tc>
        <w:tc>
          <w:tcPr>
            <w:tcW w:w="1134" w:type="dxa"/>
            <w:shd w:val="clear" w:color="auto" w:fill="FFFFFF"/>
          </w:tcPr>
          <w:p w14:paraId="107EE7D3" w14:textId="77777777" w:rsidR="003C6C81" w:rsidRPr="00A33C66" w:rsidRDefault="003C6C81" w:rsidP="00995332">
            <w:pPr>
              <w:pStyle w:val="CETBodytext"/>
            </w:pPr>
            <w:r w:rsidRPr="00A33C66">
              <w:t>296.74152</w:t>
            </w:r>
          </w:p>
        </w:tc>
        <w:tc>
          <w:tcPr>
            <w:tcW w:w="1134" w:type="dxa"/>
            <w:shd w:val="clear" w:color="auto" w:fill="FFFFFF"/>
          </w:tcPr>
          <w:p w14:paraId="6F904A17" w14:textId="77777777" w:rsidR="003C6C81" w:rsidRPr="00A33C66" w:rsidRDefault="003C6C81" w:rsidP="00995332">
            <w:pPr>
              <w:pStyle w:val="CETBodytext"/>
              <w:ind w:right="-1"/>
              <w:rPr>
                <w:rFonts w:cs="Arial"/>
                <w:szCs w:val="18"/>
              </w:rPr>
            </w:pPr>
            <w:r w:rsidRPr="00A33C66">
              <w:t>+0.01566</w:t>
            </w:r>
          </w:p>
        </w:tc>
      </w:tr>
      <w:tr w:rsidR="003C6C81" w:rsidRPr="00A33C66" w14:paraId="045F8290" w14:textId="77777777" w:rsidTr="00995332">
        <w:tc>
          <w:tcPr>
            <w:tcW w:w="1134" w:type="dxa"/>
            <w:shd w:val="clear" w:color="auto" w:fill="FFFFFF"/>
          </w:tcPr>
          <w:p w14:paraId="316A77F2" w14:textId="77777777" w:rsidR="003C6C81" w:rsidRPr="00A33C66" w:rsidRDefault="003C6C81" w:rsidP="00995332">
            <w:pPr>
              <w:pStyle w:val="CETBodytext"/>
            </w:pPr>
            <w:r w:rsidRPr="00A33C66">
              <w:t>6</w:t>
            </w:r>
          </w:p>
        </w:tc>
        <w:tc>
          <w:tcPr>
            <w:tcW w:w="1134" w:type="dxa"/>
            <w:shd w:val="clear" w:color="auto" w:fill="FFFFFF"/>
          </w:tcPr>
          <w:p w14:paraId="5C884831" w14:textId="77777777" w:rsidR="003C6C81" w:rsidRPr="00A33C66" w:rsidRDefault="003C6C81" w:rsidP="00995332">
            <w:pPr>
              <w:pStyle w:val="CETBodytext"/>
            </w:pPr>
            <w:r w:rsidRPr="00A33C66">
              <w:t>180,022</w:t>
            </w:r>
          </w:p>
        </w:tc>
        <w:tc>
          <w:tcPr>
            <w:tcW w:w="1134" w:type="dxa"/>
            <w:shd w:val="clear" w:color="auto" w:fill="FFFFFF"/>
          </w:tcPr>
          <w:p w14:paraId="7346725D" w14:textId="77777777" w:rsidR="003C6C81" w:rsidRPr="00A33C66" w:rsidRDefault="003C6C81" w:rsidP="00995332">
            <w:pPr>
              <w:pStyle w:val="CETBodytext"/>
            </w:pPr>
            <w:r w:rsidRPr="00A33C66">
              <w:t>296.79830</w:t>
            </w:r>
          </w:p>
        </w:tc>
        <w:tc>
          <w:tcPr>
            <w:tcW w:w="1134" w:type="dxa"/>
            <w:shd w:val="clear" w:color="auto" w:fill="FFFFFF"/>
          </w:tcPr>
          <w:p w14:paraId="709E4F92" w14:textId="77777777" w:rsidR="003C6C81" w:rsidRPr="00A33C66" w:rsidRDefault="003C6C81" w:rsidP="00995332">
            <w:pPr>
              <w:pStyle w:val="CETBodytext"/>
              <w:ind w:right="-1"/>
              <w:rPr>
                <w:rFonts w:cs="Arial"/>
                <w:szCs w:val="18"/>
              </w:rPr>
            </w:pPr>
            <w:r w:rsidRPr="00A33C66">
              <w:t>+0.05678</w:t>
            </w:r>
          </w:p>
        </w:tc>
      </w:tr>
      <w:tr w:rsidR="003C6C81" w:rsidRPr="00A33C66" w14:paraId="6337C3B9" w14:textId="77777777" w:rsidTr="00995332">
        <w:tc>
          <w:tcPr>
            <w:tcW w:w="1134" w:type="dxa"/>
            <w:shd w:val="clear" w:color="auto" w:fill="FFFFFF"/>
          </w:tcPr>
          <w:p w14:paraId="5F207ECA" w14:textId="77777777" w:rsidR="003C6C81" w:rsidRPr="00A33C66" w:rsidRDefault="003C6C81" w:rsidP="00995332">
            <w:pPr>
              <w:pStyle w:val="CETBodytext"/>
              <w:ind w:right="-1"/>
              <w:rPr>
                <w:rFonts w:cs="Arial"/>
                <w:szCs w:val="18"/>
              </w:rPr>
            </w:pPr>
            <w:r w:rsidRPr="00A33C66">
              <w:t>7</w:t>
            </w:r>
          </w:p>
        </w:tc>
        <w:tc>
          <w:tcPr>
            <w:tcW w:w="1134" w:type="dxa"/>
            <w:shd w:val="clear" w:color="auto" w:fill="FFFFFF"/>
          </w:tcPr>
          <w:p w14:paraId="7CACF939" w14:textId="77777777" w:rsidR="003C6C81" w:rsidRPr="00A33C66" w:rsidRDefault="003C6C81" w:rsidP="00995332">
            <w:pPr>
              <w:pStyle w:val="CETBodytext"/>
              <w:ind w:right="-1"/>
              <w:rPr>
                <w:rFonts w:cs="Arial"/>
                <w:szCs w:val="18"/>
              </w:rPr>
            </w:pPr>
            <w:r w:rsidRPr="00A33C66">
              <w:t>7,660,048</w:t>
            </w:r>
          </w:p>
        </w:tc>
        <w:tc>
          <w:tcPr>
            <w:tcW w:w="1134" w:type="dxa"/>
            <w:shd w:val="clear" w:color="auto" w:fill="FFFFFF"/>
          </w:tcPr>
          <w:p w14:paraId="12E20ADA" w14:textId="77777777" w:rsidR="003C6C81" w:rsidRPr="00A33C66" w:rsidRDefault="003C6C81" w:rsidP="00995332">
            <w:pPr>
              <w:pStyle w:val="CETBodytext"/>
              <w:ind w:right="-1"/>
              <w:rPr>
                <w:rFonts w:cs="Arial"/>
                <w:szCs w:val="18"/>
              </w:rPr>
            </w:pPr>
            <w:r w:rsidRPr="00A33C66">
              <w:t>296.79981</w:t>
            </w:r>
          </w:p>
        </w:tc>
        <w:tc>
          <w:tcPr>
            <w:tcW w:w="1134" w:type="dxa"/>
            <w:shd w:val="clear" w:color="auto" w:fill="FFFFFF"/>
          </w:tcPr>
          <w:p w14:paraId="04C70C83" w14:textId="77777777" w:rsidR="003C6C81" w:rsidRPr="00A33C66" w:rsidRDefault="003C6C81" w:rsidP="00995332">
            <w:pPr>
              <w:pStyle w:val="CETBodytext"/>
              <w:ind w:right="-1"/>
              <w:rPr>
                <w:rFonts w:cs="Arial"/>
                <w:szCs w:val="18"/>
              </w:rPr>
            </w:pPr>
            <w:r w:rsidRPr="00A33C66">
              <w:t>+0.00151</w:t>
            </w:r>
          </w:p>
        </w:tc>
      </w:tr>
    </w:tbl>
    <w:p w14:paraId="4761C3E8" w14:textId="028249C7" w:rsidR="00145EC2" w:rsidRPr="00A33C66" w:rsidRDefault="003C6C81" w:rsidP="00235B91">
      <w:pPr>
        <w:pStyle w:val="CETBodytext"/>
        <w:rPr>
          <w:color w:val="EE0000"/>
        </w:rPr>
      </w:pPr>
      <w:r w:rsidRPr="00A33C66">
        <w:br w:type="textWrapping" w:clear="all"/>
      </w:r>
    </w:p>
    <w:p w14:paraId="6FFDC9BC" w14:textId="4BEA0D49" w:rsidR="00B24E1E" w:rsidRPr="00A33C66" w:rsidRDefault="00110BD3" w:rsidP="00B24E1E">
      <w:pPr>
        <w:pStyle w:val="CETBodytext"/>
      </w:pPr>
      <w:r w:rsidRPr="00A33C66">
        <w:t xml:space="preserve">Mesh 6 was therefore adopted for all fluids to ensure mesh-independent results. Thus, differences in </w:t>
      </w:r>
      <w:r w:rsidR="00692EEB" w:rsidRPr="00A33C66">
        <w:t>the Nusselt number and the convective heat</w:t>
      </w:r>
      <w:r w:rsidR="00692EEB" w:rsidRPr="00A33C66">
        <w:rPr>
          <w:rFonts w:ascii="Cambria Math" w:hAnsi="Cambria Math" w:cs="Cambria Math"/>
        </w:rPr>
        <w:t>‐</w:t>
      </w:r>
      <w:r w:rsidR="00692EEB" w:rsidRPr="00A33C66">
        <w:t xml:space="preserve">transfer coefficient </w:t>
      </w:r>
      <w:r w:rsidRPr="00A33C66">
        <w:t xml:space="preserve">observed </w:t>
      </w:r>
      <w:r w:rsidR="00692EEB" w:rsidRPr="00A33C66">
        <w:t>arise solely from their distinct thermophysical properties.</w:t>
      </w:r>
      <w:r w:rsidR="00414853" w:rsidRPr="00A33C66">
        <w:t xml:space="preserve"> </w:t>
      </w:r>
      <w:r w:rsidR="00B24E1E" w:rsidRPr="00A33C66">
        <w:t>All cases – water and nanofluids (</w:t>
      </w:r>
      <w:proofErr w:type="spellStart"/>
      <w:r w:rsidR="00B24E1E" w:rsidRPr="00A33C66">
        <w:t>CuO</w:t>
      </w:r>
      <w:proofErr w:type="spellEnd"/>
      <w:r w:rsidR="00B24E1E" w:rsidRPr="00A33C66">
        <w:t xml:space="preserve">, </w:t>
      </w:r>
      <w:proofErr w:type="spellStart"/>
      <w:r w:rsidR="00B24E1E" w:rsidRPr="00A33C66">
        <w:t>Al</w:t>
      </w:r>
      <w:r w:rsidR="00B24E1E" w:rsidRPr="00A33C66">
        <w:rPr>
          <w:rFonts w:ascii="Cambria Math" w:hAnsi="Cambria Math" w:cs="Cambria Math"/>
        </w:rPr>
        <w:t>₂</w:t>
      </w:r>
      <w:r w:rsidR="00B24E1E" w:rsidRPr="00A33C66">
        <w:t>O</w:t>
      </w:r>
      <w:proofErr w:type="spellEnd"/>
      <w:r w:rsidR="00B24E1E" w:rsidRPr="00A33C66">
        <w:rPr>
          <w:rFonts w:ascii="Cambria Math" w:hAnsi="Cambria Math" w:cs="Cambria Math"/>
        </w:rPr>
        <w:t>₃</w:t>
      </w:r>
      <w:r w:rsidR="00B24E1E" w:rsidRPr="00A33C66">
        <w:t xml:space="preserve"> at 1 </w:t>
      </w:r>
      <w:proofErr w:type="spellStart"/>
      <w:r w:rsidR="00B24E1E" w:rsidRPr="00A33C66">
        <w:t>wt</w:t>
      </w:r>
      <w:proofErr w:type="spellEnd"/>
      <w:r w:rsidR="00B24E1E" w:rsidRPr="00A33C66">
        <w:t xml:space="preserve"> % and 5 </w:t>
      </w:r>
      <w:proofErr w:type="spellStart"/>
      <w:r w:rsidR="00B24E1E" w:rsidRPr="00A33C66">
        <w:t>wt</w:t>
      </w:r>
      <w:proofErr w:type="spellEnd"/>
      <w:r w:rsidR="00B24E1E" w:rsidRPr="00A33C66">
        <w:t xml:space="preserve"> %) – used identical geometries, meshes, boundary conditions, and solver tolerances (residuals &lt; 10</w:t>
      </w:r>
      <w:r w:rsidR="00B24E1E" w:rsidRPr="00A33C66">
        <w:rPr>
          <w:rFonts w:ascii="Cambria Math" w:hAnsi="Cambria Math" w:cs="Cambria Math"/>
        </w:rPr>
        <w:t>⁻</w:t>
      </w:r>
      <w:r w:rsidR="00B24E1E" w:rsidRPr="00A33C66">
        <w:t>⁶). This enabled a direct, mesh-independent comparison of convective performance.</w:t>
      </w:r>
    </w:p>
    <w:p w14:paraId="5068D5E0" w14:textId="4A01063D" w:rsidR="008B23EE" w:rsidRPr="00A33C66" w:rsidRDefault="00581B14" w:rsidP="008B23EE">
      <w:pPr>
        <w:pStyle w:val="CETHeading1"/>
        <w:tabs>
          <w:tab w:val="clear" w:pos="360"/>
          <w:tab w:val="right" w:pos="7100"/>
        </w:tabs>
        <w:jc w:val="both"/>
      </w:pPr>
      <w:r w:rsidRPr="00A33C66">
        <w:t>Results and Discussion</w:t>
      </w:r>
    </w:p>
    <w:p w14:paraId="0ED8BE9C" w14:textId="419E021C" w:rsidR="007F6207" w:rsidRPr="00A33C66" w:rsidRDefault="003C2833" w:rsidP="003C2833">
      <w:pPr>
        <w:pStyle w:val="CETheadingx"/>
      </w:pPr>
      <w:r w:rsidRPr="00A33C66">
        <w:t>Heat Transfer Performance</w:t>
      </w:r>
    </w:p>
    <w:p w14:paraId="6AA47314" w14:textId="0CD61BCB" w:rsidR="00CB78EF" w:rsidRPr="00A33C66" w:rsidRDefault="003C2833" w:rsidP="003C2833">
      <w:pPr>
        <w:pStyle w:val="CETBodytext"/>
      </w:pPr>
      <w:r w:rsidRPr="00A33C66">
        <w:t xml:space="preserve">From the simulated datasets, a significant enhancement in heat transfer was observed when nanofluids replaced pure water. The heat transfer coefficient values for the nanofluids were consistently higher, demonstrating their </w:t>
      </w:r>
      <w:r w:rsidR="008C0904" w:rsidRPr="00A33C66">
        <w:t xml:space="preserve">ability to improve </w:t>
      </w:r>
      <w:r w:rsidRPr="00A33C66">
        <w:t xml:space="preserve">thermal performance. Specifically, </w:t>
      </w:r>
      <w:proofErr w:type="spellStart"/>
      <w:r w:rsidRPr="00A33C66">
        <w:t>Al</w:t>
      </w:r>
      <w:r w:rsidRPr="00A33C66">
        <w:rPr>
          <w:rFonts w:ascii="Cambria Math" w:hAnsi="Cambria Math" w:cs="Cambria Math"/>
        </w:rPr>
        <w:t>₂</w:t>
      </w:r>
      <w:r w:rsidRPr="00A33C66">
        <w:t>O</w:t>
      </w:r>
      <w:proofErr w:type="spellEnd"/>
      <w:r w:rsidRPr="00A33C66">
        <w:rPr>
          <w:rFonts w:ascii="Cambria Math" w:hAnsi="Cambria Math" w:cs="Cambria Math"/>
        </w:rPr>
        <w:t>₃</w:t>
      </w:r>
      <w:r w:rsidRPr="00A33C66">
        <w:t>–water at 5</w:t>
      </w:r>
      <w:r w:rsidR="0011090D" w:rsidRPr="00A33C66">
        <w:t xml:space="preserve"> </w:t>
      </w:r>
      <w:proofErr w:type="spellStart"/>
      <w:r w:rsidR="0011090D" w:rsidRPr="00A33C66">
        <w:t>wt</w:t>
      </w:r>
      <w:proofErr w:type="spellEnd"/>
      <w:r w:rsidR="0011090D" w:rsidRPr="00A33C66">
        <w:t xml:space="preserve"> </w:t>
      </w:r>
      <w:r w:rsidRPr="00A33C66">
        <w:t xml:space="preserve">% showed the highest enhancement, </w:t>
      </w:r>
      <w:r w:rsidR="008C0904" w:rsidRPr="00A33C66">
        <w:t xml:space="preserve">which can be </w:t>
      </w:r>
      <w:r w:rsidRPr="00A33C66">
        <w:t>attributed to its superior thermal conductivity and specific heat capacity</w:t>
      </w:r>
      <w:r w:rsidR="008C0904" w:rsidRPr="00A33C66">
        <w:t>,</w:t>
      </w:r>
      <w:r w:rsidRPr="00A33C66">
        <w:t xml:space="preserve"> as </w:t>
      </w:r>
      <w:r w:rsidR="008C0904" w:rsidRPr="00A33C66">
        <w:t xml:space="preserve">shown </w:t>
      </w:r>
      <w:r w:rsidRPr="00A33C66">
        <w:t>in the thermophysical properties table.</w:t>
      </w:r>
    </w:p>
    <w:p w14:paraId="0C841CCC" w14:textId="1CCD5D71" w:rsidR="004D76A1" w:rsidRPr="00A33C66" w:rsidRDefault="003C2833" w:rsidP="003C2833">
      <w:pPr>
        <w:pStyle w:val="CETBodytext"/>
      </w:pPr>
      <w:r w:rsidRPr="00A33C66">
        <w:t>Moreover, the outlet temperature of the fluid</w:t>
      </w:r>
      <w:r w:rsidR="00C10E01" w:rsidRPr="00A33C66">
        <w:t xml:space="preserve">, which is </w:t>
      </w:r>
      <w:r w:rsidRPr="00A33C66">
        <w:t>used as a practical performance indicator</w:t>
      </w:r>
      <w:r w:rsidR="00C10E01" w:rsidRPr="00A33C66">
        <w:t xml:space="preserve">, </w:t>
      </w:r>
      <w:r w:rsidRPr="00A33C66">
        <w:t xml:space="preserve">demonstrated clear thermal gains with nanofluids. Compared to </w:t>
      </w:r>
      <w:r w:rsidR="00C10E01" w:rsidRPr="00A33C66">
        <w:t xml:space="preserve">an </w:t>
      </w:r>
      <w:r w:rsidRPr="00A33C66">
        <w:t>outlet temperature of 298.1 K for pure water,</w:t>
      </w:r>
      <w:r w:rsidR="00C10E01" w:rsidRPr="00A33C66">
        <w:t xml:space="preserve"> the outlet temperature</w:t>
      </w:r>
      <w:r w:rsidRPr="00A33C66">
        <w:t xml:space="preserve"> reached 299.0 K</w:t>
      </w:r>
      <w:r w:rsidR="00C10E01" w:rsidRPr="00A33C66">
        <w:t xml:space="preserve"> for </w:t>
      </w:r>
      <w:proofErr w:type="spellStart"/>
      <w:r w:rsidR="00C10E01" w:rsidRPr="00A33C66">
        <w:t>CuO</w:t>
      </w:r>
      <w:proofErr w:type="spellEnd"/>
      <w:r w:rsidR="00C10E01" w:rsidRPr="00A33C66">
        <w:t>–water at 5</w:t>
      </w:r>
      <w:r w:rsidR="00DA45C0" w:rsidRPr="00A33C66">
        <w:t xml:space="preserve"> </w:t>
      </w:r>
      <w:proofErr w:type="spellStart"/>
      <w:r w:rsidR="00DA45C0" w:rsidRPr="00A33C66">
        <w:t>wt</w:t>
      </w:r>
      <w:proofErr w:type="spellEnd"/>
      <w:r w:rsidR="00DA45C0" w:rsidRPr="00A33C66">
        <w:t xml:space="preserve"> </w:t>
      </w:r>
      <w:r w:rsidR="00C10E01" w:rsidRPr="00A33C66">
        <w:t>%</w:t>
      </w:r>
      <w:r w:rsidRPr="00A33C66">
        <w:t xml:space="preserve">, </w:t>
      </w:r>
      <w:r w:rsidR="00C10E01" w:rsidRPr="00A33C66">
        <w:t xml:space="preserve">and 299.3 K for </w:t>
      </w:r>
      <w:proofErr w:type="spellStart"/>
      <w:r w:rsidRPr="00A33C66">
        <w:t>Al</w:t>
      </w:r>
      <w:r w:rsidRPr="00A33C66">
        <w:rPr>
          <w:rFonts w:ascii="Cambria Math" w:hAnsi="Cambria Math" w:cs="Cambria Math"/>
        </w:rPr>
        <w:t>₂</w:t>
      </w:r>
      <w:r w:rsidRPr="00A33C66">
        <w:t>O</w:t>
      </w:r>
      <w:proofErr w:type="spellEnd"/>
      <w:r w:rsidRPr="00A33C66">
        <w:rPr>
          <w:rFonts w:ascii="Cambria Math" w:hAnsi="Cambria Math" w:cs="Cambria Math"/>
        </w:rPr>
        <w:t>₃</w:t>
      </w:r>
      <w:r w:rsidRPr="00A33C66">
        <w:t>–water at 5</w:t>
      </w:r>
      <w:r w:rsidR="00DA45C0" w:rsidRPr="00A33C66">
        <w:t xml:space="preserve"> </w:t>
      </w:r>
      <w:proofErr w:type="spellStart"/>
      <w:r w:rsidR="00DA45C0" w:rsidRPr="00A33C66">
        <w:t>wt</w:t>
      </w:r>
      <w:proofErr w:type="spellEnd"/>
      <w:r w:rsidR="00DA45C0" w:rsidRPr="00A33C66">
        <w:t xml:space="preserve"> </w:t>
      </w:r>
      <w:r w:rsidRPr="00A33C66">
        <w:t xml:space="preserve">%. </w:t>
      </w:r>
      <w:r w:rsidR="00C10E01" w:rsidRPr="00A33C66">
        <w:t xml:space="preserve">These </w:t>
      </w:r>
      <w:r w:rsidRPr="00A33C66">
        <w:t>increase</w:t>
      </w:r>
      <w:r w:rsidR="00C10E01" w:rsidRPr="00A33C66">
        <w:t>s</w:t>
      </w:r>
      <w:r w:rsidRPr="00A33C66">
        <w:t xml:space="preserve"> </w:t>
      </w:r>
      <w:r w:rsidR="0048610B" w:rsidRPr="00A33C66">
        <w:t>reflect</w:t>
      </w:r>
      <w:r w:rsidRPr="00A33C66">
        <w:t xml:space="preserve"> the enhanced thermal absorption and convective transport capacity of the nanofluids under identical heat flux conditions. </w:t>
      </w:r>
      <w:proofErr w:type="spellStart"/>
      <w:r w:rsidRPr="00A33C66">
        <w:t>CuO</w:t>
      </w:r>
      <w:proofErr w:type="spellEnd"/>
      <w:r w:rsidRPr="00A33C66">
        <w:t>–water nanofluids at both 1</w:t>
      </w:r>
      <w:r w:rsidR="001516C0" w:rsidRPr="00A33C66">
        <w:t xml:space="preserve"> </w:t>
      </w:r>
      <w:r w:rsidRPr="00A33C66">
        <w:t>and 5</w:t>
      </w:r>
      <w:r w:rsidR="001516C0" w:rsidRPr="00A33C66">
        <w:t xml:space="preserve"> </w:t>
      </w:r>
      <w:proofErr w:type="spellStart"/>
      <w:r w:rsidR="001516C0" w:rsidRPr="00A33C66">
        <w:t>wt</w:t>
      </w:r>
      <w:proofErr w:type="spellEnd"/>
      <w:r w:rsidR="001516C0" w:rsidRPr="00A33C66">
        <w:t xml:space="preserve"> </w:t>
      </w:r>
      <w:r w:rsidRPr="00A33C66">
        <w:t xml:space="preserve">% </w:t>
      </w:r>
      <w:r w:rsidR="7C63FB9F" w:rsidRPr="00A33C66">
        <w:t>concentrations</w:t>
      </w:r>
      <w:r w:rsidRPr="00A33C66">
        <w:t xml:space="preserve"> </w:t>
      </w:r>
      <w:r w:rsidR="49F94037" w:rsidRPr="00A33C66">
        <w:t xml:space="preserve">also </w:t>
      </w:r>
      <w:r w:rsidRPr="00A33C66">
        <w:t xml:space="preserve">exhibited considerable improvement compared to pure water, although slightly less effective than </w:t>
      </w:r>
      <w:proofErr w:type="spellStart"/>
      <w:r w:rsidRPr="00A33C66">
        <w:t>Al</w:t>
      </w:r>
      <w:r w:rsidRPr="00A33C66">
        <w:rPr>
          <w:rFonts w:ascii="Cambria Math" w:hAnsi="Cambria Math" w:cs="Cambria Math"/>
        </w:rPr>
        <w:t>₂</w:t>
      </w:r>
      <w:r w:rsidRPr="00A33C66">
        <w:t>O</w:t>
      </w:r>
      <w:proofErr w:type="spellEnd"/>
      <w:r w:rsidRPr="00A33C66">
        <w:rPr>
          <w:rFonts w:ascii="Cambria Math" w:hAnsi="Cambria Math" w:cs="Cambria Math"/>
        </w:rPr>
        <w:t>₃</w:t>
      </w:r>
      <w:r w:rsidRPr="00A33C66">
        <w:t>–water nanofluids.</w:t>
      </w:r>
    </w:p>
    <w:p w14:paraId="440E4DA5" w14:textId="572798B6" w:rsidR="007F6207" w:rsidRPr="00A33C66" w:rsidRDefault="003C2833" w:rsidP="003C2833">
      <w:pPr>
        <w:pStyle w:val="CETBodytext"/>
      </w:pPr>
      <w:r w:rsidRPr="00A33C66">
        <w:t>Consistent with these observations, the Nusselt number</w:t>
      </w:r>
      <w:r w:rsidR="00490F77" w:rsidRPr="00A33C66">
        <w:t xml:space="preserve">, </w:t>
      </w:r>
      <w:r w:rsidRPr="00A33C66">
        <w:t>a dimensionless metric for convective heat transfer performance</w:t>
      </w:r>
      <w:r w:rsidR="00490F77" w:rsidRPr="00A33C66">
        <w:t xml:space="preserve">, </w:t>
      </w:r>
      <w:r w:rsidRPr="00A33C66">
        <w:t xml:space="preserve">was also found to be significantly higher for nanofluids. As shown in </w:t>
      </w:r>
      <w:r w:rsidR="00556E66" w:rsidRPr="00A33C66">
        <w:t xml:space="preserve">Figure </w:t>
      </w:r>
      <w:r w:rsidR="00905D2B" w:rsidRPr="00A33C66">
        <w:t>3</w:t>
      </w:r>
      <w:r w:rsidRPr="00A33C66">
        <w:t xml:space="preserve">, </w:t>
      </w:r>
      <w:r w:rsidR="00490F77" w:rsidRPr="00A33C66">
        <w:t xml:space="preserve">the highest Nusselt number was recorded for </w:t>
      </w:r>
      <w:proofErr w:type="spellStart"/>
      <w:r w:rsidRPr="00A33C66">
        <w:t>Al</w:t>
      </w:r>
      <w:r w:rsidRPr="00A33C66">
        <w:rPr>
          <w:rFonts w:ascii="Cambria Math" w:hAnsi="Cambria Math" w:cs="Cambria Math"/>
        </w:rPr>
        <w:t>₂</w:t>
      </w:r>
      <w:r w:rsidRPr="00A33C66">
        <w:t>O</w:t>
      </w:r>
      <w:proofErr w:type="spellEnd"/>
      <w:r w:rsidRPr="00A33C66">
        <w:rPr>
          <w:rFonts w:ascii="Cambria Math" w:hAnsi="Cambria Math" w:cs="Cambria Math"/>
        </w:rPr>
        <w:t>₃</w:t>
      </w:r>
      <w:r w:rsidRPr="00A33C66">
        <w:t>–water at 5</w:t>
      </w:r>
      <w:r w:rsidR="001516C0" w:rsidRPr="00A33C66">
        <w:t xml:space="preserve"> </w:t>
      </w:r>
      <w:proofErr w:type="spellStart"/>
      <w:r w:rsidR="001516C0" w:rsidRPr="00A33C66">
        <w:t>wt</w:t>
      </w:r>
      <w:proofErr w:type="spellEnd"/>
      <w:r w:rsidR="001516C0" w:rsidRPr="00A33C66">
        <w:t xml:space="preserve"> </w:t>
      </w:r>
      <w:r w:rsidRPr="00A33C66">
        <w:t xml:space="preserve">%, followed by </w:t>
      </w:r>
      <w:proofErr w:type="spellStart"/>
      <w:r w:rsidRPr="00A33C66">
        <w:t>CuO</w:t>
      </w:r>
      <w:proofErr w:type="spellEnd"/>
      <w:r w:rsidRPr="00A33C66">
        <w:t>–water at 5</w:t>
      </w:r>
      <w:r w:rsidR="001516C0" w:rsidRPr="00A33C66">
        <w:t xml:space="preserve"> </w:t>
      </w:r>
      <w:proofErr w:type="spellStart"/>
      <w:r w:rsidR="001516C0" w:rsidRPr="00A33C66">
        <w:t>wt</w:t>
      </w:r>
      <w:proofErr w:type="spellEnd"/>
      <w:r w:rsidR="001516C0" w:rsidRPr="00A33C66">
        <w:t xml:space="preserve"> </w:t>
      </w:r>
      <w:r w:rsidRPr="00A33C66">
        <w:t>%</w:t>
      </w:r>
      <w:r w:rsidR="00490F77" w:rsidRPr="00A33C66">
        <w:t xml:space="preserve">; </w:t>
      </w:r>
      <w:r w:rsidRPr="00A33C66">
        <w:t xml:space="preserve">both clearly </w:t>
      </w:r>
      <w:r w:rsidR="00490F77" w:rsidRPr="00A33C66">
        <w:t xml:space="preserve">outperformed </w:t>
      </w:r>
      <w:r w:rsidRPr="00A33C66">
        <w:t xml:space="preserve">pure water. These enhancements can be directly linked to the increased thermal conductivity of the nanofluid, improved thermal boundary layer behavior, and intensified turbulence effects. Therefore, the Nusselt number trends further validate the improved convective heat transfer efficacy of the </w:t>
      </w:r>
      <w:r w:rsidR="00490F77" w:rsidRPr="00A33C66">
        <w:t xml:space="preserve">tested </w:t>
      </w:r>
      <w:r w:rsidRPr="00A33C66">
        <w:t>nanofluids.</w:t>
      </w:r>
    </w:p>
    <w:p w14:paraId="48815913" w14:textId="77777777" w:rsidR="00957BF0" w:rsidRPr="00A33C66" w:rsidRDefault="00957BF0" w:rsidP="00957BF0">
      <w:pPr>
        <w:pStyle w:val="CETCaption"/>
        <w:rPr>
          <w:lang w:val="en-US"/>
        </w:rPr>
      </w:pPr>
      <w:r w:rsidRPr="00A33C66">
        <w:rPr>
          <w:noProof/>
          <w:lang w:val="en-US" w:eastAsia="it-IT"/>
        </w:rPr>
        <w:lastRenderedPageBreak/>
        <w:drawing>
          <wp:inline distT="0" distB="0" distL="0" distR="0" wp14:anchorId="19222377" wp14:editId="713ACCC3">
            <wp:extent cx="3492000" cy="1746830"/>
            <wp:effectExtent l="0" t="0" r="0" b="6350"/>
            <wp:docPr id="96643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43289" name="Picture 1"/>
                    <pic:cNvPicPr>
                      <a:picLocks noChangeAspect="1" noChangeArrowheads="1"/>
                    </pic:cNvPicPr>
                  </pic:nvPicPr>
                  <pic:blipFill rotWithShape="1">
                    <a:blip r:embed="rId12"/>
                    <a:srcRect l="8" r="78"/>
                    <a:stretch>
                      <a:fillRect/>
                    </a:stretch>
                  </pic:blipFill>
                  <pic:spPr bwMode="auto">
                    <a:xfrm>
                      <a:off x="0" y="0"/>
                      <a:ext cx="3492000" cy="1746830"/>
                    </a:xfrm>
                    <a:prstGeom prst="rect">
                      <a:avLst/>
                    </a:prstGeom>
                    <a:ln>
                      <a:noFill/>
                    </a:ln>
                    <a:extLst>
                      <a:ext uri="{53640926-AAD7-44D8-BBD7-CCE9431645EC}">
                        <a14:shadowObscured xmlns:a14="http://schemas.microsoft.com/office/drawing/2010/main"/>
                      </a:ext>
                    </a:extLst>
                  </pic:spPr>
                </pic:pic>
              </a:graphicData>
            </a:graphic>
          </wp:inline>
        </w:drawing>
      </w:r>
    </w:p>
    <w:p w14:paraId="2543124F" w14:textId="5563A63B" w:rsidR="00957BF0" w:rsidRPr="00A33C66" w:rsidRDefault="00957BF0" w:rsidP="00957BF0">
      <w:pPr>
        <w:pStyle w:val="CETCaption"/>
        <w:rPr>
          <w:lang w:val="en-US"/>
        </w:rPr>
      </w:pPr>
      <w:r w:rsidRPr="00A33C66">
        <w:rPr>
          <w:rStyle w:val="CETCaptionCarattere"/>
          <w:i/>
          <w:lang w:val="en-US"/>
        </w:rPr>
        <w:t xml:space="preserve">Figure </w:t>
      </w:r>
      <w:r w:rsidR="00145EC2" w:rsidRPr="00A33C66">
        <w:rPr>
          <w:rStyle w:val="CETCaptionCarattere"/>
          <w:i/>
          <w:lang w:val="en-US"/>
        </w:rPr>
        <w:t>3</w:t>
      </w:r>
      <w:r w:rsidRPr="00A33C66">
        <w:rPr>
          <w:rStyle w:val="CETCaptionCarattere"/>
          <w:i/>
          <w:lang w:val="en-US"/>
        </w:rPr>
        <w:t xml:space="preserve">: </w:t>
      </w:r>
      <w:r w:rsidR="00D94959" w:rsidRPr="00A33C66">
        <w:rPr>
          <w:rStyle w:val="CETCaptionCarattere"/>
          <w:i/>
          <w:lang w:val="en-US"/>
        </w:rPr>
        <w:t xml:space="preserve">Average </w:t>
      </w:r>
      <w:r w:rsidR="00E339B7" w:rsidRPr="00A33C66">
        <w:rPr>
          <w:rStyle w:val="CETCaptionCarattere"/>
          <w:i/>
          <w:lang w:val="en-US"/>
        </w:rPr>
        <w:t>outlet temperature</w:t>
      </w:r>
      <w:r w:rsidRPr="00A33C66">
        <w:rPr>
          <w:lang w:val="en-US"/>
        </w:rPr>
        <w:t xml:space="preserve"> </w:t>
      </w:r>
      <w:r w:rsidR="00E339B7" w:rsidRPr="00A33C66">
        <w:rPr>
          <w:lang w:val="en-US"/>
        </w:rPr>
        <w:t>and Nusselt number</w:t>
      </w:r>
    </w:p>
    <w:p w14:paraId="21E97176" w14:textId="77777777" w:rsidR="009A3984" w:rsidRPr="00A33C66" w:rsidRDefault="009A3984" w:rsidP="009A3984">
      <w:pPr>
        <w:pStyle w:val="CETheadingx"/>
      </w:pPr>
      <w:r w:rsidRPr="00A33C66">
        <w:t>Temperature Distribution and Thermal Gradients</w:t>
      </w:r>
    </w:p>
    <w:p w14:paraId="6366C438" w14:textId="5550B31C" w:rsidR="00957BF0" w:rsidRPr="00A33C66" w:rsidRDefault="009A3984" w:rsidP="009A3984">
      <w:pPr>
        <w:pStyle w:val="CETBodytext"/>
      </w:pPr>
      <w:r w:rsidRPr="00A33C66">
        <w:t xml:space="preserve">Detailed temperature profiles along the radial and axial directions highlighted the </w:t>
      </w:r>
      <w:r w:rsidR="00111FF2" w:rsidRPr="00A33C66">
        <w:t xml:space="preserve">effectiveness </w:t>
      </w:r>
      <w:r w:rsidRPr="00A33C66">
        <w:t>of nanofluids in mitigating thermal gradients. CFD results revealed that nanofluids substantially reduced peak temperatures along the heated pipe wall</w:t>
      </w:r>
      <w:r w:rsidR="00111FF2" w:rsidRPr="00A33C66">
        <w:t xml:space="preserve">. This </w:t>
      </w:r>
      <w:r w:rsidRPr="00A33C66">
        <w:t xml:space="preserve">is </w:t>
      </w:r>
      <w:r w:rsidR="00111FF2" w:rsidRPr="00A33C66">
        <w:t xml:space="preserve">important </w:t>
      </w:r>
      <w:r w:rsidRPr="00A33C66">
        <w:t xml:space="preserve">for practical applications where thermal </w:t>
      </w:r>
      <w:proofErr w:type="gramStart"/>
      <w:r w:rsidRPr="00A33C66">
        <w:t>stresses</w:t>
      </w:r>
      <w:proofErr w:type="gramEnd"/>
      <w:r w:rsidRPr="00A33C66">
        <w:t xml:space="preserve"> can affect system reliability. </w:t>
      </w:r>
      <w:r w:rsidR="00111FF2" w:rsidRPr="00A33C66">
        <w:t xml:space="preserve">Among all tested fluids, </w:t>
      </w:r>
      <w:proofErr w:type="spellStart"/>
      <w:r w:rsidRPr="00A33C66">
        <w:t>Al</w:t>
      </w:r>
      <w:r w:rsidRPr="00A33C66">
        <w:rPr>
          <w:rFonts w:ascii="Cambria Math" w:hAnsi="Cambria Math" w:cs="Cambria Math"/>
        </w:rPr>
        <w:t>₂</w:t>
      </w:r>
      <w:r w:rsidRPr="00A33C66">
        <w:t>O</w:t>
      </w:r>
      <w:proofErr w:type="spellEnd"/>
      <w:r w:rsidRPr="00A33C66">
        <w:rPr>
          <w:rFonts w:ascii="Cambria Math" w:hAnsi="Cambria Math" w:cs="Cambria Math"/>
        </w:rPr>
        <w:t>₃</w:t>
      </w:r>
      <w:r w:rsidRPr="00A33C66">
        <w:rPr>
          <w:rFonts w:cs="Arial"/>
        </w:rPr>
        <w:t>–</w:t>
      </w:r>
      <w:r w:rsidRPr="00A33C66">
        <w:t>water (5</w:t>
      </w:r>
      <w:r w:rsidR="001516C0" w:rsidRPr="00A33C66">
        <w:t xml:space="preserve"> </w:t>
      </w:r>
      <w:proofErr w:type="spellStart"/>
      <w:r w:rsidR="001516C0" w:rsidRPr="00A33C66">
        <w:t>wt</w:t>
      </w:r>
      <w:proofErr w:type="spellEnd"/>
      <w:r w:rsidR="001516C0" w:rsidRPr="00A33C66">
        <w:t xml:space="preserve"> </w:t>
      </w:r>
      <w:r w:rsidRPr="00A33C66">
        <w:t>%) recorded the lowest peak temperatures, indicating superior heat dissipation characteristics.</w:t>
      </w:r>
    </w:p>
    <w:p w14:paraId="4590EF22" w14:textId="77777777" w:rsidR="009A3984" w:rsidRPr="00A33C66" w:rsidRDefault="009A3984" w:rsidP="009A3984">
      <w:pPr>
        <w:pStyle w:val="CETheadingx"/>
      </w:pPr>
      <w:r w:rsidRPr="00A33C66">
        <w:t>Pressure Drop and Flow Dynamics</w:t>
      </w:r>
    </w:p>
    <w:p w14:paraId="7517FEE8" w14:textId="63419CB6" w:rsidR="009A3984" w:rsidRPr="00A33C66" w:rsidRDefault="00111FF2" w:rsidP="009A3984">
      <w:pPr>
        <w:pStyle w:val="CETBodytext"/>
      </w:pPr>
      <w:r w:rsidRPr="00A33C66">
        <w:t>T</w:t>
      </w:r>
      <w:r w:rsidR="009A3984" w:rsidRPr="00A33C66">
        <w:t xml:space="preserve">urbulent flow simulations </w:t>
      </w:r>
      <w:r w:rsidRPr="00A33C66">
        <w:t xml:space="preserve">using </w:t>
      </w:r>
      <w:r w:rsidR="009A3984" w:rsidRPr="00A33C66">
        <w:t>the standard k–ε model indicated that</w:t>
      </w:r>
      <w:r w:rsidRPr="00A33C66">
        <w:t>,</w:t>
      </w:r>
      <w:r w:rsidR="009A3984" w:rsidRPr="00A33C66">
        <w:t xml:space="preserve"> </w:t>
      </w:r>
      <w:r w:rsidRPr="00A33C66">
        <w:t>although</w:t>
      </w:r>
      <w:r w:rsidR="009A3984" w:rsidRPr="00A33C66">
        <w:t xml:space="preserve"> nanofluids enhance heat transfer, </w:t>
      </w:r>
      <w:r w:rsidRPr="00A33C66">
        <w:t xml:space="preserve">they </w:t>
      </w:r>
      <w:r w:rsidR="009A3984" w:rsidRPr="00A33C66">
        <w:t xml:space="preserve">also increase pressure drop due to their </w:t>
      </w:r>
      <w:r w:rsidRPr="00A33C66">
        <w:t xml:space="preserve">higher </w:t>
      </w:r>
      <w:r w:rsidR="009A3984" w:rsidRPr="00A33C66">
        <w:t xml:space="preserve">viscosity compared to pure water. </w:t>
      </w:r>
      <w:r w:rsidRPr="00A33C66">
        <w:t xml:space="preserve">Among the nanofluids tested, </w:t>
      </w:r>
      <w:proofErr w:type="spellStart"/>
      <w:r w:rsidR="009A3984" w:rsidRPr="00A33C66">
        <w:t>CuO</w:t>
      </w:r>
      <w:proofErr w:type="spellEnd"/>
      <w:r w:rsidR="009A3984" w:rsidRPr="00A33C66">
        <w:t>–water at 5</w:t>
      </w:r>
      <w:r w:rsidR="001516C0" w:rsidRPr="00A33C66">
        <w:t xml:space="preserve"> </w:t>
      </w:r>
      <w:proofErr w:type="spellStart"/>
      <w:r w:rsidR="001516C0" w:rsidRPr="00A33C66">
        <w:t>wt</w:t>
      </w:r>
      <w:proofErr w:type="spellEnd"/>
      <w:r w:rsidR="001516C0" w:rsidRPr="00A33C66">
        <w:t xml:space="preserve"> </w:t>
      </w:r>
      <w:r w:rsidR="009A3984" w:rsidRPr="00A33C66">
        <w:t xml:space="preserve">% </w:t>
      </w:r>
      <w:r w:rsidRPr="00A33C66">
        <w:t xml:space="preserve">had </w:t>
      </w:r>
      <w:r w:rsidR="009A3984" w:rsidRPr="00A33C66">
        <w:t xml:space="preserve">the highest viscosity and consequently the most substantial increase in pressure drop, followed by </w:t>
      </w:r>
      <w:proofErr w:type="spellStart"/>
      <w:r w:rsidR="009A3984" w:rsidRPr="00A33C66">
        <w:t>Al</w:t>
      </w:r>
      <w:r w:rsidR="009A3984" w:rsidRPr="00A33C66">
        <w:rPr>
          <w:rFonts w:ascii="Cambria Math" w:hAnsi="Cambria Math" w:cs="Cambria Math"/>
        </w:rPr>
        <w:t>₂</w:t>
      </w:r>
      <w:r w:rsidR="009A3984" w:rsidRPr="00A33C66">
        <w:t>O</w:t>
      </w:r>
      <w:proofErr w:type="spellEnd"/>
      <w:r w:rsidR="009A3984" w:rsidRPr="00A33C66">
        <w:rPr>
          <w:rFonts w:ascii="Cambria Math" w:hAnsi="Cambria Math" w:cs="Cambria Math"/>
        </w:rPr>
        <w:t>₃</w:t>
      </w:r>
      <w:r w:rsidR="009A3984" w:rsidRPr="00A33C66">
        <w:rPr>
          <w:rFonts w:cs="Arial"/>
        </w:rPr>
        <w:t>–</w:t>
      </w:r>
      <w:r w:rsidR="009A3984" w:rsidRPr="00A33C66">
        <w:t>water at 5</w:t>
      </w:r>
      <w:r w:rsidR="001516C0" w:rsidRPr="00A33C66">
        <w:t xml:space="preserve"> </w:t>
      </w:r>
      <w:proofErr w:type="spellStart"/>
      <w:r w:rsidR="001516C0" w:rsidRPr="00A33C66">
        <w:t>wt</w:t>
      </w:r>
      <w:proofErr w:type="spellEnd"/>
      <w:r w:rsidR="001516C0" w:rsidRPr="00A33C66">
        <w:t xml:space="preserve"> </w:t>
      </w:r>
      <w:r w:rsidR="009A3984" w:rsidRPr="00A33C66">
        <w:t xml:space="preserve">%. </w:t>
      </w:r>
      <w:r w:rsidRPr="00A33C66">
        <w:t>Although t</w:t>
      </w:r>
      <w:r w:rsidR="009A3984" w:rsidRPr="00A33C66">
        <w:t xml:space="preserve">hese pressure drops increased, </w:t>
      </w:r>
      <w:r w:rsidRPr="00A33C66">
        <w:t xml:space="preserve">they remained </w:t>
      </w:r>
      <w:r w:rsidR="009A3984" w:rsidRPr="00A33C66">
        <w:t>within manageable limits for typical industrial pumping systems</w:t>
      </w:r>
      <w:r w:rsidR="00837B10" w:rsidRPr="00A33C66">
        <w:t xml:space="preserve"> (Table 4)</w:t>
      </w:r>
      <w:r w:rsidR="009A3984" w:rsidRPr="00A33C66">
        <w:t>.</w:t>
      </w:r>
    </w:p>
    <w:p w14:paraId="49B37303" w14:textId="23E7D61E" w:rsidR="00F45D6B" w:rsidRPr="00A33C66" w:rsidRDefault="00F45D6B" w:rsidP="00F45D6B">
      <w:pPr>
        <w:pStyle w:val="CETTabletitle"/>
        <w:rPr>
          <w:lang w:val="en-US"/>
        </w:rPr>
      </w:pPr>
      <w:r w:rsidRPr="00A33C66">
        <w:rPr>
          <w:lang w:val="en-US"/>
        </w:rPr>
        <w:t xml:space="preserve">Table </w:t>
      </w:r>
      <w:r w:rsidR="008D6701" w:rsidRPr="00A33C66">
        <w:rPr>
          <w:lang w:val="en-US"/>
        </w:rPr>
        <w:t>4</w:t>
      </w:r>
      <w:r w:rsidRPr="00A33C66">
        <w:rPr>
          <w:lang w:val="en-US"/>
        </w:rPr>
        <w:t xml:space="preserve">: </w:t>
      </w:r>
      <w:r w:rsidR="00E862BF" w:rsidRPr="00A33C66">
        <w:rPr>
          <w:lang w:val="en-US"/>
        </w:rPr>
        <w:t>Reynolds Numbers and Pressure Drop Summary</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984"/>
        <w:gridCol w:w="1247"/>
        <w:gridCol w:w="1247"/>
        <w:gridCol w:w="1247"/>
      </w:tblGrid>
      <w:tr w:rsidR="0020347D" w:rsidRPr="00A33C66" w14:paraId="09E335F1" w14:textId="77777777" w:rsidTr="4FEEB307">
        <w:trPr>
          <w:trHeight w:val="164"/>
        </w:trPr>
        <w:tc>
          <w:tcPr>
            <w:tcW w:w="1984" w:type="dxa"/>
            <w:tcBorders>
              <w:top w:val="single" w:sz="12" w:space="0" w:color="008000"/>
              <w:bottom w:val="single" w:sz="6" w:space="0" w:color="008000"/>
            </w:tcBorders>
            <w:shd w:val="clear" w:color="auto" w:fill="FFFFFF" w:themeFill="background1"/>
          </w:tcPr>
          <w:p w14:paraId="0450168E" w14:textId="7FAF173D" w:rsidR="0020347D" w:rsidRPr="00A33C66" w:rsidRDefault="0020347D" w:rsidP="00D66BE4">
            <w:pPr>
              <w:pStyle w:val="CETBodytext"/>
              <w:jc w:val="left"/>
            </w:pPr>
            <w:r w:rsidRPr="00A33C66">
              <w:t>Fluid</w:t>
            </w:r>
          </w:p>
        </w:tc>
        <w:tc>
          <w:tcPr>
            <w:tcW w:w="1247" w:type="dxa"/>
            <w:tcBorders>
              <w:top w:val="single" w:sz="12" w:space="0" w:color="008000"/>
              <w:bottom w:val="single" w:sz="6" w:space="0" w:color="008000"/>
            </w:tcBorders>
            <w:shd w:val="clear" w:color="auto" w:fill="FFFFFF" w:themeFill="background1"/>
          </w:tcPr>
          <w:p w14:paraId="0F7DFE9C" w14:textId="6B2DEADE" w:rsidR="0020347D" w:rsidRPr="00A33C66" w:rsidRDefault="0020347D" w:rsidP="00D66BE4">
            <w:pPr>
              <w:pStyle w:val="CETBodytext"/>
              <w:jc w:val="left"/>
            </w:pPr>
            <w:r w:rsidRPr="00A33C66">
              <w:t>Reynolds Number</w:t>
            </w:r>
          </w:p>
        </w:tc>
        <w:tc>
          <w:tcPr>
            <w:tcW w:w="1247" w:type="dxa"/>
            <w:tcBorders>
              <w:top w:val="single" w:sz="12" w:space="0" w:color="008000"/>
              <w:bottom w:val="single" w:sz="6" w:space="0" w:color="008000"/>
            </w:tcBorders>
            <w:shd w:val="clear" w:color="auto" w:fill="FFFFFF" w:themeFill="background1"/>
          </w:tcPr>
          <w:p w14:paraId="6AE19A1F" w14:textId="77777777" w:rsidR="00BF354E" w:rsidRPr="00A33C66" w:rsidRDefault="00BF354E" w:rsidP="4FEEB307">
            <w:pPr>
              <w:pStyle w:val="CETBodytext"/>
              <w:jc w:val="left"/>
              <w:rPr>
                <w:lang w:val="en-GB"/>
              </w:rPr>
            </w:pPr>
            <w:r w:rsidRPr="00A33C66">
              <w:rPr>
                <w:lang w:val="en-GB"/>
              </w:rPr>
              <w:t>Pressure Drop</w:t>
            </w:r>
          </w:p>
          <w:p w14:paraId="2DB717D4" w14:textId="0EA475B0" w:rsidR="0020347D" w:rsidRPr="00A33C66" w:rsidRDefault="00BF354E" w:rsidP="0054537B">
            <w:pPr>
              <w:pStyle w:val="CETBodytext"/>
              <w:jc w:val="left"/>
            </w:pPr>
            <w:r w:rsidRPr="00A33C66">
              <w:t>(</w:t>
            </w:r>
            <w:r w:rsidR="007D1612" w:rsidRPr="00A33C66">
              <w:t>kPa</w:t>
            </w:r>
            <w:r w:rsidRPr="00A33C66">
              <w:t>)</w:t>
            </w:r>
          </w:p>
        </w:tc>
        <w:tc>
          <w:tcPr>
            <w:tcW w:w="1247" w:type="dxa"/>
            <w:tcBorders>
              <w:top w:val="single" w:sz="12" w:space="0" w:color="008000"/>
              <w:bottom w:val="single" w:sz="6" w:space="0" w:color="008000"/>
            </w:tcBorders>
            <w:shd w:val="clear" w:color="auto" w:fill="FFFFFF" w:themeFill="background1"/>
          </w:tcPr>
          <w:p w14:paraId="6F9D62E9" w14:textId="567D0AE5" w:rsidR="0020347D" w:rsidRPr="00A33C66" w:rsidRDefault="0020347D" w:rsidP="00D66BE4">
            <w:pPr>
              <w:pStyle w:val="CETBodytext"/>
              <w:jc w:val="left"/>
            </w:pPr>
            <w:r w:rsidRPr="00A33C66">
              <w:t xml:space="preserve">Pressure Drop </w:t>
            </w:r>
            <w:r w:rsidR="00C85C9D" w:rsidRPr="00A33C66">
              <w:t>over water</w:t>
            </w:r>
            <w:r w:rsidR="00495117" w:rsidRPr="00A33C66">
              <w:t xml:space="preserve"> </w:t>
            </w:r>
            <w:r w:rsidRPr="00A33C66">
              <w:t>(%)</w:t>
            </w:r>
          </w:p>
        </w:tc>
      </w:tr>
      <w:tr w:rsidR="0020347D" w:rsidRPr="00A33C66" w14:paraId="3C2009C7" w14:textId="77777777" w:rsidTr="4FEEB307">
        <w:trPr>
          <w:trHeight w:val="164"/>
        </w:trPr>
        <w:tc>
          <w:tcPr>
            <w:tcW w:w="1984" w:type="dxa"/>
            <w:shd w:val="clear" w:color="auto" w:fill="FFFFFF" w:themeFill="background1"/>
          </w:tcPr>
          <w:p w14:paraId="6C9909C8" w14:textId="5571EF0D" w:rsidR="0020347D" w:rsidRPr="00A33C66" w:rsidRDefault="0020347D" w:rsidP="00D66BE4">
            <w:pPr>
              <w:pStyle w:val="CETBodytext"/>
              <w:jc w:val="left"/>
            </w:pPr>
            <w:r w:rsidRPr="00A33C66">
              <w:t>Water</w:t>
            </w:r>
          </w:p>
        </w:tc>
        <w:tc>
          <w:tcPr>
            <w:tcW w:w="1247" w:type="dxa"/>
            <w:shd w:val="clear" w:color="auto" w:fill="FFFFFF" w:themeFill="background1"/>
          </w:tcPr>
          <w:p w14:paraId="46193671" w14:textId="5013CD1F" w:rsidR="0020347D" w:rsidRPr="00A33C66" w:rsidRDefault="0020347D" w:rsidP="00D66BE4">
            <w:pPr>
              <w:pStyle w:val="CETBodytext"/>
              <w:jc w:val="left"/>
            </w:pPr>
            <w:r w:rsidRPr="00A33C66">
              <w:t>4,990</w:t>
            </w:r>
          </w:p>
        </w:tc>
        <w:tc>
          <w:tcPr>
            <w:tcW w:w="1247" w:type="dxa"/>
            <w:shd w:val="clear" w:color="auto" w:fill="FFFFFF" w:themeFill="background1"/>
          </w:tcPr>
          <w:p w14:paraId="4FD5E34C" w14:textId="0BD76CFB" w:rsidR="0020347D" w:rsidRPr="00A33C66" w:rsidRDefault="0085750F" w:rsidP="00D66BE4">
            <w:pPr>
              <w:pStyle w:val="CETBodytext"/>
              <w:jc w:val="left"/>
            </w:pPr>
            <w:r w:rsidRPr="00A33C66">
              <w:t>1</w:t>
            </w:r>
            <w:r w:rsidR="00527718" w:rsidRPr="00A33C66">
              <w:t>.</w:t>
            </w:r>
            <w:r w:rsidRPr="00A33C66">
              <w:t>1</w:t>
            </w:r>
            <w:r w:rsidR="00527718" w:rsidRPr="00A33C66">
              <w:t>15</w:t>
            </w:r>
          </w:p>
        </w:tc>
        <w:tc>
          <w:tcPr>
            <w:tcW w:w="1247" w:type="dxa"/>
            <w:shd w:val="clear" w:color="auto" w:fill="FFFFFF" w:themeFill="background1"/>
          </w:tcPr>
          <w:p w14:paraId="504A5F65" w14:textId="6419E0E7" w:rsidR="0020347D" w:rsidRPr="00A33C66" w:rsidRDefault="0020347D" w:rsidP="00D66BE4">
            <w:pPr>
              <w:pStyle w:val="CETBodytext"/>
              <w:jc w:val="left"/>
            </w:pPr>
            <w:r w:rsidRPr="00A33C66">
              <w:t>---</w:t>
            </w:r>
          </w:p>
        </w:tc>
      </w:tr>
      <w:tr w:rsidR="0020347D" w:rsidRPr="00A33C66" w14:paraId="693842EF" w14:textId="77777777" w:rsidTr="4FEEB307">
        <w:trPr>
          <w:trHeight w:val="164"/>
        </w:trPr>
        <w:tc>
          <w:tcPr>
            <w:tcW w:w="1984" w:type="dxa"/>
            <w:shd w:val="clear" w:color="auto" w:fill="FFFFFF" w:themeFill="background1"/>
          </w:tcPr>
          <w:p w14:paraId="3AD43832" w14:textId="2C32B341" w:rsidR="0020347D" w:rsidRPr="00A33C66" w:rsidRDefault="0020347D" w:rsidP="00D66BE4">
            <w:pPr>
              <w:pStyle w:val="CETBodytext"/>
              <w:jc w:val="left"/>
            </w:pPr>
            <w:proofErr w:type="spellStart"/>
            <w:r w:rsidRPr="00A33C66">
              <w:t>CuO</w:t>
            </w:r>
            <w:proofErr w:type="spellEnd"/>
            <w:r w:rsidRPr="00A33C66">
              <w:t xml:space="preserve">–water (1 </w:t>
            </w:r>
            <w:proofErr w:type="spellStart"/>
            <w:r w:rsidRPr="00A33C66">
              <w:t>wt</w:t>
            </w:r>
            <w:proofErr w:type="spellEnd"/>
            <w:r w:rsidRPr="00A33C66">
              <w:t xml:space="preserve"> %)</w:t>
            </w:r>
          </w:p>
        </w:tc>
        <w:tc>
          <w:tcPr>
            <w:tcW w:w="1247" w:type="dxa"/>
            <w:shd w:val="clear" w:color="auto" w:fill="FFFFFF" w:themeFill="background1"/>
          </w:tcPr>
          <w:p w14:paraId="7A7CB565" w14:textId="70917FF3" w:rsidR="0020347D" w:rsidRPr="00A33C66" w:rsidRDefault="0020347D" w:rsidP="00D66BE4">
            <w:pPr>
              <w:pStyle w:val="CETBodytext"/>
              <w:jc w:val="left"/>
            </w:pPr>
            <w:r w:rsidRPr="00A33C66">
              <w:t>4,490</w:t>
            </w:r>
          </w:p>
        </w:tc>
        <w:tc>
          <w:tcPr>
            <w:tcW w:w="1247" w:type="dxa"/>
            <w:shd w:val="clear" w:color="auto" w:fill="FFFFFF" w:themeFill="background1"/>
          </w:tcPr>
          <w:p w14:paraId="7F1EE15A" w14:textId="0C18792C" w:rsidR="0020347D" w:rsidRPr="00A33C66" w:rsidRDefault="0085750F" w:rsidP="00D66BE4">
            <w:pPr>
              <w:pStyle w:val="CETBodytext"/>
              <w:jc w:val="left"/>
            </w:pPr>
            <w:r w:rsidRPr="00A33C66">
              <w:t>1</w:t>
            </w:r>
            <w:r w:rsidR="00527718" w:rsidRPr="00A33C66">
              <w:t>.</w:t>
            </w:r>
            <w:r w:rsidR="00485890" w:rsidRPr="00A33C66">
              <w:t>206</w:t>
            </w:r>
          </w:p>
        </w:tc>
        <w:tc>
          <w:tcPr>
            <w:tcW w:w="1247" w:type="dxa"/>
            <w:shd w:val="clear" w:color="auto" w:fill="FFFFFF" w:themeFill="background1"/>
          </w:tcPr>
          <w:p w14:paraId="1D47DEBA" w14:textId="40200A1C" w:rsidR="0020347D" w:rsidRPr="00A33C66" w:rsidRDefault="0085750F" w:rsidP="00D66BE4">
            <w:pPr>
              <w:pStyle w:val="CETBodytext"/>
              <w:jc w:val="left"/>
            </w:pPr>
            <w:r w:rsidRPr="00A33C66">
              <w:t>8.32</w:t>
            </w:r>
            <w:r w:rsidR="0020347D" w:rsidRPr="00A33C66">
              <w:t xml:space="preserve"> %</w:t>
            </w:r>
          </w:p>
        </w:tc>
      </w:tr>
      <w:tr w:rsidR="0020347D" w:rsidRPr="00A33C66" w14:paraId="4CFC659C" w14:textId="77777777" w:rsidTr="4FEEB307">
        <w:trPr>
          <w:trHeight w:val="164"/>
        </w:trPr>
        <w:tc>
          <w:tcPr>
            <w:tcW w:w="1984" w:type="dxa"/>
            <w:shd w:val="clear" w:color="auto" w:fill="FFFFFF" w:themeFill="background1"/>
          </w:tcPr>
          <w:p w14:paraId="0103D2BB" w14:textId="77EB5554" w:rsidR="0020347D" w:rsidRPr="00A33C66" w:rsidRDefault="0020347D" w:rsidP="00D66BE4">
            <w:pPr>
              <w:pStyle w:val="CETBodytext"/>
              <w:jc w:val="left"/>
            </w:pPr>
            <w:proofErr w:type="spellStart"/>
            <w:r w:rsidRPr="00A33C66">
              <w:t>CuO</w:t>
            </w:r>
            <w:proofErr w:type="spellEnd"/>
            <w:r w:rsidRPr="00A33C66">
              <w:t xml:space="preserve">–water (5 </w:t>
            </w:r>
            <w:proofErr w:type="spellStart"/>
            <w:r w:rsidRPr="00A33C66">
              <w:t>wt</w:t>
            </w:r>
            <w:proofErr w:type="spellEnd"/>
            <w:r w:rsidRPr="00A33C66">
              <w:t xml:space="preserve"> %)</w:t>
            </w:r>
          </w:p>
        </w:tc>
        <w:tc>
          <w:tcPr>
            <w:tcW w:w="1247" w:type="dxa"/>
            <w:shd w:val="clear" w:color="auto" w:fill="FFFFFF" w:themeFill="background1"/>
          </w:tcPr>
          <w:p w14:paraId="0AB7FAA5" w14:textId="45419B02" w:rsidR="0020347D" w:rsidRPr="00A33C66" w:rsidRDefault="0020347D" w:rsidP="00D66BE4">
            <w:pPr>
              <w:pStyle w:val="CETBodytext"/>
              <w:jc w:val="left"/>
            </w:pPr>
            <w:r w:rsidRPr="00A33C66">
              <w:t>3,480</w:t>
            </w:r>
          </w:p>
        </w:tc>
        <w:tc>
          <w:tcPr>
            <w:tcW w:w="1247" w:type="dxa"/>
            <w:shd w:val="clear" w:color="auto" w:fill="FFFFFF" w:themeFill="background1"/>
          </w:tcPr>
          <w:p w14:paraId="5DBA110E" w14:textId="24565CC1" w:rsidR="0020347D" w:rsidRPr="00A33C66" w:rsidRDefault="0085750F" w:rsidP="00D66BE4">
            <w:pPr>
              <w:pStyle w:val="CETBodytext"/>
              <w:jc w:val="left"/>
            </w:pPr>
            <w:r w:rsidRPr="00A33C66">
              <w:t>1</w:t>
            </w:r>
            <w:r w:rsidR="00485890" w:rsidRPr="00A33C66">
              <w:t>.</w:t>
            </w:r>
            <w:r w:rsidRPr="00A33C66">
              <w:t>3</w:t>
            </w:r>
            <w:r w:rsidR="00485890" w:rsidRPr="00A33C66">
              <w:t>48</w:t>
            </w:r>
          </w:p>
        </w:tc>
        <w:tc>
          <w:tcPr>
            <w:tcW w:w="1247" w:type="dxa"/>
            <w:shd w:val="clear" w:color="auto" w:fill="FFFFFF" w:themeFill="background1"/>
          </w:tcPr>
          <w:p w14:paraId="4F1753F3" w14:textId="615EC6C9" w:rsidR="0020347D" w:rsidRPr="00A33C66" w:rsidRDefault="0085750F" w:rsidP="00D66BE4">
            <w:pPr>
              <w:pStyle w:val="CETBodytext"/>
              <w:jc w:val="left"/>
            </w:pPr>
            <w:r w:rsidRPr="00A33C66">
              <w:t>21.2</w:t>
            </w:r>
            <w:r w:rsidR="0020347D" w:rsidRPr="00A33C66">
              <w:t xml:space="preserve"> %</w:t>
            </w:r>
          </w:p>
        </w:tc>
      </w:tr>
      <w:tr w:rsidR="0020347D" w:rsidRPr="00A33C66" w14:paraId="33D93CE7" w14:textId="77777777" w:rsidTr="4FEEB307">
        <w:trPr>
          <w:trHeight w:val="164"/>
        </w:trPr>
        <w:tc>
          <w:tcPr>
            <w:tcW w:w="1984" w:type="dxa"/>
            <w:shd w:val="clear" w:color="auto" w:fill="FFFFFF" w:themeFill="background1"/>
          </w:tcPr>
          <w:p w14:paraId="1C884CE2" w14:textId="0E2687C0" w:rsidR="0020347D" w:rsidRPr="00A33C66" w:rsidRDefault="0020347D" w:rsidP="00D66BE4">
            <w:pPr>
              <w:pStyle w:val="CETBodytext"/>
              <w:jc w:val="left"/>
            </w:pPr>
            <w:proofErr w:type="spellStart"/>
            <w:r w:rsidRPr="00A33C66">
              <w:t>Al</w:t>
            </w:r>
            <w:r w:rsidRPr="00A33C66">
              <w:rPr>
                <w:rFonts w:ascii="Cambria Math" w:hAnsi="Cambria Math" w:cs="Cambria Math"/>
              </w:rPr>
              <w:t>₂</w:t>
            </w:r>
            <w:r w:rsidRPr="00A33C66">
              <w:t>O</w:t>
            </w:r>
            <w:proofErr w:type="spellEnd"/>
            <w:r w:rsidRPr="00A33C66">
              <w:rPr>
                <w:rFonts w:ascii="Cambria Math" w:hAnsi="Cambria Math" w:cs="Cambria Math"/>
              </w:rPr>
              <w:t>₃</w:t>
            </w:r>
            <w:r w:rsidRPr="00A33C66">
              <w:rPr>
                <w:rFonts w:cs="Arial"/>
              </w:rPr>
              <w:t>–</w:t>
            </w:r>
            <w:r w:rsidRPr="00A33C66">
              <w:t xml:space="preserve">water (1 </w:t>
            </w:r>
            <w:proofErr w:type="spellStart"/>
            <w:r w:rsidRPr="00A33C66">
              <w:t>wt</w:t>
            </w:r>
            <w:proofErr w:type="spellEnd"/>
            <w:r w:rsidRPr="00A33C66">
              <w:t xml:space="preserve"> %)</w:t>
            </w:r>
          </w:p>
        </w:tc>
        <w:tc>
          <w:tcPr>
            <w:tcW w:w="1247" w:type="dxa"/>
            <w:shd w:val="clear" w:color="auto" w:fill="FFFFFF" w:themeFill="background1"/>
          </w:tcPr>
          <w:p w14:paraId="33FA470E" w14:textId="166700E4" w:rsidR="0020347D" w:rsidRPr="00A33C66" w:rsidRDefault="0020347D" w:rsidP="00D66BE4">
            <w:pPr>
              <w:pStyle w:val="CETBodytext"/>
              <w:jc w:val="left"/>
            </w:pPr>
            <w:r w:rsidRPr="00A33C66">
              <w:t>4,580</w:t>
            </w:r>
          </w:p>
        </w:tc>
        <w:tc>
          <w:tcPr>
            <w:tcW w:w="1247" w:type="dxa"/>
            <w:shd w:val="clear" w:color="auto" w:fill="FFFFFF" w:themeFill="background1"/>
          </w:tcPr>
          <w:p w14:paraId="4DD525C2" w14:textId="158F8476" w:rsidR="0020347D" w:rsidRPr="00A33C66" w:rsidRDefault="0085750F" w:rsidP="00D66BE4">
            <w:pPr>
              <w:pStyle w:val="CETBodytext"/>
              <w:jc w:val="left"/>
            </w:pPr>
            <w:r w:rsidRPr="00A33C66">
              <w:t>1</w:t>
            </w:r>
            <w:r w:rsidR="0008536D" w:rsidRPr="00A33C66">
              <w:t>.</w:t>
            </w:r>
            <w:r w:rsidRPr="00A33C66">
              <w:t>1</w:t>
            </w:r>
            <w:r w:rsidR="0008536D" w:rsidRPr="00A33C66">
              <w:t>75</w:t>
            </w:r>
          </w:p>
        </w:tc>
        <w:tc>
          <w:tcPr>
            <w:tcW w:w="1247" w:type="dxa"/>
            <w:shd w:val="clear" w:color="auto" w:fill="FFFFFF" w:themeFill="background1"/>
          </w:tcPr>
          <w:p w14:paraId="2384AC78" w14:textId="5EAE49A2" w:rsidR="0020347D" w:rsidRPr="00A33C66" w:rsidRDefault="0085750F" w:rsidP="00D66BE4">
            <w:pPr>
              <w:pStyle w:val="CETBodytext"/>
              <w:jc w:val="left"/>
            </w:pPr>
            <w:r w:rsidRPr="00A33C66">
              <w:t>5.22</w:t>
            </w:r>
            <w:r w:rsidR="0020347D" w:rsidRPr="00A33C66">
              <w:t xml:space="preserve"> %</w:t>
            </w:r>
          </w:p>
        </w:tc>
      </w:tr>
      <w:tr w:rsidR="0020347D" w:rsidRPr="00A33C66" w14:paraId="687A1276" w14:textId="77777777" w:rsidTr="4FEEB307">
        <w:trPr>
          <w:trHeight w:val="164"/>
        </w:trPr>
        <w:tc>
          <w:tcPr>
            <w:tcW w:w="1984" w:type="dxa"/>
            <w:shd w:val="clear" w:color="auto" w:fill="FFFFFF" w:themeFill="background1"/>
          </w:tcPr>
          <w:p w14:paraId="3423E9F1" w14:textId="69B98336" w:rsidR="0020347D" w:rsidRPr="00A33C66" w:rsidRDefault="0020347D" w:rsidP="00D66BE4">
            <w:pPr>
              <w:pStyle w:val="CETBodytext"/>
              <w:ind w:right="-1"/>
              <w:jc w:val="left"/>
              <w:rPr>
                <w:rFonts w:cs="Arial"/>
                <w:szCs w:val="18"/>
              </w:rPr>
            </w:pPr>
            <w:proofErr w:type="spellStart"/>
            <w:r w:rsidRPr="00A33C66">
              <w:t>Al</w:t>
            </w:r>
            <w:r w:rsidRPr="00A33C66">
              <w:rPr>
                <w:rFonts w:ascii="Cambria Math" w:hAnsi="Cambria Math" w:cs="Cambria Math"/>
              </w:rPr>
              <w:t>₂</w:t>
            </w:r>
            <w:r w:rsidRPr="00A33C66">
              <w:t>O</w:t>
            </w:r>
            <w:proofErr w:type="spellEnd"/>
            <w:r w:rsidRPr="00A33C66">
              <w:rPr>
                <w:rFonts w:ascii="Cambria Math" w:hAnsi="Cambria Math" w:cs="Cambria Math"/>
              </w:rPr>
              <w:t>₃</w:t>
            </w:r>
            <w:r w:rsidRPr="00A33C66">
              <w:rPr>
                <w:rFonts w:cs="Arial"/>
              </w:rPr>
              <w:t>–</w:t>
            </w:r>
            <w:r w:rsidRPr="00A33C66">
              <w:t xml:space="preserve">water (5 </w:t>
            </w:r>
            <w:proofErr w:type="spellStart"/>
            <w:r w:rsidRPr="00A33C66">
              <w:t>wt</w:t>
            </w:r>
            <w:proofErr w:type="spellEnd"/>
            <w:r w:rsidRPr="00A33C66">
              <w:t xml:space="preserve"> %)</w:t>
            </w:r>
          </w:p>
        </w:tc>
        <w:tc>
          <w:tcPr>
            <w:tcW w:w="1247" w:type="dxa"/>
            <w:shd w:val="clear" w:color="auto" w:fill="FFFFFF" w:themeFill="background1"/>
          </w:tcPr>
          <w:p w14:paraId="60D28370" w14:textId="6290133B" w:rsidR="0020347D" w:rsidRPr="00A33C66" w:rsidRDefault="0020347D" w:rsidP="00D66BE4">
            <w:pPr>
              <w:pStyle w:val="CETBodytext"/>
              <w:ind w:right="-1"/>
              <w:jc w:val="left"/>
              <w:rPr>
                <w:rFonts w:cs="Arial"/>
                <w:szCs w:val="18"/>
              </w:rPr>
            </w:pPr>
            <w:r w:rsidRPr="00A33C66">
              <w:t>3,350</w:t>
            </w:r>
          </w:p>
        </w:tc>
        <w:tc>
          <w:tcPr>
            <w:tcW w:w="1247" w:type="dxa"/>
            <w:shd w:val="clear" w:color="auto" w:fill="FFFFFF" w:themeFill="background1"/>
          </w:tcPr>
          <w:p w14:paraId="47291109" w14:textId="7FC059A1" w:rsidR="0020347D" w:rsidRPr="00A33C66" w:rsidRDefault="0085750F" w:rsidP="00D66BE4">
            <w:pPr>
              <w:pStyle w:val="CETBodytext"/>
              <w:ind w:right="-1"/>
              <w:jc w:val="left"/>
            </w:pPr>
            <w:r w:rsidRPr="00A33C66">
              <w:t>1</w:t>
            </w:r>
            <w:r w:rsidR="0008536D" w:rsidRPr="00A33C66">
              <w:t>.</w:t>
            </w:r>
            <w:r w:rsidRPr="00A33C66">
              <w:t>2</w:t>
            </w:r>
            <w:r w:rsidR="0008536D" w:rsidRPr="00A33C66">
              <w:t>5</w:t>
            </w:r>
            <w:r w:rsidR="004B4202" w:rsidRPr="00A33C66">
              <w:t>6</w:t>
            </w:r>
          </w:p>
        </w:tc>
        <w:tc>
          <w:tcPr>
            <w:tcW w:w="1247" w:type="dxa"/>
            <w:shd w:val="clear" w:color="auto" w:fill="FFFFFF" w:themeFill="background1"/>
          </w:tcPr>
          <w:p w14:paraId="07094512" w14:textId="1A67D865" w:rsidR="0020347D" w:rsidRPr="00A33C66" w:rsidRDefault="0085750F" w:rsidP="00D66BE4">
            <w:pPr>
              <w:pStyle w:val="CETBodytext"/>
              <w:ind w:right="-1"/>
              <w:jc w:val="left"/>
              <w:rPr>
                <w:rFonts w:cs="Arial"/>
                <w:szCs w:val="18"/>
              </w:rPr>
            </w:pPr>
            <w:r w:rsidRPr="00A33C66">
              <w:t xml:space="preserve">8.32 </w:t>
            </w:r>
            <w:r w:rsidR="0020347D" w:rsidRPr="00A33C66">
              <w:t>%</w:t>
            </w:r>
          </w:p>
        </w:tc>
      </w:tr>
    </w:tbl>
    <w:p w14:paraId="327FAF3A" w14:textId="77777777" w:rsidR="00F45D6B" w:rsidRPr="00A33C66" w:rsidRDefault="00F45D6B" w:rsidP="00F45D6B">
      <w:pPr>
        <w:pStyle w:val="CETheadingx"/>
      </w:pPr>
      <w:r w:rsidRPr="00A33C66">
        <w:t>Reynolds Number and Flow Regime Stability</w:t>
      </w:r>
    </w:p>
    <w:p w14:paraId="5B351E21" w14:textId="655FE35C" w:rsidR="00F45D6B" w:rsidRPr="00A33C66" w:rsidRDefault="00F45D6B" w:rsidP="00F45D6B">
      <w:pPr>
        <w:pStyle w:val="CETBodytext"/>
      </w:pPr>
      <w:r w:rsidRPr="00A33C66">
        <w:t xml:space="preserve">The Reynolds numbers computed using the provided thermophysical properties confirmed that all fluids </w:t>
      </w:r>
      <w:r w:rsidR="00EB40AB" w:rsidRPr="00A33C66">
        <w:t xml:space="preserve">exhibited </w:t>
      </w:r>
      <w:r w:rsidRPr="00A33C66">
        <w:t xml:space="preserve">turbulent flow under the tested conditions, ensuring consistency across the simulations. Water had the highest Reynolds number (Re = 4,990), followed by </w:t>
      </w:r>
      <w:proofErr w:type="spellStart"/>
      <w:r w:rsidRPr="00A33C66">
        <w:t>CuO</w:t>
      </w:r>
      <w:proofErr w:type="spellEnd"/>
      <w:r w:rsidRPr="00A33C66">
        <w:t>–water (1</w:t>
      </w:r>
      <w:r w:rsidR="00155520" w:rsidRPr="00A33C66">
        <w:t xml:space="preserve"> </w:t>
      </w:r>
      <w:proofErr w:type="spellStart"/>
      <w:r w:rsidR="00155520" w:rsidRPr="00A33C66">
        <w:t>wt</w:t>
      </w:r>
      <w:proofErr w:type="spellEnd"/>
      <w:r w:rsidR="00155520" w:rsidRPr="00A33C66">
        <w:t xml:space="preserve"> </w:t>
      </w:r>
      <w:r w:rsidRPr="00A33C66">
        <w:t xml:space="preserve">%) with Re = 4,490 and </w:t>
      </w:r>
      <w:proofErr w:type="spellStart"/>
      <w:r w:rsidRPr="00A33C66">
        <w:t>Al</w:t>
      </w:r>
      <w:r w:rsidRPr="00A33C66">
        <w:rPr>
          <w:rFonts w:ascii="Cambria Math" w:hAnsi="Cambria Math" w:cs="Cambria Math"/>
        </w:rPr>
        <w:t>₂</w:t>
      </w:r>
      <w:r w:rsidRPr="00A33C66">
        <w:t>O</w:t>
      </w:r>
      <w:proofErr w:type="spellEnd"/>
      <w:r w:rsidRPr="00A33C66">
        <w:rPr>
          <w:rFonts w:ascii="Cambria Math" w:hAnsi="Cambria Math" w:cs="Cambria Math"/>
        </w:rPr>
        <w:t>₃</w:t>
      </w:r>
      <w:r w:rsidRPr="00A33C66">
        <w:rPr>
          <w:rFonts w:cs="Arial"/>
        </w:rPr>
        <w:t>–</w:t>
      </w:r>
      <w:r w:rsidRPr="00A33C66">
        <w:t>water (1</w:t>
      </w:r>
      <w:r w:rsidR="008D05A3" w:rsidRPr="00A33C66">
        <w:t xml:space="preserve"> </w:t>
      </w:r>
      <w:proofErr w:type="spellStart"/>
      <w:r w:rsidR="008D05A3" w:rsidRPr="00A33C66">
        <w:t>wt</w:t>
      </w:r>
      <w:proofErr w:type="spellEnd"/>
      <w:r w:rsidR="008D05A3" w:rsidRPr="00A33C66">
        <w:t xml:space="preserve"> </w:t>
      </w:r>
      <w:r w:rsidRPr="00A33C66">
        <w:t>%) with Re = 4,580. At higher concentrations (5</w:t>
      </w:r>
      <w:r w:rsidR="00155520" w:rsidRPr="00A33C66">
        <w:t xml:space="preserve"> </w:t>
      </w:r>
      <w:proofErr w:type="spellStart"/>
      <w:r w:rsidR="00155520" w:rsidRPr="00A33C66">
        <w:t>wt</w:t>
      </w:r>
      <w:proofErr w:type="spellEnd"/>
      <w:r w:rsidR="00155520" w:rsidRPr="00A33C66">
        <w:t xml:space="preserve"> </w:t>
      </w:r>
      <w:r w:rsidRPr="00A33C66">
        <w:t>%), both nanofluids showed a notable decrease in Reynolds number, indicating a higher resistance to flow attributed to increased viscosity.</w:t>
      </w:r>
    </w:p>
    <w:p w14:paraId="1FE43D9A" w14:textId="77777777" w:rsidR="00F45D6B" w:rsidRPr="00A33C66" w:rsidRDefault="00F45D6B" w:rsidP="00F45D6B">
      <w:pPr>
        <w:pStyle w:val="CETheadingx"/>
      </w:pPr>
      <w:r w:rsidRPr="00A33C66">
        <w:t>Computational Considerations</w:t>
      </w:r>
    </w:p>
    <w:p w14:paraId="121BFD3D" w14:textId="570F15CD" w:rsidR="00F45D6B" w:rsidRPr="00A33C66" w:rsidRDefault="00F45D6B" w:rsidP="00F45D6B">
      <w:pPr>
        <w:pStyle w:val="CETBodytext"/>
      </w:pPr>
      <w:r w:rsidRPr="00A33C66">
        <w:t xml:space="preserve">Solver configurations, including the use of the Smoothed Aggregation Algebraic Multigrid (AMG) solver with appropriate relaxation factors, ensured stable and accurate convergence of results across all tested fluids. </w:t>
      </w:r>
      <w:r w:rsidR="0019127B" w:rsidRPr="00A33C66">
        <w:t>The</w:t>
      </w:r>
      <w:r w:rsidR="71E5CFC0" w:rsidRPr="00A33C66">
        <w:t xml:space="preserve"> mesh independence study </w:t>
      </w:r>
      <w:r w:rsidR="0019127B" w:rsidRPr="00A33C66">
        <w:t>ensured</w:t>
      </w:r>
      <w:r w:rsidR="71E5CFC0" w:rsidRPr="00A33C66">
        <w:t xml:space="preserve"> that the simulation results were not affected by further mesh refinement. Additionally, solver convergence was ensured using a nonlinear residual threshold of 20, providing a balance between computational efficiency and solution accuracy</w:t>
      </w:r>
      <w:r w:rsidRPr="00A33C66">
        <w:t>.</w:t>
      </w:r>
    </w:p>
    <w:p w14:paraId="5AB72EE2" w14:textId="77777777" w:rsidR="007F6207" w:rsidRPr="00A33C66" w:rsidRDefault="007F6207" w:rsidP="007F6207">
      <w:pPr>
        <w:pStyle w:val="CETHeading1"/>
      </w:pPr>
      <w:r w:rsidRPr="00A33C66">
        <w:t>Conclusions</w:t>
      </w:r>
    </w:p>
    <w:p w14:paraId="33D47FF2" w14:textId="596D724A" w:rsidR="007F6207" w:rsidRPr="00A33C66" w:rsidRDefault="00F45D6B" w:rsidP="007F6207">
      <w:pPr>
        <w:pStyle w:val="CETBodytext"/>
      </w:pPr>
      <w:r w:rsidRPr="00A33C66">
        <w:t>The results strongly support the viability of nanofluids as superior heat transfer medi</w:t>
      </w:r>
      <w:r w:rsidR="00AD1DE8" w:rsidRPr="00A33C66">
        <w:t>a</w:t>
      </w:r>
      <w:r w:rsidRPr="00A33C66">
        <w:t xml:space="preserve"> in heat exchanger applications, with </w:t>
      </w:r>
      <w:proofErr w:type="spellStart"/>
      <w:r w:rsidRPr="00A33C66">
        <w:t>Al</w:t>
      </w:r>
      <w:r w:rsidRPr="00A33C66">
        <w:rPr>
          <w:rFonts w:ascii="Cambria Math" w:hAnsi="Cambria Math" w:cs="Cambria Math"/>
        </w:rPr>
        <w:t>₂</w:t>
      </w:r>
      <w:r w:rsidRPr="00A33C66">
        <w:t>O</w:t>
      </w:r>
      <w:proofErr w:type="spellEnd"/>
      <w:r w:rsidRPr="00A33C66">
        <w:rPr>
          <w:rFonts w:ascii="Cambria Math" w:hAnsi="Cambria Math" w:cs="Cambria Math"/>
        </w:rPr>
        <w:t>₃</w:t>
      </w:r>
      <w:r w:rsidRPr="00A33C66">
        <w:rPr>
          <w:rFonts w:cs="Arial"/>
        </w:rPr>
        <w:t>–</w:t>
      </w:r>
      <w:r w:rsidRPr="00A33C66">
        <w:t>water at 5</w:t>
      </w:r>
      <w:r w:rsidR="008D05A3" w:rsidRPr="00A33C66">
        <w:t xml:space="preserve"> </w:t>
      </w:r>
      <w:proofErr w:type="spellStart"/>
      <w:r w:rsidR="008D05A3" w:rsidRPr="00A33C66">
        <w:t>wt</w:t>
      </w:r>
      <w:proofErr w:type="spellEnd"/>
      <w:r w:rsidR="008D05A3" w:rsidRPr="00A33C66">
        <w:t xml:space="preserve"> </w:t>
      </w:r>
      <w:r w:rsidRPr="00A33C66">
        <w:t xml:space="preserve">% being particularly promising. Despite </w:t>
      </w:r>
      <w:r w:rsidR="00AD1DE8" w:rsidRPr="00A33C66">
        <w:t xml:space="preserve">the </w:t>
      </w:r>
      <w:r w:rsidRPr="00A33C66">
        <w:t>higher pressure drops associated with increased viscosit</w:t>
      </w:r>
      <w:r w:rsidR="00AD1DE8" w:rsidRPr="00A33C66">
        <w:t>y</w:t>
      </w:r>
      <w:r w:rsidRPr="00A33C66">
        <w:t xml:space="preserve">, the substantial </w:t>
      </w:r>
      <w:r w:rsidR="00AD1DE8" w:rsidRPr="00A33C66">
        <w:t xml:space="preserve">improvements in </w:t>
      </w:r>
      <w:r w:rsidRPr="00A33C66">
        <w:t xml:space="preserve">thermal performance justify their </w:t>
      </w:r>
      <w:r w:rsidRPr="00A33C66">
        <w:lastRenderedPageBreak/>
        <w:t>consideration in energy-efficient thermal management systems.</w:t>
      </w:r>
      <w:r w:rsidR="3874FE3D" w:rsidRPr="00A33C66">
        <w:rPr>
          <w:color w:val="000000" w:themeColor="text1"/>
        </w:rPr>
        <w:t xml:space="preserve"> </w:t>
      </w:r>
      <w:r w:rsidRPr="00A33C66">
        <w:t>Future research may focus on further optimizing particle concentration and exploring hybrid nanofluids to balance thermal efficiency and flow resistance</w:t>
      </w:r>
      <w:r w:rsidR="00330C93" w:rsidRPr="00A33C66">
        <w:t xml:space="preserve"> </w:t>
      </w:r>
      <w:r w:rsidR="007F3419" w:rsidRPr="00A33C66">
        <w:t xml:space="preserve">through </w:t>
      </w:r>
      <w:r w:rsidR="00A27B97" w:rsidRPr="00A33C66">
        <w:t xml:space="preserve">CFD simulations </w:t>
      </w:r>
      <w:r w:rsidR="009A52B6" w:rsidRPr="00A33C66">
        <w:t xml:space="preserve">to support and best direct the </w:t>
      </w:r>
      <w:r w:rsidR="00380AD3" w:rsidRPr="00A33C66">
        <w:t xml:space="preserve">necessary </w:t>
      </w:r>
      <w:r w:rsidR="009A52B6" w:rsidRPr="00A33C66">
        <w:t>experimentation for full industrial deployment</w:t>
      </w:r>
      <w:r w:rsidRPr="00A33C66">
        <w:t>.</w:t>
      </w:r>
    </w:p>
    <w:p w14:paraId="12B49D35" w14:textId="77777777" w:rsidR="007F6207" w:rsidRPr="00A33C66" w:rsidRDefault="007F6207" w:rsidP="007F6207">
      <w:pPr>
        <w:pStyle w:val="CETAcknowledgementstitle"/>
        <w:rPr>
          <w:lang w:val="en-US"/>
        </w:rPr>
      </w:pPr>
      <w:r w:rsidRPr="00A33C66">
        <w:rPr>
          <w:lang w:val="en-US"/>
        </w:rPr>
        <w:t>Acknowledgments</w:t>
      </w:r>
    </w:p>
    <w:p w14:paraId="2B3A61CF" w14:textId="1C0774BB" w:rsidR="007F6207" w:rsidRPr="00A33C66" w:rsidRDefault="001C7C26" w:rsidP="007F6207">
      <w:pPr>
        <w:pStyle w:val="CETBodytext"/>
      </w:pPr>
      <w:r w:rsidRPr="00A33C66">
        <w:rPr>
          <w:color w:val="000000" w:themeColor="text1"/>
        </w:rPr>
        <w:t xml:space="preserve">This study was developed in the framework of the research activities carried out within the Project “Network 4 Energy Sustainable Transition — NEST”, Spoke 8: Final use optimization, sustainability \&amp; resilience in energy supply chain, Project code PE00000021, Concession Decree No. 1561 of 11.10.2022 adopted by </w:t>
      </w:r>
      <w:proofErr w:type="spellStart"/>
      <w:r w:rsidRPr="00A33C66">
        <w:rPr>
          <w:color w:val="000000" w:themeColor="text1"/>
        </w:rPr>
        <w:t>Ministero</w:t>
      </w:r>
      <w:proofErr w:type="spellEnd"/>
      <w:r w:rsidRPr="00A33C66">
        <w:rPr>
          <w:color w:val="000000" w:themeColor="text1"/>
        </w:rPr>
        <w:t xml:space="preserve"> </w:t>
      </w:r>
      <w:proofErr w:type="spellStart"/>
      <w:r w:rsidRPr="00A33C66">
        <w:rPr>
          <w:color w:val="000000" w:themeColor="text1"/>
        </w:rPr>
        <w:t>dell’Università</w:t>
      </w:r>
      <w:proofErr w:type="spellEnd"/>
      <w:r w:rsidRPr="00A33C66">
        <w:rPr>
          <w:color w:val="000000" w:themeColor="text1"/>
        </w:rPr>
        <w:t xml:space="preserve"> e </w:t>
      </w:r>
      <w:proofErr w:type="spellStart"/>
      <w:r w:rsidRPr="00A33C66">
        <w:rPr>
          <w:color w:val="000000" w:themeColor="text1"/>
        </w:rPr>
        <w:t>della</w:t>
      </w:r>
      <w:proofErr w:type="spellEnd"/>
      <w:r w:rsidRPr="00A33C66">
        <w:rPr>
          <w:color w:val="000000" w:themeColor="text1"/>
        </w:rPr>
        <w:t xml:space="preserve"> </w:t>
      </w:r>
      <w:proofErr w:type="spellStart"/>
      <w:r w:rsidRPr="00A33C66">
        <w:rPr>
          <w:color w:val="000000" w:themeColor="text1"/>
        </w:rPr>
        <w:t>Ricerca</w:t>
      </w:r>
      <w:proofErr w:type="spellEnd"/>
      <w:r w:rsidRPr="00A33C66">
        <w:rPr>
          <w:color w:val="000000" w:themeColor="text1"/>
        </w:rPr>
        <w:t xml:space="preserve"> (MUR), CUP UNIPA B73C22001280006, Project funded under the National Recovery and Resilience Plan (NRRP), Mission 4 Component 2 Investment 1.3 - Call for tender No. 341 of 15.03.2022 of </w:t>
      </w:r>
      <w:proofErr w:type="spellStart"/>
      <w:r w:rsidRPr="00A33C66">
        <w:rPr>
          <w:color w:val="000000" w:themeColor="text1"/>
        </w:rPr>
        <w:t>Ministero</w:t>
      </w:r>
      <w:proofErr w:type="spellEnd"/>
      <w:r w:rsidRPr="00A33C66">
        <w:rPr>
          <w:color w:val="000000" w:themeColor="text1"/>
        </w:rPr>
        <w:t xml:space="preserve"> </w:t>
      </w:r>
      <w:proofErr w:type="spellStart"/>
      <w:r w:rsidRPr="00A33C66">
        <w:rPr>
          <w:color w:val="000000" w:themeColor="text1"/>
        </w:rPr>
        <w:t>dell’Università</w:t>
      </w:r>
      <w:proofErr w:type="spellEnd"/>
      <w:r w:rsidRPr="00A33C66">
        <w:rPr>
          <w:color w:val="000000" w:themeColor="text1"/>
        </w:rPr>
        <w:t xml:space="preserve"> e </w:t>
      </w:r>
      <w:proofErr w:type="spellStart"/>
      <w:r w:rsidRPr="00A33C66">
        <w:rPr>
          <w:color w:val="000000" w:themeColor="text1"/>
        </w:rPr>
        <w:t>della</w:t>
      </w:r>
      <w:proofErr w:type="spellEnd"/>
      <w:r w:rsidRPr="00A33C66">
        <w:rPr>
          <w:color w:val="000000" w:themeColor="text1"/>
        </w:rPr>
        <w:t xml:space="preserve"> </w:t>
      </w:r>
      <w:proofErr w:type="spellStart"/>
      <w:r w:rsidRPr="00A33C66">
        <w:rPr>
          <w:color w:val="000000" w:themeColor="text1"/>
        </w:rPr>
        <w:t>Ricerca</w:t>
      </w:r>
      <w:proofErr w:type="spellEnd"/>
      <w:r w:rsidRPr="00A33C66">
        <w:rPr>
          <w:color w:val="000000" w:themeColor="text1"/>
        </w:rPr>
        <w:t xml:space="preserve"> (MUR); funded by the European Union – </w:t>
      </w:r>
      <w:proofErr w:type="spellStart"/>
      <w:r w:rsidRPr="00A33C66">
        <w:rPr>
          <w:color w:val="000000" w:themeColor="text1"/>
        </w:rPr>
        <w:t>NextGenerationEU</w:t>
      </w:r>
      <w:proofErr w:type="spellEnd"/>
      <w:r w:rsidRPr="00A33C66">
        <w:rPr>
          <w:color w:val="000000" w:themeColor="text1"/>
        </w:rPr>
        <w:t>.</w:t>
      </w:r>
    </w:p>
    <w:p w14:paraId="79C7003D" w14:textId="77777777" w:rsidR="007F6207" w:rsidRPr="00A33C66" w:rsidRDefault="007F6207" w:rsidP="007F6207">
      <w:pPr>
        <w:pStyle w:val="CETReference"/>
        <w:rPr>
          <w:lang w:val="en-US"/>
        </w:rPr>
      </w:pPr>
      <w:r w:rsidRPr="00A33C66">
        <w:rPr>
          <w:lang w:val="en-US"/>
        </w:rPr>
        <w:t>References</w:t>
      </w:r>
    </w:p>
    <w:p w14:paraId="4C0BC691" w14:textId="77777777" w:rsidR="00D34769" w:rsidRPr="00A33C66" w:rsidRDefault="00D34769" w:rsidP="0072071F">
      <w:pPr>
        <w:pStyle w:val="CETReferencetext"/>
        <w:rPr>
          <w:color w:val="000000" w:themeColor="text1"/>
          <w:lang w:val="en-US"/>
        </w:rPr>
      </w:pPr>
      <w:r w:rsidRPr="00A33C66">
        <w:rPr>
          <w:color w:val="000000" w:themeColor="text1"/>
          <w:lang w:val="en-US"/>
        </w:rPr>
        <w:t>Choi S.U., Eastman, J.A., 1995, Enhancing thermal conductivity of fluids with nanoparticles</w:t>
      </w:r>
      <w:r w:rsidRPr="00A33C66">
        <w:rPr>
          <w:i/>
          <w:iCs/>
          <w:color w:val="000000" w:themeColor="text1"/>
          <w:lang w:val="en-US"/>
        </w:rPr>
        <w:t>,</w:t>
      </w:r>
      <w:r w:rsidRPr="00A33C66">
        <w:rPr>
          <w:color w:val="000000" w:themeColor="text1"/>
          <w:lang w:val="en-US"/>
        </w:rPr>
        <w:t xml:space="preserve"> Argonne National Lab. (ANL), Argonne, IL, United States.</w:t>
      </w:r>
    </w:p>
    <w:p w14:paraId="29538D55" w14:textId="77777777" w:rsidR="00D94959" w:rsidRPr="00A33C66" w:rsidRDefault="00D94959" w:rsidP="00D94959">
      <w:pPr>
        <w:pStyle w:val="CETBodytext"/>
        <w:ind w:left="284" w:hanging="284"/>
        <w:rPr>
          <w:color w:val="000000" w:themeColor="text1"/>
        </w:rPr>
      </w:pPr>
      <w:r w:rsidRPr="00A33C66">
        <w:rPr>
          <w:color w:val="000000" w:themeColor="text1"/>
        </w:rPr>
        <w:t xml:space="preserve">Cirrincione L., Malara C., Marino C., </w:t>
      </w:r>
      <w:proofErr w:type="spellStart"/>
      <w:r w:rsidRPr="00A33C66">
        <w:rPr>
          <w:color w:val="000000" w:themeColor="text1"/>
        </w:rPr>
        <w:t>Nucara</w:t>
      </w:r>
      <w:proofErr w:type="spellEnd"/>
      <w:r w:rsidRPr="00A33C66">
        <w:rPr>
          <w:color w:val="000000" w:themeColor="text1"/>
        </w:rPr>
        <w:t xml:space="preserve"> A., Peri G., Pietrafesa M., 2020, Effect of the thermal storage dimensions on the performances of solar photovoltaic-thermal systems, Renewable Energy, 162, 2004</w:t>
      </w:r>
      <w:r w:rsidRPr="00A33C66">
        <w:t>–</w:t>
      </w:r>
      <w:r w:rsidRPr="00A33C66">
        <w:rPr>
          <w:color w:val="000000" w:themeColor="text1"/>
        </w:rPr>
        <w:t>2018.</w:t>
      </w:r>
    </w:p>
    <w:p w14:paraId="0561C47C" w14:textId="77777777" w:rsidR="00D94959" w:rsidRPr="00A33C66" w:rsidRDefault="00D94959" w:rsidP="00D94959">
      <w:pPr>
        <w:pStyle w:val="CETBodytext"/>
        <w:ind w:left="284" w:hanging="284"/>
        <w:rPr>
          <w:color w:val="000000" w:themeColor="text1"/>
        </w:rPr>
      </w:pPr>
      <w:r w:rsidRPr="00A33C66">
        <w:rPr>
          <w:color w:val="000000" w:themeColor="text1"/>
        </w:rPr>
        <w:t>Cirrincione L., La Gennusa M., Peri G., Rizzo G., Scaccianoce G.,2022, Foster carbon-neutrality in the built environment: A Blockchain-based approach for the energy interaction among buildings, Proceedings in 2022 Workshop on Blockchain for Renewables Integration (BLORIN), IEEE, 167</w:t>
      </w:r>
      <w:r w:rsidRPr="00A33C66">
        <w:t>–</w:t>
      </w:r>
      <w:r w:rsidRPr="00A33C66">
        <w:rPr>
          <w:color w:val="000000" w:themeColor="text1"/>
        </w:rPr>
        <w:t>171.</w:t>
      </w:r>
    </w:p>
    <w:p w14:paraId="3899B621" w14:textId="1D3B4CA6" w:rsidR="00D94959" w:rsidRPr="00A33C66" w:rsidRDefault="00D94959" w:rsidP="00D94959">
      <w:pPr>
        <w:pStyle w:val="CETReferencetext"/>
      </w:pPr>
      <w:r w:rsidRPr="00A33C66">
        <w:t>Cirrincione L., Gennusa M.L., Peri G., Scaccianoce G., Camarda M.C., 2023a, Towards the energy optimization and decarbonization of urban settings: Proposal of a strategy at Neighbourhood Level to Foster Nearly Zero and Positive Energy Districts, Proceedings in 2023 IEEE International Conference on Environment and Electrical Engineering.</w:t>
      </w:r>
    </w:p>
    <w:p w14:paraId="02707AAF" w14:textId="1B3F2BAF" w:rsidR="00D94959" w:rsidRPr="00A33C66" w:rsidRDefault="00D94959" w:rsidP="00D94959">
      <w:pPr>
        <w:pStyle w:val="CETReferencetext"/>
        <w:rPr>
          <w:color w:val="000000" w:themeColor="text1"/>
          <w:lang w:val="en-US"/>
        </w:rPr>
      </w:pPr>
      <w:r w:rsidRPr="00A33C66">
        <w:rPr>
          <w:color w:val="000000" w:themeColor="text1"/>
          <w:lang w:val="en-US"/>
        </w:rPr>
        <w:t xml:space="preserve">Cirrincione L., </w:t>
      </w:r>
      <w:proofErr w:type="spellStart"/>
      <w:r w:rsidRPr="00A33C66">
        <w:rPr>
          <w:color w:val="000000" w:themeColor="text1"/>
          <w:lang w:val="en-US"/>
        </w:rPr>
        <w:t>Geropanta</w:t>
      </w:r>
      <w:proofErr w:type="spellEnd"/>
      <w:r w:rsidRPr="00A33C66">
        <w:rPr>
          <w:color w:val="000000" w:themeColor="text1"/>
          <w:lang w:val="en-US"/>
        </w:rPr>
        <w:t xml:space="preserve"> V., Peri G., Scaccianoce G., 2023b, Enhance Urban Energy Management and Decarbonization Through an EC-based Approach, Proceedings in 2023 IEEE International Conference on Environment and Electrical Engineering.</w:t>
      </w:r>
    </w:p>
    <w:p w14:paraId="13D28541" w14:textId="77777777" w:rsidR="00A11521" w:rsidRPr="00A33C66" w:rsidRDefault="00A11521" w:rsidP="00A11521">
      <w:pPr>
        <w:pStyle w:val="CETReferencetext"/>
      </w:pPr>
      <w:r w:rsidRPr="00A33C66">
        <w:t xml:space="preserve">Hong W.X., Che </w:t>
      </w:r>
      <w:proofErr w:type="spellStart"/>
      <w:r w:rsidRPr="00A33C66">
        <w:t>Sidik</w:t>
      </w:r>
      <w:proofErr w:type="spellEnd"/>
      <w:r w:rsidRPr="00A33C66">
        <w:t xml:space="preserve"> N.A., </w:t>
      </w:r>
      <w:proofErr w:type="spellStart"/>
      <w:r w:rsidRPr="00A33C66">
        <w:t>Saidur</w:t>
      </w:r>
      <w:proofErr w:type="spellEnd"/>
      <w:r w:rsidRPr="00A33C66">
        <w:t xml:space="preserve"> R., 2020, Impact of different surfactants and ultrasonication time on the stability and thermophysical properties of hybrid nanofluids, International Communications in Heat and Mass Transfer, 110, 104389.</w:t>
      </w:r>
    </w:p>
    <w:p w14:paraId="533DFE49" w14:textId="5D7BF905" w:rsidR="00BF0F5D" w:rsidRPr="00A33C66" w:rsidRDefault="00BF0F5D" w:rsidP="00BF0F5D">
      <w:pPr>
        <w:pStyle w:val="CETReferencetext"/>
        <w:rPr>
          <w:color w:val="000000" w:themeColor="text1"/>
          <w:lang w:val="en-US"/>
        </w:rPr>
      </w:pPr>
      <w:r w:rsidRPr="00A33C66">
        <w:rPr>
          <w:color w:val="000000" w:themeColor="text1"/>
          <w:lang w:val="en-US"/>
        </w:rPr>
        <w:t>Launder B.E., and Spalding D.B., 1983, The numerical computation of turbulent flows, In Numerical prediction of flow, heat transfer, turbulence and combustion (</w:t>
      </w:r>
      <w:proofErr w:type="gramStart"/>
      <w:r w:rsidRPr="00A33C66">
        <w:rPr>
          <w:color w:val="000000" w:themeColor="text1"/>
          <w:lang w:val="en-US"/>
        </w:rPr>
        <w:t>pp</w:t>
      </w:r>
      <w:proofErr w:type="gramEnd"/>
      <w:r w:rsidRPr="00A33C66">
        <w:rPr>
          <w:color w:val="000000" w:themeColor="text1"/>
          <w:lang w:val="en-US"/>
        </w:rPr>
        <w:t>. 96-116). Pergamon.</w:t>
      </w:r>
    </w:p>
    <w:p w14:paraId="445B1CA3" w14:textId="77777777" w:rsidR="003B359A" w:rsidRPr="00A33C66" w:rsidRDefault="003B359A" w:rsidP="0072071F">
      <w:pPr>
        <w:pStyle w:val="CETReferencetext"/>
      </w:pPr>
      <w:proofErr w:type="spellStart"/>
      <w:r w:rsidRPr="00A33C66">
        <w:t>Mahian</w:t>
      </w:r>
      <w:proofErr w:type="spellEnd"/>
      <w:r w:rsidRPr="00A33C66">
        <w:t xml:space="preserve"> O., </w:t>
      </w:r>
      <w:proofErr w:type="spellStart"/>
      <w:r w:rsidRPr="00A33C66">
        <w:t>Kianifar</w:t>
      </w:r>
      <w:proofErr w:type="spellEnd"/>
      <w:r w:rsidRPr="00A33C66">
        <w:t xml:space="preserve"> A., Kalogirou S.A., Pop I., </w:t>
      </w:r>
      <w:proofErr w:type="spellStart"/>
      <w:r w:rsidRPr="00A33C66">
        <w:t>Wongwises</w:t>
      </w:r>
      <w:proofErr w:type="spellEnd"/>
      <w:r w:rsidRPr="00A33C66">
        <w:t xml:space="preserve"> S., 2013, A review of the applications of nanofluids in solar energy, International Journal of Heat and Mass Transfer, 57(2), 582–594.</w:t>
      </w:r>
    </w:p>
    <w:p w14:paraId="200631ED" w14:textId="340524A2" w:rsidR="00385AEC" w:rsidRPr="00A33C66" w:rsidRDefault="00385AEC" w:rsidP="0072071F">
      <w:pPr>
        <w:pStyle w:val="CETReferencetext"/>
        <w:rPr>
          <w:color w:val="000000" w:themeColor="text1"/>
          <w:lang w:val="en-US"/>
        </w:rPr>
      </w:pPr>
      <w:r w:rsidRPr="00A33C66">
        <w:t>Peri G., Cirrincione L., Mazzeo D., Matera N., Scaccianoce G., 2024, Building resilience to a warming world: A contribution toward a definition of “Integrated Climate Resilience” specific for buildings - Literature review and proposals, Energy and Buildings, 315, 114319.</w:t>
      </w:r>
    </w:p>
    <w:p w14:paraId="7DB716EE" w14:textId="77777777" w:rsidR="00D420D9" w:rsidRPr="00A33C66" w:rsidRDefault="00D420D9" w:rsidP="0072071F">
      <w:pPr>
        <w:pStyle w:val="CETReferencetext"/>
      </w:pPr>
      <w:proofErr w:type="spellStart"/>
      <w:r w:rsidRPr="00A33C66">
        <w:t>Saidur</w:t>
      </w:r>
      <w:proofErr w:type="spellEnd"/>
      <w:r w:rsidRPr="00A33C66">
        <w:t xml:space="preserve"> R., Leong K.Y., Mohammed H.A., 2011, A review on applications and challenges of nanofluids, Renewable and Sustainable Energy Reviews, 15(3), 1646–1668.</w:t>
      </w:r>
    </w:p>
    <w:p w14:paraId="700751BA" w14:textId="635CE481" w:rsidR="00D34769" w:rsidRPr="00A33C66" w:rsidRDefault="00D34769" w:rsidP="0072071F">
      <w:pPr>
        <w:pStyle w:val="CETReferencetext"/>
        <w:rPr>
          <w:i/>
          <w:iCs/>
          <w:color w:val="000000" w:themeColor="text1"/>
        </w:rPr>
      </w:pPr>
      <w:r w:rsidRPr="00A33C66">
        <w:rPr>
          <w:color w:val="000000" w:themeColor="text1"/>
        </w:rPr>
        <w:t>Sajid M.U., Ali, H.M., 2019, Recent advances in application of nanofluids in heat transfer devices: a critical review, Renewable and Sustainable Energy Reviews, 103,</w:t>
      </w:r>
      <w:r w:rsidRPr="00A33C66">
        <w:rPr>
          <w:i/>
          <w:iCs/>
          <w:color w:val="000000" w:themeColor="text1"/>
        </w:rPr>
        <w:t xml:space="preserve"> </w:t>
      </w:r>
      <w:r w:rsidRPr="00A33C66">
        <w:rPr>
          <w:color w:val="000000" w:themeColor="text1"/>
        </w:rPr>
        <w:t>556–592</w:t>
      </w:r>
      <w:r w:rsidRPr="00A33C66">
        <w:rPr>
          <w:i/>
          <w:iCs/>
          <w:color w:val="000000" w:themeColor="text1"/>
        </w:rPr>
        <w:t>.</w:t>
      </w:r>
    </w:p>
    <w:p w14:paraId="3D0A60CF" w14:textId="0C251AB5" w:rsidR="00385AEC" w:rsidRPr="00A33C66" w:rsidRDefault="00385AEC" w:rsidP="0072071F">
      <w:pPr>
        <w:pStyle w:val="CETReferencetext"/>
        <w:rPr>
          <w:color w:val="000000" w:themeColor="text1"/>
        </w:rPr>
      </w:pPr>
      <w:r w:rsidRPr="00A33C66">
        <w:rPr>
          <w:color w:val="000000" w:themeColor="text1"/>
        </w:rPr>
        <w:t>Sathishkumar A., Sundaram P., Cheralathan M., Kumar P.G., 2024, Effect of nano-enhanced phase change materials on performance of cool thermal energy storage system: A review, Journal of Energy Storage, 78, 110079.</w:t>
      </w:r>
    </w:p>
    <w:p w14:paraId="7C9D0D8B" w14:textId="77777777" w:rsidR="00AF4B46" w:rsidRPr="00A33C66" w:rsidRDefault="00AF4B46" w:rsidP="00AF4B46">
      <w:pPr>
        <w:pStyle w:val="CETReferencetext"/>
        <w:rPr>
          <w:color w:val="000000" w:themeColor="text1"/>
          <w:lang w:val="en-US"/>
        </w:rPr>
      </w:pPr>
      <w:proofErr w:type="spellStart"/>
      <w:r w:rsidRPr="00A33C66">
        <w:rPr>
          <w:color w:val="000000" w:themeColor="text1"/>
          <w:lang w:val="en-US"/>
        </w:rPr>
        <w:t>Reverberi</w:t>
      </w:r>
      <w:proofErr w:type="spellEnd"/>
      <w:r w:rsidRPr="00A33C66">
        <w:rPr>
          <w:color w:val="000000" w:themeColor="text1"/>
          <w:lang w:val="en-US"/>
        </w:rPr>
        <w:t xml:space="preserve"> A.P., Vocciante M., Salerno M., Soda O., Fabiano B., 2022, A sustainable, top-down </w:t>
      </w:r>
      <w:proofErr w:type="spellStart"/>
      <w:r w:rsidRPr="00A33C66">
        <w:rPr>
          <w:color w:val="000000" w:themeColor="text1"/>
          <w:lang w:val="en-US"/>
        </w:rPr>
        <w:t>mechanosynthesis</w:t>
      </w:r>
      <w:proofErr w:type="spellEnd"/>
      <w:r w:rsidRPr="00A33C66">
        <w:rPr>
          <w:color w:val="000000" w:themeColor="text1"/>
          <w:lang w:val="en-US"/>
        </w:rPr>
        <w:t xml:space="preserve"> of carbohydrate-functionalized silver nanoparticles, Reaction Chemistry &amp; Engineering, </w:t>
      </w:r>
      <w:r w:rsidRPr="00A33C66">
        <w:rPr>
          <w:i/>
          <w:iCs/>
          <w:color w:val="000000" w:themeColor="text1"/>
          <w:lang w:val="en-US"/>
        </w:rPr>
        <w:t>7</w:t>
      </w:r>
      <w:r w:rsidRPr="00A33C66">
        <w:rPr>
          <w:color w:val="000000" w:themeColor="text1"/>
          <w:lang w:val="en-US"/>
        </w:rPr>
        <w:t>(4), 888–897.</w:t>
      </w:r>
    </w:p>
    <w:p w14:paraId="10069C19" w14:textId="4BD9726B" w:rsidR="0072071F" w:rsidRPr="00A33C66" w:rsidRDefault="0072071F" w:rsidP="0072071F">
      <w:pPr>
        <w:pStyle w:val="CETReferencetext"/>
        <w:rPr>
          <w:color w:val="000000" w:themeColor="text1"/>
        </w:rPr>
      </w:pPr>
      <w:r w:rsidRPr="00A33C66">
        <w:rPr>
          <w:color w:val="000000" w:themeColor="text1"/>
        </w:rPr>
        <w:t>Vocciante M., Kenig E.Y., 2021, Pillow-plate heat exchangers: an overview on advances, limitations and prospects, Chemical Engineering Transactions, 88, 865–870.</w:t>
      </w:r>
    </w:p>
    <w:p w14:paraId="26E3296A" w14:textId="77777777" w:rsidR="00B2310E" w:rsidRPr="00A33C66" w:rsidRDefault="00B2310E" w:rsidP="007F6207">
      <w:pPr>
        <w:pStyle w:val="CETReferencetext"/>
      </w:pPr>
      <w:r w:rsidRPr="00A33C66">
        <w:t xml:space="preserve">Weller H.G., Tabor G., </w:t>
      </w:r>
      <w:proofErr w:type="spellStart"/>
      <w:r w:rsidRPr="00A33C66">
        <w:t>Jasak</w:t>
      </w:r>
      <w:proofErr w:type="spellEnd"/>
      <w:r w:rsidRPr="00A33C66">
        <w:t xml:space="preserve"> H., Fureby C., 1998, A tensorial approach to computational continuum mechanics using object-oriented techniques, Computers in Physics, 12(6), 620–631.</w:t>
      </w:r>
    </w:p>
    <w:p w14:paraId="2D9B777E" w14:textId="6682116B" w:rsidR="00427CF7" w:rsidRPr="00A33C66" w:rsidRDefault="00427CF7" w:rsidP="007F6207">
      <w:pPr>
        <w:pStyle w:val="CETReferencetext"/>
        <w:rPr>
          <w:lang w:val="en-US"/>
        </w:rPr>
      </w:pPr>
      <w:r w:rsidRPr="00A33C66">
        <w:rPr>
          <w:lang w:val="en-US"/>
        </w:rPr>
        <w:t>Xuan</w:t>
      </w:r>
      <w:r w:rsidR="00BC0596" w:rsidRPr="00A33C66">
        <w:rPr>
          <w:lang w:val="en-US"/>
        </w:rPr>
        <w:t xml:space="preserve"> Y., </w:t>
      </w:r>
      <w:r w:rsidRPr="00A33C66">
        <w:rPr>
          <w:lang w:val="en-US"/>
        </w:rPr>
        <w:t>Li</w:t>
      </w:r>
      <w:r w:rsidR="00BC0596" w:rsidRPr="00A33C66">
        <w:rPr>
          <w:lang w:val="en-US"/>
        </w:rPr>
        <w:t xml:space="preserve"> Q.</w:t>
      </w:r>
      <w:r w:rsidRPr="00A33C66">
        <w:rPr>
          <w:lang w:val="en-US"/>
        </w:rPr>
        <w:t xml:space="preserve">, </w:t>
      </w:r>
      <w:r w:rsidR="00BC0596" w:rsidRPr="00A33C66">
        <w:rPr>
          <w:lang w:val="en-US"/>
        </w:rPr>
        <w:t xml:space="preserve">2000, </w:t>
      </w:r>
      <w:r w:rsidRPr="00A33C66">
        <w:rPr>
          <w:lang w:val="en-US"/>
        </w:rPr>
        <w:t xml:space="preserve">Investigation on convective heat transfer and flow features of nanofluids, International Journal of Heat and Mass Transfer, 43 </w:t>
      </w:r>
      <w:r w:rsidR="00BC0596" w:rsidRPr="00A33C66">
        <w:rPr>
          <w:lang w:val="en-US"/>
        </w:rPr>
        <w:t>(</w:t>
      </w:r>
      <w:r w:rsidRPr="00A33C66">
        <w:rPr>
          <w:lang w:val="en-US"/>
        </w:rPr>
        <w:t>19</w:t>
      </w:r>
      <w:r w:rsidR="00BC0596" w:rsidRPr="00A33C66">
        <w:rPr>
          <w:lang w:val="en-US"/>
        </w:rPr>
        <w:t>)</w:t>
      </w:r>
      <w:r w:rsidRPr="00A33C66">
        <w:rPr>
          <w:lang w:val="en-US"/>
        </w:rPr>
        <w:t>, 3701–3707.</w:t>
      </w:r>
    </w:p>
    <w:p w14:paraId="19C4FC68" w14:textId="26D2045B" w:rsidR="004628D2" w:rsidRDefault="000315B1" w:rsidP="007134E2">
      <w:pPr>
        <w:pStyle w:val="CETReferencetext"/>
      </w:pPr>
      <w:r w:rsidRPr="00A33C66">
        <w:t>Yu W., Xie H., 2012, A review on nanofluids: preparation, stability mechanisms, and applications, Journal of Nanomaterials, 2012</w:t>
      </w:r>
      <w:r w:rsidR="00A53526" w:rsidRPr="00A33C66">
        <w:t xml:space="preserve"> (1)</w:t>
      </w:r>
      <w:r w:rsidRPr="00A33C66">
        <w:t>, 435873.</w:t>
      </w:r>
    </w:p>
    <w:sectPr w:rsidR="004628D2" w:rsidSect="00A714E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D9042" w14:textId="77777777" w:rsidR="009103CF" w:rsidRPr="00276D43" w:rsidRDefault="009103CF" w:rsidP="004F5E36">
      <w:r w:rsidRPr="00276D43">
        <w:separator/>
      </w:r>
    </w:p>
  </w:endnote>
  <w:endnote w:type="continuationSeparator" w:id="0">
    <w:p w14:paraId="33FA2C6F" w14:textId="77777777" w:rsidR="009103CF" w:rsidRPr="00276D43" w:rsidRDefault="009103CF" w:rsidP="004F5E36">
      <w:r w:rsidRPr="00276D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4B46" w14:textId="77777777" w:rsidR="00A11521" w:rsidRDefault="00A1152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F54D6" w14:textId="77777777" w:rsidR="00A11521" w:rsidRDefault="00A1152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44214" w14:textId="77777777" w:rsidR="00A11521" w:rsidRDefault="00A1152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CD87" w14:textId="77777777" w:rsidR="009103CF" w:rsidRPr="00276D43" w:rsidRDefault="009103CF" w:rsidP="004F5E36">
      <w:r w:rsidRPr="00276D43">
        <w:separator/>
      </w:r>
    </w:p>
  </w:footnote>
  <w:footnote w:type="continuationSeparator" w:id="0">
    <w:p w14:paraId="1F07AAA5" w14:textId="77777777" w:rsidR="009103CF" w:rsidRPr="00276D43" w:rsidRDefault="009103CF" w:rsidP="004F5E36">
      <w:r w:rsidRPr="00276D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05930" w14:textId="77777777" w:rsidR="00A11521" w:rsidRDefault="00A1152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7175" w14:textId="77777777" w:rsidR="00A11521" w:rsidRDefault="00A1152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5ECD9" w14:textId="77777777" w:rsidR="00A11521" w:rsidRDefault="00A1152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B3E61D90"/>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2BC728E7"/>
    <w:multiLevelType w:val="hybridMultilevel"/>
    <w:tmpl w:val="AF3074C0"/>
    <w:lvl w:ilvl="0" w:tplc="8190012C">
      <w:start w:val="1"/>
      <w:numFmt w:val="bullet"/>
      <w:lvlText w:val=""/>
      <w:lvlJc w:val="left"/>
      <w:pPr>
        <w:ind w:left="720" w:hanging="360"/>
      </w:pPr>
      <w:rPr>
        <w:rFonts w:ascii="Symbol" w:hAnsi="Symbol"/>
      </w:rPr>
    </w:lvl>
    <w:lvl w:ilvl="1" w:tplc="606C7B40">
      <w:start w:val="1"/>
      <w:numFmt w:val="bullet"/>
      <w:lvlText w:val=""/>
      <w:lvlJc w:val="left"/>
      <w:pPr>
        <w:ind w:left="720" w:hanging="360"/>
      </w:pPr>
      <w:rPr>
        <w:rFonts w:ascii="Symbol" w:hAnsi="Symbol"/>
      </w:rPr>
    </w:lvl>
    <w:lvl w:ilvl="2" w:tplc="C1C64BEE">
      <w:start w:val="1"/>
      <w:numFmt w:val="bullet"/>
      <w:lvlText w:val=""/>
      <w:lvlJc w:val="left"/>
      <w:pPr>
        <w:ind w:left="720" w:hanging="360"/>
      </w:pPr>
      <w:rPr>
        <w:rFonts w:ascii="Symbol" w:hAnsi="Symbol"/>
      </w:rPr>
    </w:lvl>
    <w:lvl w:ilvl="3" w:tplc="4F945EA8">
      <w:start w:val="1"/>
      <w:numFmt w:val="bullet"/>
      <w:lvlText w:val=""/>
      <w:lvlJc w:val="left"/>
      <w:pPr>
        <w:ind w:left="720" w:hanging="360"/>
      </w:pPr>
      <w:rPr>
        <w:rFonts w:ascii="Symbol" w:hAnsi="Symbol"/>
      </w:rPr>
    </w:lvl>
    <w:lvl w:ilvl="4" w:tplc="B1D61384">
      <w:start w:val="1"/>
      <w:numFmt w:val="bullet"/>
      <w:lvlText w:val=""/>
      <w:lvlJc w:val="left"/>
      <w:pPr>
        <w:ind w:left="720" w:hanging="360"/>
      </w:pPr>
      <w:rPr>
        <w:rFonts w:ascii="Symbol" w:hAnsi="Symbol"/>
      </w:rPr>
    </w:lvl>
    <w:lvl w:ilvl="5" w:tplc="1160D586">
      <w:start w:val="1"/>
      <w:numFmt w:val="bullet"/>
      <w:lvlText w:val=""/>
      <w:lvlJc w:val="left"/>
      <w:pPr>
        <w:ind w:left="720" w:hanging="360"/>
      </w:pPr>
      <w:rPr>
        <w:rFonts w:ascii="Symbol" w:hAnsi="Symbol"/>
      </w:rPr>
    </w:lvl>
    <w:lvl w:ilvl="6" w:tplc="2D8E03C8">
      <w:start w:val="1"/>
      <w:numFmt w:val="bullet"/>
      <w:lvlText w:val=""/>
      <w:lvlJc w:val="left"/>
      <w:pPr>
        <w:ind w:left="720" w:hanging="360"/>
      </w:pPr>
      <w:rPr>
        <w:rFonts w:ascii="Symbol" w:hAnsi="Symbol"/>
      </w:rPr>
    </w:lvl>
    <w:lvl w:ilvl="7" w:tplc="863C2C1E">
      <w:start w:val="1"/>
      <w:numFmt w:val="bullet"/>
      <w:lvlText w:val=""/>
      <w:lvlJc w:val="left"/>
      <w:pPr>
        <w:ind w:left="720" w:hanging="360"/>
      </w:pPr>
      <w:rPr>
        <w:rFonts w:ascii="Symbol" w:hAnsi="Symbol"/>
      </w:rPr>
    </w:lvl>
    <w:lvl w:ilvl="8" w:tplc="BEB83D4E">
      <w:start w:val="1"/>
      <w:numFmt w:val="bullet"/>
      <w:lvlText w:val=""/>
      <w:lvlJc w:val="left"/>
      <w:pPr>
        <w:ind w:left="720" w:hanging="360"/>
      </w:pPr>
      <w:rPr>
        <w:rFonts w:ascii="Symbol" w:hAnsi="Symbol"/>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8"/>
  </w:num>
  <w:num w:numId="13" w16cid:durableId="695733619">
    <w:abstractNumId w:val="13"/>
  </w:num>
  <w:num w:numId="14" w16cid:durableId="145903400">
    <w:abstractNumId w:val="19"/>
  </w:num>
  <w:num w:numId="15" w16cid:durableId="19162326">
    <w:abstractNumId w:val="21"/>
  </w:num>
  <w:num w:numId="16" w16cid:durableId="1977102699">
    <w:abstractNumId w:val="20"/>
  </w:num>
  <w:num w:numId="17" w16cid:durableId="860774865">
    <w:abstractNumId w:val="12"/>
  </w:num>
  <w:num w:numId="18" w16cid:durableId="313221457">
    <w:abstractNumId w:val="13"/>
    <w:lvlOverride w:ilvl="0">
      <w:startOverride w:val="1"/>
    </w:lvlOverride>
  </w:num>
  <w:num w:numId="19" w16cid:durableId="534971577">
    <w:abstractNumId w:val="17"/>
  </w:num>
  <w:num w:numId="20" w16cid:durableId="1150947773">
    <w:abstractNumId w:val="16"/>
  </w:num>
  <w:num w:numId="21" w16cid:durableId="124660497">
    <w:abstractNumId w:val="15"/>
  </w:num>
  <w:num w:numId="22" w16cid:durableId="2099861471">
    <w:abstractNumId w:val="14"/>
  </w:num>
  <w:num w:numId="23" w16cid:durableId="4721440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2DCA"/>
    <w:rsid w:val="000052FB"/>
    <w:rsid w:val="00005A19"/>
    <w:rsid w:val="000117CB"/>
    <w:rsid w:val="00017DF1"/>
    <w:rsid w:val="0003148D"/>
    <w:rsid w:val="000315B1"/>
    <w:rsid w:val="00031EEC"/>
    <w:rsid w:val="00035119"/>
    <w:rsid w:val="00051566"/>
    <w:rsid w:val="00054288"/>
    <w:rsid w:val="000562A9"/>
    <w:rsid w:val="00060835"/>
    <w:rsid w:val="00062A9A"/>
    <w:rsid w:val="00065058"/>
    <w:rsid w:val="00070B50"/>
    <w:rsid w:val="0008012C"/>
    <w:rsid w:val="0008536D"/>
    <w:rsid w:val="00086C39"/>
    <w:rsid w:val="000970DB"/>
    <w:rsid w:val="000A03B2"/>
    <w:rsid w:val="000B4A64"/>
    <w:rsid w:val="000D0268"/>
    <w:rsid w:val="000D34BE"/>
    <w:rsid w:val="000D67D7"/>
    <w:rsid w:val="000E102F"/>
    <w:rsid w:val="000E36F1"/>
    <w:rsid w:val="000E3A73"/>
    <w:rsid w:val="000E414A"/>
    <w:rsid w:val="000E5949"/>
    <w:rsid w:val="000F093C"/>
    <w:rsid w:val="000F787B"/>
    <w:rsid w:val="0011090D"/>
    <w:rsid w:val="00110BD3"/>
    <w:rsid w:val="00111C0B"/>
    <w:rsid w:val="00111FF2"/>
    <w:rsid w:val="001139AB"/>
    <w:rsid w:val="00117A84"/>
    <w:rsid w:val="0012091F"/>
    <w:rsid w:val="00126BC2"/>
    <w:rsid w:val="001276B6"/>
    <w:rsid w:val="001308B6"/>
    <w:rsid w:val="0013121F"/>
    <w:rsid w:val="00131FE6"/>
    <w:rsid w:val="0013263F"/>
    <w:rsid w:val="001331DF"/>
    <w:rsid w:val="00134DE4"/>
    <w:rsid w:val="00135BCC"/>
    <w:rsid w:val="0014034D"/>
    <w:rsid w:val="00144048"/>
    <w:rsid w:val="00144D16"/>
    <w:rsid w:val="00145EC2"/>
    <w:rsid w:val="00150E59"/>
    <w:rsid w:val="001516C0"/>
    <w:rsid w:val="00152DE3"/>
    <w:rsid w:val="00155520"/>
    <w:rsid w:val="00164CF9"/>
    <w:rsid w:val="001667A6"/>
    <w:rsid w:val="00166C38"/>
    <w:rsid w:val="00184AD6"/>
    <w:rsid w:val="0018525E"/>
    <w:rsid w:val="0019127B"/>
    <w:rsid w:val="001A4AF7"/>
    <w:rsid w:val="001B0349"/>
    <w:rsid w:val="001B1E93"/>
    <w:rsid w:val="001B20EA"/>
    <w:rsid w:val="001B65C1"/>
    <w:rsid w:val="001C684B"/>
    <w:rsid w:val="001C7C26"/>
    <w:rsid w:val="001D0CFB"/>
    <w:rsid w:val="001D21AF"/>
    <w:rsid w:val="001D53FC"/>
    <w:rsid w:val="001D78EF"/>
    <w:rsid w:val="001F1DD2"/>
    <w:rsid w:val="001F42A5"/>
    <w:rsid w:val="001F7B9D"/>
    <w:rsid w:val="001F7F35"/>
    <w:rsid w:val="00201C93"/>
    <w:rsid w:val="0020347D"/>
    <w:rsid w:val="00203AD4"/>
    <w:rsid w:val="00210F68"/>
    <w:rsid w:val="00211204"/>
    <w:rsid w:val="002224B4"/>
    <w:rsid w:val="002276E8"/>
    <w:rsid w:val="00227AF6"/>
    <w:rsid w:val="00231210"/>
    <w:rsid w:val="00235962"/>
    <w:rsid w:val="00235B91"/>
    <w:rsid w:val="002447EF"/>
    <w:rsid w:val="00251550"/>
    <w:rsid w:val="0026199C"/>
    <w:rsid w:val="00263900"/>
    <w:rsid w:val="00263B05"/>
    <w:rsid w:val="0026619A"/>
    <w:rsid w:val="0027221A"/>
    <w:rsid w:val="00272F70"/>
    <w:rsid w:val="0027355D"/>
    <w:rsid w:val="00275B61"/>
    <w:rsid w:val="00276D43"/>
    <w:rsid w:val="00280FAF"/>
    <w:rsid w:val="0028126E"/>
    <w:rsid w:val="00282656"/>
    <w:rsid w:val="00296B83"/>
    <w:rsid w:val="002A3563"/>
    <w:rsid w:val="002B4015"/>
    <w:rsid w:val="002B78CE"/>
    <w:rsid w:val="002C2FB6"/>
    <w:rsid w:val="002C7B52"/>
    <w:rsid w:val="002D7CE6"/>
    <w:rsid w:val="002E05C7"/>
    <w:rsid w:val="002E1E16"/>
    <w:rsid w:val="002E48C2"/>
    <w:rsid w:val="002E5FA7"/>
    <w:rsid w:val="002F3309"/>
    <w:rsid w:val="003008CE"/>
    <w:rsid w:val="003009B7"/>
    <w:rsid w:val="00300E56"/>
    <w:rsid w:val="0030152C"/>
    <w:rsid w:val="0030469C"/>
    <w:rsid w:val="00310A11"/>
    <w:rsid w:val="00321CA6"/>
    <w:rsid w:val="00322102"/>
    <w:rsid w:val="00323763"/>
    <w:rsid w:val="00323C5F"/>
    <w:rsid w:val="003241CC"/>
    <w:rsid w:val="00330C93"/>
    <w:rsid w:val="00334C09"/>
    <w:rsid w:val="0034029F"/>
    <w:rsid w:val="003424AA"/>
    <w:rsid w:val="00345D2B"/>
    <w:rsid w:val="00350A1D"/>
    <w:rsid w:val="003723D4"/>
    <w:rsid w:val="00374F0E"/>
    <w:rsid w:val="00380AD3"/>
    <w:rsid w:val="00380EF5"/>
    <w:rsid w:val="00381905"/>
    <w:rsid w:val="00382C4D"/>
    <w:rsid w:val="00384CC8"/>
    <w:rsid w:val="00385AEC"/>
    <w:rsid w:val="003871FD"/>
    <w:rsid w:val="003A1E30"/>
    <w:rsid w:val="003A2829"/>
    <w:rsid w:val="003A6315"/>
    <w:rsid w:val="003A72B0"/>
    <w:rsid w:val="003A7D1C"/>
    <w:rsid w:val="003B304B"/>
    <w:rsid w:val="003B3146"/>
    <w:rsid w:val="003B359A"/>
    <w:rsid w:val="003C2833"/>
    <w:rsid w:val="003C60E8"/>
    <w:rsid w:val="003C6C81"/>
    <w:rsid w:val="003D1D27"/>
    <w:rsid w:val="003E0B44"/>
    <w:rsid w:val="003E2EB7"/>
    <w:rsid w:val="003E5C67"/>
    <w:rsid w:val="003F015E"/>
    <w:rsid w:val="00400414"/>
    <w:rsid w:val="0041446B"/>
    <w:rsid w:val="00414853"/>
    <w:rsid w:val="0042148A"/>
    <w:rsid w:val="00427CF7"/>
    <w:rsid w:val="00430A3A"/>
    <w:rsid w:val="00431D67"/>
    <w:rsid w:val="0044071E"/>
    <w:rsid w:val="00440933"/>
    <w:rsid w:val="00440995"/>
    <w:rsid w:val="0044329C"/>
    <w:rsid w:val="004437AA"/>
    <w:rsid w:val="00446418"/>
    <w:rsid w:val="0045282F"/>
    <w:rsid w:val="00453E24"/>
    <w:rsid w:val="00456950"/>
    <w:rsid w:val="00457456"/>
    <w:rsid w:val="004577FE"/>
    <w:rsid w:val="00457B9C"/>
    <w:rsid w:val="0046164A"/>
    <w:rsid w:val="00462140"/>
    <w:rsid w:val="004628D2"/>
    <w:rsid w:val="00462DCD"/>
    <w:rsid w:val="004648AD"/>
    <w:rsid w:val="00466324"/>
    <w:rsid w:val="004703A9"/>
    <w:rsid w:val="00470747"/>
    <w:rsid w:val="004760DE"/>
    <w:rsid w:val="004763D7"/>
    <w:rsid w:val="00485890"/>
    <w:rsid w:val="0048610B"/>
    <w:rsid w:val="00490F77"/>
    <w:rsid w:val="00495117"/>
    <w:rsid w:val="004A004E"/>
    <w:rsid w:val="004A1996"/>
    <w:rsid w:val="004A1C10"/>
    <w:rsid w:val="004A24CF"/>
    <w:rsid w:val="004B2482"/>
    <w:rsid w:val="004B2C9A"/>
    <w:rsid w:val="004B4202"/>
    <w:rsid w:val="004C2237"/>
    <w:rsid w:val="004C3D1D"/>
    <w:rsid w:val="004C3D84"/>
    <w:rsid w:val="004C76CB"/>
    <w:rsid w:val="004C7913"/>
    <w:rsid w:val="004D16FB"/>
    <w:rsid w:val="004D482F"/>
    <w:rsid w:val="004D76A1"/>
    <w:rsid w:val="004E071B"/>
    <w:rsid w:val="004E4DD6"/>
    <w:rsid w:val="004E6ABF"/>
    <w:rsid w:val="004E6F6F"/>
    <w:rsid w:val="004F02FC"/>
    <w:rsid w:val="004F5DF2"/>
    <w:rsid w:val="004F5E36"/>
    <w:rsid w:val="00506D6F"/>
    <w:rsid w:val="00507B47"/>
    <w:rsid w:val="00507BEF"/>
    <w:rsid w:val="00507CC9"/>
    <w:rsid w:val="005119A5"/>
    <w:rsid w:val="00517264"/>
    <w:rsid w:val="00521ACA"/>
    <w:rsid w:val="00527718"/>
    <w:rsid w:val="005278B7"/>
    <w:rsid w:val="00532016"/>
    <w:rsid w:val="005346C8"/>
    <w:rsid w:val="00541CF3"/>
    <w:rsid w:val="00543E7D"/>
    <w:rsid w:val="0054537B"/>
    <w:rsid w:val="00547A68"/>
    <w:rsid w:val="00552148"/>
    <w:rsid w:val="005531C9"/>
    <w:rsid w:val="00556E66"/>
    <w:rsid w:val="00557E00"/>
    <w:rsid w:val="00570A20"/>
    <w:rsid w:val="00570C43"/>
    <w:rsid w:val="00581B14"/>
    <w:rsid w:val="005A00BE"/>
    <w:rsid w:val="005A5097"/>
    <w:rsid w:val="005B2110"/>
    <w:rsid w:val="005B29C1"/>
    <w:rsid w:val="005B61E6"/>
    <w:rsid w:val="005C5FFF"/>
    <w:rsid w:val="005C77E1"/>
    <w:rsid w:val="005D2869"/>
    <w:rsid w:val="005D668A"/>
    <w:rsid w:val="005D6A2F"/>
    <w:rsid w:val="005E01CE"/>
    <w:rsid w:val="005E1A82"/>
    <w:rsid w:val="005E794C"/>
    <w:rsid w:val="005F0A28"/>
    <w:rsid w:val="005F0E5E"/>
    <w:rsid w:val="005F7F63"/>
    <w:rsid w:val="00600535"/>
    <w:rsid w:val="00610CD6"/>
    <w:rsid w:val="00615A3B"/>
    <w:rsid w:val="00616030"/>
    <w:rsid w:val="00620164"/>
    <w:rsid w:val="00620DEE"/>
    <w:rsid w:val="00621F92"/>
    <w:rsid w:val="0062280A"/>
    <w:rsid w:val="00625639"/>
    <w:rsid w:val="00631B33"/>
    <w:rsid w:val="0063266E"/>
    <w:rsid w:val="006330E4"/>
    <w:rsid w:val="0064184D"/>
    <w:rsid w:val="006422CC"/>
    <w:rsid w:val="00645C21"/>
    <w:rsid w:val="00660E3E"/>
    <w:rsid w:val="0066183A"/>
    <w:rsid w:val="00662E74"/>
    <w:rsid w:val="00663052"/>
    <w:rsid w:val="00680C23"/>
    <w:rsid w:val="00681460"/>
    <w:rsid w:val="00692EEB"/>
    <w:rsid w:val="00693766"/>
    <w:rsid w:val="00694C20"/>
    <w:rsid w:val="00695E1B"/>
    <w:rsid w:val="006A2C44"/>
    <w:rsid w:val="006A3281"/>
    <w:rsid w:val="006B4888"/>
    <w:rsid w:val="006C097E"/>
    <w:rsid w:val="006C2E45"/>
    <w:rsid w:val="006C359C"/>
    <w:rsid w:val="006C4D57"/>
    <w:rsid w:val="006C5579"/>
    <w:rsid w:val="006D6E8B"/>
    <w:rsid w:val="006E1FE8"/>
    <w:rsid w:val="006E737D"/>
    <w:rsid w:val="006F44DB"/>
    <w:rsid w:val="006F4F46"/>
    <w:rsid w:val="00705001"/>
    <w:rsid w:val="00707096"/>
    <w:rsid w:val="00707DD1"/>
    <w:rsid w:val="007134E2"/>
    <w:rsid w:val="00713973"/>
    <w:rsid w:val="007162FE"/>
    <w:rsid w:val="0072071F"/>
    <w:rsid w:val="00720A24"/>
    <w:rsid w:val="00720E47"/>
    <w:rsid w:val="00732386"/>
    <w:rsid w:val="0073514D"/>
    <w:rsid w:val="007447F3"/>
    <w:rsid w:val="00750A5E"/>
    <w:rsid w:val="0075499F"/>
    <w:rsid w:val="00757610"/>
    <w:rsid w:val="007661C8"/>
    <w:rsid w:val="0077098D"/>
    <w:rsid w:val="00777065"/>
    <w:rsid w:val="00792EC1"/>
    <w:rsid w:val="007931FA"/>
    <w:rsid w:val="007958D8"/>
    <w:rsid w:val="007A2CB7"/>
    <w:rsid w:val="007A4861"/>
    <w:rsid w:val="007A7BBA"/>
    <w:rsid w:val="007B0C50"/>
    <w:rsid w:val="007B48F9"/>
    <w:rsid w:val="007B7B06"/>
    <w:rsid w:val="007C1A43"/>
    <w:rsid w:val="007C341E"/>
    <w:rsid w:val="007C5202"/>
    <w:rsid w:val="007D0951"/>
    <w:rsid w:val="007D1612"/>
    <w:rsid w:val="007F3419"/>
    <w:rsid w:val="007F6207"/>
    <w:rsid w:val="0080013E"/>
    <w:rsid w:val="00813288"/>
    <w:rsid w:val="008168FC"/>
    <w:rsid w:val="0081712D"/>
    <w:rsid w:val="00821762"/>
    <w:rsid w:val="0082482C"/>
    <w:rsid w:val="00830996"/>
    <w:rsid w:val="00833C35"/>
    <w:rsid w:val="008345F1"/>
    <w:rsid w:val="00836B92"/>
    <w:rsid w:val="00837B10"/>
    <w:rsid w:val="0085750F"/>
    <w:rsid w:val="0086069E"/>
    <w:rsid w:val="00865B07"/>
    <w:rsid w:val="008667EA"/>
    <w:rsid w:val="00874A67"/>
    <w:rsid w:val="00874C93"/>
    <w:rsid w:val="0087637F"/>
    <w:rsid w:val="00877608"/>
    <w:rsid w:val="008865D4"/>
    <w:rsid w:val="00892AD5"/>
    <w:rsid w:val="008A1512"/>
    <w:rsid w:val="008B096A"/>
    <w:rsid w:val="008B23EE"/>
    <w:rsid w:val="008C0904"/>
    <w:rsid w:val="008D0349"/>
    <w:rsid w:val="008D05A3"/>
    <w:rsid w:val="008D0F0D"/>
    <w:rsid w:val="008D32B9"/>
    <w:rsid w:val="008D433B"/>
    <w:rsid w:val="008D4A16"/>
    <w:rsid w:val="008D6701"/>
    <w:rsid w:val="008E2A58"/>
    <w:rsid w:val="008E566E"/>
    <w:rsid w:val="008E58F7"/>
    <w:rsid w:val="008E5D6E"/>
    <w:rsid w:val="008E6898"/>
    <w:rsid w:val="0090161A"/>
    <w:rsid w:val="00901EB6"/>
    <w:rsid w:val="00904309"/>
    <w:rsid w:val="0090466E"/>
    <w:rsid w:val="00904C62"/>
    <w:rsid w:val="00905D2B"/>
    <w:rsid w:val="009103CF"/>
    <w:rsid w:val="00922BA8"/>
    <w:rsid w:val="00924DAC"/>
    <w:rsid w:val="00924E23"/>
    <w:rsid w:val="00927058"/>
    <w:rsid w:val="00942750"/>
    <w:rsid w:val="009450CE"/>
    <w:rsid w:val="009459BB"/>
    <w:rsid w:val="00946849"/>
    <w:rsid w:val="00947179"/>
    <w:rsid w:val="00950285"/>
    <w:rsid w:val="0095164B"/>
    <w:rsid w:val="00954090"/>
    <w:rsid w:val="009573E7"/>
    <w:rsid w:val="00957BF0"/>
    <w:rsid w:val="00963E05"/>
    <w:rsid w:val="00964A45"/>
    <w:rsid w:val="00967843"/>
    <w:rsid w:val="00967D54"/>
    <w:rsid w:val="00971028"/>
    <w:rsid w:val="00975E96"/>
    <w:rsid w:val="00993B84"/>
    <w:rsid w:val="00996483"/>
    <w:rsid w:val="00996F5A"/>
    <w:rsid w:val="009A3984"/>
    <w:rsid w:val="009A46DE"/>
    <w:rsid w:val="009A52B6"/>
    <w:rsid w:val="009A7008"/>
    <w:rsid w:val="009B041A"/>
    <w:rsid w:val="009B4F46"/>
    <w:rsid w:val="009C37C3"/>
    <w:rsid w:val="009C6942"/>
    <w:rsid w:val="009C7C86"/>
    <w:rsid w:val="009D2FF7"/>
    <w:rsid w:val="009D580C"/>
    <w:rsid w:val="009D6A1C"/>
    <w:rsid w:val="009E19E0"/>
    <w:rsid w:val="009E555A"/>
    <w:rsid w:val="009E7884"/>
    <w:rsid w:val="009E788A"/>
    <w:rsid w:val="009F0E08"/>
    <w:rsid w:val="00A02C0C"/>
    <w:rsid w:val="00A04AC8"/>
    <w:rsid w:val="00A11521"/>
    <w:rsid w:val="00A1763D"/>
    <w:rsid w:val="00A17CEC"/>
    <w:rsid w:val="00A27B97"/>
    <w:rsid w:val="00A27EF0"/>
    <w:rsid w:val="00A33C66"/>
    <w:rsid w:val="00A34A61"/>
    <w:rsid w:val="00A42361"/>
    <w:rsid w:val="00A50B20"/>
    <w:rsid w:val="00A51390"/>
    <w:rsid w:val="00A53526"/>
    <w:rsid w:val="00A60D13"/>
    <w:rsid w:val="00A714EF"/>
    <w:rsid w:val="00A7223D"/>
    <w:rsid w:val="00A72745"/>
    <w:rsid w:val="00A74B87"/>
    <w:rsid w:val="00A76290"/>
    <w:rsid w:val="00A76EFC"/>
    <w:rsid w:val="00A871B0"/>
    <w:rsid w:val="00A87D50"/>
    <w:rsid w:val="00A91010"/>
    <w:rsid w:val="00A92923"/>
    <w:rsid w:val="00A9704E"/>
    <w:rsid w:val="00A97F29"/>
    <w:rsid w:val="00AA702E"/>
    <w:rsid w:val="00AA7D26"/>
    <w:rsid w:val="00AB0964"/>
    <w:rsid w:val="00AB5011"/>
    <w:rsid w:val="00AC4B2A"/>
    <w:rsid w:val="00AC7368"/>
    <w:rsid w:val="00AD16B9"/>
    <w:rsid w:val="00AD1DE8"/>
    <w:rsid w:val="00AE377D"/>
    <w:rsid w:val="00AF0EBA"/>
    <w:rsid w:val="00AF3BC4"/>
    <w:rsid w:val="00AF46C8"/>
    <w:rsid w:val="00AF4B46"/>
    <w:rsid w:val="00B02C8A"/>
    <w:rsid w:val="00B078F2"/>
    <w:rsid w:val="00B15F4F"/>
    <w:rsid w:val="00B17FBD"/>
    <w:rsid w:val="00B217B1"/>
    <w:rsid w:val="00B2310E"/>
    <w:rsid w:val="00B24E1E"/>
    <w:rsid w:val="00B26FB0"/>
    <w:rsid w:val="00B315A6"/>
    <w:rsid w:val="00B31813"/>
    <w:rsid w:val="00B3215C"/>
    <w:rsid w:val="00B33365"/>
    <w:rsid w:val="00B449FC"/>
    <w:rsid w:val="00B50B05"/>
    <w:rsid w:val="00B54274"/>
    <w:rsid w:val="00B57B36"/>
    <w:rsid w:val="00B57BA2"/>
    <w:rsid w:val="00B57E6F"/>
    <w:rsid w:val="00B65746"/>
    <w:rsid w:val="00B72185"/>
    <w:rsid w:val="00B76BA4"/>
    <w:rsid w:val="00B76DBF"/>
    <w:rsid w:val="00B8686D"/>
    <w:rsid w:val="00B93F69"/>
    <w:rsid w:val="00BB1DDC"/>
    <w:rsid w:val="00BB619A"/>
    <w:rsid w:val="00BC0596"/>
    <w:rsid w:val="00BC30C9"/>
    <w:rsid w:val="00BC61EA"/>
    <w:rsid w:val="00BC75D5"/>
    <w:rsid w:val="00BD077D"/>
    <w:rsid w:val="00BE30AE"/>
    <w:rsid w:val="00BE3E58"/>
    <w:rsid w:val="00BF0F5D"/>
    <w:rsid w:val="00BF354E"/>
    <w:rsid w:val="00C01616"/>
    <w:rsid w:val="00C0162B"/>
    <w:rsid w:val="00C068ED"/>
    <w:rsid w:val="00C10E01"/>
    <w:rsid w:val="00C14DE0"/>
    <w:rsid w:val="00C1662F"/>
    <w:rsid w:val="00C2103F"/>
    <w:rsid w:val="00C22E0C"/>
    <w:rsid w:val="00C24AF1"/>
    <w:rsid w:val="00C345B1"/>
    <w:rsid w:val="00C40142"/>
    <w:rsid w:val="00C45566"/>
    <w:rsid w:val="00C47C65"/>
    <w:rsid w:val="00C47E19"/>
    <w:rsid w:val="00C502A3"/>
    <w:rsid w:val="00C52C3C"/>
    <w:rsid w:val="00C57182"/>
    <w:rsid w:val="00C57863"/>
    <w:rsid w:val="00C60CC8"/>
    <w:rsid w:val="00C640AF"/>
    <w:rsid w:val="00C655FD"/>
    <w:rsid w:val="00C668FD"/>
    <w:rsid w:val="00C75407"/>
    <w:rsid w:val="00C841C6"/>
    <w:rsid w:val="00C85825"/>
    <w:rsid w:val="00C85C9D"/>
    <w:rsid w:val="00C870A8"/>
    <w:rsid w:val="00C9013C"/>
    <w:rsid w:val="00C94434"/>
    <w:rsid w:val="00CA0D75"/>
    <w:rsid w:val="00CA1C95"/>
    <w:rsid w:val="00CA2C5D"/>
    <w:rsid w:val="00CA305B"/>
    <w:rsid w:val="00CA5A9C"/>
    <w:rsid w:val="00CB78EF"/>
    <w:rsid w:val="00CC2FBD"/>
    <w:rsid w:val="00CC4C20"/>
    <w:rsid w:val="00CC7FB1"/>
    <w:rsid w:val="00CD08F0"/>
    <w:rsid w:val="00CD3517"/>
    <w:rsid w:val="00CD5FE2"/>
    <w:rsid w:val="00CE7C68"/>
    <w:rsid w:val="00CF4C77"/>
    <w:rsid w:val="00D02B4C"/>
    <w:rsid w:val="00D040C4"/>
    <w:rsid w:val="00D079D6"/>
    <w:rsid w:val="00D10A06"/>
    <w:rsid w:val="00D11E4B"/>
    <w:rsid w:val="00D20AD1"/>
    <w:rsid w:val="00D2582C"/>
    <w:rsid w:val="00D34769"/>
    <w:rsid w:val="00D420D9"/>
    <w:rsid w:val="00D46B7E"/>
    <w:rsid w:val="00D54C54"/>
    <w:rsid w:val="00D56E08"/>
    <w:rsid w:val="00D57C84"/>
    <w:rsid w:val="00D60372"/>
    <w:rsid w:val="00D6057D"/>
    <w:rsid w:val="00D6333F"/>
    <w:rsid w:val="00D66BE4"/>
    <w:rsid w:val="00D71640"/>
    <w:rsid w:val="00D71C71"/>
    <w:rsid w:val="00D836C5"/>
    <w:rsid w:val="00D84576"/>
    <w:rsid w:val="00D869F3"/>
    <w:rsid w:val="00D8718C"/>
    <w:rsid w:val="00D91342"/>
    <w:rsid w:val="00D94959"/>
    <w:rsid w:val="00D97DB3"/>
    <w:rsid w:val="00DA1399"/>
    <w:rsid w:val="00DA24C6"/>
    <w:rsid w:val="00DA45C0"/>
    <w:rsid w:val="00DA4D7B"/>
    <w:rsid w:val="00DB3376"/>
    <w:rsid w:val="00DB471B"/>
    <w:rsid w:val="00DC1CE4"/>
    <w:rsid w:val="00DC3E9C"/>
    <w:rsid w:val="00DC7156"/>
    <w:rsid w:val="00DD271C"/>
    <w:rsid w:val="00DD6A94"/>
    <w:rsid w:val="00DE264A"/>
    <w:rsid w:val="00DF5072"/>
    <w:rsid w:val="00E02D18"/>
    <w:rsid w:val="00E041E7"/>
    <w:rsid w:val="00E04826"/>
    <w:rsid w:val="00E062A9"/>
    <w:rsid w:val="00E1268B"/>
    <w:rsid w:val="00E13723"/>
    <w:rsid w:val="00E204F9"/>
    <w:rsid w:val="00E21B8B"/>
    <w:rsid w:val="00E23CA1"/>
    <w:rsid w:val="00E339B7"/>
    <w:rsid w:val="00E409A8"/>
    <w:rsid w:val="00E41BD7"/>
    <w:rsid w:val="00E42DA8"/>
    <w:rsid w:val="00E50C12"/>
    <w:rsid w:val="00E65B91"/>
    <w:rsid w:val="00E7209D"/>
    <w:rsid w:val="00E72560"/>
    <w:rsid w:val="00E72EAD"/>
    <w:rsid w:val="00E7629A"/>
    <w:rsid w:val="00E77223"/>
    <w:rsid w:val="00E8528B"/>
    <w:rsid w:val="00E85B94"/>
    <w:rsid w:val="00E862BF"/>
    <w:rsid w:val="00E95799"/>
    <w:rsid w:val="00E978D0"/>
    <w:rsid w:val="00EA4613"/>
    <w:rsid w:val="00EA7F91"/>
    <w:rsid w:val="00EB1523"/>
    <w:rsid w:val="00EB40AB"/>
    <w:rsid w:val="00EB70D2"/>
    <w:rsid w:val="00EC0555"/>
    <w:rsid w:val="00EC0E49"/>
    <w:rsid w:val="00EC101F"/>
    <w:rsid w:val="00EC1D9F"/>
    <w:rsid w:val="00EC6B7C"/>
    <w:rsid w:val="00ED02A5"/>
    <w:rsid w:val="00EE0131"/>
    <w:rsid w:val="00EE07E8"/>
    <w:rsid w:val="00EE17B0"/>
    <w:rsid w:val="00EF0481"/>
    <w:rsid w:val="00EF06D9"/>
    <w:rsid w:val="00EF54BD"/>
    <w:rsid w:val="00F00F16"/>
    <w:rsid w:val="00F0497B"/>
    <w:rsid w:val="00F04EC8"/>
    <w:rsid w:val="00F1483D"/>
    <w:rsid w:val="00F251C4"/>
    <w:rsid w:val="00F26B32"/>
    <w:rsid w:val="00F3049E"/>
    <w:rsid w:val="00F30C64"/>
    <w:rsid w:val="00F32BA2"/>
    <w:rsid w:val="00F32CDB"/>
    <w:rsid w:val="00F37718"/>
    <w:rsid w:val="00F40992"/>
    <w:rsid w:val="00F45D6B"/>
    <w:rsid w:val="00F554D4"/>
    <w:rsid w:val="00F565FE"/>
    <w:rsid w:val="00F607CB"/>
    <w:rsid w:val="00F618CA"/>
    <w:rsid w:val="00F63A70"/>
    <w:rsid w:val="00F63D8C"/>
    <w:rsid w:val="00F66807"/>
    <w:rsid w:val="00F73476"/>
    <w:rsid w:val="00F7470F"/>
    <w:rsid w:val="00F7534E"/>
    <w:rsid w:val="00F774A5"/>
    <w:rsid w:val="00F91027"/>
    <w:rsid w:val="00F93EDF"/>
    <w:rsid w:val="00FA1802"/>
    <w:rsid w:val="00FA21D0"/>
    <w:rsid w:val="00FA5F5F"/>
    <w:rsid w:val="00FB122B"/>
    <w:rsid w:val="00FB41CD"/>
    <w:rsid w:val="00FB730C"/>
    <w:rsid w:val="00FC2695"/>
    <w:rsid w:val="00FC3E03"/>
    <w:rsid w:val="00FC3FC1"/>
    <w:rsid w:val="00FC6A2F"/>
    <w:rsid w:val="00FF1A30"/>
    <w:rsid w:val="00FF28D1"/>
    <w:rsid w:val="018BA0FF"/>
    <w:rsid w:val="0B1EE064"/>
    <w:rsid w:val="159FCB7E"/>
    <w:rsid w:val="1A4BA342"/>
    <w:rsid w:val="37F8F9CA"/>
    <w:rsid w:val="3874FE3D"/>
    <w:rsid w:val="3B014F4E"/>
    <w:rsid w:val="40C5ED9D"/>
    <w:rsid w:val="416C4F93"/>
    <w:rsid w:val="4183E31C"/>
    <w:rsid w:val="49F94037"/>
    <w:rsid w:val="4FEEB307"/>
    <w:rsid w:val="5F829326"/>
    <w:rsid w:val="60A0AC03"/>
    <w:rsid w:val="6329A319"/>
    <w:rsid w:val="65D1BE3F"/>
    <w:rsid w:val="67EFC547"/>
    <w:rsid w:val="67FC0D50"/>
    <w:rsid w:val="71E5CFC0"/>
    <w:rsid w:val="78B71719"/>
    <w:rsid w:val="795700AA"/>
    <w:rsid w:val="79967C8E"/>
    <w:rsid w:val="7C63FB9F"/>
    <w:rsid w:val="7EB6F2BA"/>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US"/>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C14DE0"/>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C14DE0"/>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paragraph" w:styleId="Revisione">
    <w:name w:val="Revision"/>
    <w:hidden/>
    <w:uiPriority w:val="99"/>
    <w:semiHidden/>
    <w:rsid w:val="00231210"/>
    <w:pPr>
      <w:spacing w:after="0" w:line="240" w:lineRule="auto"/>
    </w:pPr>
    <w:rPr>
      <w:rFonts w:ascii="Arial" w:eastAsia="Times New Roman" w:hAnsi="Arial" w:cs="Times New Roman"/>
      <w:sz w:val="18"/>
      <w:szCs w:val="20"/>
      <w:lang w:val="en-GB"/>
    </w:rPr>
  </w:style>
  <w:style w:type="character" w:styleId="Enfasigrassetto">
    <w:name w:val="Strong"/>
    <w:basedOn w:val="Carpredefinitoparagrafo"/>
    <w:uiPriority w:val="22"/>
    <w:qFormat/>
    <w:rsid w:val="002034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38768">
      <w:bodyDiv w:val="1"/>
      <w:marLeft w:val="0"/>
      <w:marRight w:val="0"/>
      <w:marTop w:val="0"/>
      <w:marBottom w:val="0"/>
      <w:divBdr>
        <w:top w:val="none" w:sz="0" w:space="0" w:color="auto"/>
        <w:left w:val="none" w:sz="0" w:space="0" w:color="auto"/>
        <w:bottom w:val="none" w:sz="0" w:space="0" w:color="auto"/>
        <w:right w:val="none" w:sz="0" w:space="0" w:color="auto"/>
      </w:divBdr>
    </w:div>
    <w:div w:id="385765610">
      <w:bodyDiv w:val="1"/>
      <w:marLeft w:val="0"/>
      <w:marRight w:val="0"/>
      <w:marTop w:val="0"/>
      <w:marBottom w:val="0"/>
      <w:divBdr>
        <w:top w:val="none" w:sz="0" w:space="0" w:color="auto"/>
        <w:left w:val="none" w:sz="0" w:space="0" w:color="auto"/>
        <w:bottom w:val="none" w:sz="0" w:space="0" w:color="auto"/>
        <w:right w:val="none" w:sz="0" w:space="0" w:color="auto"/>
      </w:divBdr>
      <w:divsChild>
        <w:div w:id="146241491">
          <w:marLeft w:val="0"/>
          <w:marRight w:val="0"/>
          <w:marTop w:val="0"/>
          <w:marBottom w:val="0"/>
          <w:divBdr>
            <w:top w:val="none" w:sz="0" w:space="0" w:color="auto"/>
            <w:left w:val="none" w:sz="0" w:space="0" w:color="auto"/>
            <w:bottom w:val="none" w:sz="0" w:space="0" w:color="auto"/>
            <w:right w:val="none" w:sz="0" w:space="0" w:color="auto"/>
          </w:divBdr>
        </w:div>
      </w:divsChild>
    </w:div>
    <w:div w:id="470711327">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369784">
      <w:bodyDiv w:val="1"/>
      <w:marLeft w:val="0"/>
      <w:marRight w:val="0"/>
      <w:marTop w:val="0"/>
      <w:marBottom w:val="0"/>
      <w:divBdr>
        <w:top w:val="none" w:sz="0" w:space="0" w:color="auto"/>
        <w:left w:val="none" w:sz="0" w:space="0" w:color="auto"/>
        <w:bottom w:val="none" w:sz="0" w:space="0" w:color="auto"/>
        <w:right w:val="none" w:sz="0" w:space="0" w:color="auto"/>
      </w:divBdr>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3264</Words>
  <Characters>18610</Characters>
  <Application>Microsoft Office Word</Application>
  <DocSecurity>0</DocSecurity>
  <Lines>155</Lines>
  <Paragraphs>43</Paragraphs>
  <ScaleCrop>false</ScaleCrop>
  <Company>Dipartimento CMIC - Politecnico di Milano</Company>
  <LinksUpToDate>false</LinksUpToDate>
  <CharactersWithSpaces>21831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MARCO VOCCIANTE</cp:lastModifiedBy>
  <cp:revision>3</cp:revision>
  <cp:lastPrinted>2015-05-12T18:31:00Z</cp:lastPrinted>
  <dcterms:created xsi:type="dcterms:W3CDTF">2025-08-02T19:45:00Z</dcterms:created>
  <dcterms:modified xsi:type="dcterms:W3CDTF">2025-08-02T19:47:00Z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