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4719C5">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0DAB3DDA"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C24AF1">
              <w:rPr>
                <w:rFonts w:cs="Arial"/>
                <w:b/>
                <w:bCs/>
                <w:i/>
                <w:iCs/>
                <w:color w:val="000066"/>
                <w:sz w:val="22"/>
                <w:szCs w:val="22"/>
                <w:lang w:eastAsia="it-IT"/>
              </w:rPr>
              <w:t>5</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4719C5">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4719C5">
        <w:trPr>
          <w:trHeight w:val="68"/>
          <w:jc w:val="center"/>
        </w:trPr>
        <w:tc>
          <w:tcPr>
            <w:tcW w:w="8782" w:type="dxa"/>
            <w:gridSpan w:val="2"/>
          </w:tcPr>
          <w:p w14:paraId="1D8DD3C9" w14:textId="30FEC83E" w:rsidR="00AA7D26" w:rsidRPr="00FB41CD" w:rsidRDefault="00AA7D26" w:rsidP="00AA7D26">
            <w:pPr>
              <w:ind w:left="-107"/>
              <w:outlineLvl w:val="2"/>
              <w:rPr>
                <w:rFonts w:ascii="Tahoma" w:hAnsi="Tahoma" w:cs="Tahoma"/>
                <w:bCs/>
                <w:color w:val="000000"/>
                <w:sz w:val="14"/>
                <w:szCs w:val="14"/>
                <w:lang w:val="it-IT" w:eastAsia="it-IT"/>
              </w:rPr>
            </w:pPr>
            <w:r w:rsidRPr="00FB41CD">
              <w:rPr>
                <w:rFonts w:ascii="Tahoma" w:hAnsi="Tahoma" w:cs="Tahoma"/>
                <w:iCs/>
                <w:color w:val="333333"/>
                <w:sz w:val="14"/>
                <w:szCs w:val="14"/>
                <w:lang w:val="it-IT" w:eastAsia="it-IT"/>
              </w:rPr>
              <w:t>Guest Editors:</w:t>
            </w:r>
            <w:r w:rsidRPr="00FB41CD">
              <w:rPr>
                <w:rFonts w:ascii="Tahoma" w:hAnsi="Tahoma" w:cs="Tahoma"/>
                <w:color w:val="000000"/>
                <w:sz w:val="14"/>
                <w:szCs w:val="14"/>
                <w:shd w:val="clear" w:color="auto" w:fill="FFFFFF"/>
                <w:lang w:val="it-IT"/>
              </w:rPr>
              <w:t xml:space="preserve"> </w:t>
            </w:r>
            <w:r w:rsidR="00FB41CD" w:rsidRPr="0042148A">
              <w:rPr>
                <w:rFonts w:ascii="Tahoma" w:hAnsi="Tahoma" w:cs="Tahoma"/>
                <w:color w:val="000000"/>
                <w:sz w:val="14"/>
                <w:szCs w:val="14"/>
                <w:shd w:val="clear" w:color="auto" w:fill="FFFFFF"/>
                <w:lang w:val="it-IT"/>
              </w:rPr>
              <w:t>Paolo Ciambelli, Luca di Palma</w:t>
            </w:r>
          </w:p>
          <w:p w14:paraId="1B0F1814" w14:textId="6F18EEAD"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C24AF1">
              <w:rPr>
                <w:rFonts w:ascii="Tahoma" w:hAnsi="Tahoma" w:cs="Tahoma"/>
                <w:iCs/>
                <w:color w:val="333333"/>
                <w:sz w:val="14"/>
                <w:szCs w:val="14"/>
                <w:lang w:eastAsia="it-IT"/>
              </w:rPr>
              <w:t>5</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466324">
              <w:rPr>
                <w:rFonts w:ascii="Tahoma" w:hAnsi="Tahoma" w:cs="Tahoma"/>
                <w:sz w:val="14"/>
                <w:szCs w:val="14"/>
              </w:rPr>
              <w:t>20</w:t>
            </w:r>
            <w:r w:rsidR="00D2582C">
              <w:rPr>
                <w:rFonts w:ascii="Tahoma" w:hAnsi="Tahoma" w:cs="Tahoma"/>
                <w:sz w:val="14"/>
                <w:szCs w:val="14"/>
              </w:rPr>
              <w:t>-</w:t>
            </w:r>
            <w:r w:rsidR="00466324">
              <w:rPr>
                <w:rFonts w:ascii="Tahoma" w:hAnsi="Tahoma" w:cs="Tahoma"/>
                <w:sz w:val="14"/>
                <w:szCs w:val="14"/>
              </w:rPr>
              <w:t>5</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2A130919" w:rsidR="00E978D0" w:rsidRPr="00B57B36" w:rsidRDefault="004719C5" w:rsidP="00E978D0">
      <w:pPr>
        <w:pStyle w:val="CETTitle"/>
      </w:pPr>
      <w:r>
        <w:t>Mechanical Recycling for</w:t>
      </w:r>
      <w:r w:rsidRPr="004719C5">
        <w:t xml:space="preserve"> </w:t>
      </w:r>
      <w:r>
        <w:t>Sustainable Polyurethane Foams</w:t>
      </w:r>
      <w:r w:rsidR="00BA56FC">
        <w:t>: a</w:t>
      </w:r>
      <w:r w:rsidR="00BA56FC" w:rsidRPr="00BA56FC">
        <w:t xml:space="preserve"> </w:t>
      </w:r>
      <w:r w:rsidR="00BA56FC" w:rsidRPr="004719C5">
        <w:t>L</w:t>
      </w:r>
      <w:r w:rsidR="00BA56FC">
        <w:t>ife</w:t>
      </w:r>
      <w:r w:rsidR="00BA56FC" w:rsidRPr="004719C5">
        <w:t xml:space="preserve"> C</w:t>
      </w:r>
      <w:r w:rsidR="00BA56FC">
        <w:t>ycle</w:t>
      </w:r>
      <w:r w:rsidR="00BA56FC" w:rsidRPr="004719C5">
        <w:t xml:space="preserve"> A</w:t>
      </w:r>
      <w:r w:rsidR="00BA56FC">
        <w:t>ssessment study</w:t>
      </w:r>
    </w:p>
    <w:p w14:paraId="0488FED2" w14:textId="7816DA1E" w:rsidR="00B57E6F" w:rsidRPr="00BA56FC" w:rsidRDefault="005866BB" w:rsidP="00471215">
      <w:pPr>
        <w:pStyle w:val="CETAuthors"/>
        <w:jc w:val="left"/>
        <w:rPr>
          <w:lang w:val="it-IT"/>
        </w:rPr>
      </w:pPr>
      <w:r w:rsidRPr="00BA56FC">
        <w:rPr>
          <w:lang w:val="it-IT"/>
        </w:rPr>
        <w:t xml:space="preserve">Claudia </w:t>
      </w:r>
      <w:r w:rsidR="004719C5" w:rsidRPr="00BA56FC">
        <w:rPr>
          <w:lang w:val="it-IT"/>
        </w:rPr>
        <w:t>Cirillo</w:t>
      </w:r>
      <w:r w:rsidR="00BA56FC">
        <w:rPr>
          <w:lang w:val="it-IT"/>
        </w:rPr>
        <w:t>°</w:t>
      </w:r>
      <w:r w:rsidR="004719C5" w:rsidRPr="00BA56FC">
        <w:rPr>
          <w:lang w:val="it-IT"/>
        </w:rPr>
        <w:t xml:space="preserve">, </w:t>
      </w:r>
      <w:r w:rsidRPr="00BA56FC">
        <w:rPr>
          <w:lang w:val="it-IT"/>
        </w:rPr>
        <w:t xml:space="preserve">Luca </w:t>
      </w:r>
      <w:r w:rsidR="004719C5" w:rsidRPr="00BA56FC">
        <w:rPr>
          <w:lang w:val="it-IT"/>
        </w:rPr>
        <w:t>Gallucci</w:t>
      </w:r>
      <w:r w:rsidR="00BA56FC">
        <w:rPr>
          <w:lang w:val="it-IT"/>
        </w:rPr>
        <w:t>°</w:t>
      </w:r>
      <w:r w:rsidR="004719C5" w:rsidRPr="00BA56FC">
        <w:rPr>
          <w:lang w:val="it-IT"/>
        </w:rPr>
        <w:t xml:space="preserve">*, </w:t>
      </w:r>
      <w:r w:rsidRPr="00BA56FC">
        <w:rPr>
          <w:lang w:val="it-IT"/>
        </w:rPr>
        <w:t xml:space="preserve">Mariagrazia </w:t>
      </w:r>
      <w:r w:rsidR="004719C5" w:rsidRPr="00BA56FC">
        <w:rPr>
          <w:lang w:val="it-IT"/>
        </w:rPr>
        <w:t>Iuliano</w:t>
      </w:r>
      <w:r w:rsidR="00BA56FC">
        <w:rPr>
          <w:lang w:val="it-IT"/>
        </w:rPr>
        <w:t>°</w:t>
      </w:r>
      <w:r w:rsidR="004719C5" w:rsidRPr="00BA56FC">
        <w:rPr>
          <w:lang w:val="it-IT"/>
        </w:rPr>
        <w:t xml:space="preserve">, </w:t>
      </w:r>
      <w:r w:rsidRPr="00BA56FC">
        <w:rPr>
          <w:lang w:val="it-IT"/>
        </w:rPr>
        <w:t xml:space="preserve">Maria </w:t>
      </w:r>
      <w:r w:rsidR="004719C5" w:rsidRPr="00BA56FC">
        <w:rPr>
          <w:lang w:val="it-IT"/>
        </w:rPr>
        <w:t>Sarno</w:t>
      </w:r>
    </w:p>
    <w:p w14:paraId="6B2D21B3" w14:textId="55A97384" w:rsidR="00B57E6F" w:rsidRPr="00B57B36" w:rsidRDefault="004719C5" w:rsidP="00B57E6F">
      <w:pPr>
        <w:pStyle w:val="CETAddress"/>
      </w:pPr>
      <w:bookmarkStart w:id="0" w:name="_Hlk190268227"/>
      <w:r>
        <w:t>Department of Physics</w:t>
      </w:r>
      <w:r w:rsidR="00B57E6F" w:rsidRPr="00B57B36">
        <w:t xml:space="preserve"> </w:t>
      </w:r>
      <w:r>
        <w:t xml:space="preserve">“E.R. Caianiello” and Centre NANO_MATES </w:t>
      </w:r>
      <w:r w:rsidRPr="004719C5">
        <w:t>(Research Centre for Nanomaterials and Nanotechnology at the University of Salerno) University of Salerno, Via Giovanni Paolo II, 132 -  84084 Fisciano (SA), Italy</w:t>
      </w:r>
      <w:r>
        <w:t>.</w:t>
      </w:r>
    </w:p>
    <w:p w14:paraId="264367BE" w14:textId="77777777" w:rsidR="00BA56FC" w:rsidRDefault="00BA56FC" w:rsidP="00BA56FC">
      <w:pPr>
        <w:pStyle w:val="CETAddress"/>
      </w:pPr>
    </w:p>
    <w:p w14:paraId="7A535C2C" w14:textId="5BDC1CA2" w:rsidR="00BA56FC" w:rsidRDefault="00BA56FC" w:rsidP="00BA56FC">
      <w:pPr>
        <w:pStyle w:val="CETAddress"/>
      </w:pPr>
      <w:r>
        <w:t>°These three authors contribute equally</w:t>
      </w:r>
    </w:p>
    <w:p w14:paraId="325C1225" w14:textId="49AC7823" w:rsidR="00681460" w:rsidRPr="009378F0" w:rsidRDefault="004719C5" w:rsidP="00681460">
      <w:pPr>
        <w:pStyle w:val="CETemail"/>
      </w:pPr>
      <w:r>
        <w:t>*lgallucci@unisa.it</w:t>
      </w:r>
    </w:p>
    <w:bookmarkEnd w:id="0"/>
    <w:p w14:paraId="6EA2C28C" w14:textId="7B29E2EA" w:rsidR="004719C5" w:rsidRPr="009D157D" w:rsidRDefault="004719C5" w:rsidP="004719C5">
      <w:pPr>
        <w:rPr>
          <w:color w:val="FF0000"/>
        </w:rPr>
      </w:pPr>
      <w:r w:rsidRPr="009D157D">
        <w:t xml:space="preserve">Polyurethane (PU) is a versatile and widely used polymer, essential in applications such as thermal insulation, furniture cushioning, and transportation. However, while its functional benefits are well-established, </w:t>
      </w:r>
      <w:r w:rsidR="007E407E">
        <w:t>its</w:t>
      </w:r>
      <w:r w:rsidRPr="009D157D">
        <w:t xml:space="preserve"> end-of-life management remains a critical </w:t>
      </w:r>
      <w:r w:rsidR="007E407E">
        <w:t>challenge</w:t>
      </w:r>
      <w:r w:rsidR="009D157D" w:rsidRPr="009D157D">
        <w:t xml:space="preserve">. </w:t>
      </w:r>
      <w:r w:rsidRPr="009D157D">
        <w:t>Due to its low biodegradability and complex composition, traditional disposal methods like landfilling and incineration pose severe environmental challenges and are increasingly unsustainable. To address these challenges, this study investigates the feasibility of mechanical recycling as a sustainable strategy for managing PU</w:t>
      </w:r>
      <w:r w:rsidR="00BA520C">
        <w:t xml:space="preserve"> foam</w:t>
      </w:r>
      <w:r w:rsidRPr="009D157D">
        <w:t xml:space="preserve"> waste generated during the decommissioning of buses and trains.</w:t>
      </w:r>
      <w:r w:rsidR="005F42AE">
        <w:t xml:space="preserve"> </w:t>
      </w:r>
      <w:r w:rsidRPr="009D157D">
        <w:t xml:space="preserve">To evaluate the environmental implications of this recycling pathway, a comprehensive Life Cycle Assessment (LCA) was conducted, covering all stages </w:t>
      </w:r>
      <w:r w:rsidR="007E407E" w:rsidRPr="007E407E">
        <w:t>from waste collection and mechanical treatment to the production of new foam materials</w:t>
      </w:r>
      <w:r w:rsidRPr="009D157D">
        <w:t>.</w:t>
      </w:r>
    </w:p>
    <w:p w14:paraId="41787A11" w14:textId="166E34B9" w:rsidR="00431D67" w:rsidRDefault="004719C5" w:rsidP="00BE7907">
      <w:r w:rsidRPr="009D157D">
        <w:t xml:space="preserve">The results highlight the potential of mechanical recycling as an effective and sustainable approach to PU </w:t>
      </w:r>
      <w:r w:rsidR="00BA520C">
        <w:t xml:space="preserve">foam </w:t>
      </w:r>
      <w:r w:rsidRPr="009D157D">
        <w:t xml:space="preserve">waste management, with </w:t>
      </w:r>
      <w:r w:rsidR="003E5554" w:rsidRPr="009D157D">
        <w:t>relevance</w:t>
      </w:r>
      <w:r w:rsidRPr="009D157D">
        <w:t xml:space="preserve"> to the transportation sector. </w:t>
      </w:r>
      <w:r w:rsidR="007E407E" w:rsidRPr="007E407E">
        <w:t>Integrating such recycling processes into conventional industrial workflows can significantly contribute to meeting waste reduction targets, improve the environmental footprint of polyurethane production, and promote stronger adherence to circular economy principles.</w:t>
      </w:r>
    </w:p>
    <w:p w14:paraId="476B2F2E" w14:textId="77777777" w:rsidR="00600535" w:rsidRPr="00B57B36" w:rsidRDefault="00600535" w:rsidP="00600535">
      <w:pPr>
        <w:pStyle w:val="CETHeading1"/>
        <w:rPr>
          <w:lang w:val="en-GB"/>
        </w:rPr>
      </w:pPr>
      <w:r w:rsidRPr="00B57B36">
        <w:rPr>
          <w:lang w:val="en-GB"/>
        </w:rPr>
        <w:t>Introduction</w:t>
      </w:r>
    </w:p>
    <w:p w14:paraId="1C0B97B0" w14:textId="77777777" w:rsidR="002F656F" w:rsidRDefault="002F656F" w:rsidP="002F656F">
      <w:pPr>
        <w:pStyle w:val="CETListbullets"/>
        <w:ind w:left="0" w:firstLine="0"/>
      </w:pPr>
      <w:r w:rsidRPr="002253FE">
        <w:t>Polyurethane is one of the most important and widely used polymers across various sectors and applications, thanks to its long-term stability and resistance to external factors such as light, heat, and chemicals (Yamane S. et al., 2020). According to Rossignolo et al. (2024), this material can be classified as follows:</w:t>
      </w:r>
    </w:p>
    <w:p w14:paraId="61A3E914" w14:textId="0FFCCA9A" w:rsidR="00D242E6" w:rsidRPr="00504B8B" w:rsidRDefault="00D242E6" w:rsidP="00504B8B">
      <w:pPr>
        <w:pStyle w:val="CETListbullets"/>
        <w:numPr>
          <w:ilvl w:val="0"/>
          <w:numId w:val="13"/>
        </w:numPr>
      </w:pPr>
      <w:r w:rsidRPr="00504B8B">
        <w:t>Thermoplastic polyurethane</w:t>
      </w:r>
    </w:p>
    <w:p w14:paraId="68318A17" w14:textId="1EFE5DAD" w:rsidR="00D242E6" w:rsidRPr="00504B8B" w:rsidRDefault="00D242E6" w:rsidP="00504B8B">
      <w:pPr>
        <w:pStyle w:val="CETListbullets"/>
        <w:numPr>
          <w:ilvl w:val="0"/>
          <w:numId w:val="13"/>
        </w:numPr>
      </w:pPr>
      <w:r w:rsidRPr="00504B8B">
        <w:t>Rigid polyurethane</w:t>
      </w:r>
    </w:p>
    <w:p w14:paraId="4F8B8ECA" w14:textId="1F5C81D4" w:rsidR="00D242E6" w:rsidRPr="00504B8B" w:rsidRDefault="00D242E6" w:rsidP="00504B8B">
      <w:pPr>
        <w:pStyle w:val="CETListbullets"/>
        <w:numPr>
          <w:ilvl w:val="0"/>
          <w:numId w:val="13"/>
        </w:numPr>
      </w:pPr>
      <w:r w:rsidRPr="00504B8B">
        <w:t>Flexible polyurethane</w:t>
      </w:r>
    </w:p>
    <w:p w14:paraId="37F1AD94" w14:textId="3AED5C89" w:rsidR="00D242E6" w:rsidRPr="00504B8B" w:rsidRDefault="00D242E6" w:rsidP="00504B8B">
      <w:pPr>
        <w:pStyle w:val="CETListbullets"/>
        <w:numPr>
          <w:ilvl w:val="0"/>
          <w:numId w:val="13"/>
        </w:numPr>
      </w:pPr>
      <w:r w:rsidRPr="00504B8B">
        <w:t>Ionomers polyurethane</w:t>
      </w:r>
    </w:p>
    <w:p w14:paraId="70D5F96A" w14:textId="38E3BD55" w:rsidR="0006347D" w:rsidRDefault="00D242E6" w:rsidP="00504B8B">
      <w:pPr>
        <w:pStyle w:val="CETListbullets"/>
        <w:numPr>
          <w:ilvl w:val="0"/>
          <w:numId w:val="13"/>
        </w:numPr>
      </w:pPr>
      <w:r w:rsidRPr="00504B8B">
        <w:t>Waterborne polyurethane</w:t>
      </w:r>
    </w:p>
    <w:p w14:paraId="0391BB2D" w14:textId="77777777" w:rsidR="002253FE" w:rsidRPr="00504B8B" w:rsidRDefault="002253FE" w:rsidP="00B756B6">
      <w:pPr>
        <w:pStyle w:val="CETListbullets"/>
        <w:ind w:firstLine="0"/>
      </w:pPr>
    </w:p>
    <w:p w14:paraId="17DFBAC8" w14:textId="1DEC908C" w:rsidR="00D242E6" w:rsidRPr="00C454F3" w:rsidRDefault="005F42AE" w:rsidP="00D242E6">
      <w:pPr>
        <w:pStyle w:val="CETBodytext"/>
        <w:rPr>
          <w:lang w:val="en-GB"/>
        </w:rPr>
      </w:pPr>
      <w:r w:rsidRPr="00C454F3">
        <w:rPr>
          <w:lang w:val="en-GB"/>
        </w:rPr>
        <w:t xml:space="preserve">The flexible </w:t>
      </w:r>
      <w:r w:rsidR="002253FE" w:rsidRPr="00C454F3">
        <w:rPr>
          <w:lang w:val="en-GB"/>
        </w:rPr>
        <w:t xml:space="preserve">type of </w:t>
      </w:r>
      <w:r w:rsidRPr="00C454F3">
        <w:rPr>
          <w:lang w:val="en-GB"/>
        </w:rPr>
        <w:t xml:space="preserve">polyurethane foam, </w:t>
      </w:r>
      <w:r w:rsidR="002253FE" w:rsidRPr="00C454F3">
        <w:rPr>
          <w:lang w:val="en-GB"/>
        </w:rPr>
        <w:t>for example, is widely used in the automotive industry for interior components and as cushioning material</w:t>
      </w:r>
      <w:r w:rsidRPr="00C454F3">
        <w:rPr>
          <w:lang w:val="en-GB"/>
        </w:rPr>
        <w:t xml:space="preserve">. </w:t>
      </w:r>
      <w:r w:rsidR="00D242E6" w:rsidRPr="00C454F3">
        <w:rPr>
          <w:lang w:val="en-GB"/>
        </w:rPr>
        <w:t>In 2024</w:t>
      </w:r>
      <w:r w:rsidR="0039045E" w:rsidRPr="00C454F3">
        <w:rPr>
          <w:lang w:val="en-GB"/>
        </w:rPr>
        <w:t>,</w:t>
      </w:r>
      <w:r w:rsidR="00D242E6" w:rsidRPr="00C454F3">
        <w:rPr>
          <w:lang w:val="en-GB"/>
        </w:rPr>
        <w:t xml:space="preserve"> the flexible polyurethane foam market was estimated </w:t>
      </w:r>
      <w:r w:rsidR="00B756B6" w:rsidRPr="00C454F3">
        <w:rPr>
          <w:lang w:val="en-GB"/>
        </w:rPr>
        <w:t>at</w:t>
      </w:r>
      <w:r w:rsidR="00D242E6" w:rsidRPr="00C454F3">
        <w:rPr>
          <w:lang w:val="en-GB"/>
        </w:rPr>
        <w:t xml:space="preserve"> 5.91 billion dollars and is expected to grow at a rate of 6.14% from 2025 to 2030 (Grand View Research, 2024).</w:t>
      </w:r>
    </w:p>
    <w:p w14:paraId="041D6199" w14:textId="696F9486" w:rsidR="00D242E6" w:rsidRPr="00C454F3" w:rsidRDefault="00D242E6" w:rsidP="00D242E6">
      <w:pPr>
        <w:pStyle w:val="CETBodytext"/>
        <w:rPr>
          <w:lang w:val="en-GB"/>
        </w:rPr>
      </w:pPr>
      <w:r w:rsidRPr="00C454F3">
        <w:rPr>
          <w:lang w:val="en-GB"/>
        </w:rPr>
        <w:t xml:space="preserve">In this scenario, </w:t>
      </w:r>
      <w:r w:rsidR="00B756B6" w:rsidRPr="00C454F3">
        <w:rPr>
          <w:lang w:val="en-GB"/>
        </w:rPr>
        <w:t xml:space="preserve">the </w:t>
      </w:r>
      <w:r w:rsidRPr="00C454F3">
        <w:rPr>
          <w:lang w:val="en-GB"/>
        </w:rPr>
        <w:t xml:space="preserve">automotive and transportation </w:t>
      </w:r>
      <w:r w:rsidR="00B756B6" w:rsidRPr="00C454F3">
        <w:rPr>
          <w:lang w:val="en-GB"/>
        </w:rPr>
        <w:t xml:space="preserve">sectors </w:t>
      </w:r>
      <w:r w:rsidRPr="00C454F3">
        <w:rPr>
          <w:lang w:val="en-GB"/>
        </w:rPr>
        <w:t>play a dominant role in the market as this material provides comfort</w:t>
      </w:r>
      <w:r w:rsidR="00B756B6" w:rsidRPr="00C454F3">
        <w:rPr>
          <w:lang w:val="en-GB"/>
        </w:rPr>
        <w:t>, passenger support, low weight, and an excellent strength-to-weight ratio.</w:t>
      </w:r>
      <w:r w:rsidRPr="00C454F3">
        <w:rPr>
          <w:lang w:val="en-GB"/>
        </w:rPr>
        <w:t xml:space="preserve">  </w:t>
      </w:r>
      <w:r w:rsidR="00B756B6" w:rsidRPr="00C454F3">
        <w:rPr>
          <w:lang w:val="en-GB"/>
        </w:rPr>
        <w:t xml:space="preserve">Thanks to these properties, flexible polyurethane foam is particularly appealing and well-suited for the transportation sector, which accounted for 49.3% of the market share in 2024 </w:t>
      </w:r>
      <w:r w:rsidR="00974874" w:rsidRPr="00C454F3">
        <w:rPr>
          <w:lang w:val="en-GB"/>
        </w:rPr>
        <w:t>(Grand View Research, 2024)</w:t>
      </w:r>
      <w:r w:rsidRPr="00C454F3">
        <w:rPr>
          <w:lang w:val="en-GB"/>
        </w:rPr>
        <w:t>.</w:t>
      </w:r>
      <w:r w:rsidR="00277091" w:rsidRPr="00C454F3">
        <w:rPr>
          <w:lang w:val="en-GB"/>
        </w:rPr>
        <w:t xml:space="preserve"> </w:t>
      </w:r>
      <w:r w:rsidR="005F42AE" w:rsidRPr="00C454F3">
        <w:rPr>
          <w:lang w:val="en-GB"/>
        </w:rPr>
        <w:t>However, t</w:t>
      </w:r>
      <w:r w:rsidRPr="00C454F3">
        <w:rPr>
          <w:lang w:val="en-GB"/>
        </w:rPr>
        <w:t xml:space="preserve">he excellent resistance properties that characterize polyurethane foam </w:t>
      </w:r>
      <w:r w:rsidR="00B756B6" w:rsidRPr="00C454F3">
        <w:rPr>
          <w:lang w:val="en-GB"/>
        </w:rPr>
        <w:t xml:space="preserve">also </w:t>
      </w:r>
      <w:r w:rsidR="005F42AE" w:rsidRPr="00C454F3">
        <w:rPr>
          <w:lang w:val="en-GB"/>
        </w:rPr>
        <w:t xml:space="preserve">pose </w:t>
      </w:r>
      <w:r w:rsidR="00B756B6" w:rsidRPr="00C454F3">
        <w:rPr>
          <w:lang w:val="en-GB"/>
        </w:rPr>
        <w:t>challenges</w:t>
      </w:r>
      <w:r w:rsidRPr="00C454F3">
        <w:rPr>
          <w:lang w:val="en-GB"/>
        </w:rPr>
        <w:t xml:space="preserve"> </w:t>
      </w:r>
      <w:r w:rsidR="00B756B6" w:rsidRPr="00C454F3">
        <w:rPr>
          <w:lang w:val="en-GB"/>
        </w:rPr>
        <w:t>in its end-of-life</w:t>
      </w:r>
      <w:r w:rsidR="00B756B6" w:rsidRPr="00B756B6">
        <w:rPr>
          <w:lang w:val="en-GB"/>
        </w:rPr>
        <w:t xml:space="preserve"> treatment, due to its low </w:t>
      </w:r>
      <w:r w:rsidR="00B756B6" w:rsidRPr="00C454F3">
        <w:rPr>
          <w:lang w:val="en-GB"/>
        </w:rPr>
        <w:t xml:space="preserve">degradability and complex chemical composition. Traditional disposal methods, such as landfilling and incineration, present significant environmental concerns </w:t>
      </w:r>
      <w:r w:rsidR="00974874" w:rsidRPr="00C454F3">
        <w:rPr>
          <w:lang w:val="en-GB"/>
        </w:rPr>
        <w:t>(</w:t>
      </w:r>
      <w:r w:rsidR="00974874" w:rsidRPr="00C454F3">
        <w:t>Odetoye, T. E., 2011</w:t>
      </w:r>
      <w:r w:rsidR="00974874" w:rsidRPr="00C454F3">
        <w:rPr>
          <w:lang w:val="en-GB"/>
        </w:rPr>
        <w:t>)</w:t>
      </w:r>
      <w:r w:rsidRPr="00C454F3">
        <w:rPr>
          <w:lang w:val="en-GB"/>
        </w:rPr>
        <w:t>.</w:t>
      </w:r>
    </w:p>
    <w:p w14:paraId="4AD4D5B7" w14:textId="3057D4BA" w:rsidR="00F9670C" w:rsidRDefault="00D242E6" w:rsidP="00D242E6">
      <w:pPr>
        <w:pStyle w:val="CETBodytext"/>
        <w:rPr>
          <w:lang w:val="en-GB"/>
        </w:rPr>
      </w:pPr>
      <w:r w:rsidRPr="00C454F3">
        <w:rPr>
          <w:lang w:val="en-GB"/>
        </w:rPr>
        <w:lastRenderedPageBreak/>
        <w:t xml:space="preserve">To overcome this </w:t>
      </w:r>
      <w:r w:rsidR="00B756B6" w:rsidRPr="00C454F3">
        <w:rPr>
          <w:lang w:val="en-GB"/>
        </w:rPr>
        <w:t>issue</w:t>
      </w:r>
      <w:r w:rsidRPr="00C454F3">
        <w:rPr>
          <w:lang w:val="en-GB"/>
        </w:rPr>
        <w:t xml:space="preserve">, </w:t>
      </w:r>
      <w:r w:rsidR="005F42AE" w:rsidRPr="00C454F3">
        <w:rPr>
          <w:lang w:val="en-GB"/>
        </w:rPr>
        <w:t xml:space="preserve">recycling polyurethane foam </w:t>
      </w:r>
      <w:r w:rsidR="00B756B6" w:rsidRPr="00C454F3">
        <w:rPr>
          <w:lang w:val="en-GB"/>
        </w:rPr>
        <w:t xml:space="preserve">has emerged as a promising alternative </w:t>
      </w:r>
      <w:r w:rsidRPr="00C454F3">
        <w:rPr>
          <w:lang w:val="en-GB"/>
        </w:rPr>
        <w:t>to landfill and incineration. Among the most important recycling techniques, mechanical recycling stands out thanks to its simplicity and eco-friendly approach to the recycling process.</w:t>
      </w:r>
      <w:r w:rsidR="00F9670C" w:rsidRPr="00C454F3">
        <w:rPr>
          <w:lang w:val="en-GB"/>
        </w:rPr>
        <w:t xml:space="preserve"> Yang et al.</w:t>
      </w:r>
      <w:r w:rsidR="00B756B6" w:rsidRPr="00C454F3">
        <w:rPr>
          <w:lang w:val="en-GB"/>
        </w:rPr>
        <w:t xml:space="preserve"> (</w:t>
      </w:r>
      <w:r w:rsidR="00F9670C" w:rsidRPr="00C454F3">
        <w:rPr>
          <w:lang w:val="en-GB"/>
        </w:rPr>
        <w:t>2012</w:t>
      </w:r>
      <w:r w:rsidR="00B756B6" w:rsidRPr="00C454F3">
        <w:rPr>
          <w:lang w:val="en-GB"/>
        </w:rPr>
        <w:t>)</w:t>
      </w:r>
      <w:r w:rsidR="00F9670C" w:rsidRPr="00C454F3">
        <w:rPr>
          <w:lang w:val="en-GB"/>
        </w:rPr>
        <w:t xml:space="preserve"> </w:t>
      </w:r>
      <w:r w:rsidR="005F2C8F" w:rsidRPr="00C454F3">
        <w:rPr>
          <w:lang w:val="en-GB"/>
        </w:rPr>
        <w:t xml:space="preserve">describe </w:t>
      </w:r>
      <w:r w:rsidR="00B5576D" w:rsidRPr="00C454F3">
        <w:rPr>
          <w:lang w:val="en-GB"/>
        </w:rPr>
        <w:t xml:space="preserve">the </w:t>
      </w:r>
      <w:r w:rsidR="005F2C8F" w:rsidRPr="00C454F3">
        <w:rPr>
          <w:lang w:val="en-GB"/>
        </w:rPr>
        <w:t>advantages and disadvantages of chemical recycling</w:t>
      </w:r>
      <w:r w:rsidR="00B5576D" w:rsidRPr="00C454F3">
        <w:rPr>
          <w:lang w:val="en-GB"/>
        </w:rPr>
        <w:t xml:space="preserve">, </w:t>
      </w:r>
      <w:r w:rsidR="00B756B6" w:rsidRPr="00C454F3">
        <w:rPr>
          <w:lang w:val="en-GB"/>
        </w:rPr>
        <w:t>which can serve as an alternative to mechanical methods</w:t>
      </w:r>
      <w:r w:rsidR="005F2C8F" w:rsidRPr="00C454F3">
        <w:rPr>
          <w:lang w:val="en-GB"/>
        </w:rPr>
        <w:t xml:space="preserve">. </w:t>
      </w:r>
      <w:r w:rsidR="00B756B6" w:rsidRPr="00C454F3">
        <w:rPr>
          <w:lang w:val="en-GB"/>
        </w:rPr>
        <w:t xml:space="preserve">Although this process enables the recovery of high-purity raw materials that can be directly reused in the production of new products, it also involves high temperature and pressure requirements, safety risks, purification steps, and difficulty in controlling by-product formation. </w:t>
      </w:r>
      <w:r w:rsidR="005F2C8F" w:rsidRPr="00C454F3">
        <w:rPr>
          <w:lang w:val="en-GB"/>
        </w:rPr>
        <w:t xml:space="preserve">On the other hand, </w:t>
      </w:r>
      <w:r w:rsidR="00B756B6" w:rsidRPr="00C454F3">
        <w:rPr>
          <w:lang w:val="en-GB"/>
        </w:rPr>
        <w:t>despite the potential reduction in product performance in some market applications and lower economic returns, mechanical recycling remains advantageous for its operational simplicity, low emissions, high throughput, and minimal investment in equipment.</w:t>
      </w:r>
    </w:p>
    <w:p w14:paraId="7635EE64" w14:textId="6217A60C" w:rsidR="00D242E6" w:rsidRPr="00D242E6" w:rsidRDefault="00D242E6" w:rsidP="00D242E6">
      <w:pPr>
        <w:pStyle w:val="CETBodytext"/>
        <w:rPr>
          <w:lang w:val="en-GB"/>
        </w:rPr>
      </w:pPr>
      <w:r w:rsidRPr="00D242E6">
        <w:rPr>
          <w:lang w:val="en-GB"/>
        </w:rPr>
        <w:t>According to Datta et al. (2018)</w:t>
      </w:r>
      <w:r w:rsidR="0039045E">
        <w:rPr>
          <w:lang w:val="en-GB"/>
        </w:rPr>
        <w:t>,</w:t>
      </w:r>
      <w:r w:rsidRPr="00D242E6">
        <w:rPr>
          <w:lang w:val="en-GB"/>
        </w:rPr>
        <w:t xml:space="preserve"> mechanical recycling can be divided into different categories:</w:t>
      </w:r>
    </w:p>
    <w:p w14:paraId="0E075AEE" w14:textId="6CA64C2A" w:rsidR="00D242E6" w:rsidRPr="00D242E6" w:rsidRDefault="00D242E6" w:rsidP="00504B8B">
      <w:pPr>
        <w:pStyle w:val="CETListbullets"/>
        <w:numPr>
          <w:ilvl w:val="0"/>
          <w:numId w:val="13"/>
        </w:numPr>
      </w:pPr>
      <w:r w:rsidRPr="00D242E6">
        <w:t>Grinding and powdering: grinding of the polyurethane foam into fine powder that can be used as feedstock for other recycling processes (both mechanical and chemical)</w:t>
      </w:r>
    </w:p>
    <w:p w14:paraId="4B3825D1" w14:textId="3DFC3E9A" w:rsidR="00D242E6" w:rsidRPr="00D242E6" w:rsidRDefault="00D242E6" w:rsidP="00504B8B">
      <w:pPr>
        <w:pStyle w:val="CETListbullets"/>
        <w:numPr>
          <w:ilvl w:val="0"/>
          <w:numId w:val="13"/>
        </w:numPr>
      </w:pPr>
      <w:r w:rsidRPr="00D242E6">
        <w:t>Rebonding: powdered foam is mixed with polyols or other components during the polyurethane foam synthesis</w:t>
      </w:r>
    </w:p>
    <w:p w14:paraId="440F9619" w14:textId="160157A1" w:rsidR="00D242E6" w:rsidRPr="00D242E6" w:rsidRDefault="00D242E6" w:rsidP="00504B8B">
      <w:pPr>
        <w:pStyle w:val="CETListbullets"/>
        <w:numPr>
          <w:ilvl w:val="0"/>
          <w:numId w:val="13"/>
        </w:numPr>
      </w:pPr>
      <w:r w:rsidRPr="00D242E6">
        <w:t xml:space="preserve">Adhesive pressing: it involves the heated hydraulic pressing of adhesive binder sprayed </w:t>
      </w:r>
      <w:r w:rsidR="0039045E">
        <w:t xml:space="preserve">on </w:t>
      </w:r>
      <w:r w:rsidRPr="00D242E6">
        <w:t>powdered foam</w:t>
      </w:r>
    </w:p>
    <w:p w14:paraId="24FE0863" w14:textId="4D1441ED" w:rsidR="00D242E6" w:rsidRDefault="00D242E6" w:rsidP="00504B8B">
      <w:pPr>
        <w:pStyle w:val="CETListbullets"/>
        <w:numPr>
          <w:ilvl w:val="0"/>
          <w:numId w:val="13"/>
        </w:numPr>
      </w:pPr>
      <w:r w:rsidRPr="00D242E6">
        <w:t>Compression molding, Injection molding</w:t>
      </w:r>
      <w:r w:rsidR="00BA56FC">
        <w:t>,</w:t>
      </w:r>
      <w:r w:rsidRPr="00D242E6">
        <w:t xml:space="preserve"> and extrusion: in compression molding</w:t>
      </w:r>
      <w:r w:rsidR="0039045E">
        <w:t>,</w:t>
      </w:r>
      <w:r w:rsidRPr="00D242E6">
        <w:t xml:space="preserve"> powdered foam is compressed under suitable pressure and heat</w:t>
      </w:r>
      <w:r w:rsidR="0039045E">
        <w:t>;</w:t>
      </w:r>
      <w:r w:rsidRPr="00D242E6">
        <w:t xml:space="preserve"> in injection molding and extrusion</w:t>
      </w:r>
      <w:r w:rsidR="0039045E">
        <w:t>,</w:t>
      </w:r>
      <w:r w:rsidRPr="00D242E6">
        <w:t xml:space="preserve"> the process involves mixing, heating</w:t>
      </w:r>
      <w:r w:rsidR="00BA56FC">
        <w:t>,</w:t>
      </w:r>
      <w:r w:rsidRPr="00D242E6">
        <w:t xml:space="preserve"> and pressing the material</w:t>
      </w:r>
      <w:r w:rsidR="00BA56FC">
        <w:t>.</w:t>
      </w:r>
    </w:p>
    <w:p w14:paraId="4094867F" w14:textId="356858FE" w:rsidR="00D242E6" w:rsidRPr="00C454F3" w:rsidRDefault="00D242E6" w:rsidP="00D242E6">
      <w:pPr>
        <w:pStyle w:val="CETBodytext"/>
        <w:rPr>
          <w:lang w:val="en-GB"/>
        </w:rPr>
      </w:pPr>
      <w:r w:rsidRPr="00C454F3">
        <w:rPr>
          <w:lang w:val="en-GB"/>
        </w:rPr>
        <w:t xml:space="preserve">Among the </w:t>
      </w:r>
      <w:r w:rsidR="005F42AE" w:rsidRPr="00C454F3">
        <w:rPr>
          <w:lang w:val="en-GB"/>
        </w:rPr>
        <w:t>various</w:t>
      </w:r>
      <w:r w:rsidRPr="00C454F3">
        <w:rPr>
          <w:lang w:val="en-GB"/>
        </w:rPr>
        <w:t xml:space="preserve"> methodologies, grinding and rebonding represent </w:t>
      </w:r>
      <w:r w:rsidR="00BA56FC" w:rsidRPr="00C454F3">
        <w:rPr>
          <w:lang w:val="en-GB"/>
        </w:rPr>
        <w:t>an</w:t>
      </w:r>
      <w:r w:rsidRPr="00C454F3">
        <w:rPr>
          <w:lang w:val="en-GB"/>
        </w:rPr>
        <w:t xml:space="preserve"> eas</w:t>
      </w:r>
      <w:r w:rsidR="00BA56FC" w:rsidRPr="00C454F3">
        <w:rPr>
          <w:lang w:val="en-GB"/>
        </w:rPr>
        <w:t>y</w:t>
      </w:r>
      <w:r w:rsidRPr="00C454F3">
        <w:rPr>
          <w:lang w:val="en-GB"/>
        </w:rPr>
        <w:t xml:space="preserve"> and simple </w:t>
      </w:r>
      <w:r w:rsidR="00BA56FC" w:rsidRPr="00C454F3">
        <w:rPr>
          <w:lang w:val="en-GB"/>
        </w:rPr>
        <w:t>approach</w:t>
      </w:r>
      <w:r w:rsidRPr="00C454F3">
        <w:rPr>
          <w:lang w:val="en-GB"/>
        </w:rPr>
        <w:t xml:space="preserve"> to adopt</w:t>
      </w:r>
      <w:r w:rsidR="005F42AE" w:rsidRPr="00C454F3">
        <w:rPr>
          <w:lang w:val="en-GB"/>
        </w:rPr>
        <w:t xml:space="preserve">, </w:t>
      </w:r>
      <w:r w:rsidR="00DF0850" w:rsidRPr="00C454F3">
        <w:rPr>
          <w:lang w:val="en-GB"/>
        </w:rPr>
        <w:t>requir</w:t>
      </w:r>
      <w:r w:rsidR="00B756B6" w:rsidRPr="00C454F3">
        <w:rPr>
          <w:lang w:val="en-GB"/>
        </w:rPr>
        <w:t>ing only</w:t>
      </w:r>
      <w:r w:rsidRPr="00C454F3">
        <w:rPr>
          <w:lang w:val="en-GB"/>
        </w:rPr>
        <w:t xml:space="preserve"> minimal </w:t>
      </w:r>
      <w:r w:rsidR="00B756B6" w:rsidRPr="00C454F3">
        <w:rPr>
          <w:lang w:val="en-GB"/>
        </w:rPr>
        <w:t xml:space="preserve">modifications </w:t>
      </w:r>
      <w:r w:rsidRPr="00C454F3">
        <w:rPr>
          <w:lang w:val="en-GB"/>
        </w:rPr>
        <w:t xml:space="preserve">to </w:t>
      </w:r>
      <w:r w:rsidR="00B756B6" w:rsidRPr="00C454F3">
        <w:rPr>
          <w:lang w:val="en-GB"/>
        </w:rPr>
        <w:t xml:space="preserve">existing </w:t>
      </w:r>
      <w:r w:rsidRPr="00C454F3">
        <w:rPr>
          <w:lang w:val="en-GB"/>
        </w:rPr>
        <w:t>production operations to implement the grinding machine and polyurethane powder addition</w:t>
      </w:r>
      <w:r w:rsidR="00DF0850" w:rsidRPr="00C454F3">
        <w:rPr>
          <w:lang w:val="en-GB"/>
        </w:rPr>
        <w:t xml:space="preserve"> step</w:t>
      </w:r>
      <w:r w:rsidRPr="00C454F3">
        <w:rPr>
          <w:lang w:val="en-GB"/>
        </w:rPr>
        <w:t xml:space="preserve"> to the polyurethane synthesis.</w:t>
      </w:r>
    </w:p>
    <w:p w14:paraId="3B59163E" w14:textId="4DCDCC21" w:rsidR="00D242E6" w:rsidRDefault="00D242E6" w:rsidP="00D242E6">
      <w:pPr>
        <w:pStyle w:val="CETBodytext"/>
        <w:rPr>
          <w:lang w:val="en-GB"/>
        </w:rPr>
      </w:pPr>
      <w:r w:rsidRPr="00C454F3">
        <w:rPr>
          <w:lang w:val="en-GB"/>
        </w:rPr>
        <w:t>To estimate the differences in the end-of-life treatment of polyurethane waste, the use of the life cycle assessment (LCA) methodology</w:t>
      </w:r>
      <w:r w:rsidR="0039045E" w:rsidRPr="00C454F3">
        <w:rPr>
          <w:lang w:val="en-GB"/>
        </w:rPr>
        <w:t xml:space="preserve"> has been considered</w:t>
      </w:r>
      <w:r w:rsidRPr="00C454F3">
        <w:rPr>
          <w:lang w:val="en-GB"/>
        </w:rPr>
        <w:t xml:space="preserve">. LCA is a tool used to evaluate the environmental impacts associated </w:t>
      </w:r>
      <w:r w:rsidR="00BA56FC" w:rsidRPr="00C454F3">
        <w:rPr>
          <w:lang w:val="en-GB"/>
        </w:rPr>
        <w:t>with</w:t>
      </w:r>
      <w:r w:rsidRPr="00C454F3">
        <w:rPr>
          <w:lang w:val="en-GB"/>
        </w:rPr>
        <w:t xml:space="preserve"> the product’s life cycle.</w:t>
      </w:r>
      <w:r w:rsidRPr="00D242E6">
        <w:rPr>
          <w:lang w:val="en-GB"/>
        </w:rPr>
        <w:t xml:space="preserve"> The life cycle assessment methodology is defined by the ISO 14040-2006 and ISO 14044-2006.</w:t>
      </w:r>
    </w:p>
    <w:p w14:paraId="7095D183" w14:textId="0A5515F2" w:rsidR="00974874" w:rsidRDefault="00974874" w:rsidP="00974874">
      <w:pPr>
        <w:pStyle w:val="CETHeading1"/>
      </w:pPr>
      <w:r w:rsidRPr="00EF0DED">
        <w:t>Materials and Methods</w:t>
      </w:r>
    </w:p>
    <w:p w14:paraId="485E7B5B" w14:textId="32A885F1" w:rsidR="00974874" w:rsidRPr="00974874" w:rsidRDefault="00974874" w:rsidP="00974874">
      <w:pPr>
        <w:pStyle w:val="CETBodytext"/>
        <w:rPr>
          <w:lang w:val="en-GB"/>
        </w:rPr>
      </w:pPr>
      <w:r w:rsidRPr="00974874">
        <w:rPr>
          <w:lang w:val="en-GB"/>
        </w:rPr>
        <w:t xml:space="preserve">According to the ISO </w:t>
      </w:r>
      <w:r w:rsidRPr="00C454F3">
        <w:rPr>
          <w:lang w:val="en-GB"/>
        </w:rPr>
        <w:t>14040-2006</w:t>
      </w:r>
      <w:r w:rsidR="0039045E" w:rsidRPr="00C454F3">
        <w:rPr>
          <w:lang w:val="en-GB"/>
        </w:rPr>
        <w:t>,</w:t>
      </w:r>
      <w:r w:rsidRPr="00C454F3">
        <w:rPr>
          <w:lang w:val="en-GB"/>
        </w:rPr>
        <w:t xml:space="preserve"> an LCA study </w:t>
      </w:r>
      <w:r w:rsidR="00FF4DA9" w:rsidRPr="00C454F3">
        <w:rPr>
          <w:lang w:val="en-GB"/>
        </w:rPr>
        <w:t>consists</w:t>
      </w:r>
      <w:r w:rsidRPr="00C454F3">
        <w:rPr>
          <w:lang w:val="en-GB"/>
        </w:rPr>
        <w:t xml:space="preserve"> of four phases:</w:t>
      </w:r>
    </w:p>
    <w:p w14:paraId="6BAF35C9" w14:textId="446D7938" w:rsidR="00974874" w:rsidRPr="00974874" w:rsidRDefault="00974874" w:rsidP="00504B8B">
      <w:pPr>
        <w:pStyle w:val="CETListbullets"/>
        <w:numPr>
          <w:ilvl w:val="0"/>
          <w:numId w:val="13"/>
        </w:numPr>
      </w:pPr>
      <w:r w:rsidRPr="00974874">
        <w:t>the goal and scope definition phase</w:t>
      </w:r>
    </w:p>
    <w:p w14:paraId="3BAF5728" w14:textId="42DCFFC0" w:rsidR="00974874" w:rsidRPr="00974874" w:rsidRDefault="00974874" w:rsidP="00504B8B">
      <w:pPr>
        <w:pStyle w:val="CETListbullets"/>
        <w:numPr>
          <w:ilvl w:val="0"/>
          <w:numId w:val="13"/>
        </w:numPr>
      </w:pPr>
      <w:r w:rsidRPr="00974874">
        <w:t>the inventory analysis phase</w:t>
      </w:r>
    </w:p>
    <w:p w14:paraId="50AF6C2D" w14:textId="334C4FED" w:rsidR="00974874" w:rsidRPr="00974874" w:rsidRDefault="00974874" w:rsidP="00504B8B">
      <w:pPr>
        <w:pStyle w:val="CETListbullets"/>
        <w:numPr>
          <w:ilvl w:val="0"/>
          <w:numId w:val="13"/>
        </w:numPr>
      </w:pPr>
      <w:r w:rsidRPr="00974874">
        <w:t>the impact assessment phase</w:t>
      </w:r>
    </w:p>
    <w:p w14:paraId="3757BB1B" w14:textId="11A31583" w:rsidR="00D242E6" w:rsidRDefault="00974874" w:rsidP="00504B8B">
      <w:pPr>
        <w:pStyle w:val="CETListbullets"/>
        <w:numPr>
          <w:ilvl w:val="0"/>
          <w:numId w:val="13"/>
        </w:numPr>
      </w:pPr>
      <w:r w:rsidRPr="00974874">
        <w:t>the interpretation phase</w:t>
      </w:r>
    </w:p>
    <w:p w14:paraId="18FB6511" w14:textId="769DB75E" w:rsidR="00974874" w:rsidRDefault="00974874" w:rsidP="002B0A10">
      <w:pPr>
        <w:pStyle w:val="CETheadingx"/>
        <w:rPr>
          <w:lang w:val="en-GB"/>
        </w:rPr>
      </w:pPr>
      <w:r>
        <w:t>Goal and Scope Definition</w:t>
      </w:r>
    </w:p>
    <w:p w14:paraId="1D844CAE" w14:textId="0BA6B559" w:rsidR="00103FCE" w:rsidRPr="00103FCE" w:rsidRDefault="00103FCE" w:rsidP="00103FCE">
      <w:pPr>
        <w:pStyle w:val="CETBodytext"/>
        <w:rPr>
          <w:lang w:val="en-GB"/>
        </w:rPr>
      </w:pPr>
      <w:r w:rsidRPr="00103FCE">
        <w:rPr>
          <w:lang w:val="en-GB"/>
        </w:rPr>
        <w:t xml:space="preserve">It was proposed to evaluate the environmental impact associated </w:t>
      </w:r>
      <w:r w:rsidR="00BA56FC">
        <w:rPr>
          <w:lang w:val="en-GB"/>
        </w:rPr>
        <w:t>with</w:t>
      </w:r>
      <w:r w:rsidRPr="00103FCE">
        <w:rPr>
          <w:lang w:val="en-GB"/>
        </w:rPr>
        <w:t xml:space="preserve"> two different scenarios for the end-of-life treatment of the polyurethane foams:</w:t>
      </w:r>
    </w:p>
    <w:p w14:paraId="777E7A10" w14:textId="374CF2F1" w:rsidR="00103FCE" w:rsidRPr="00103FCE" w:rsidRDefault="00103FCE" w:rsidP="00504B8B">
      <w:pPr>
        <w:pStyle w:val="CETListbullets"/>
        <w:numPr>
          <w:ilvl w:val="0"/>
          <w:numId w:val="13"/>
        </w:numPr>
      </w:pPr>
      <w:r w:rsidRPr="00103FCE">
        <w:t>Scenario 1: Landfill</w:t>
      </w:r>
    </w:p>
    <w:p w14:paraId="4A1DA342" w14:textId="7BE7E12C" w:rsidR="00103FCE" w:rsidRDefault="00103FCE" w:rsidP="00504B8B">
      <w:pPr>
        <w:pStyle w:val="CETListbullets"/>
        <w:numPr>
          <w:ilvl w:val="0"/>
          <w:numId w:val="13"/>
        </w:numPr>
      </w:pPr>
      <w:r w:rsidRPr="00103FCE">
        <w:t>Scenario 2: Mechanical recycling</w:t>
      </w:r>
    </w:p>
    <w:p w14:paraId="6E0D0718" w14:textId="67ED1CC8" w:rsidR="00103FCE" w:rsidRPr="00103FCE" w:rsidRDefault="00103FCE" w:rsidP="00103FCE">
      <w:pPr>
        <w:pStyle w:val="CETBodytext"/>
        <w:rPr>
          <w:lang w:val="en-GB"/>
        </w:rPr>
      </w:pPr>
      <w:r w:rsidRPr="00103FCE">
        <w:rPr>
          <w:lang w:val="en-GB"/>
        </w:rPr>
        <w:t xml:space="preserve">The system boundaries for Scenario 1 and Scenario 2 are shown in </w:t>
      </w:r>
      <w:r w:rsidR="0006347D">
        <w:rPr>
          <w:lang w:val="en-GB"/>
        </w:rPr>
        <w:fldChar w:fldCharType="begin"/>
      </w:r>
      <w:r w:rsidR="0006347D">
        <w:rPr>
          <w:lang w:val="en-GB"/>
        </w:rPr>
        <w:instrText xml:space="preserve"> REF _Ref190264351 \h </w:instrText>
      </w:r>
      <w:r w:rsidR="0006347D">
        <w:rPr>
          <w:lang w:val="en-GB"/>
        </w:rPr>
      </w:r>
      <w:r w:rsidR="0006347D">
        <w:rPr>
          <w:lang w:val="en-GB"/>
        </w:rPr>
        <w:fldChar w:fldCharType="separate"/>
      </w:r>
      <w:r w:rsidR="000D05DA" w:rsidRPr="0006347D">
        <w:rPr>
          <w:rStyle w:val="CETCaptionCarattere"/>
          <w:i w:val="0"/>
          <w:lang w:val="en-US"/>
        </w:rPr>
        <w:t xml:space="preserve">Figure </w:t>
      </w:r>
      <w:r w:rsidR="000D05DA">
        <w:rPr>
          <w:rStyle w:val="CETCaptionCarattere"/>
          <w:i w:val="0"/>
          <w:noProof/>
        </w:rPr>
        <w:t>1</w:t>
      </w:r>
      <w:r w:rsidR="0006347D">
        <w:rPr>
          <w:lang w:val="en-GB"/>
        </w:rPr>
        <w:fldChar w:fldCharType="end"/>
      </w:r>
      <w:r w:rsidRPr="00103FCE">
        <w:rPr>
          <w:lang w:val="en-GB"/>
        </w:rPr>
        <w:t xml:space="preserve">. </w:t>
      </w:r>
      <w:r w:rsidR="00B756B6">
        <w:rPr>
          <w:lang w:val="en-GB"/>
        </w:rPr>
        <w:t>In</w:t>
      </w:r>
      <w:r w:rsidRPr="00103FCE">
        <w:rPr>
          <w:lang w:val="en-GB"/>
        </w:rPr>
        <w:t xml:space="preserve"> Scenario</w:t>
      </w:r>
      <w:r w:rsidR="00001022">
        <w:rPr>
          <w:lang w:val="en-GB"/>
        </w:rPr>
        <w:t xml:space="preserve"> </w:t>
      </w:r>
      <w:r w:rsidRPr="00103FCE">
        <w:rPr>
          <w:lang w:val="en-GB"/>
        </w:rPr>
        <w:t xml:space="preserve">1, </w:t>
      </w:r>
      <w:r w:rsidR="00B756B6" w:rsidRPr="00B756B6">
        <w:rPr>
          <w:lang w:val="en-GB"/>
        </w:rPr>
        <w:t>the process begins with the initial synthesis of polyurethane foam by mixing polyol and isocyanate, followed by the transportation of the foam and its use phase. The final stages of this scenario include transportation of the waste and its disposal in a landfill.</w:t>
      </w:r>
    </w:p>
    <w:p w14:paraId="43DD9546" w14:textId="11777EEA" w:rsidR="00974874" w:rsidRDefault="00B756B6" w:rsidP="00103FCE">
      <w:pPr>
        <w:pStyle w:val="CETBodytext"/>
        <w:rPr>
          <w:lang w:val="en-GB"/>
        </w:rPr>
      </w:pPr>
      <w:r w:rsidRPr="00B756B6">
        <w:rPr>
          <w:lang w:val="en-GB"/>
        </w:rPr>
        <w:t>In Scenario 2, the first three stages</w:t>
      </w:r>
      <w:r>
        <w:rPr>
          <w:lang w:val="en-GB"/>
        </w:rPr>
        <w:t xml:space="preserve">, </w:t>
      </w:r>
      <w:r w:rsidRPr="00B756B6">
        <w:rPr>
          <w:lang w:val="en-GB"/>
        </w:rPr>
        <w:t>foam production, transportation, and use</w:t>
      </w:r>
      <w:r>
        <w:rPr>
          <w:lang w:val="en-GB"/>
        </w:rPr>
        <w:t xml:space="preserve">, </w:t>
      </w:r>
      <w:r w:rsidRPr="00B756B6">
        <w:rPr>
          <w:lang w:val="en-GB"/>
        </w:rPr>
        <w:t>are identical to those in Scenario 1.</w:t>
      </w:r>
      <w:r w:rsidR="00103FCE" w:rsidRPr="00103FCE">
        <w:rPr>
          <w:lang w:val="en-GB"/>
        </w:rPr>
        <w:t xml:space="preserve"> In this scenario, the use phase is followed by the transportation of the waste foam to a recycling facility</w:t>
      </w:r>
      <w:r w:rsidR="0039045E">
        <w:rPr>
          <w:lang w:val="en-GB"/>
        </w:rPr>
        <w:t>,</w:t>
      </w:r>
      <w:r w:rsidR="00103FCE" w:rsidRPr="00103FCE">
        <w:rPr>
          <w:lang w:val="en-GB"/>
        </w:rPr>
        <w:t xml:space="preserve"> made of a drying process, followed by a mechanical grinding of the waste foam and a new polyurethane foam synthesis process in which part of </w:t>
      </w:r>
      <w:r w:rsidR="0039045E">
        <w:rPr>
          <w:lang w:val="en-GB"/>
        </w:rPr>
        <w:t xml:space="preserve">the </w:t>
      </w:r>
      <w:r w:rsidR="00103FCE" w:rsidRPr="00103FCE">
        <w:rPr>
          <w:lang w:val="en-GB"/>
        </w:rPr>
        <w:t>v</w:t>
      </w:r>
      <w:r w:rsidR="00103FCE">
        <w:rPr>
          <w:lang w:val="en-GB"/>
        </w:rPr>
        <w:t>i</w:t>
      </w:r>
      <w:r w:rsidR="00103FCE" w:rsidRPr="00103FCE">
        <w:rPr>
          <w:lang w:val="en-GB"/>
        </w:rPr>
        <w:t>rgin polyol and v</w:t>
      </w:r>
      <w:r w:rsidR="00103FCE">
        <w:rPr>
          <w:lang w:val="en-GB"/>
        </w:rPr>
        <w:t>i</w:t>
      </w:r>
      <w:r w:rsidR="00103FCE" w:rsidRPr="00103FCE">
        <w:rPr>
          <w:lang w:val="en-GB"/>
        </w:rPr>
        <w:t>rgin isocyanate are replaced by waste polyurethane foam powder used as filler.</w:t>
      </w:r>
    </w:p>
    <w:p w14:paraId="7F6242DE" w14:textId="77777777" w:rsidR="00504B8B" w:rsidRDefault="00504B8B" w:rsidP="00103FCE">
      <w:pPr>
        <w:pStyle w:val="CETBodytext"/>
        <w:rPr>
          <w:lang w:val="en-GB"/>
        </w:rPr>
      </w:pPr>
    </w:p>
    <w:p w14:paraId="7C5F9478" w14:textId="77777777" w:rsidR="0006347D" w:rsidRDefault="0006347D" w:rsidP="0006347D">
      <w:pPr>
        <w:pStyle w:val="CETBodytext"/>
        <w:keepNext/>
      </w:pPr>
      <w:r>
        <w:rPr>
          <w:noProof/>
          <w:lang w:val="it-IT" w:eastAsia="it-IT"/>
        </w:rPr>
        <w:lastRenderedPageBreak/>
        <w:drawing>
          <wp:inline distT="0" distB="0" distL="0" distR="0" wp14:anchorId="14264DF7" wp14:editId="57F5D7B6">
            <wp:extent cx="2992807" cy="3428258"/>
            <wp:effectExtent l="0" t="0" r="0" b="1270"/>
            <wp:docPr id="1152725706" name="Immagine 1"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25706" name="Immagine 1" descr="Immagine che contiene testo, schermata, Carattere, design&#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21320" cy="3460920"/>
                    </a:xfrm>
                    <a:prstGeom prst="rect">
                      <a:avLst/>
                    </a:prstGeom>
                    <a:noFill/>
                  </pic:spPr>
                </pic:pic>
              </a:graphicData>
            </a:graphic>
          </wp:inline>
        </w:drawing>
      </w:r>
    </w:p>
    <w:p w14:paraId="72EFD253" w14:textId="0D1CC782" w:rsidR="00974874" w:rsidRPr="0006347D" w:rsidRDefault="0006347D" w:rsidP="0006347D">
      <w:pPr>
        <w:pStyle w:val="CETCaption"/>
        <w:rPr>
          <w:rStyle w:val="CETCaptionCarattere"/>
          <w:i/>
        </w:rPr>
      </w:pPr>
      <w:bookmarkStart w:id="1" w:name="_Ref190264351"/>
      <w:r w:rsidRPr="0006347D">
        <w:rPr>
          <w:rStyle w:val="CETCaptionCarattere"/>
          <w:i/>
        </w:rPr>
        <w:t xml:space="preserve">Figure </w:t>
      </w:r>
      <w:r w:rsidRPr="0006347D">
        <w:rPr>
          <w:rStyle w:val="CETCaptionCarattere"/>
          <w:i/>
        </w:rPr>
        <w:fldChar w:fldCharType="begin"/>
      </w:r>
      <w:r w:rsidRPr="0006347D">
        <w:rPr>
          <w:rStyle w:val="CETCaptionCarattere"/>
          <w:i/>
        </w:rPr>
        <w:instrText xml:space="preserve"> SEQ Figure \* ARABIC </w:instrText>
      </w:r>
      <w:r w:rsidRPr="0006347D">
        <w:rPr>
          <w:rStyle w:val="CETCaptionCarattere"/>
          <w:i/>
        </w:rPr>
        <w:fldChar w:fldCharType="separate"/>
      </w:r>
      <w:r w:rsidR="000D05DA">
        <w:rPr>
          <w:rStyle w:val="CETCaptionCarattere"/>
          <w:i/>
          <w:noProof/>
        </w:rPr>
        <w:t>1</w:t>
      </w:r>
      <w:r w:rsidRPr="0006347D">
        <w:rPr>
          <w:rStyle w:val="CETCaptionCarattere"/>
          <w:i/>
        </w:rPr>
        <w:fldChar w:fldCharType="end"/>
      </w:r>
      <w:bookmarkEnd w:id="1"/>
      <w:r w:rsidRPr="0006347D">
        <w:rPr>
          <w:rStyle w:val="CETCaptionCarattere"/>
          <w:i/>
        </w:rPr>
        <w:t xml:space="preserve"> a) Scenario 1 and b) Scenario 2 Processes Flow Diagram</w:t>
      </w:r>
    </w:p>
    <w:p w14:paraId="2456A2A4" w14:textId="3B790AD0" w:rsidR="0006347D" w:rsidRPr="0006347D" w:rsidRDefault="00DF0850" w:rsidP="0006347D">
      <w:pPr>
        <w:pStyle w:val="CETBodytext"/>
        <w:rPr>
          <w:lang w:val="en-GB"/>
        </w:rPr>
      </w:pPr>
      <w:r>
        <w:rPr>
          <w:lang w:val="en-GB"/>
        </w:rPr>
        <w:t>Regarding</w:t>
      </w:r>
      <w:r w:rsidR="0006347D" w:rsidRPr="0006347D">
        <w:rPr>
          <w:lang w:val="en-GB"/>
        </w:rPr>
        <w:t xml:space="preserve"> Scenario 2</w:t>
      </w:r>
      <w:r w:rsidR="00FF4DA9">
        <w:rPr>
          <w:lang w:val="en-GB"/>
        </w:rPr>
        <w:t>,</w:t>
      </w:r>
      <w:r w:rsidR="0006347D" w:rsidRPr="0006347D">
        <w:rPr>
          <w:lang w:val="en-GB"/>
        </w:rPr>
        <w:t xml:space="preserve"> four more sub-scenarios have been considered based on the </w:t>
      </w:r>
      <w:r w:rsidR="00761D46">
        <w:rPr>
          <w:lang w:val="en-GB"/>
        </w:rPr>
        <w:t>substitution</w:t>
      </w:r>
      <w:r w:rsidR="0006347D" w:rsidRPr="0006347D">
        <w:rPr>
          <w:lang w:val="en-GB"/>
        </w:rPr>
        <w:t xml:space="preserve"> percentage:</w:t>
      </w:r>
    </w:p>
    <w:p w14:paraId="2AAA3942" w14:textId="70F3160E" w:rsidR="0006347D" w:rsidRPr="0006347D" w:rsidRDefault="0006347D" w:rsidP="00504B8B">
      <w:pPr>
        <w:pStyle w:val="CETListbullets"/>
        <w:numPr>
          <w:ilvl w:val="0"/>
          <w:numId w:val="13"/>
        </w:numPr>
      </w:pPr>
      <w:r w:rsidRPr="0006347D">
        <w:t>Scenario 2a: 0.5%</w:t>
      </w:r>
    </w:p>
    <w:p w14:paraId="5F635DFC" w14:textId="47967CC1" w:rsidR="0006347D" w:rsidRPr="0006347D" w:rsidRDefault="0006347D" w:rsidP="00504B8B">
      <w:pPr>
        <w:pStyle w:val="CETListbullets"/>
        <w:numPr>
          <w:ilvl w:val="0"/>
          <w:numId w:val="13"/>
        </w:numPr>
      </w:pPr>
      <w:r w:rsidRPr="0006347D">
        <w:t>Scenario 2b: 1%</w:t>
      </w:r>
    </w:p>
    <w:p w14:paraId="0219718E" w14:textId="733CD971" w:rsidR="0006347D" w:rsidRPr="0006347D" w:rsidRDefault="0006347D" w:rsidP="00504B8B">
      <w:pPr>
        <w:pStyle w:val="CETListbullets"/>
        <w:numPr>
          <w:ilvl w:val="0"/>
          <w:numId w:val="13"/>
        </w:numPr>
      </w:pPr>
      <w:r w:rsidRPr="0006347D">
        <w:t>Scenario 2c: 5%</w:t>
      </w:r>
    </w:p>
    <w:p w14:paraId="2526025E" w14:textId="006EC262" w:rsidR="0006347D" w:rsidRDefault="0006347D" w:rsidP="00504B8B">
      <w:pPr>
        <w:pStyle w:val="CETListbullets"/>
        <w:numPr>
          <w:ilvl w:val="0"/>
          <w:numId w:val="13"/>
        </w:numPr>
      </w:pPr>
      <w:r w:rsidRPr="0006347D">
        <w:t>Scenario 2d: 10%</w:t>
      </w:r>
    </w:p>
    <w:p w14:paraId="12DD5FF2" w14:textId="56235FFC" w:rsidR="007C1694" w:rsidRDefault="00B756B6" w:rsidP="00B756B6">
      <w:pPr>
        <w:pStyle w:val="CETBodytext"/>
        <w:rPr>
          <w:lang w:val="en-GB"/>
        </w:rPr>
      </w:pPr>
      <w:r w:rsidRPr="00C454F3">
        <w:rPr>
          <w:lang w:val="en-GB"/>
        </w:rPr>
        <w:t>The substitution percentage refers to the amount of polyurethane foam powder incorporated into the production process of new polyurethane foam, as detailed in Table 1.</w:t>
      </w:r>
      <w:r w:rsidR="00FF185A" w:rsidRPr="00C454F3">
        <w:rPr>
          <w:lang w:val="en-GB"/>
        </w:rPr>
        <w:t xml:space="preserve"> </w:t>
      </w:r>
      <w:r w:rsidRPr="00C454F3">
        <w:rPr>
          <w:lang w:val="en-GB"/>
        </w:rPr>
        <w:t>The maximum substitution level is constrained by the viscosity of the polyol–fine powder mixture; therefore, a maximum threshold of 10% has been assumed (Nikje M.M.A. et al., 2011). Mechanical recycling of polyurethane foam has been successfully applied, particularly in the recycling of automotive seating, due to the excellent performance characteristics of the newly moulded seats (Banik J. et al., 2023).</w:t>
      </w:r>
      <w:r w:rsidR="0085485A" w:rsidRPr="00C454F3">
        <w:rPr>
          <w:lang w:val="en-GB"/>
        </w:rPr>
        <w:t xml:space="preserve"> </w:t>
      </w:r>
      <w:r w:rsidR="007C1694">
        <w:rPr>
          <w:lang w:val="en-GB"/>
        </w:rPr>
        <w:t xml:space="preserve"> </w:t>
      </w:r>
    </w:p>
    <w:p w14:paraId="6AB687DA" w14:textId="7E8F07F6" w:rsidR="0006347D" w:rsidRDefault="0006347D" w:rsidP="0006347D">
      <w:pPr>
        <w:pStyle w:val="CETTabletitle"/>
      </w:pPr>
      <w:bookmarkStart w:id="2" w:name="_Ref190264594"/>
      <w:r>
        <w:t xml:space="preserve">Table </w:t>
      </w:r>
      <w:r>
        <w:fldChar w:fldCharType="begin"/>
      </w:r>
      <w:r>
        <w:instrText xml:space="preserve"> SEQ Table \* ARABIC </w:instrText>
      </w:r>
      <w:r>
        <w:fldChar w:fldCharType="separate"/>
      </w:r>
      <w:r w:rsidR="000D05DA">
        <w:rPr>
          <w:noProof/>
        </w:rPr>
        <w:t>1</w:t>
      </w:r>
      <w:r>
        <w:fldChar w:fldCharType="end"/>
      </w:r>
      <w:bookmarkEnd w:id="2"/>
      <w:r>
        <w:t xml:space="preserve"> </w:t>
      </w:r>
      <w:r w:rsidR="00761D46">
        <w:t>Substitution</w:t>
      </w:r>
      <w:r w:rsidRPr="009E18FE">
        <w:t xml:space="preserve"> percentage in polyurethane foam production</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758"/>
        <w:gridCol w:w="1760"/>
        <w:gridCol w:w="1757"/>
        <w:gridCol w:w="1756"/>
        <w:gridCol w:w="1756"/>
      </w:tblGrid>
      <w:tr w:rsidR="00F766F3" w:rsidRPr="00D62375" w14:paraId="7883DC76" w14:textId="77777777" w:rsidTr="00C05622">
        <w:tc>
          <w:tcPr>
            <w:tcW w:w="1000" w:type="pct"/>
            <w:tcBorders>
              <w:top w:val="single" w:sz="12" w:space="0" w:color="008000"/>
              <w:bottom w:val="single" w:sz="6" w:space="0" w:color="008000"/>
            </w:tcBorders>
            <w:shd w:val="clear" w:color="auto" w:fill="FFFFFF"/>
          </w:tcPr>
          <w:p w14:paraId="2730E1ED" w14:textId="77777777" w:rsidR="00F766F3" w:rsidRPr="00E971C0" w:rsidRDefault="00F766F3" w:rsidP="00C05622">
            <w:pPr>
              <w:pStyle w:val="CETBodytext"/>
              <w:spacing w:line="240" w:lineRule="auto"/>
              <w:rPr>
                <w:lang w:val="en-GB"/>
              </w:rPr>
            </w:pPr>
            <w:r w:rsidRPr="00E2285A">
              <w:t>Substitution percentage, %</w:t>
            </w:r>
          </w:p>
        </w:tc>
        <w:tc>
          <w:tcPr>
            <w:tcW w:w="1001" w:type="pct"/>
            <w:tcBorders>
              <w:top w:val="single" w:sz="12" w:space="0" w:color="008000"/>
              <w:bottom w:val="single" w:sz="6" w:space="0" w:color="008000"/>
            </w:tcBorders>
            <w:shd w:val="clear" w:color="auto" w:fill="FFFFFF"/>
          </w:tcPr>
          <w:p w14:paraId="19581638" w14:textId="77777777" w:rsidR="00F766F3" w:rsidRPr="00E971C0" w:rsidRDefault="00F766F3" w:rsidP="00C05622">
            <w:pPr>
              <w:pStyle w:val="CETBodytext"/>
              <w:spacing w:line="240" w:lineRule="auto"/>
              <w:rPr>
                <w:lang w:val="en-GB"/>
              </w:rPr>
            </w:pPr>
            <w:r w:rsidRPr="00E2285A">
              <w:t>Isocyanate, kg</w:t>
            </w:r>
          </w:p>
        </w:tc>
        <w:tc>
          <w:tcPr>
            <w:tcW w:w="1000" w:type="pct"/>
            <w:tcBorders>
              <w:top w:val="single" w:sz="12" w:space="0" w:color="008000"/>
              <w:bottom w:val="single" w:sz="6" w:space="0" w:color="008000"/>
            </w:tcBorders>
            <w:shd w:val="clear" w:color="auto" w:fill="FFFFFF"/>
          </w:tcPr>
          <w:p w14:paraId="63592301" w14:textId="77777777" w:rsidR="00F766F3" w:rsidRPr="00E971C0" w:rsidRDefault="00F766F3" w:rsidP="00C05622">
            <w:pPr>
              <w:pStyle w:val="CETBodytext"/>
              <w:spacing w:line="240" w:lineRule="auto"/>
              <w:rPr>
                <w:lang w:val="en-GB"/>
              </w:rPr>
            </w:pPr>
            <w:r w:rsidRPr="00E2285A">
              <w:t>Polyol, kg</w:t>
            </w:r>
          </w:p>
        </w:tc>
        <w:tc>
          <w:tcPr>
            <w:tcW w:w="999" w:type="pct"/>
            <w:tcBorders>
              <w:top w:val="single" w:sz="12" w:space="0" w:color="008000"/>
              <w:bottom w:val="single" w:sz="6" w:space="0" w:color="008000"/>
            </w:tcBorders>
            <w:shd w:val="clear" w:color="auto" w:fill="FFFFFF"/>
          </w:tcPr>
          <w:p w14:paraId="6DA0D432" w14:textId="77777777" w:rsidR="00F766F3" w:rsidRDefault="00F766F3" w:rsidP="00C05622">
            <w:pPr>
              <w:pStyle w:val="CETBodytext"/>
              <w:spacing w:line="240" w:lineRule="auto"/>
              <w:rPr>
                <w:lang w:val="en-GB"/>
              </w:rPr>
            </w:pPr>
            <w:r w:rsidRPr="00E2285A">
              <w:t>Polyurethane powder, kg</w:t>
            </w:r>
          </w:p>
        </w:tc>
        <w:tc>
          <w:tcPr>
            <w:tcW w:w="999" w:type="pct"/>
            <w:tcBorders>
              <w:top w:val="single" w:sz="12" w:space="0" w:color="008000"/>
              <w:bottom w:val="single" w:sz="6" w:space="0" w:color="008000"/>
            </w:tcBorders>
            <w:shd w:val="clear" w:color="auto" w:fill="FFFFFF"/>
          </w:tcPr>
          <w:p w14:paraId="4DF98583" w14:textId="77777777" w:rsidR="00F766F3" w:rsidRDefault="00F766F3" w:rsidP="00C05622">
            <w:pPr>
              <w:pStyle w:val="CETBodytext"/>
              <w:spacing w:line="240" w:lineRule="auto"/>
              <w:rPr>
                <w:lang w:val="en-GB"/>
              </w:rPr>
            </w:pPr>
            <w:r w:rsidRPr="00E2285A">
              <w:t>Polyurethane foam produced, kg</w:t>
            </w:r>
          </w:p>
        </w:tc>
      </w:tr>
      <w:tr w:rsidR="00F766F3" w:rsidRPr="00B57B36" w14:paraId="4A96503E" w14:textId="77777777" w:rsidTr="00C05622">
        <w:tc>
          <w:tcPr>
            <w:tcW w:w="1000" w:type="pct"/>
            <w:shd w:val="clear" w:color="auto" w:fill="FFFFFF"/>
          </w:tcPr>
          <w:p w14:paraId="75AD8DF4" w14:textId="77777777" w:rsidR="00F766F3" w:rsidRPr="00E971C0" w:rsidRDefault="00F766F3" w:rsidP="00C05622">
            <w:pPr>
              <w:pStyle w:val="CETBodytext"/>
              <w:spacing w:line="240" w:lineRule="auto"/>
              <w:rPr>
                <w:lang w:val="en-GB"/>
              </w:rPr>
            </w:pPr>
            <w:r>
              <w:t>0</w:t>
            </w:r>
          </w:p>
        </w:tc>
        <w:tc>
          <w:tcPr>
            <w:tcW w:w="1001" w:type="pct"/>
            <w:shd w:val="clear" w:color="auto" w:fill="FFFFFF"/>
          </w:tcPr>
          <w:p w14:paraId="1E2BC9D8" w14:textId="77777777" w:rsidR="00F766F3" w:rsidRPr="00E971C0" w:rsidRDefault="00F766F3" w:rsidP="00C05622">
            <w:pPr>
              <w:pStyle w:val="CETBodytext"/>
              <w:spacing w:line="240" w:lineRule="auto"/>
              <w:rPr>
                <w:lang w:val="en-GB"/>
              </w:rPr>
            </w:pPr>
            <w:r>
              <w:t>X</w:t>
            </w:r>
          </w:p>
        </w:tc>
        <w:tc>
          <w:tcPr>
            <w:tcW w:w="1000" w:type="pct"/>
            <w:shd w:val="clear" w:color="auto" w:fill="FFFFFF"/>
          </w:tcPr>
          <w:p w14:paraId="10EB3538" w14:textId="77777777" w:rsidR="00F766F3" w:rsidRPr="00E971C0" w:rsidRDefault="00F766F3" w:rsidP="00C05622">
            <w:pPr>
              <w:pStyle w:val="CETBodytext"/>
              <w:spacing w:line="240" w:lineRule="auto"/>
              <w:rPr>
                <w:lang w:val="en-GB"/>
              </w:rPr>
            </w:pPr>
            <w:r>
              <w:t>Y</w:t>
            </w:r>
          </w:p>
        </w:tc>
        <w:tc>
          <w:tcPr>
            <w:tcW w:w="999" w:type="pct"/>
            <w:shd w:val="clear" w:color="auto" w:fill="FFFFFF"/>
          </w:tcPr>
          <w:p w14:paraId="2A655F57" w14:textId="77777777" w:rsidR="00F766F3" w:rsidRDefault="00F766F3" w:rsidP="00C05622">
            <w:pPr>
              <w:pStyle w:val="CETBodytext"/>
              <w:spacing w:line="240" w:lineRule="auto"/>
              <w:rPr>
                <w:lang w:val="en-GB"/>
              </w:rPr>
            </w:pPr>
            <w:r>
              <w:t>-</w:t>
            </w:r>
          </w:p>
        </w:tc>
        <w:tc>
          <w:tcPr>
            <w:tcW w:w="999" w:type="pct"/>
            <w:shd w:val="clear" w:color="auto" w:fill="FFFFFF"/>
          </w:tcPr>
          <w:p w14:paraId="0E0756B7" w14:textId="77777777" w:rsidR="00F766F3" w:rsidRDefault="00F766F3" w:rsidP="00C05622">
            <w:pPr>
              <w:pStyle w:val="CETBodytext"/>
              <w:spacing w:line="240" w:lineRule="auto"/>
              <w:rPr>
                <w:lang w:val="en-GB"/>
              </w:rPr>
            </w:pPr>
            <w:r>
              <w:t>1,000</w:t>
            </w:r>
          </w:p>
        </w:tc>
      </w:tr>
      <w:tr w:rsidR="00F766F3" w:rsidRPr="00B57B36" w14:paraId="1F9352CC" w14:textId="77777777" w:rsidTr="00C05622">
        <w:tc>
          <w:tcPr>
            <w:tcW w:w="1000" w:type="pct"/>
            <w:shd w:val="clear" w:color="auto" w:fill="FFFFFF"/>
          </w:tcPr>
          <w:p w14:paraId="03914959" w14:textId="77777777" w:rsidR="00F766F3" w:rsidRPr="00E971C0" w:rsidRDefault="00F766F3" w:rsidP="00C05622">
            <w:pPr>
              <w:pStyle w:val="CETBodytext"/>
              <w:spacing w:line="240" w:lineRule="auto"/>
              <w:ind w:right="-1"/>
              <w:rPr>
                <w:rFonts w:cs="Arial"/>
                <w:szCs w:val="18"/>
                <w:lang w:val="en-GB"/>
              </w:rPr>
            </w:pPr>
            <w:r>
              <w:t>0.5</w:t>
            </w:r>
          </w:p>
        </w:tc>
        <w:tc>
          <w:tcPr>
            <w:tcW w:w="1001" w:type="pct"/>
            <w:shd w:val="clear" w:color="auto" w:fill="FFFFFF"/>
          </w:tcPr>
          <w:p w14:paraId="77B7813E" w14:textId="77777777" w:rsidR="00F766F3" w:rsidRPr="00E971C0" w:rsidRDefault="00F766F3" w:rsidP="00C05622">
            <w:pPr>
              <w:pStyle w:val="CETBodytext"/>
              <w:spacing w:line="240" w:lineRule="auto"/>
              <w:ind w:right="-1"/>
              <w:rPr>
                <w:rFonts w:cs="Arial"/>
                <w:szCs w:val="18"/>
                <w:lang w:val="en-GB"/>
              </w:rPr>
            </w:pPr>
            <w:r>
              <w:t>X - 2.5</w:t>
            </w:r>
          </w:p>
        </w:tc>
        <w:tc>
          <w:tcPr>
            <w:tcW w:w="1000" w:type="pct"/>
            <w:shd w:val="clear" w:color="auto" w:fill="FFFFFF"/>
          </w:tcPr>
          <w:p w14:paraId="55E62447" w14:textId="77777777" w:rsidR="00F766F3" w:rsidRPr="00E971C0" w:rsidRDefault="00F766F3" w:rsidP="00C05622">
            <w:pPr>
              <w:pStyle w:val="CETBodytext"/>
              <w:spacing w:line="240" w:lineRule="auto"/>
              <w:ind w:right="-1"/>
              <w:rPr>
                <w:rFonts w:cs="Arial"/>
                <w:szCs w:val="18"/>
                <w:lang w:val="en-GB"/>
              </w:rPr>
            </w:pPr>
            <w:r>
              <w:t>Y - 2.5</w:t>
            </w:r>
          </w:p>
        </w:tc>
        <w:tc>
          <w:tcPr>
            <w:tcW w:w="999" w:type="pct"/>
            <w:shd w:val="clear" w:color="auto" w:fill="FFFFFF"/>
          </w:tcPr>
          <w:p w14:paraId="790AA243" w14:textId="77777777" w:rsidR="00F766F3" w:rsidRDefault="00F766F3" w:rsidP="00C05622">
            <w:pPr>
              <w:pStyle w:val="CETBodytext"/>
              <w:spacing w:line="240" w:lineRule="auto"/>
              <w:ind w:right="-1"/>
              <w:rPr>
                <w:rFonts w:cs="Arial"/>
                <w:szCs w:val="18"/>
                <w:lang w:val="en-GB"/>
              </w:rPr>
            </w:pPr>
            <w:r>
              <w:t>5</w:t>
            </w:r>
          </w:p>
        </w:tc>
        <w:tc>
          <w:tcPr>
            <w:tcW w:w="999" w:type="pct"/>
            <w:shd w:val="clear" w:color="auto" w:fill="FFFFFF"/>
          </w:tcPr>
          <w:p w14:paraId="27FFE8D1" w14:textId="77777777" w:rsidR="00F766F3" w:rsidRDefault="00F766F3" w:rsidP="00C05622">
            <w:pPr>
              <w:pStyle w:val="CETBodytext"/>
              <w:spacing w:line="240" w:lineRule="auto"/>
              <w:ind w:right="-1"/>
              <w:rPr>
                <w:rFonts w:cs="Arial"/>
                <w:szCs w:val="18"/>
                <w:lang w:val="en-GB"/>
              </w:rPr>
            </w:pPr>
            <w:r>
              <w:t>1,000</w:t>
            </w:r>
          </w:p>
        </w:tc>
      </w:tr>
      <w:tr w:rsidR="00F766F3" w:rsidRPr="00B57B36" w14:paraId="5BBEA2A0" w14:textId="77777777" w:rsidTr="00C05622">
        <w:tc>
          <w:tcPr>
            <w:tcW w:w="1000" w:type="pct"/>
            <w:shd w:val="clear" w:color="auto" w:fill="FFFFFF"/>
          </w:tcPr>
          <w:p w14:paraId="71DC30C7" w14:textId="77777777" w:rsidR="00F766F3" w:rsidRPr="00E971C0" w:rsidRDefault="00F766F3" w:rsidP="00C05622">
            <w:pPr>
              <w:pStyle w:val="CETBodytext"/>
              <w:spacing w:line="240" w:lineRule="auto"/>
              <w:ind w:right="-1"/>
              <w:rPr>
                <w:rFonts w:cs="Arial"/>
                <w:szCs w:val="18"/>
                <w:lang w:val="en-GB"/>
              </w:rPr>
            </w:pPr>
            <w:r>
              <w:t>1</w:t>
            </w:r>
          </w:p>
        </w:tc>
        <w:tc>
          <w:tcPr>
            <w:tcW w:w="1001" w:type="pct"/>
            <w:shd w:val="clear" w:color="auto" w:fill="FFFFFF"/>
          </w:tcPr>
          <w:p w14:paraId="274825E0" w14:textId="77777777" w:rsidR="00F766F3" w:rsidRPr="00E971C0" w:rsidRDefault="00F766F3" w:rsidP="00C05622">
            <w:pPr>
              <w:pStyle w:val="CETBodytext"/>
              <w:spacing w:line="240" w:lineRule="auto"/>
              <w:ind w:right="-1"/>
              <w:rPr>
                <w:rFonts w:cs="Arial"/>
                <w:szCs w:val="18"/>
                <w:lang w:val="en-GB"/>
              </w:rPr>
            </w:pPr>
            <w:r>
              <w:t>X - 5</w:t>
            </w:r>
          </w:p>
        </w:tc>
        <w:tc>
          <w:tcPr>
            <w:tcW w:w="1000" w:type="pct"/>
            <w:shd w:val="clear" w:color="auto" w:fill="FFFFFF"/>
          </w:tcPr>
          <w:p w14:paraId="15E1C54A" w14:textId="77777777" w:rsidR="00F766F3" w:rsidRPr="00E971C0" w:rsidRDefault="00F766F3" w:rsidP="00C05622">
            <w:pPr>
              <w:pStyle w:val="CETBodytext"/>
              <w:spacing w:line="240" w:lineRule="auto"/>
              <w:ind w:right="-1"/>
              <w:rPr>
                <w:rFonts w:cs="Arial"/>
                <w:szCs w:val="18"/>
                <w:lang w:val="en-GB"/>
              </w:rPr>
            </w:pPr>
            <w:r>
              <w:t>Y - 5</w:t>
            </w:r>
          </w:p>
        </w:tc>
        <w:tc>
          <w:tcPr>
            <w:tcW w:w="999" w:type="pct"/>
            <w:shd w:val="clear" w:color="auto" w:fill="FFFFFF"/>
          </w:tcPr>
          <w:p w14:paraId="115A633B" w14:textId="77777777" w:rsidR="00F766F3" w:rsidRDefault="00F766F3" w:rsidP="00C05622">
            <w:pPr>
              <w:pStyle w:val="CETBodytext"/>
              <w:spacing w:line="240" w:lineRule="auto"/>
              <w:ind w:right="-1"/>
              <w:rPr>
                <w:rFonts w:cs="Arial"/>
                <w:szCs w:val="18"/>
                <w:lang w:val="en-GB"/>
              </w:rPr>
            </w:pPr>
            <w:r>
              <w:t>10</w:t>
            </w:r>
          </w:p>
        </w:tc>
        <w:tc>
          <w:tcPr>
            <w:tcW w:w="999" w:type="pct"/>
            <w:shd w:val="clear" w:color="auto" w:fill="FFFFFF"/>
          </w:tcPr>
          <w:p w14:paraId="539D7C83" w14:textId="77777777" w:rsidR="00F766F3" w:rsidRDefault="00F766F3" w:rsidP="00C05622">
            <w:pPr>
              <w:pStyle w:val="CETBodytext"/>
              <w:spacing w:line="240" w:lineRule="auto"/>
              <w:ind w:right="-1"/>
              <w:rPr>
                <w:rFonts w:cs="Arial"/>
                <w:szCs w:val="18"/>
                <w:lang w:val="en-GB"/>
              </w:rPr>
            </w:pPr>
            <w:r>
              <w:t>1,000</w:t>
            </w:r>
          </w:p>
        </w:tc>
      </w:tr>
      <w:tr w:rsidR="00F766F3" w:rsidRPr="00B57B36" w14:paraId="7A0FD9CB" w14:textId="77777777" w:rsidTr="00C05622">
        <w:tc>
          <w:tcPr>
            <w:tcW w:w="1000" w:type="pct"/>
            <w:shd w:val="clear" w:color="auto" w:fill="FFFFFF"/>
          </w:tcPr>
          <w:p w14:paraId="3B71C9B0" w14:textId="77777777" w:rsidR="00F766F3" w:rsidRPr="00E971C0" w:rsidRDefault="00F766F3" w:rsidP="00C05622">
            <w:pPr>
              <w:pStyle w:val="CETBodytext"/>
              <w:spacing w:line="240" w:lineRule="auto"/>
              <w:ind w:right="-1"/>
              <w:rPr>
                <w:rFonts w:cs="Arial"/>
                <w:szCs w:val="18"/>
                <w:lang w:val="en-GB"/>
              </w:rPr>
            </w:pPr>
            <w:r>
              <w:t>5</w:t>
            </w:r>
          </w:p>
        </w:tc>
        <w:tc>
          <w:tcPr>
            <w:tcW w:w="1001" w:type="pct"/>
            <w:shd w:val="clear" w:color="auto" w:fill="FFFFFF"/>
          </w:tcPr>
          <w:p w14:paraId="17533E8E" w14:textId="77777777" w:rsidR="00F766F3" w:rsidRPr="00E971C0" w:rsidRDefault="00F766F3" w:rsidP="00C05622">
            <w:pPr>
              <w:pStyle w:val="CETBodytext"/>
              <w:spacing w:line="240" w:lineRule="auto"/>
              <w:ind w:right="-1"/>
              <w:rPr>
                <w:rFonts w:cs="Arial"/>
                <w:szCs w:val="18"/>
                <w:lang w:val="en-GB"/>
              </w:rPr>
            </w:pPr>
            <w:r>
              <w:t>X - 25</w:t>
            </w:r>
          </w:p>
        </w:tc>
        <w:tc>
          <w:tcPr>
            <w:tcW w:w="1000" w:type="pct"/>
            <w:shd w:val="clear" w:color="auto" w:fill="FFFFFF"/>
          </w:tcPr>
          <w:p w14:paraId="6F938A5A" w14:textId="77777777" w:rsidR="00F766F3" w:rsidRPr="00E971C0" w:rsidRDefault="00F766F3" w:rsidP="00C05622">
            <w:pPr>
              <w:pStyle w:val="CETBodytext"/>
              <w:spacing w:line="240" w:lineRule="auto"/>
              <w:ind w:right="-1"/>
              <w:rPr>
                <w:rFonts w:cs="Arial"/>
                <w:szCs w:val="18"/>
                <w:lang w:val="en-GB"/>
              </w:rPr>
            </w:pPr>
            <w:r>
              <w:t>Y - 25</w:t>
            </w:r>
          </w:p>
        </w:tc>
        <w:tc>
          <w:tcPr>
            <w:tcW w:w="999" w:type="pct"/>
            <w:shd w:val="clear" w:color="auto" w:fill="FFFFFF"/>
          </w:tcPr>
          <w:p w14:paraId="0A2F8474" w14:textId="77777777" w:rsidR="00F766F3" w:rsidRDefault="00F766F3" w:rsidP="00C05622">
            <w:pPr>
              <w:pStyle w:val="CETBodytext"/>
              <w:spacing w:line="240" w:lineRule="auto"/>
              <w:ind w:right="-1"/>
              <w:rPr>
                <w:rFonts w:cs="Arial"/>
                <w:szCs w:val="18"/>
                <w:lang w:val="en-GB"/>
              </w:rPr>
            </w:pPr>
            <w:r>
              <w:t>50</w:t>
            </w:r>
          </w:p>
        </w:tc>
        <w:tc>
          <w:tcPr>
            <w:tcW w:w="999" w:type="pct"/>
            <w:shd w:val="clear" w:color="auto" w:fill="FFFFFF"/>
          </w:tcPr>
          <w:p w14:paraId="5BF8FD07" w14:textId="77777777" w:rsidR="00F766F3" w:rsidRDefault="00F766F3" w:rsidP="00C05622">
            <w:pPr>
              <w:pStyle w:val="CETBodytext"/>
              <w:spacing w:line="240" w:lineRule="auto"/>
              <w:ind w:right="-1"/>
              <w:rPr>
                <w:rFonts w:cs="Arial"/>
                <w:szCs w:val="18"/>
                <w:lang w:val="en-GB"/>
              </w:rPr>
            </w:pPr>
            <w:r>
              <w:t>1,000</w:t>
            </w:r>
          </w:p>
        </w:tc>
      </w:tr>
      <w:tr w:rsidR="00F766F3" w:rsidRPr="00B57B36" w14:paraId="20AD15CE" w14:textId="77777777" w:rsidTr="00C05622">
        <w:tc>
          <w:tcPr>
            <w:tcW w:w="1000" w:type="pct"/>
            <w:shd w:val="clear" w:color="auto" w:fill="FFFFFF"/>
          </w:tcPr>
          <w:p w14:paraId="4D23424C" w14:textId="77777777" w:rsidR="00F766F3" w:rsidRPr="00E971C0" w:rsidRDefault="00F766F3" w:rsidP="00C05622">
            <w:pPr>
              <w:pStyle w:val="CETBodytext"/>
              <w:spacing w:line="240" w:lineRule="auto"/>
              <w:ind w:right="-1"/>
              <w:rPr>
                <w:rFonts w:cs="Arial"/>
                <w:szCs w:val="18"/>
                <w:lang w:val="en-GB"/>
              </w:rPr>
            </w:pPr>
            <w:r>
              <w:t>10</w:t>
            </w:r>
          </w:p>
        </w:tc>
        <w:tc>
          <w:tcPr>
            <w:tcW w:w="1001" w:type="pct"/>
            <w:shd w:val="clear" w:color="auto" w:fill="FFFFFF"/>
          </w:tcPr>
          <w:p w14:paraId="5CB339B2" w14:textId="77777777" w:rsidR="00F766F3" w:rsidRPr="00E971C0" w:rsidRDefault="00F766F3" w:rsidP="00C05622">
            <w:pPr>
              <w:pStyle w:val="CETBodytext"/>
              <w:spacing w:line="240" w:lineRule="auto"/>
              <w:ind w:right="-1"/>
              <w:rPr>
                <w:rFonts w:cs="Arial"/>
                <w:szCs w:val="18"/>
                <w:lang w:val="en-GB"/>
              </w:rPr>
            </w:pPr>
            <w:r>
              <w:t>X - 50</w:t>
            </w:r>
          </w:p>
        </w:tc>
        <w:tc>
          <w:tcPr>
            <w:tcW w:w="1000" w:type="pct"/>
            <w:shd w:val="clear" w:color="auto" w:fill="FFFFFF"/>
          </w:tcPr>
          <w:p w14:paraId="62B94491" w14:textId="77777777" w:rsidR="00F766F3" w:rsidRPr="00E971C0" w:rsidRDefault="00F766F3" w:rsidP="00C05622">
            <w:pPr>
              <w:pStyle w:val="CETBodytext"/>
              <w:spacing w:line="240" w:lineRule="auto"/>
              <w:ind w:right="-1"/>
              <w:rPr>
                <w:rFonts w:cs="Arial"/>
                <w:szCs w:val="18"/>
                <w:lang w:val="en-GB"/>
              </w:rPr>
            </w:pPr>
            <w:r>
              <w:t>Y - 50</w:t>
            </w:r>
          </w:p>
        </w:tc>
        <w:tc>
          <w:tcPr>
            <w:tcW w:w="999" w:type="pct"/>
            <w:shd w:val="clear" w:color="auto" w:fill="FFFFFF"/>
          </w:tcPr>
          <w:p w14:paraId="788865E2" w14:textId="77777777" w:rsidR="00F766F3" w:rsidRDefault="00F766F3" w:rsidP="00C05622">
            <w:pPr>
              <w:pStyle w:val="CETBodytext"/>
              <w:spacing w:line="240" w:lineRule="auto"/>
              <w:ind w:right="-1"/>
              <w:rPr>
                <w:rFonts w:cs="Arial"/>
                <w:szCs w:val="18"/>
                <w:lang w:val="en-GB"/>
              </w:rPr>
            </w:pPr>
            <w:r>
              <w:t>100</w:t>
            </w:r>
          </w:p>
        </w:tc>
        <w:tc>
          <w:tcPr>
            <w:tcW w:w="999" w:type="pct"/>
            <w:shd w:val="clear" w:color="auto" w:fill="FFFFFF"/>
          </w:tcPr>
          <w:p w14:paraId="23B98EEE" w14:textId="77777777" w:rsidR="00F766F3" w:rsidRDefault="00F766F3" w:rsidP="00C05622">
            <w:pPr>
              <w:pStyle w:val="CETBodytext"/>
              <w:spacing w:line="240" w:lineRule="auto"/>
              <w:ind w:right="-1"/>
              <w:rPr>
                <w:rFonts w:cs="Arial"/>
                <w:szCs w:val="18"/>
                <w:lang w:val="en-GB"/>
              </w:rPr>
            </w:pPr>
            <w:r>
              <w:t>1,000</w:t>
            </w:r>
          </w:p>
        </w:tc>
      </w:tr>
    </w:tbl>
    <w:p w14:paraId="52457D47" w14:textId="77777777" w:rsidR="0006347D" w:rsidRDefault="0006347D" w:rsidP="0006347D">
      <w:pPr>
        <w:pStyle w:val="CETBodytext"/>
        <w:rPr>
          <w:lang w:val="en-GB"/>
        </w:rPr>
      </w:pPr>
    </w:p>
    <w:p w14:paraId="65FA3FB2" w14:textId="77777777" w:rsidR="006E6001" w:rsidRPr="006E6001" w:rsidRDefault="006E6001" w:rsidP="006E6001">
      <w:pPr>
        <w:pStyle w:val="CETBodytext"/>
        <w:rPr>
          <w:lang w:val="en-GB"/>
        </w:rPr>
      </w:pPr>
      <w:r w:rsidRPr="006E6001">
        <w:rPr>
          <w:lang w:val="en-GB"/>
        </w:rPr>
        <w:t>A reference flow was defined as 1,000 kg of polyurethane foam, either disposed of in a landfill (Scenario 1) or produced through the recycling process (Scenario 2).</w:t>
      </w:r>
    </w:p>
    <w:p w14:paraId="4C6A9017" w14:textId="77777777" w:rsidR="006E6001" w:rsidRPr="006E6001" w:rsidRDefault="006E6001" w:rsidP="006E6001">
      <w:pPr>
        <w:pStyle w:val="CETBodytext"/>
        <w:rPr>
          <w:lang w:val="en-GB"/>
        </w:rPr>
      </w:pPr>
    </w:p>
    <w:p w14:paraId="2F26A8EF" w14:textId="77777777" w:rsidR="006E6001" w:rsidRPr="00C454F3" w:rsidRDefault="006E6001" w:rsidP="006E6001">
      <w:pPr>
        <w:pStyle w:val="CETBodytext"/>
        <w:rPr>
          <w:lang w:val="en-GB"/>
        </w:rPr>
      </w:pPr>
      <w:r w:rsidRPr="00C454F3">
        <w:rPr>
          <w:lang w:val="en-GB"/>
        </w:rPr>
        <w:t>The introduction of a recycling process in Scenario 2 requires the proper allocation of environmental impacts associated with the input flows to the recycling system.</w:t>
      </w:r>
    </w:p>
    <w:p w14:paraId="79FE3F69" w14:textId="1A866B8C" w:rsidR="0006347D" w:rsidRPr="00C454F3" w:rsidRDefault="006E6001" w:rsidP="006E6001">
      <w:pPr>
        <w:pStyle w:val="CETBodytext"/>
        <w:rPr>
          <w:lang w:val="en-GB"/>
        </w:rPr>
      </w:pPr>
      <w:r w:rsidRPr="00C454F3">
        <w:rPr>
          <w:lang w:val="en-GB"/>
        </w:rPr>
        <w:t>According to ISO 14044:2006, allocation is defined as the partitioning of input and output flows of a process or product system among the product system under study and one or more other product systems.</w:t>
      </w:r>
    </w:p>
    <w:p w14:paraId="005D4878" w14:textId="77777777" w:rsidR="006E6001" w:rsidRPr="00C454F3" w:rsidRDefault="00FF4DA9" w:rsidP="006E6001">
      <w:pPr>
        <w:pStyle w:val="CETBodytext"/>
        <w:rPr>
          <w:lang w:val="en-GB"/>
        </w:rPr>
      </w:pPr>
      <w:r w:rsidRPr="00C454F3">
        <w:rPr>
          <w:lang w:val="en-GB"/>
        </w:rPr>
        <w:t>A</w:t>
      </w:r>
      <w:r w:rsidR="0006347D" w:rsidRPr="00C454F3">
        <w:rPr>
          <w:lang w:val="en-GB"/>
        </w:rPr>
        <w:t xml:space="preserve"> 50:50 </w:t>
      </w:r>
      <w:r w:rsidR="006E6001" w:rsidRPr="00C454F3">
        <w:rPr>
          <w:lang w:val="en-GB"/>
        </w:rPr>
        <w:t xml:space="preserve">allocation </w:t>
      </w:r>
      <w:r w:rsidR="0006347D" w:rsidRPr="00C454F3">
        <w:rPr>
          <w:lang w:val="en-GB"/>
        </w:rPr>
        <w:t xml:space="preserve">method </w:t>
      </w:r>
      <w:r w:rsidRPr="00C454F3">
        <w:rPr>
          <w:lang w:val="en-GB"/>
        </w:rPr>
        <w:t xml:space="preserve">has been </w:t>
      </w:r>
      <w:r w:rsidR="006E6001" w:rsidRPr="00C454F3">
        <w:rPr>
          <w:lang w:val="en-GB"/>
        </w:rPr>
        <w:t>applied</w:t>
      </w:r>
      <w:r w:rsidR="0006347D" w:rsidRPr="00C454F3">
        <w:rPr>
          <w:lang w:val="en-GB"/>
        </w:rPr>
        <w:t xml:space="preserve"> </w:t>
      </w:r>
      <w:r w:rsidRPr="00C454F3">
        <w:rPr>
          <w:lang w:val="en-GB"/>
        </w:rPr>
        <w:t xml:space="preserve">to </w:t>
      </w:r>
      <w:r w:rsidR="0006347D" w:rsidRPr="00C454F3">
        <w:rPr>
          <w:lang w:val="en-GB"/>
        </w:rPr>
        <w:t xml:space="preserve">account for the environmental impacts associated </w:t>
      </w:r>
      <w:r w:rsidR="00BA56FC" w:rsidRPr="00C454F3">
        <w:rPr>
          <w:lang w:val="en-GB"/>
        </w:rPr>
        <w:t>with</w:t>
      </w:r>
      <w:r w:rsidR="0006347D" w:rsidRPr="00C454F3">
        <w:rPr>
          <w:lang w:val="en-GB"/>
        </w:rPr>
        <w:t xml:space="preserve"> the polyurethane foam </w:t>
      </w:r>
      <w:r w:rsidRPr="00C454F3">
        <w:rPr>
          <w:lang w:val="en-GB"/>
        </w:rPr>
        <w:t>input</w:t>
      </w:r>
      <w:r w:rsidR="006E6001" w:rsidRPr="00C454F3">
        <w:rPr>
          <w:lang w:val="en-GB"/>
        </w:rPr>
        <w:t xml:space="preserve"> flow </w:t>
      </w:r>
      <w:r w:rsidRPr="00C454F3">
        <w:rPr>
          <w:lang w:val="en-GB"/>
        </w:rPr>
        <w:t>to</w:t>
      </w:r>
      <w:r w:rsidR="0006347D" w:rsidRPr="00C454F3">
        <w:rPr>
          <w:lang w:val="en-GB"/>
        </w:rPr>
        <w:t xml:space="preserve"> the recycling steps</w:t>
      </w:r>
      <w:r w:rsidR="0006347D" w:rsidRPr="0006347D">
        <w:rPr>
          <w:lang w:val="en-GB"/>
        </w:rPr>
        <w:t xml:space="preserve"> </w:t>
      </w:r>
      <w:r w:rsidR="0006347D">
        <w:rPr>
          <w:lang w:val="en-GB"/>
        </w:rPr>
        <w:t>(Zimmermann R.K. et al., 2022)</w:t>
      </w:r>
      <w:r w:rsidR="0006347D" w:rsidRPr="0006347D">
        <w:rPr>
          <w:lang w:val="en-GB"/>
        </w:rPr>
        <w:t>.</w:t>
      </w:r>
      <w:r w:rsidR="00BE7907">
        <w:rPr>
          <w:lang w:val="en-GB"/>
        </w:rPr>
        <w:t xml:space="preserve"> </w:t>
      </w:r>
      <w:r w:rsidR="006E6001" w:rsidRPr="006E6001">
        <w:rPr>
          <w:lang w:val="en-GB"/>
        </w:rPr>
        <w:t xml:space="preserve">Recycling one product into </w:t>
      </w:r>
      <w:r w:rsidR="006E6001" w:rsidRPr="006E6001">
        <w:rPr>
          <w:lang w:val="en-GB"/>
        </w:rPr>
        <w:lastRenderedPageBreak/>
        <w:t xml:space="preserve">another results in both a reduction in the disposal of the original product and a decreased need for virgin raw </w:t>
      </w:r>
      <w:r w:rsidR="006E6001" w:rsidRPr="00C454F3">
        <w:rPr>
          <w:lang w:val="en-GB"/>
        </w:rPr>
        <w:t>materials in the production of the new one.</w:t>
      </w:r>
    </w:p>
    <w:p w14:paraId="7FB8BF96" w14:textId="5FD73EC4" w:rsidR="0006347D" w:rsidRPr="00C454F3" w:rsidRDefault="006E6001" w:rsidP="006E6001">
      <w:pPr>
        <w:pStyle w:val="CETBodytext"/>
        <w:rPr>
          <w:lang w:val="en-GB"/>
        </w:rPr>
      </w:pPr>
      <w:r w:rsidRPr="00C454F3">
        <w:rPr>
          <w:lang w:val="en-GB"/>
        </w:rPr>
        <w:t>One approach to reflect this dual benefit is the 50:50 allocation method, in which 50% of the environmental impacts from production are attributed to the original product, and the remaining 50% to the recycled product (Obrecht T.P. et al., 2021).</w:t>
      </w:r>
    </w:p>
    <w:p w14:paraId="5009EC0B" w14:textId="26E71676" w:rsidR="002B0A10" w:rsidRPr="00C454F3" w:rsidRDefault="002B0A10" w:rsidP="003006F8">
      <w:pPr>
        <w:spacing w:before="120" w:after="120"/>
        <w:jc w:val="left"/>
        <w:rPr>
          <w:rFonts w:cs="Arial"/>
          <w:b/>
          <w:bCs/>
          <w:sz w:val="16"/>
          <w:szCs w:val="16"/>
        </w:rPr>
      </w:pPr>
      <w:r w:rsidRPr="00C454F3">
        <w:rPr>
          <w:rFonts w:cs="Arial"/>
          <w:b/>
          <w:bCs/>
          <w:sz w:val="16"/>
          <w:szCs w:val="16"/>
        </w:rPr>
        <w:t>Limitations and assumptions</w:t>
      </w:r>
    </w:p>
    <w:p w14:paraId="7D6AF596" w14:textId="77777777" w:rsidR="006E6001" w:rsidRPr="00C454F3" w:rsidRDefault="006E6001" w:rsidP="006E6001">
      <w:pPr>
        <w:pStyle w:val="CETBodytext"/>
        <w:rPr>
          <w:lang w:val="en-GB"/>
        </w:rPr>
      </w:pPr>
      <w:r w:rsidRPr="00C454F3">
        <w:rPr>
          <w:lang w:val="en-GB"/>
        </w:rPr>
        <w:t>Regarding the environmental impact assessment of the different end-of-life treatments, a cradle-to-grave approach has been adopted. The use phase has not been explicitly modelled, as it is assumed to have a comparable environmental impact in both scenarios.</w:t>
      </w:r>
    </w:p>
    <w:p w14:paraId="74E59A23" w14:textId="77777777" w:rsidR="006E6001" w:rsidRPr="00C454F3" w:rsidRDefault="006E6001" w:rsidP="006E6001">
      <w:pPr>
        <w:pStyle w:val="CETBodytext"/>
        <w:rPr>
          <w:lang w:val="en-GB"/>
        </w:rPr>
      </w:pPr>
      <w:r w:rsidRPr="00C454F3">
        <w:rPr>
          <w:lang w:val="en-GB"/>
        </w:rPr>
        <w:t>Furthermore, throughout the recycling process, it has been assumed that no additional cleaning steps are required, and that foam separation can be performed with relative ease. During the mechanical milling stage, an estimated 3% material loss of polyurethane foam powder occurs.</w:t>
      </w:r>
    </w:p>
    <w:p w14:paraId="27572275" w14:textId="77777777" w:rsidR="006E6001" w:rsidRPr="00C454F3" w:rsidRDefault="006E6001" w:rsidP="006E6001">
      <w:pPr>
        <w:pStyle w:val="CETBodytext"/>
        <w:rPr>
          <w:lang w:val="en-GB"/>
        </w:rPr>
      </w:pPr>
      <w:r w:rsidRPr="00C454F3">
        <w:rPr>
          <w:lang w:val="en-GB"/>
        </w:rPr>
        <w:t>The energy consumption related to mechanical milling and drying has been estimated using experimental data and technical documentation.</w:t>
      </w:r>
    </w:p>
    <w:p w14:paraId="048F504F" w14:textId="3AB6497B" w:rsidR="002B0A10" w:rsidRDefault="006E6001" w:rsidP="006E6001">
      <w:pPr>
        <w:pStyle w:val="CETBodytext"/>
        <w:rPr>
          <w:lang w:val="en-GB"/>
        </w:rPr>
      </w:pPr>
      <w:r w:rsidRPr="00C454F3">
        <w:rPr>
          <w:lang w:val="en-GB"/>
        </w:rPr>
        <w:t>Additionally, although the presence of additives may introduce further complexity in the recycling process, in this study</w:t>
      </w:r>
      <w:r w:rsidR="002F656F">
        <w:rPr>
          <w:lang w:val="en-GB"/>
        </w:rPr>
        <w:t>,</w:t>
      </w:r>
      <w:r w:rsidRPr="00C454F3">
        <w:rPr>
          <w:lang w:val="en-GB"/>
        </w:rPr>
        <w:t xml:space="preserve"> additives have been excluded from the environmental impact assessment.</w:t>
      </w:r>
    </w:p>
    <w:p w14:paraId="33E4105C" w14:textId="77777777" w:rsidR="006E6001" w:rsidRDefault="006E6001" w:rsidP="006E6001">
      <w:pPr>
        <w:pStyle w:val="CETBodytext"/>
        <w:rPr>
          <w:lang w:val="en-GB"/>
        </w:rPr>
      </w:pPr>
    </w:p>
    <w:p w14:paraId="23B7FC9B" w14:textId="254880C7" w:rsidR="00504B8B" w:rsidRDefault="00504B8B" w:rsidP="002B0A10">
      <w:pPr>
        <w:pStyle w:val="CETheadingx"/>
      </w:pPr>
      <w:r>
        <w:t>Life Cycle Inventory Analysis (LCIA)</w:t>
      </w:r>
    </w:p>
    <w:p w14:paraId="4F37FC92" w14:textId="77777777" w:rsidR="00277091" w:rsidRPr="00277091" w:rsidRDefault="00277091" w:rsidP="00277091">
      <w:pPr>
        <w:pStyle w:val="CETBodytext"/>
        <w:rPr>
          <w:lang w:val="en-GB"/>
        </w:rPr>
      </w:pPr>
      <w:r w:rsidRPr="00277091">
        <w:rPr>
          <w:lang w:val="en-GB"/>
        </w:rPr>
        <w:t>The Goal and Scope Definition phase is followed by the Life Cycle Inventory (LCI) Analysis, which establishes the quantitative relationships between the different processes, based on the functional unit.</w:t>
      </w:r>
    </w:p>
    <w:p w14:paraId="33034D61" w14:textId="7494416B" w:rsidR="00504B8B" w:rsidRDefault="00277091" w:rsidP="00277091">
      <w:pPr>
        <w:pStyle w:val="CETBodytext"/>
        <w:rPr>
          <w:lang w:val="en-GB"/>
        </w:rPr>
      </w:pPr>
      <w:r w:rsidRPr="00277091">
        <w:rPr>
          <w:lang w:val="en-GB"/>
        </w:rPr>
        <w:t>The data used in this study were obtained from laboratory experiments, peer-reviewed scientific literature, and technical data sheets.</w:t>
      </w:r>
    </w:p>
    <w:p w14:paraId="3FCEB338" w14:textId="77777777" w:rsidR="00277091" w:rsidRDefault="00277091" w:rsidP="00277091">
      <w:pPr>
        <w:pStyle w:val="CETBodytext"/>
        <w:rPr>
          <w:lang w:val="en-GB"/>
        </w:rPr>
      </w:pPr>
    </w:p>
    <w:p w14:paraId="46F3E19D" w14:textId="5D88DB60" w:rsidR="00504B8B" w:rsidRDefault="00504B8B" w:rsidP="002B0A10">
      <w:pPr>
        <w:pStyle w:val="CETheadingx"/>
      </w:pPr>
      <w:r>
        <w:t>Impact Evaluation</w:t>
      </w:r>
    </w:p>
    <w:p w14:paraId="07C8E384" w14:textId="77777777" w:rsidR="00277091" w:rsidRPr="00C454F3" w:rsidRDefault="00277091" w:rsidP="00277091">
      <w:pPr>
        <w:pStyle w:val="CETBodytext"/>
        <w:rPr>
          <w:lang w:val="en-GB"/>
        </w:rPr>
      </w:pPr>
      <w:r w:rsidRPr="00277091">
        <w:rPr>
          <w:lang w:val="en-GB"/>
        </w:rPr>
        <w:t xml:space="preserve">The Life Cycle Assessment (LCA) study </w:t>
      </w:r>
      <w:r w:rsidRPr="00C454F3">
        <w:rPr>
          <w:lang w:val="en-GB"/>
        </w:rPr>
        <w:t>was conducted using openLCA software (version 2.1.0).</w:t>
      </w:r>
    </w:p>
    <w:p w14:paraId="40CCE82A" w14:textId="77777777" w:rsidR="00277091" w:rsidRPr="00C454F3" w:rsidRDefault="00277091" w:rsidP="00277091">
      <w:pPr>
        <w:pStyle w:val="CETBodytext"/>
        <w:rPr>
          <w:lang w:val="en-GB"/>
        </w:rPr>
      </w:pPr>
      <w:r w:rsidRPr="00C454F3">
        <w:rPr>
          <w:lang w:val="en-GB"/>
        </w:rPr>
        <w:t>The impact assessment was performed using the Ecological Scarcity method, which applies eco-factors to quantify and weigh the environmental impacts of a process.</w:t>
      </w:r>
    </w:p>
    <w:p w14:paraId="733F4BB9" w14:textId="2D218BEA" w:rsidR="00277091" w:rsidRPr="00C454F3" w:rsidRDefault="00277091" w:rsidP="00277091">
      <w:pPr>
        <w:pStyle w:val="CETBodytext"/>
        <w:rPr>
          <w:lang w:val="en-GB"/>
        </w:rPr>
      </w:pPr>
      <w:r w:rsidRPr="00C454F3">
        <w:rPr>
          <w:lang w:val="en-GB"/>
        </w:rPr>
        <w:t>Eco-factors are calculated based on the level of emissions or resource consumption relative to predefined environmental targets and are expressed in “eco-points”.</w:t>
      </w:r>
    </w:p>
    <w:p w14:paraId="027A046B" w14:textId="3CCBD88C" w:rsidR="00504B8B" w:rsidRPr="00C454F3" w:rsidRDefault="00504B8B" w:rsidP="00277091">
      <w:pPr>
        <w:pStyle w:val="CETBodytext"/>
        <w:rPr>
          <w:lang w:val="en-GB"/>
        </w:rPr>
      </w:pPr>
      <w:r w:rsidRPr="00C454F3">
        <w:rPr>
          <w:lang w:val="en-GB"/>
        </w:rPr>
        <w:t>An eco-factor is derived from three elements: characterization, normali</w:t>
      </w:r>
      <w:r w:rsidR="00BA56FC" w:rsidRPr="00C454F3">
        <w:rPr>
          <w:lang w:val="en-GB"/>
        </w:rPr>
        <w:t>z</w:t>
      </w:r>
      <w:r w:rsidRPr="00C454F3">
        <w:rPr>
          <w:lang w:val="en-GB"/>
        </w:rPr>
        <w:t>ation</w:t>
      </w:r>
      <w:r w:rsidR="00BA56FC" w:rsidRPr="00C454F3">
        <w:rPr>
          <w:lang w:val="en-GB"/>
        </w:rPr>
        <w:t>,</w:t>
      </w:r>
      <w:r w:rsidRPr="00C454F3">
        <w:rPr>
          <w:lang w:val="en-GB"/>
        </w:rPr>
        <w:t xml:space="preserve"> and weighting.</w:t>
      </w:r>
    </w:p>
    <w:p w14:paraId="1E082DCD" w14:textId="4D423173" w:rsidR="00504B8B" w:rsidRPr="00C454F3" w:rsidRDefault="00504B8B" w:rsidP="00504B8B">
      <w:pPr>
        <w:pStyle w:val="CETListbullets"/>
        <w:numPr>
          <w:ilvl w:val="0"/>
          <w:numId w:val="13"/>
        </w:numPr>
      </w:pPr>
      <w:r w:rsidRPr="00C454F3">
        <w:t>Characterization is the measure of the relative harmfulness of a pollutant emission compared to a reference substance within a given impact category (i.e.</w:t>
      </w:r>
      <w:r w:rsidR="0039045E" w:rsidRPr="00C454F3">
        <w:t>,</w:t>
      </w:r>
      <w:r w:rsidRPr="00C454F3">
        <w:t xml:space="preserve"> global warming potential).</w:t>
      </w:r>
    </w:p>
    <w:p w14:paraId="3AD1DC67" w14:textId="694C005C" w:rsidR="00504B8B" w:rsidRPr="00C454F3" w:rsidRDefault="00504B8B" w:rsidP="00504B8B">
      <w:pPr>
        <w:pStyle w:val="CETListbullets"/>
        <w:numPr>
          <w:ilvl w:val="0"/>
          <w:numId w:val="13"/>
        </w:numPr>
      </w:pPr>
      <w:r w:rsidRPr="00C454F3">
        <w:t>Normalization is the contribution of a unit of pollutant or resource use to the total current load/pressure in a region per year.</w:t>
      </w:r>
    </w:p>
    <w:p w14:paraId="1CE29955" w14:textId="4E42B5AB" w:rsidR="00504B8B" w:rsidRPr="00C454F3" w:rsidRDefault="00504B8B" w:rsidP="00504B8B">
      <w:pPr>
        <w:pStyle w:val="CETListbullets"/>
        <w:numPr>
          <w:ilvl w:val="0"/>
          <w:numId w:val="13"/>
        </w:numPr>
      </w:pPr>
      <w:r w:rsidRPr="00C454F3">
        <w:t>Weighting is the relationship between the current pollutant emission or resource consumption (current flow) and the consumption target (critical flow) (Frischknecht R et al., 2009).</w:t>
      </w:r>
    </w:p>
    <w:p w14:paraId="22968622" w14:textId="04BF3023" w:rsidR="00504B8B" w:rsidRPr="00C454F3" w:rsidRDefault="00504B8B" w:rsidP="00504B8B">
      <w:pPr>
        <w:pStyle w:val="CETHeading1"/>
      </w:pPr>
      <w:r w:rsidRPr="00C454F3">
        <w:t>Results and Discussion</w:t>
      </w:r>
    </w:p>
    <w:p w14:paraId="587804F6" w14:textId="50196CB8" w:rsidR="00504B8B" w:rsidRDefault="00504B8B" w:rsidP="0006347D">
      <w:pPr>
        <w:pStyle w:val="CETBodytext"/>
        <w:rPr>
          <w:lang w:val="en-GB"/>
        </w:rPr>
      </w:pPr>
      <w:r w:rsidRPr="00C454F3">
        <w:rPr>
          <w:lang w:val="en-GB"/>
        </w:rPr>
        <w:t xml:space="preserve">The </w:t>
      </w:r>
      <w:r w:rsidR="00C912C8" w:rsidRPr="00C454F3">
        <w:rPr>
          <w:lang w:val="en-GB"/>
        </w:rPr>
        <w:t xml:space="preserve">impact assessment </w:t>
      </w:r>
      <w:r w:rsidRPr="00C454F3">
        <w:rPr>
          <w:lang w:val="en-GB"/>
        </w:rPr>
        <w:t>results of the five different scenarios</w:t>
      </w:r>
      <w:r w:rsidRPr="00504B8B">
        <w:rPr>
          <w:lang w:val="en-GB"/>
        </w:rPr>
        <w:t xml:space="preserve"> considered are presented in </w:t>
      </w:r>
      <w:r w:rsidR="000D05DA">
        <w:rPr>
          <w:lang w:val="en-GB"/>
        </w:rPr>
        <w:fldChar w:fldCharType="begin"/>
      </w:r>
      <w:r w:rsidR="000D05DA">
        <w:rPr>
          <w:lang w:val="en-GB"/>
        </w:rPr>
        <w:instrText xml:space="preserve"> REF _Ref190266418 \h </w:instrText>
      </w:r>
      <w:r w:rsidR="000D05DA">
        <w:rPr>
          <w:lang w:val="en-GB"/>
        </w:rPr>
      </w:r>
      <w:r w:rsidR="000D05DA">
        <w:rPr>
          <w:lang w:val="en-GB"/>
        </w:rPr>
        <w:fldChar w:fldCharType="separate"/>
      </w:r>
      <w:r w:rsidR="000D05DA">
        <w:t xml:space="preserve">Table </w:t>
      </w:r>
      <w:r w:rsidR="000D05DA">
        <w:rPr>
          <w:noProof/>
        </w:rPr>
        <w:t>2</w:t>
      </w:r>
      <w:r w:rsidR="000D05DA">
        <w:rPr>
          <w:lang w:val="en-GB"/>
        </w:rPr>
        <w:fldChar w:fldCharType="end"/>
      </w:r>
      <w:r w:rsidR="000D05DA">
        <w:rPr>
          <w:lang w:val="en-GB"/>
        </w:rPr>
        <w:t xml:space="preserve"> </w:t>
      </w:r>
      <w:r w:rsidRPr="00504B8B">
        <w:rPr>
          <w:lang w:val="en-GB"/>
        </w:rPr>
        <w:t xml:space="preserve">as absolute values in UBP (eco-points), while in </w:t>
      </w:r>
      <w:r w:rsidR="000D05DA">
        <w:rPr>
          <w:highlight w:val="yellow"/>
          <w:lang w:val="en-GB"/>
        </w:rPr>
        <w:fldChar w:fldCharType="begin"/>
      </w:r>
      <w:r w:rsidR="000D05DA">
        <w:rPr>
          <w:lang w:val="en-GB"/>
        </w:rPr>
        <w:instrText xml:space="preserve"> REF _Ref190266427 \h </w:instrText>
      </w:r>
      <w:r w:rsidR="000D05DA">
        <w:rPr>
          <w:highlight w:val="yellow"/>
          <w:lang w:val="en-GB"/>
        </w:rPr>
      </w:r>
      <w:r w:rsidR="000D05DA">
        <w:rPr>
          <w:highlight w:val="yellow"/>
          <w:lang w:val="en-GB"/>
        </w:rPr>
        <w:fldChar w:fldCharType="separate"/>
      </w:r>
      <w:r w:rsidR="000D05DA" w:rsidRPr="000D05DA">
        <w:rPr>
          <w:rStyle w:val="CETCaptionCarattere"/>
          <w:i w:val="0"/>
          <w:lang w:val="en-US"/>
        </w:rPr>
        <w:t xml:space="preserve">Figure </w:t>
      </w:r>
      <w:r w:rsidR="000D05DA">
        <w:rPr>
          <w:rStyle w:val="CETCaptionCarattere"/>
          <w:i w:val="0"/>
          <w:noProof/>
        </w:rPr>
        <w:t>2</w:t>
      </w:r>
      <w:r w:rsidR="000D05DA">
        <w:rPr>
          <w:highlight w:val="yellow"/>
          <w:lang w:val="en-GB"/>
        </w:rPr>
        <w:fldChar w:fldCharType="end"/>
      </w:r>
      <w:r w:rsidRPr="00504B8B">
        <w:rPr>
          <w:lang w:val="en-GB"/>
        </w:rPr>
        <w:t xml:space="preserve"> the value of the impact categories for the different scenarios are reported as </w:t>
      </w:r>
      <w:r w:rsidR="00BA56FC">
        <w:rPr>
          <w:lang w:val="en-GB"/>
        </w:rPr>
        <w:t xml:space="preserve">a </w:t>
      </w:r>
      <w:r w:rsidRPr="00504B8B">
        <w:rPr>
          <w:lang w:val="en-GB"/>
        </w:rPr>
        <w:t xml:space="preserve">percentage of the highest impact value in that same category, i.e. for carcinogenic substances into air – total all the impact values percentages are calculated </w:t>
      </w:r>
      <w:r w:rsidR="00BA56FC">
        <w:rPr>
          <w:lang w:val="en-GB"/>
        </w:rPr>
        <w:t>based on</w:t>
      </w:r>
      <w:r w:rsidRPr="00504B8B">
        <w:rPr>
          <w:lang w:val="en-GB"/>
        </w:rPr>
        <w:t xml:space="preserve"> the impact of Scenario 1.</w:t>
      </w:r>
    </w:p>
    <w:p w14:paraId="2A8D23C5" w14:textId="13967567" w:rsidR="000D05DA" w:rsidRDefault="000D05DA" w:rsidP="000D05DA">
      <w:pPr>
        <w:pStyle w:val="CETTabletitle"/>
      </w:pPr>
      <w:bookmarkStart w:id="3" w:name="_Ref190266418"/>
      <w:r>
        <w:t xml:space="preserve">Table </w:t>
      </w:r>
      <w:r>
        <w:fldChar w:fldCharType="begin"/>
      </w:r>
      <w:r>
        <w:instrText xml:space="preserve"> SEQ Table \* ARABIC </w:instrText>
      </w:r>
      <w:r>
        <w:fldChar w:fldCharType="separate"/>
      </w:r>
      <w:r>
        <w:rPr>
          <w:noProof/>
        </w:rPr>
        <w:t>2</w:t>
      </w:r>
      <w:r>
        <w:fldChar w:fldCharType="end"/>
      </w:r>
      <w:bookmarkEnd w:id="3"/>
      <w:r>
        <w:t xml:space="preserve"> </w:t>
      </w:r>
      <w:r w:rsidRPr="004A1DEC">
        <w:t>Life cycle assessment results for the different scenarios considered</w:t>
      </w:r>
      <w:r w:rsidR="00BA56FC">
        <w:t>.</w:t>
      </w:r>
    </w:p>
    <w:tbl>
      <w:tblPr>
        <w:tblW w:w="500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985"/>
        <w:gridCol w:w="531"/>
        <w:gridCol w:w="1255"/>
        <w:gridCol w:w="1255"/>
        <w:gridCol w:w="1255"/>
        <w:gridCol w:w="1253"/>
        <w:gridCol w:w="1253"/>
      </w:tblGrid>
      <w:tr w:rsidR="00F766F3" w:rsidRPr="00D62375" w14:paraId="4D7C47F6" w14:textId="77777777" w:rsidTr="008043ED">
        <w:tc>
          <w:tcPr>
            <w:tcW w:w="1130" w:type="pct"/>
            <w:tcBorders>
              <w:top w:val="single" w:sz="12" w:space="0" w:color="008000"/>
              <w:bottom w:val="single" w:sz="6" w:space="0" w:color="008000"/>
            </w:tcBorders>
            <w:shd w:val="clear" w:color="auto" w:fill="FFFFFF"/>
          </w:tcPr>
          <w:p w14:paraId="04C8E6DA" w14:textId="77777777" w:rsidR="00F766F3" w:rsidRPr="00E971C0" w:rsidRDefault="00F766F3" w:rsidP="00C05622">
            <w:pPr>
              <w:pStyle w:val="CETBodytext"/>
              <w:spacing w:line="240" w:lineRule="auto"/>
              <w:rPr>
                <w:lang w:val="en-GB"/>
              </w:rPr>
            </w:pPr>
            <w:r w:rsidRPr="006718B9">
              <w:t>Impact categories</w:t>
            </w:r>
          </w:p>
        </w:tc>
        <w:tc>
          <w:tcPr>
            <w:tcW w:w="302" w:type="pct"/>
            <w:tcBorders>
              <w:top w:val="single" w:sz="12" w:space="0" w:color="008000"/>
              <w:bottom w:val="single" w:sz="6" w:space="0" w:color="008000"/>
            </w:tcBorders>
            <w:shd w:val="clear" w:color="auto" w:fill="FFFFFF"/>
          </w:tcPr>
          <w:p w14:paraId="2A4CF404" w14:textId="77777777" w:rsidR="00F766F3" w:rsidRPr="00E971C0" w:rsidRDefault="00F766F3" w:rsidP="00C05622">
            <w:pPr>
              <w:pStyle w:val="CETBodytext"/>
              <w:spacing w:line="240" w:lineRule="auto"/>
              <w:rPr>
                <w:lang w:val="en-GB"/>
              </w:rPr>
            </w:pPr>
            <w:r w:rsidRPr="006718B9">
              <w:t>Unit</w:t>
            </w:r>
          </w:p>
        </w:tc>
        <w:tc>
          <w:tcPr>
            <w:tcW w:w="714" w:type="pct"/>
            <w:tcBorders>
              <w:top w:val="single" w:sz="12" w:space="0" w:color="008000"/>
              <w:bottom w:val="single" w:sz="6" w:space="0" w:color="008000"/>
            </w:tcBorders>
            <w:shd w:val="clear" w:color="auto" w:fill="FFFFFF"/>
          </w:tcPr>
          <w:p w14:paraId="653A077B" w14:textId="77777777" w:rsidR="00F766F3" w:rsidRPr="00E971C0" w:rsidRDefault="00F766F3" w:rsidP="00C05622">
            <w:pPr>
              <w:pStyle w:val="CETBodytext"/>
              <w:spacing w:line="240" w:lineRule="auto"/>
              <w:rPr>
                <w:lang w:val="en-GB"/>
              </w:rPr>
            </w:pPr>
            <w:r w:rsidRPr="006718B9">
              <w:t>Scenario 1</w:t>
            </w:r>
          </w:p>
        </w:tc>
        <w:tc>
          <w:tcPr>
            <w:tcW w:w="714" w:type="pct"/>
            <w:tcBorders>
              <w:top w:val="single" w:sz="12" w:space="0" w:color="008000"/>
              <w:bottom w:val="single" w:sz="6" w:space="0" w:color="008000"/>
            </w:tcBorders>
            <w:shd w:val="clear" w:color="auto" w:fill="FFFFFF"/>
          </w:tcPr>
          <w:p w14:paraId="7E3DE534" w14:textId="77777777" w:rsidR="00F766F3" w:rsidRDefault="00F766F3" w:rsidP="00C05622">
            <w:pPr>
              <w:pStyle w:val="CETBodytext"/>
              <w:spacing w:line="240" w:lineRule="auto"/>
              <w:rPr>
                <w:lang w:val="en-GB"/>
              </w:rPr>
            </w:pPr>
            <w:r w:rsidRPr="006718B9">
              <w:t>Scenario 2a</w:t>
            </w:r>
          </w:p>
        </w:tc>
        <w:tc>
          <w:tcPr>
            <w:tcW w:w="714" w:type="pct"/>
            <w:tcBorders>
              <w:top w:val="single" w:sz="12" w:space="0" w:color="008000"/>
              <w:bottom w:val="single" w:sz="6" w:space="0" w:color="008000"/>
            </w:tcBorders>
            <w:shd w:val="clear" w:color="auto" w:fill="FFFFFF"/>
          </w:tcPr>
          <w:p w14:paraId="278EEED5" w14:textId="77777777" w:rsidR="00F766F3" w:rsidRDefault="00F766F3" w:rsidP="00C05622">
            <w:pPr>
              <w:pStyle w:val="CETBodytext"/>
              <w:spacing w:line="240" w:lineRule="auto"/>
              <w:rPr>
                <w:lang w:val="en-GB"/>
              </w:rPr>
            </w:pPr>
            <w:r w:rsidRPr="006718B9">
              <w:t>Scenario 2b</w:t>
            </w:r>
          </w:p>
        </w:tc>
        <w:tc>
          <w:tcPr>
            <w:tcW w:w="713" w:type="pct"/>
            <w:tcBorders>
              <w:top w:val="single" w:sz="12" w:space="0" w:color="008000"/>
              <w:bottom w:val="single" w:sz="6" w:space="0" w:color="008000"/>
            </w:tcBorders>
            <w:shd w:val="clear" w:color="auto" w:fill="FFFFFF"/>
          </w:tcPr>
          <w:p w14:paraId="316D2D6F" w14:textId="77777777" w:rsidR="00F766F3" w:rsidRDefault="00F766F3" w:rsidP="00C05622">
            <w:pPr>
              <w:pStyle w:val="CETBodytext"/>
              <w:spacing w:line="240" w:lineRule="auto"/>
              <w:rPr>
                <w:lang w:val="en-GB"/>
              </w:rPr>
            </w:pPr>
            <w:r w:rsidRPr="006718B9">
              <w:t>Scenario 2c</w:t>
            </w:r>
          </w:p>
        </w:tc>
        <w:tc>
          <w:tcPr>
            <w:tcW w:w="713" w:type="pct"/>
            <w:tcBorders>
              <w:top w:val="single" w:sz="12" w:space="0" w:color="008000"/>
              <w:bottom w:val="single" w:sz="6" w:space="0" w:color="008000"/>
            </w:tcBorders>
            <w:shd w:val="clear" w:color="auto" w:fill="FFFFFF"/>
          </w:tcPr>
          <w:p w14:paraId="4474BCD0" w14:textId="77777777" w:rsidR="00F766F3" w:rsidRDefault="00F766F3" w:rsidP="00C05622">
            <w:pPr>
              <w:pStyle w:val="CETBodytext"/>
              <w:spacing w:line="240" w:lineRule="auto"/>
              <w:rPr>
                <w:lang w:val="en-GB"/>
              </w:rPr>
            </w:pPr>
            <w:r w:rsidRPr="006718B9">
              <w:t>Scenario 2d</w:t>
            </w:r>
          </w:p>
        </w:tc>
      </w:tr>
      <w:tr w:rsidR="00F766F3" w:rsidRPr="00B57B36" w14:paraId="63407269" w14:textId="77777777" w:rsidTr="008043ED">
        <w:tc>
          <w:tcPr>
            <w:tcW w:w="1130" w:type="pct"/>
            <w:shd w:val="clear" w:color="auto" w:fill="FFFFFF"/>
          </w:tcPr>
          <w:p w14:paraId="33E17E63" w14:textId="77777777" w:rsidR="00F766F3" w:rsidRPr="00E971C0" w:rsidRDefault="00F766F3" w:rsidP="00C05622">
            <w:pPr>
              <w:pStyle w:val="CETBodytext"/>
              <w:spacing w:line="240" w:lineRule="auto"/>
              <w:rPr>
                <w:lang w:val="en-GB"/>
              </w:rPr>
            </w:pPr>
            <w:r w:rsidRPr="00F766F3">
              <w:rPr>
                <w:lang w:val="en-GB"/>
              </w:rPr>
              <w:t>carcinogenic substances into air - total</w:t>
            </w:r>
          </w:p>
        </w:tc>
        <w:tc>
          <w:tcPr>
            <w:tcW w:w="302" w:type="pct"/>
            <w:shd w:val="clear" w:color="auto" w:fill="FFFFFF"/>
          </w:tcPr>
          <w:p w14:paraId="6CBA6385" w14:textId="77777777" w:rsidR="00F766F3" w:rsidRPr="00E971C0" w:rsidRDefault="00F766F3" w:rsidP="00C05622">
            <w:pPr>
              <w:pStyle w:val="CETBodytext"/>
              <w:spacing w:line="240" w:lineRule="auto"/>
              <w:rPr>
                <w:lang w:val="en-GB"/>
              </w:rPr>
            </w:pPr>
            <w:r w:rsidRPr="00F766F3">
              <w:rPr>
                <w:lang w:val="en-GB"/>
              </w:rPr>
              <w:t>UBP</w:t>
            </w:r>
          </w:p>
        </w:tc>
        <w:tc>
          <w:tcPr>
            <w:tcW w:w="714" w:type="pct"/>
            <w:shd w:val="clear" w:color="auto" w:fill="FFFFFF"/>
          </w:tcPr>
          <w:p w14:paraId="4588D110" w14:textId="77777777" w:rsidR="00F766F3" w:rsidRPr="00E971C0" w:rsidRDefault="00F766F3" w:rsidP="00C05622">
            <w:pPr>
              <w:pStyle w:val="CETBodytext"/>
              <w:spacing w:line="240" w:lineRule="auto"/>
              <w:rPr>
                <w:lang w:val="en-GB"/>
              </w:rPr>
            </w:pPr>
            <w:r w:rsidRPr="00F766F3">
              <w:rPr>
                <w:lang w:val="en-GB"/>
              </w:rPr>
              <w:t>8,822.55</w:t>
            </w:r>
          </w:p>
        </w:tc>
        <w:tc>
          <w:tcPr>
            <w:tcW w:w="714" w:type="pct"/>
            <w:shd w:val="clear" w:color="auto" w:fill="FFFFFF"/>
          </w:tcPr>
          <w:p w14:paraId="2CC93472" w14:textId="77777777" w:rsidR="00F766F3" w:rsidRDefault="00F766F3" w:rsidP="00C05622">
            <w:pPr>
              <w:pStyle w:val="CETBodytext"/>
              <w:spacing w:line="240" w:lineRule="auto"/>
              <w:rPr>
                <w:lang w:val="en-GB"/>
              </w:rPr>
            </w:pPr>
            <w:r w:rsidRPr="00F766F3">
              <w:rPr>
                <w:lang w:val="en-GB"/>
              </w:rPr>
              <w:t>933.25</w:t>
            </w:r>
          </w:p>
        </w:tc>
        <w:tc>
          <w:tcPr>
            <w:tcW w:w="714" w:type="pct"/>
            <w:shd w:val="clear" w:color="auto" w:fill="FFFFFF"/>
          </w:tcPr>
          <w:p w14:paraId="3DEDC6E4" w14:textId="77777777" w:rsidR="00F766F3" w:rsidRDefault="00F766F3" w:rsidP="00C05622">
            <w:pPr>
              <w:pStyle w:val="CETBodytext"/>
              <w:spacing w:line="240" w:lineRule="auto"/>
              <w:rPr>
                <w:lang w:val="en-GB"/>
              </w:rPr>
            </w:pPr>
            <w:r w:rsidRPr="00F766F3">
              <w:rPr>
                <w:lang w:val="en-GB"/>
              </w:rPr>
              <w:t>951.75</w:t>
            </w:r>
          </w:p>
        </w:tc>
        <w:tc>
          <w:tcPr>
            <w:tcW w:w="713" w:type="pct"/>
            <w:shd w:val="clear" w:color="auto" w:fill="FFFFFF"/>
          </w:tcPr>
          <w:p w14:paraId="65F3EB9F" w14:textId="77777777" w:rsidR="00F766F3" w:rsidRDefault="00F766F3" w:rsidP="00C05622">
            <w:pPr>
              <w:pStyle w:val="CETBodytext"/>
              <w:spacing w:line="240" w:lineRule="auto"/>
              <w:rPr>
                <w:lang w:val="en-GB"/>
              </w:rPr>
            </w:pPr>
            <w:r w:rsidRPr="00F766F3">
              <w:rPr>
                <w:lang w:val="en-GB"/>
              </w:rPr>
              <w:t>1,099.77</w:t>
            </w:r>
          </w:p>
        </w:tc>
        <w:tc>
          <w:tcPr>
            <w:tcW w:w="713" w:type="pct"/>
            <w:shd w:val="clear" w:color="auto" w:fill="FFFFFF"/>
          </w:tcPr>
          <w:p w14:paraId="59A327F3" w14:textId="77777777" w:rsidR="00F766F3" w:rsidRDefault="00F766F3" w:rsidP="00C05622">
            <w:pPr>
              <w:pStyle w:val="CETBodytext"/>
              <w:spacing w:line="240" w:lineRule="auto"/>
              <w:rPr>
                <w:lang w:val="en-GB"/>
              </w:rPr>
            </w:pPr>
            <w:r w:rsidRPr="00F766F3">
              <w:rPr>
                <w:lang w:val="en-GB"/>
              </w:rPr>
              <w:t>1,284.79</w:t>
            </w:r>
          </w:p>
        </w:tc>
      </w:tr>
      <w:tr w:rsidR="00F766F3" w:rsidRPr="00B57B36" w14:paraId="0744492F" w14:textId="77777777" w:rsidTr="008043ED">
        <w:tc>
          <w:tcPr>
            <w:tcW w:w="1130" w:type="pct"/>
            <w:shd w:val="clear" w:color="auto" w:fill="FFFFFF"/>
          </w:tcPr>
          <w:p w14:paraId="3A721DE1" w14:textId="77777777" w:rsidR="00F766F3" w:rsidRPr="00F766F3" w:rsidRDefault="00F766F3" w:rsidP="00F766F3">
            <w:pPr>
              <w:pStyle w:val="CETBodytext"/>
              <w:spacing w:line="240" w:lineRule="auto"/>
              <w:rPr>
                <w:lang w:val="en-GB"/>
              </w:rPr>
            </w:pPr>
            <w:r w:rsidRPr="00F766F3">
              <w:rPr>
                <w:lang w:val="en-GB"/>
              </w:rPr>
              <w:t>energy resources - total</w:t>
            </w:r>
          </w:p>
        </w:tc>
        <w:tc>
          <w:tcPr>
            <w:tcW w:w="302" w:type="pct"/>
            <w:shd w:val="clear" w:color="auto" w:fill="FFFFFF"/>
          </w:tcPr>
          <w:p w14:paraId="46F1249E" w14:textId="77777777" w:rsidR="00F766F3" w:rsidRPr="00F766F3" w:rsidRDefault="00F766F3" w:rsidP="00F766F3">
            <w:pPr>
              <w:pStyle w:val="CETBodytext"/>
              <w:spacing w:line="240" w:lineRule="auto"/>
              <w:rPr>
                <w:lang w:val="en-GB"/>
              </w:rPr>
            </w:pPr>
            <w:r w:rsidRPr="00F766F3">
              <w:rPr>
                <w:lang w:val="en-GB"/>
              </w:rPr>
              <w:t>UBP</w:t>
            </w:r>
          </w:p>
        </w:tc>
        <w:tc>
          <w:tcPr>
            <w:tcW w:w="714" w:type="pct"/>
            <w:shd w:val="clear" w:color="auto" w:fill="FFFFFF"/>
          </w:tcPr>
          <w:p w14:paraId="2C16A01C" w14:textId="77777777" w:rsidR="00F766F3" w:rsidRPr="00F766F3" w:rsidRDefault="00F766F3" w:rsidP="00F766F3">
            <w:pPr>
              <w:pStyle w:val="CETBodytext"/>
              <w:spacing w:line="240" w:lineRule="auto"/>
              <w:rPr>
                <w:lang w:val="en-GB"/>
              </w:rPr>
            </w:pPr>
            <w:r w:rsidRPr="00F766F3">
              <w:rPr>
                <w:lang w:val="en-GB"/>
              </w:rPr>
              <w:t>0</w:t>
            </w:r>
          </w:p>
        </w:tc>
        <w:tc>
          <w:tcPr>
            <w:tcW w:w="714" w:type="pct"/>
            <w:shd w:val="clear" w:color="auto" w:fill="FFFFFF"/>
          </w:tcPr>
          <w:p w14:paraId="7B091C6C" w14:textId="77777777" w:rsidR="00F766F3" w:rsidRPr="00F766F3" w:rsidRDefault="00F766F3" w:rsidP="00F766F3">
            <w:pPr>
              <w:pStyle w:val="CETBodytext"/>
              <w:spacing w:line="240" w:lineRule="auto"/>
              <w:rPr>
                <w:lang w:val="en-GB"/>
              </w:rPr>
            </w:pPr>
            <w:r w:rsidRPr="00F766F3">
              <w:rPr>
                <w:lang w:val="en-GB"/>
              </w:rPr>
              <w:t>0</w:t>
            </w:r>
          </w:p>
        </w:tc>
        <w:tc>
          <w:tcPr>
            <w:tcW w:w="714" w:type="pct"/>
            <w:shd w:val="clear" w:color="auto" w:fill="FFFFFF"/>
          </w:tcPr>
          <w:p w14:paraId="27945BAA" w14:textId="77777777" w:rsidR="00F766F3" w:rsidRPr="00F766F3" w:rsidRDefault="00F766F3" w:rsidP="00F766F3">
            <w:pPr>
              <w:pStyle w:val="CETBodytext"/>
              <w:spacing w:line="240" w:lineRule="auto"/>
              <w:rPr>
                <w:lang w:val="en-GB"/>
              </w:rPr>
            </w:pPr>
            <w:r w:rsidRPr="00F766F3">
              <w:rPr>
                <w:lang w:val="en-GB"/>
              </w:rPr>
              <w:t>0</w:t>
            </w:r>
          </w:p>
        </w:tc>
        <w:tc>
          <w:tcPr>
            <w:tcW w:w="713" w:type="pct"/>
            <w:shd w:val="clear" w:color="auto" w:fill="FFFFFF"/>
          </w:tcPr>
          <w:p w14:paraId="018D4920" w14:textId="77777777" w:rsidR="00F766F3" w:rsidRPr="00F766F3" w:rsidRDefault="00F766F3" w:rsidP="00F766F3">
            <w:pPr>
              <w:pStyle w:val="CETBodytext"/>
              <w:spacing w:line="240" w:lineRule="auto"/>
              <w:rPr>
                <w:lang w:val="en-GB"/>
              </w:rPr>
            </w:pPr>
            <w:r w:rsidRPr="00F766F3">
              <w:rPr>
                <w:lang w:val="en-GB"/>
              </w:rPr>
              <w:t>0</w:t>
            </w:r>
          </w:p>
        </w:tc>
        <w:tc>
          <w:tcPr>
            <w:tcW w:w="713" w:type="pct"/>
            <w:shd w:val="clear" w:color="auto" w:fill="FFFFFF"/>
          </w:tcPr>
          <w:p w14:paraId="243B053A" w14:textId="77777777" w:rsidR="00F766F3" w:rsidRPr="00F766F3" w:rsidRDefault="00F766F3" w:rsidP="00F766F3">
            <w:pPr>
              <w:pStyle w:val="CETBodytext"/>
              <w:spacing w:line="240" w:lineRule="auto"/>
              <w:rPr>
                <w:lang w:val="en-GB"/>
              </w:rPr>
            </w:pPr>
            <w:r w:rsidRPr="00F766F3">
              <w:rPr>
                <w:lang w:val="en-GB"/>
              </w:rPr>
              <w:t>0</w:t>
            </w:r>
          </w:p>
        </w:tc>
      </w:tr>
      <w:tr w:rsidR="00F766F3" w:rsidRPr="00B57B36" w14:paraId="774361DA" w14:textId="77777777" w:rsidTr="008043ED">
        <w:tc>
          <w:tcPr>
            <w:tcW w:w="1130" w:type="pct"/>
            <w:shd w:val="clear" w:color="auto" w:fill="FFFFFF"/>
          </w:tcPr>
          <w:p w14:paraId="61B83726" w14:textId="77777777" w:rsidR="00F766F3" w:rsidRPr="00F766F3" w:rsidRDefault="00F766F3" w:rsidP="00F766F3">
            <w:pPr>
              <w:pStyle w:val="CETBodytext"/>
              <w:spacing w:line="240" w:lineRule="auto"/>
              <w:rPr>
                <w:lang w:val="en-GB"/>
              </w:rPr>
            </w:pPr>
            <w:r w:rsidRPr="00F766F3">
              <w:rPr>
                <w:lang w:val="en-GB"/>
              </w:rPr>
              <w:t>global warming - total</w:t>
            </w:r>
          </w:p>
        </w:tc>
        <w:tc>
          <w:tcPr>
            <w:tcW w:w="302" w:type="pct"/>
            <w:shd w:val="clear" w:color="auto" w:fill="FFFFFF"/>
          </w:tcPr>
          <w:p w14:paraId="73288F4C" w14:textId="77777777" w:rsidR="00F766F3" w:rsidRPr="00F766F3" w:rsidRDefault="00F766F3" w:rsidP="00F766F3">
            <w:pPr>
              <w:pStyle w:val="CETBodytext"/>
              <w:spacing w:line="240" w:lineRule="auto"/>
              <w:rPr>
                <w:lang w:val="en-GB"/>
              </w:rPr>
            </w:pPr>
            <w:r w:rsidRPr="00F766F3">
              <w:rPr>
                <w:lang w:val="en-GB"/>
              </w:rPr>
              <w:t>UBP</w:t>
            </w:r>
          </w:p>
        </w:tc>
        <w:tc>
          <w:tcPr>
            <w:tcW w:w="714" w:type="pct"/>
            <w:shd w:val="clear" w:color="auto" w:fill="FFFFFF"/>
          </w:tcPr>
          <w:p w14:paraId="760E3AB6" w14:textId="77777777" w:rsidR="00F766F3" w:rsidRPr="00F766F3" w:rsidRDefault="00F766F3" w:rsidP="00F766F3">
            <w:pPr>
              <w:pStyle w:val="CETBodytext"/>
              <w:spacing w:line="240" w:lineRule="auto"/>
              <w:rPr>
                <w:lang w:val="en-GB"/>
              </w:rPr>
            </w:pPr>
            <w:r w:rsidRPr="00F766F3">
              <w:rPr>
                <w:lang w:val="en-GB"/>
              </w:rPr>
              <w:t>4.89E+05</w:t>
            </w:r>
          </w:p>
        </w:tc>
        <w:tc>
          <w:tcPr>
            <w:tcW w:w="714" w:type="pct"/>
            <w:shd w:val="clear" w:color="auto" w:fill="FFFFFF"/>
          </w:tcPr>
          <w:p w14:paraId="1AEF4BBC" w14:textId="77777777" w:rsidR="00F766F3" w:rsidRPr="00F766F3" w:rsidRDefault="00F766F3" w:rsidP="00F766F3">
            <w:pPr>
              <w:pStyle w:val="CETBodytext"/>
              <w:spacing w:line="240" w:lineRule="auto"/>
              <w:rPr>
                <w:lang w:val="en-GB"/>
              </w:rPr>
            </w:pPr>
            <w:r w:rsidRPr="00F766F3">
              <w:rPr>
                <w:lang w:val="en-GB"/>
              </w:rPr>
              <w:t>4.67E+05</w:t>
            </w:r>
          </w:p>
        </w:tc>
        <w:tc>
          <w:tcPr>
            <w:tcW w:w="714" w:type="pct"/>
            <w:shd w:val="clear" w:color="auto" w:fill="FFFFFF"/>
          </w:tcPr>
          <w:p w14:paraId="69392943" w14:textId="77777777" w:rsidR="00F766F3" w:rsidRPr="00F766F3" w:rsidRDefault="00F766F3" w:rsidP="00F766F3">
            <w:pPr>
              <w:pStyle w:val="CETBodytext"/>
              <w:spacing w:line="240" w:lineRule="auto"/>
              <w:rPr>
                <w:lang w:val="en-GB"/>
              </w:rPr>
            </w:pPr>
            <w:r w:rsidRPr="00F766F3">
              <w:rPr>
                <w:lang w:val="en-GB"/>
              </w:rPr>
              <w:t>4.67E+05</w:t>
            </w:r>
          </w:p>
        </w:tc>
        <w:tc>
          <w:tcPr>
            <w:tcW w:w="713" w:type="pct"/>
            <w:shd w:val="clear" w:color="auto" w:fill="FFFFFF"/>
          </w:tcPr>
          <w:p w14:paraId="50F0D17F" w14:textId="77777777" w:rsidR="00F766F3" w:rsidRPr="00F766F3" w:rsidRDefault="00F766F3" w:rsidP="00F766F3">
            <w:pPr>
              <w:pStyle w:val="CETBodytext"/>
              <w:spacing w:line="240" w:lineRule="auto"/>
              <w:rPr>
                <w:lang w:val="en-GB"/>
              </w:rPr>
            </w:pPr>
            <w:r w:rsidRPr="00F766F3">
              <w:rPr>
                <w:lang w:val="en-GB"/>
              </w:rPr>
              <w:t>4.67E+05</w:t>
            </w:r>
          </w:p>
        </w:tc>
        <w:tc>
          <w:tcPr>
            <w:tcW w:w="713" w:type="pct"/>
            <w:shd w:val="clear" w:color="auto" w:fill="FFFFFF"/>
          </w:tcPr>
          <w:p w14:paraId="41A1CD07" w14:textId="77777777" w:rsidR="00F766F3" w:rsidRPr="00F766F3" w:rsidRDefault="00F766F3" w:rsidP="00F766F3">
            <w:pPr>
              <w:pStyle w:val="CETBodytext"/>
              <w:spacing w:line="240" w:lineRule="auto"/>
              <w:rPr>
                <w:lang w:val="en-GB"/>
              </w:rPr>
            </w:pPr>
            <w:r w:rsidRPr="00F766F3">
              <w:rPr>
                <w:lang w:val="en-GB"/>
              </w:rPr>
              <w:t>4.68E+05</w:t>
            </w:r>
          </w:p>
        </w:tc>
      </w:tr>
      <w:tr w:rsidR="00F766F3" w:rsidRPr="00B57B36" w14:paraId="2E3B91E6" w14:textId="77777777" w:rsidTr="008043ED">
        <w:tc>
          <w:tcPr>
            <w:tcW w:w="1130" w:type="pct"/>
            <w:shd w:val="clear" w:color="auto" w:fill="FFFFFF"/>
          </w:tcPr>
          <w:p w14:paraId="6F0DE001" w14:textId="77777777" w:rsidR="00F766F3" w:rsidRPr="00F766F3" w:rsidRDefault="00F766F3" w:rsidP="00F766F3">
            <w:pPr>
              <w:pStyle w:val="CETBodytext"/>
              <w:spacing w:line="240" w:lineRule="auto"/>
              <w:rPr>
                <w:lang w:val="en-GB"/>
              </w:rPr>
            </w:pPr>
            <w:r w:rsidRPr="00F766F3">
              <w:rPr>
                <w:lang w:val="en-GB"/>
              </w:rPr>
              <w:t>heavy metals into air - total</w:t>
            </w:r>
          </w:p>
        </w:tc>
        <w:tc>
          <w:tcPr>
            <w:tcW w:w="302" w:type="pct"/>
            <w:shd w:val="clear" w:color="auto" w:fill="FFFFFF"/>
          </w:tcPr>
          <w:p w14:paraId="0257714A" w14:textId="77777777" w:rsidR="00F766F3" w:rsidRPr="00F766F3" w:rsidRDefault="00F766F3" w:rsidP="00F766F3">
            <w:pPr>
              <w:pStyle w:val="CETBodytext"/>
              <w:spacing w:line="240" w:lineRule="auto"/>
              <w:rPr>
                <w:lang w:val="en-GB"/>
              </w:rPr>
            </w:pPr>
            <w:r w:rsidRPr="00F766F3">
              <w:rPr>
                <w:lang w:val="en-GB"/>
              </w:rPr>
              <w:t>UBP</w:t>
            </w:r>
          </w:p>
        </w:tc>
        <w:tc>
          <w:tcPr>
            <w:tcW w:w="714" w:type="pct"/>
            <w:shd w:val="clear" w:color="auto" w:fill="FFFFFF"/>
          </w:tcPr>
          <w:p w14:paraId="6FA1DF26" w14:textId="77777777" w:rsidR="00F766F3" w:rsidRPr="00F766F3" w:rsidRDefault="00F766F3" w:rsidP="00F766F3">
            <w:pPr>
              <w:pStyle w:val="CETBodytext"/>
              <w:spacing w:line="240" w:lineRule="auto"/>
              <w:rPr>
                <w:lang w:val="en-GB"/>
              </w:rPr>
            </w:pPr>
            <w:r w:rsidRPr="00F766F3">
              <w:rPr>
                <w:lang w:val="en-GB"/>
              </w:rPr>
              <w:t>1.16E+05</w:t>
            </w:r>
          </w:p>
        </w:tc>
        <w:tc>
          <w:tcPr>
            <w:tcW w:w="714" w:type="pct"/>
            <w:shd w:val="clear" w:color="auto" w:fill="FFFFFF"/>
          </w:tcPr>
          <w:p w14:paraId="2FFAA8A6" w14:textId="77777777" w:rsidR="00F766F3" w:rsidRPr="00F766F3" w:rsidRDefault="00F766F3" w:rsidP="00F766F3">
            <w:pPr>
              <w:pStyle w:val="CETBodytext"/>
              <w:spacing w:line="240" w:lineRule="auto"/>
              <w:rPr>
                <w:lang w:val="en-GB"/>
              </w:rPr>
            </w:pPr>
            <w:r w:rsidRPr="00F766F3">
              <w:rPr>
                <w:lang w:val="en-GB"/>
              </w:rPr>
              <w:t>1.11E+05</w:t>
            </w:r>
          </w:p>
        </w:tc>
        <w:tc>
          <w:tcPr>
            <w:tcW w:w="714" w:type="pct"/>
            <w:shd w:val="clear" w:color="auto" w:fill="FFFFFF"/>
          </w:tcPr>
          <w:p w14:paraId="3E24ABD1" w14:textId="77777777" w:rsidR="00F766F3" w:rsidRPr="00F766F3" w:rsidRDefault="00F766F3" w:rsidP="00F766F3">
            <w:pPr>
              <w:pStyle w:val="CETBodytext"/>
              <w:spacing w:line="240" w:lineRule="auto"/>
              <w:rPr>
                <w:lang w:val="en-GB"/>
              </w:rPr>
            </w:pPr>
            <w:r w:rsidRPr="00F766F3">
              <w:rPr>
                <w:lang w:val="en-GB"/>
              </w:rPr>
              <w:t>1.11E+05</w:t>
            </w:r>
          </w:p>
        </w:tc>
        <w:tc>
          <w:tcPr>
            <w:tcW w:w="713" w:type="pct"/>
            <w:shd w:val="clear" w:color="auto" w:fill="FFFFFF"/>
          </w:tcPr>
          <w:p w14:paraId="1FE03DA8" w14:textId="77777777" w:rsidR="00F766F3" w:rsidRPr="00F766F3" w:rsidRDefault="00F766F3" w:rsidP="00F766F3">
            <w:pPr>
              <w:pStyle w:val="CETBodytext"/>
              <w:spacing w:line="240" w:lineRule="auto"/>
              <w:rPr>
                <w:lang w:val="en-GB"/>
              </w:rPr>
            </w:pPr>
            <w:r w:rsidRPr="00F766F3">
              <w:rPr>
                <w:lang w:val="en-GB"/>
              </w:rPr>
              <w:t>1.11E+05</w:t>
            </w:r>
          </w:p>
        </w:tc>
        <w:tc>
          <w:tcPr>
            <w:tcW w:w="713" w:type="pct"/>
            <w:shd w:val="clear" w:color="auto" w:fill="FFFFFF"/>
          </w:tcPr>
          <w:p w14:paraId="78AA0981" w14:textId="77777777" w:rsidR="00F766F3" w:rsidRPr="00F766F3" w:rsidRDefault="00F766F3" w:rsidP="00F766F3">
            <w:pPr>
              <w:pStyle w:val="CETBodytext"/>
              <w:spacing w:line="240" w:lineRule="auto"/>
              <w:rPr>
                <w:lang w:val="en-GB"/>
              </w:rPr>
            </w:pPr>
            <w:r w:rsidRPr="00F766F3">
              <w:rPr>
                <w:lang w:val="en-GB"/>
              </w:rPr>
              <w:t>1.12E+05</w:t>
            </w:r>
          </w:p>
        </w:tc>
      </w:tr>
      <w:tr w:rsidR="00F766F3" w:rsidRPr="00B57B36" w14:paraId="27A05A5F" w14:textId="77777777" w:rsidTr="008043ED">
        <w:tc>
          <w:tcPr>
            <w:tcW w:w="1130" w:type="pct"/>
            <w:shd w:val="clear" w:color="auto" w:fill="FFFFFF"/>
          </w:tcPr>
          <w:p w14:paraId="3E58FE18" w14:textId="77777777" w:rsidR="00F766F3" w:rsidRPr="00F766F3" w:rsidRDefault="00F766F3" w:rsidP="00F766F3">
            <w:pPr>
              <w:pStyle w:val="CETBodytext"/>
              <w:spacing w:line="240" w:lineRule="auto"/>
              <w:rPr>
                <w:lang w:val="en-GB"/>
              </w:rPr>
            </w:pPr>
            <w:r w:rsidRPr="00F766F3">
              <w:rPr>
                <w:lang w:val="en-GB"/>
              </w:rPr>
              <w:t>heavy metals into soil - total</w:t>
            </w:r>
          </w:p>
        </w:tc>
        <w:tc>
          <w:tcPr>
            <w:tcW w:w="302" w:type="pct"/>
            <w:shd w:val="clear" w:color="auto" w:fill="FFFFFF"/>
          </w:tcPr>
          <w:p w14:paraId="7718BAE1" w14:textId="77777777" w:rsidR="00F766F3" w:rsidRPr="00F766F3" w:rsidRDefault="00F766F3" w:rsidP="00F766F3">
            <w:pPr>
              <w:pStyle w:val="CETBodytext"/>
              <w:spacing w:line="240" w:lineRule="auto"/>
              <w:rPr>
                <w:lang w:val="en-GB"/>
              </w:rPr>
            </w:pPr>
            <w:r w:rsidRPr="00F766F3">
              <w:rPr>
                <w:lang w:val="en-GB"/>
              </w:rPr>
              <w:t>UBP</w:t>
            </w:r>
          </w:p>
        </w:tc>
        <w:tc>
          <w:tcPr>
            <w:tcW w:w="714" w:type="pct"/>
            <w:shd w:val="clear" w:color="auto" w:fill="FFFFFF"/>
          </w:tcPr>
          <w:p w14:paraId="0AC6339E" w14:textId="77777777" w:rsidR="00F766F3" w:rsidRPr="00F766F3" w:rsidRDefault="00F766F3" w:rsidP="00F766F3">
            <w:pPr>
              <w:pStyle w:val="CETBodytext"/>
              <w:spacing w:line="240" w:lineRule="auto"/>
              <w:rPr>
                <w:lang w:val="en-GB"/>
              </w:rPr>
            </w:pPr>
            <w:r w:rsidRPr="00F766F3">
              <w:rPr>
                <w:lang w:val="en-GB"/>
              </w:rPr>
              <w:t>4,497.82</w:t>
            </w:r>
          </w:p>
        </w:tc>
        <w:tc>
          <w:tcPr>
            <w:tcW w:w="714" w:type="pct"/>
            <w:shd w:val="clear" w:color="auto" w:fill="FFFFFF"/>
          </w:tcPr>
          <w:p w14:paraId="70B6DAD6" w14:textId="77777777" w:rsidR="00F766F3" w:rsidRPr="00F766F3" w:rsidRDefault="00F766F3" w:rsidP="00F766F3">
            <w:pPr>
              <w:pStyle w:val="CETBodytext"/>
              <w:spacing w:line="240" w:lineRule="auto"/>
              <w:rPr>
                <w:lang w:val="en-GB"/>
              </w:rPr>
            </w:pPr>
            <w:r w:rsidRPr="00F766F3">
              <w:rPr>
                <w:lang w:val="en-GB"/>
              </w:rPr>
              <w:t>8.08</w:t>
            </w:r>
          </w:p>
        </w:tc>
        <w:tc>
          <w:tcPr>
            <w:tcW w:w="714" w:type="pct"/>
            <w:shd w:val="clear" w:color="auto" w:fill="FFFFFF"/>
          </w:tcPr>
          <w:p w14:paraId="31F6248D" w14:textId="77777777" w:rsidR="00F766F3" w:rsidRPr="00F766F3" w:rsidRDefault="00F766F3" w:rsidP="00F766F3">
            <w:pPr>
              <w:pStyle w:val="CETBodytext"/>
              <w:spacing w:line="240" w:lineRule="auto"/>
              <w:rPr>
                <w:lang w:val="en-GB"/>
              </w:rPr>
            </w:pPr>
            <w:r w:rsidRPr="00F766F3">
              <w:rPr>
                <w:lang w:val="en-GB"/>
              </w:rPr>
              <w:t>8.24</w:t>
            </w:r>
          </w:p>
        </w:tc>
        <w:tc>
          <w:tcPr>
            <w:tcW w:w="713" w:type="pct"/>
            <w:shd w:val="clear" w:color="auto" w:fill="FFFFFF"/>
          </w:tcPr>
          <w:p w14:paraId="4AE502C6" w14:textId="77777777" w:rsidR="00F766F3" w:rsidRPr="00F766F3" w:rsidRDefault="00F766F3" w:rsidP="00F766F3">
            <w:pPr>
              <w:pStyle w:val="CETBodytext"/>
              <w:spacing w:line="240" w:lineRule="auto"/>
              <w:rPr>
                <w:lang w:val="en-GB"/>
              </w:rPr>
            </w:pPr>
            <w:r w:rsidRPr="00F766F3">
              <w:rPr>
                <w:lang w:val="en-GB"/>
              </w:rPr>
              <w:t>9.53</w:t>
            </w:r>
          </w:p>
        </w:tc>
        <w:tc>
          <w:tcPr>
            <w:tcW w:w="713" w:type="pct"/>
            <w:shd w:val="clear" w:color="auto" w:fill="FFFFFF"/>
          </w:tcPr>
          <w:p w14:paraId="4EA83FB1" w14:textId="77777777" w:rsidR="00F766F3" w:rsidRPr="00F766F3" w:rsidRDefault="00F766F3" w:rsidP="00F766F3">
            <w:pPr>
              <w:pStyle w:val="CETBodytext"/>
              <w:spacing w:line="240" w:lineRule="auto"/>
              <w:rPr>
                <w:lang w:val="en-GB"/>
              </w:rPr>
            </w:pPr>
            <w:r w:rsidRPr="00F766F3">
              <w:rPr>
                <w:lang w:val="en-GB"/>
              </w:rPr>
              <w:t>11.14</w:t>
            </w:r>
          </w:p>
        </w:tc>
      </w:tr>
      <w:tr w:rsidR="00F766F3" w:rsidRPr="00B57B36" w14:paraId="467DA364" w14:textId="77777777" w:rsidTr="008043ED">
        <w:tc>
          <w:tcPr>
            <w:tcW w:w="1130" w:type="pct"/>
            <w:shd w:val="clear" w:color="auto" w:fill="FFFFFF"/>
          </w:tcPr>
          <w:p w14:paraId="4DB7A5A9" w14:textId="77777777" w:rsidR="00F766F3" w:rsidRPr="00F766F3" w:rsidRDefault="00F766F3" w:rsidP="00F766F3">
            <w:pPr>
              <w:pStyle w:val="CETBodytext"/>
              <w:spacing w:line="240" w:lineRule="auto"/>
              <w:rPr>
                <w:lang w:val="en-GB"/>
              </w:rPr>
            </w:pPr>
            <w:r w:rsidRPr="00F766F3">
              <w:rPr>
                <w:lang w:val="en-GB"/>
              </w:rPr>
              <w:t>heavy metals into water - total</w:t>
            </w:r>
          </w:p>
        </w:tc>
        <w:tc>
          <w:tcPr>
            <w:tcW w:w="302" w:type="pct"/>
            <w:shd w:val="clear" w:color="auto" w:fill="FFFFFF"/>
          </w:tcPr>
          <w:p w14:paraId="195B123F" w14:textId="77777777" w:rsidR="00F766F3" w:rsidRPr="00F766F3" w:rsidRDefault="00F766F3" w:rsidP="00F766F3">
            <w:pPr>
              <w:pStyle w:val="CETBodytext"/>
              <w:spacing w:line="240" w:lineRule="auto"/>
              <w:rPr>
                <w:lang w:val="en-GB"/>
              </w:rPr>
            </w:pPr>
            <w:r w:rsidRPr="00F766F3">
              <w:rPr>
                <w:lang w:val="en-GB"/>
              </w:rPr>
              <w:t>UBP</w:t>
            </w:r>
          </w:p>
        </w:tc>
        <w:tc>
          <w:tcPr>
            <w:tcW w:w="714" w:type="pct"/>
            <w:shd w:val="clear" w:color="auto" w:fill="FFFFFF"/>
          </w:tcPr>
          <w:p w14:paraId="55D7CA29" w14:textId="77777777" w:rsidR="00F766F3" w:rsidRPr="00F766F3" w:rsidRDefault="00F766F3" w:rsidP="00F766F3">
            <w:pPr>
              <w:pStyle w:val="CETBodytext"/>
              <w:spacing w:line="240" w:lineRule="auto"/>
              <w:rPr>
                <w:lang w:val="en-GB"/>
              </w:rPr>
            </w:pPr>
            <w:r w:rsidRPr="00F766F3">
              <w:rPr>
                <w:lang w:val="en-GB"/>
              </w:rPr>
              <w:t>3.73E+05</w:t>
            </w:r>
          </w:p>
        </w:tc>
        <w:tc>
          <w:tcPr>
            <w:tcW w:w="714" w:type="pct"/>
            <w:shd w:val="clear" w:color="auto" w:fill="FFFFFF"/>
          </w:tcPr>
          <w:p w14:paraId="5273677A" w14:textId="77777777" w:rsidR="00F766F3" w:rsidRPr="00F766F3" w:rsidRDefault="00F766F3" w:rsidP="00F766F3">
            <w:pPr>
              <w:pStyle w:val="CETBodytext"/>
              <w:spacing w:line="240" w:lineRule="auto"/>
              <w:rPr>
                <w:lang w:val="en-GB"/>
              </w:rPr>
            </w:pPr>
            <w:r w:rsidRPr="00F766F3">
              <w:rPr>
                <w:lang w:val="en-GB"/>
              </w:rPr>
              <w:t>3.58E+05</w:t>
            </w:r>
          </w:p>
        </w:tc>
        <w:tc>
          <w:tcPr>
            <w:tcW w:w="714" w:type="pct"/>
            <w:shd w:val="clear" w:color="auto" w:fill="FFFFFF"/>
          </w:tcPr>
          <w:p w14:paraId="30559255" w14:textId="77777777" w:rsidR="00F766F3" w:rsidRPr="00F766F3" w:rsidRDefault="00F766F3" w:rsidP="00F766F3">
            <w:pPr>
              <w:pStyle w:val="CETBodytext"/>
              <w:spacing w:line="240" w:lineRule="auto"/>
              <w:rPr>
                <w:lang w:val="en-GB"/>
              </w:rPr>
            </w:pPr>
            <w:r w:rsidRPr="00F766F3">
              <w:rPr>
                <w:lang w:val="en-GB"/>
              </w:rPr>
              <w:t>3.58E+05</w:t>
            </w:r>
          </w:p>
        </w:tc>
        <w:tc>
          <w:tcPr>
            <w:tcW w:w="713" w:type="pct"/>
            <w:shd w:val="clear" w:color="auto" w:fill="FFFFFF"/>
          </w:tcPr>
          <w:p w14:paraId="5DDB86A4" w14:textId="77777777" w:rsidR="00F766F3" w:rsidRPr="00F766F3" w:rsidRDefault="00F766F3" w:rsidP="00F766F3">
            <w:pPr>
              <w:pStyle w:val="CETBodytext"/>
              <w:spacing w:line="240" w:lineRule="auto"/>
              <w:rPr>
                <w:lang w:val="en-GB"/>
              </w:rPr>
            </w:pPr>
            <w:r w:rsidRPr="00F766F3">
              <w:rPr>
                <w:lang w:val="en-GB"/>
              </w:rPr>
              <w:t>3.60E+05</w:t>
            </w:r>
          </w:p>
        </w:tc>
        <w:tc>
          <w:tcPr>
            <w:tcW w:w="713" w:type="pct"/>
            <w:shd w:val="clear" w:color="auto" w:fill="FFFFFF"/>
          </w:tcPr>
          <w:p w14:paraId="49C93185" w14:textId="77777777" w:rsidR="00F766F3" w:rsidRPr="00F766F3" w:rsidRDefault="00F766F3" w:rsidP="00F766F3">
            <w:pPr>
              <w:pStyle w:val="CETBodytext"/>
              <w:spacing w:line="240" w:lineRule="auto"/>
              <w:rPr>
                <w:lang w:val="en-GB"/>
              </w:rPr>
            </w:pPr>
            <w:r w:rsidRPr="00F766F3">
              <w:rPr>
                <w:lang w:val="en-GB"/>
              </w:rPr>
              <w:t>3.61E+05</w:t>
            </w:r>
          </w:p>
        </w:tc>
      </w:tr>
      <w:tr w:rsidR="00F766F3" w:rsidRPr="00B57B36" w14:paraId="00B9E02C" w14:textId="77777777" w:rsidTr="008043ED">
        <w:tc>
          <w:tcPr>
            <w:tcW w:w="1130" w:type="pct"/>
            <w:shd w:val="clear" w:color="auto" w:fill="FFFFFF"/>
          </w:tcPr>
          <w:p w14:paraId="5CF218A1" w14:textId="77777777" w:rsidR="00F766F3" w:rsidRPr="00F766F3" w:rsidRDefault="00F766F3" w:rsidP="00F766F3">
            <w:pPr>
              <w:pStyle w:val="CETBodytext"/>
              <w:spacing w:line="240" w:lineRule="auto"/>
              <w:rPr>
                <w:lang w:val="en-GB"/>
              </w:rPr>
            </w:pPr>
            <w:r w:rsidRPr="00F766F3">
              <w:rPr>
                <w:lang w:val="en-GB"/>
              </w:rPr>
              <w:lastRenderedPageBreak/>
              <w:t>land use - total</w:t>
            </w:r>
          </w:p>
        </w:tc>
        <w:tc>
          <w:tcPr>
            <w:tcW w:w="302" w:type="pct"/>
            <w:shd w:val="clear" w:color="auto" w:fill="FFFFFF"/>
          </w:tcPr>
          <w:p w14:paraId="4EA7C881" w14:textId="77777777" w:rsidR="00F766F3" w:rsidRPr="00F766F3" w:rsidRDefault="00F766F3" w:rsidP="00F766F3">
            <w:pPr>
              <w:pStyle w:val="CETBodytext"/>
              <w:spacing w:line="240" w:lineRule="auto"/>
              <w:rPr>
                <w:lang w:val="en-GB"/>
              </w:rPr>
            </w:pPr>
            <w:r w:rsidRPr="00F766F3">
              <w:rPr>
                <w:lang w:val="en-GB"/>
              </w:rPr>
              <w:t>UBP</w:t>
            </w:r>
          </w:p>
        </w:tc>
        <w:tc>
          <w:tcPr>
            <w:tcW w:w="714" w:type="pct"/>
            <w:shd w:val="clear" w:color="auto" w:fill="FFFFFF"/>
          </w:tcPr>
          <w:p w14:paraId="15C3EBE9" w14:textId="77777777" w:rsidR="00F766F3" w:rsidRPr="00F766F3" w:rsidRDefault="00F766F3" w:rsidP="00F766F3">
            <w:pPr>
              <w:pStyle w:val="CETBodytext"/>
              <w:spacing w:line="240" w:lineRule="auto"/>
              <w:rPr>
                <w:lang w:val="en-GB"/>
              </w:rPr>
            </w:pPr>
            <w:r w:rsidRPr="00F766F3">
              <w:rPr>
                <w:lang w:val="en-GB"/>
              </w:rPr>
              <w:t>0</w:t>
            </w:r>
          </w:p>
        </w:tc>
        <w:tc>
          <w:tcPr>
            <w:tcW w:w="714" w:type="pct"/>
            <w:shd w:val="clear" w:color="auto" w:fill="FFFFFF"/>
          </w:tcPr>
          <w:p w14:paraId="183E0477" w14:textId="77777777" w:rsidR="00F766F3" w:rsidRPr="00F766F3" w:rsidRDefault="00F766F3" w:rsidP="00F766F3">
            <w:pPr>
              <w:pStyle w:val="CETBodytext"/>
              <w:spacing w:line="240" w:lineRule="auto"/>
              <w:rPr>
                <w:lang w:val="en-GB"/>
              </w:rPr>
            </w:pPr>
            <w:r w:rsidRPr="00F766F3">
              <w:rPr>
                <w:lang w:val="en-GB"/>
              </w:rPr>
              <w:t>0</w:t>
            </w:r>
          </w:p>
        </w:tc>
        <w:tc>
          <w:tcPr>
            <w:tcW w:w="714" w:type="pct"/>
            <w:shd w:val="clear" w:color="auto" w:fill="FFFFFF"/>
          </w:tcPr>
          <w:p w14:paraId="1E3E1343" w14:textId="77777777" w:rsidR="00F766F3" w:rsidRPr="00F766F3" w:rsidRDefault="00F766F3" w:rsidP="00F766F3">
            <w:pPr>
              <w:pStyle w:val="CETBodytext"/>
              <w:spacing w:line="240" w:lineRule="auto"/>
              <w:rPr>
                <w:lang w:val="en-GB"/>
              </w:rPr>
            </w:pPr>
            <w:r w:rsidRPr="00F766F3">
              <w:rPr>
                <w:lang w:val="en-GB"/>
              </w:rPr>
              <w:t>0</w:t>
            </w:r>
          </w:p>
        </w:tc>
        <w:tc>
          <w:tcPr>
            <w:tcW w:w="713" w:type="pct"/>
            <w:shd w:val="clear" w:color="auto" w:fill="FFFFFF"/>
          </w:tcPr>
          <w:p w14:paraId="4E75B680" w14:textId="77777777" w:rsidR="00F766F3" w:rsidRPr="00F766F3" w:rsidRDefault="00F766F3" w:rsidP="00F766F3">
            <w:pPr>
              <w:pStyle w:val="CETBodytext"/>
              <w:spacing w:line="240" w:lineRule="auto"/>
              <w:rPr>
                <w:lang w:val="en-GB"/>
              </w:rPr>
            </w:pPr>
            <w:r w:rsidRPr="00F766F3">
              <w:rPr>
                <w:lang w:val="en-GB"/>
              </w:rPr>
              <w:t>0</w:t>
            </w:r>
          </w:p>
        </w:tc>
        <w:tc>
          <w:tcPr>
            <w:tcW w:w="713" w:type="pct"/>
            <w:shd w:val="clear" w:color="auto" w:fill="FFFFFF"/>
          </w:tcPr>
          <w:p w14:paraId="14E71914" w14:textId="77777777" w:rsidR="00F766F3" w:rsidRPr="00F766F3" w:rsidRDefault="00F766F3" w:rsidP="00F766F3">
            <w:pPr>
              <w:pStyle w:val="CETBodytext"/>
              <w:spacing w:line="240" w:lineRule="auto"/>
              <w:rPr>
                <w:lang w:val="en-GB"/>
              </w:rPr>
            </w:pPr>
            <w:r w:rsidRPr="00F766F3">
              <w:rPr>
                <w:lang w:val="en-GB"/>
              </w:rPr>
              <w:t>0</w:t>
            </w:r>
          </w:p>
        </w:tc>
      </w:tr>
      <w:tr w:rsidR="00F766F3" w:rsidRPr="00B57B36" w14:paraId="72B4973F" w14:textId="77777777" w:rsidTr="008043ED">
        <w:tc>
          <w:tcPr>
            <w:tcW w:w="1130" w:type="pct"/>
            <w:shd w:val="clear" w:color="auto" w:fill="FFFFFF"/>
          </w:tcPr>
          <w:p w14:paraId="75D9AB88" w14:textId="77777777" w:rsidR="00F766F3" w:rsidRPr="00F766F3" w:rsidRDefault="00F766F3" w:rsidP="00F766F3">
            <w:pPr>
              <w:pStyle w:val="CETBodytext"/>
              <w:spacing w:line="240" w:lineRule="auto"/>
              <w:rPr>
                <w:lang w:val="en-GB"/>
              </w:rPr>
            </w:pPr>
            <w:r w:rsidRPr="00F766F3">
              <w:rPr>
                <w:lang w:val="en-GB"/>
              </w:rPr>
              <w:t>main air pollutants and PM - total</w:t>
            </w:r>
          </w:p>
        </w:tc>
        <w:tc>
          <w:tcPr>
            <w:tcW w:w="302" w:type="pct"/>
            <w:shd w:val="clear" w:color="auto" w:fill="FFFFFF"/>
          </w:tcPr>
          <w:p w14:paraId="3A967F69" w14:textId="77777777" w:rsidR="00F766F3" w:rsidRPr="00F766F3" w:rsidRDefault="00F766F3" w:rsidP="00F766F3">
            <w:pPr>
              <w:pStyle w:val="CETBodytext"/>
              <w:spacing w:line="240" w:lineRule="auto"/>
              <w:rPr>
                <w:lang w:val="en-GB"/>
              </w:rPr>
            </w:pPr>
            <w:r w:rsidRPr="00F766F3">
              <w:rPr>
                <w:lang w:val="en-GB"/>
              </w:rPr>
              <w:t>UBP</w:t>
            </w:r>
          </w:p>
        </w:tc>
        <w:tc>
          <w:tcPr>
            <w:tcW w:w="714" w:type="pct"/>
            <w:shd w:val="clear" w:color="auto" w:fill="FFFFFF"/>
          </w:tcPr>
          <w:p w14:paraId="3AA2C007" w14:textId="77777777" w:rsidR="00F766F3" w:rsidRPr="00F766F3" w:rsidRDefault="00F766F3" w:rsidP="00F766F3">
            <w:pPr>
              <w:pStyle w:val="CETBodytext"/>
              <w:spacing w:line="240" w:lineRule="auto"/>
              <w:rPr>
                <w:lang w:val="en-GB"/>
              </w:rPr>
            </w:pPr>
            <w:r w:rsidRPr="00F766F3">
              <w:rPr>
                <w:lang w:val="en-GB"/>
              </w:rPr>
              <w:t>4.97E+05</w:t>
            </w:r>
          </w:p>
        </w:tc>
        <w:tc>
          <w:tcPr>
            <w:tcW w:w="714" w:type="pct"/>
            <w:shd w:val="clear" w:color="auto" w:fill="FFFFFF"/>
          </w:tcPr>
          <w:p w14:paraId="10ADA111" w14:textId="77777777" w:rsidR="00F766F3" w:rsidRPr="00F766F3" w:rsidRDefault="00F766F3" w:rsidP="00F766F3">
            <w:pPr>
              <w:pStyle w:val="CETBodytext"/>
              <w:spacing w:line="240" w:lineRule="auto"/>
              <w:rPr>
                <w:lang w:val="en-GB"/>
              </w:rPr>
            </w:pPr>
            <w:r w:rsidRPr="00F766F3">
              <w:rPr>
                <w:lang w:val="en-GB"/>
              </w:rPr>
              <w:t>4.24E+05</w:t>
            </w:r>
          </w:p>
        </w:tc>
        <w:tc>
          <w:tcPr>
            <w:tcW w:w="714" w:type="pct"/>
            <w:shd w:val="clear" w:color="auto" w:fill="FFFFFF"/>
          </w:tcPr>
          <w:p w14:paraId="7008B874" w14:textId="77777777" w:rsidR="00F766F3" w:rsidRPr="00F766F3" w:rsidRDefault="00F766F3" w:rsidP="00F766F3">
            <w:pPr>
              <w:pStyle w:val="CETBodytext"/>
              <w:spacing w:line="240" w:lineRule="auto"/>
              <w:rPr>
                <w:lang w:val="en-GB"/>
              </w:rPr>
            </w:pPr>
            <w:r w:rsidRPr="00F766F3">
              <w:rPr>
                <w:lang w:val="en-GB"/>
              </w:rPr>
              <w:t>4.25E+05</w:t>
            </w:r>
          </w:p>
        </w:tc>
        <w:tc>
          <w:tcPr>
            <w:tcW w:w="713" w:type="pct"/>
            <w:shd w:val="clear" w:color="auto" w:fill="FFFFFF"/>
          </w:tcPr>
          <w:p w14:paraId="19992B96" w14:textId="77777777" w:rsidR="00F766F3" w:rsidRPr="00F766F3" w:rsidRDefault="00F766F3" w:rsidP="00F766F3">
            <w:pPr>
              <w:pStyle w:val="CETBodytext"/>
              <w:spacing w:line="240" w:lineRule="auto"/>
              <w:rPr>
                <w:lang w:val="en-GB"/>
              </w:rPr>
            </w:pPr>
            <w:r w:rsidRPr="00F766F3">
              <w:rPr>
                <w:lang w:val="en-GB"/>
              </w:rPr>
              <w:t>4.29E+05</w:t>
            </w:r>
          </w:p>
        </w:tc>
        <w:tc>
          <w:tcPr>
            <w:tcW w:w="713" w:type="pct"/>
            <w:shd w:val="clear" w:color="auto" w:fill="FFFFFF"/>
          </w:tcPr>
          <w:p w14:paraId="2429CD45" w14:textId="77777777" w:rsidR="00F766F3" w:rsidRPr="00F766F3" w:rsidRDefault="00F766F3" w:rsidP="00F766F3">
            <w:pPr>
              <w:pStyle w:val="CETBodytext"/>
              <w:spacing w:line="240" w:lineRule="auto"/>
              <w:rPr>
                <w:lang w:val="en-GB"/>
              </w:rPr>
            </w:pPr>
            <w:r w:rsidRPr="00F766F3">
              <w:rPr>
                <w:lang w:val="en-GB"/>
              </w:rPr>
              <w:t>4.34E+05</w:t>
            </w:r>
          </w:p>
        </w:tc>
      </w:tr>
      <w:tr w:rsidR="00F766F3" w:rsidRPr="00B57B36" w14:paraId="76B2EC07" w14:textId="77777777" w:rsidTr="008043ED">
        <w:tc>
          <w:tcPr>
            <w:tcW w:w="1130" w:type="pct"/>
            <w:shd w:val="clear" w:color="auto" w:fill="FFFFFF"/>
          </w:tcPr>
          <w:p w14:paraId="151B3B28" w14:textId="77777777" w:rsidR="00F766F3" w:rsidRPr="00F766F3" w:rsidRDefault="00F766F3" w:rsidP="00F766F3">
            <w:pPr>
              <w:pStyle w:val="CETBodytext"/>
              <w:spacing w:line="240" w:lineRule="auto"/>
              <w:rPr>
                <w:lang w:val="en-GB"/>
              </w:rPr>
            </w:pPr>
            <w:r w:rsidRPr="00F766F3">
              <w:rPr>
                <w:lang w:val="en-GB"/>
              </w:rPr>
              <w:t>mineral resources - total</w:t>
            </w:r>
          </w:p>
        </w:tc>
        <w:tc>
          <w:tcPr>
            <w:tcW w:w="302" w:type="pct"/>
            <w:shd w:val="clear" w:color="auto" w:fill="FFFFFF"/>
          </w:tcPr>
          <w:p w14:paraId="50B93D54" w14:textId="77777777" w:rsidR="00F766F3" w:rsidRPr="00F766F3" w:rsidRDefault="00F766F3" w:rsidP="00F766F3">
            <w:pPr>
              <w:pStyle w:val="CETBodytext"/>
              <w:spacing w:line="240" w:lineRule="auto"/>
              <w:rPr>
                <w:lang w:val="en-GB"/>
              </w:rPr>
            </w:pPr>
            <w:r w:rsidRPr="00F766F3">
              <w:rPr>
                <w:lang w:val="en-GB"/>
              </w:rPr>
              <w:t>UBP</w:t>
            </w:r>
          </w:p>
        </w:tc>
        <w:tc>
          <w:tcPr>
            <w:tcW w:w="714" w:type="pct"/>
            <w:shd w:val="clear" w:color="auto" w:fill="FFFFFF"/>
          </w:tcPr>
          <w:p w14:paraId="6D72AA83" w14:textId="77777777" w:rsidR="00F766F3" w:rsidRPr="00F766F3" w:rsidRDefault="00F766F3" w:rsidP="00F766F3">
            <w:pPr>
              <w:pStyle w:val="CETBodytext"/>
              <w:spacing w:line="240" w:lineRule="auto"/>
              <w:rPr>
                <w:lang w:val="en-GB"/>
              </w:rPr>
            </w:pPr>
            <w:r w:rsidRPr="00F766F3">
              <w:rPr>
                <w:lang w:val="en-GB"/>
              </w:rPr>
              <w:t>47.90</w:t>
            </w:r>
          </w:p>
        </w:tc>
        <w:tc>
          <w:tcPr>
            <w:tcW w:w="714" w:type="pct"/>
            <w:shd w:val="clear" w:color="auto" w:fill="FFFFFF"/>
          </w:tcPr>
          <w:p w14:paraId="63044C1D" w14:textId="77777777" w:rsidR="00F766F3" w:rsidRPr="00F766F3" w:rsidRDefault="00F766F3" w:rsidP="00F766F3">
            <w:pPr>
              <w:pStyle w:val="CETBodytext"/>
              <w:spacing w:line="240" w:lineRule="auto"/>
              <w:rPr>
                <w:lang w:val="en-GB"/>
              </w:rPr>
            </w:pPr>
            <w:r w:rsidRPr="00F766F3">
              <w:rPr>
                <w:lang w:val="en-GB"/>
              </w:rPr>
              <w:t>45.84</w:t>
            </w:r>
          </w:p>
        </w:tc>
        <w:tc>
          <w:tcPr>
            <w:tcW w:w="714" w:type="pct"/>
            <w:shd w:val="clear" w:color="auto" w:fill="FFFFFF"/>
          </w:tcPr>
          <w:p w14:paraId="36E8DD5C" w14:textId="77777777" w:rsidR="00F766F3" w:rsidRPr="00F766F3" w:rsidRDefault="00F766F3" w:rsidP="00F766F3">
            <w:pPr>
              <w:pStyle w:val="CETBodytext"/>
              <w:spacing w:line="240" w:lineRule="auto"/>
              <w:rPr>
                <w:lang w:val="en-GB"/>
              </w:rPr>
            </w:pPr>
            <w:r w:rsidRPr="00F766F3">
              <w:rPr>
                <w:lang w:val="en-GB"/>
              </w:rPr>
              <w:t>45.85</w:t>
            </w:r>
          </w:p>
        </w:tc>
        <w:tc>
          <w:tcPr>
            <w:tcW w:w="713" w:type="pct"/>
            <w:shd w:val="clear" w:color="auto" w:fill="FFFFFF"/>
          </w:tcPr>
          <w:p w14:paraId="1E80F0AF" w14:textId="77777777" w:rsidR="00F766F3" w:rsidRPr="00F766F3" w:rsidRDefault="00F766F3" w:rsidP="00F766F3">
            <w:pPr>
              <w:pStyle w:val="CETBodytext"/>
              <w:spacing w:line="240" w:lineRule="auto"/>
              <w:rPr>
                <w:lang w:val="en-GB"/>
              </w:rPr>
            </w:pPr>
            <w:r w:rsidRPr="00F766F3">
              <w:rPr>
                <w:lang w:val="en-GB"/>
              </w:rPr>
              <w:t>45.97</w:t>
            </w:r>
          </w:p>
        </w:tc>
        <w:tc>
          <w:tcPr>
            <w:tcW w:w="713" w:type="pct"/>
            <w:shd w:val="clear" w:color="auto" w:fill="FFFFFF"/>
          </w:tcPr>
          <w:p w14:paraId="539E3061" w14:textId="77777777" w:rsidR="00F766F3" w:rsidRPr="00F766F3" w:rsidRDefault="00F766F3" w:rsidP="00F766F3">
            <w:pPr>
              <w:pStyle w:val="CETBodytext"/>
              <w:spacing w:line="240" w:lineRule="auto"/>
              <w:rPr>
                <w:lang w:val="en-GB"/>
              </w:rPr>
            </w:pPr>
            <w:r w:rsidRPr="00F766F3">
              <w:rPr>
                <w:lang w:val="en-GB"/>
              </w:rPr>
              <w:t>46.12</w:t>
            </w:r>
          </w:p>
        </w:tc>
      </w:tr>
      <w:tr w:rsidR="00F766F3" w:rsidRPr="00B57B36" w14:paraId="707A0ED5" w14:textId="77777777" w:rsidTr="008043ED">
        <w:tc>
          <w:tcPr>
            <w:tcW w:w="1130" w:type="pct"/>
            <w:shd w:val="clear" w:color="auto" w:fill="FFFFFF"/>
          </w:tcPr>
          <w:p w14:paraId="4915ACDF" w14:textId="77777777" w:rsidR="00F766F3" w:rsidRPr="00F766F3" w:rsidRDefault="00F766F3" w:rsidP="00F766F3">
            <w:pPr>
              <w:pStyle w:val="CETBodytext"/>
              <w:spacing w:line="240" w:lineRule="auto"/>
              <w:rPr>
                <w:lang w:val="en-GB"/>
              </w:rPr>
            </w:pPr>
            <w:r w:rsidRPr="00F766F3">
              <w:rPr>
                <w:lang w:val="en-GB"/>
              </w:rPr>
              <w:t>non radioactive waste to deposit - total</w:t>
            </w:r>
          </w:p>
        </w:tc>
        <w:tc>
          <w:tcPr>
            <w:tcW w:w="302" w:type="pct"/>
            <w:shd w:val="clear" w:color="auto" w:fill="FFFFFF"/>
          </w:tcPr>
          <w:p w14:paraId="5F95C93E" w14:textId="77777777" w:rsidR="00F766F3" w:rsidRPr="00F766F3" w:rsidRDefault="00F766F3" w:rsidP="00F766F3">
            <w:pPr>
              <w:pStyle w:val="CETBodytext"/>
              <w:spacing w:line="240" w:lineRule="auto"/>
              <w:rPr>
                <w:lang w:val="en-GB"/>
              </w:rPr>
            </w:pPr>
            <w:r w:rsidRPr="00F766F3">
              <w:rPr>
                <w:lang w:val="en-GB"/>
              </w:rPr>
              <w:t>UBP</w:t>
            </w:r>
          </w:p>
        </w:tc>
        <w:tc>
          <w:tcPr>
            <w:tcW w:w="714" w:type="pct"/>
            <w:shd w:val="clear" w:color="auto" w:fill="FFFFFF"/>
          </w:tcPr>
          <w:p w14:paraId="10562E63" w14:textId="77777777" w:rsidR="00F766F3" w:rsidRPr="00F766F3" w:rsidRDefault="00F766F3" w:rsidP="00F766F3">
            <w:pPr>
              <w:pStyle w:val="CETBodytext"/>
              <w:spacing w:line="240" w:lineRule="auto"/>
              <w:rPr>
                <w:lang w:val="en-GB"/>
              </w:rPr>
            </w:pPr>
            <w:r w:rsidRPr="00F766F3">
              <w:rPr>
                <w:lang w:val="en-GB"/>
              </w:rPr>
              <w:t>0</w:t>
            </w:r>
          </w:p>
        </w:tc>
        <w:tc>
          <w:tcPr>
            <w:tcW w:w="714" w:type="pct"/>
            <w:shd w:val="clear" w:color="auto" w:fill="FFFFFF"/>
          </w:tcPr>
          <w:p w14:paraId="553E3DCB" w14:textId="77777777" w:rsidR="00F766F3" w:rsidRPr="00F766F3" w:rsidRDefault="00F766F3" w:rsidP="00F766F3">
            <w:pPr>
              <w:pStyle w:val="CETBodytext"/>
              <w:spacing w:line="240" w:lineRule="auto"/>
              <w:rPr>
                <w:lang w:val="en-GB"/>
              </w:rPr>
            </w:pPr>
            <w:r w:rsidRPr="00F766F3">
              <w:rPr>
                <w:lang w:val="en-GB"/>
              </w:rPr>
              <w:t>0</w:t>
            </w:r>
          </w:p>
        </w:tc>
        <w:tc>
          <w:tcPr>
            <w:tcW w:w="714" w:type="pct"/>
            <w:shd w:val="clear" w:color="auto" w:fill="FFFFFF"/>
          </w:tcPr>
          <w:p w14:paraId="4FD56691" w14:textId="77777777" w:rsidR="00F766F3" w:rsidRPr="00F766F3" w:rsidRDefault="00F766F3" w:rsidP="00F766F3">
            <w:pPr>
              <w:pStyle w:val="CETBodytext"/>
              <w:spacing w:line="240" w:lineRule="auto"/>
              <w:rPr>
                <w:lang w:val="en-GB"/>
              </w:rPr>
            </w:pPr>
            <w:r w:rsidRPr="00F766F3">
              <w:rPr>
                <w:lang w:val="en-GB"/>
              </w:rPr>
              <w:t>0</w:t>
            </w:r>
          </w:p>
        </w:tc>
        <w:tc>
          <w:tcPr>
            <w:tcW w:w="713" w:type="pct"/>
            <w:shd w:val="clear" w:color="auto" w:fill="FFFFFF"/>
          </w:tcPr>
          <w:p w14:paraId="48CCB000" w14:textId="77777777" w:rsidR="00F766F3" w:rsidRPr="00F766F3" w:rsidRDefault="00F766F3" w:rsidP="00F766F3">
            <w:pPr>
              <w:pStyle w:val="CETBodytext"/>
              <w:spacing w:line="240" w:lineRule="auto"/>
              <w:rPr>
                <w:lang w:val="en-GB"/>
              </w:rPr>
            </w:pPr>
            <w:r w:rsidRPr="00F766F3">
              <w:rPr>
                <w:lang w:val="en-GB"/>
              </w:rPr>
              <w:t>0</w:t>
            </w:r>
          </w:p>
        </w:tc>
        <w:tc>
          <w:tcPr>
            <w:tcW w:w="713" w:type="pct"/>
            <w:shd w:val="clear" w:color="auto" w:fill="FFFFFF"/>
          </w:tcPr>
          <w:p w14:paraId="6F88DC58" w14:textId="77777777" w:rsidR="00F766F3" w:rsidRPr="00F766F3" w:rsidRDefault="00F766F3" w:rsidP="00F766F3">
            <w:pPr>
              <w:pStyle w:val="CETBodytext"/>
              <w:spacing w:line="240" w:lineRule="auto"/>
              <w:rPr>
                <w:lang w:val="en-GB"/>
              </w:rPr>
            </w:pPr>
            <w:r w:rsidRPr="00F766F3">
              <w:rPr>
                <w:lang w:val="en-GB"/>
              </w:rPr>
              <w:t>0</w:t>
            </w:r>
          </w:p>
        </w:tc>
      </w:tr>
      <w:tr w:rsidR="00F766F3" w:rsidRPr="00B57B36" w14:paraId="20B06818" w14:textId="77777777" w:rsidTr="008043ED">
        <w:tc>
          <w:tcPr>
            <w:tcW w:w="1130" w:type="pct"/>
            <w:shd w:val="clear" w:color="auto" w:fill="FFFFFF"/>
          </w:tcPr>
          <w:p w14:paraId="1597ECC1" w14:textId="77777777" w:rsidR="00F766F3" w:rsidRPr="00F766F3" w:rsidRDefault="00F766F3" w:rsidP="00F766F3">
            <w:pPr>
              <w:pStyle w:val="CETBodytext"/>
              <w:spacing w:line="240" w:lineRule="auto"/>
              <w:rPr>
                <w:lang w:val="en-GB"/>
              </w:rPr>
            </w:pPr>
            <w:r w:rsidRPr="00F766F3">
              <w:rPr>
                <w:lang w:val="en-GB"/>
              </w:rPr>
              <w:t>ozone layer depletion - total</w:t>
            </w:r>
          </w:p>
        </w:tc>
        <w:tc>
          <w:tcPr>
            <w:tcW w:w="302" w:type="pct"/>
            <w:shd w:val="clear" w:color="auto" w:fill="FFFFFF"/>
          </w:tcPr>
          <w:p w14:paraId="006266D5" w14:textId="77777777" w:rsidR="00F766F3" w:rsidRPr="00F766F3" w:rsidRDefault="00F766F3" w:rsidP="00F766F3">
            <w:pPr>
              <w:pStyle w:val="CETBodytext"/>
              <w:spacing w:line="240" w:lineRule="auto"/>
              <w:rPr>
                <w:lang w:val="en-GB"/>
              </w:rPr>
            </w:pPr>
            <w:r w:rsidRPr="00F766F3">
              <w:rPr>
                <w:lang w:val="en-GB"/>
              </w:rPr>
              <w:t>UBP</w:t>
            </w:r>
          </w:p>
        </w:tc>
        <w:tc>
          <w:tcPr>
            <w:tcW w:w="714" w:type="pct"/>
            <w:shd w:val="clear" w:color="auto" w:fill="FFFFFF"/>
          </w:tcPr>
          <w:p w14:paraId="5A0FAE21" w14:textId="77777777" w:rsidR="00F766F3" w:rsidRPr="00F766F3" w:rsidRDefault="00F766F3" w:rsidP="00F766F3">
            <w:pPr>
              <w:pStyle w:val="CETBodytext"/>
              <w:spacing w:line="240" w:lineRule="auto"/>
              <w:rPr>
                <w:lang w:val="en-GB"/>
              </w:rPr>
            </w:pPr>
            <w:r w:rsidRPr="00F766F3">
              <w:rPr>
                <w:lang w:val="en-GB"/>
              </w:rPr>
              <w:t>1.34E+04</w:t>
            </w:r>
          </w:p>
        </w:tc>
        <w:tc>
          <w:tcPr>
            <w:tcW w:w="714" w:type="pct"/>
            <w:shd w:val="clear" w:color="auto" w:fill="FFFFFF"/>
          </w:tcPr>
          <w:p w14:paraId="2697FD09" w14:textId="77777777" w:rsidR="00F766F3" w:rsidRPr="00F766F3" w:rsidRDefault="00F766F3" w:rsidP="00F766F3">
            <w:pPr>
              <w:pStyle w:val="CETBodytext"/>
              <w:spacing w:line="240" w:lineRule="auto"/>
              <w:rPr>
                <w:lang w:val="en-GB"/>
              </w:rPr>
            </w:pPr>
            <w:r w:rsidRPr="00F766F3">
              <w:rPr>
                <w:lang w:val="en-GB"/>
              </w:rPr>
              <w:t>1.28E+04</w:t>
            </w:r>
          </w:p>
        </w:tc>
        <w:tc>
          <w:tcPr>
            <w:tcW w:w="714" w:type="pct"/>
            <w:shd w:val="clear" w:color="auto" w:fill="FFFFFF"/>
          </w:tcPr>
          <w:p w14:paraId="2FD30A5A" w14:textId="77777777" w:rsidR="00F766F3" w:rsidRPr="00F766F3" w:rsidRDefault="00F766F3" w:rsidP="00F766F3">
            <w:pPr>
              <w:pStyle w:val="CETBodytext"/>
              <w:spacing w:line="240" w:lineRule="auto"/>
              <w:rPr>
                <w:lang w:val="en-GB"/>
              </w:rPr>
            </w:pPr>
            <w:r w:rsidRPr="00F766F3">
              <w:rPr>
                <w:lang w:val="en-GB"/>
              </w:rPr>
              <w:t>1.28E+04</w:t>
            </w:r>
          </w:p>
        </w:tc>
        <w:tc>
          <w:tcPr>
            <w:tcW w:w="713" w:type="pct"/>
            <w:shd w:val="clear" w:color="auto" w:fill="FFFFFF"/>
          </w:tcPr>
          <w:p w14:paraId="4E40EE7E" w14:textId="77777777" w:rsidR="00F766F3" w:rsidRPr="00F766F3" w:rsidRDefault="00F766F3" w:rsidP="00F766F3">
            <w:pPr>
              <w:pStyle w:val="CETBodytext"/>
              <w:spacing w:line="240" w:lineRule="auto"/>
              <w:rPr>
                <w:lang w:val="en-GB"/>
              </w:rPr>
            </w:pPr>
            <w:r w:rsidRPr="00F766F3">
              <w:rPr>
                <w:lang w:val="en-GB"/>
              </w:rPr>
              <w:t>1.29E+04</w:t>
            </w:r>
          </w:p>
        </w:tc>
        <w:tc>
          <w:tcPr>
            <w:tcW w:w="713" w:type="pct"/>
            <w:shd w:val="clear" w:color="auto" w:fill="FFFFFF"/>
          </w:tcPr>
          <w:p w14:paraId="2C0A42C6" w14:textId="77777777" w:rsidR="00F766F3" w:rsidRPr="00F766F3" w:rsidRDefault="00F766F3" w:rsidP="00F766F3">
            <w:pPr>
              <w:pStyle w:val="CETBodytext"/>
              <w:spacing w:line="240" w:lineRule="auto"/>
              <w:rPr>
                <w:lang w:val="en-GB"/>
              </w:rPr>
            </w:pPr>
            <w:r w:rsidRPr="00F766F3">
              <w:rPr>
                <w:lang w:val="en-GB"/>
              </w:rPr>
              <w:t>1.30E+04</w:t>
            </w:r>
          </w:p>
        </w:tc>
      </w:tr>
      <w:tr w:rsidR="00F766F3" w:rsidRPr="00B57B36" w14:paraId="793782FC" w14:textId="77777777" w:rsidTr="008043ED">
        <w:tc>
          <w:tcPr>
            <w:tcW w:w="1130" w:type="pct"/>
            <w:shd w:val="clear" w:color="auto" w:fill="FFFFFF"/>
          </w:tcPr>
          <w:p w14:paraId="2A96231B" w14:textId="77777777" w:rsidR="00F766F3" w:rsidRPr="00F766F3" w:rsidRDefault="00F766F3" w:rsidP="00F766F3">
            <w:pPr>
              <w:pStyle w:val="CETBodytext"/>
              <w:spacing w:line="240" w:lineRule="auto"/>
              <w:rPr>
                <w:lang w:val="en-GB"/>
              </w:rPr>
            </w:pPr>
            <w:r w:rsidRPr="00F766F3">
              <w:rPr>
                <w:lang w:val="en-GB"/>
              </w:rPr>
              <w:t>pesticides into soil - total</w:t>
            </w:r>
          </w:p>
        </w:tc>
        <w:tc>
          <w:tcPr>
            <w:tcW w:w="302" w:type="pct"/>
            <w:shd w:val="clear" w:color="auto" w:fill="FFFFFF"/>
          </w:tcPr>
          <w:p w14:paraId="5CCD9A19" w14:textId="77777777" w:rsidR="00F766F3" w:rsidRPr="00F766F3" w:rsidRDefault="00F766F3" w:rsidP="00F766F3">
            <w:pPr>
              <w:pStyle w:val="CETBodytext"/>
              <w:spacing w:line="240" w:lineRule="auto"/>
              <w:rPr>
                <w:lang w:val="en-GB"/>
              </w:rPr>
            </w:pPr>
            <w:r w:rsidRPr="00F766F3">
              <w:rPr>
                <w:lang w:val="en-GB"/>
              </w:rPr>
              <w:t>UBP</w:t>
            </w:r>
          </w:p>
        </w:tc>
        <w:tc>
          <w:tcPr>
            <w:tcW w:w="714" w:type="pct"/>
            <w:shd w:val="clear" w:color="auto" w:fill="FFFFFF"/>
          </w:tcPr>
          <w:p w14:paraId="569DA25F" w14:textId="77777777" w:rsidR="00F766F3" w:rsidRPr="00F766F3" w:rsidRDefault="00F766F3" w:rsidP="00F766F3">
            <w:pPr>
              <w:pStyle w:val="CETBodytext"/>
              <w:spacing w:line="240" w:lineRule="auto"/>
              <w:rPr>
                <w:lang w:val="en-GB"/>
              </w:rPr>
            </w:pPr>
            <w:r w:rsidRPr="00F766F3">
              <w:rPr>
                <w:lang w:val="en-GB"/>
              </w:rPr>
              <w:t>0</w:t>
            </w:r>
          </w:p>
        </w:tc>
        <w:tc>
          <w:tcPr>
            <w:tcW w:w="714" w:type="pct"/>
            <w:shd w:val="clear" w:color="auto" w:fill="FFFFFF"/>
          </w:tcPr>
          <w:p w14:paraId="786B08ED" w14:textId="77777777" w:rsidR="00F766F3" w:rsidRPr="00F766F3" w:rsidRDefault="00F766F3" w:rsidP="00F766F3">
            <w:pPr>
              <w:pStyle w:val="CETBodytext"/>
              <w:spacing w:line="240" w:lineRule="auto"/>
              <w:rPr>
                <w:lang w:val="en-GB"/>
              </w:rPr>
            </w:pPr>
            <w:r w:rsidRPr="00F766F3">
              <w:rPr>
                <w:lang w:val="en-GB"/>
              </w:rPr>
              <w:t>0</w:t>
            </w:r>
          </w:p>
        </w:tc>
        <w:tc>
          <w:tcPr>
            <w:tcW w:w="714" w:type="pct"/>
            <w:shd w:val="clear" w:color="auto" w:fill="FFFFFF"/>
          </w:tcPr>
          <w:p w14:paraId="3D4253F3" w14:textId="77777777" w:rsidR="00F766F3" w:rsidRPr="00F766F3" w:rsidRDefault="00F766F3" w:rsidP="00F766F3">
            <w:pPr>
              <w:pStyle w:val="CETBodytext"/>
              <w:spacing w:line="240" w:lineRule="auto"/>
              <w:rPr>
                <w:lang w:val="en-GB"/>
              </w:rPr>
            </w:pPr>
            <w:r w:rsidRPr="00F766F3">
              <w:rPr>
                <w:lang w:val="en-GB"/>
              </w:rPr>
              <w:t>0</w:t>
            </w:r>
          </w:p>
        </w:tc>
        <w:tc>
          <w:tcPr>
            <w:tcW w:w="713" w:type="pct"/>
            <w:shd w:val="clear" w:color="auto" w:fill="FFFFFF"/>
          </w:tcPr>
          <w:p w14:paraId="349B61D4" w14:textId="77777777" w:rsidR="00F766F3" w:rsidRPr="00F766F3" w:rsidRDefault="00F766F3" w:rsidP="00F766F3">
            <w:pPr>
              <w:pStyle w:val="CETBodytext"/>
              <w:spacing w:line="240" w:lineRule="auto"/>
              <w:rPr>
                <w:lang w:val="en-GB"/>
              </w:rPr>
            </w:pPr>
            <w:r w:rsidRPr="00F766F3">
              <w:rPr>
                <w:lang w:val="en-GB"/>
              </w:rPr>
              <w:t>0</w:t>
            </w:r>
          </w:p>
        </w:tc>
        <w:tc>
          <w:tcPr>
            <w:tcW w:w="713" w:type="pct"/>
            <w:shd w:val="clear" w:color="auto" w:fill="FFFFFF"/>
          </w:tcPr>
          <w:p w14:paraId="4804BF9B" w14:textId="77777777" w:rsidR="00F766F3" w:rsidRPr="00F766F3" w:rsidRDefault="00F766F3" w:rsidP="00F766F3">
            <w:pPr>
              <w:pStyle w:val="CETBodytext"/>
              <w:spacing w:line="240" w:lineRule="auto"/>
              <w:rPr>
                <w:lang w:val="en-GB"/>
              </w:rPr>
            </w:pPr>
            <w:r w:rsidRPr="00F766F3">
              <w:rPr>
                <w:lang w:val="en-GB"/>
              </w:rPr>
              <w:t>0</w:t>
            </w:r>
          </w:p>
        </w:tc>
      </w:tr>
      <w:tr w:rsidR="00F766F3" w:rsidRPr="00B57B36" w14:paraId="06009762" w14:textId="77777777" w:rsidTr="008043ED">
        <w:tc>
          <w:tcPr>
            <w:tcW w:w="1130" w:type="pct"/>
            <w:shd w:val="clear" w:color="auto" w:fill="FFFFFF"/>
          </w:tcPr>
          <w:p w14:paraId="61A8EA0B" w14:textId="77777777" w:rsidR="00F766F3" w:rsidRPr="00F766F3" w:rsidRDefault="00F766F3" w:rsidP="00F766F3">
            <w:pPr>
              <w:pStyle w:val="CETBodytext"/>
              <w:spacing w:line="240" w:lineRule="auto"/>
              <w:rPr>
                <w:lang w:val="en-GB"/>
              </w:rPr>
            </w:pPr>
            <w:r w:rsidRPr="00F766F3">
              <w:rPr>
                <w:lang w:val="en-GB"/>
              </w:rPr>
              <w:t>POP into water - total</w:t>
            </w:r>
          </w:p>
        </w:tc>
        <w:tc>
          <w:tcPr>
            <w:tcW w:w="302" w:type="pct"/>
            <w:shd w:val="clear" w:color="auto" w:fill="FFFFFF"/>
          </w:tcPr>
          <w:p w14:paraId="28278270" w14:textId="77777777" w:rsidR="00F766F3" w:rsidRPr="00F766F3" w:rsidRDefault="00F766F3" w:rsidP="00F766F3">
            <w:pPr>
              <w:pStyle w:val="CETBodytext"/>
              <w:spacing w:line="240" w:lineRule="auto"/>
              <w:rPr>
                <w:lang w:val="en-GB"/>
              </w:rPr>
            </w:pPr>
            <w:r w:rsidRPr="00F766F3">
              <w:rPr>
                <w:lang w:val="en-GB"/>
              </w:rPr>
              <w:t>UBP</w:t>
            </w:r>
          </w:p>
        </w:tc>
        <w:tc>
          <w:tcPr>
            <w:tcW w:w="714" w:type="pct"/>
            <w:shd w:val="clear" w:color="auto" w:fill="FFFFFF"/>
          </w:tcPr>
          <w:p w14:paraId="0EC3BF62" w14:textId="77777777" w:rsidR="00F766F3" w:rsidRPr="00F766F3" w:rsidRDefault="00F766F3" w:rsidP="00F766F3">
            <w:pPr>
              <w:pStyle w:val="CETBodytext"/>
              <w:spacing w:line="240" w:lineRule="auto"/>
              <w:rPr>
                <w:lang w:val="en-GB"/>
              </w:rPr>
            </w:pPr>
            <w:r w:rsidRPr="00F766F3">
              <w:rPr>
                <w:lang w:val="en-GB"/>
              </w:rPr>
              <w:t>5.1E-4</w:t>
            </w:r>
          </w:p>
        </w:tc>
        <w:tc>
          <w:tcPr>
            <w:tcW w:w="714" w:type="pct"/>
            <w:shd w:val="clear" w:color="auto" w:fill="FFFFFF"/>
          </w:tcPr>
          <w:p w14:paraId="0691CB07" w14:textId="77777777" w:rsidR="00F766F3" w:rsidRPr="00F766F3" w:rsidRDefault="00F766F3" w:rsidP="00F766F3">
            <w:pPr>
              <w:pStyle w:val="CETBodytext"/>
              <w:spacing w:line="240" w:lineRule="auto"/>
              <w:rPr>
                <w:lang w:val="en-GB"/>
              </w:rPr>
            </w:pPr>
            <w:r w:rsidRPr="00F766F3">
              <w:rPr>
                <w:lang w:val="en-GB"/>
              </w:rPr>
              <w:t>4.9E-4</w:t>
            </w:r>
          </w:p>
        </w:tc>
        <w:tc>
          <w:tcPr>
            <w:tcW w:w="714" w:type="pct"/>
            <w:shd w:val="clear" w:color="auto" w:fill="FFFFFF"/>
          </w:tcPr>
          <w:p w14:paraId="22267667" w14:textId="77777777" w:rsidR="00F766F3" w:rsidRPr="00F766F3" w:rsidRDefault="00F766F3" w:rsidP="00F766F3">
            <w:pPr>
              <w:pStyle w:val="CETBodytext"/>
              <w:spacing w:line="240" w:lineRule="auto"/>
              <w:rPr>
                <w:lang w:val="en-GB"/>
              </w:rPr>
            </w:pPr>
            <w:r w:rsidRPr="00F766F3">
              <w:rPr>
                <w:lang w:val="en-GB"/>
              </w:rPr>
              <w:t>4.9E-4</w:t>
            </w:r>
          </w:p>
        </w:tc>
        <w:tc>
          <w:tcPr>
            <w:tcW w:w="713" w:type="pct"/>
            <w:shd w:val="clear" w:color="auto" w:fill="FFFFFF"/>
          </w:tcPr>
          <w:p w14:paraId="3899235D" w14:textId="77777777" w:rsidR="00F766F3" w:rsidRPr="00F766F3" w:rsidRDefault="00F766F3" w:rsidP="00F766F3">
            <w:pPr>
              <w:pStyle w:val="CETBodytext"/>
              <w:spacing w:line="240" w:lineRule="auto"/>
              <w:rPr>
                <w:lang w:val="en-GB"/>
              </w:rPr>
            </w:pPr>
            <w:r w:rsidRPr="00F766F3">
              <w:rPr>
                <w:lang w:val="en-GB"/>
              </w:rPr>
              <w:t>4.9E-4</w:t>
            </w:r>
          </w:p>
        </w:tc>
        <w:tc>
          <w:tcPr>
            <w:tcW w:w="713" w:type="pct"/>
            <w:shd w:val="clear" w:color="auto" w:fill="FFFFFF"/>
          </w:tcPr>
          <w:p w14:paraId="65EE675F" w14:textId="77777777" w:rsidR="00F766F3" w:rsidRPr="00F766F3" w:rsidRDefault="00F766F3" w:rsidP="00F766F3">
            <w:pPr>
              <w:pStyle w:val="CETBodytext"/>
              <w:spacing w:line="240" w:lineRule="auto"/>
              <w:rPr>
                <w:lang w:val="en-GB"/>
              </w:rPr>
            </w:pPr>
            <w:r w:rsidRPr="00F766F3">
              <w:rPr>
                <w:lang w:val="en-GB"/>
              </w:rPr>
              <w:t>4.9E-4</w:t>
            </w:r>
          </w:p>
        </w:tc>
      </w:tr>
      <w:tr w:rsidR="00F766F3" w:rsidRPr="00B57B36" w14:paraId="7DC646DD" w14:textId="77777777" w:rsidTr="008043ED">
        <w:tc>
          <w:tcPr>
            <w:tcW w:w="1130" w:type="pct"/>
            <w:shd w:val="clear" w:color="auto" w:fill="FFFFFF"/>
          </w:tcPr>
          <w:p w14:paraId="5FBC4558" w14:textId="77777777" w:rsidR="00F766F3" w:rsidRPr="00F766F3" w:rsidRDefault="00F766F3" w:rsidP="00F766F3">
            <w:pPr>
              <w:pStyle w:val="CETBodytext"/>
              <w:spacing w:line="240" w:lineRule="auto"/>
              <w:rPr>
                <w:lang w:val="en-GB"/>
              </w:rPr>
            </w:pPr>
            <w:r w:rsidRPr="00F766F3">
              <w:rPr>
                <w:lang w:val="en-GB"/>
              </w:rPr>
              <w:t>radioactive substances into air - total</w:t>
            </w:r>
          </w:p>
        </w:tc>
        <w:tc>
          <w:tcPr>
            <w:tcW w:w="302" w:type="pct"/>
            <w:shd w:val="clear" w:color="auto" w:fill="FFFFFF"/>
          </w:tcPr>
          <w:p w14:paraId="54BD2A64" w14:textId="77777777" w:rsidR="00F766F3" w:rsidRPr="00F766F3" w:rsidRDefault="00F766F3" w:rsidP="00F766F3">
            <w:pPr>
              <w:pStyle w:val="CETBodytext"/>
              <w:spacing w:line="240" w:lineRule="auto"/>
              <w:rPr>
                <w:lang w:val="en-GB"/>
              </w:rPr>
            </w:pPr>
            <w:r w:rsidRPr="00F766F3">
              <w:rPr>
                <w:lang w:val="en-GB"/>
              </w:rPr>
              <w:t>UBP</w:t>
            </w:r>
          </w:p>
        </w:tc>
        <w:tc>
          <w:tcPr>
            <w:tcW w:w="714" w:type="pct"/>
            <w:shd w:val="clear" w:color="auto" w:fill="FFFFFF"/>
          </w:tcPr>
          <w:p w14:paraId="78102DF8" w14:textId="77777777" w:rsidR="00F766F3" w:rsidRPr="00F766F3" w:rsidRDefault="00F766F3" w:rsidP="00F766F3">
            <w:pPr>
              <w:pStyle w:val="CETBodytext"/>
              <w:spacing w:line="240" w:lineRule="auto"/>
              <w:rPr>
                <w:lang w:val="en-GB"/>
              </w:rPr>
            </w:pPr>
            <w:r w:rsidRPr="00F766F3">
              <w:rPr>
                <w:lang w:val="en-GB"/>
              </w:rPr>
              <w:t>2.5E-4</w:t>
            </w:r>
          </w:p>
        </w:tc>
        <w:tc>
          <w:tcPr>
            <w:tcW w:w="714" w:type="pct"/>
            <w:shd w:val="clear" w:color="auto" w:fill="FFFFFF"/>
          </w:tcPr>
          <w:p w14:paraId="1FC075A9" w14:textId="77777777" w:rsidR="00F766F3" w:rsidRPr="00F766F3" w:rsidRDefault="00F766F3" w:rsidP="00F766F3">
            <w:pPr>
              <w:pStyle w:val="CETBodytext"/>
              <w:spacing w:line="240" w:lineRule="auto"/>
              <w:rPr>
                <w:lang w:val="en-GB"/>
              </w:rPr>
            </w:pPr>
            <w:r w:rsidRPr="00F766F3">
              <w:rPr>
                <w:lang w:val="en-GB"/>
              </w:rPr>
              <w:t>5.88E-05</w:t>
            </w:r>
          </w:p>
        </w:tc>
        <w:tc>
          <w:tcPr>
            <w:tcW w:w="714" w:type="pct"/>
            <w:shd w:val="clear" w:color="auto" w:fill="FFFFFF"/>
          </w:tcPr>
          <w:p w14:paraId="356EA3E5" w14:textId="77777777" w:rsidR="00F766F3" w:rsidRPr="00F766F3" w:rsidRDefault="00F766F3" w:rsidP="00F766F3">
            <w:pPr>
              <w:pStyle w:val="CETBodytext"/>
              <w:spacing w:line="240" w:lineRule="auto"/>
              <w:rPr>
                <w:lang w:val="en-GB"/>
              </w:rPr>
            </w:pPr>
            <w:r w:rsidRPr="00F766F3">
              <w:rPr>
                <w:lang w:val="en-GB"/>
              </w:rPr>
              <w:t>5.99E-05</w:t>
            </w:r>
          </w:p>
        </w:tc>
        <w:tc>
          <w:tcPr>
            <w:tcW w:w="713" w:type="pct"/>
            <w:shd w:val="clear" w:color="auto" w:fill="FFFFFF"/>
          </w:tcPr>
          <w:p w14:paraId="70925750" w14:textId="77777777" w:rsidR="00F766F3" w:rsidRPr="00F766F3" w:rsidRDefault="00F766F3" w:rsidP="00F766F3">
            <w:pPr>
              <w:pStyle w:val="CETBodytext"/>
              <w:spacing w:line="240" w:lineRule="auto"/>
              <w:rPr>
                <w:lang w:val="en-GB"/>
              </w:rPr>
            </w:pPr>
            <w:r w:rsidRPr="00F766F3">
              <w:rPr>
                <w:lang w:val="en-GB"/>
              </w:rPr>
              <w:t>6.93E-05</w:t>
            </w:r>
          </w:p>
        </w:tc>
        <w:tc>
          <w:tcPr>
            <w:tcW w:w="713" w:type="pct"/>
            <w:shd w:val="clear" w:color="auto" w:fill="FFFFFF"/>
          </w:tcPr>
          <w:p w14:paraId="392C9113" w14:textId="77777777" w:rsidR="00F766F3" w:rsidRPr="00F766F3" w:rsidRDefault="00F766F3" w:rsidP="00F766F3">
            <w:pPr>
              <w:pStyle w:val="CETBodytext"/>
              <w:spacing w:line="240" w:lineRule="auto"/>
              <w:rPr>
                <w:lang w:val="en-GB"/>
              </w:rPr>
            </w:pPr>
            <w:r w:rsidRPr="00F766F3">
              <w:rPr>
                <w:lang w:val="en-GB"/>
              </w:rPr>
              <w:t>8.1E-05</w:t>
            </w:r>
          </w:p>
        </w:tc>
      </w:tr>
      <w:tr w:rsidR="00F766F3" w:rsidRPr="00B57B36" w14:paraId="1155A638" w14:textId="77777777" w:rsidTr="008043ED">
        <w:tc>
          <w:tcPr>
            <w:tcW w:w="1130" w:type="pct"/>
            <w:shd w:val="clear" w:color="auto" w:fill="FFFFFF"/>
          </w:tcPr>
          <w:p w14:paraId="3A9978A2" w14:textId="77777777" w:rsidR="00F766F3" w:rsidRPr="00F766F3" w:rsidRDefault="00F766F3" w:rsidP="00F766F3">
            <w:pPr>
              <w:pStyle w:val="CETBodytext"/>
              <w:spacing w:line="240" w:lineRule="auto"/>
              <w:rPr>
                <w:lang w:val="en-GB"/>
              </w:rPr>
            </w:pPr>
            <w:r w:rsidRPr="00F766F3">
              <w:rPr>
                <w:lang w:val="en-GB"/>
              </w:rPr>
              <w:t>radioactive substances into water - total</w:t>
            </w:r>
          </w:p>
        </w:tc>
        <w:tc>
          <w:tcPr>
            <w:tcW w:w="302" w:type="pct"/>
            <w:shd w:val="clear" w:color="auto" w:fill="FFFFFF"/>
          </w:tcPr>
          <w:p w14:paraId="2CB5AB81" w14:textId="77777777" w:rsidR="00F766F3" w:rsidRPr="00F766F3" w:rsidRDefault="00F766F3" w:rsidP="00F766F3">
            <w:pPr>
              <w:pStyle w:val="CETBodytext"/>
              <w:spacing w:line="240" w:lineRule="auto"/>
              <w:rPr>
                <w:lang w:val="en-GB"/>
              </w:rPr>
            </w:pPr>
            <w:r w:rsidRPr="00F766F3">
              <w:rPr>
                <w:lang w:val="en-GB"/>
              </w:rPr>
              <w:t>UBP</w:t>
            </w:r>
          </w:p>
        </w:tc>
        <w:tc>
          <w:tcPr>
            <w:tcW w:w="714" w:type="pct"/>
            <w:shd w:val="clear" w:color="auto" w:fill="FFFFFF"/>
          </w:tcPr>
          <w:p w14:paraId="508146BC" w14:textId="77777777" w:rsidR="00F766F3" w:rsidRPr="00F766F3" w:rsidRDefault="00F766F3" w:rsidP="00F766F3">
            <w:pPr>
              <w:pStyle w:val="CETBodytext"/>
              <w:spacing w:line="240" w:lineRule="auto"/>
              <w:rPr>
                <w:lang w:val="en-GB"/>
              </w:rPr>
            </w:pPr>
            <w:r w:rsidRPr="00F766F3">
              <w:rPr>
                <w:lang w:val="en-GB"/>
              </w:rPr>
              <w:t>0</w:t>
            </w:r>
          </w:p>
        </w:tc>
        <w:tc>
          <w:tcPr>
            <w:tcW w:w="714" w:type="pct"/>
            <w:shd w:val="clear" w:color="auto" w:fill="FFFFFF"/>
          </w:tcPr>
          <w:p w14:paraId="0A837018" w14:textId="77777777" w:rsidR="00F766F3" w:rsidRPr="00F766F3" w:rsidRDefault="00F766F3" w:rsidP="00F766F3">
            <w:pPr>
              <w:pStyle w:val="CETBodytext"/>
              <w:spacing w:line="240" w:lineRule="auto"/>
              <w:rPr>
                <w:lang w:val="en-GB"/>
              </w:rPr>
            </w:pPr>
            <w:r w:rsidRPr="00F766F3">
              <w:rPr>
                <w:lang w:val="en-GB"/>
              </w:rPr>
              <w:t>0</w:t>
            </w:r>
          </w:p>
        </w:tc>
        <w:tc>
          <w:tcPr>
            <w:tcW w:w="714" w:type="pct"/>
            <w:shd w:val="clear" w:color="auto" w:fill="FFFFFF"/>
          </w:tcPr>
          <w:p w14:paraId="6F6FFB5E" w14:textId="77777777" w:rsidR="00F766F3" w:rsidRPr="00F766F3" w:rsidRDefault="00F766F3" w:rsidP="00F766F3">
            <w:pPr>
              <w:pStyle w:val="CETBodytext"/>
              <w:spacing w:line="240" w:lineRule="auto"/>
              <w:rPr>
                <w:lang w:val="en-GB"/>
              </w:rPr>
            </w:pPr>
            <w:r w:rsidRPr="00F766F3">
              <w:rPr>
                <w:lang w:val="en-GB"/>
              </w:rPr>
              <w:t>0</w:t>
            </w:r>
          </w:p>
        </w:tc>
        <w:tc>
          <w:tcPr>
            <w:tcW w:w="713" w:type="pct"/>
            <w:shd w:val="clear" w:color="auto" w:fill="FFFFFF"/>
          </w:tcPr>
          <w:p w14:paraId="360B3D42" w14:textId="77777777" w:rsidR="00F766F3" w:rsidRPr="00F766F3" w:rsidRDefault="00F766F3" w:rsidP="00F766F3">
            <w:pPr>
              <w:pStyle w:val="CETBodytext"/>
              <w:spacing w:line="240" w:lineRule="auto"/>
              <w:rPr>
                <w:lang w:val="en-GB"/>
              </w:rPr>
            </w:pPr>
            <w:r w:rsidRPr="00F766F3">
              <w:rPr>
                <w:lang w:val="en-GB"/>
              </w:rPr>
              <w:t>0</w:t>
            </w:r>
          </w:p>
        </w:tc>
        <w:tc>
          <w:tcPr>
            <w:tcW w:w="713" w:type="pct"/>
            <w:shd w:val="clear" w:color="auto" w:fill="FFFFFF"/>
          </w:tcPr>
          <w:p w14:paraId="6839ED68" w14:textId="77777777" w:rsidR="00F766F3" w:rsidRPr="00F766F3" w:rsidRDefault="00F766F3" w:rsidP="00F766F3">
            <w:pPr>
              <w:pStyle w:val="CETBodytext"/>
              <w:spacing w:line="240" w:lineRule="auto"/>
              <w:rPr>
                <w:lang w:val="en-GB"/>
              </w:rPr>
            </w:pPr>
            <w:r w:rsidRPr="00F766F3">
              <w:rPr>
                <w:lang w:val="en-GB"/>
              </w:rPr>
              <w:t>0</w:t>
            </w:r>
          </w:p>
        </w:tc>
      </w:tr>
      <w:tr w:rsidR="00F766F3" w:rsidRPr="00B57B36" w14:paraId="57B96AA3" w14:textId="77777777" w:rsidTr="008043ED">
        <w:tc>
          <w:tcPr>
            <w:tcW w:w="1130" w:type="pct"/>
            <w:shd w:val="clear" w:color="auto" w:fill="FFFFFF"/>
          </w:tcPr>
          <w:p w14:paraId="1DD67A5A" w14:textId="77777777" w:rsidR="00F766F3" w:rsidRPr="00F766F3" w:rsidRDefault="00F766F3" w:rsidP="00F766F3">
            <w:pPr>
              <w:pStyle w:val="CETBodytext"/>
              <w:spacing w:line="240" w:lineRule="auto"/>
              <w:rPr>
                <w:lang w:val="en-GB"/>
              </w:rPr>
            </w:pPr>
            <w:r w:rsidRPr="00F766F3">
              <w:rPr>
                <w:lang w:val="en-GB"/>
              </w:rPr>
              <w:t>radioactive waste to deposit - total</w:t>
            </w:r>
          </w:p>
        </w:tc>
        <w:tc>
          <w:tcPr>
            <w:tcW w:w="302" w:type="pct"/>
            <w:shd w:val="clear" w:color="auto" w:fill="FFFFFF"/>
          </w:tcPr>
          <w:p w14:paraId="48209787" w14:textId="77777777" w:rsidR="00F766F3" w:rsidRPr="00F766F3" w:rsidRDefault="00F766F3" w:rsidP="00F766F3">
            <w:pPr>
              <w:pStyle w:val="CETBodytext"/>
              <w:spacing w:line="240" w:lineRule="auto"/>
              <w:rPr>
                <w:lang w:val="en-GB"/>
              </w:rPr>
            </w:pPr>
            <w:r w:rsidRPr="00F766F3">
              <w:rPr>
                <w:lang w:val="en-GB"/>
              </w:rPr>
              <w:t>UBP</w:t>
            </w:r>
          </w:p>
        </w:tc>
        <w:tc>
          <w:tcPr>
            <w:tcW w:w="714" w:type="pct"/>
            <w:shd w:val="clear" w:color="auto" w:fill="FFFFFF"/>
          </w:tcPr>
          <w:p w14:paraId="2561DECD" w14:textId="77777777" w:rsidR="00F766F3" w:rsidRPr="00F766F3" w:rsidRDefault="00F766F3" w:rsidP="00F766F3">
            <w:pPr>
              <w:pStyle w:val="CETBodytext"/>
              <w:spacing w:line="240" w:lineRule="auto"/>
              <w:rPr>
                <w:lang w:val="en-GB"/>
              </w:rPr>
            </w:pPr>
            <w:r w:rsidRPr="00F766F3">
              <w:rPr>
                <w:lang w:val="en-GB"/>
              </w:rPr>
              <w:t>0</w:t>
            </w:r>
          </w:p>
        </w:tc>
        <w:tc>
          <w:tcPr>
            <w:tcW w:w="714" w:type="pct"/>
            <w:shd w:val="clear" w:color="auto" w:fill="FFFFFF"/>
          </w:tcPr>
          <w:p w14:paraId="36AD2043" w14:textId="77777777" w:rsidR="00F766F3" w:rsidRPr="00F766F3" w:rsidRDefault="00F766F3" w:rsidP="00F766F3">
            <w:pPr>
              <w:pStyle w:val="CETBodytext"/>
              <w:spacing w:line="240" w:lineRule="auto"/>
              <w:rPr>
                <w:lang w:val="en-GB"/>
              </w:rPr>
            </w:pPr>
            <w:r w:rsidRPr="00F766F3">
              <w:rPr>
                <w:lang w:val="en-GB"/>
              </w:rPr>
              <w:t>0</w:t>
            </w:r>
          </w:p>
        </w:tc>
        <w:tc>
          <w:tcPr>
            <w:tcW w:w="714" w:type="pct"/>
            <w:shd w:val="clear" w:color="auto" w:fill="FFFFFF"/>
          </w:tcPr>
          <w:p w14:paraId="2ABB7040" w14:textId="77777777" w:rsidR="00F766F3" w:rsidRPr="00F766F3" w:rsidRDefault="00F766F3" w:rsidP="00F766F3">
            <w:pPr>
              <w:pStyle w:val="CETBodytext"/>
              <w:spacing w:line="240" w:lineRule="auto"/>
              <w:rPr>
                <w:lang w:val="en-GB"/>
              </w:rPr>
            </w:pPr>
            <w:r w:rsidRPr="00F766F3">
              <w:rPr>
                <w:lang w:val="en-GB"/>
              </w:rPr>
              <w:t>0</w:t>
            </w:r>
          </w:p>
        </w:tc>
        <w:tc>
          <w:tcPr>
            <w:tcW w:w="713" w:type="pct"/>
            <w:shd w:val="clear" w:color="auto" w:fill="FFFFFF"/>
          </w:tcPr>
          <w:p w14:paraId="73CE0CC8" w14:textId="77777777" w:rsidR="00F766F3" w:rsidRPr="00F766F3" w:rsidRDefault="00F766F3" w:rsidP="00F766F3">
            <w:pPr>
              <w:pStyle w:val="CETBodytext"/>
              <w:spacing w:line="240" w:lineRule="auto"/>
              <w:rPr>
                <w:lang w:val="en-GB"/>
              </w:rPr>
            </w:pPr>
            <w:r w:rsidRPr="00F766F3">
              <w:rPr>
                <w:lang w:val="en-GB"/>
              </w:rPr>
              <w:t>0</w:t>
            </w:r>
          </w:p>
        </w:tc>
        <w:tc>
          <w:tcPr>
            <w:tcW w:w="713" w:type="pct"/>
            <w:shd w:val="clear" w:color="auto" w:fill="FFFFFF"/>
          </w:tcPr>
          <w:p w14:paraId="42CD4413" w14:textId="77777777" w:rsidR="00F766F3" w:rsidRPr="00F766F3" w:rsidRDefault="00F766F3" w:rsidP="00F766F3">
            <w:pPr>
              <w:pStyle w:val="CETBodytext"/>
              <w:spacing w:line="240" w:lineRule="auto"/>
              <w:rPr>
                <w:lang w:val="en-GB"/>
              </w:rPr>
            </w:pPr>
            <w:r w:rsidRPr="00F766F3">
              <w:rPr>
                <w:lang w:val="en-GB"/>
              </w:rPr>
              <w:t>0</w:t>
            </w:r>
          </w:p>
        </w:tc>
      </w:tr>
      <w:tr w:rsidR="00F766F3" w:rsidRPr="00B57B36" w14:paraId="7DAD620C" w14:textId="77777777" w:rsidTr="008043ED">
        <w:tc>
          <w:tcPr>
            <w:tcW w:w="1130" w:type="pct"/>
            <w:shd w:val="clear" w:color="auto" w:fill="FFFFFF"/>
          </w:tcPr>
          <w:p w14:paraId="7F3CD1F8" w14:textId="77777777" w:rsidR="00F766F3" w:rsidRPr="00F766F3" w:rsidRDefault="00F766F3" w:rsidP="00F766F3">
            <w:pPr>
              <w:pStyle w:val="CETBodytext"/>
              <w:spacing w:line="240" w:lineRule="auto"/>
              <w:rPr>
                <w:lang w:val="en-GB"/>
              </w:rPr>
            </w:pPr>
            <w:r w:rsidRPr="00F766F3">
              <w:rPr>
                <w:lang w:val="en-GB"/>
              </w:rPr>
              <w:t>total - total</w:t>
            </w:r>
          </w:p>
        </w:tc>
        <w:tc>
          <w:tcPr>
            <w:tcW w:w="302" w:type="pct"/>
            <w:shd w:val="clear" w:color="auto" w:fill="FFFFFF"/>
          </w:tcPr>
          <w:p w14:paraId="5B50005E" w14:textId="77777777" w:rsidR="00F766F3" w:rsidRPr="00F766F3" w:rsidRDefault="00F766F3" w:rsidP="00F766F3">
            <w:pPr>
              <w:pStyle w:val="CETBodytext"/>
              <w:spacing w:line="240" w:lineRule="auto"/>
              <w:rPr>
                <w:lang w:val="en-GB"/>
              </w:rPr>
            </w:pPr>
            <w:r w:rsidRPr="00F766F3">
              <w:rPr>
                <w:lang w:val="en-GB"/>
              </w:rPr>
              <w:t>UBP</w:t>
            </w:r>
          </w:p>
        </w:tc>
        <w:tc>
          <w:tcPr>
            <w:tcW w:w="714" w:type="pct"/>
            <w:shd w:val="clear" w:color="auto" w:fill="FFFFFF"/>
          </w:tcPr>
          <w:p w14:paraId="272AF7EF" w14:textId="77777777" w:rsidR="00F766F3" w:rsidRPr="00F766F3" w:rsidRDefault="00F766F3" w:rsidP="00F766F3">
            <w:pPr>
              <w:pStyle w:val="CETBodytext"/>
              <w:spacing w:line="240" w:lineRule="auto"/>
              <w:rPr>
                <w:lang w:val="en-GB"/>
              </w:rPr>
            </w:pPr>
            <w:r w:rsidRPr="00F766F3">
              <w:rPr>
                <w:lang w:val="en-GB"/>
              </w:rPr>
              <w:t>1.51E+06</w:t>
            </w:r>
          </w:p>
        </w:tc>
        <w:tc>
          <w:tcPr>
            <w:tcW w:w="714" w:type="pct"/>
            <w:shd w:val="clear" w:color="auto" w:fill="FFFFFF"/>
          </w:tcPr>
          <w:p w14:paraId="367640E0" w14:textId="77777777" w:rsidR="00F766F3" w:rsidRPr="00F766F3" w:rsidRDefault="00F766F3" w:rsidP="00F766F3">
            <w:pPr>
              <w:pStyle w:val="CETBodytext"/>
              <w:spacing w:line="240" w:lineRule="auto"/>
              <w:rPr>
                <w:lang w:val="en-GB"/>
              </w:rPr>
            </w:pPr>
            <w:r w:rsidRPr="00F766F3">
              <w:rPr>
                <w:lang w:val="en-GB"/>
              </w:rPr>
              <w:t>1.38E+06</w:t>
            </w:r>
          </w:p>
        </w:tc>
        <w:tc>
          <w:tcPr>
            <w:tcW w:w="714" w:type="pct"/>
            <w:shd w:val="clear" w:color="auto" w:fill="FFFFFF"/>
          </w:tcPr>
          <w:p w14:paraId="71A39BED" w14:textId="77777777" w:rsidR="00F766F3" w:rsidRPr="00F766F3" w:rsidRDefault="00F766F3" w:rsidP="00F766F3">
            <w:pPr>
              <w:pStyle w:val="CETBodytext"/>
              <w:spacing w:line="240" w:lineRule="auto"/>
              <w:rPr>
                <w:lang w:val="en-GB"/>
              </w:rPr>
            </w:pPr>
            <w:r w:rsidRPr="00F766F3">
              <w:rPr>
                <w:lang w:val="en-GB"/>
              </w:rPr>
              <w:t>1.38E+06</w:t>
            </w:r>
          </w:p>
        </w:tc>
        <w:tc>
          <w:tcPr>
            <w:tcW w:w="713" w:type="pct"/>
            <w:shd w:val="clear" w:color="auto" w:fill="FFFFFF"/>
          </w:tcPr>
          <w:p w14:paraId="2CA1C909" w14:textId="77777777" w:rsidR="00F766F3" w:rsidRPr="00F766F3" w:rsidRDefault="00F766F3" w:rsidP="00F766F3">
            <w:pPr>
              <w:pStyle w:val="CETBodytext"/>
              <w:spacing w:line="240" w:lineRule="auto"/>
              <w:rPr>
                <w:lang w:val="en-GB"/>
              </w:rPr>
            </w:pPr>
            <w:r w:rsidRPr="00F766F3">
              <w:rPr>
                <w:lang w:val="en-GB"/>
              </w:rPr>
              <w:t>1.39E+06</w:t>
            </w:r>
          </w:p>
        </w:tc>
        <w:tc>
          <w:tcPr>
            <w:tcW w:w="713" w:type="pct"/>
            <w:shd w:val="clear" w:color="auto" w:fill="FFFFFF"/>
          </w:tcPr>
          <w:p w14:paraId="55AA3483" w14:textId="77777777" w:rsidR="00F766F3" w:rsidRPr="00F766F3" w:rsidRDefault="00F766F3" w:rsidP="00F766F3">
            <w:pPr>
              <w:pStyle w:val="CETBodytext"/>
              <w:spacing w:line="240" w:lineRule="auto"/>
              <w:rPr>
                <w:lang w:val="en-GB"/>
              </w:rPr>
            </w:pPr>
            <w:r w:rsidRPr="00F766F3">
              <w:rPr>
                <w:lang w:val="en-GB"/>
              </w:rPr>
              <w:t>1.40E+06</w:t>
            </w:r>
          </w:p>
        </w:tc>
      </w:tr>
      <w:tr w:rsidR="00F766F3" w:rsidRPr="00B57B36" w14:paraId="137548F8" w14:textId="77777777" w:rsidTr="008043ED">
        <w:tc>
          <w:tcPr>
            <w:tcW w:w="1130" w:type="pct"/>
            <w:shd w:val="clear" w:color="auto" w:fill="FFFFFF"/>
          </w:tcPr>
          <w:p w14:paraId="7F976C1A" w14:textId="77777777" w:rsidR="00F766F3" w:rsidRPr="00F766F3" w:rsidRDefault="00F766F3" w:rsidP="00F766F3">
            <w:pPr>
              <w:pStyle w:val="CETBodytext"/>
              <w:spacing w:line="240" w:lineRule="auto"/>
              <w:rPr>
                <w:lang w:val="en-GB"/>
              </w:rPr>
            </w:pPr>
            <w:r w:rsidRPr="00F766F3">
              <w:rPr>
                <w:lang w:val="en-GB"/>
              </w:rPr>
              <w:t>water pollutants - total</w:t>
            </w:r>
          </w:p>
        </w:tc>
        <w:tc>
          <w:tcPr>
            <w:tcW w:w="302" w:type="pct"/>
            <w:shd w:val="clear" w:color="auto" w:fill="FFFFFF"/>
          </w:tcPr>
          <w:p w14:paraId="6F1B2A7D" w14:textId="77777777" w:rsidR="00F766F3" w:rsidRPr="00F766F3" w:rsidRDefault="00F766F3" w:rsidP="00F766F3">
            <w:pPr>
              <w:pStyle w:val="CETBodytext"/>
              <w:spacing w:line="240" w:lineRule="auto"/>
              <w:rPr>
                <w:lang w:val="en-GB"/>
              </w:rPr>
            </w:pPr>
            <w:r w:rsidRPr="00F766F3">
              <w:rPr>
                <w:lang w:val="en-GB"/>
              </w:rPr>
              <w:t>UBP</w:t>
            </w:r>
          </w:p>
        </w:tc>
        <w:tc>
          <w:tcPr>
            <w:tcW w:w="714" w:type="pct"/>
            <w:shd w:val="clear" w:color="auto" w:fill="FFFFFF"/>
          </w:tcPr>
          <w:p w14:paraId="0039DFCC" w14:textId="77777777" w:rsidR="00F766F3" w:rsidRPr="00F766F3" w:rsidRDefault="00F766F3" w:rsidP="00F766F3">
            <w:pPr>
              <w:pStyle w:val="CETBodytext"/>
              <w:spacing w:line="240" w:lineRule="auto"/>
              <w:rPr>
                <w:lang w:val="en-GB"/>
              </w:rPr>
            </w:pPr>
            <w:r w:rsidRPr="00F766F3">
              <w:rPr>
                <w:lang w:val="en-GB"/>
              </w:rPr>
              <w:t>7,950.55</w:t>
            </w:r>
          </w:p>
        </w:tc>
        <w:tc>
          <w:tcPr>
            <w:tcW w:w="714" w:type="pct"/>
            <w:shd w:val="clear" w:color="auto" w:fill="FFFFFF"/>
          </w:tcPr>
          <w:p w14:paraId="474B3541" w14:textId="77777777" w:rsidR="00F766F3" w:rsidRPr="00F766F3" w:rsidRDefault="00F766F3" w:rsidP="00F766F3">
            <w:pPr>
              <w:pStyle w:val="CETBodytext"/>
              <w:spacing w:line="240" w:lineRule="auto"/>
              <w:rPr>
                <w:lang w:val="en-GB"/>
              </w:rPr>
            </w:pPr>
            <w:r w:rsidRPr="00F766F3">
              <w:rPr>
                <w:lang w:val="en-GB"/>
              </w:rPr>
              <w:t>7,617.50</w:t>
            </w:r>
          </w:p>
        </w:tc>
        <w:tc>
          <w:tcPr>
            <w:tcW w:w="714" w:type="pct"/>
            <w:shd w:val="clear" w:color="auto" w:fill="FFFFFF"/>
          </w:tcPr>
          <w:p w14:paraId="2B46D588" w14:textId="77777777" w:rsidR="00F766F3" w:rsidRPr="00F766F3" w:rsidRDefault="00F766F3" w:rsidP="00F766F3">
            <w:pPr>
              <w:pStyle w:val="CETBodytext"/>
              <w:spacing w:line="240" w:lineRule="auto"/>
              <w:rPr>
                <w:lang w:val="en-GB"/>
              </w:rPr>
            </w:pPr>
            <w:r w:rsidRPr="00F766F3">
              <w:rPr>
                <w:lang w:val="en-GB"/>
              </w:rPr>
              <w:t>7,620.90</w:t>
            </w:r>
          </w:p>
        </w:tc>
        <w:tc>
          <w:tcPr>
            <w:tcW w:w="713" w:type="pct"/>
            <w:shd w:val="clear" w:color="auto" w:fill="FFFFFF"/>
          </w:tcPr>
          <w:p w14:paraId="577A9F3E" w14:textId="77777777" w:rsidR="00F766F3" w:rsidRPr="00F766F3" w:rsidRDefault="00F766F3" w:rsidP="00F766F3">
            <w:pPr>
              <w:pStyle w:val="CETBodytext"/>
              <w:spacing w:line="240" w:lineRule="auto"/>
              <w:rPr>
                <w:lang w:val="en-GB"/>
              </w:rPr>
            </w:pPr>
            <w:r w:rsidRPr="00F766F3">
              <w:rPr>
                <w:lang w:val="en-GB"/>
              </w:rPr>
              <w:t>7,648.13</w:t>
            </w:r>
          </w:p>
        </w:tc>
        <w:tc>
          <w:tcPr>
            <w:tcW w:w="713" w:type="pct"/>
            <w:shd w:val="clear" w:color="auto" w:fill="FFFFFF"/>
          </w:tcPr>
          <w:p w14:paraId="163BE963" w14:textId="77777777" w:rsidR="00F766F3" w:rsidRPr="00F766F3" w:rsidRDefault="00F766F3" w:rsidP="00F766F3">
            <w:pPr>
              <w:pStyle w:val="CETBodytext"/>
              <w:spacing w:line="240" w:lineRule="auto"/>
              <w:rPr>
                <w:lang w:val="en-GB"/>
              </w:rPr>
            </w:pPr>
            <w:r w:rsidRPr="00F766F3">
              <w:rPr>
                <w:lang w:val="en-GB"/>
              </w:rPr>
              <w:t>7,682.16</w:t>
            </w:r>
          </w:p>
        </w:tc>
      </w:tr>
      <w:tr w:rsidR="00F766F3" w:rsidRPr="00B57B36" w14:paraId="78799870" w14:textId="77777777" w:rsidTr="008043ED">
        <w:tc>
          <w:tcPr>
            <w:tcW w:w="1130" w:type="pct"/>
            <w:shd w:val="clear" w:color="auto" w:fill="FFFFFF"/>
          </w:tcPr>
          <w:p w14:paraId="157D08F2" w14:textId="77777777" w:rsidR="00F766F3" w:rsidRPr="00F766F3" w:rsidRDefault="00F766F3" w:rsidP="00F766F3">
            <w:pPr>
              <w:pStyle w:val="CETBodytext"/>
              <w:spacing w:line="240" w:lineRule="auto"/>
              <w:rPr>
                <w:lang w:val="en-GB"/>
              </w:rPr>
            </w:pPr>
            <w:r w:rsidRPr="00F766F3">
              <w:rPr>
                <w:lang w:val="en-GB"/>
              </w:rPr>
              <w:t>water resources - total</w:t>
            </w:r>
          </w:p>
        </w:tc>
        <w:tc>
          <w:tcPr>
            <w:tcW w:w="302" w:type="pct"/>
            <w:shd w:val="clear" w:color="auto" w:fill="FFFFFF"/>
          </w:tcPr>
          <w:p w14:paraId="78CCDDE3" w14:textId="77777777" w:rsidR="00F766F3" w:rsidRPr="00F766F3" w:rsidRDefault="00F766F3" w:rsidP="00F766F3">
            <w:pPr>
              <w:pStyle w:val="CETBodytext"/>
              <w:spacing w:line="240" w:lineRule="auto"/>
              <w:rPr>
                <w:lang w:val="en-GB"/>
              </w:rPr>
            </w:pPr>
            <w:r w:rsidRPr="00F766F3">
              <w:rPr>
                <w:lang w:val="en-GB"/>
              </w:rPr>
              <w:t>UBP</w:t>
            </w:r>
          </w:p>
        </w:tc>
        <w:tc>
          <w:tcPr>
            <w:tcW w:w="714" w:type="pct"/>
            <w:shd w:val="clear" w:color="auto" w:fill="FFFFFF"/>
          </w:tcPr>
          <w:p w14:paraId="66695396" w14:textId="77777777" w:rsidR="00F766F3" w:rsidRPr="00F766F3" w:rsidRDefault="00F766F3" w:rsidP="00F766F3">
            <w:pPr>
              <w:pStyle w:val="CETBodytext"/>
              <w:spacing w:line="240" w:lineRule="auto"/>
              <w:rPr>
                <w:lang w:val="en-GB"/>
              </w:rPr>
            </w:pPr>
            <w:r w:rsidRPr="00F766F3">
              <w:rPr>
                <w:lang w:val="en-GB"/>
              </w:rPr>
              <w:t>0</w:t>
            </w:r>
          </w:p>
        </w:tc>
        <w:tc>
          <w:tcPr>
            <w:tcW w:w="714" w:type="pct"/>
            <w:shd w:val="clear" w:color="auto" w:fill="FFFFFF"/>
          </w:tcPr>
          <w:p w14:paraId="71B880B9" w14:textId="77777777" w:rsidR="00F766F3" w:rsidRPr="00F766F3" w:rsidRDefault="00F766F3" w:rsidP="00F766F3">
            <w:pPr>
              <w:pStyle w:val="CETBodytext"/>
              <w:spacing w:line="240" w:lineRule="auto"/>
              <w:rPr>
                <w:lang w:val="en-GB"/>
              </w:rPr>
            </w:pPr>
            <w:r w:rsidRPr="00F766F3">
              <w:rPr>
                <w:lang w:val="en-GB"/>
              </w:rPr>
              <w:t>0</w:t>
            </w:r>
          </w:p>
        </w:tc>
        <w:tc>
          <w:tcPr>
            <w:tcW w:w="714" w:type="pct"/>
            <w:shd w:val="clear" w:color="auto" w:fill="FFFFFF"/>
          </w:tcPr>
          <w:p w14:paraId="4E2F343D" w14:textId="77777777" w:rsidR="00F766F3" w:rsidRPr="00F766F3" w:rsidRDefault="00F766F3" w:rsidP="00F766F3">
            <w:pPr>
              <w:pStyle w:val="CETBodytext"/>
              <w:spacing w:line="240" w:lineRule="auto"/>
              <w:rPr>
                <w:lang w:val="en-GB"/>
              </w:rPr>
            </w:pPr>
            <w:r w:rsidRPr="00F766F3">
              <w:rPr>
                <w:lang w:val="en-GB"/>
              </w:rPr>
              <w:t>0</w:t>
            </w:r>
          </w:p>
        </w:tc>
        <w:tc>
          <w:tcPr>
            <w:tcW w:w="713" w:type="pct"/>
            <w:shd w:val="clear" w:color="auto" w:fill="FFFFFF"/>
          </w:tcPr>
          <w:p w14:paraId="03F3EBE5" w14:textId="77777777" w:rsidR="00F766F3" w:rsidRPr="00F766F3" w:rsidRDefault="00F766F3" w:rsidP="00F766F3">
            <w:pPr>
              <w:pStyle w:val="CETBodytext"/>
              <w:spacing w:line="240" w:lineRule="auto"/>
              <w:rPr>
                <w:lang w:val="en-GB"/>
              </w:rPr>
            </w:pPr>
            <w:r w:rsidRPr="00F766F3">
              <w:rPr>
                <w:lang w:val="en-GB"/>
              </w:rPr>
              <w:t>0</w:t>
            </w:r>
          </w:p>
        </w:tc>
        <w:tc>
          <w:tcPr>
            <w:tcW w:w="713" w:type="pct"/>
            <w:shd w:val="clear" w:color="auto" w:fill="FFFFFF"/>
          </w:tcPr>
          <w:p w14:paraId="3FAD5A9A" w14:textId="77777777" w:rsidR="00F766F3" w:rsidRPr="00F766F3" w:rsidRDefault="00F766F3" w:rsidP="00F766F3">
            <w:pPr>
              <w:pStyle w:val="CETBodytext"/>
              <w:spacing w:line="240" w:lineRule="auto"/>
              <w:rPr>
                <w:lang w:val="en-GB"/>
              </w:rPr>
            </w:pPr>
            <w:r w:rsidRPr="00F766F3">
              <w:rPr>
                <w:lang w:val="en-GB"/>
              </w:rPr>
              <w:t>0</w:t>
            </w:r>
          </w:p>
        </w:tc>
      </w:tr>
    </w:tbl>
    <w:p w14:paraId="2DA2FBBD" w14:textId="77777777" w:rsidR="00504B8B" w:rsidRDefault="00504B8B" w:rsidP="0006347D">
      <w:pPr>
        <w:pStyle w:val="CETBodytext"/>
        <w:rPr>
          <w:lang w:val="en-GB"/>
        </w:rPr>
      </w:pPr>
    </w:p>
    <w:p w14:paraId="2C4C202C" w14:textId="70023633" w:rsidR="000D05DA" w:rsidRDefault="00277091" w:rsidP="000D05DA">
      <w:pPr>
        <w:pStyle w:val="CETBodytext"/>
        <w:keepNext/>
      </w:pPr>
      <w:r>
        <w:object w:dxaOrig="5780" w:dyaOrig="4051" w14:anchorId="07268E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201pt" o:ole="">
            <v:imagedata r:id="rId11" o:title=""/>
          </v:shape>
          <o:OLEObject Type="Embed" ProgID="Origin50.Graph" ShapeID="_x0000_i1025" DrawAspect="Content" ObjectID="_1815373039" r:id="rId12"/>
        </w:object>
      </w:r>
    </w:p>
    <w:p w14:paraId="4A7F00B9" w14:textId="3E22BDB5" w:rsidR="000D05DA" w:rsidRPr="00BA56FC" w:rsidRDefault="000D05DA" w:rsidP="000D05DA">
      <w:pPr>
        <w:pStyle w:val="CETCaption"/>
        <w:rPr>
          <w:rStyle w:val="CETCaptionCarattere"/>
          <w:i/>
          <w:lang w:val="it-IT"/>
        </w:rPr>
      </w:pPr>
      <w:bookmarkStart w:id="4" w:name="_Ref190266427"/>
      <w:r w:rsidRPr="00BA56FC">
        <w:rPr>
          <w:rStyle w:val="CETCaptionCarattere"/>
          <w:i/>
          <w:lang w:val="it-IT"/>
        </w:rPr>
        <w:t xml:space="preserve">Figure </w:t>
      </w:r>
      <w:r w:rsidRPr="000D05DA">
        <w:rPr>
          <w:rStyle w:val="CETCaptionCarattere"/>
          <w:i/>
        </w:rPr>
        <w:fldChar w:fldCharType="begin"/>
      </w:r>
      <w:r w:rsidRPr="00BA56FC">
        <w:rPr>
          <w:rStyle w:val="CETCaptionCarattere"/>
          <w:i/>
          <w:lang w:val="it-IT"/>
        </w:rPr>
        <w:instrText xml:space="preserve"> SEQ Figure \* ARABIC </w:instrText>
      </w:r>
      <w:r w:rsidRPr="000D05DA">
        <w:rPr>
          <w:rStyle w:val="CETCaptionCarattere"/>
          <w:i/>
        </w:rPr>
        <w:fldChar w:fldCharType="separate"/>
      </w:r>
      <w:r w:rsidRPr="00BA56FC">
        <w:rPr>
          <w:rStyle w:val="CETCaptionCarattere"/>
          <w:i/>
          <w:noProof/>
          <w:lang w:val="it-IT"/>
        </w:rPr>
        <w:t>2</w:t>
      </w:r>
      <w:r w:rsidRPr="000D05DA">
        <w:rPr>
          <w:rStyle w:val="CETCaptionCarattere"/>
          <w:i/>
        </w:rPr>
        <w:fldChar w:fldCharType="end"/>
      </w:r>
      <w:bookmarkEnd w:id="4"/>
      <w:r w:rsidRPr="00BA56FC">
        <w:rPr>
          <w:rStyle w:val="CETCaptionCarattere"/>
          <w:i/>
          <w:lang w:val="it-IT"/>
        </w:rPr>
        <w:t xml:space="preserve"> Ecological </w:t>
      </w:r>
      <w:r w:rsidR="00A34B3D" w:rsidRPr="00BA56FC">
        <w:rPr>
          <w:rStyle w:val="CETCaptionCarattere"/>
          <w:i/>
          <w:lang w:val="it-IT"/>
        </w:rPr>
        <w:t>Scarcity</w:t>
      </w:r>
      <w:r w:rsidRPr="00BA56FC">
        <w:rPr>
          <w:rStyle w:val="CETCaptionCarattere"/>
          <w:i/>
          <w:lang w:val="it-IT"/>
        </w:rPr>
        <w:t xml:space="preserve"> impact categories results for Scenario 1, Scenario 2a, Scenario 2b, Scenario 2c, Scenario 2d</w:t>
      </w:r>
    </w:p>
    <w:p w14:paraId="02C14F6B" w14:textId="77777777" w:rsidR="00277091" w:rsidRPr="00C454F3" w:rsidRDefault="00277091" w:rsidP="009D157D">
      <w:pPr>
        <w:pStyle w:val="CETBodytext"/>
        <w:rPr>
          <w:lang w:val="en-GB"/>
        </w:rPr>
      </w:pPr>
      <w:r w:rsidRPr="00C454F3">
        <w:rPr>
          <w:lang w:val="en-GB"/>
        </w:rPr>
        <w:t>Regarding the carcinogenic substances in air impact category, Scenario 1 exhibits a burden nearly ten times higher than that of the Scenario 2 cases. This is primarily due to landfill disposal, which alone contributes to approximately 90% of the impact in this category for Scenario 1.</w:t>
      </w:r>
    </w:p>
    <w:p w14:paraId="2F7898DA" w14:textId="77777777" w:rsidR="00277091" w:rsidRPr="00C454F3" w:rsidRDefault="00277091" w:rsidP="009D157D">
      <w:pPr>
        <w:pStyle w:val="CETBodytext"/>
        <w:rPr>
          <w:lang w:val="en-GB"/>
        </w:rPr>
      </w:pPr>
      <w:r w:rsidRPr="00C454F3">
        <w:rPr>
          <w:lang w:val="en-GB"/>
        </w:rPr>
        <w:t>In the heavy metals into soil category, Scenario 1 is up to 500 times more impactful than the Scenario 2 cases, again as a result of landfill disposal, which accounts for more than 99% of this impact.</w:t>
      </w:r>
    </w:p>
    <w:p w14:paraId="7C5E4EE6" w14:textId="374D6716" w:rsidR="009D157D" w:rsidRPr="00C454F3" w:rsidRDefault="009D157D" w:rsidP="009D157D">
      <w:pPr>
        <w:pStyle w:val="CETBodytext"/>
        <w:rPr>
          <w:lang w:val="en-GB"/>
        </w:rPr>
      </w:pPr>
      <w:r w:rsidRPr="00C454F3">
        <w:rPr>
          <w:lang w:val="en-GB"/>
        </w:rPr>
        <w:t xml:space="preserve">Regarding </w:t>
      </w:r>
      <w:r w:rsidR="00BA56FC" w:rsidRPr="00C454F3">
        <w:rPr>
          <w:lang w:val="en-GB"/>
        </w:rPr>
        <w:t xml:space="preserve">the </w:t>
      </w:r>
      <w:r w:rsidRPr="00C454F3">
        <w:rPr>
          <w:lang w:val="en-GB"/>
        </w:rPr>
        <w:t>main air pollutants and PM</w:t>
      </w:r>
      <w:r w:rsidR="00761D46" w:rsidRPr="00C454F3">
        <w:rPr>
          <w:lang w:val="en-GB"/>
        </w:rPr>
        <w:t xml:space="preserve"> impact category</w:t>
      </w:r>
      <w:r w:rsidRPr="00C454F3">
        <w:rPr>
          <w:lang w:val="en-GB"/>
        </w:rPr>
        <w:t>, Scenario 1 is ch</w:t>
      </w:r>
      <w:r w:rsidR="0012235E" w:rsidRPr="00C454F3">
        <w:rPr>
          <w:lang w:val="en-GB"/>
        </w:rPr>
        <w:t xml:space="preserve">aracterized by a higher impact </w:t>
      </w:r>
      <w:r w:rsidR="00C912C8" w:rsidRPr="00C454F3">
        <w:rPr>
          <w:lang w:val="en-GB"/>
        </w:rPr>
        <w:t>compared to</w:t>
      </w:r>
      <w:r w:rsidRPr="00C454F3">
        <w:rPr>
          <w:lang w:val="en-GB"/>
        </w:rPr>
        <w:t xml:space="preserve"> Scenario 2</w:t>
      </w:r>
      <w:r w:rsidR="003F7CCE" w:rsidRPr="00C454F3">
        <w:rPr>
          <w:lang w:val="en-GB"/>
        </w:rPr>
        <w:t xml:space="preserve">. The </w:t>
      </w:r>
      <w:r w:rsidR="00C912C8" w:rsidRPr="00C454F3">
        <w:rPr>
          <w:lang w:val="en-GB"/>
        </w:rPr>
        <w:t>major</w:t>
      </w:r>
      <w:r w:rsidR="003F7CCE" w:rsidRPr="00C454F3">
        <w:rPr>
          <w:lang w:val="en-GB"/>
        </w:rPr>
        <w:t xml:space="preserve"> contribution </w:t>
      </w:r>
      <w:r w:rsidR="00C912C8" w:rsidRPr="00C454F3">
        <w:rPr>
          <w:lang w:val="en-GB"/>
        </w:rPr>
        <w:t>in</w:t>
      </w:r>
      <w:r w:rsidR="0012235E" w:rsidRPr="00C454F3">
        <w:rPr>
          <w:lang w:val="en-GB"/>
        </w:rPr>
        <w:t xml:space="preserve"> each scenario </w:t>
      </w:r>
      <w:r w:rsidR="00C912C8" w:rsidRPr="00C454F3">
        <w:rPr>
          <w:lang w:val="en-GB"/>
        </w:rPr>
        <w:t>regards</w:t>
      </w:r>
      <w:r w:rsidR="003F7CCE" w:rsidRPr="00C454F3">
        <w:rPr>
          <w:lang w:val="en-GB"/>
        </w:rPr>
        <w:t xml:space="preserve"> the isocyanate </w:t>
      </w:r>
      <w:r w:rsidR="00C912C8" w:rsidRPr="00C454F3">
        <w:rPr>
          <w:lang w:val="en-GB"/>
        </w:rPr>
        <w:t>employed</w:t>
      </w:r>
      <w:r w:rsidR="003F7CCE" w:rsidRPr="00C454F3">
        <w:rPr>
          <w:lang w:val="en-GB"/>
        </w:rPr>
        <w:t xml:space="preserve"> in the production of the polyurethane foam</w:t>
      </w:r>
      <w:r w:rsidR="0012235E" w:rsidRPr="00C454F3">
        <w:rPr>
          <w:lang w:val="en-GB"/>
        </w:rPr>
        <w:t>.</w:t>
      </w:r>
      <w:r w:rsidR="003F7CCE" w:rsidRPr="00C454F3">
        <w:rPr>
          <w:lang w:val="en-GB"/>
        </w:rPr>
        <w:t xml:space="preserve"> </w:t>
      </w:r>
      <w:r w:rsidR="0012235E" w:rsidRPr="00C454F3">
        <w:rPr>
          <w:lang w:val="en-GB"/>
        </w:rPr>
        <w:t>T</w:t>
      </w:r>
      <w:r w:rsidR="003F7CCE" w:rsidRPr="00C454F3">
        <w:rPr>
          <w:lang w:val="en-GB"/>
        </w:rPr>
        <w:t xml:space="preserve">he </w:t>
      </w:r>
      <w:r w:rsidR="00C912C8" w:rsidRPr="00C454F3">
        <w:rPr>
          <w:lang w:val="en-GB"/>
        </w:rPr>
        <w:t xml:space="preserve">20% </w:t>
      </w:r>
      <w:r w:rsidR="003F7CCE" w:rsidRPr="00C454F3">
        <w:rPr>
          <w:lang w:val="en-GB"/>
        </w:rPr>
        <w:t xml:space="preserve">difference </w:t>
      </w:r>
      <w:r w:rsidR="00C912C8" w:rsidRPr="00C454F3">
        <w:rPr>
          <w:lang w:val="en-GB"/>
        </w:rPr>
        <w:t>between</w:t>
      </w:r>
      <w:r w:rsidR="003F7CCE" w:rsidRPr="00C454F3">
        <w:rPr>
          <w:lang w:val="en-GB"/>
        </w:rPr>
        <w:t xml:space="preserve"> Scenario 1 and Scenario</w:t>
      </w:r>
      <w:r w:rsidR="0012235E" w:rsidRPr="00C454F3">
        <w:rPr>
          <w:lang w:val="en-GB"/>
        </w:rPr>
        <w:t xml:space="preserve">s 2 </w:t>
      </w:r>
      <w:r w:rsidR="00C912C8" w:rsidRPr="00C454F3">
        <w:rPr>
          <w:lang w:val="en-GB"/>
        </w:rPr>
        <w:t>is</w:t>
      </w:r>
      <w:r w:rsidR="0012235E" w:rsidRPr="00C454F3">
        <w:rPr>
          <w:lang w:val="en-GB"/>
        </w:rPr>
        <w:t xml:space="preserve"> </w:t>
      </w:r>
      <w:r w:rsidRPr="00C454F3">
        <w:rPr>
          <w:lang w:val="en-GB"/>
        </w:rPr>
        <w:t>mainly due to landfill di</w:t>
      </w:r>
      <w:r w:rsidR="0012235E" w:rsidRPr="00C454F3">
        <w:rPr>
          <w:lang w:val="en-GB"/>
        </w:rPr>
        <w:t>sposal</w:t>
      </w:r>
      <w:r w:rsidRPr="00C454F3">
        <w:rPr>
          <w:lang w:val="en-GB"/>
        </w:rPr>
        <w:t>.</w:t>
      </w:r>
    </w:p>
    <w:p w14:paraId="366861CE" w14:textId="77777777" w:rsidR="00277091" w:rsidRPr="00277091" w:rsidRDefault="00277091" w:rsidP="00277091">
      <w:pPr>
        <w:pStyle w:val="CETBodytext"/>
        <w:rPr>
          <w:lang w:val="en-GB"/>
        </w:rPr>
      </w:pPr>
      <w:r w:rsidRPr="00C454F3">
        <w:rPr>
          <w:lang w:val="en-GB"/>
        </w:rPr>
        <w:t>In the radioactive substances into air category, the higher</w:t>
      </w:r>
      <w:r w:rsidRPr="00277091">
        <w:rPr>
          <w:lang w:val="en-GB"/>
        </w:rPr>
        <w:t xml:space="preserve"> impact of Scenario 1 is primarily due to landfill disposal, which contributes approximately 80% of the total impact. In contrast, in Scenario 2, the impacts are mainly related to electricity consumption during the recycling process and transportation of polyurethane foam.</w:t>
      </w:r>
    </w:p>
    <w:p w14:paraId="5D7CFFB7" w14:textId="77777777" w:rsidR="00277091" w:rsidRPr="00277091" w:rsidRDefault="00277091" w:rsidP="00277091">
      <w:pPr>
        <w:pStyle w:val="CETBodytext"/>
        <w:rPr>
          <w:lang w:val="en-GB"/>
        </w:rPr>
      </w:pPr>
    </w:p>
    <w:p w14:paraId="1F6AEE31" w14:textId="77777777" w:rsidR="00277091" w:rsidRPr="00277091" w:rsidRDefault="00277091" w:rsidP="00277091">
      <w:pPr>
        <w:pStyle w:val="CETBodytext"/>
        <w:rPr>
          <w:lang w:val="en-GB"/>
        </w:rPr>
      </w:pPr>
      <w:r w:rsidRPr="00277091">
        <w:rPr>
          <w:lang w:val="en-GB"/>
        </w:rPr>
        <w:t>In the impact categories of global warming, heavy metals into air and water, mineral resource depletion, ozone layer depletion, and water pollutants, the impacts are comparable across all scenarios. However, the slightly lower impacts observed for Scenario 2 can be attributed to the reduced use of virgin polyol and isocyanate. For these categories, electricity consumption is slightly higher in Scenario 2, due to the additional energy required for the recycling process.</w:t>
      </w:r>
    </w:p>
    <w:p w14:paraId="3A70A3CF" w14:textId="76823761" w:rsidR="009D157D" w:rsidRPr="00C454F3" w:rsidRDefault="00277091" w:rsidP="00277091">
      <w:pPr>
        <w:pStyle w:val="CETBodytext"/>
        <w:rPr>
          <w:lang w:val="en-GB"/>
        </w:rPr>
      </w:pPr>
      <w:r w:rsidRPr="00277091">
        <w:rPr>
          <w:lang w:val="en-GB"/>
        </w:rPr>
        <w:lastRenderedPageBreak/>
        <w:t xml:space="preserve">In the </w:t>
      </w:r>
      <w:r w:rsidRPr="00C454F3">
        <w:rPr>
          <w:lang w:val="en-GB"/>
        </w:rPr>
        <w:t>persistent organic pollutants (POP) into water category, Scenario 1 shows greater impacts, mainly driven by the contributions of virgin polyol and isocyanate.</w:t>
      </w:r>
    </w:p>
    <w:p w14:paraId="47694116" w14:textId="0E56AABC" w:rsidR="00504B8B" w:rsidRDefault="00277091" w:rsidP="0006347D">
      <w:pPr>
        <w:pStyle w:val="CETBodytext"/>
        <w:rPr>
          <w:lang w:val="en-GB"/>
        </w:rPr>
      </w:pPr>
      <w:r w:rsidRPr="00C454F3">
        <w:rPr>
          <w:lang w:val="en-GB"/>
        </w:rPr>
        <w:t>Finally</w:t>
      </w:r>
      <w:r w:rsidR="009D157D" w:rsidRPr="00C454F3">
        <w:rPr>
          <w:lang w:val="en-GB"/>
        </w:rPr>
        <w:t xml:space="preserve">, the total impact category gives </w:t>
      </w:r>
      <w:r w:rsidR="00C912C8" w:rsidRPr="00C454F3">
        <w:rPr>
          <w:lang w:val="en-GB"/>
        </w:rPr>
        <w:t>an overall view of the</w:t>
      </w:r>
      <w:r w:rsidR="009D157D" w:rsidRPr="00C454F3">
        <w:rPr>
          <w:lang w:val="en-GB"/>
        </w:rPr>
        <w:t xml:space="preserve"> impact of the whole process</w:t>
      </w:r>
      <w:r w:rsidR="00C912C8" w:rsidRPr="00C454F3">
        <w:rPr>
          <w:lang w:val="en-GB"/>
        </w:rPr>
        <w:t xml:space="preserve">. This category </w:t>
      </w:r>
      <w:r w:rsidR="009D157D" w:rsidRPr="00C454F3">
        <w:rPr>
          <w:lang w:val="en-GB"/>
        </w:rPr>
        <w:t>show</w:t>
      </w:r>
      <w:r w:rsidR="00C912C8" w:rsidRPr="00C454F3">
        <w:rPr>
          <w:lang w:val="en-GB"/>
        </w:rPr>
        <w:t xml:space="preserve">s </w:t>
      </w:r>
      <w:r w:rsidR="009D157D" w:rsidRPr="00C454F3">
        <w:rPr>
          <w:lang w:val="en-GB"/>
        </w:rPr>
        <w:t>that Scenario 1 represent</w:t>
      </w:r>
      <w:r w:rsidR="00BA56FC" w:rsidRPr="00C454F3">
        <w:rPr>
          <w:lang w:val="en-GB"/>
        </w:rPr>
        <w:t>s</w:t>
      </w:r>
      <w:r w:rsidR="009D157D" w:rsidRPr="00C454F3">
        <w:rPr>
          <w:lang w:val="en-GB"/>
        </w:rPr>
        <w:t xml:space="preserve"> the most impactful process compared to the ones </w:t>
      </w:r>
      <w:r w:rsidR="00C912C8" w:rsidRPr="00C454F3">
        <w:rPr>
          <w:lang w:val="en-GB"/>
        </w:rPr>
        <w:t>in</w:t>
      </w:r>
      <w:r w:rsidR="009D157D" w:rsidRPr="00C454F3">
        <w:rPr>
          <w:lang w:val="en-GB"/>
        </w:rPr>
        <w:t xml:space="preserve"> Scenario 2. Among the different Scenario 2 cases, instead, there is a slight increase in the impact value with the increase in </w:t>
      </w:r>
      <w:r w:rsidR="00761D46" w:rsidRPr="00C454F3">
        <w:rPr>
          <w:lang w:val="en-GB"/>
        </w:rPr>
        <w:t>substitution</w:t>
      </w:r>
      <w:r w:rsidR="009D157D" w:rsidRPr="00C454F3">
        <w:rPr>
          <w:lang w:val="en-GB"/>
        </w:rPr>
        <w:t xml:space="preserve"> percentage.</w:t>
      </w:r>
      <w:r w:rsidR="00BE7907" w:rsidRPr="00C454F3">
        <w:rPr>
          <w:lang w:val="en-GB"/>
        </w:rPr>
        <w:t xml:space="preserve"> This can be explained by the increase in substitution percentage, which leads to an increase in the weight of the impact results of the first polyurethane foam process on the recycled foam.</w:t>
      </w:r>
    </w:p>
    <w:p w14:paraId="68D26B83" w14:textId="77777777" w:rsidR="00600535" w:rsidRPr="00B57B36" w:rsidRDefault="00600535" w:rsidP="00600535">
      <w:pPr>
        <w:pStyle w:val="CETHeading1"/>
        <w:rPr>
          <w:lang w:val="en-GB"/>
        </w:rPr>
      </w:pPr>
      <w:r w:rsidRPr="00B57B36">
        <w:rPr>
          <w:lang w:val="en-GB"/>
        </w:rPr>
        <w:t>Conclusions</w:t>
      </w:r>
    </w:p>
    <w:p w14:paraId="5CED5C97" w14:textId="0F441EC6" w:rsidR="00313BB3" w:rsidRPr="00C454F3" w:rsidRDefault="009D157D" w:rsidP="009D157D">
      <w:pPr>
        <w:pStyle w:val="CETBodytext"/>
        <w:rPr>
          <w:lang w:val="en-GB"/>
        </w:rPr>
      </w:pPr>
      <w:r w:rsidRPr="0066138D">
        <w:rPr>
          <w:lang w:val="en-GB"/>
        </w:rPr>
        <w:t xml:space="preserve">In </w:t>
      </w:r>
      <w:r w:rsidRPr="00C454F3">
        <w:rPr>
          <w:lang w:val="en-GB"/>
        </w:rPr>
        <w:t>conclusion, in this study</w:t>
      </w:r>
      <w:r w:rsidR="00BA56FC" w:rsidRPr="00C454F3">
        <w:rPr>
          <w:lang w:val="en-GB"/>
        </w:rPr>
        <w:t>,</w:t>
      </w:r>
      <w:r w:rsidRPr="00C454F3">
        <w:rPr>
          <w:lang w:val="en-GB"/>
        </w:rPr>
        <w:t xml:space="preserve"> different end-of-life </w:t>
      </w:r>
      <w:r w:rsidR="0039045E" w:rsidRPr="00C454F3">
        <w:rPr>
          <w:lang w:val="en-GB"/>
        </w:rPr>
        <w:t xml:space="preserve">scenarios </w:t>
      </w:r>
      <w:r w:rsidRPr="00C454F3">
        <w:rPr>
          <w:lang w:val="en-GB"/>
        </w:rPr>
        <w:t xml:space="preserve">have been considered for polyurethane foams. </w:t>
      </w:r>
      <w:r w:rsidR="00C454F3">
        <w:rPr>
          <w:lang w:val="en-GB"/>
        </w:rPr>
        <w:t>The</w:t>
      </w:r>
      <w:r w:rsidRPr="00C454F3">
        <w:rPr>
          <w:lang w:val="en-GB"/>
        </w:rPr>
        <w:t xml:space="preserve"> difference in landfill disposal and mechanical recycling at different </w:t>
      </w:r>
      <w:r w:rsidR="00761D46" w:rsidRPr="00C454F3">
        <w:rPr>
          <w:lang w:val="en-GB"/>
        </w:rPr>
        <w:t>substitution</w:t>
      </w:r>
      <w:r w:rsidRPr="00C454F3">
        <w:rPr>
          <w:lang w:val="en-GB"/>
        </w:rPr>
        <w:t xml:space="preserve"> percentages</w:t>
      </w:r>
      <w:r w:rsidR="00C454F3">
        <w:rPr>
          <w:lang w:val="en-GB"/>
        </w:rPr>
        <w:t xml:space="preserve"> has been studied</w:t>
      </w:r>
      <w:r w:rsidRPr="00C454F3">
        <w:rPr>
          <w:lang w:val="en-GB"/>
        </w:rPr>
        <w:t>.</w:t>
      </w:r>
      <w:r w:rsidR="00313BB3" w:rsidRPr="00C454F3">
        <w:rPr>
          <w:lang w:val="en-GB"/>
        </w:rPr>
        <w:t xml:space="preserve"> The results obtained in this study have been calculated employing the OpenLCA software, based on modelled scenarios and data derived from literature and databases.</w:t>
      </w:r>
    </w:p>
    <w:p w14:paraId="2D8F3BF6" w14:textId="59AE0AB7" w:rsidR="009D157D" w:rsidRPr="00C454F3" w:rsidRDefault="009D157D" w:rsidP="009D157D">
      <w:pPr>
        <w:pStyle w:val="CETBodytext"/>
        <w:rPr>
          <w:lang w:val="en-GB"/>
        </w:rPr>
      </w:pPr>
      <w:r w:rsidRPr="00C454F3">
        <w:rPr>
          <w:lang w:val="en-GB"/>
        </w:rPr>
        <w:t xml:space="preserve">The LCA results obtained using the Ecological </w:t>
      </w:r>
      <w:r w:rsidR="00A34B3D" w:rsidRPr="00C454F3">
        <w:rPr>
          <w:lang w:val="en-GB"/>
        </w:rPr>
        <w:t>Scarcity</w:t>
      </w:r>
      <w:r w:rsidRPr="00C454F3">
        <w:rPr>
          <w:lang w:val="en-GB"/>
        </w:rPr>
        <w:t xml:space="preserve"> impact assessment method showed </w:t>
      </w:r>
      <w:r w:rsidR="0039045E" w:rsidRPr="00C454F3">
        <w:rPr>
          <w:lang w:val="en-GB"/>
        </w:rPr>
        <w:t>that</w:t>
      </w:r>
      <w:r w:rsidRPr="00C454F3">
        <w:rPr>
          <w:lang w:val="en-GB"/>
        </w:rPr>
        <w:t xml:space="preserve"> in </w:t>
      </w:r>
      <w:r w:rsidR="00191856" w:rsidRPr="00C454F3">
        <w:rPr>
          <w:lang w:val="en-GB"/>
        </w:rPr>
        <w:t>three</w:t>
      </w:r>
      <w:r w:rsidRPr="00C454F3">
        <w:rPr>
          <w:lang w:val="en-GB"/>
        </w:rPr>
        <w:t xml:space="preserve"> impact categories</w:t>
      </w:r>
      <w:r w:rsidR="0039045E" w:rsidRPr="00C454F3">
        <w:rPr>
          <w:lang w:val="en-GB"/>
        </w:rPr>
        <w:t>,</w:t>
      </w:r>
      <w:r w:rsidRPr="00C454F3">
        <w:rPr>
          <w:lang w:val="en-GB"/>
        </w:rPr>
        <w:t xml:space="preserve"> landfill disposal was the most impactful process in Scenario 1</w:t>
      </w:r>
      <w:r w:rsidR="00722C69" w:rsidRPr="00C454F3">
        <w:rPr>
          <w:lang w:val="en-GB"/>
        </w:rPr>
        <w:t>.</w:t>
      </w:r>
      <w:r w:rsidR="00191856" w:rsidRPr="00C454F3">
        <w:rPr>
          <w:lang w:val="en-GB"/>
        </w:rPr>
        <w:t xml:space="preserve"> </w:t>
      </w:r>
      <w:r w:rsidR="0039045E" w:rsidRPr="00C454F3">
        <w:rPr>
          <w:lang w:val="en-GB"/>
        </w:rPr>
        <w:t>Thanks</w:t>
      </w:r>
      <w:r w:rsidRPr="00C454F3">
        <w:rPr>
          <w:lang w:val="en-GB"/>
        </w:rPr>
        <w:t xml:space="preserve"> to the recycling of polyurethane </w:t>
      </w:r>
      <w:r w:rsidR="00191856" w:rsidRPr="00C454F3">
        <w:rPr>
          <w:lang w:val="en-GB"/>
        </w:rPr>
        <w:t xml:space="preserve">foam, </w:t>
      </w:r>
      <w:r w:rsidRPr="00C454F3">
        <w:rPr>
          <w:lang w:val="en-GB"/>
        </w:rPr>
        <w:t xml:space="preserve">these impacts could be avoided or </w:t>
      </w:r>
      <w:r w:rsidR="0039045E" w:rsidRPr="00C454F3">
        <w:rPr>
          <w:lang w:val="en-GB"/>
        </w:rPr>
        <w:t>at least reduced</w:t>
      </w:r>
      <w:r w:rsidRPr="00C454F3">
        <w:rPr>
          <w:lang w:val="en-GB"/>
        </w:rPr>
        <w:t>.</w:t>
      </w:r>
    </w:p>
    <w:p w14:paraId="07FF8D46" w14:textId="66645BE8" w:rsidR="009D157D" w:rsidRDefault="00BE7907" w:rsidP="009D157D">
      <w:pPr>
        <w:pStyle w:val="CETBodytext"/>
        <w:rPr>
          <w:lang w:val="en-GB"/>
        </w:rPr>
      </w:pPr>
      <w:r w:rsidRPr="00C454F3">
        <w:rPr>
          <w:lang w:val="en-GB"/>
        </w:rPr>
        <w:t>In conclusion</w:t>
      </w:r>
      <w:r w:rsidR="0039045E" w:rsidRPr="00C454F3">
        <w:rPr>
          <w:lang w:val="en-GB"/>
        </w:rPr>
        <w:t>,</w:t>
      </w:r>
      <w:r w:rsidR="00D707E9" w:rsidRPr="00C454F3">
        <w:rPr>
          <w:lang w:val="en-GB"/>
        </w:rPr>
        <w:t xml:space="preserve"> </w:t>
      </w:r>
      <w:r w:rsidRPr="00C454F3">
        <w:rPr>
          <w:lang w:val="en-GB"/>
        </w:rPr>
        <w:t xml:space="preserve">since </w:t>
      </w:r>
      <w:r w:rsidR="009D157D" w:rsidRPr="00C454F3">
        <w:rPr>
          <w:lang w:val="en-GB"/>
        </w:rPr>
        <w:t>the total impact category is characterized by lower values in Scenario 2, it can be stated that there is an advantage in the mechanical recycling</w:t>
      </w:r>
      <w:r w:rsidR="009D157D" w:rsidRPr="0066138D">
        <w:rPr>
          <w:lang w:val="en-GB"/>
        </w:rPr>
        <w:t xml:space="preserve"> of polyurethane foam compared to landfill disposal</w:t>
      </w:r>
      <w:r w:rsidR="009D157D" w:rsidRPr="009D157D">
        <w:rPr>
          <w:lang w:val="en-GB"/>
        </w:rPr>
        <w:t>.</w:t>
      </w:r>
    </w:p>
    <w:p w14:paraId="459D05E6" w14:textId="77777777" w:rsidR="00600535" w:rsidRPr="00B57B36" w:rsidRDefault="00600535" w:rsidP="00600535">
      <w:pPr>
        <w:pStyle w:val="CETAcknowledgementstitle"/>
      </w:pPr>
      <w:r w:rsidRPr="00586DFD">
        <w:t>Acknowledgments</w:t>
      </w:r>
    </w:p>
    <w:p w14:paraId="24876D8A" w14:textId="790E797A" w:rsidR="00C24AF1" w:rsidRPr="00C454F3" w:rsidRDefault="00586DFD" w:rsidP="00600535">
      <w:pPr>
        <w:pStyle w:val="CETBodytext"/>
        <w:rPr>
          <w:lang w:val="it-IT"/>
        </w:rPr>
      </w:pPr>
      <w:r w:rsidRPr="0066138D">
        <w:rPr>
          <w:lang w:val="en-GB"/>
        </w:rPr>
        <w:t xml:space="preserve">This research was supported by the "Horizon Europe" program, funded by the European Union (C&amp;G Kiel Italia srl -Italy, project leader. </w:t>
      </w:r>
      <w:r w:rsidRPr="0066138D">
        <w:rPr>
          <w:lang w:val="it-IT"/>
        </w:rPr>
        <w:t xml:space="preserve">Project n. F/310234/03/X56– REA - Introduzione di mateRiali e tEcnologie circolari e sostenibili nell'industria del trasporto di massA   - Introduction of circular and sustainable materials and </w:t>
      </w:r>
      <w:r w:rsidRPr="00C454F3">
        <w:rPr>
          <w:lang w:val="it-IT"/>
        </w:rPr>
        <w:t>technologies in the mass transport industry).</w:t>
      </w:r>
    </w:p>
    <w:p w14:paraId="4F1327F8" w14:textId="77777777" w:rsidR="00600535" w:rsidRPr="00C454F3" w:rsidRDefault="00600535" w:rsidP="00600535">
      <w:pPr>
        <w:pStyle w:val="CETReference"/>
      </w:pPr>
      <w:r w:rsidRPr="00C454F3">
        <w:t>References</w:t>
      </w:r>
    </w:p>
    <w:p w14:paraId="661878FD" w14:textId="75EEE4E5" w:rsidR="0085485A" w:rsidRPr="00C454F3" w:rsidRDefault="0085485A" w:rsidP="00D242E6">
      <w:pPr>
        <w:pStyle w:val="CETReferencetext"/>
      </w:pPr>
      <w:r w:rsidRPr="00C454F3">
        <w:t>Banik J., Chakraborty D., Rizwan M., Shaik A.H., Chandan M.R., 2023, Review on disposal, recycling and management of waste polyurethane foams: A way ahead, Waste Management &amp; Research, 41(6), 1063-1080</w:t>
      </w:r>
    </w:p>
    <w:p w14:paraId="33512347" w14:textId="2029290C" w:rsidR="00D242E6" w:rsidRPr="00C454F3" w:rsidRDefault="00D242E6" w:rsidP="00D242E6">
      <w:pPr>
        <w:pStyle w:val="CETReferencetext"/>
      </w:pPr>
      <w:r w:rsidRPr="00C454F3">
        <w:t>Datta J., Glowinska E., Wloch M., 2018, Mechanical Recycling via Regrinding, Rebonding, Adhesive Pressive, and Molding, Plastics Design Library, 57-65.</w:t>
      </w:r>
    </w:p>
    <w:p w14:paraId="4AC9ABDE" w14:textId="06C4D53D" w:rsidR="00D242E6" w:rsidRDefault="00D242E6" w:rsidP="00D242E6">
      <w:pPr>
        <w:pStyle w:val="CETReferencetext"/>
      </w:pPr>
      <w:r w:rsidRPr="00C454F3">
        <w:t>Frischknecht R., Steiner R., Jungbluth N., 2009, The ecological</w:t>
      </w:r>
      <w:r>
        <w:t xml:space="preserve"> scarcity method—eco-factors 2006. A method for impact assessment in LCA. Federal Office for the Environment (FOEN), Bern.</w:t>
      </w:r>
    </w:p>
    <w:p w14:paraId="53211F99" w14:textId="1F6B2FD7" w:rsidR="00D242E6" w:rsidRPr="00C454F3" w:rsidRDefault="00D242E6" w:rsidP="00D242E6">
      <w:pPr>
        <w:pStyle w:val="CETReferencetext"/>
      </w:pPr>
      <w:r>
        <w:t>Grand view research, 2024, Flexible Polyurethane foam Market Size, Share &amp; Trends Analysis Report By Application (Automotive, Aviation, Mass Transit), By Region, And Segment Forecasts, 2025-2030. &lt;</w:t>
      </w:r>
      <w:r w:rsidRPr="00C454F3">
        <w:t>grandviewresearch.com/industry-analysis/flexible-polyurethane-foam-market-report&gt; accessed 05.02.2025.</w:t>
      </w:r>
    </w:p>
    <w:p w14:paraId="53F61B86" w14:textId="45ED1526" w:rsidR="00CB790C" w:rsidRPr="00C454F3" w:rsidRDefault="00CB790C" w:rsidP="00CB790C">
      <w:pPr>
        <w:pStyle w:val="CETReferencetext"/>
      </w:pPr>
      <w:r w:rsidRPr="00C454F3">
        <w:t>Hicks D., Krommenhoek M., Soderberg D., Hopper, J., 1994, Polyurethanes recycling and waste management, Cellular Polymers, 13, 259–276.</w:t>
      </w:r>
    </w:p>
    <w:p w14:paraId="5F82CA74" w14:textId="3538528E" w:rsidR="00D242E6" w:rsidRPr="00C454F3" w:rsidRDefault="00D242E6" w:rsidP="00D242E6">
      <w:pPr>
        <w:pStyle w:val="CETReferencetext"/>
      </w:pPr>
      <w:r w:rsidRPr="00C454F3">
        <w:t>Kylili A., Seduikyte L., Fokaides P., 2018, Life cycle analysis of polyurethane foam wastes. Plastics Design Library, 97–113.</w:t>
      </w:r>
    </w:p>
    <w:p w14:paraId="729C2F9E" w14:textId="37E2625E" w:rsidR="00FF185A" w:rsidRPr="00C454F3" w:rsidRDefault="00FF185A" w:rsidP="00D242E6">
      <w:pPr>
        <w:pStyle w:val="CETReferencetext"/>
      </w:pPr>
      <w:r w:rsidRPr="00C454F3">
        <w:t>Nikje M.M.A., Garmarudi A.B., Idris A.B., 2011, Polyurethane Waste Reduction and Recycling: From Bench to Pilot scale, Designed Monomers and polymers, 14, 395-421.</w:t>
      </w:r>
    </w:p>
    <w:p w14:paraId="34E023F9" w14:textId="05A2BD5A" w:rsidR="00D242E6" w:rsidRPr="00C454F3" w:rsidRDefault="00D242E6" w:rsidP="00D242E6">
      <w:pPr>
        <w:pStyle w:val="CETReferencetext"/>
      </w:pPr>
      <w:r w:rsidRPr="00C454F3">
        <w:t>Obrecht T.P., Jordan S., Legat A., Saade M.R.M., Passer A., 2021, An LCA methodology for assessing the environmental impacts of building components before and after refurbishment, Journal of Cleaner Production, 327.</w:t>
      </w:r>
    </w:p>
    <w:p w14:paraId="238AD2CD" w14:textId="69B8F274" w:rsidR="00CB790C" w:rsidRPr="00C454F3" w:rsidRDefault="00CB790C" w:rsidP="00CB790C">
      <w:pPr>
        <w:pStyle w:val="CETReferencetext"/>
      </w:pPr>
      <w:r w:rsidRPr="00C454F3">
        <w:t>Odetoye, T. E., 2011, Recycling of Polyurethane foams: A strategy in waste Management and</w:t>
      </w:r>
    </w:p>
    <w:p w14:paraId="1FC5C443" w14:textId="7FA08504" w:rsidR="00CB790C" w:rsidRPr="00C454F3" w:rsidRDefault="00CB790C" w:rsidP="00CB790C">
      <w:pPr>
        <w:pStyle w:val="CETReferencetext"/>
        <w:ind w:firstLine="0"/>
      </w:pPr>
      <w:r w:rsidRPr="00C454F3">
        <w:t>control. Nigerian Journal of Technological Development, 8, 25-35</w:t>
      </w:r>
      <w:r w:rsidR="00241F10" w:rsidRPr="00C454F3">
        <w:t>.</w:t>
      </w:r>
    </w:p>
    <w:p w14:paraId="4734C3BF" w14:textId="784D2C16" w:rsidR="00D242E6" w:rsidRPr="00C454F3" w:rsidRDefault="00D242E6" w:rsidP="00D242E6">
      <w:pPr>
        <w:pStyle w:val="CETReferencetext"/>
      </w:pPr>
      <w:r w:rsidRPr="00C454F3">
        <w:t>Rossignolo G., Malucelli G., Lorenzetti A., (2024), Recycling of polyurethanes: where we are and where we are going, Green Chem., 26, 1132-1152.</w:t>
      </w:r>
    </w:p>
    <w:p w14:paraId="053AD0CA" w14:textId="6DA5C46D" w:rsidR="00CB790C" w:rsidRPr="00C454F3" w:rsidRDefault="00CB790C" w:rsidP="00CB790C">
      <w:pPr>
        <w:pStyle w:val="CETReferencetext"/>
      </w:pPr>
      <w:r w:rsidRPr="00C454F3">
        <w:t>Yamane S., Watanabe R., Ata S., Mizukado J., Shinzawa H., 2020, Solvent-induced degradation of polyurethane studied by two-dimensional (2D) infrared (IR) correlation spectroscopy, Vibrational Spectroscopy</w:t>
      </w:r>
      <w:r w:rsidR="00241F10" w:rsidRPr="00C454F3">
        <w:t>, 108.</w:t>
      </w:r>
    </w:p>
    <w:p w14:paraId="5752D8C9" w14:textId="6A94B40F" w:rsidR="00B5576D" w:rsidRPr="00C454F3" w:rsidRDefault="00B5576D" w:rsidP="00CB790C">
      <w:pPr>
        <w:pStyle w:val="CETReferencetext"/>
      </w:pPr>
      <w:r w:rsidRPr="00C454F3">
        <w:t>Yang W., Dong Q., Liu S., Xie H., Liu L., Li J., 2012, Recycling and disposal methods for polyurethane foam wastes, Procedia Environmental Sciences, 16, 167-175.</w:t>
      </w:r>
    </w:p>
    <w:p w14:paraId="19C4FC68" w14:textId="1C49067B" w:rsidR="004628D2" w:rsidRDefault="00CB790C" w:rsidP="00191856">
      <w:pPr>
        <w:pStyle w:val="CETReferencetext"/>
      </w:pPr>
      <w:r w:rsidRPr="00C454F3">
        <w:t>Zimmermann R.K., Rasmussen F. N., Kanafani K., Eberhardt L.C.M., Birgisdóttir H., 2022, Reviewing allocation approaches and modelling in LCA for building refurbishment. IOP Conf. Ser.:Earth Environ. Sci. 1078</w:t>
      </w:r>
    </w:p>
    <w:sectPr w:rsidR="004628D2" w:rsidSect="00A714E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8582" w14:textId="77777777" w:rsidR="0091628A" w:rsidRDefault="0091628A" w:rsidP="004F5E36">
      <w:r>
        <w:separator/>
      </w:r>
    </w:p>
  </w:endnote>
  <w:endnote w:type="continuationSeparator" w:id="0">
    <w:p w14:paraId="25B9C4A0" w14:textId="77777777" w:rsidR="0091628A" w:rsidRDefault="0091628A"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AA900" w14:textId="77777777" w:rsidR="0091628A" w:rsidRDefault="0091628A" w:rsidP="004F5E36">
      <w:r>
        <w:separator/>
      </w:r>
    </w:p>
  </w:footnote>
  <w:footnote w:type="continuationSeparator" w:id="0">
    <w:p w14:paraId="7FD8FC77" w14:textId="77777777" w:rsidR="0091628A" w:rsidRDefault="0091628A"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3F610BA"/>
    <w:multiLevelType w:val="hybridMultilevel"/>
    <w:tmpl w:val="14C8B8B2"/>
    <w:lvl w:ilvl="0" w:tplc="28E67B92">
      <w:start w:val="1"/>
      <w:numFmt w:val="decimal"/>
      <w:lvlText w:val="%1."/>
      <w:lvlJc w:val="left"/>
      <w:pPr>
        <w:ind w:left="5880" w:hanging="55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5F77B4E"/>
    <w:multiLevelType w:val="hybridMultilevel"/>
    <w:tmpl w:val="6178D6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9234414"/>
    <w:multiLevelType w:val="hybridMultilevel"/>
    <w:tmpl w:val="C9A6A306"/>
    <w:lvl w:ilvl="0" w:tplc="AEEC43EC">
      <w:start w:val="1"/>
      <w:numFmt w:val="lowerLetter"/>
      <w:lvlText w:val="%1."/>
      <w:lvlJc w:val="left"/>
      <w:pPr>
        <w:ind w:left="5970" w:hanging="56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A9475C9"/>
    <w:multiLevelType w:val="hybridMultilevel"/>
    <w:tmpl w:val="FFD8B8B4"/>
    <w:lvl w:ilvl="0" w:tplc="6CE8A1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B2350D"/>
    <w:multiLevelType w:val="hybridMultilevel"/>
    <w:tmpl w:val="D32AA0C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438217E"/>
    <w:multiLevelType w:val="multilevel"/>
    <w:tmpl w:val="13700BE0"/>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6" w15:restartNumberingAfterBreak="0">
    <w:nsid w:val="292826E9"/>
    <w:multiLevelType w:val="hybridMultilevel"/>
    <w:tmpl w:val="0B3AEB4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51E0394"/>
    <w:multiLevelType w:val="hybridMultilevel"/>
    <w:tmpl w:val="8458B874"/>
    <w:lvl w:ilvl="0" w:tplc="14B0F7A8">
      <w:start w:val="1"/>
      <w:numFmt w:val="bullet"/>
      <w:lvlText w:val=""/>
      <w:lvlJc w:val="left"/>
      <w:pPr>
        <w:ind w:left="340" w:hanging="227"/>
      </w:pPr>
      <w:rPr>
        <w:rFonts w:ascii="Symbol" w:hAnsi="Symbol" w:hint="default"/>
      </w:rPr>
    </w:lvl>
    <w:lvl w:ilvl="1" w:tplc="278A41B0">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B33F7"/>
    <w:multiLevelType w:val="hybridMultilevel"/>
    <w:tmpl w:val="715414BA"/>
    <w:lvl w:ilvl="0" w:tplc="14B0F7A8">
      <w:start w:val="1"/>
      <w:numFmt w:val="bullet"/>
      <w:pStyle w:val="CETnumberingbullets"/>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D913789"/>
    <w:multiLevelType w:val="hybridMultilevel"/>
    <w:tmpl w:val="62F496B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9DB0A8B"/>
    <w:multiLevelType w:val="hybridMultilevel"/>
    <w:tmpl w:val="3AD6B4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A224E86"/>
    <w:multiLevelType w:val="hybridMultilevel"/>
    <w:tmpl w:val="AE462778"/>
    <w:lvl w:ilvl="0" w:tplc="EFAAEFB6">
      <w:start w:val="1"/>
      <w:numFmt w:val="lowerLetter"/>
      <w:lvlText w:val="%1."/>
      <w:lvlJc w:val="left"/>
      <w:pPr>
        <w:ind w:left="4575" w:hanging="421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C43628D"/>
    <w:multiLevelType w:val="hybridMultilevel"/>
    <w:tmpl w:val="1EA858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2DF7177"/>
    <w:multiLevelType w:val="hybridMultilevel"/>
    <w:tmpl w:val="39A26888"/>
    <w:lvl w:ilvl="0" w:tplc="AEEC43EC">
      <w:start w:val="1"/>
      <w:numFmt w:val="lowerLetter"/>
      <w:lvlText w:val="%1."/>
      <w:lvlJc w:val="left"/>
      <w:pPr>
        <w:ind w:left="5970" w:hanging="56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30"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01774101">
    <w:abstractNumId w:val="15"/>
  </w:num>
  <w:num w:numId="2" w16cid:durableId="853347922">
    <w:abstractNumId w:val="8"/>
  </w:num>
  <w:num w:numId="3" w16cid:durableId="605891304">
    <w:abstractNumId w:val="3"/>
  </w:num>
  <w:num w:numId="4" w16cid:durableId="1048261909">
    <w:abstractNumId w:val="2"/>
  </w:num>
  <w:num w:numId="5" w16cid:durableId="80416630">
    <w:abstractNumId w:val="1"/>
  </w:num>
  <w:num w:numId="6" w16cid:durableId="627666958">
    <w:abstractNumId w:val="0"/>
  </w:num>
  <w:num w:numId="7" w16cid:durableId="85349728">
    <w:abstractNumId w:val="9"/>
  </w:num>
  <w:num w:numId="8" w16cid:durableId="1059522706">
    <w:abstractNumId w:val="7"/>
  </w:num>
  <w:num w:numId="9" w16cid:durableId="194539719">
    <w:abstractNumId w:val="6"/>
  </w:num>
  <w:num w:numId="10" w16cid:durableId="1934167259">
    <w:abstractNumId w:val="5"/>
  </w:num>
  <w:num w:numId="11" w16cid:durableId="3746075">
    <w:abstractNumId w:val="4"/>
  </w:num>
  <w:num w:numId="12" w16cid:durableId="1201164982">
    <w:abstractNumId w:val="29"/>
  </w:num>
  <w:num w:numId="13" w16cid:durableId="779253138">
    <w:abstractNumId w:val="18"/>
  </w:num>
  <w:num w:numId="14" w16cid:durableId="1946573223">
    <w:abstractNumId w:val="30"/>
  </w:num>
  <w:num w:numId="15" w16cid:durableId="730999709">
    <w:abstractNumId w:val="32"/>
  </w:num>
  <w:num w:numId="16" w16cid:durableId="2098624112">
    <w:abstractNumId w:val="31"/>
  </w:num>
  <w:num w:numId="17" w16cid:durableId="1015303295">
    <w:abstractNumId w:val="17"/>
  </w:num>
  <w:num w:numId="18" w16cid:durableId="1668632043">
    <w:abstractNumId w:val="18"/>
    <w:lvlOverride w:ilvl="0">
      <w:startOverride w:val="1"/>
    </w:lvlOverride>
  </w:num>
  <w:num w:numId="19" w16cid:durableId="1426226137">
    <w:abstractNumId w:val="27"/>
  </w:num>
  <w:num w:numId="20" w16cid:durableId="2018074126">
    <w:abstractNumId w:val="26"/>
  </w:num>
  <w:num w:numId="21" w16cid:durableId="484010367">
    <w:abstractNumId w:val="21"/>
  </w:num>
  <w:num w:numId="22" w16cid:durableId="1216117991">
    <w:abstractNumId w:val="19"/>
  </w:num>
  <w:num w:numId="23" w16cid:durableId="988288873">
    <w:abstractNumId w:val="23"/>
  </w:num>
  <w:num w:numId="24" w16cid:durableId="2111387670">
    <w:abstractNumId w:val="13"/>
  </w:num>
  <w:num w:numId="25" w16cid:durableId="961764452">
    <w:abstractNumId w:val="14"/>
  </w:num>
  <w:num w:numId="26" w16cid:durableId="855731784">
    <w:abstractNumId w:val="24"/>
  </w:num>
  <w:num w:numId="27" w16cid:durableId="1492215610">
    <w:abstractNumId w:val="25"/>
  </w:num>
  <w:num w:numId="28" w16cid:durableId="1930234335">
    <w:abstractNumId w:val="10"/>
  </w:num>
  <w:num w:numId="29" w16cid:durableId="1883439642">
    <w:abstractNumId w:val="16"/>
  </w:num>
  <w:num w:numId="30" w16cid:durableId="533152106">
    <w:abstractNumId w:val="28"/>
  </w:num>
  <w:num w:numId="31" w16cid:durableId="2020503068">
    <w:abstractNumId w:val="12"/>
  </w:num>
  <w:num w:numId="32" w16cid:durableId="759722481">
    <w:abstractNumId w:val="22"/>
  </w:num>
  <w:num w:numId="33" w16cid:durableId="503906332">
    <w:abstractNumId w:val="20"/>
  </w:num>
  <w:num w:numId="34" w16cid:durableId="1816293059">
    <w:abstractNumId w:val="11"/>
  </w:num>
  <w:num w:numId="35" w16cid:durableId="1588228737">
    <w:abstractNumId w:val="15"/>
  </w:num>
  <w:num w:numId="36" w16cid:durableId="955161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kwNKgFAGpv5ZwtAAAA"/>
  </w:docVars>
  <w:rsids>
    <w:rsidRoot w:val="000E414A"/>
    <w:rsid w:val="00001022"/>
    <w:rsid w:val="000027C0"/>
    <w:rsid w:val="000052FB"/>
    <w:rsid w:val="00005A19"/>
    <w:rsid w:val="000117CB"/>
    <w:rsid w:val="00012E93"/>
    <w:rsid w:val="0003148D"/>
    <w:rsid w:val="00031EEC"/>
    <w:rsid w:val="00051566"/>
    <w:rsid w:val="00054288"/>
    <w:rsid w:val="000562A9"/>
    <w:rsid w:val="00056D81"/>
    <w:rsid w:val="00062A9A"/>
    <w:rsid w:val="0006347D"/>
    <w:rsid w:val="00065058"/>
    <w:rsid w:val="00086C39"/>
    <w:rsid w:val="0009562A"/>
    <w:rsid w:val="000A03B2"/>
    <w:rsid w:val="000B3B05"/>
    <w:rsid w:val="000D0268"/>
    <w:rsid w:val="000D05DA"/>
    <w:rsid w:val="000D34BE"/>
    <w:rsid w:val="000E102F"/>
    <w:rsid w:val="000E36F1"/>
    <w:rsid w:val="000E3A73"/>
    <w:rsid w:val="000E414A"/>
    <w:rsid w:val="000F093C"/>
    <w:rsid w:val="000F787B"/>
    <w:rsid w:val="00103FCE"/>
    <w:rsid w:val="00112A42"/>
    <w:rsid w:val="0012091F"/>
    <w:rsid w:val="0012235E"/>
    <w:rsid w:val="00126BC2"/>
    <w:rsid w:val="001308B6"/>
    <w:rsid w:val="0013121F"/>
    <w:rsid w:val="00131FE6"/>
    <w:rsid w:val="0013263F"/>
    <w:rsid w:val="001331DF"/>
    <w:rsid w:val="00134DE4"/>
    <w:rsid w:val="0014034D"/>
    <w:rsid w:val="0014327A"/>
    <w:rsid w:val="00144D16"/>
    <w:rsid w:val="00150E59"/>
    <w:rsid w:val="00152DE3"/>
    <w:rsid w:val="00164CF9"/>
    <w:rsid w:val="001667A6"/>
    <w:rsid w:val="00175AE5"/>
    <w:rsid w:val="00184AD6"/>
    <w:rsid w:val="00191856"/>
    <w:rsid w:val="001A4AF7"/>
    <w:rsid w:val="001B0349"/>
    <w:rsid w:val="001B1E93"/>
    <w:rsid w:val="001B65C1"/>
    <w:rsid w:val="001C684B"/>
    <w:rsid w:val="001D0CFB"/>
    <w:rsid w:val="001D21AF"/>
    <w:rsid w:val="001D53FC"/>
    <w:rsid w:val="001F42A5"/>
    <w:rsid w:val="001F7B9D"/>
    <w:rsid w:val="001F7F35"/>
    <w:rsid w:val="00201C93"/>
    <w:rsid w:val="002224B4"/>
    <w:rsid w:val="002253FE"/>
    <w:rsid w:val="00241F10"/>
    <w:rsid w:val="002447EF"/>
    <w:rsid w:val="00244843"/>
    <w:rsid w:val="00251550"/>
    <w:rsid w:val="00263B05"/>
    <w:rsid w:val="00267636"/>
    <w:rsid w:val="0027221A"/>
    <w:rsid w:val="002750F0"/>
    <w:rsid w:val="00275B61"/>
    <w:rsid w:val="00277091"/>
    <w:rsid w:val="00280FAF"/>
    <w:rsid w:val="00282656"/>
    <w:rsid w:val="00296B83"/>
    <w:rsid w:val="002B0A10"/>
    <w:rsid w:val="002B4015"/>
    <w:rsid w:val="002B78CE"/>
    <w:rsid w:val="002C2FB6"/>
    <w:rsid w:val="002D35D5"/>
    <w:rsid w:val="002E5FA7"/>
    <w:rsid w:val="002F3309"/>
    <w:rsid w:val="002F656F"/>
    <w:rsid w:val="003006F8"/>
    <w:rsid w:val="003008CE"/>
    <w:rsid w:val="003009B7"/>
    <w:rsid w:val="00300E56"/>
    <w:rsid w:val="0030152C"/>
    <w:rsid w:val="0030469C"/>
    <w:rsid w:val="00313BB3"/>
    <w:rsid w:val="00321CA6"/>
    <w:rsid w:val="00323763"/>
    <w:rsid w:val="00323C5F"/>
    <w:rsid w:val="00334C09"/>
    <w:rsid w:val="003628BA"/>
    <w:rsid w:val="003723D4"/>
    <w:rsid w:val="00374F0E"/>
    <w:rsid w:val="00381905"/>
    <w:rsid w:val="00384CC8"/>
    <w:rsid w:val="003871FD"/>
    <w:rsid w:val="0039045E"/>
    <w:rsid w:val="003933CB"/>
    <w:rsid w:val="003A1E30"/>
    <w:rsid w:val="003A2829"/>
    <w:rsid w:val="003A2C72"/>
    <w:rsid w:val="003A7D1C"/>
    <w:rsid w:val="003B304B"/>
    <w:rsid w:val="003B3146"/>
    <w:rsid w:val="003C0FBB"/>
    <w:rsid w:val="003E5554"/>
    <w:rsid w:val="003F015E"/>
    <w:rsid w:val="003F7CCE"/>
    <w:rsid w:val="00400414"/>
    <w:rsid w:val="0041446B"/>
    <w:rsid w:val="0042148A"/>
    <w:rsid w:val="00431D67"/>
    <w:rsid w:val="0044071E"/>
    <w:rsid w:val="004412A3"/>
    <w:rsid w:val="0044329C"/>
    <w:rsid w:val="004437AA"/>
    <w:rsid w:val="00453E24"/>
    <w:rsid w:val="00457456"/>
    <w:rsid w:val="004577FE"/>
    <w:rsid w:val="00457B9C"/>
    <w:rsid w:val="0046164A"/>
    <w:rsid w:val="004628D2"/>
    <w:rsid w:val="00462DCD"/>
    <w:rsid w:val="004648AD"/>
    <w:rsid w:val="00466324"/>
    <w:rsid w:val="00466A97"/>
    <w:rsid w:val="004703A9"/>
    <w:rsid w:val="00471215"/>
    <w:rsid w:val="004719C5"/>
    <w:rsid w:val="004760DE"/>
    <w:rsid w:val="004763D7"/>
    <w:rsid w:val="004A004E"/>
    <w:rsid w:val="004A24CF"/>
    <w:rsid w:val="004C3D1D"/>
    <w:rsid w:val="004C3D84"/>
    <w:rsid w:val="004C7913"/>
    <w:rsid w:val="004D482F"/>
    <w:rsid w:val="004E2148"/>
    <w:rsid w:val="004E4DD6"/>
    <w:rsid w:val="004F5E36"/>
    <w:rsid w:val="00504B8B"/>
    <w:rsid w:val="00507B47"/>
    <w:rsid w:val="00507BEF"/>
    <w:rsid w:val="00507CC9"/>
    <w:rsid w:val="005119A5"/>
    <w:rsid w:val="00523CF3"/>
    <w:rsid w:val="005278B7"/>
    <w:rsid w:val="00532016"/>
    <w:rsid w:val="005346C8"/>
    <w:rsid w:val="0054151E"/>
    <w:rsid w:val="00543E7D"/>
    <w:rsid w:val="00547A68"/>
    <w:rsid w:val="005531C9"/>
    <w:rsid w:val="00557E00"/>
    <w:rsid w:val="00570C43"/>
    <w:rsid w:val="005866BB"/>
    <w:rsid w:val="00586DFD"/>
    <w:rsid w:val="00591705"/>
    <w:rsid w:val="005B2110"/>
    <w:rsid w:val="005B61E6"/>
    <w:rsid w:val="005C77E1"/>
    <w:rsid w:val="005D668A"/>
    <w:rsid w:val="005D6A2F"/>
    <w:rsid w:val="005E1A82"/>
    <w:rsid w:val="005E6DC3"/>
    <w:rsid w:val="005E794C"/>
    <w:rsid w:val="005F0A28"/>
    <w:rsid w:val="005F0E5E"/>
    <w:rsid w:val="005F2C8F"/>
    <w:rsid w:val="005F42AE"/>
    <w:rsid w:val="00600535"/>
    <w:rsid w:val="00610CD6"/>
    <w:rsid w:val="00620164"/>
    <w:rsid w:val="00620DEE"/>
    <w:rsid w:val="00621F92"/>
    <w:rsid w:val="0062280A"/>
    <w:rsid w:val="00625639"/>
    <w:rsid w:val="00631B33"/>
    <w:rsid w:val="0064184D"/>
    <w:rsid w:val="006422CC"/>
    <w:rsid w:val="00657774"/>
    <w:rsid w:val="00660E3E"/>
    <w:rsid w:val="0066138D"/>
    <w:rsid w:val="00662E74"/>
    <w:rsid w:val="00672DB2"/>
    <w:rsid w:val="00680C23"/>
    <w:rsid w:val="00681460"/>
    <w:rsid w:val="006925EC"/>
    <w:rsid w:val="00693766"/>
    <w:rsid w:val="00695E1B"/>
    <w:rsid w:val="006A3281"/>
    <w:rsid w:val="006B168B"/>
    <w:rsid w:val="006B4888"/>
    <w:rsid w:val="006C2E45"/>
    <w:rsid w:val="006C359C"/>
    <w:rsid w:val="006C5579"/>
    <w:rsid w:val="006D6E8B"/>
    <w:rsid w:val="006E6001"/>
    <w:rsid w:val="006E737D"/>
    <w:rsid w:val="00707DD1"/>
    <w:rsid w:val="00713973"/>
    <w:rsid w:val="00720A24"/>
    <w:rsid w:val="00722C69"/>
    <w:rsid w:val="00732386"/>
    <w:rsid w:val="0073514D"/>
    <w:rsid w:val="007447F3"/>
    <w:rsid w:val="0075499F"/>
    <w:rsid w:val="00761D46"/>
    <w:rsid w:val="007661C8"/>
    <w:rsid w:val="0077098D"/>
    <w:rsid w:val="00781367"/>
    <w:rsid w:val="0078293E"/>
    <w:rsid w:val="007931FA"/>
    <w:rsid w:val="007A4861"/>
    <w:rsid w:val="007A7BBA"/>
    <w:rsid w:val="007B0C50"/>
    <w:rsid w:val="007B48F9"/>
    <w:rsid w:val="007C1694"/>
    <w:rsid w:val="007C1A43"/>
    <w:rsid w:val="007C5202"/>
    <w:rsid w:val="007D0951"/>
    <w:rsid w:val="007E407E"/>
    <w:rsid w:val="007E72E1"/>
    <w:rsid w:val="0080013E"/>
    <w:rsid w:val="008043ED"/>
    <w:rsid w:val="00813288"/>
    <w:rsid w:val="008168FC"/>
    <w:rsid w:val="00821762"/>
    <w:rsid w:val="00830996"/>
    <w:rsid w:val="008345F1"/>
    <w:rsid w:val="0085485A"/>
    <w:rsid w:val="008632D3"/>
    <w:rsid w:val="00865B07"/>
    <w:rsid w:val="008667EA"/>
    <w:rsid w:val="00873D18"/>
    <w:rsid w:val="0087637F"/>
    <w:rsid w:val="008843A2"/>
    <w:rsid w:val="00892AD5"/>
    <w:rsid w:val="008A1512"/>
    <w:rsid w:val="008B7063"/>
    <w:rsid w:val="008D1BC1"/>
    <w:rsid w:val="008D32B9"/>
    <w:rsid w:val="008D433B"/>
    <w:rsid w:val="008D4A16"/>
    <w:rsid w:val="008E566E"/>
    <w:rsid w:val="008E58F7"/>
    <w:rsid w:val="0090161A"/>
    <w:rsid w:val="00901EB6"/>
    <w:rsid w:val="00904C62"/>
    <w:rsid w:val="0091628A"/>
    <w:rsid w:val="00922BA8"/>
    <w:rsid w:val="00924DAC"/>
    <w:rsid w:val="00927058"/>
    <w:rsid w:val="00942750"/>
    <w:rsid w:val="009450CE"/>
    <w:rsid w:val="009459BB"/>
    <w:rsid w:val="00947179"/>
    <w:rsid w:val="0095164B"/>
    <w:rsid w:val="00954090"/>
    <w:rsid w:val="009573E7"/>
    <w:rsid w:val="00963E05"/>
    <w:rsid w:val="00964A45"/>
    <w:rsid w:val="00967843"/>
    <w:rsid w:val="00967D54"/>
    <w:rsid w:val="00971028"/>
    <w:rsid w:val="00974874"/>
    <w:rsid w:val="00981526"/>
    <w:rsid w:val="00985559"/>
    <w:rsid w:val="00993B84"/>
    <w:rsid w:val="00996483"/>
    <w:rsid w:val="00996F5A"/>
    <w:rsid w:val="009A4434"/>
    <w:rsid w:val="009B041A"/>
    <w:rsid w:val="009B4BAE"/>
    <w:rsid w:val="009B5655"/>
    <w:rsid w:val="009C37C3"/>
    <w:rsid w:val="009C6301"/>
    <w:rsid w:val="009C7C86"/>
    <w:rsid w:val="009D157D"/>
    <w:rsid w:val="009D2FF7"/>
    <w:rsid w:val="009E2CF3"/>
    <w:rsid w:val="009E7884"/>
    <w:rsid w:val="009E788A"/>
    <w:rsid w:val="009F0E08"/>
    <w:rsid w:val="00A1763D"/>
    <w:rsid w:val="00A17CEC"/>
    <w:rsid w:val="00A27EF0"/>
    <w:rsid w:val="00A34B3D"/>
    <w:rsid w:val="00A40ED0"/>
    <w:rsid w:val="00A42361"/>
    <w:rsid w:val="00A43FB2"/>
    <w:rsid w:val="00A50B20"/>
    <w:rsid w:val="00A51390"/>
    <w:rsid w:val="00A60D13"/>
    <w:rsid w:val="00A67174"/>
    <w:rsid w:val="00A714EF"/>
    <w:rsid w:val="00A7223D"/>
    <w:rsid w:val="00A72745"/>
    <w:rsid w:val="00A76EFC"/>
    <w:rsid w:val="00A87D50"/>
    <w:rsid w:val="00A91010"/>
    <w:rsid w:val="00A97F29"/>
    <w:rsid w:val="00AA702E"/>
    <w:rsid w:val="00AA7D26"/>
    <w:rsid w:val="00AB0964"/>
    <w:rsid w:val="00AB2040"/>
    <w:rsid w:val="00AB5011"/>
    <w:rsid w:val="00AC7368"/>
    <w:rsid w:val="00AD16B9"/>
    <w:rsid w:val="00AE377D"/>
    <w:rsid w:val="00AF0EBA"/>
    <w:rsid w:val="00AF46C8"/>
    <w:rsid w:val="00B02C8A"/>
    <w:rsid w:val="00B17FBD"/>
    <w:rsid w:val="00B315A6"/>
    <w:rsid w:val="00B31813"/>
    <w:rsid w:val="00B33365"/>
    <w:rsid w:val="00B42E32"/>
    <w:rsid w:val="00B54274"/>
    <w:rsid w:val="00B5576D"/>
    <w:rsid w:val="00B57B36"/>
    <w:rsid w:val="00B57E6F"/>
    <w:rsid w:val="00B71A19"/>
    <w:rsid w:val="00B756B6"/>
    <w:rsid w:val="00B8686D"/>
    <w:rsid w:val="00B93472"/>
    <w:rsid w:val="00B93F69"/>
    <w:rsid w:val="00BA520C"/>
    <w:rsid w:val="00BA56FC"/>
    <w:rsid w:val="00BB1DDC"/>
    <w:rsid w:val="00BC30C9"/>
    <w:rsid w:val="00BD077D"/>
    <w:rsid w:val="00BE3E58"/>
    <w:rsid w:val="00BE7907"/>
    <w:rsid w:val="00C01616"/>
    <w:rsid w:val="00C0162B"/>
    <w:rsid w:val="00C068ED"/>
    <w:rsid w:val="00C22E0C"/>
    <w:rsid w:val="00C24AF1"/>
    <w:rsid w:val="00C345B1"/>
    <w:rsid w:val="00C40142"/>
    <w:rsid w:val="00C454F3"/>
    <w:rsid w:val="00C52C3C"/>
    <w:rsid w:val="00C57182"/>
    <w:rsid w:val="00C57863"/>
    <w:rsid w:val="00C640AF"/>
    <w:rsid w:val="00C655FD"/>
    <w:rsid w:val="00C668FD"/>
    <w:rsid w:val="00C75407"/>
    <w:rsid w:val="00C83256"/>
    <w:rsid w:val="00C841C6"/>
    <w:rsid w:val="00C870A8"/>
    <w:rsid w:val="00C912C8"/>
    <w:rsid w:val="00C94434"/>
    <w:rsid w:val="00CA0D75"/>
    <w:rsid w:val="00CA1C95"/>
    <w:rsid w:val="00CA5A9C"/>
    <w:rsid w:val="00CB790C"/>
    <w:rsid w:val="00CC4C20"/>
    <w:rsid w:val="00CD3517"/>
    <w:rsid w:val="00CD5FE2"/>
    <w:rsid w:val="00CE408D"/>
    <w:rsid w:val="00CE7C68"/>
    <w:rsid w:val="00D02B4C"/>
    <w:rsid w:val="00D040C4"/>
    <w:rsid w:val="00D20AB3"/>
    <w:rsid w:val="00D20AD1"/>
    <w:rsid w:val="00D23521"/>
    <w:rsid w:val="00D242E6"/>
    <w:rsid w:val="00D2582C"/>
    <w:rsid w:val="00D46B7E"/>
    <w:rsid w:val="00D50839"/>
    <w:rsid w:val="00D57C84"/>
    <w:rsid w:val="00D6057D"/>
    <w:rsid w:val="00D707E9"/>
    <w:rsid w:val="00D71640"/>
    <w:rsid w:val="00D71C71"/>
    <w:rsid w:val="00D836C5"/>
    <w:rsid w:val="00D84576"/>
    <w:rsid w:val="00DA1399"/>
    <w:rsid w:val="00DA24C6"/>
    <w:rsid w:val="00DA4D7B"/>
    <w:rsid w:val="00DD271C"/>
    <w:rsid w:val="00DE264A"/>
    <w:rsid w:val="00DE43C8"/>
    <w:rsid w:val="00DF0850"/>
    <w:rsid w:val="00DF5072"/>
    <w:rsid w:val="00E02D18"/>
    <w:rsid w:val="00E041E7"/>
    <w:rsid w:val="00E23CA1"/>
    <w:rsid w:val="00E24AF6"/>
    <w:rsid w:val="00E409A8"/>
    <w:rsid w:val="00E50C12"/>
    <w:rsid w:val="00E51888"/>
    <w:rsid w:val="00E5482C"/>
    <w:rsid w:val="00E65B91"/>
    <w:rsid w:val="00E7209D"/>
    <w:rsid w:val="00E72EAD"/>
    <w:rsid w:val="00E77223"/>
    <w:rsid w:val="00E8528B"/>
    <w:rsid w:val="00E85B94"/>
    <w:rsid w:val="00E869F2"/>
    <w:rsid w:val="00E978D0"/>
    <w:rsid w:val="00EA4613"/>
    <w:rsid w:val="00EA7F91"/>
    <w:rsid w:val="00EB1523"/>
    <w:rsid w:val="00EC0E49"/>
    <w:rsid w:val="00EC101F"/>
    <w:rsid w:val="00EC1D9F"/>
    <w:rsid w:val="00ED02A5"/>
    <w:rsid w:val="00EE0131"/>
    <w:rsid w:val="00EE17B0"/>
    <w:rsid w:val="00EF06D9"/>
    <w:rsid w:val="00F21FDF"/>
    <w:rsid w:val="00F3049E"/>
    <w:rsid w:val="00F30C64"/>
    <w:rsid w:val="00F32BA2"/>
    <w:rsid w:val="00F32CDB"/>
    <w:rsid w:val="00F565FE"/>
    <w:rsid w:val="00F63A70"/>
    <w:rsid w:val="00F63D8C"/>
    <w:rsid w:val="00F66807"/>
    <w:rsid w:val="00F7534E"/>
    <w:rsid w:val="00F766F3"/>
    <w:rsid w:val="00F93EDF"/>
    <w:rsid w:val="00F9670C"/>
    <w:rsid w:val="00FA1802"/>
    <w:rsid w:val="00FA21D0"/>
    <w:rsid w:val="00FA5F5F"/>
    <w:rsid w:val="00FB41CD"/>
    <w:rsid w:val="00FB730C"/>
    <w:rsid w:val="00FC2695"/>
    <w:rsid w:val="00FC3E03"/>
    <w:rsid w:val="00FC3FC1"/>
    <w:rsid w:val="00FD2578"/>
    <w:rsid w:val="00FF185A"/>
    <w:rsid w:val="00FF4DA9"/>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2B0A10"/>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2B0A10"/>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3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customStyle="1" w:styleId="Menzionenonrisolta1">
    <w:name w:val="Menzione non risolta1"/>
    <w:basedOn w:val="Carpredefinitoparagrafo"/>
    <w:uiPriority w:val="99"/>
    <w:semiHidden/>
    <w:unhideWhenUsed/>
    <w:rsid w:val="00CB7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8BB47-94FD-4535-BCD8-8A3CCAAF2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2947</Words>
  <Characters>16949</Characters>
  <Application>Microsoft Office Word</Application>
  <DocSecurity>0</DocSecurity>
  <Lines>434</Lines>
  <Paragraphs>326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Luca GALLUCCI</cp:lastModifiedBy>
  <cp:revision>6</cp:revision>
  <cp:lastPrinted>2015-05-12T18:31:00Z</cp:lastPrinted>
  <dcterms:created xsi:type="dcterms:W3CDTF">2025-07-29T14:49:00Z</dcterms:created>
  <dcterms:modified xsi:type="dcterms:W3CDTF">2025-07-30T07:31:00Z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faa3b2dafca1996bf22fcb2070fd7fca80d34ef2eb719aa8274a2c701368460c</vt:lpwstr>
  </property>
</Properties>
</file>