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495C77">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204082263"/>
            <w:bookmarkEnd w:id="0"/>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0DAB3DDA"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30152C">
              <w:rPr>
                <w:rFonts w:cs="Arial"/>
                <w:b/>
                <w:bCs/>
                <w:i/>
                <w:iCs/>
                <w:color w:val="000066"/>
                <w:sz w:val="22"/>
                <w:szCs w:val="22"/>
                <w:lang w:eastAsia="it-IT"/>
              </w:rPr>
              <w:t xml:space="preserve"> </w:t>
            </w:r>
            <w:proofErr w:type="gramStart"/>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proofErr w:type="gramEnd"/>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C24AF1">
              <w:rPr>
                <w:rFonts w:cs="Arial"/>
                <w:b/>
                <w:bCs/>
                <w:i/>
                <w:iCs/>
                <w:color w:val="000066"/>
                <w:sz w:val="22"/>
                <w:szCs w:val="22"/>
                <w:lang w:eastAsia="it-IT"/>
              </w:rPr>
              <w:t>5</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495C77">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495C77">
        <w:trPr>
          <w:trHeight w:val="68"/>
          <w:jc w:val="center"/>
        </w:trPr>
        <w:tc>
          <w:tcPr>
            <w:tcW w:w="8782" w:type="dxa"/>
            <w:gridSpan w:val="2"/>
          </w:tcPr>
          <w:p w14:paraId="1D8DD3C9" w14:textId="30FEC83E" w:rsidR="00AA7D26" w:rsidRPr="00FB41CD" w:rsidRDefault="00AA7D26" w:rsidP="00AA7D26">
            <w:pPr>
              <w:ind w:left="-107"/>
              <w:outlineLvl w:val="2"/>
              <w:rPr>
                <w:rFonts w:ascii="Tahoma" w:hAnsi="Tahoma" w:cs="Tahoma"/>
                <w:bCs/>
                <w:color w:val="000000"/>
                <w:sz w:val="14"/>
                <w:szCs w:val="14"/>
                <w:lang w:val="it-IT" w:eastAsia="it-IT"/>
              </w:rPr>
            </w:pPr>
            <w:r w:rsidRPr="00FB41CD">
              <w:rPr>
                <w:rFonts w:ascii="Tahoma" w:hAnsi="Tahoma" w:cs="Tahoma"/>
                <w:iCs/>
                <w:color w:val="333333"/>
                <w:sz w:val="14"/>
                <w:szCs w:val="14"/>
                <w:lang w:val="it-IT" w:eastAsia="it-IT"/>
              </w:rPr>
              <w:t>Guest Editors:</w:t>
            </w:r>
            <w:r w:rsidRPr="00FB41CD">
              <w:rPr>
                <w:rFonts w:ascii="Tahoma" w:hAnsi="Tahoma" w:cs="Tahoma"/>
                <w:color w:val="000000"/>
                <w:sz w:val="14"/>
                <w:szCs w:val="14"/>
                <w:shd w:val="clear" w:color="auto" w:fill="FFFFFF"/>
                <w:lang w:val="it-IT"/>
              </w:rPr>
              <w:t xml:space="preserve"> </w:t>
            </w:r>
            <w:r w:rsidR="00FB41CD" w:rsidRPr="0042148A">
              <w:rPr>
                <w:rFonts w:ascii="Tahoma" w:hAnsi="Tahoma" w:cs="Tahoma"/>
                <w:color w:val="000000"/>
                <w:sz w:val="14"/>
                <w:szCs w:val="14"/>
                <w:shd w:val="clear" w:color="auto" w:fill="FFFFFF"/>
                <w:lang w:val="it-IT"/>
              </w:rPr>
              <w:t xml:space="preserve">Paolo </w:t>
            </w:r>
            <w:proofErr w:type="spellStart"/>
            <w:r w:rsidR="00FB41CD" w:rsidRPr="0042148A">
              <w:rPr>
                <w:rFonts w:ascii="Tahoma" w:hAnsi="Tahoma" w:cs="Tahoma"/>
                <w:color w:val="000000"/>
                <w:sz w:val="14"/>
                <w:szCs w:val="14"/>
                <w:shd w:val="clear" w:color="auto" w:fill="FFFFFF"/>
                <w:lang w:val="it-IT"/>
              </w:rPr>
              <w:t>Ciambelli</w:t>
            </w:r>
            <w:proofErr w:type="spellEnd"/>
            <w:r w:rsidR="00FB41CD" w:rsidRPr="0042148A">
              <w:rPr>
                <w:rFonts w:ascii="Tahoma" w:hAnsi="Tahoma" w:cs="Tahoma"/>
                <w:color w:val="000000"/>
                <w:sz w:val="14"/>
                <w:szCs w:val="14"/>
                <w:shd w:val="clear" w:color="auto" w:fill="FFFFFF"/>
                <w:lang w:val="it-IT"/>
              </w:rPr>
              <w:t>, Luca di Palma</w:t>
            </w:r>
          </w:p>
          <w:p w14:paraId="1B0F1814" w14:textId="6F18EEAD"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C24AF1">
              <w:rPr>
                <w:rFonts w:ascii="Tahoma" w:hAnsi="Tahoma" w:cs="Tahoma"/>
                <w:iCs/>
                <w:color w:val="333333"/>
                <w:sz w:val="14"/>
                <w:szCs w:val="14"/>
                <w:lang w:eastAsia="it-IT"/>
              </w:rPr>
              <w:t>5</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466324">
              <w:rPr>
                <w:rFonts w:ascii="Tahoma" w:hAnsi="Tahoma" w:cs="Tahoma"/>
                <w:sz w:val="14"/>
                <w:szCs w:val="14"/>
              </w:rPr>
              <w:t>20</w:t>
            </w:r>
            <w:r w:rsidR="00D2582C">
              <w:rPr>
                <w:rFonts w:ascii="Tahoma" w:hAnsi="Tahoma" w:cs="Tahoma"/>
                <w:sz w:val="14"/>
                <w:szCs w:val="14"/>
              </w:rPr>
              <w:t>-</w:t>
            </w:r>
            <w:r w:rsidR="00466324">
              <w:rPr>
                <w:rFonts w:ascii="Tahoma" w:hAnsi="Tahoma" w:cs="Tahoma"/>
                <w:sz w:val="14"/>
                <w:szCs w:val="14"/>
              </w:rPr>
              <w:t>5</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787FB1E6" w:rsidR="00E978D0" w:rsidRPr="00B57B36" w:rsidRDefault="00495C77" w:rsidP="00E978D0">
      <w:pPr>
        <w:pStyle w:val="CETTitle"/>
      </w:pPr>
      <w:r w:rsidRPr="00495C77">
        <w:t xml:space="preserve">Efficient recycling of polyurethane waste via </w:t>
      </w:r>
      <w:proofErr w:type="spellStart"/>
      <w:r w:rsidRPr="00495C77">
        <w:t>Fe</w:t>
      </w:r>
      <w:r w:rsidRPr="00495C77">
        <w:rPr>
          <w:rFonts w:ascii="Cambria Math" w:hAnsi="Cambria Math" w:cs="Cambria Math"/>
        </w:rPr>
        <w:t>₃</w:t>
      </w:r>
      <w:r w:rsidRPr="00495C77">
        <w:t>O</w:t>
      </w:r>
      <w:proofErr w:type="spellEnd"/>
      <w:r w:rsidRPr="00495C77">
        <w:rPr>
          <w:rFonts w:ascii="Cambria Math" w:hAnsi="Cambria Math" w:cs="Cambria Math"/>
        </w:rPr>
        <w:t>₄</w:t>
      </w:r>
      <w:r w:rsidRPr="00495C77">
        <w:t>@</w:t>
      </w:r>
      <w:proofErr w:type="spellStart"/>
      <w:r w:rsidRPr="00495C77">
        <w:t>MgAl</w:t>
      </w:r>
      <w:proofErr w:type="spellEnd"/>
      <w:r w:rsidRPr="00495C77">
        <w:t xml:space="preserve"> magnetic catalyst glycolysis</w:t>
      </w:r>
    </w:p>
    <w:p w14:paraId="0488FED2" w14:textId="2DD13532" w:rsidR="00B57E6F" w:rsidRPr="00D06785" w:rsidRDefault="00495C77" w:rsidP="00B57E6F">
      <w:pPr>
        <w:pStyle w:val="CETAuthors"/>
        <w:rPr>
          <w:lang w:val="it-IT"/>
        </w:rPr>
      </w:pPr>
      <w:r w:rsidRPr="00D06785">
        <w:rPr>
          <w:lang w:val="it-IT"/>
        </w:rPr>
        <w:t>Claudia Cirillo</w:t>
      </w:r>
      <w:r w:rsidR="00D06785">
        <w:rPr>
          <w:lang w:val="it-IT"/>
        </w:rPr>
        <w:t>°</w:t>
      </w:r>
      <w:r w:rsidRPr="00D06785">
        <w:rPr>
          <w:lang w:val="it-IT"/>
        </w:rPr>
        <w:t>, Mariagrazia Iuliano</w:t>
      </w:r>
      <w:r w:rsidR="00D06785">
        <w:rPr>
          <w:lang w:val="it-IT"/>
        </w:rPr>
        <w:t>°</w:t>
      </w:r>
      <w:r w:rsidR="007B723A" w:rsidRPr="00D06785">
        <w:rPr>
          <w:lang w:val="it-IT"/>
        </w:rPr>
        <w:t>*</w:t>
      </w:r>
      <w:r w:rsidRPr="00D06785">
        <w:rPr>
          <w:lang w:val="it-IT"/>
        </w:rPr>
        <w:t>, Luca Gallucci</w:t>
      </w:r>
      <w:r w:rsidR="00D06785">
        <w:rPr>
          <w:lang w:val="it-IT"/>
        </w:rPr>
        <w:t>°</w:t>
      </w:r>
      <w:r w:rsidRPr="00D06785">
        <w:rPr>
          <w:lang w:val="it-IT"/>
        </w:rPr>
        <w:t>, Maria Sarno</w:t>
      </w:r>
    </w:p>
    <w:p w14:paraId="7EB13589" w14:textId="77777777" w:rsidR="00495C77" w:rsidRDefault="00495C77" w:rsidP="00B57E6F">
      <w:pPr>
        <w:pStyle w:val="CETAddress"/>
      </w:pPr>
      <w:bookmarkStart w:id="1" w:name="_Hlk190329629"/>
      <w:r>
        <w:t>Department of Physics</w:t>
      </w:r>
      <w:r w:rsidRPr="00B57B36">
        <w:t xml:space="preserve"> </w:t>
      </w:r>
      <w:r>
        <w:t xml:space="preserve">“E.R. Caianiello” and Centre NANO_MATES </w:t>
      </w:r>
      <w:r w:rsidRPr="004719C5">
        <w:t>(Research Centre for Nanomaterials and Nanotechnology at the University of Salerno) University of Salerno, Via Giovanni Paolo II, 132 -  84084 Fisciano (SA), Italy</w:t>
      </w:r>
      <w:r>
        <w:t>.</w:t>
      </w:r>
      <w:bookmarkEnd w:id="1"/>
    </w:p>
    <w:p w14:paraId="3D72B0B0" w14:textId="6B5FFBE4" w:rsidR="00B57E6F" w:rsidRDefault="00D06785" w:rsidP="00B57E6F">
      <w:pPr>
        <w:pStyle w:val="CETAddress"/>
      </w:pPr>
      <w:r>
        <w:t>°these three authors contribute equally</w:t>
      </w:r>
    </w:p>
    <w:p w14:paraId="325C1225" w14:textId="44CC7EA4" w:rsidR="00681460" w:rsidRPr="009378F0" w:rsidRDefault="00495C77" w:rsidP="00681460">
      <w:pPr>
        <w:pStyle w:val="CETemail"/>
      </w:pPr>
      <w:r>
        <w:t>*maiuliano@unisa.it</w:t>
      </w:r>
    </w:p>
    <w:p w14:paraId="5B7E0C60" w14:textId="77777777" w:rsidR="001D6168" w:rsidRPr="001D6168" w:rsidRDefault="001D6168" w:rsidP="001D6168">
      <w:pPr>
        <w:pStyle w:val="CETBodytext"/>
        <w:rPr>
          <w:lang w:val="en-GB"/>
        </w:rPr>
      </w:pPr>
      <w:r w:rsidRPr="001D6168">
        <w:rPr>
          <w:lang w:val="en-GB"/>
        </w:rPr>
        <w:t>Polyurethanes (PU) are extensively used in the transportation sector, particularly for seat padding in buses and trains, due to their exceptional properties, including high durability, flexibility, low density, and excellent thermal insulation. However, conventional disposal methods, such as landfilling and incineration, present significant environmental and economic drawbacks.</w:t>
      </w:r>
    </w:p>
    <w:p w14:paraId="58CB2A83" w14:textId="77777777" w:rsidR="001D6168" w:rsidRPr="001D6168" w:rsidRDefault="001D6168" w:rsidP="001D6168">
      <w:pPr>
        <w:pStyle w:val="CETBodytext"/>
        <w:rPr>
          <w:lang w:val="en-GB"/>
        </w:rPr>
      </w:pPr>
      <w:r w:rsidRPr="001D6168">
        <w:rPr>
          <w:lang w:val="en-GB"/>
        </w:rPr>
        <w:t>To overcome these challenges, chemical recycling, and in particular glycolysis, has emerged as a promising and industrially feasible strategy. A key factor in the efficiency of the glycolysis process is the choice of glycolytic agent and catalyst, which significantly affect the reaction kinetics and the quality of the recovered polyols. In this context, the use of magnetic catalysts offers an innovative and sustainable solution, as they can be recovered and reused over multiple cycles without a significant decline in catalytic activity.</w:t>
      </w:r>
    </w:p>
    <w:p w14:paraId="3A8E4001" w14:textId="77777777" w:rsidR="001D6168" w:rsidRDefault="001D6168" w:rsidP="001D6168">
      <w:pPr>
        <w:pStyle w:val="CETBodytext"/>
        <w:rPr>
          <w:lang w:val="en-GB"/>
        </w:rPr>
      </w:pPr>
      <w:r w:rsidRPr="001D6168">
        <w:rPr>
          <w:lang w:val="en-GB"/>
        </w:rPr>
        <w:t xml:space="preserve">In the present study, a magnetic </w:t>
      </w:r>
      <w:proofErr w:type="spellStart"/>
      <w:r w:rsidRPr="001D6168">
        <w:rPr>
          <w:lang w:val="en-GB"/>
        </w:rPr>
        <w:t>Fe</w:t>
      </w:r>
      <w:r w:rsidRPr="001D6168">
        <w:rPr>
          <w:rFonts w:ascii="Cambria Math" w:hAnsi="Cambria Math" w:cs="Cambria Math"/>
          <w:lang w:val="en-GB"/>
        </w:rPr>
        <w:t>₃</w:t>
      </w:r>
      <w:r w:rsidRPr="001D6168">
        <w:rPr>
          <w:lang w:val="en-GB"/>
        </w:rPr>
        <w:t>O</w:t>
      </w:r>
      <w:proofErr w:type="spellEnd"/>
      <w:r w:rsidRPr="001D6168">
        <w:rPr>
          <w:rFonts w:ascii="Cambria Math" w:hAnsi="Cambria Math" w:cs="Cambria Math"/>
          <w:lang w:val="en-GB"/>
        </w:rPr>
        <w:t>₄</w:t>
      </w:r>
      <w:r w:rsidRPr="001D6168">
        <w:rPr>
          <w:lang w:val="en-GB"/>
        </w:rPr>
        <w:t>@</w:t>
      </w:r>
      <w:proofErr w:type="spellStart"/>
      <w:r w:rsidRPr="001D6168">
        <w:rPr>
          <w:lang w:val="en-GB"/>
        </w:rPr>
        <w:t>MgAl</w:t>
      </w:r>
      <w:proofErr w:type="spellEnd"/>
      <w:r w:rsidRPr="001D6168">
        <w:rPr>
          <w:lang w:val="en-GB"/>
        </w:rPr>
        <w:t xml:space="preserve"> catalyst was developed and optimized for the glycolysis of PU waste. The experimental results showed that the </w:t>
      </w:r>
      <w:proofErr w:type="spellStart"/>
      <w:r w:rsidRPr="001D6168">
        <w:rPr>
          <w:lang w:val="en-GB"/>
        </w:rPr>
        <w:t>Fe</w:t>
      </w:r>
      <w:r w:rsidRPr="001D6168">
        <w:rPr>
          <w:rFonts w:ascii="Cambria Math" w:hAnsi="Cambria Math" w:cs="Cambria Math"/>
          <w:lang w:val="en-GB"/>
        </w:rPr>
        <w:t>₃</w:t>
      </w:r>
      <w:r w:rsidRPr="001D6168">
        <w:rPr>
          <w:lang w:val="en-GB"/>
        </w:rPr>
        <w:t>O</w:t>
      </w:r>
      <w:proofErr w:type="spellEnd"/>
      <w:r w:rsidRPr="001D6168">
        <w:rPr>
          <w:rFonts w:ascii="Cambria Math" w:hAnsi="Cambria Math" w:cs="Cambria Math"/>
          <w:lang w:val="en-GB"/>
        </w:rPr>
        <w:t>₄</w:t>
      </w:r>
      <w:r w:rsidRPr="001D6168">
        <w:rPr>
          <w:lang w:val="en-GB"/>
        </w:rPr>
        <w:t>@</w:t>
      </w:r>
      <w:proofErr w:type="spellStart"/>
      <w:r w:rsidRPr="001D6168">
        <w:rPr>
          <w:lang w:val="en-GB"/>
        </w:rPr>
        <w:t>MgAl</w:t>
      </w:r>
      <w:proofErr w:type="spellEnd"/>
      <w:r w:rsidRPr="001D6168">
        <w:rPr>
          <w:lang w:val="en-GB"/>
        </w:rPr>
        <w:t xml:space="preserve"> catalyst greatly enhances the glycolysis reaction, achieving 75 wt.% degradation of PU foam and yielding high-purity polyols.</w:t>
      </w:r>
    </w:p>
    <w:p w14:paraId="11CD218C" w14:textId="126B5450" w:rsidR="00495C77" w:rsidRDefault="00495C77" w:rsidP="001D6168">
      <w:pPr>
        <w:pStyle w:val="CETBodytext"/>
        <w:rPr>
          <w:lang w:val="en-GB"/>
        </w:rPr>
      </w:pPr>
      <w:r w:rsidRPr="00856147">
        <w:rPr>
          <w:lang w:val="en-GB"/>
        </w:rPr>
        <w:t>The recovered polyols underwent detailed and thorough analysis to evaluate their chemical and physical</w:t>
      </w:r>
      <w:r w:rsidR="00BB67A2" w:rsidRPr="00856147">
        <w:rPr>
          <w:lang w:val="en-GB"/>
        </w:rPr>
        <w:t xml:space="preserve"> </w:t>
      </w:r>
      <w:r w:rsidRPr="00856147">
        <w:rPr>
          <w:lang w:val="en-GB"/>
        </w:rPr>
        <w:t>properties, ensuring their quality and suitability for reuse.</w:t>
      </w:r>
    </w:p>
    <w:p w14:paraId="476B2F2E" w14:textId="77777777" w:rsidR="00600535" w:rsidRPr="00B57B36" w:rsidRDefault="00600535" w:rsidP="00600535">
      <w:pPr>
        <w:pStyle w:val="CETHeading1"/>
        <w:rPr>
          <w:lang w:val="en-GB"/>
        </w:rPr>
      </w:pPr>
      <w:r w:rsidRPr="00B57B36">
        <w:rPr>
          <w:lang w:val="en-GB"/>
        </w:rPr>
        <w:t>Introduction</w:t>
      </w:r>
    </w:p>
    <w:p w14:paraId="20960192" w14:textId="77777777" w:rsidR="001D6168" w:rsidRPr="006D0B7F" w:rsidRDefault="001D6168" w:rsidP="00600535">
      <w:pPr>
        <w:pStyle w:val="CETBodytext"/>
        <w:rPr>
          <w:lang w:val="en-GB"/>
        </w:rPr>
      </w:pPr>
      <w:r w:rsidRPr="001D6168">
        <w:rPr>
          <w:lang w:val="en-GB"/>
        </w:rPr>
        <w:t xml:space="preserve">Polyurethanes are known for their exceptional </w:t>
      </w:r>
      <w:r w:rsidRPr="006D0B7F">
        <w:rPr>
          <w:lang w:val="en-GB"/>
        </w:rPr>
        <w:t xml:space="preserve">properties, including high durability, flexibility, low weight, and excellent thermal insulation (Wieczorek et al., 2024; </w:t>
      </w:r>
      <w:proofErr w:type="spellStart"/>
      <w:r w:rsidRPr="006D0B7F">
        <w:rPr>
          <w:lang w:val="en-GB"/>
        </w:rPr>
        <w:t>Heiran</w:t>
      </w:r>
      <w:proofErr w:type="spellEnd"/>
      <w:r w:rsidRPr="006D0B7F">
        <w:rPr>
          <w:lang w:val="en-GB"/>
        </w:rPr>
        <w:t xml:space="preserve"> et al., 2021). These characteristics make polyurethane foam an ideal material for use in the transportation industry, particularly in the development of comfortable and long-lasting seating solutions (Deng et al., 2003). </w:t>
      </w:r>
    </w:p>
    <w:p w14:paraId="63BF6E0E" w14:textId="07F6C2A6" w:rsidR="00D62375" w:rsidRDefault="00944447" w:rsidP="00600535">
      <w:pPr>
        <w:pStyle w:val="CETBodytext"/>
        <w:rPr>
          <w:lang w:val="en-GB"/>
        </w:rPr>
      </w:pPr>
      <w:r w:rsidRPr="006D0B7F">
        <w:rPr>
          <w:lang w:val="en-GB"/>
        </w:rPr>
        <w:t xml:space="preserve">Polyurethanes are synthesized through </w:t>
      </w:r>
      <w:r w:rsidR="008F3AD2" w:rsidRPr="006D0B7F">
        <w:rPr>
          <w:lang w:val="en-GB"/>
        </w:rPr>
        <w:t>the</w:t>
      </w:r>
      <w:r w:rsidRPr="006D0B7F">
        <w:rPr>
          <w:lang w:val="en-GB"/>
        </w:rPr>
        <w:t xml:space="preserve"> chemical reaction between a polyol, a molecule contain</w:t>
      </w:r>
      <w:r w:rsidR="008F3AD2" w:rsidRPr="006D0B7F">
        <w:rPr>
          <w:lang w:val="en-GB"/>
        </w:rPr>
        <w:t>ing</w:t>
      </w:r>
      <w:r w:rsidRPr="006D0B7F">
        <w:rPr>
          <w:lang w:val="en-GB"/>
        </w:rPr>
        <w:t xml:space="preserve"> hydroxyl groups (-OH), and a diisocyanate, a molecule contain</w:t>
      </w:r>
      <w:r w:rsidR="008F3AD2" w:rsidRPr="006D0B7F">
        <w:rPr>
          <w:lang w:val="en-GB"/>
        </w:rPr>
        <w:t>ing</w:t>
      </w:r>
      <w:r w:rsidRPr="006D0B7F">
        <w:rPr>
          <w:lang w:val="en-GB"/>
        </w:rPr>
        <w:t xml:space="preserve"> isocyanate groups (-N=C=O).</w:t>
      </w:r>
      <w:r w:rsidR="00D176D5" w:rsidRPr="006D0B7F">
        <w:rPr>
          <w:lang w:val="en-GB"/>
        </w:rPr>
        <w:t xml:space="preserve"> </w:t>
      </w:r>
      <w:r w:rsidRPr="006D0B7F">
        <w:rPr>
          <w:lang w:val="en-GB"/>
        </w:rPr>
        <w:t>The reaction</w:t>
      </w:r>
      <w:r>
        <w:rPr>
          <w:lang w:val="en-GB"/>
        </w:rPr>
        <w:t xml:space="preserve"> is shown in </w:t>
      </w:r>
      <w:r w:rsidR="002E5BD7">
        <w:rPr>
          <w:lang w:val="en-GB"/>
        </w:rPr>
        <w:fldChar w:fldCharType="begin"/>
      </w:r>
      <w:r w:rsidR="002E5BD7">
        <w:rPr>
          <w:lang w:val="en-GB"/>
        </w:rPr>
        <w:instrText xml:space="preserve"> REF _Ref190428757 \h </w:instrText>
      </w:r>
      <w:r w:rsidR="002E5BD7">
        <w:rPr>
          <w:lang w:val="en-GB"/>
        </w:rPr>
      </w:r>
      <w:r w:rsidR="002E5BD7">
        <w:rPr>
          <w:lang w:val="en-GB"/>
        </w:rPr>
        <w:fldChar w:fldCharType="separate"/>
      </w:r>
      <w:r w:rsidR="00CB561D">
        <w:t xml:space="preserve">Figure </w:t>
      </w:r>
      <w:r w:rsidR="00CB561D">
        <w:rPr>
          <w:noProof/>
        </w:rPr>
        <w:t>1</w:t>
      </w:r>
      <w:r w:rsidR="002E5BD7">
        <w:rPr>
          <w:lang w:val="en-GB"/>
        </w:rPr>
        <w:fldChar w:fldCharType="end"/>
      </w:r>
      <w:r w:rsidR="002E5BD7">
        <w:rPr>
          <w:lang w:val="en-GB"/>
        </w:rPr>
        <w:t>.</w:t>
      </w:r>
    </w:p>
    <w:p w14:paraId="19AAF141" w14:textId="77777777" w:rsidR="00944447" w:rsidRDefault="00944447" w:rsidP="00944447">
      <w:pPr>
        <w:pStyle w:val="CETBodytext"/>
        <w:keepNext/>
      </w:pPr>
      <w:r w:rsidRPr="00FA322A">
        <w:rPr>
          <w:noProof/>
          <w:lang w:val="it-IT" w:eastAsia="it-IT"/>
        </w:rPr>
        <w:drawing>
          <wp:inline distT="0" distB="0" distL="0" distR="0" wp14:anchorId="5B8916B1" wp14:editId="2416328F">
            <wp:extent cx="3784896" cy="687629"/>
            <wp:effectExtent l="0" t="0" r="6350" b="0"/>
            <wp:docPr id="92" name="Immagine 91" descr="Immagine che contiene testo, linea, Carattere, diagramma&#10;&#10;Descrizione generata automaticamente">
              <a:extLst xmlns:a="http://schemas.openxmlformats.org/drawingml/2006/main">
                <a:ext uri="{FF2B5EF4-FFF2-40B4-BE49-F238E27FC236}">
                  <a16:creationId xmlns:a16="http://schemas.microsoft.com/office/drawing/2014/main" id="{F7BBF09D-D647-6F00-FDBF-5D9CC9C2FB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magine 91" descr="Immagine che contiene testo, linea, Carattere, diagramma&#10;&#10;Descrizione generata automaticamente">
                      <a:extLst>
                        <a:ext uri="{FF2B5EF4-FFF2-40B4-BE49-F238E27FC236}">
                          <a16:creationId xmlns:a16="http://schemas.microsoft.com/office/drawing/2014/main" id="{F7BBF09D-D647-6F00-FDBF-5D9CC9C2FB1C}"/>
                        </a:ext>
                      </a:extLst>
                    </pic:cNvPr>
                    <pic:cNvPicPr>
                      <a:picLocks noChangeAspect="1"/>
                    </pic:cNvPicPr>
                  </pic:nvPicPr>
                  <pic:blipFill>
                    <a:blip r:embed="rId10"/>
                    <a:stretch>
                      <a:fillRect/>
                    </a:stretch>
                  </pic:blipFill>
                  <pic:spPr>
                    <a:xfrm>
                      <a:off x="0" y="0"/>
                      <a:ext cx="4011570" cy="728810"/>
                    </a:xfrm>
                    <a:prstGeom prst="rect">
                      <a:avLst/>
                    </a:prstGeom>
                  </pic:spPr>
                </pic:pic>
              </a:graphicData>
            </a:graphic>
          </wp:inline>
        </w:drawing>
      </w:r>
    </w:p>
    <w:p w14:paraId="5FF3936C" w14:textId="6CDD6FCB" w:rsidR="00D62375" w:rsidRDefault="00944447" w:rsidP="00944447">
      <w:pPr>
        <w:pStyle w:val="CETCaption"/>
      </w:pPr>
      <w:bookmarkStart w:id="2" w:name="_Ref190428757"/>
      <w:r>
        <w:t xml:space="preserve">Figure </w:t>
      </w:r>
      <w:r>
        <w:fldChar w:fldCharType="begin"/>
      </w:r>
      <w:r>
        <w:instrText xml:space="preserve"> SEQ Figure \* ARABIC </w:instrText>
      </w:r>
      <w:r>
        <w:fldChar w:fldCharType="separate"/>
      </w:r>
      <w:r w:rsidR="002C3B37">
        <w:rPr>
          <w:noProof/>
        </w:rPr>
        <w:t>1</w:t>
      </w:r>
      <w:r>
        <w:fldChar w:fldCharType="end"/>
      </w:r>
      <w:bookmarkEnd w:id="2"/>
      <w:r>
        <w:t xml:space="preserve"> </w:t>
      </w:r>
      <w:r w:rsidRPr="00A76909">
        <w:t>Polyurethane synthesis</w:t>
      </w:r>
    </w:p>
    <w:p w14:paraId="728C37C8" w14:textId="527DD994" w:rsidR="00A02888" w:rsidRDefault="00D176D5" w:rsidP="00600535">
      <w:pPr>
        <w:pStyle w:val="CETBodytext"/>
        <w:rPr>
          <w:lang w:val="en-GB"/>
        </w:rPr>
      </w:pPr>
      <w:r>
        <w:rPr>
          <w:lang w:val="en-GB"/>
        </w:rPr>
        <w:t xml:space="preserve">The growing </w:t>
      </w:r>
      <w:r w:rsidRPr="006D0B7F">
        <w:rPr>
          <w:lang w:val="en-GB"/>
        </w:rPr>
        <w:t xml:space="preserve">use of polyurethanes in the transportation sector </w:t>
      </w:r>
      <w:r w:rsidR="00212BCD" w:rsidRPr="006D0B7F">
        <w:rPr>
          <w:lang w:val="en-GB"/>
        </w:rPr>
        <w:t>raises concerns about the disposal of this material, particularly regarding</w:t>
      </w:r>
      <w:r w:rsidRPr="006D0B7F">
        <w:rPr>
          <w:lang w:val="en-GB"/>
        </w:rPr>
        <w:t xml:space="preserve"> </w:t>
      </w:r>
      <w:r w:rsidR="00B70541" w:rsidRPr="006D0B7F">
        <w:rPr>
          <w:lang w:val="en-GB"/>
        </w:rPr>
        <w:t>l</w:t>
      </w:r>
      <w:r w:rsidRPr="006D0B7F">
        <w:rPr>
          <w:lang w:val="en-GB"/>
        </w:rPr>
        <w:t xml:space="preserve">andfilling </w:t>
      </w:r>
      <w:r w:rsidR="00B70541" w:rsidRPr="006D0B7F">
        <w:rPr>
          <w:lang w:val="en-GB"/>
        </w:rPr>
        <w:t>and</w:t>
      </w:r>
      <w:r w:rsidRPr="006D0B7F">
        <w:rPr>
          <w:lang w:val="en-GB"/>
        </w:rPr>
        <w:t xml:space="preserve"> incineration</w:t>
      </w:r>
      <w:r w:rsidR="00B70541" w:rsidRPr="006D0B7F">
        <w:rPr>
          <w:lang w:val="en-GB"/>
        </w:rPr>
        <w:t xml:space="preserve">. According to Yang et al., 2012, </w:t>
      </w:r>
      <w:r w:rsidR="00C40A91" w:rsidRPr="006D0B7F">
        <w:rPr>
          <w:lang w:val="en-GB"/>
        </w:rPr>
        <w:t>polyurethane foam is characterized by low density</w:t>
      </w:r>
      <w:r w:rsidR="00313EB6" w:rsidRPr="006D0B7F">
        <w:rPr>
          <w:lang w:val="en-GB"/>
        </w:rPr>
        <w:t>,</w:t>
      </w:r>
      <w:r w:rsidR="00C40A91" w:rsidRPr="006D0B7F">
        <w:rPr>
          <w:lang w:val="en-GB"/>
        </w:rPr>
        <w:t xml:space="preserve"> which leads to </w:t>
      </w:r>
      <w:r w:rsidR="00313EB6" w:rsidRPr="006D0B7F">
        <w:rPr>
          <w:lang w:val="en-GB"/>
        </w:rPr>
        <w:t>suboptimal</w:t>
      </w:r>
      <w:r w:rsidR="00C40A91" w:rsidRPr="006D0B7F">
        <w:rPr>
          <w:lang w:val="en-GB"/>
        </w:rPr>
        <w:t xml:space="preserve"> space utilization in the landfill. Moreover, polyurethane wastes are very difficult to decompose in </w:t>
      </w:r>
      <w:r w:rsidR="00313EB6" w:rsidRPr="006D0B7F">
        <w:rPr>
          <w:lang w:val="en-GB"/>
        </w:rPr>
        <w:t xml:space="preserve">the </w:t>
      </w:r>
      <w:r w:rsidR="00C40A91" w:rsidRPr="006D0B7F">
        <w:rPr>
          <w:lang w:val="en-GB"/>
        </w:rPr>
        <w:t xml:space="preserve">natural environment. Regarding </w:t>
      </w:r>
      <w:r w:rsidR="00212BCD" w:rsidRPr="006D0B7F">
        <w:rPr>
          <w:lang w:val="en-GB"/>
        </w:rPr>
        <w:t xml:space="preserve">the </w:t>
      </w:r>
      <w:r w:rsidR="00C40A91" w:rsidRPr="006D0B7F">
        <w:rPr>
          <w:lang w:val="en-GB"/>
        </w:rPr>
        <w:t>incineration</w:t>
      </w:r>
      <w:r w:rsidR="00212BCD" w:rsidRPr="006D0B7F">
        <w:rPr>
          <w:lang w:val="en-GB"/>
        </w:rPr>
        <w:t xml:space="preserve"> of polyurethane foam</w:t>
      </w:r>
      <w:r w:rsidR="00C40A91" w:rsidRPr="006D0B7F">
        <w:rPr>
          <w:lang w:val="en-GB"/>
        </w:rPr>
        <w:t xml:space="preserve">, </w:t>
      </w:r>
      <w:r w:rsidR="00212BCD" w:rsidRPr="006D0B7F">
        <w:rPr>
          <w:lang w:val="en-GB"/>
        </w:rPr>
        <w:t xml:space="preserve">on the other hand, it </w:t>
      </w:r>
      <w:r w:rsidR="00C40A91" w:rsidRPr="006D0B7F">
        <w:rPr>
          <w:lang w:val="en-GB"/>
        </w:rPr>
        <w:t xml:space="preserve">can reduce volume by 99% but if the </w:t>
      </w:r>
      <w:r w:rsidR="00212BCD" w:rsidRPr="006D0B7F">
        <w:rPr>
          <w:lang w:val="en-GB"/>
        </w:rPr>
        <w:t>process</w:t>
      </w:r>
      <w:r w:rsidR="00C40A91" w:rsidRPr="006D0B7F">
        <w:rPr>
          <w:lang w:val="en-GB"/>
        </w:rPr>
        <w:t xml:space="preserve"> is incomplete, it will produce poisonous gas and polluting agents.</w:t>
      </w:r>
      <w:r w:rsidR="00AE116A">
        <w:rPr>
          <w:lang w:val="en-GB"/>
        </w:rPr>
        <w:t xml:space="preserve"> </w:t>
      </w:r>
    </w:p>
    <w:p w14:paraId="1A192A1F" w14:textId="77777777" w:rsidR="001D6168" w:rsidRPr="006D0B7F" w:rsidRDefault="001D6168" w:rsidP="001D6168">
      <w:pPr>
        <w:pStyle w:val="CETBodytext"/>
        <w:rPr>
          <w:lang w:val="en-GB"/>
        </w:rPr>
      </w:pPr>
      <w:r w:rsidRPr="001D6168">
        <w:rPr>
          <w:lang w:val="en-GB"/>
        </w:rPr>
        <w:lastRenderedPageBreak/>
        <w:t xml:space="preserve">For these reasons, recycling is receiving </w:t>
      </w:r>
      <w:r w:rsidRPr="006D0B7F">
        <w:rPr>
          <w:lang w:val="en-GB"/>
        </w:rPr>
        <w:t>increasing</w:t>
      </w:r>
      <w:r w:rsidRPr="006D0B7F">
        <w:rPr>
          <w:b/>
          <w:bCs/>
          <w:lang w:val="en-GB"/>
        </w:rPr>
        <w:t xml:space="preserve"> </w:t>
      </w:r>
      <w:r w:rsidRPr="006D0B7F">
        <w:rPr>
          <w:lang w:val="en-GB"/>
        </w:rPr>
        <w:t>attention as a sustainable method for the disposal of polyurethane foam waste, encompassing both physical and chemical recycling approaches.</w:t>
      </w:r>
    </w:p>
    <w:p w14:paraId="52719531" w14:textId="2E7872A8" w:rsidR="001D6168" w:rsidRPr="006D0B7F" w:rsidRDefault="001D6168" w:rsidP="001D6168">
      <w:pPr>
        <w:pStyle w:val="CETBodytext"/>
        <w:rPr>
          <w:lang w:val="en-GB"/>
        </w:rPr>
      </w:pPr>
      <w:r w:rsidRPr="006D0B7F">
        <w:rPr>
          <w:lang w:val="en-GB"/>
        </w:rPr>
        <w:t>In the case of physical recycling, regrinding techniques produce fine polyurethane powder, which can be reused as a filler in the production of new foam materials.</w:t>
      </w:r>
      <w:r w:rsidR="006D0B7F" w:rsidRPr="006D0B7F">
        <w:rPr>
          <w:lang w:val="en-GB"/>
        </w:rPr>
        <w:t xml:space="preserve"> </w:t>
      </w:r>
      <w:r w:rsidRPr="006D0B7F">
        <w:rPr>
          <w:lang w:val="en-GB"/>
        </w:rPr>
        <w:t>Conversely, chemical recycling involves the cleavage of polyurethane bonds using suitable reagents, enabling the recovery of valuable components, such as polyols, which can subsequently be reused in the synthesis of new polyurethane foams.</w:t>
      </w:r>
    </w:p>
    <w:p w14:paraId="2AFA1160" w14:textId="4F06E7B4" w:rsidR="00D176D5" w:rsidRDefault="00804666" w:rsidP="00600535">
      <w:pPr>
        <w:pStyle w:val="CETBodytext"/>
        <w:rPr>
          <w:lang w:val="en-GB"/>
        </w:rPr>
      </w:pPr>
      <w:r w:rsidRPr="006D0B7F">
        <w:rPr>
          <w:lang w:val="en-GB"/>
        </w:rPr>
        <w:t xml:space="preserve">Zia et al., 2007, </w:t>
      </w:r>
      <w:r w:rsidR="000A4DAF" w:rsidRPr="006D0B7F">
        <w:rPr>
          <w:lang w:val="en-GB"/>
        </w:rPr>
        <w:t xml:space="preserve">describe the different chemical recycling techniques and </w:t>
      </w:r>
      <w:r w:rsidR="00313EB6" w:rsidRPr="006D0B7F">
        <w:rPr>
          <w:lang w:val="en-GB"/>
        </w:rPr>
        <w:t>divide</w:t>
      </w:r>
      <w:r w:rsidR="000A4DAF" w:rsidRPr="006D0B7F">
        <w:rPr>
          <w:lang w:val="en-GB"/>
        </w:rPr>
        <w:t xml:space="preserve"> them into</w:t>
      </w:r>
      <w:r w:rsidR="00225682" w:rsidRPr="006D0B7F">
        <w:rPr>
          <w:lang w:val="en-GB"/>
        </w:rPr>
        <w:t xml:space="preserve">: </w:t>
      </w:r>
      <w:r w:rsidRPr="006D0B7F">
        <w:t xml:space="preserve">Glycolysis, </w:t>
      </w:r>
      <w:r w:rsidR="00313EB6" w:rsidRPr="006D0B7F">
        <w:t xml:space="preserve">which </w:t>
      </w:r>
      <w:r w:rsidRPr="006D0B7F">
        <w:t xml:space="preserve">produces polyol </w:t>
      </w:r>
      <w:r w:rsidR="00CA6207" w:rsidRPr="006D0B7F">
        <w:t xml:space="preserve">as </w:t>
      </w:r>
      <w:r w:rsidR="00313EB6" w:rsidRPr="006D0B7F">
        <w:t xml:space="preserve">the </w:t>
      </w:r>
      <w:r w:rsidR="00CA6207" w:rsidRPr="006D0B7F">
        <w:t>main reaction product</w:t>
      </w:r>
      <w:r w:rsidR="00225682" w:rsidRPr="006D0B7F">
        <w:t xml:space="preserve">; </w:t>
      </w:r>
      <w:r w:rsidRPr="006D0B7F">
        <w:t>Hydrolysis</w:t>
      </w:r>
      <w:r w:rsidR="00CA6207" w:rsidRPr="006D0B7F">
        <w:t xml:space="preserve">, </w:t>
      </w:r>
      <w:r w:rsidR="00313EB6" w:rsidRPr="006D0B7F">
        <w:t xml:space="preserve">which </w:t>
      </w:r>
      <w:r w:rsidR="00CA6207" w:rsidRPr="006D0B7F">
        <w:t>produces polyol and amine intermediates</w:t>
      </w:r>
      <w:r w:rsidR="00225682" w:rsidRPr="006D0B7F">
        <w:t xml:space="preserve">; </w:t>
      </w:r>
      <w:r w:rsidRPr="006D0B7F">
        <w:t>Pyrolysis</w:t>
      </w:r>
      <w:r w:rsidR="00CA6207" w:rsidRPr="006D0B7F">
        <w:t>, creates gas and oil</w:t>
      </w:r>
      <w:r w:rsidR="00225682" w:rsidRPr="006D0B7F">
        <w:t xml:space="preserve">; </w:t>
      </w:r>
      <w:r w:rsidRPr="006D0B7F">
        <w:t>Hydrogenation</w:t>
      </w:r>
      <w:r w:rsidR="00CA6207" w:rsidRPr="006D0B7F">
        <w:t>, creates gas and oil like pyrolysis</w:t>
      </w:r>
      <w:r w:rsidR="00313EB6" w:rsidRPr="006D0B7F">
        <w:t>,</w:t>
      </w:r>
      <w:r w:rsidR="00CA6207" w:rsidRPr="006D0B7F">
        <w:t xml:space="preserve"> but the hydrogen </w:t>
      </w:r>
      <w:r w:rsidR="00313EB6" w:rsidRPr="006D0B7F">
        <w:t>produced</w:t>
      </w:r>
      <w:r w:rsidR="00CA6207" w:rsidRPr="006D0B7F">
        <w:t xml:space="preserve"> is purer</w:t>
      </w:r>
      <w:r w:rsidR="00225682" w:rsidRPr="006D0B7F">
        <w:t>.</w:t>
      </w:r>
      <w:r w:rsidR="00E25621" w:rsidRPr="006D0B7F">
        <w:t xml:space="preserve"> </w:t>
      </w:r>
      <w:r w:rsidR="00CA6207" w:rsidRPr="006D0B7F">
        <w:rPr>
          <w:lang w:val="en-GB"/>
        </w:rPr>
        <w:t xml:space="preserve">Among </w:t>
      </w:r>
      <w:r w:rsidR="00C34BBF" w:rsidRPr="006D0B7F">
        <w:rPr>
          <w:lang w:val="en-GB"/>
        </w:rPr>
        <w:t>all</w:t>
      </w:r>
      <w:r w:rsidR="00CA6207" w:rsidRPr="006D0B7F">
        <w:rPr>
          <w:lang w:val="en-GB"/>
        </w:rPr>
        <w:t xml:space="preserve"> the</w:t>
      </w:r>
      <w:r w:rsidR="00C34BBF" w:rsidRPr="006D0B7F">
        <w:rPr>
          <w:lang w:val="en-GB"/>
        </w:rPr>
        <w:t>se methods</w:t>
      </w:r>
      <w:r w:rsidR="00CA6207" w:rsidRPr="006D0B7F">
        <w:rPr>
          <w:lang w:val="en-GB"/>
        </w:rPr>
        <w:t>, glycolysis is the most</w:t>
      </w:r>
      <w:r w:rsidR="00A25F14" w:rsidRPr="006D0B7F">
        <w:rPr>
          <w:lang w:val="en-GB"/>
        </w:rPr>
        <w:t xml:space="preserve"> widely</w:t>
      </w:r>
      <w:r w:rsidR="00CA6207" w:rsidRPr="006D0B7F">
        <w:rPr>
          <w:lang w:val="en-GB"/>
        </w:rPr>
        <w:t xml:space="preserve"> used chemical recycling technique</w:t>
      </w:r>
      <w:r w:rsidR="00313EB6" w:rsidRPr="006D0B7F">
        <w:rPr>
          <w:lang w:val="en-GB"/>
        </w:rPr>
        <w:t>,</w:t>
      </w:r>
      <w:r w:rsidR="00CA6207" w:rsidRPr="006D0B7F">
        <w:rPr>
          <w:lang w:val="en-GB"/>
        </w:rPr>
        <w:t xml:space="preserve"> </w:t>
      </w:r>
      <w:r w:rsidR="00C34BBF" w:rsidRPr="006D0B7F">
        <w:rPr>
          <w:lang w:val="en-GB"/>
        </w:rPr>
        <w:t>being the most convenient (</w:t>
      </w:r>
      <w:proofErr w:type="spellStart"/>
      <w:r w:rsidR="00956DA5" w:rsidRPr="006D0B7F">
        <w:rPr>
          <w:lang w:val="en-GB"/>
        </w:rPr>
        <w:t>Heiran</w:t>
      </w:r>
      <w:proofErr w:type="spellEnd"/>
      <w:r w:rsidR="00956DA5" w:rsidRPr="006D0B7F">
        <w:rPr>
          <w:lang w:val="en-GB"/>
        </w:rPr>
        <w:t xml:space="preserve"> et al., 2021</w:t>
      </w:r>
      <w:r w:rsidR="00C34BBF" w:rsidRPr="006D0B7F">
        <w:rPr>
          <w:lang w:val="en-GB"/>
        </w:rPr>
        <w:t>)</w:t>
      </w:r>
      <w:r w:rsidR="00C07CE1" w:rsidRPr="006D0B7F">
        <w:rPr>
          <w:lang w:val="en-GB"/>
        </w:rPr>
        <w:t>, most</w:t>
      </w:r>
      <w:r w:rsidR="00C34BBF" w:rsidRPr="006D0B7F">
        <w:rPr>
          <w:lang w:val="en-GB"/>
        </w:rPr>
        <w:t xml:space="preserve"> promising recycling route (</w:t>
      </w:r>
      <w:proofErr w:type="spellStart"/>
      <w:r w:rsidR="00C34BBF" w:rsidRPr="006D0B7F">
        <w:rPr>
          <w:lang w:val="en-GB"/>
        </w:rPr>
        <w:t>Donadini</w:t>
      </w:r>
      <w:proofErr w:type="spellEnd"/>
      <w:r w:rsidR="00C34BBF" w:rsidRPr="006D0B7F">
        <w:rPr>
          <w:lang w:val="en-GB"/>
        </w:rPr>
        <w:t xml:space="preserve"> et al., 2023b)</w:t>
      </w:r>
      <w:r w:rsidR="00313EB6" w:rsidRPr="006D0B7F">
        <w:rPr>
          <w:lang w:val="en-GB"/>
        </w:rPr>
        <w:t>,</w:t>
      </w:r>
      <w:r w:rsidR="00C07CE1" w:rsidRPr="006D0B7F">
        <w:rPr>
          <w:lang w:val="en-GB"/>
        </w:rPr>
        <w:t xml:space="preserve"> and the obtained polyol can be used to produce new polyurethane foam</w:t>
      </w:r>
      <w:r w:rsidR="00C34BBF" w:rsidRPr="006D0B7F">
        <w:rPr>
          <w:lang w:val="en-GB"/>
        </w:rPr>
        <w:t>.</w:t>
      </w:r>
      <w:r w:rsidR="00AE116A" w:rsidRPr="006D0B7F">
        <w:rPr>
          <w:lang w:val="en-GB"/>
        </w:rPr>
        <w:t xml:space="preserve"> </w:t>
      </w:r>
      <w:r w:rsidR="002A16ED" w:rsidRPr="006D0B7F">
        <w:rPr>
          <w:lang w:val="en-GB"/>
        </w:rPr>
        <w:t xml:space="preserve">Polyurethane foam glycolysis is achieved through the reaction between the polyurethane foam powder, </w:t>
      </w:r>
      <w:r w:rsidR="00313EB6" w:rsidRPr="006D0B7F">
        <w:rPr>
          <w:lang w:val="en-GB"/>
        </w:rPr>
        <w:t>obtained</w:t>
      </w:r>
      <w:r w:rsidR="002A16ED" w:rsidRPr="006D0B7F">
        <w:rPr>
          <w:lang w:val="en-GB"/>
        </w:rPr>
        <w:t xml:space="preserve"> from a milling process, and a glycolytic agent, typically ethylene glycol (EG), diethylene glycol (DEG), poly </w:t>
      </w:r>
      <w:r w:rsidR="00313EB6" w:rsidRPr="006D0B7F">
        <w:rPr>
          <w:lang w:val="en-GB"/>
        </w:rPr>
        <w:t>polyethylene</w:t>
      </w:r>
      <w:r w:rsidR="002A16ED" w:rsidRPr="006D0B7F">
        <w:rPr>
          <w:lang w:val="en-GB"/>
        </w:rPr>
        <w:t xml:space="preserve"> glycol (PEG) (</w:t>
      </w:r>
      <w:proofErr w:type="spellStart"/>
      <w:r w:rsidR="002A16ED" w:rsidRPr="006D0B7F">
        <w:rPr>
          <w:lang w:val="en-GB"/>
        </w:rPr>
        <w:t>Heiran</w:t>
      </w:r>
      <w:proofErr w:type="spellEnd"/>
      <w:r w:rsidR="002A16ED" w:rsidRPr="006D0B7F">
        <w:rPr>
          <w:lang w:val="en-GB"/>
        </w:rPr>
        <w:t xml:space="preserve"> et al., 2021).</w:t>
      </w:r>
      <w:r w:rsidR="00D54743" w:rsidRPr="006D0B7F">
        <w:rPr>
          <w:lang w:val="en-GB"/>
        </w:rPr>
        <w:t xml:space="preserve"> </w:t>
      </w:r>
      <w:r w:rsidR="001D6168" w:rsidRPr="006D0B7F">
        <w:rPr>
          <w:lang w:val="en-GB"/>
        </w:rPr>
        <w:t>A possible reaction pathway is illustrated in Figure 2.</w:t>
      </w:r>
    </w:p>
    <w:p w14:paraId="156B23EA" w14:textId="77777777" w:rsidR="008E4444" w:rsidRDefault="008E4444" w:rsidP="00600535">
      <w:pPr>
        <w:pStyle w:val="CETBodytext"/>
        <w:rPr>
          <w:lang w:val="en-GB"/>
        </w:rPr>
      </w:pPr>
    </w:p>
    <w:p w14:paraId="5B6C54CB" w14:textId="77777777" w:rsidR="008E4444" w:rsidRDefault="008E4444" w:rsidP="008E4444">
      <w:pPr>
        <w:pStyle w:val="CETBodytext"/>
        <w:keepNext/>
      </w:pPr>
      <w:r w:rsidRPr="008E4444">
        <w:rPr>
          <w:noProof/>
          <w:lang w:val="it-IT" w:eastAsia="it-IT"/>
        </w:rPr>
        <w:drawing>
          <wp:inline distT="0" distB="0" distL="0" distR="0" wp14:anchorId="08E60657" wp14:editId="4E427C10">
            <wp:extent cx="2641600" cy="488518"/>
            <wp:effectExtent l="0" t="0" r="6350" b="6985"/>
            <wp:docPr id="34" name="Immagine 33" descr="Immagine che contiene linea, diagramma, schermata, Diagramma&#10;&#10;Il contenuto generato dall'IA potrebbe non essere corretto.">
              <a:extLst xmlns:a="http://schemas.openxmlformats.org/drawingml/2006/main">
                <a:ext uri="{FF2B5EF4-FFF2-40B4-BE49-F238E27FC236}">
                  <a16:creationId xmlns:a16="http://schemas.microsoft.com/office/drawing/2014/main" id="{B5011209-8161-0CD3-57BA-45800E77C5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magine 33" descr="Immagine che contiene linea, diagramma, schermata, Diagramma&#10;&#10;Il contenuto generato dall'IA potrebbe non essere corretto.">
                      <a:extLst>
                        <a:ext uri="{FF2B5EF4-FFF2-40B4-BE49-F238E27FC236}">
                          <a16:creationId xmlns:a16="http://schemas.microsoft.com/office/drawing/2014/main" id="{B5011209-8161-0CD3-57BA-45800E77C50E}"/>
                        </a:ext>
                      </a:extLst>
                    </pic:cNvPr>
                    <pic:cNvPicPr>
                      <a:picLocks noChangeAspect="1"/>
                    </pic:cNvPicPr>
                  </pic:nvPicPr>
                  <pic:blipFill>
                    <a:blip r:embed="rId11"/>
                    <a:stretch>
                      <a:fillRect/>
                    </a:stretch>
                  </pic:blipFill>
                  <pic:spPr>
                    <a:xfrm>
                      <a:off x="0" y="0"/>
                      <a:ext cx="2710037" cy="501174"/>
                    </a:xfrm>
                    <a:prstGeom prst="rect">
                      <a:avLst/>
                    </a:prstGeom>
                    <a:solidFill>
                      <a:schemeClr val="bg1"/>
                    </a:solidFill>
                  </pic:spPr>
                </pic:pic>
              </a:graphicData>
            </a:graphic>
          </wp:inline>
        </w:drawing>
      </w:r>
    </w:p>
    <w:p w14:paraId="18DA9D7B" w14:textId="23137CBA" w:rsidR="008E4444" w:rsidRDefault="008E4444" w:rsidP="008E4444">
      <w:pPr>
        <w:pStyle w:val="CETCaption"/>
      </w:pPr>
      <w:bookmarkStart w:id="3" w:name="_Ref203733736"/>
      <w:r>
        <w:t xml:space="preserve">Figure </w:t>
      </w:r>
      <w:r>
        <w:fldChar w:fldCharType="begin"/>
      </w:r>
      <w:r>
        <w:instrText xml:space="preserve"> SEQ Figure \* ARABIC </w:instrText>
      </w:r>
      <w:r>
        <w:fldChar w:fldCharType="separate"/>
      </w:r>
      <w:r w:rsidR="002C3B37">
        <w:rPr>
          <w:noProof/>
        </w:rPr>
        <w:t>2</w:t>
      </w:r>
      <w:r>
        <w:fldChar w:fldCharType="end"/>
      </w:r>
      <w:bookmarkEnd w:id="3"/>
      <w:r>
        <w:t xml:space="preserve"> Possible glycolysis reaction of polyurethane foam</w:t>
      </w:r>
    </w:p>
    <w:p w14:paraId="37A34E46" w14:textId="5BB67BE2" w:rsidR="00B340E2" w:rsidRDefault="00566383" w:rsidP="00566383">
      <w:pPr>
        <w:pStyle w:val="CETBodytext"/>
        <w:rPr>
          <w:lang w:val="en-GB"/>
        </w:rPr>
      </w:pPr>
      <w:r w:rsidRPr="00566383">
        <w:rPr>
          <w:lang w:val="en-GB"/>
        </w:rPr>
        <w:t>Glycolysis can be performed without a catalyst, but the use of an appropriate catalyst is recommended to achieve a higher conversion rate of the urethane (-NCOO-) groups (Wu et al., 2003). In the absence of a catalyst, the reaction proceeds very slowly under mild conditions (Molero et al., 2006).</w:t>
      </w:r>
      <w:r>
        <w:rPr>
          <w:lang w:val="en-GB"/>
        </w:rPr>
        <w:t xml:space="preserve"> </w:t>
      </w:r>
      <w:r w:rsidRPr="00566383">
        <w:rPr>
          <w:lang w:val="en-GB"/>
        </w:rPr>
        <w:t xml:space="preserve">According to Wieczorek et al. (2024), catalysts used in glycolysis can be classified as either homogeneous or heterogeneous. Homogeneous catalysts are preferred for their high activity, efficiency, </w:t>
      </w:r>
      <w:r w:rsidRPr="006D0B7F">
        <w:rPr>
          <w:lang w:val="en-GB"/>
        </w:rPr>
        <w:t xml:space="preserve">and ease of use, but they are difficult to separate from the reaction mixture after completion. Heterogeneous catalysts, on the other hand, are easier to recover, but typically have a lower active surface area. A promising compromise between the advantages of both types is offered by magnetic nanoparticles, which combine a high surface-to-volume ratio (due to their nanometric size) with easy separation via magnetic recovery. </w:t>
      </w:r>
      <w:r w:rsidR="003F6AC2" w:rsidRPr="006D0B7F">
        <w:rPr>
          <w:lang w:val="en-GB"/>
        </w:rPr>
        <w:t>For this reason, a Fe</w:t>
      </w:r>
      <w:r w:rsidR="003F6AC2" w:rsidRPr="006D0B7F">
        <w:rPr>
          <w:vertAlign w:val="subscript"/>
          <w:lang w:val="en-GB"/>
        </w:rPr>
        <w:t>3</w:t>
      </w:r>
      <w:r w:rsidR="003F6AC2" w:rsidRPr="006D0B7F">
        <w:rPr>
          <w:lang w:val="en-GB"/>
        </w:rPr>
        <w:t>O</w:t>
      </w:r>
      <w:r w:rsidR="003F6AC2" w:rsidRPr="006D0B7F">
        <w:rPr>
          <w:vertAlign w:val="subscript"/>
          <w:lang w:val="en-GB"/>
        </w:rPr>
        <w:t>4</w:t>
      </w:r>
      <w:r w:rsidR="003F6AC2" w:rsidRPr="006D0B7F">
        <w:rPr>
          <w:lang w:val="en-GB"/>
        </w:rPr>
        <w:t xml:space="preserve">@MgAl </w:t>
      </w:r>
      <w:r w:rsidR="00A25F14" w:rsidRPr="006D0B7F">
        <w:rPr>
          <w:lang w:val="en-GB"/>
        </w:rPr>
        <w:t>nano catalyst</w:t>
      </w:r>
      <w:r w:rsidR="003F6AC2" w:rsidRPr="006D0B7F">
        <w:rPr>
          <w:lang w:val="en-GB"/>
        </w:rPr>
        <w:t xml:space="preserve"> </w:t>
      </w:r>
      <w:r w:rsidR="00A25F14" w:rsidRPr="006D0B7F">
        <w:rPr>
          <w:lang w:val="en-GB"/>
        </w:rPr>
        <w:t xml:space="preserve">has been </w:t>
      </w:r>
      <w:r w:rsidRPr="006D0B7F">
        <w:rPr>
          <w:lang w:val="en-GB"/>
        </w:rPr>
        <w:t>investigated</w:t>
      </w:r>
      <w:r w:rsidR="00A25F14" w:rsidRPr="006D0B7F">
        <w:rPr>
          <w:lang w:val="en-GB"/>
        </w:rPr>
        <w:t xml:space="preserve"> </w:t>
      </w:r>
      <w:r w:rsidRPr="006D0B7F">
        <w:rPr>
          <w:lang w:val="en-GB"/>
        </w:rPr>
        <w:t>for its performance in the glycolysis of polyurethane foam.</w:t>
      </w:r>
    </w:p>
    <w:p w14:paraId="5CC0984F" w14:textId="5C4A1E02" w:rsidR="00944447" w:rsidRDefault="005E1AC6" w:rsidP="005E1AC6">
      <w:pPr>
        <w:pStyle w:val="CETHeading1"/>
      </w:pPr>
      <w:r>
        <w:t>Experimental</w:t>
      </w:r>
    </w:p>
    <w:p w14:paraId="26B6A487" w14:textId="240DA2EE" w:rsidR="00D176D5" w:rsidRPr="00D176D5" w:rsidRDefault="005E1AC6" w:rsidP="00600535">
      <w:pPr>
        <w:pStyle w:val="CETheadingx"/>
      </w:pPr>
      <w:r>
        <w:t>Materials</w:t>
      </w:r>
    </w:p>
    <w:p w14:paraId="7497DAF2" w14:textId="6C91CEE0" w:rsidR="00D176D5" w:rsidRDefault="00C26B9C" w:rsidP="00600535">
      <w:pPr>
        <w:pStyle w:val="CETBodytext"/>
        <w:rPr>
          <w:lang w:val="en-GB"/>
        </w:rPr>
      </w:pPr>
      <w:r>
        <w:rPr>
          <w:lang w:val="en-GB"/>
        </w:rPr>
        <w:t>Iron (III) chloride hexahydrate (</w:t>
      </w:r>
      <w:r w:rsidR="00122395">
        <w:rPr>
          <w:lang w:val="en-GB"/>
        </w:rPr>
        <w:t>FeCl</w:t>
      </w:r>
      <w:r w:rsidR="00122395" w:rsidRPr="00122395">
        <w:rPr>
          <w:vertAlign w:val="subscript"/>
          <w:lang w:val="en-GB"/>
        </w:rPr>
        <w:t>3</w:t>
      </w:r>
      <w:r w:rsidR="00122395">
        <w:rPr>
          <w:lang w:val="en-GB"/>
        </w:rPr>
        <w:t>*6H</w:t>
      </w:r>
      <w:r w:rsidR="00122395" w:rsidRPr="00122395">
        <w:rPr>
          <w:vertAlign w:val="subscript"/>
          <w:lang w:val="en-GB"/>
        </w:rPr>
        <w:t>2</w:t>
      </w:r>
      <w:r w:rsidR="00122395">
        <w:rPr>
          <w:lang w:val="en-GB"/>
        </w:rPr>
        <w:t>O</w:t>
      </w:r>
      <w:r>
        <w:rPr>
          <w:lang w:val="en-GB"/>
        </w:rPr>
        <w:t>)</w:t>
      </w:r>
      <w:r w:rsidR="00122395">
        <w:rPr>
          <w:lang w:val="en-GB"/>
        </w:rPr>
        <w:t>,</w:t>
      </w:r>
      <w:r>
        <w:rPr>
          <w:lang w:val="en-GB"/>
        </w:rPr>
        <w:t xml:space="preserve"> iron (II) chloride tetrahydrate</w:t>
      </w:r>
      <w:r w:rsidR="00122395" w:rsidRPr="00122395">
        <w:rPr>
          <w:lang w:val="en-GB"/>
        </w:rPr>
        <w:t xml:space="preserve"> </w:t>
      </w:r>
      <w:r>
        <w:rPr>
          <w:lang w:val="en-GB"/>
        </w:rPr>
        <w:t>(</w:t>
      </w:r>
      <w:r w:rsidR="00122395">
        <w:rPr>
          <w:lang w:val="en-GB"/>
        </w:rPr>
        <w:t>FeCl</w:t>
      </w:r>
      <w:r w:rsidR="00122395" w:rsidRPr="00122395">
        <w:rPr>
          <w:vertAlign w:val="subscript"/>
          <w:lang w:val="en-GB"/>
        </w:rPr>
        <w:t>2</w:t>
      </w:r>
      <w:r w:rsidR="00122395">
        <w:rPr>
          <w:lang w:val="en-GB"/>
        </w:rPr>
        <w:t>*4H</w:t>
      </w:r>
      <w:r w:rsidR="00122395" w:rsidRPr="00122395">
        <w:rPr>
          <w:vertAlign w:val="subscript"/>
          <w:lang w:val="en-GB"/>
        </w:rPr>
        <w:t>2</w:t>
      </w:r>
      <w:r w:rsidR="00122395">
        <w:rPr>
          <w:lang w:val="en-GB"/>
        </w:rPr>
        <w:t>O</w:t>
      </w:r>
      <w:r>
        <w:rPr>
          <w:lang w:val="en-GB"/>
        </w:rPr>
        <w:t>)</w:t>
      </w:r>
      <w:r w:rsidR="00122395">
        <w:rPr>
          <w:lang w:val="en-GB"/>
        </w:rPr>
        <w:t>,</w:t>
      </w:r>
      <w:r>
        <w:rPr>
          <w:lang w:val="en-GB"/>
        </w:rPr>
        <w:t xml:space="preserve"> ammonium hydroxide</w:t>
      </w:r>
      <w:r w:rsidR="00122395">
        <w:rPr>
          <w:lang w:val="en-GB"/>
        </w:rPr>
        <w:t xml:space="preserve"> </w:t>
      </w:r>
      <w:r>
        <w:rPr>
          <w:lang w:val="en-GB"/>
        </w:rPr>
        <w:t>(</w:t>
      </w:r>
      <w:r w:rsidR="00122395">
        <w:rPr>
          <w:lang w:val="en-GB"/>
        </w:rPr>
        <w:t>NH</w:t>
      </w:r>
      <w:r w:rsidR="00122395" w:rsidRPr="00122395">
        <w:rPr>
          <w:vertAlign w:val="subscript"/>
          <w:lang w:val="en-GB"/>
        </w:rPr>
        <w:t>4</w:t>
      </w:r>
      <w:r w:rsidR="00122395">
        <w:rPr>
          <w:lang w:val="en-GB"/>
        </w:rPr>
        <w:t>OH</w:t>
      </w:r>
      <w:r>
        <w:rPr>
          <w:lang w:val="en-GB"/>
        </w:rPr>
        <w:t>)</w:t>
      </w:r>
      <w:r w:rsidR="00122395">
        <w:rPr>
          <w:lang w:val="en-GB"/>
        </w:rPr>
        <w:t>,</w:t>
      </w:r>
      <w:r>
        <w:rPr>
          <w:lang w:val="en-GB"/>
        </w:rPr>
        <w:t xml:space="preserve"> magnesium hydrate hexahydrate</w:t>
      </w:r>
      <w:r w:rsidR="00122395">
        <w:rPr>
          <w:lang w:val="en-GB"/>
        </w:rPr>
        <w:t xml:space="preserve"> </w:t>
      </w:r>
      <w:r>
        <w:rPr>
          <w:lang w:val="en-GB"/>
        </w:rPr>
        <w:t>(</w:t>
      </w:r>
      <w:proofErr w:type="gramStart"/>
      <w:r w:rsidR="00122395">
        <w:rPr>
          <w:lang w:val="en-GB"/>
        </w:rPr>
        <w:t>Mg(</w:t>
      </w:r>
      <w:proofErr w:type="gramEnd"/>
      <w:r w:rsidR="00122395">
        <w:rPr>
          <w:lang w:val="en-GB"/>
        </w:rPr>
        <w:t>NO</w:t>
      </w:r>
      <w:r w:rsidR="00122395" w:rsidRPr="00122395">
        <w:rPr>
          <w:vertAlign w:val="subscript"/>
          <w:lang w:val="en-GB"/>
        </w:rPr>
        <w:t>3</w:t>
      </w:r>
      <w:r w:rsidR="00122395">
        <w:rPr>
          <w:lang w:val="en-GB"/>
        </w:rPr>
        <w:t>)</w:t>
      </w:r>
      <w:r w:rsidR="00122395" w:rsidRPr="00122395">
        <w:rPr>
          <w:vertAlign w:val="subscript"/>
          <w:lang w:val="en-GB"/>
        </w:rPr>
        <w:t>3</w:t>
      </w:r>
      <w:r>
        <w:rPr>
          <w:lang w:val="en-GB"/>
        </w:rPr>
        <w:t>*6H</w:t>
      </w:r>
      <w:r w:rsidRPr="00C26B9C">
        <w:rPr>
          <w:vertAlign w:val="subscript"/>
          <w:lang w:val="en-GB"/>
        </w:rPr>
        <w:t>2</w:t>
      </w:r>
      <w:r>
        <w:rPr>
          <w:lang w:val="en-GB"/>
        </w:rPr>
        <w:t>O)</w:t>
      </w:r>
      <w:r w:rsidR="00122395">
        <w:rPr>
          <w:lang w:val="en-GB"/>
        </w:rPr>
        <w:t>,</w:t>
      </w:r>
      <w:r>
        <w:rPr>
          <w:lang w:val="en-GB"/>
        </w:rPr>
        <w:t xml:space="preserve"> sodium carbonate (</w:t>
      </w:r>
      <w:r w:rsidR="00122395">
        <w:rPr>
          <w:lang w:val="en-GB"/>
        </w:rPr>
        <w:t>Na</w:t>
      </w:r>
      <w:r w:rsidR="00122395" w:rsidRPr="00122395">
        <w:rPr>
          <w:vertAlign w:val="subscript"/>
          <w:lang w:val="en-GB"/>
        </w:rPr>
        <w:t>2</w:t>
      </w:r>
      <w:r w:rsidR="00122395">
        <w:rPr>
          <w:lang w:val="en-GB"/>
        </w:rPr>
        <w:t>CO</w:t>
      </w:r>
      <w:r w:rsidR="00122395" w:rsidRPr="00122395">
        <w:rPr>
          <w:vertAlign w:val="subscript"/>
          <w:lang w:val="en-GB"/>
        </w:rPr>
        <w:t>3</w:t>
      </w:r>
      <w:r>
        <w:rPr>
          <w:lang w:val="en-GB"/>
        </w:rPr>
        <w:t>), ethylene glycol, hydrochloric acid (HCl)</w:t>
      </w:r>
      <w:r w:rsidR="00313EB6">
        <w:rPr>
          <w:lang w:val="en-GB"/>
        </w:rPr>
        <w:t>,</w:t>
      </w:r>
      <w:r>
        <w:rPr>
          <w:lang w:val="en-GB"/>
        </w:rPr>
        <w:t xml:space="preserve"> and ethanol </w:t>
      </w:r>
      <w:r w:rsidR="00122395">
        <w:rPr>
          <w:lang w:val="en-GB"/>
        </w:rPr>
        <w:t>were purchased from</w:t>
      </w:r>
      <w:r>
        <w:rPr>
          <w:lang w:val="en-GB"/>
        </w:rPr>
        <w:t xml:space="preserve"> Sigma-Aldrich. Aluminium nitrate nonahydrate (</w:t>
      </w:r>
      <w:proofErr w:type="gramStart"/>
      <w:r>
        <w:rPr>
          <w:lang w:val="en-GB"/>
        </w:rPr>
        <w:t>Al(</w:t>
      </w:r>
      <w:proofErr w:type="gramEnd"/>
      <w:r>
        <w:rPr>
          <w:lang w:val="en-GB"/>
        </w:rPr>
        <w:t>NO</w:t>
      </w:r>
      <w:r w:rsidRPr="00122395">
        <w:rPr>
          <w:vertAlign w:val="subscript"/>
          <w:lang w:val="en-GB"/>
        </w:rPr>
        <w:t>3</w:t>
      </w:r>
      <w:r>
        <w:rPr>
          <w:lang w:val="en-GB"/>
        </w:rPr>
        <w:t>)</w:t>
      </w:r>
      <w:r w:rsidRPr="00122395">
        <w:rPr>
          <w:vertAlign w:val="subscript"/>
          <w:lang w:val="en-GB"/>
        </w:rPr>
        <w:t>3</w:t>
      </w:r>
      <w:r>
        <w:rPr>
          <w:lang w:val="en-GB"/>
        </w:rPr>
        <w:t>*9H</w:t>
      </w:r>
      <w:r w:rsidRPr="00C26B9C">
        <w:rPr>
          <w:vertAlign w:val="subscript"/>
          <w:lang w:val="en-GB"/>
        </w:rPr>
        <w:t>2</w:t>
      </w:r>
      <w:r>
        <w:rPr>
          <w:lang w:val="en-GB"/>
        </w:rPr>
        <w:t xml:space="preserve">O) was purchased from </w:t>
      </w:r>
      <w:proofErr w:type="spellStart"/>
      <w:r>
        <w:rPr>
          <w:lang w:val="en-GB"/>
        </w:rPr>
        <w:t>Thermo</w:t>
      </w:r>
      <w:proofErr w:type="spellEnd"/>
      <w:r>
        <w:rPr>
          <w:lang w:val="en-GB"/>
        </w:rPr>
        <w:t xml:space="preserve"> Scientific Chemicals</w:t>
      </w:r>
      <w:r w:rsidR="00313EB6">
        <w:rPr>
          <w:lang w:val="en-GB"/>
        </w:rPr>
        <w:t>,</w:t>
      </w:r>
      <w:r>
        <w:rPr>
          <w:lang w:val="en-GB"/>
        </w:rPr>
        <w:t xml:space="preserve"> and sodium hydroxide (NaOH) was purchased from Carlo Erba Reagents. All reagents were of analytical </w:t>
      </w:r>
      <w:r w:rsidRPr="00725D69">
        <w:rPr>
          <w:lang w:val="en-GB"/>
        </w:rPr>
        <w:t>grade.</w:t>
      </w:r>
      <w:r w:rsidR="00BB3972" w:rsidRPr="00725D69">
        <w:rPr>
          <w:lang w:val="en-GB"/>
        </w:rPr>
        <w:t xml:space="preserve"> Polyurethane foam was provided by</w:t>
      </w:r>
      <w:r w:rsidR="001B1F42" w:rsidRPr="00725D69">
        <w:rPr>
          <w:lang w:val="en-GB"/>
        </w:rPr>
        <w:t xml:space="preserve"> </w:t>
      </w:r>
      <w:r w:rsidR="00725D69" w:rsidRPr="00725D69">
        <w:rPr>
          <w:lang w:val="en-GB"/>
        </w:rPr>
        <w:t xml:space="preserve">C&amp;G Kiel Italia </w:t>
      </w:r>
      <w:proofErr w:type="spellStart"/>
      <w:r w:rsidR="00725D69" w:rsidRPr="00725D69">
        <w:rPr>
          <w:lang w:val="en-GB"/>
        </w:rPr>
        <w:t>S.r.l</w:t>
      </w:r>
      <w:proofErr w:type="spellEnd"/>
      <w:r w:rsidR="00725D69" w:rsidRPr="00725D69">
        <w:rPr>
          <w:lang w:val="en-GB"/>
        </w:rPr>
        <w:t>.</w:t>
      </w:r>
    </w:p>
    <w:p w14:paraId="11BB177F" w14:textId="22FE8843" w:rsidR="00944447" w:rsidRDefault="00D176D5" w:rsidP="00D176D5">
      <w:pPr>
        <w:pStyle w:val="CETheadingx"/>
      </w:pPr>
      <w:r>
        <w:t>Preparation of Fe</w:t>
      </w:r>
      <w:r w:rsidRPr="00D176D5">
        <w:rPr>
          <w:vertAlign w:val="subscript"/>
        </w:rPr>
        <w:t>3</w:t>
      </w:r>
      <w:r>
        <w:t>O</w:t>
      </w:r>
      <w:r w:rsidRPr="00D176D5">
        <w:rPr>
          <w:vertAlign w:val="subscript"/>
        </w:rPr>
        <w:t>4</w:t>
      </w:r>
      <w:r>
        <w:t xml:space="preserve">@MgAl </w:t>
      </w:r>
      <w:r w:rsidR="00566383">
        <w:t>n</w:t>
      </w:r>
      <w:r>
        <w:t>anoparticles</w:t>
      </w:r>
    </w:p>
    <w:p w14:paraId="4A73245B" w14:textId="6C0197A6" w:rsidR="00566383" w:rsidRPr="00566383" w:rsidRDefault="00C27A4D" w:rsidP="00566383">
      <w:pPr>
        <w:pStyle w:val="CETBodytext"/>
        <w:rPr>
          <w:lang w:val="en-GB"/>
        </w:rPr>
      </w:pPr>
      <w:r>
        <w:rPr>
          <w:lang w:val="en-GB"/>
        </w:rPr>
        <w:t xml:space="preserve">The </w:t>
      </w:r>
      <w:r w:rsidR="00566383">
        <w:rPr>
          <w:lang w:val="en-GB"/>
        </w:rPr>
        <w:t xml:space="preserve">synthesis of the </w:t>
      </w:r>
      <w:r w:rsidR="00032F73">
        <w:rPr>
          <w:lang w:val="en-GB"/>
        </w:rPr>
        <w:t>Fe</w:t>
      </w:r>
      <w:r w:rsidR="00032F73" w:rsidRPr="00032F73">
        <w:rPr>
          <w:vertAlign w:val="subscript"/>
          <w:lang w:val="en-GB"/>
        </w:rPr>
        <w:t>3</w:t>
      </w:r>
      <w:r w:rsidR="00032F73">
        <w:rPr>
          <w:lang w:val="en-GB"/>
        </w:rPr>
        <w:t>O</w:t>
      </w:r>
      <w:r w:rsidR="00032F73" w:rsidRPr="00032F73">
        <w:rPr>
          <w:vertAlign w:val="subscript"/>
          <w:lang w:val="en-GB"/>
        </w:rPr>
        <w:t>4</w:t>
      </w:r>
      <w:r w:rsidR="00032F73">
        <w:rPr>
          <w:lang w:val="en-GB"/>
        </w:rPr>
        <w:t xml:space="preserve">@MgAl </w:t>
      </w:r>
      <w:r w:rsidR="00032F73" w:rsidRPr="006D0B7F">
        <w:rPr>
          <w:lang w:val="en-GB"/>
        </w:rPr>
        <w:t>nano</w:t>
      </w:r>
      <w:r w:rsidRPr="006D0B7F">
        <w:rPr>
          <w:lang w:val="en-GB"/>
        </w:rPr>
        <w:t xml:space="preserve">composite was </w:t>
      </w:r>
      <w:r w:rsidR="00A25F14" w:rsidRPr="006D0B7F">
        <w:rPr>
          <w:lang w:val="en-GB"/>
        </w:rPr>
        <w:t>performed</w:t>
      </w:r>
      <w:r w:rsidRPr="006D0B7F">
        <w:rPr>
          <w:lang w:val="en-GB"/>
        </w:rPr>
        <w:t xml:space="preserve"> in a two-s</w:t>
      </w:r>
      <w:r>
        <w:rPr>
          <w:lang w:val="en-GB"/>
        </w:rPr>
        <w:t>tep procedure</w:t>
      </w:r>
      <w:r w:rsidR="00E9120E">
        <w:rPr>
          <w:lang w:val="en-GB"/>
        </w:rPr>
        <w:t xml:space="preserve">. </w:t>
      </w:r>
      <w:r w:rsidR="00566383" w:rsidRPr="00566383">
        <w:rPr>
          <w:lang w:val="en-GB"/>
        </w:rPr>
        <w:t xml:space="preserve">In the first step, </w:t>
      </w:r>
      <w:proofErr w:type="spellStart"/>
      <w:r w:rsidR="00566383" w:rsidRPr="00566383">
        <w:rPr>
          <w:lang w:val="en-GB"/>
        </w:rPr>
        <w:t>Fe</w:t>
      </w:r>
      <w:r w:rsidR="00566383" w:rsidRPr="00566383">
        <w:rPr>
          <w:rFonts w:ascii="Cambria Math" w:hAnsi="Cambria Math" w:cs="Cambria Math"/>
          <w:lang w:val="en-GB"/>
        </w:rPr>
        <w:t>₃</w:t>
      </w:r>
      <w:r w:rsidR="00566383" w:rsidRPr="00566383">
        <w:rPr>
          <w:lang w:val="en-GB"/>
        </w:rPr>
        <w:t>O</w:t>
      </w:r>
      <w:proofErr w:type="spellEnd"/>
      <w:r w:rsidR="00566383" w:rsidRPr="00566383">
        <w:rPr>
          <w:rFonts w:ascii="Cambria Math" w:hAnsi="Cambria Math" w:cs="Cambria Math"/>
          <w:lang w:val="en-GB"/>
        </w:rPr>
        <w:t>₄</w:t>
      </w:r>
      <w:r w:rsidR="00566383" w:rsidRPr="00566383">
        <w:rPr>
          <w:lang w:val="en-GB"/>
        </w:rPr>
        <w:t xml:space="preserve"> nanoparticles were synthesized by dissolving 10.1 g of </w:t>
      </w:r>
      <w:proofErr w:type="spellStart"/>
      <w:r w:rsidR="00566383" w:rsidRPr="00566383">
        <w:rPr>
          <w:lang w:val="en-GB"/>
        </w:rPr>
        <w:t>FeCl</w:t>
      </w:r>
      <w:proofErr w:type="spellEnd"/>
      <w:r w:rsidR="00566383" w:rsidRPr="00566383">
        <w:rPr>
          <w:rFonts w:ascii="Cambria Math" w:hAnsi="Cambria Math" w:cs="Cambria Math"/>
          <w:lang w:val="en-GB"/>
        </w:rPr>
        <w:t>₃</w:t>
      </w:r>
      <w:r w:rsidR="00566383" w:rsidRPr="00566383">
        <w:rPr>
          <w:rFonts w:cs="Arial"/>
          <w:lang w:val="en-GB"/>
        </w:rPr>
        <w:t>·</w:t>
      </w:r>
      <w:r w:rsidR="00566383" w:rsidRPr="00566383">
        <w:rPr>
          <w:lang w:val="en-GB"/>
        </w:rPr>
        <w:t>6H</w:t>
      </w:r>
      <w:r w:rsidR="00566383" w:rsidRPr="00566383">
        <w:rPr>
          <w:rFonts w:ascii="Cambria Math" w:hAnsi="Cambria Math" w:cs="Cambria Math"/>
          <w:lang w:val="en-GB"/>
        </w:rPr>
        <w:t>₂</w:t>
      </w:r>
      <w:r w:rsidR="00566383" w:rsidRPr="00566383">
        <w:rPr>
          <w:lang w:val="en-GB"/>
        </w:rPr>
        <w:t xml:space="preserve">O and 5 g of </w:t>
      </w:r>
      <w:proofErr w:type="spellStart"/>
      <w:r w:rsidR="00566383" w:rsidRPr="00566383">
        <w:rPr>
          <w:lang w:val="en-GB"/>
        </w:rPr>
        <w:t>FeCl</w:t>
      </w:r>
      <w:proofErr w:type="spellEnd"/>
      <w:r w:rsidR="00566383" w:rsidRPr="00566383">
        <w:rPr>
          <w:rFonts w:ascii="Cambria Math" w:hAnsi="Cambria Math" w:cs="Cambria Math"/>
          <w:lang w:val="en-GB"/>
        </w:rPr>
        <w:t>₂</w:t>
      </w:r>
      <w:r w:rsidR="00566383" w:rsidRPr="00566383">
        <w:rPr>
          <w:rFonts w:cs="Arial"/>
          <w:lang w:val="en-GB"/>
        </w:rPr>
        <w:t>·</w:t>
      </w:r>
      <w:r w:rsidR="00566383" w:rsidRPr="00566383">
        <w:rPr>
          <w:lang w:val="en-GB"/>
        </w:rPr>
        <w:t>4H</w:t>
      </w:r>
      <w:r w:rsidR="00566383" w:rsidRPr="00566383">
        <w:rPr>
          <w:rFonts w:ascii="Cambria Math" w:hAnsi="Cambria Math" w:cs="Cambria Math"/>
          <w:lang w:val="en-GB"/>
        </w:rPr>
        <w:t>₂</w:t>
      </w:r>
      <w:r w:rsidR="00566383" w:rsidRPr="00566383">
        <w:rPr>
          <w:lang w:val="en-GB"/>
        </w:rPr>
        <w:t>O in 150 mL of deionized water. The solution was vigorously stirred at 85</w:t>
      </w:r>
      <w:r w:rsidR="00566383" w:rsidRPr="00566383">
        <w:rPr>
          <w:rFonts w:cs="Arial"/>
          <w:lang w:val="en-GB"/>
        </w:rPr>
        <w:t> °</w:t>
      </w:r>
      <w:r w:rsidR="00566383" w:rsidRPr="00566383">
        <w:rPr>
          <w:lang w:val="en-GB"/>
        </w:rPr>
        <w:t>C under a nitrogen atmosphere. Once the temperature reached 85</w:t>
      </w:r>
      <w:r w:rsidR="00566383" w:rsidRPr="00566383">
        <w:rPr>
          <w:rFonts w:cs="Arial"/>
          <w:lang w:val="en-GB"/>
        </w:rPr>
        <w:t> °</w:t>
      </w:r>
      <w:r w:rsidR="00566383" w:rsidRPr="00566383">
        <w:rPr>
          <w:lang w:val="en-GB"/>
        </w:rPr>
        <w:t>C, 25 mL of NH</w:t>
      </w:r>
      <w:r w:rsidR="00566383" w:rsidRPr="00566383">
        <w:rPr>
          <w:rFonts w:ascii="Cambria Math" w:hAnsi="Cambria Math" w:cs="Cambria Math"/>
          <w:lang w:val="en-GB"/>
        </w:rPr>
        <w:t>₄</w:t>
      </w:r>
      <w:r w:rsidR="00566383" w:rsidRPr="00566383">
        <w:rPr>
          <w:lang w:val="en-GB"/>
        </w:rPr>
        <w:t xml:space="preserve">OH were added dropwise, and the reaction was maintained under stirring for 15 minutes. The mixture was then allowed to cool to room temperature. The resulting </w:t>
      </w:r>
      <w:proofErr w:type="spellStart"/>
      <w:r w:rsidR="00566383" w:rsidRPr="00566383">
        <w:rPr>
          <w:lang w:val="en-GB"/>
        </w:rPr>
        <w:t>Fe</w:t>
      </w:r>
      <w:r w:rsidR="00566383" w:rsidRPr="00566383">
        <w:rPr>
          <w:rFonts w:ascii="Cambria Math" w:hAnsi="Cambria Math" w:cs="Cambria Math"/>
          <w:lang w:val="en-GB"/>
        </w:rPr>
        <w:t>₃</w:t>
      </w:r>
      <w:r w:rsidR="00566383" w:rsidRPr="00566383">
        <w:rPr>
          <w:lang w:val="en-GB"/>
        </w:rPr>
        <w:t>O</w:t>
      </w:r>
      <w:proofErr w:type="spellEnd"/>
      <w:r w:rsidR="00566383" w:rsidRPr="00566383">
        <w:rPr>
          <w:rFonts w:ascii="Cambria Math" w:hAnsi="Cambria Math" w:cs="Cambria Math"/>
          <w:lang w:val="en-GB"/>
        </w:rPr>
        <w:t>₄</w:t>
      </w:r>
      <w:r w:rsidR="00566383" w:rsidRPr="00566383">
        <w:rPr>
          <w:lang w:val="en-GB"/>
        </w:rPr>
        <w:t xml:space="preserve"> nanoparticles were separated using an external magnet, washed several times with deionized water, and dried at 60 °C for 10 hours.</w:t>
      </w:r>
      <w:r w:rsidR="00566383">
        <w:rPr>
          <w:lang w:val="en-GB"/>
        </w:rPr>
        <w:t xml:space="preserve"> </w:t>
      </w:r>
      <w:r w:rsidR="00566383" w:rsidRPr="00566383">
        <w:rPr>
          <w:lang w:val="en-GB"/>
        </w:rPr>
        <w:t xml:space="preserve">In the second step, the </w:t>
      </w:r>
      <w:proofErr w:type="spellStart"/>
      <w:r w:rsidR="00566383" w:rsidRPr="00566383">
        <w:rPr>
          <w:lang w:val="en-GB"/>
        </w:rPr>
        <w:t>Fe</w:t>
      </w:r>
      <w:r w:rsidR="00566383" w:rsidRPr="00566383">
        <w:rPr>
          <w:rFonts w:ascii="Cambria Math" w:hAnsi="Cambria Math" w:cs="Cambria Math"/>
          <w:lang w:val="en-GB"/>
        </w:rPr>
        <w:t>₃</w:t>
      </w:r>
      <w:r w:rsidR="00566383" w:rsidRPr="00566383">
        <w:rPr>
          <w:lang w:val="en-GB"/>
        </w:rPr>
        <w:t>O</w:t>
      </w:r>
      <w:proofErr w:type="spellEnd"/>
      <w:r w:rsidR="00566383" w:rsidRPr="00566383">
        <w:rPr>
          <w:rFonts w:ascii="Cambria Math" w:hAnsi="Cambria Math" w:cs="Cambria Math"/>
          <w:lang w:val="en-GB"/>
        </w:rPr>
        <w:t>₄</w:t>
      </w:r>
      <w:r w:rsidR="00566383" w:rsidRPr="00566383">
        <w:rPr>
          <w:lang w:val="en-GB"/>
        </w:rPr>
        <w:t>@</w:t>
      </w:r>
      <w:proofErr w:type="spellStart"/>
      <w:r w:rsidR="00566383" w:rsidRPr="00566383">
        <w:rPr>
          <w:lang w:val="en-GB"/>
        </w:rPr>
        <w:t>MgAl</w:t>
      </w:r>
      <w:proofErr w:type="spellEnd"/>
      <w:r w:rsidR="00566383" w:rsidRPr="00566383">
        <w:rPr>
          <w:lang w:val="en-GB"/>
        </w:rPr>
        <w:t xml:space="preserve"> nanocomposite was synthesized by dispersing 1.93 g of </w:t>
      </w:r>
      <w:proofErr w:type="spellStart"/>
      <w:r w:rsidR="00566383" w:rsidRPr="00566383">
        <w:rPr>
          <w:lang w:val="en-GB"/>
        </w:rPr>
        <w:t>Fe</w:t>
      </w:r>
      <w:r w:rsidR="00566383" w:rsidRPr="00566383">
        <w:rPr>
          <w:rFonts w:ascii="Cambria Math" w:hAnsi="Cambria Math" w:cs="Cambria Math"/>
          <w:lang w:val="en-GB"/>
        </w:rPr>
        <w:t>₃</w:t>
      </w:r>
      <w:r w:rsidR="00566383" w:rsidRPr="00566383">
        <w:rPr>
          <w:lang w:val="en-GB"/>
        </w:rPr>
        <w:t>O</w:t>
      </w:r>
      <w:proofErr w:type="spellEnd"/>
      <w:r w:rsidR="00566383" w:rsidRPr="00566383">
        <w:rPr>
          <w:rFonts w:ascii="Cambria Math" w:hAnsi="Cambria Math" w:cs="Cambria Math"/>
          <w:lang w:val="en-GB"/>
        </w:rPr>
        <w:t>₄</w:t>
      </w:r>
      <w:r w:rsidR="00566383" w:rsidRPr="00566383">
        <w:rPr>
          <w:lang w:val="en-GB"/>
        </w:rPr>
        <w:t xml:space="preserve"> nanoparticles in 150 mL of deionized water, followed by sonication for 15 minutes to ensure uniform dispersion. The suspension was then stirred vigorously at 60</w:t>
      </w:r>
      <w:r w:rsidR="00566383" w:rsidRPr="00566383">
        <w:rPr>
          <w:rFonts w:cs="Arial"/>
          <w:lang w:val="en-GB"/>
        </w:rPr>
        <w:t> °</w:t>
      </w:r>
      <w:r w:rsidR="00566383" w:rsidRPr="00566383">
        <w:rPr>
          <w:lang w:val="en-GB"/>
        </w:rPr>
        <w:t xml:space="preserve">C, while 50 mL of an aqueous solution containing 12.8 g of </w:t>
      </w:r>
      <w:proofErr w:type="gramStart"/>
      <w:r w:rsidR="00566383" w:rsidRPr="00566383">
        <w:rPr>
          <w:lang w:val="en-GB"/>
        </w:rPr>
        <w:t>Mg(</w:t>
      </w:r>
      <w:proofErr w:type="gramEnd"/>
      <w:r w:rsidR="00566383" w:rsidRPr="00566383">
        <w:rPr>
          <w:lang w:val="en-GB"/>
        </w:rPr>
        <w:t>NO</w:t>
      </w:r>
      <w:proofErr w:type="gramStart"/>
      <w:r w:rsidR="00566383" w:rsidRPr="00566383">
        <w:rPr>
          <w:rFonts w:ascii="Cambria Math" w:hAnsi="Cambria Math" w:cs="Cambria Math"/>
          <w:lang w:val="en-GB"/>
        </w:rPr>
        <w:t>₃</w:t>
      </w:r>
      <w:r w:rsidR="00566383" w:rsidRPr="00566383">
        <w:rPr>
          <w:lang w:val="en-GB"/>
        </w:rPr>
        <w:t>)</w:t>
      </w:r>
      <w:r w:rsidR="00566383" w:rsidRPr="00566383">
        <w:rPr>
          <w:rFonts w:ascii="Cambria Math" w:hAnsi="Cambria Math" w:cs="Cambria Math"/>
          <w:lang w:val="en-GB"/>
        </w:rPr>
        <w:t>₂</w:t>
      </w:r>
      <w:proofErr w:type="gramEnd"/>
      <w:r w:rsidR="00566383" w:rsidRPr="00566383">
        <w:rPr>
          <w:rFonts w:cs="Arial"/>
          <w:lang w:val="en-GB"/>
        </w:rPr>
        <w:t>·</w:t>
      </w:r>
      <w:r w:rsidR="00566383" w:rsidRPr="00566383">
        <w:rPr>
          <w:lang w:val="en-GB"/>
        </w:rPr>
        <w:t>6H</w:t>
      </w:r>
      <w:r w:rsidR="00566383" w:rsidRPr="00566383">
        <w:rPr>
          <w:rFonts w:ascii="Cambria Math" w:hAnsi="Cambria Math" w:cs="Cambria Math"/>
          <w:lang w:val="en-GB"/>
        </w:rPr>
        <w:t>₂</w:t>
      </w:r>
      <w:r w:rsidR="00566383" w:rsidRPr="00566383">
        <w:rPr>
          <w:lang w:val="en-GB"/>
        </w:rPr>
        <w:t xml:space="preserve">O and 9.38 g of </w:t>
      </w:r>
      <w:proofErr w:type="gramStart"/>
      <w:r w:rsidR="00566383" w:rsidRPr="00566383">
        <w:rPr>
          <w:lang w:val="en-GB"/>
        </w:rPr>
        <w:t>Al(</w:t>
      </w:r>
      <w:proofErr w:type="gramEnd"/>
      <w:r w:rsidR="00566383" w:rsidRPr="00566383">
        <w:rPr>
          <w:lang w:val="en-GB"/>
        </w:rPr>
        <w:t>NO</w:t>
      </w:r>
      <w:proofErr w:type="gramStart"/>
      <w:r w:rsidR="00566383" w:rsidRPr="00566383">
        <w:rPr>
          <w:rFonts w:ascii="Cambria Math" w:hAnsi="Cambria Math" w:cs="Cambria Math"/>
          <w:lang w:val="en-GB"/>
        </w:rPr>
        <w:t>₃</w:t>
      </w:r>
      <w:r w:rsidR="00566383" w:rsidRPr="00566383">
        <w:rPr>
          <w:lang w:val="en-GB"/>
        </w:rPr>
        <w:t>)</w:t>
      </w:r>
      <w:r w:rsidR="00566383" w:rsidRPr="00566383">
        <w:rPr>
          <w:rFonts w:ascii="Cambria Math" w:hAnsi="Cambria Math" w:cs="Cambria Math"/>
          <w:lang w:val="en-GB"/>
        </w:rPr>
        <w:t>₃</w:t>
      </w:r>
      <w:proofErr w:type="gramEnd"/>
      <w:r w:rsidR="00566383" w:rsidRPr="00566383">
        <w:rPr>
          <w:rFonts w:cs="Arial"/>
          <w:lang w:val="en-GB"/>
        </w:rPr>
        <w:t>·</w:t>
      </w:r>
      <w:r w:rsidR="00566383" w:rsidRPr="00566383">
        <w:rPr>
          <w:lang w:val="en-GB"/>
        </w:rPr>
        <w:t>9H</w:t>
      </w:r>
      <w:r w:rsidR="00566383" w:rsidRPr="00566383">
        <w:rPr>
          <w:rFonts w:ascii="Cambria Math" w:hAnsi="Cambria Math" w:cs="Cambria Math"/>
          <w:lang w:val="en-GB"/>
        </w:rPr>
        <w:t>₂</w:t>
      </w:r>
      <w:r w:rsidR="00566383" w:rsidRPr="00566383">
        <w:rPr>
          <w:lang w:val="en-GB"/>
        </w:rPr>
        <w:t>O was added dropwise.</w:t>
      </w:r>
    </w:p>
    <w:p w14:paraId="3F1AADDA" w14:textId="374535CB" w:rsidR="00E9120E" w:rsidRDefault="00566383" w:rsidP="00566383">
      <w:pPr>
        <w:pStyle w:val="CETBodytext"/>
        <w:rPr>
          <w:lang w:val="en-GB"/>
        </w:rPr>
      </w:pPr>
      <w:r w:rsidRPr="00566383">
        <w:rPr>
          <w:lang w:val="en-GB"/>
        </w:rPr>
        <w:t xml:space="preserve">Subsequently, the pH was adjusted to 10 by adding a solution of 6.75 g of NaOH and 5.29 g of </w:t>
      </w:r>
      <w:proofErr w:type="spellStart"/>
      <w:r w:rsidRPr="00566383">
        <w:rPr>
          <w:lang w:val="en-GB"/>
        </w:rPr>
        <w:t>Na</w:t>
      </w:r>
      <w:r w:rsidRPr="00566383">
        <w:rPr>
          <w:rFonts w:ascii="Cambria Math" w:hAnsi="Cambria Math" w:cs="Cambria Math"/>
          <w:lang w:val="en-GB"/>
        </w:rPr>
        <w:t>₂</w:t>
      </w:r>
      <w:r w:rsidRPr="00566383">
        <w:rPr>
          <w:lang w:val="en-GB"/>
        </w:rPr>
        <w:t>CO</w:t>
      </w:r>
      <w:proofErr w:type="spellEnd"/>
      <w:r w:rsidRPr="00566383">
        <w:rPr>
          <w:rFonts w:ascii="Cambria Math" w:hAnsi="Cambria Math" w:cs="Cambria Math"/>
          <w:lang w:val="en-GB"/>
        </w:rPr>
        <w:t>₃</w:t>
      </w:r>
      <w:r w:rsidRPr="00566383">
        <w:rPr>
          <w:lang w:val="en-GB"/>
        </w:rPr>
        <w:t xml:space="preserve"> dissolved in 50 mL of water. The resulting precipitate was washed with deionized water, magnetically separated, and then dried at 60</w:t>
      </w:r>
      <w:r w:rsidRPr="00566383">
        <w:rPr>
          <w:rFonts w:cs="Arial"/>
          <w:lang w:val="en-GB"/>
        </w:rPr>
        <w:t> °</w:t>
      </w:r>
      <w:r w:rsidRPr="00566383">
        <w:rPr>
          <w:lang w:val="en-GB"/>
        </w:rPr>
        <w:t>C for 10 hours.</w:t>
      </w:r>
    </w:p>
    <w:p w14:paraId="4C47D1C4" w14:textId="4F385F0C" w:rsidR="00BB3972" w:rsidRDefault="00BB3972" w:rsidP="00BB3972">
      <w:pPr>
        <w:pStyle w:val="CETheadingx"/>
      </w:pPr>
      <w:r>
        <w:lastRenderedPageBreak/>
        <w:t>Glycolysis reaction</w:t>
      </w:r>
    </w:p>
    <w:p w14:paraId="15A75FD8" w14:textId="564E129D" w:rsidR="00566383" w:rsidRPr="00566383" w:rsidRDefault="00566383" w:rsidP="00566383">
      <w:pPr>
        <w:pStyle w:val="CETBodytext"/>
        <w:rPr>
          <w:lang w:val="en-GB"/>
        </w:rPr>
      </w:pPr>
      <w:r w:rsidRPr="00566383">
        <w:rPr>
          <w:lang w:val="en-GB"/>
        </w:rPr>
        <w:t>To carry out polyurethane foam glycolysis, the first step involved reducing the particle size of the material. This was achieved using an ultra-centrifugal mill (ZM 200, RETSCH) equipped with a 0.8 mm sieve.</w:t>
      </w:r>
      <w:r>
        <w:rPr>
          <w:lang w:val="en-GB"/>
        </w:rPr>
        <w:t xml:space="preserve"> </w:t>
      </w:r>
      <w:r w:rsidRPr="00566383">
        <w:rPr>
          <w:lang w:val="en-GB"/>
        </w:rPr>
        <w:t>The glycolysis reaction was conducted in 15 g of diethylene glycol (DEG), with 0.195 g of catalyst, under vigorous stirring at 190 °C in a nitrogen atmosphere, using a water-cooled reflux condenser. Once the reaction temperature was reached, polyurethane foam powder was gradually added at regular intervals (2.5 g every 15 minutes). After the final addition, the system was maintained at reaction conditions for an additional hour, then cooled to room temperature.</w:t>
      </w:r>
      <w:r>
        <w:rPr>
          <w:lang w:val="en-GB"/>
        </w:rPr>
        <w:t xml:space="preserve"> </w:t>
      </w:r>
      <w:r w:rsidRPr="00566383">
        <w:rPr>
          <w:lang w:val="en-GB"/>
        </w:rPr>
        <w:t>At the end of the reaction, the mixture separated into two distinct phases: the upper phase containing the recovered polyol, and the lower phase composed of residual glycol and reaction by-products.</w:t>
      </w:r>
    </w:p>
    <w:p w14:paraId="2CF546A7" w14:textId="5CCFC779" w:rsidR="003740A4" w:rsidRDefault="00566383" w:rsidP="00566383">
      <w:pPr>
        <w:pStyle w:val="CETBodytext"/>
        <w:rPr>
          <w:lang w:val="en-GB"/>
        </w:rPr>
      </w:pPr>
      <w:r w:rsidRPr="00566383">
        <w:rPr>
          <w:lang w:val="en-GB"/>
        </w:rPr>
        <w:t>To extract the polyol, acidified water (pH 4–5) was added at a 1:1 weight ratio to the polyol phase. The extraction was carried out at 60 °C under a nitrogen atmosphere, with vigorous stirring and reflux condensation for 10 minutes.</w:t>
      </w:r>
      <w:r>
        <w:rPr>
          <w:lang w:val="en-GB"/>
        </w:rPr>
        <w:t xml:space="preserve"> </w:t>
      </w:r>
      <w:r w:rsidRPr="00566383">
        <w:rPr>
          <w:lang w:val="en-GB"/>
        </w:rPr>
        <w:t xml:space="preserve">Following extraction, the mixture was allowed to cool to room temperature and then centrifuged at 3000 rpm for 10 minutes to isolate the extracted polyol. The final product was dried in an oven at 100 °C for 10 </w:t>
      </w:r>
      <w:r w:rsidR="006D0B7F">
        <w:rPr>
          <w:lang w:val="en-GB"/>
        </w:rPr>
        <w:t>hours</w:t>
      </w:r>
      <w:r>
        <w:rPr>
          <w:lang w:val="en-GB"/>
        </w:rPr>
        <w:t>.</w:t>
      </w:r>
    </w:p>
    <w:p w14:paraId="067FBB19" w14:textId="2DB1ED39" w:rsidR="00D176D5" w:rsidRDefault="00D176D5" w:rsidP="00D176D5">
      <w:pPr>
        <w:pStyle w:val="CETHeading1"/>
      </w:pPr>
      <w:r>
        <w:t>Results and discussion</w:t>
      </w:r>
    </w:p>
    <w:p w14:paraId="73B442E4" w14:textId="3E63737C" w:rsidR="00D176D5" w:rsidRPr="00D176D5" w:rsidRDefault="00D176D5" w:rsidP="00D176D5">
      <w:pPr>
        <w:pStyle w:val="CETheadingx"/>
      </w:pPr>
      <w:r>
        <w:t>Fe</w:t>
      </w:r>
      <w:r w:rsidRPr="00D176D5">
        <w:rPr>
          <w:vertAlign w:val="subscript"/>
        </w:rPr>
        <w:t>3</w:t>
      </w:r>
      <w:r>
        <w:t>O</w:t>
      </w:r>
      <w:r w:rsidRPr="00D176D5">
        <w:rPr>
          <w:vertAlign w:val="subscript"/>
        </w:rPr>
        <w:t>4</w:t>
      </w:r>
      <w:r>
        <w:t xml:space="preserve">@MgAl </w:t>
      </w:r>
      <w:r w:rsidR="00856147">
        <w:t>N</w:t>
      </w:r>
      <w:r>
        <w:t xml:space="preserve">anoparticles </w:t>
      </w:r>
      <w:r w:rsidR="00856147">
        <w:t>C</w:t>
      </w:r>
      <w:r>
        <w:t>haracterization</w:t>
      </w:r>
    </w:p>
    <w:p w14:paraId="2032AA12" w14:textId="31219357" w:rsidR="004F749F" w:rsidRPr="006D0B7F" w:rsidRDefault="009B7F5D" w:rsidP="00BA3D29">
      <w:pPr>
        <w:pStyle w:val="CETBodytext"/>
        <w:rPr>
          <w:lang w:val="en-GB"/>
        </w:rPr>
      </w:pPr>
      <w:r w:rsidRPr="006D0B7F">
        <w:rPr>
          <w:lang w:val="en-GB"/>
        </w:rPr>
        <w:t xml:space="preserve">The synthesized </w:t>
      </w:r>
      <w:proofErr w:type="spellStart"/>
      <w:r w:rsidRPr="006D0B7F">
        <w:rPr>
          <w:lang w:val="en-GB"/>
        </w:rPr>
        <w:t>Fe</w:t>
      </w:r>
      <w:r w:rsidRPr="006D0B7F">
        <w:rPr>
          <w:rFonts w:ascii="Cambria Math" w:hAnsi="Cambria Math" w:cs="Cambria Math"/>
          <w:lang w:val="en-GB"/>
        </w:rPr>
        <w:t>₃</w:t>
      </w:r>
      <w:r w:rsidRPr="006D0B7F">
        <w:rPr>
          <w:lang w:val="en-GB"/>
        </w:rPr>
        <w:t>O</w:t>
      </w:r>
      <w:proofErr w:type="spellEnd"/>
      <w:r w:rsidRPr="006D0B7F">
        <w:rPr>
          <w:rFonts w:ascii="Cambria Math" w:hAnsi="Cambria Math" w:cs="Cambria Math"/>
          <w:lang w:val="en-GB"/>
        </w:rPr>
        <w:t>₄</w:t>
      </w:r>
      <w:r w:rsidRPr="006D0B7F">
        <w:rPr>
          <w:lang w:val="en-GB"/>
        </w:rPr>
        <w:t>@</w:t>
      </w:r>
      <w:proofErr w:type="spellStart"/>
      <w:r w:rsidRPr="006D0B7F">
        <w:rPr>
          <w:lang w:val="en-GB"/>
        </w:rPr>
        <w:t>MgAl</w:t>
      </w:r>
      <w:proofErr w:type="spellEnd"/>
      <w:r w:rsidRPr="006D0B7F">
        <w:rPr>
          <w:lang w:val="en-GB"/>
        </w:rPr>
        <w:t xml:space="preserve"> nanocomposite was characterized using a combination of analytical techniques, including Fourier-transform infrared (FT-IR) spectroscopy, thermogravimetric analysis (TGA), X-ray diffraction (XRD), transmission electron microscopy (TEM), and scanning electron microscopy (SEM), coupled with energy-dispersive X-ray spectroscopy (EDX) for elemental analysis.</w:t>
      </w:r>
      <w:r w:rsidR="002A17D8" w:rsidRPr="006D0B7F">
        <w:rPr>
          <w:lang w:val="en-GB"/>
        </w:rPr>
        <w:t xml:space="preserve"> </w:t>
      </w:r>
    </w:p>
    <w:p w14:paraId="0A7C8A21" w14:textId="5DD37224" w:rsidR="00BA3D29" w:rsidRPr="00AB660B" w:rsidRDefault="00856147" w:rsidP="00BA3D29">
      <w:pPr>
        <w:pStyle w:val="CETBodytext"/>
        <w:rPr>
          <w:rFonts w:cs="Arial"/>
          <w:lang w:val="en-GB"/>
        </w:rPr>
      </w:pPr>
      <w:r w:rsidRPr="006D0B7F">
        <w:rPr>
          <w:lang w:val="en-GB"/>
        </w:rPr>
        <w:t xml:space="preserve">For the FT-IR spectroscopy, a Nicolet iS50 spectrophotometer was </w:t>
      </w:r>
      <w:r w:rsidR="00583203" w:rsidRPr="006D0B7F">
        <w:rPr>
          <w:lang w:val="en-GB"/>
        </w:rPr>
        <w:t>utilized</w:t>
      </w:r>
      <w:r w:rsidRPr="006D0B7F">
        <w:rPr>
          <w:lang w:val="en-GB"/>
        </w:rPr>
        <w:t xml:space="preserve"> to </w:t>
      </w:r>
      <w:proofErr w:type="spellStart"/>
      <w:r w:rsidR="003C4DA2" w:rsidRPr="006D0B7F">
        <w:rPr>
          <w:lang w:val="en-GB"/>
        </w:rPr>
        <w:t>analyze</w:t>
      </w:r>
      <w:proofErr w:type="spellEnd"/>
      <w:r w:rsidR="0015367A" w:rsidRPr="006D0B7F">
        <w:rPr>
          <w:lang w:val="en-GB"/>
        </w:rPr>
        <w:t xml:space="preserve"> the</w:t>
      </w:r>
      <w:r w:rsidRPr="006D0B7F">
        <w:rPr>
          <w:lang w:val="en-GB"/>
        </w:rPr>
        <w:t xml:space="preserve"> FTIR spectrum of the</w:t>
      </w:r>
      <w:r w:rsidR="0015367A" w:rsidRPr="006D0B7F">
        <w:rPr>
          <w:lang w:val="en-GB"/>
        </w:rPr>
        <w:t xml:space="preserve"> nanocomposite</w:t>
      </w:r>
      <w:r w:rsidRPr="006D0B7F">
        <w:rPr>
          <w:lang w:val="en-GB"/>
        </w:rPr>
        <w:t xml:space="preserve">, </w:t>
      </w:r>
      <w:r w:rsidR="0015367A" w:rsidRPr="006D0B7F">
        <w:rPr>
          <w:lang w:val="en-GB"/>
        </w:rPr>
        <w:t>shown in</w:t>
      </w:r>
      <w:r w:rsidR="004A68C3" w:rsidRPr="006D0B7F">
        <w:rPr>
          <w:lang w:val="en-GB"/>
        </w:rPr>
        <w:t xml:space="preserve"> </w:t>
      </w:r>
      <w:r w:rsidR="004A68C3" w:rsidRPr="006D0B7F">
        <w:rPr>
          <w:lang w:val="en-GB"/>
        </w:rPr>
        <w:fldChar w:fldCharType="begin"/>
      </w:r>
      <w:r w:rsidR="004A68C3" w:rsidRPr="006D0B7F">
        <w:rPr>
          <w:lang w:val="en-GB"/>
        </w:rPr>
        <w:instrText xml:space="preserve"> REF _Ref190703508 \h </w:instrText>
      </w:r>
      <w:r w:rsidR="004A68C3" w:rsidRPr="006D0B7F">
        <w:rPr>
          <w:lang w:val="en-GB"/>
        </w:rPr>
      </w:r>
      <w:r w:rsidR="006D0B7F">
        <w:rPr>
          <w:lang w:val="en-GB"/>
        </w:rPr>
        <w:instrText xml:space="preserve"> \* MERGEFORMAT </w:instrText>
      </w:r>
      <w:r w:rsidR="004A68C3" w:rsidRPr="006D0B7F">
        <w:rPr>
          <w:lang w:val="en-GB"/>
        </w:rPr>
        <w:fldChar w:fldCharType="separate"/>
      </w:r>
      <w:r w:rsidR="00CB561D" w:rsidRPr="006D0B7F">
        <w:t xml:space="preserve">Figure </w:t>
      </w:r>
      <w:r w:rsidR="00CB561D" w:rsidRPr="006D0B7F">
        <w:rPr>
          <w:noProof/>
        </w:rPr>
        <w:t>3</w:t>
      </w:r>
      <w:r w:rsidR="004A68C3" w:rsidRPr="006D0B7F">
        <w:rPr>
          <w:lang w:val="en-GB"/>
        </w:rPr>
        <w:fldChar w:fldCharType="end"/>
      </w:r>
      <w:r w:rsidR="00E45993" w:rsidRPr="006D0B7F">
        <w:rPr>
          <w:lang w:val="en-GB"/>
        </w:rPr>
        <w:t>a</w:t>
      </w:r>
      <w:r w:rsidR="0015367A" w:rsidRPr="006D0B7F">
        <w:rPr>
          <w:lang w:val="en-GB"/>
        </w:rPr>
        <w:t>.</w:t>
      </w:r>
      <w:r w:rsidR="00BA3D29" w:rsidRPr="006D0B7F">
        <w:rPr>
          <w:lang w:val="en-GB"/>
        </w:rPr>
        <w:t xml:space="preserve"> The FTIR spectrum shows vibrational bands at 547.14 cm</w:t>
      </w:r>
      <w:r w:rsidR="00BA3D29" w:rsidRPr="006D0B7F">
        <w:rPr>
          <w:vertAlign w:val="superscript"/>
          <w:lang w:val="en-GB"/>
        </w:rPr>
        <w:t>-1</w:t>
      </w:r>
      <w:r w:rsidR="00BA3D29" w:rsidRPr="006D0B7F">
        <w:rPr>
          <w:lang w:val="en-GB"/>
        </w:rPr>
        <w:t xml:space="preserve"> </w:t>
      </w:r>
      <w:r w:rsidR="003C4DA2" w:rsidRPr="006D0B7F">
        <w:rPr>
          <w:lang w:val="en-GB"/>
        </w:rPr>
        <w:t>belonging</w:t>
      </w:r>
      <w:r w:rsidR="00BA3D29" w:rsidRPr="006D0B7F">
        <w:rPr>
          <w:lang w:val="en-GB"/>
        </w:rPr>
        <w:t xml:space="preserve"> to Fe-O stretching and </w:t>
      </w:r>
      <w:r w:rsidR="003C4DA2" w:rsidRPr="006D0B7F">
        <w:rPr>
          <w:lang w:val="en-GB"/>
        </w:rPr>
        <w:t xml:space="preserve">the </w:t>
      </w:r>
      <w:r w:rsidR="00BA3D29" w:rsidRPr="006D0B7F">
        <w:rPr>
          <w:lang w:val="en-GB"/>
        </w:rPr>
        <w:t>torsional mode of Fe</w:t>
      </w:r>
      <w:r w:rsidR="00BA3D29" w:rsidRPr="006D0B7F">
        <w:rPr>
          <w:vertAlign w:val="subscript"/>
          <w:lang w:val="en-GB"/>
        </w:rPr>
        <w:t>3</w:t>
      </w:r>
      <w:r w:rsidR="00BA3D29" w:rsidRPr="006D0B7F">
        <w:rPr>
          <w:lang w:val="en-GB"/>
        </w:rPr>
        <w:t>O</w:t>
      </w:r>
      <w:r w:rsidR="00BA3D29" w:rsidRPr="006D0B7F">
        <w:rPr>
          <w:vertAlign w:val="subscript"/>
          <w:lang w:val="en-GB"/>
        </w:rPr>
        <w:t>4</w:t>
      </w:r>
      <w:r w:rsidR="00BA3D29" w:rsidRPr="006D0B7F">
        <w:rPr>
          <w:lang w:val="en-GB"/>
        </w:rPr>
        <w:t xml:space="preserve"> (</w:t>
      </w:r>
      <w:proofErr w:type="spellStart"/>
      <w:r w:rsidR="00BA3D29" w:rsidRPr="006D0B7F">
        <w:rPr>
          <w:lang w:val="en-GB"/>
        </w:rPr>
        <w:t>Racuciu</w:t>
      </w:r>
      <w:proofErr w:type="spellEnd"/>
      <w:r w:rsidR="00BA3D29" w:rsidRPr="006D0B7F">
        <w:rPr>
          <w:lang w:val="en-GB"/>
        </w:rPr>
        <w:t xml:space="preserve"> M., 2009). At 3,371.44 cm</w:t>
      </w:r>
      <w:r w:rsidR="00BA3D29" w:rsidRPr="006D0B7F">
        <w:rPr>
          <w:vertAlign w:val="superscript"/>
          <w:lang w:val="en-GB"/>
        </w:rPr>
        <w:t>-1</w:t>
      </w:r>
      <w:r w:rsidR="00313EB6" w:rsidRPr="006D0B7F">
        <w:rPr>
          <w:lang w:val="en-GB"/>
        </w:rPr>
        <w:t xml:space="preserve">, </w:t>
      </w:r>
      <w:r w:rsidR="00BA3D29" w:rsidRPr="006D0B7F">
        <w:rPr>
          <w:lang w:val="en-GB"/>
        </w:rPr>
        <w:t>O-H stretching vibrations of water on the surface of the nanoparticles</w:t>
      </w:r>
      <w:r w:rsidR="003C4DA2" w:rsidRPr="006D0B7F">
        <w:rPr>
          <w:lang w:val="en-GB"/>
        </w:rPr>
        <w:t xml:space="preserve"> </w:t>
      </w:r>
      <w:r w:rsidR="00313EB6" w:rsidRPr="006D0B7F">
        <w:rPr>
          <w:lang w:val="en-GB"/>
        </w:rPr>
        <w:t>are</w:t>
      </w:r>
      <w:r w:rsidR="003C4DA2" w:rsidRPr="006D0B7F">
        <w:rPr>
          <w:lang w:val="en-GB"/>
        </w:rPr>
        <w:t xml:space="preserve"> visible</w:t>
      </w:r>
      <w:r w:rsidR="00BA3D29" w:rsidRPr="006D0B7F">
        <w:rPr>
          <w:lang w:val="en-GB"/>
        </w:rPr>
        <w:t>. Vibrational bands at 695.14 cm</w:t>
      </w:r>
      <w:r w:rsidR="00BA3D29" w:rsidRPr="006D0B7F">
        <w:rPr>
          <w:vertAlign w:val="superscript"/>
          <w:lang w:val="en-GB"/>
        </w:rPr>
        <w:t>-1</w:t>
      </w:r>
      <w:r w:rsidR="00BA3D29" w:rsidRPr="006D0B7F">
        <w:rPr>
          <w:lang w:val="en-GB"/>
        </w:rPr>
        <w:t xml:space="preserve"> and 755.41 cm</w:t>
      </w:r>
      <w:r w:rsidR="00BA3D29" w:rsidRPr="006D0B7F">
        <w:rPr>
          <w:vertAlign w:val="superscript"/>
          <w:lang w:val="en-GB"/>
        </w:rPr>
        <w:t>-1</w:t>
      </w:r>
      <w:r w:rsidR="00BA3D29" w:rsidRPr="006D0B7F">
        <w:rPr>
          <w:lang w:val="en-GB"/>
        </w:rPr>
        <w:t xml:space="preserve"> are associated </w:t>
      </w:r>
      <w:r w:rsidR="003C4DA2" w:rsidRPr="006D0B7F">
        <w:rPr>
          <w:lang w:val="en-GB"/>
        </w:rPr>
        <w:t>with</w:t>
      </w:r>
      <w:r w:rsidR="00BA3D29" w:rsidRPr="006D0B7F">
        <w:rPr>
          <w:lang w:val="en-GB"/>
        </w:rPr>
        <w:t xml:space="preserve"> Mg and Al (M-O, O-M-O, M-O-M where M=Mg and Al)</w:t>
      </w:r>
      <w:r w:rsidR="000D6926" w:rsidRPr="006D0B7F">
        <w:rPr>
          <w:lang w:val="en-GB"/>
        </w:rPr>
        <w:t xml:space="preserve"> (Subhan M. et al., 2017; Jamil N. et al., 2015; </w:t>
      </w:r>
      <w:r w:rsidR="00FB3737" w:rsidRPr="006D0B7F">
        <w:rPr>
          <w:lang w:val="en-GB"/>
        </w:rPr>
        <w:t>Prabu S</w:t>
      </w:r>
      <w:r w:rsidR="000D6926" w:rsidRPr="006D0B7F">
        <w:rPr>
          <w:lang w:val="en-GB"/>
        </w:rPr>
        <w:t xml:space="preserve">. and Wang H., 2020; </w:t>
      </w:r>
      <w:proofErr w:type="spellStart"/>
      <w:r w:rsidR="000D6926" w:rsidRPr="006D0B7F">
        <w:rPr>
          <w:lang w:val="en-GB"/>
        </w:rPr>
        <w:t>Mozaizh</w:t>
      </w:r>
      <w:proofErr w:type="spellEnd"/>
      <w:r w:rsidR="000D6926" w:rsidRPr="006D0B7F">
        <w:rPr>
          <w:lang w:val="en-GB"/>
        </w:rPr>
        <w:t xml:space="preserve"> A.</w:t>
      </w:r>
      <w:r w:rsidR="00FB3737" w:rsidRPr="006D0B7F">
        <w:rPr>
          <w:lang w:val="en-GB"/>
        </w:rPr>
        <w:t>A.B.</w:t>
      </w:r>
      <w:r w:rsidR="000D6926" w:rsidRPr="006D0B7F">
        <w:rPr>
          <w:lang w:val="en-GB"/>
        </w:rPr>
        <w:t xml:space="preserve"> et al., 2022)</w:t>
      </w:r>
      <w:r w:rsidR="00BA3D29" w:rsidRPr="006D0B7F">
        <w:rPr>
          <w:lang w:val="en-GB"/>
        </w:rPr>
        <w:t>. 1</w:t>
      </w:r>
      <w:r w:rsidR="00043200" w:rsidRPr="006D0B7F">
        <w:rPr>
          <w:lang w:val="en-GB"/>
        </w:rPr>
        <w:t>,</w:t>
      </w:r>
      <w:r w:rsidR="00BA3D29" w:rsidRPr="006D0B7F">
        <w:rPr>
          <w:lang w:val="en-GB"/>
        </w:rPr>
        <w:t>371.87 cm</w:t>
      </w:r>
      <w:r w:rsidR="00BA3D29" w:rsidRPr="006D0B7F">
        <w:rPr>
          <w:vertAlign w:val="superscript"/>
          <w:lang w:val="en-GB"/>
        </w:rPr>
        <w:t>-1</w:t>
      </w:r>
      <w:r w:rsidR="00BA3D29" w:rsidRPr="006D0B7F">
        <w:rPr>
          <w:lang w:val="en-GB"/>
        </w:rPr>
        <w:t xml:space="preserve"> is associated </w:t>
      </w:r>
      <w:r w:rsidR="009F0E6B" w:rsidRPr="006D0B7F">
        <w:rPr>
          <w:lang w:val="en-GB"/>
        </w:rPr>
        <w:t>with</w:t>
      </w:r>
      <w:r w:rsidR="00341D2A" w:rsidRPr="006D0B7F">
        <w:rPr>
          <w:lang w:val="en-GB"/>
        </w:rPr>
        <w:t xml:space="preserve"> asymmetric stretching of</w:t>
      </w:r>
      <w:r w:rsidR="00BA3D29" w:rsidRPr="006D0B7F">
        <w:rPr>
          <w:lang w:val="en-GB"/>
        </w:rPr>
        <w:t xml:space="preserve"> NO</w:t>
      </w:r>
      <w:r w:rsidR="00BA3D29" w:rsidRPr="006D0B7F">
        <w:rPr>
          <w:vertAlign w:val="subscript"/>
          <w:lang w:val="en-GB"/>
        </w:rPr>
        <w:t>3</w:t>
      </w:r>
      <w:r w:rsidR="00BA3D29" w:rsidRPr="006D0B7F">
        <w:rPr>
          <w:vertAlign w:val="superscript"/>
          <w:lang w:val="en-GB"/>
        </w:rPr>
        <w:t>-</w:t>
      </w:r>
      <w:r w:rsidR="00BA3D29" w:rsidRPr="006D0B7F">
        <w:rPr>
          <w:lang w:val="en-GB"/>
        </w:rPr>
        <w:t xml:space="preserve"> (Verma S.K. and Deb M.K., 2007). 1</w:t>
      </w:r>
      <w:r w:rsidR="00043200" w:rsidRPr="006D0B7F">
        <w:rPr>
          <w:lang w:val="en-GB"/>
        </w:rPr>
        <w:t>,</w:t>
      </w:r>
      <w:r w:rsidR="00BA3D29" w:rsidRPr="006D0B7F">
        <w:rPr>
          <w:lang w:val="en-GB"/>
        </w:rPr>
        <w:t>629.67 cm</w:t>
      </w:r>
      <w:r w:rsidR="00BA3D29" w:rsidRPr="006D0B7F">
        <w:rPr>
          <w:vertAlign w:val="superscript"/>
          <w:lang w:val="en-GB"/>
        </w:rPr>
        <w:t>-1</w:t>
      </w:r>
      <w:r w:rsidR="00BA3D29" w:rsidRPr="006D0B7F">
        <w:rPr>
          <w:lang w:val="en-GB"/>
        </w:rPr>
        <w:t xml:space="preserve"> is </w:t>
      </w:r>
      <w:r w:rsidR="003C4DA2" w:rsidRPr="006D0B7F">
        <w:rPr>
          <w:lang w:val="en-GB"/>
        </w:rPr>
        <w:t>due</w:t>
      </w:r>
      <w:r w:rsidR="00BA3D29" w:rsidRPr="006D0B7F">
        <w:rPr>
          <w:lang w:val="en-GB"/>
        </w:rPr>
        <w:t xml:space="preserve"> to </w:t>
      </w:r>
      <w:r w:rsidR="003C4DA2" w:rsidRPr="006D0B7F">
        <w:rPr>
          <w:lang w:val="en-GB"/>
        </w:rPr>
        <w:t xml:space="preserve">the </w:t>
      </w:r>
      <w:r w:rsidR="00BA3D29" w:rsidRPr="006D0B7F">
        <w:rPr>
          <w:lang w:val="en-GB"/>
        </w:rPr>
        <w:t>hydroxyl deformation mode of water molecules (Ai et al., 2011</w:t>
      </w:r>
      <w:r w:rsidR="00BA3D29">
        <w:rPr>
          <w:lang w:val="en-GB"/>
        </w:rPr>
        <w:t>).</w:t>
      </w:r>
    </w:p>
    <w:p w14:paraId="4EE5A7C8" w14:textId="03770A07" w:rsidR="00CB561D" w:rsidRDefault="00CB561D" w:rsidP="004A68C3">
      <w:pPr>
        <w:pStyle w:val="CETBodytext"/>
        <w:keepNext/>
      </w:pPr>
      <w:r>
        <w:rPr>
          <w:noProof/>
        </w:rPr>
        <w:drawing>
          <wp:inline distT="0" distB="0" distL="0" distR="0" wp14:anchorId="4F9E5675" wp14:editId="568EE280">
            <wp:extent cx="3739097" cy="1466850"/>
            <wp:effectExtent l="0" t="0" r="0" b="0"/>
            <wp:docPr id="30953961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9097" cy="1466850"/>
                    </a:xfrm>
                    <a:prstGeom prst="rect">
                      <a:avLst/>
                    </a:prstGeom>
                    <a:noFill/>
                  </pic:spPr>
                </pic:pic>
              </a:graphicData>
            </a:graphic>
          </wp:inline>
        </w:drawing>
      </w:r>
    </w:p>
    <w:p w14:paraId="3F44F56D" w14:textId="1521F210" w:rsidR="00944447" w:rsidRDefault="004A68C3" w:rsidP="004A68C3">
      <w:pPr>
        <w:pStyle w:val="CETCaption"/>
      </w:pPr>
      <w:bookmarkStart w:id="4" w:name="_Ref190703508"/>
      <w:r>
        <w:t xml:space="preserve">Figure </w:t>
      </w:r>
      <w:r>
        <w:fldChar w:fldCharType="begin"/>
      </w:r>
      <w:r>
        <w:instrText xml:space="preserve"> SEQ Figure \* ARABIC </w:instrText>
      </w:r>
      <w:r>
        <w:fldChar w:fldCharType="separate"/>
      </w:r>
      <w:r w:rsidR="002C3B37">
        <w:rPr>
          <w:noProof/>
        </w:rPr>
        <w:t>3</w:t>
      </w:r>
      <w:r>
        <w:fldChar w:fldCharType="end"/>
      </w:r>
      <w:bookmarkEnd w:id="4"/>
      <w:r>
        <w:t xml:space="preserve"> </w:t>
      </w:r>
      <w:r w:rsidR="00E45993">
        <w:t xml:space="preserve">a) </w:t>
      </w:r>
      <w:r>
        <w:t>Fe</w:t>
      </w:r>
      <w:r w:rsidRPr="004A68C3">
        <w:rPr>
          <w:vertAlign w:val="subscript"/>
        </w:rPr>
        <w:t>3</w:t>
      </w:r>
      <w:r>
        <w:t>O</w:t>
      </w:r>
      <w:r w:rsidRPr="004A68C3">
        <w:rPr>
          <w:vertAlign w:val="subscript"/>
        </w:rPr>
        <w:t>4</w:t>
      </w:r>
      <w:r>
        <w:t xml:space="preserve">@MgAl </w:t>
      </w:r>
      <w:r w:rsidR="00E971C0">
        <w:t xml:space="preserve">nanocomposite </w:t>
      </w:r>
      <w:r>
        <w:t>FTIR spectrum</w:t>
      </w:r>
      <w:r w:rsidR="00CB561D">
        <w:t>,</w:t>
      </w:r>
      <w:r w:rsidR="00E45993">
        <w:t xml:space="preserve"> b)</w:t>
      </w:r>
      <w:r w:rsidR="00E45993" w:rsidRPr="00E45993">
        <w:t xml:space="preserve"> </w:t>
      </w:r>
      <w:r w:rsidR="00E45993">
        <w:t>Fe</w:t>
      </w:r>
      <w:r w:rsidR="00E45993" w:rsidRPr="004A68C3">
        <w:rPr>
          <w:vertAlign w:val="subscript"/>
        </w:rPr>
        <w:t>3</w:t>
      </w:r>
      <w:r w:rsidR="00E45993">
        <w:t>O</w:t>
      </w:r>
      <w:r w:rsidR="00E45993" w:rsidRPr="004A68C3">
        <w:rPr>
          <w:vertAlign w:val="subscript"/>
        </w:rPr>
        <w:t>4</w:t>
      </w:r>
      <w:r w:rsidR="00E45993">
        <w:t>@MgAl nanocomposite TG-DTG analysis</w:t>
      </w:r>
      <w:r w:rsidR="00CB561D">
        <w:t>, and c)</w:t>
      </w:r>
      <w:r w:rsidR="00CB561D" w:rsidRPr="00CB561D">
        <w:t xml:space="preserve"> </w:t>
      </w:r>
      <w:r w:rsidR="00CB561D">
        <w:t>Fe</w:t>
      </w:r>
      <w:r w:rsidR="00CB561D" w:rsidRPr="004A68C3">
        <w:rPr>
          <w:vertAlign w:val="subscript"/>
        </w:rPr>
        <w:t>3</w:t>
      </w:r>
      <w:r w:rsidR="00CB561D">
        <w:t>O</w:t>
      </w:r>
      <w:r w:rsidR="00CB561D" w:rsidRPr="004A68C3">
        <w:rPr>
          <w:vertAlign w:val="subscript"/>
        </w:rPr>
        <w:t>4</w:t>
      </w:r>
      <w:r w:rsidR="00CB561D">
        <w:t>@MgAl nanocomposite XRD analysis</w:t>
      </w:r>
    </w:p>
    <w:p w14:paraId="05D1015C" w14:textId="13CECA7D" w:rsidR="00BF4D0C" w:rsidRPr="00CB561D" w:rsidRDefault="00E45993" w:rsidP="00CB561D">
      <w:pPr>
        <w:pStyle w:val="CETBodytext"/>
        <w:rPr>
          <w:lang w:val="en-GB"/>
        </w:rPr>
      </w:pPr>
      <w:r w:rsidRPr="006D0B7F">
        <w:rPr>
          <w:lang w:val="en-GB"/>
        </w:rPr>
        <w:fldChar w:fldCharType="begin"/>
      </w:r>
      <w:r w:rsidRPr="006D0B7F">
        <w:rPr>
          <w:lang w:val="en-GB"/>
        </w:rPr>
        <w:instrText xml:space="preserve"> REF _Ref190703508 \h  \* MERGEFORMAT </w:instrText>
      </w:r>
      <w:r w:rsidRPr="006D0B7F">
        <w:rPr>
          <w:lang w:val="en-GB"/>
        </w:rPr>
      </w:r>
      <w:r w:rsidRPr="006D0B7F">
        <w:rPr>
          <w:lang w:val="en-GB"/>
        </w:rPr>
        <w:fldChar w:fldCharType="separate"/>
      </w:r>
      <w:r w:rsidR="00CB561D" w:rsidRPr="006D0B7F">
        <w:rPr>
          <w:lang w:val="en-GB"/>
        </w:rPr>
        <w:t xml:space="preserve">Figure </w:t>
      </w:r>
      <w:r w:rsidR="00CB561D" w:rsidRPr="006D0B7F">
        <w:rPr>
          <w:noProof/>
          <w:lang w:val="en-GB"/>
        </w:rPr>
        <w:t>3</w:t>
      </w:r>
      <w:r w:rsidRPr="006D0B7F">
        <w:rPr>
          <w:lang w:val="en-GB"/>
        </w:rPr>
        <w:fldChar w:fldCharType="end"/>
      </w:r>
      <w:r w:rsidRPr="006D0B7F">
        <w:rPr>
          <w:lang w:val="en-GB"/>
        </w:rPr>
        <w:t>b</w:t>
      </w:r>
      <w:r w:rsidR="00FE2CD5" w:rsidRPr="006D0B7F">
        <w:rPr>
          <w:lang w:val="en-GB"/>
        </w:rPr>
        <w:t xml:space="preserve"> shows t</w:t>
      </w:r>
      <w:r w:rsidR="00D20BD0" w:rsidRPr="006D0B7F">
        <w:rPr>
          <w:lang w:val="en-GB"/>
        </w:rPr>
        <w:t>he thermogravimetric analysis of Fe</w:t>
      </w:r>
      <w:r w:rsidR="00D20BD0" w:rsidRPr="006D0B7F">
        <w:rPr>
          <w:vertAlign w:val="subscript"/>
          <w:lang w:val="en-GB"/>
        </w:rPr>
        <w:t>3</w:t>
      </w:r>
      <w:r w:rsidR="00D20BD0" w:rsidRPr="006D0B7F">
        <w:rPr>
          <w:lang w:val="en-GB"/>
        </w:rPr>
        <w:t>O</w:t>
      </w:r>
      <w:r w:rsidR="00D20BD0" w:rsidRPr="006D0B7F">
        <w:rPr>
          <w:vertAlign w:val="subscript"/>
          <w:lang w:val="en-GB"/>
        </w:rPr>
        <w:t>4</w:t>
      </w:r>
      <w:r w:rsidR="00D20BD0" w:rsidRPr="006D0B7F">
        <w:rPr>
          <w:lang w:val="en-GB"/>
        </w:rPr>
        <w:t>@MgAl</w:t>
      </w:r>
      <w:r w:rsidR="00313EB6" w:rsidRPr="006D0B7F">
        <w:rPr>
          <w:lang w:val="en-GB"/>
        </w:rPr>
        <w:t>,</w:t>
      </w:r>
      <w:r w:rsidR="00D20BD0" w:rsidRPr="006D0B7F">
        <w:rPr>
          <w:lang w:val="en-GB"/>
        </w:rPr>
        <w:t xml:space="preserve"> </w:t>
      </w:r>
      <w:r w:rsidR="00FE2CD5" w:rsidRPr="006D0B7F">
        <w:rPr>
          <w:lang w:val="en-GB"/>
        </w:rPr>
        <w:t>which is characterized by</w:t>
      </w:r>
      <w:r w:rsidR="00D20BD0" w:rsidRPr="006D0B7F">
        <w:rPr>
          <w:lang w:val="en-GB"/>
        </w:rPr>
        <w:t xml:space="preserve"> various weight losses. The initial weight loss, </w:t>
      </w:r>
      <w:r w:rsidR="009B7F5D" w:rsidRPr="006D0B7F">
        <w:rPr>
          <w:lang w:val="en-GB"/>
        </w:rPr>
        <w:t xml:space="preserve">observed </w:t>
      </w:r>
      <w:r w:rsidR="00D20BD0" w:rsidRPr="006D0B7F">
        <w:rPr>
          <w:lang w:val="en-GB"/>
        </w:rPr>
        <w:t>below 100</w:t>
      </w:r>
      <w:r w:rsidR="005751EC" w:rsidRPr="006D0B7F">
        <w:rPr>
          <w:lang w:val="en-GB"/>
        </w:rPr>
        <w:t xml:space="preserve"> </w:t>
      </w:r>
      <w:r w:rsidR="00D20BD0" w:rsidRPr="006D0B7F">
        <w:rPr>
          <w:lang w:val="en-GB"/>
        </w:rPr>
        <w:t xml:space="preserve">°C, can be attributed to </w:t>
      </w:r>
      <w:r w:rsidR="009B7F5D" w:rsidRPr="006D0B7F">
        <w:rPr>
          <w:lang w:val="en-GB"/>
        </w:rPr>
        <w:t xml:space="preserve">the evaporation of </w:t>
      </w:r>
      <w:r w:rsidR="00D20BD0" w:rsidRPr="006D0B7F">
        <w:rPr>
          <w:lang w:val="en-GB"/>
        </w:rPr>
        <w:t>m</w:t>
      </w:r>
      <w:r w:rsidR="00D20BD0">
        <w:rPr>
          <w:lang w:val="en-GB"/>
        </w:rPr>
        <w:t>oisture from the material (</w:t>
      </w:r>
      <w:r w:rsidR="00D20BD0">
        <w:t>Sarita Chandran A</w:t>
      </w:r>
      <w:r w:rsidR="00D20BD0">
        <w:rPr>
          <w:lang w:val="en-GB"/>
        </w:rPr>
        <w:t xml:space="preserve">. et al., 2023), </w:t>
      </w:r>
      <w:r w:rsidR="003C4DA2">
        <w:rPr>
          <w:lang w:val="en-GB"/>
        </w:rPr>
        <w:t xml:space="preserve">and </w:t>
      </w:r>
      <w:r w:rsidR="00D20BD0">
        <w:rPr>
          <w:lang w:val="en-GB"/>
        </w:rPr>
        <w:t>the second</w:t>
      </w:r>
      <w:r w:rsidR="00313EB6">
        <w:rPr>
          <w:lang w:val="en-GB"/>
        </w:rPr>
        <w:t>,</w:t>
      </w:r>
      <w:r w:rsidR="00D20BD0">
        <w:rPr>
          <w:lang w:val="en-GB"/>
        </w:rPr>
        <w:t xml:space="preserve"> at 150</w:t>
      </w:r>
      <w:r w:rsidR="005751EC">
        <w:rPr>
          <w:lang w:val="en-GB"/>
        </w:rPr>
        <w:t xml:space="preserve"> </w:t>
      </w:r>
      <w:r w:rsidR="00D20BD0">
        <w:rPr>
          <w:lang w:val="en-GB"/>
        </w:rPr>
        <w:t>°C</w:t>
      </w:r>
      <w:r w:rsidR="00313EB6">
        <w:rPr>
          <w:lang w:val="en-GB"/>
        </w:rPr>
        <w:t>,</w:t>
      </w:r>
      <w:r w:rsidR="00D20BD0">
        <w:rPr>
          <w:lang w:val="en-GB"/>
        </w:rPr>
        <w:t xml:space="preserve"> is associated </w:t>
      </w:r>
      <w:r w:rsidR="003C4DA2">
        <w:rPr>
          <w:lang w:val="en-GB"/>
        </w:rPr>
        <w:t>with</w:t>
      </w:r>
      <w:r w:rsidR="00D20BD0">
        <w:rPr>
          <w:lang w:val="en-GB"/>
        </w:rPr>
        <w:t xml:space="preserve"> the dehydration of hydroxyl groups</w:t>
      </w:r>
      <w:r w:rsidR="005751EC">
        <w:rPr>
          <w:lang w:val="en-GB"/>
        </w:rPr>
        <w:t xml:space="preserve"> (Spiridigliozzi H., 2023). The third weight loss step is located between 250 °C and 300 °C and is related to the dihydroxylation of </w:t>
      </w:r>
      <w:proofErr w:type="gramStart"/>
      <w:r w:rsidR="005751EC">
        <w:rPr>
          <w:lang w:val="en-GB"/>
        </w:rPr>
        <w:t>Al(</w:t>
      </w:r>
      <w:proofErr w:type="gramEnd"/>
      <w:r w:rsidR="005751EC">
        <w:rPr>
          <w:lang w:val="en-GB"/>
        </w:rPr>
        <w:t>OH)</w:t>
      </w:r>
      <w:r w:rsidR="005751EC" w:rsidRPr="005751EC">
        <w:rPr>
          <w:vertAlign w:val="subscript"/>
          <w:lang w:val="en-GB"/>
        </w:rPr>
        <w:t>3</w:t>
      </w:r>
      <w:r w:rsidR="005751EC">
        <w:rPr>
          <w:lang w:val="en-GB"/>
        </w:rPr>
        <w:t xml:space="preserve"> (Spiridigliozzi H., 2023)</w:t>
      </w:r>
      <w:r w:rsidR="003C4DA2">
        <w:rPr>
          <w:lang w:val="en-GB"/>
        </w:rPr>
        <w:t>,</w:t>
      </w:r>
      <w:r w:rsidR="005751EC">
        <w:rPr>
          <w:lang w:val="en-GB"/>
        </w:rPr>
        <w:t xml:space="preserve"> and the last weight loss, around 650 °C and 700 °C, can be associated </w:t>
      </w:r>
      <w:r w:rsidR="003C4DA2">
        <w:rPr>
          <w:lang w:val="en-GB"/>
        </w:rPr>
        <w:t>with</w:t>
      </w:r>
      <w:r w:rsidR="005751EC">
        <w:rPr>
          <w:lang w:val="en-GB"/>
        </w:rPr>
        <w:t xml:space="preserve"> the thermal decomposition of </w:t>
      </w:r>
      <w:r w:rsidR="005359B5">
        <w:rPr>
          <w:lang w:val="en-GB"/>
        </w:rPr>
        <w:t>carbonates intercalated into the structure of the nanoparticle (</w:t>
      </w:r>
      <w:r w:rsidR="00601876">
        <w:rPr>
          <w:lang w:val="en-GB"/>
        </w:rPr>
        <w:t>Spiridigliozzi H., 2023</w:t>
      </w:r>
      <w:r w:rsidR="005359B5">
        <w:rPr>
          <w:lang w:val="en-GB"/>
        </w:rPr>
        <w:t>).</w:t>
      </w:r>
    </w:p>
    <w:p w14:paraId="7479759F" w14:textId="13E57E29" w:rsidR="00122395" w:rsidRDefault="00122395" w:rsidP="00122395">
      <w:pPr>
        <w:pStyle w:val="CETBodytext"/>
        <w:rPr>
          <w:lang w:val="en-GB"/>
        </w:rPr>
      </w:pPr>
      <w:r>
        <w:rPr>
          <w:lang w:val="en-GB"/>
        </w:rPr>
        <w:t>The XRD spectrum of Fe</w:t>
      </w:r>
      <w:r w:rsidRPr="00122395">
        <w:rPr>
          <w:vertAlign w:val="subscript"/>
          <w:lang w:val="en-GB"/>
        </w:rPr>
        <w:t>3</w:t>
      </w:r>
      <w:r>
        <w:rPr>
          <w:lang w:val="en-GB"/>
        </w:rPr>
        <w:t>O</w:t>
      </w:r>
      <w:r w:rsidRPr="00122395">
        <w:rPr>
          <w:vertAlign w:val="subscript"/>
          <w:lang w:val="en-GB"/>
        </w:rPr>
        <w:t>4</w:t>
      </w:r>
      <w:r>
        <w:rPr>
          <w:lang w:val="en-GB"/>
        </w:rPr>
        <w:t>@MgAl</w:t>
      </w:r>
      <w:r w:rsidR="00F26E0A">
        <w:rPr>
          <w:lang w:val="en-GB"/>
        </w:rPr>
        <w:t xml:space="preserve"> </w:t>
      </w:r>
      <w:r w:rsidR="00F26E0A" w:rsidRPr="00F26E0A">
        <w:rPr>
          <w:lang w:val="en-GB"/>
        </w:rPr>
        <w:t xml:space="preserve">was acquired by a Bruker D2 Phaser X-ray diffractometer, using </w:t>
      </w:r>
      <w:proofErr w:type="spellStart"/>
      <w:r w:rsidR="00F26E0A" w:rsidRPr="00F26E0A">
        <w:rPr>
          <w:lang w:val="en-GB"/>
        </w:rPr>
        <w:t>CuK</w:t>
      </w:r>
      <w:proofErr w:type="spellEnd"/>
      <w:r w:rsidR="00F26E0A" w:rsidRPr="00F26E0A">
        <w:rPr>
          <w:lang w:val="en-GB"/>
        </w:rPr>
        <w:t>α radiation</w:t>
      </w:r>
      <w:r w:rsidR="00313EB6">
        <w:rPr>
          <w:lang w:val="en-GB"/>
        </w:rPr>
        <w:t>;</w:t>
      </w:r>
      <w:r w:rsidR="00F26E0A">
        <w:rPr>
          <w:lang w:val="en-GB"/>
        </w:rPr>
        <w:t xml:space="preserve"> the results</w:t>
      </w:r>
      <w:r>
        <w:rPr>
          <w:lang w:val="en-GB"/>
        </w:rPr>
        <w:t xml:space="preserve"> </w:t>
      </w:r>
      <w:r w:rsidR="00F26E0A">
        <w:rPr>
          <w:lang w:val="en-GB"/>
        </w:rPr>
        <w:t>are</w:t>
      </w:r>
      <w:r>
        <w:rPr>
          <w:lang w:val="en-GB"/>
        </w:rPr>
        <w:t xml:space="preserve"> shown in</w:t>
      </w:r>
      <w:r w:rsidR="00CB561D">
        <w:rPr>
          <w:lang w:val="en-GB"/>
        </w:rPr>
        <w:t xml:space="preserve"> </w:t>
      </w:r>
      <w:r w:rsidR="00CB561D">
        <w:rPr>
          <w:lang w:val="en-GB"/>
        </w:rPr>
        <w:fldChar w:fldCharType="begin"/>
      </w:r>
      <w:r w:rsidR="00CB561D">
        <w:rPr>
          <w:lang w:val="en-GB"/>
        </w:rPr>
        <w:instrText xml:space="preserve"> REF _Ref190703508 \h </w:instrText>
      </w:r>
      <w:r w:rsidR="00CB561D">
        <w:rPr>
          <w:lang w:val="en-GB"/>
        </w:rPr>
      </w:r>
      <w:r w:rsidR="00CB561D">
        <w:rPr>
          <w:lang w:val="en-GB"/>
        </w:rPr>
        <w:fldChar w:fldCharType="separate"/>
      </w:r>
      <w:r w:rsidR="00CB561D">
        <w:t xml:space="preserve">Figure </w:t>
      </w:r>
      <w:r w:rsidR="00CB561D">
        <w:rPr>
          <w:noProof/>
        </w:rPr>
        <w:t>3</w:t>
      </w:r>
      <w:r w:rsidR="00CB561D">
        <w:rPr>
          <w:lang w:val="en-GB"/>
        </w:rPr>
        <w:fldChar w:fldCharType="end"/>
      </w:r>
      <w:r w:rsidR="00CB561D">
        <w:rPr>
          <w:lang w:val="en-GB"/>
        </w:rPr>
        <w:t>c</w:t>
      </w:r>
      <w:r>
        <w:rPr>
          <w:lang w:val="en-GB"/>
        </w:rPr>
        <w:t xml:space="preserve">. </w:t>
      </w:r>
      <w:r w:rsidR="009E5E8C">
        <w:rPr>
          <w:lang w:val="en-GB"/>
        </w:rPr>
        <w:t>According to Wu X. et al, 2017, the diffraction peaks at 2theta values and Miller indices (in brackets) 29.24° (220), 35.33° (311), 42.31° (400), 53.88° (422), 56.23° (511), 62.18° (440) come from Fe</w:t>
      </w:r>
      <w:r w:rsidR="009E5E8C" w:rsidRPr="009E5E8C">
        <w:rPr>
          <w:vertAlign w:val="subscript"/>
          <w:lang w:val="en-GB"/>
        </w:rPr>
        <w:t>3</w:t>
      </w:r>
      <w:r w:rsidR="009E5E8C">
        <w:rPr>
          <w:lang w:val="en-GB"/>
        </w:rPr>
        <w:t>O</w:t>
      </w:r>
      <w:r w:rsidR="009E5E8C" w:rsidRPr="009E5E8C">
        <w:rPr>
          <w:vertAlign w:val="subscript"/>
          <w:lang w:val="en-GB"/>
        </w:rPr>
        <w:t>4</w:t>
      </w:r>
      <w:r w:rsidR="009E5E8C">
        <w:rPr>
          <w:lang w:val="en-GB"/>
        </w:rPr>
        <w:t xml:space="preserve"> and the diffraction peaks at 11.25° (003), 16.78° (110), 22.77° (006),</w:t>
      </w:r>
      <w:r w:rsidR="009E5E8C" w:rsidRPr="009E5E8C">
        <w:rPr>
          <w:lang w:val="en-GB"/>
        </w:rPr>
        <w:t xml:space="preserve"> </w:t>
      </w:r>
      <w:r w:rsidR="009E5E8C">
        <w:rPr>
          <w:lang w:val="en-GB"/>
        </w:rPr>
        <w:t xml:space="preserve">38.79° (015) come from </w:t>
      </w:r>
      <w:proofErr w:type="spellStart"/>
      <w:r w:rsidR="009E5E8C">
        <w:rPr>
          <w:lang w:val="en-GB"/>
        </w:rPr>
        <w:t>MgAl</w:t>
      </w:r>
      <w:proofErr w:type="spellEnd"/>
      <w:r w:rsidR="009E5E8C">
        <w:rPr>
          <w:lang w:val="en-GB"/>
        </w:rPr>
        <w:t>.</w:t>
      </w:r>
    </w:p>
    <w:p w14:paraId="5E839FEA" w14:textId="262EFE65" w:rsidR="00CB561D" w:rsidRPr="006D0B7F" w:rsidRDefault="006C5BBF" w:rsidP="00CB561D">
      <w:pPr>
        <w:pStyle w:val="CETBodytext"/>
        <w:rPr>
          <w:lang w:val="en-GB"/>
        </w:rPr>
      </w:pPr>
      <w:r w:rsidRPr="006C5BBF">
        <w:rPr>
          <w:lang w:val="en-GB"/>
        </w:rPr>
        <w:t xml:space="preserve">The morphology of the surface of </w:t>
      </w:r>
      <w:r>
        <w:rPr>
          <w:lang w:val="en-GB"/>
        </w:rPr>
        <w:t>Fe</w:t>
      </w:r>
      <w:r w:rsidRPr="006C5BBF">
        <w:rPr>
          <w:vertAlign w:val="subscript"/>
          <w:lang w:val="en-GB"/>
        </w:rPr>
        <w:t>3</w:t>
      </w:r>
      <w:r>
        <w:rPr>
          <w:lang w:val="en-GB"/>
        </w:rPr>
        <w:t>O</w:t>
      </w:r>
      <w:r w:rsidRPr="006C5BBF">
        <w:rPr>
          <w:vertAlign w:val="subscript"/>
          <w:lang w:val="en-GB"/>
        </w:rPr>
        <w:t>4</w:t>
      </w:r>
      <w:r>
        <w:rPr>
          <w:lang w:val="en-GB"/>
        </w:rPr>
        <w:t>@MgAl</w:t>
      </w:r>
      <w:r w:rsidRPr="006C5BBF">
        <w:rPr>
          <w:lang w:val="en-GB"/>
        </w:rPr>
        <w:t xml:space="preserve"> nanoparticles was analysed by scanning electron microscopy (SEM) (TESCAN-VEGA LMH; 230 V).</w:t>
      </w:r>
      <w:r>
        <w:rPr>
          <w:lang w:val="en-GB"/>
        </w:rPr>
        <w:t xml:space="preserve"> </w:t>
      </w:r>
      <w:r>
        <w:rPr>
          <w:lang w:val="en-GB"/>
        </w:rPr>
        <w:fldChar w:fldCharType="begin"/>
      </w:r>
      <w:r>
        <w:rPr>
          <w:lang w:val="en-GB"/>
        </w:rPr>
        <w:instrText xml:space="preserve"> REF _Ref190848079 \h </w:instrText>
      </w:r>
      <w:r>
        <w:rPr>
          <w:lang w:val="en-GB"/>
        </w:rPr>
      </w:r>
      <w:r>
        <w:rPr>
          <w:lang w:val="en-GB"/>
        </w:rPr>
        <w:fldChar w:fldCharType="separate"/>
      </w:r>
      <w:r w:rsidR="00CB561D">
        <w:t xml:space="preserve">Figure </w:t>
      </w:r>
      <w:r w:rsidR="00CB561D">
        <w:rPr>
          <w:noProof/>
        </w:rPr>
        <w:t>4</w:t>
      </w:r>
      <w:r>
        <w:rPr>
          <w:lang w:val="en-GB"/>
        </w:rPr>
        <w:fldChar w:fldCharType="end"/>
      </w:r>
      <w:proofErr w:type="gramStart"/>
      <w:r w:rsidR="00CB561D">
        <w:rPr>
          <w:lang w:val="en-GB"/>
        </w:rPr>
        <w:t>a and</w:t>
      </w:r>
      <w:proofErr w:type="gramEnd"/>
      <w:r w:rsidR="00CB561D">
        <w:rPr>
          <w:lang w:val="en-GB"/>
        </w:rPr>
        <w:t xml:space="preserve"> </w:t>
      </w:r>
      <w:r w:rsidR="00CB561D">
        <w:rPr>
          <w:lang w:val="en-GB"/>
        </w:rPr>
        <w:fldChar w:fldCharType="begin"/>
      </w:r>
      <w:r w:rsidR="00CB561D">
        <w:rPr>
          <w:lang w:val="en-GB"/>
        </w:rPr>
        <w:instrText xml:space="preserve"> REF _Ref190848079 \h </w:instrText>
      </w:r>
      <w:r w:rsidR="00CB561D">
        <w:rPr>
          <w:lang w:val="en-GB"/>
        </w:rPr>
      </w:r>
      <w:r w:rsidR="00CB561D">
        <w:rPr>
          <w:lang w:val="en-GB"/>
        </w:rPr>
        <w:fldChar w:fldCharType="separate"/>
      </w:r>
      <w:r w:rsidR="00CB561D">
        <w:t xml:space="preserve">Figure </w:t>
      </w:r>
      <w:r w:rsidR="00CB561D">
        <w:rPr>
          <w:noProof/>
        </w:rPr>
        <w:t>4</w:t>
      </w:r>
      <w:r w:rsidR="00CB561D">
        <w:rPr>
          <w:lang w:val="en-GB"/>
        </w:rPr>
        <w:fldChar w:fldCharType="end"/>
      </w:r>
      <w:r w:rsidR="00CB561D">
        <w:rPr>
          <w:lang w:val="en-GB"/>
        </w:rPr>
        <w:t>b</w:t>
      </w:r>
      <w:r>
        <w:rPr>
          <w:lang w:val="en-GB"/>
        </w:rPr>
        <w:t xml:space="preserve"> </w:t>
      </w:r>
      <w:proofErr w:type="gramStart"/>
      <w:r w:rsidR="003C4DA2">
        <w:rPr>
          <w:lang w:val="en-GB"/>
        </w:rPr>
        <w:t>show</w:t>
      </w:r>
      <w:proofErr w:type="gramEnd"/>
      <w:r>
        <w:rPr>
          <w:lang w:val="en-GB"/>
        </w:rPr>
        <w:t xml:space="preserve"> </w:t>
      </w:r>
      <w:r w:rsidR="00313EB6">
        <w:rPr>
          <w:lang w:val="en-GB"/>
        </w:rPr>
        <w:t>irregular-shaped</w:t>
      </w:r>
      <w:r>
        <w:rPr>
          <w:lang w:val="en-GB"/>
        </w:rPr>
        <w:t xml:space="preserve"> </w:t>
      </w:r>
      <w:r w:rsidR="003C4DA2">
        <w:rPr>
          <w:lang w:val="en-GB"/>
        </w:rPr>
        <w:t xml:space="preserve">particles constituted </w:t>
      </w:r>
      <w:r>
        <w:rPr>
          <w:lang w:val="en-GB"/>
        </w:rPr>
        <w:t xml:space="preserve">of </w:t>
      </w:r>
      <w:r w:rsidR="003C4DA2" w:rsidRPr="006D0B7F">
        <w:rPr>
          <w:lang w:val="en-GB"/>
        </w:rPr>
        <w:lastRenderedPageBreak/>
        <w:t>NP</w:t>
      </w:r>
      <w:r w:rsidRPr="006D0B7F">
        <w:rPr>
          <w:lang w:val="en-GB"/>
        </w:rPr>
        <w:t>s.</w:t>
      </w:r>
      <w:r w:rsidR="00AE116A" w:rsidRPr="006D0B7F">
        <w:rPr>
          <w:lang w:val="en-GB"/>
        </w:rPr>
        <w:t xml:space="preserve"> </w:t>
      </w:r>
      <w:r w:rsidR="00CB561D" w:rsidRPr="006D0B7F">
        <w:rPr>
          <w:lang w:val="en-GB"/>
        </w:rPr>
        <w:t>The size of Fe</w:t>
      </w:r>
      <w:r w:rsidR="00CB561D" w:rsidRPr="006D0B7F">
        <w:rPr>
          <w:vertAlign w:val="subscript"/>
          <w:lang w:val="en-GB"/>
        </w:rPr>
        <w:t>3</w:t>
      </w:r>
      <w:r w:rsidR="00CB561D" w:rsidRPr="006D0B7F">
        <w:rPr>
          <w:lang w:val="en-GB"/>
        </w:rPr>
        <w:t>O</w:t>
      </w:r>
      <w:r w:rsidR="00CB561D" w:rsidRPr="006D0B7F">
        <w:rPr>
          <w:vertAlign w:val="subscript"/>
          <w:lang w:val="en-GB"/>
        </w:rPr>
        <w:t>4</w:t>
      </w:r>
      <w:r w:rsidR="00CB561D" w:rsidRPr="006D0B7F">
        <w:rPr>
          <w:lang w:val="en-GB"/>
        </w:rPr>
        <w:t xml:space="preserve">@MgAl nanocomposite was measured by transmission electron </w:t>
      </w:r>
      <w:r w:rsidR="00313EB6" w:rsidRPr="006D0B7F">
        <w:rPr>
          <w:lang w:val="en-GB"/>
        </w:rPr>
        <w:t>microscopy</w:t>
      </w:r>
      <w:r w:rsidR="00CB561D" w:rsidRPr="006D0B7F">
        <w:rPr>
          <w:lang w:val="en-GB"/>
        </w:rPr>
        <w:t xml:space="preserve"> (TEM) (</w:t>
      </w:r>
      <w:r w:rsidR="009B7F5D" w:rsidRPr="006D0B7F">
        <w:rPr>
          <w:lang w:val="en-GB"/>
        </w:rPr>
        <w:t xml:space="preserve">FEI </w:t>
      </w:r>
      <w:proofErr w:type="spellStart"/>
      <w:r w:rsidR="009B7F5D" w:rsidRPr="006D0B7F">
        <w:rPr>
          <w:lang w:val="en-GB"/>
        </w:rPr>
        <w:t>Tecnai</w:t>
      </w:r>
      <w:proofErr w:type="spellEnd"/>
      <w:r w:rsidR="009B7F5D" w:rsidRPr="006D0B7F">
        <w:rPr>
          <w:lang w:val="en-GB"/>
        </w:rPr>
        <w:t xml:space="preserve"> 20 operating at 200 kV with LaB</w:t>
      </w:r>
      <w:r w:rsidR="009B7F5D" w:rsidRPr="006D0B7F">
        <w:rPr>
          <w:vertAlign w:val="subscript"/>
          <w:lang w:val="en-GB"/>
        </w:rPr>
        <w:t>6</w:t>
      </w:r>
      <w:r w:rsidR="009B7F5D" w:rsidRPr="006D0B7F">
        <w:rPr>
          <w:lang w:val="en-GB"/>
        </w:rPr>
        <w:t xml:space="preserve"> filament as the electron source</w:t>
      </w:r>
      <w:r w:rsidR="00CB561D" w:rsidRPr="006D0B7F">
        <w:rPr>
          <w:lang w:val="en-GB"/>
        </w:rPr>
        <w:t xml:space="preserve">). From the TEM image, shown in </w:t>
      </w:r>
      <w:r w:rsidR="00CB561D" w:rsidRPr="006D0B7F">
        <w:rPr>
          <w:lang w:val="en-GB"/>
        </w:rPr>
        <w:fldChar w:fldCharType="begin"/>
      </w:r>
      <w:r w:rsidR="00CB561D" w:rsidRPr="006D0B7F">
        <w:rPr>
          <w:lang w:val="en-GB"/>
        </w:rPr>
        <w:instrText xml:space="preserve"> REF _Ref190848079 \h  \* MERGEFORMAT </w:instrText>
      </w:r>
      <w:r w:rsidR="00CB561D" w:rsidRPr="006D0B7F">
        <w:rPr>
          <w:lang w:val="en-GB"/>
        </w:rPr>
      </w:r>
      <w:r w:rsidR="00CB561D" w:rsidRPr="006D0B7F">
        <w:rPr>
          <w:lang w:val="en-GB"/>
        </w:rPr>
        <w:fldChar w:fldCharType="separate"/>
      </w:r>
      <w:r w:rsidR="00CB561D" w:rsidRPr="006D0B7F">
        <w:t xml:space="preserve">Figure </w:t>
      </w:r>
      <w:r w:rsidR="00CB561D" w:rsidRPr="006D0B7F">
        <w:rPr>
          <w:noProof/>
        </w:rPr>
        <w:t>4</w:t>
      </w:r>
      <w:r w:rsidR="00CB561D" w:rsidRPr="006D0B7F">
        <w:rPr>
          <w:lang w:val="en-GB"/>
        </w:rPr>
        <w:fldChar w:fldCharType="end"/>
      </w:r>
      <w:r w:rsidR="00CB561D" w:rsidRPr="006D0B7F">
        <w:rPr>
          <w:lang w:val="en-GB"/>
        </w:rPr>
        <w:t xml:space="preserve">c, it is possible to determine the </w:t>
      </w:r>
      <w:r w:rsidR="00313EB6" w:rsidRPr="006D0B7F">
        <w:rPr>
          <w:lang w:val="en-GB"/>
        </w:rPr>
        <w:t>nanoparticles'</w:t>
      </w:r>
      <w:r w:rsidR="00CB561D" w:rsidRPr="006D0B7F">
        <w:rPr>
          <w:lang w:val="en-GB"/>
        </w:rPr>
        <w:t xml:space="preserve"> size of about 10 nm. This confirms the nanometric dimension of the synthesized catalyst.</w:t>
      </w:r>
    </w:p>
    <w:p w14:paraId="052848C4" w14:textId="468483E7" w:rsidR="00E971C0" w:rsidRDefault="00CB561D" w:rsidP="00E971C0">
      <w:pPr>
        <w:pStyle w:val="CETBodytext"/>
        <w:keepNext/>
      </w:pPr>
      <w:r>
        <w:rPr>
          <w:noProof/>
        </w:rPr>
        <w:drawing>
          <wp:inline distT="0" distB="0" distL="0" distR="0" wp14:anchorId="760F7CA2" wp14:editId="34625C83">
            <wp:extent cx="3218562" cy="1257300"/>
            <wp:effectExtent l="0" t="0" r="1270" b="0"/>
            <wp:docPr id="132056780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2591" cy="1262780"/>
                    </a:xfrm>
                    <a:prstGeom prst="rect">
                      <a:avLst/>
                    </a:prstGeom>
                    <a:noFill/>
                  </pic:spPr>
                </pic:pic>
              </a:graphicData>
            </a:graphic>
          </wp:inline>
        </w:drawing>
      </w:r>
    </w:p>
    <w:p w14:paraId="156288F4" w14:textId="7289D810" w:rsidR="00BF4D0C" w:rsidRDefault="00E971C0" w:rsidP="00E971C0">
      <w:pPr>
        <w:pStyle w:val="CETCaption"/>
      </w:pPr>
      <w:bookmarkStart w:id="5" w:name="_Ref190848079"/>
      <w:r>
        <w:t xml:space="preserve">Figure </w:t>
      </w:r>
      <w:r>
        <w:fldChar w:fldCharType="begin"/>
      </w:r>
      <w:r>
        <w:instrText xml:space="preserve"> SEQ Figure \* ARABIC </w:instrText>
      </w:r>
      <w:r>
        <w:fldChar w:fldCharType="separate"/>
      </w:r>
      <w:r w:rsidR="002C3B37">
        <w:rPr>
          <w:noProof/>
        </w:rPr>
        <w:t>4</w:t>
      </w:r>
      <w:r>
        <w:fldChar w:fldCharType="end"/>
      </w:r>
      <w:bookmarkEnd w:id="5"/>
      <w:r>
        <w:t xml:space="preserve"> SEM images of Fe</w:t>
      </w:r>
      <w:r w:rsidRPr="004A68C3">
        <w:rPr>
          <w:vertAlign w:val="subscript"/>
        </w:rPr>
        <w:t>3</w:t>
      </w:r>
      <w:r>
        <w:t>O</w:t>
      </w:r>
      <w:r w:rsidRPr="004A68C3">
        <w:rPr>
          <w:vertAlign w:val="subscript"/>
        </w:rPr>
        <w:t>4</w:t>
      </w:r>
      <w:r>
        <w:t xml:space="preserve">@MgAl nanocomposite at </w:t>
      </w:r>
      <w:r w:rsidR="00BA3D29">
        <w:t xml:space="preserve">magnification of </w:t>
      </w:r>
      <w:r w:rsidR="00CB561D">
        <w:t xml:space="preserve">a) </w:t>
      </w:r>
      <w:r>
        <w:t xml:space="preserve">1.00 </w:t>
      </w:r>
      <w:proofErr w:type="spellStart"/>
      <w:r w:rsidR="003C4DA2">
        <w:t>k</w:t>
      </w:r>
      <w:r>
        <w:t>x</w:t>
      </w:r>
      <w:proofErr w:type="spellEnd"/>
      <w:r w:rsidR="003C4DA2">
        <w:t>,</w:t>
      </w:r>
      <w:r>
        <w:rPr>
          <w:noProof/>
        </w:rPr>
        <w:t xml:space="preserve"> </w:t>
      </w:r>
      <w:r w:rsidR="00CB561D">
        <w:rPr>
          <w:noProof/>
        </w:rPr>
        <w:t xml:space="preserve">b) </w:t>
      </w:r>
      <w:r>
        <w:rPr>
          <w:noProof/>
        </w:rPr>
        <w:t>30.00 kx</w:t>
      </w:r>
      <w:r w:rsidR="00CB561D">
        <w:rPr>
          <w:noProof/>
        </w:rPr>
        <w:t>,</w:t>
      </w:r>
      <w:r w:rsidR="003C4DA2">
        <w:rPr>
          <w:noProof/>
        </w:rPr>
        <w:t xml:space="preserve"> </w:t>
      </w:r>
      <w:r w:rsidR="00CB561D">
        <w:rPr>
          <w:noProof/>
        </w:rPr>
        <w:t xml:space="preserve">and c) TEM images of </w:t>
      </w:r>
      <w:r w:rsidR="00CB561D">
        <w:t>Fe</w:t>
      </w:r>
      <w:r w:rsidR="00CB561D" w:rsidRPr="004A68C3">
        <w:rPr>
          <w:vertAlign w:val="subscript"/>
        </w:rPr>
        <w:t>3</w:t>
      </w:r>
      <w:r w:rsidR="00CB561D">
        <w:t>O</w:t>
      </w:r>
      <w:r w:rsidR="00CB561D" w:rsidRPr="004A68C3">
        <w:rPr>
          <w:vertAlign w:val="subscript"/>
        </w:rPr>
        <w:t>4</w:t>
      </w:r>
      <w:r w:rsidR="00CB561D">
        <w:t>@MgAl</w:t>
      </w:r>
    </w:p>
    <w:p w14:paraId="3CDFA409" w14:textId="697AFE0D" w:rsidR="00E971C0" w:rsidRDefault="00BA3D29" w:rsidP="00600535">
      <w:pPr>
        <w:pStyle w:val="CETBodytext"/>
        <w:rPr>
          <w:lang w:val="en-GB"/>
        </w:rPr>
      </w:pPr>
      <w:r>
        <w:rPr>
          <w:lang w:val="en-GB"/>
        </w:rPr>
        <w:t xml:space="preserve">In </w:t>
      </w:r>
      <w:r>
        <w:rPr>
          <w:lang w:val="en-GB"/>
        </w:rPr>
        <w:fldChar w:fldCharType="begin"/>
      </w:r>
      <w:r>
        <w:rPr>
          <w:lang w:val="en-GB"/>
        </w:rPr>
        <w:instrText xml:space="preserve"> REF _Ref190786014 \h </w:instrText>
      </w:r>
      <w:r>
        <w:rPr>
          <w:lang w:val="en-GB"/>
        </w:rPr>
      </w:r>
      <w:r>
        <w:rPr>
          <w:lang w:val="en-GB"/>
        </w:rPr>
        <w:fldChar w:fldCharType="separate"/>
      </w:r>
      <w:r w:rsidR="00CB561D">
        <w:t xml:space="preserve">Table </w:t>
      </w:r>
      <w:r w:rsidR="00CB561D">
        <w:rPr>
          <w:noProof/>
        </w:rPr>
        <w:t>1</w:t>
      </w:r>
      <w:r>
        <w:rPr>
          <w:lang w:val="en-GB"/>
        </w:rPr>
        <w:fldChar w:fldCharType="end"/>
      </w:r>
      <w:r w:rsidR="003C4DA2">
        <w:rPr>
          <w:lang w:val="en-GB"/>
        </w:rPr>
        <w:t>,</w:t>
      </w:r>
      <w:r>
        <w:rPr>
          <w:lang w:val="en-GB"/>
        </w:rPr>
        <w:t xml:space="preserve">  the EDX analysis of the sample</w:t>
      </w:r>
      <w:r w:rsidR="003C4DA2">
        <w:rPr>
          <w:lang w:val="en-GB"/>
        </w:rPr>
        <w:t xml:space="preserve"> is shown</w:t>
      </w:r>
      <w:r>
        <w:rPr>
          <w:lang w:val="en-GB"/>
        </w:rPr>
        <w:t>. It can be seen the presence of iron, oxygen, magnesium</w:t>
      </w:r>
      <w:r w:rsidR="00313EB6">
        <w:rPr>
          <w:lang w:val="en-GB"/>
        </w:rPr>
        <w:t>,</w:t>
      </w:r>
      <w:r>
        <w:rPr>
          <w:lang w:val="en-GB"/>
        </w:rPr>
        <w:t xml:space="preserve"> and aluminium from the Fe</w:t>
      </w:r>
      <w:r w:rsidRPr="00BA3D29">
        <w:rPr>
          <w:vertAlign w:val="subscript"/>
          <w:lang w:val="en-GB"/>
        </w:rPr>
        <w:t>3</w:t>
      </w:r>
      <w:r>
        <w:rPr>
          <w:lang w:val="en-GB"/>
        </w:rPr>
        <w:t>O</w:t>
      </w:r>
      <w:r w:rsidRPr="00BA3D29">
        <w:rPr>
          <w:vertAlign w:val="subscript"/>
          <w:lang w:val="en-GB"/>
        </w:rPr>
        <w:t>4</w:t>
      </w:r>
      <w:r>
        <w:rPr>
          <w:lang w:val="en-GB"/>
        </w:rPr>
        <w:t>@MgAl nanocomposite, chlorine, nitrogen</w:t>
      </w:r>
      <w:r w:rsidR="00313EB6">
        <w:rPr>
          <w:lang w:val="en-GB"/>
        </w:rPr>
        <w:t>,</w:t>
      </w:r>
      <w:r>
        <w:rPr>
          <w:lang w:val="en-GB"/>
        </w:rPr>
        <w:t xml:space="preserve"> and sodium come from the synthesis procedure</w:t>
      </w:r>
      <w:r w:rsidR="00313EB6">
        <w:rPr>
          <w:lang w:val="en-GB"/>
        </w:rPr>
        <w:t>,</w:t>
      </w:r>
      <w:r>
        <w:rPr>
          <w:lang w:val="en-GB"/>
        </w:rPr>
        <w:t xml:space="preserve"> and chromium from the necessary metallization of the sample to perform the SEM analysis.</w:t>
      </w:r>
    </w:p>
    <w:p w14:paraId="1F93FCA7" w14:textId="68D94FC4" w:rsidR="00E971C0" w:rsidRDefault="00E971C0" w:rsidP="00E971C0">
      <w:pPr>
        <w:pStyle w:val="CETTabletitle"/>
      </w:pPr>
      <w:bookmarkStart w:id="6" w:name="_Ref190786014"/>
      <w:r>
        <w:t xml:space="preserve">Table </w:t>
      </w:r>
      <w:r>
        <w:fldChar w:fldCharType="begin"/>
      </w:r>
      <w:r>
        <w:instrText xml:space="preserve"> SEQ Table \* ARABIC </w:instrText>
      </w:r>
      <w:r>
        <w:fldChar w:fldCharType="separate"/>
      </w:r>
      <w:r w:rsidR="00CB561D">
        <w:rPr>
          <w:noProof/>
        </w:rPr>
        <w:t>1</w:t>
      </w:r>
      <w:r>
        <w:fldChar w:fldCharType="end"/>
      </w:r>
      <w:bookmarkEnd w:id="6"/>
      <w:r>
        <w:t xml:space="preserve"> Element composition of the Fe</w:t>
      </w:r>
      <w:r w:rsidRPr="004A68C3">
        <w:rPr>
          <w:vertAlign w:val="subscript"/>
        </w:rPr>
        <w:t>3</w:t>
      </w:r>
      <w:r>
        <w:t>O</w:t>
      </w:r>
      <w:r w:rsidRPr="004A68C3">
        <w:rPr>
          <w:vertAlign w:val="subscript"/>
        </w:rPr>
        <w:t>4</w:t>
      </w:r>
      <w:r>
        <w:t>@MgAl nanocomposite</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829"/>
        <w:gridCol w:w="831"/>
        <w:gridCol w:w="831"/>
        <w:gridCol w:w="951"/>
        <w:gridCol w:w="998"/>
        <w:gridCol w:w="784"/>
        <w:gridCol w:w="808"/>
        <w:gridCol w:w="852"/>
        <w:gridCol w:w="903"/>
      </w:tblGrid>
      <w:tr w:rsidR="00AE116A" w:rsidRPr="00D62375" w14:paraId="7B0DDB87" w14:textId="77777777" w:rsidTr="00AE116A">
        <w:tc>
          <w:tcPr>
            <w:tcW w:w="1040" w:type="pct"/>
            <w:tcBorders>
              <w:top w:val="single" w:sz="12" w:space="0" w:color="008000"/>
              <w:bottom w:val="single" w:sz="6" w:space="0" w:color="008000"/>
            </w:tcBorders>
            <w:shd w:val="clear" w:color="auto" w:fill="FFFFFF"/>
          </w:tcPr>
          <w:p w14:paraId="3B34DC91" w14:textId="0689E285" w:rsidR="00AE116A" w:rsidRPr="00E971C0" w:rsidRDefault="00AE116A" w:rsidP="00A20ED9">
            <w:pPr>
              <w:pStyle w:val="CETBodytext"/>
              <w:spacing w:line="240" w:lineRule="auto"/>
              <w:rPr>
                <w:lang w:val="en-GB"/>
              </w:rPr>
            </w:pPr>
            <w:r>
              <w:rPr>
                <w:lang w:val="en-GB"/>
              </w:rPr>
              <w:t>Element</w:t>
            </w:r>
          </w:p>
        </w:tc>
        <w:tc>
          <w:tcPr>
            <w:tcW w:w="473" w:type="pct"/>
            <w:tcBorders>
              <w:top w:val="single" w:sz="12" w:space="0" w:color="008000"/>
              <w:bottom w:val="single" w:sz="6" w:space="0" w:color="008000"/>
            </w:tcBorders>
            <w:shd w:val="clear" w:color="auto" w:fill="FFFFFF"/>
          </w:tcPr>
          <w:p w14:paraId="75FE82D6" w14:textId="77777777" w:rsidR="00AE116A" w:rsidRPr="00E971C0" w:rsidRDefault="00AE116A" w:rsidP="00A20ED9">
            <w:pPr>
              <w:pStyle w:val="CETBodytext"/>
              <w:spacing w:line="240" w:lineRule="auto"/>
              <w:rPr>
                <w:lang w:val="en-GB"/>
              </w:rPr>
            </w:pPr>
            <w:r>
              <w:rPr>
                <w:lang w:val="en-GB"/>
              </w:rPr>
              <w:t>N K</w:t>
            </w:r>
          </w:p>
        </w:tc>
        <w:tc>
          <w:tcPr>
            <w:tcW w:w="473" w:type="pct"/>
            <w:tcBorders>
              <w:top w:val="single" w:sz="12" w:space="0" w:color="008000"/>
              <w:bottom w:val="single" w:sz="6" w:space="0" w:color="008000"/>
            </w:tcBorders>
            <w:shd w:val="clear" w:color="auto" w:fill="FFFFFF"/>
          </w:tcPr>
          <w:p w14:paraId="3FEE359E" w14:textId="77777777" w:rsidR="00AE116A" w:rsidRPr="00E971C0" w:rsidRDefault="00AE116A" w:rsidP="00A20ED9">
            <w:pPr>
              <w:pStyle w:val="CETBodytext"/>
              <w:spacing w:line="240" w:lineRule="auto"/>
              <w:rPr>
                <w:lang w:val="en-GB"/>
              </w:rPr>
            </w:pPr>
            <w:r>
              <w:rPr>
                <w:lang w:val="en-GB"/>
              </w:rPr>
              <w:t>O K</w:t>
            </w:r>
          </w:p>
        </w:tc>
        <w:tc>
          <w:tcPr>
            <w:tcW w:w="541" w:type="pct"/>
            <w:tcBorders>
              <w:top w:val="single" w:sz="12" w:space="0" w:color="008000"/>
              <w:bottom w:val="single" w:sz="6" w:space="0" w:color="008000"/>
            </w:tcBorders>
            <w:shd w:val="clear" w:color="auto" w:fill="FFFFFF"/>
          </w:tcPr>
          <w:p w14:paraId="308BBB34" w14:textId="77777777" w:rsidR="00AE116A" w:rsidRDefault="00AE116A" w:rsidP="00A20ED9">
            <w:pPr>
              <w:pStyle w:val="CETBodytext"/>
              <w:spacing w:line="240" w:lineRule="auto"/>
              <w:rPr>
                <w:lang w:val="en-GB"/>
              </w:rPr>
            </w:pPr>
            <w:r>
              <w:rPr>
                <w:lang w:val="en-GB"/>
              </w:rPr>
              <w:t>Na K</w:t>
            </w:r>
          </w:p>
        </w:tc>
        <w:tc>
          <w:tcPr>
            <w:tcW w:w="568" w:type="pct"/>
            <w:tcBorders>
              <w:top w:val="single" w:sz="12" w:space="0" w:color="008000"/>
              <w:bottom w:val="single" w:sz="6" w:space="0" w:color="008000"/>
            </w:tcBorders>
            <w:shd w:val="clear" w:color="auto" w:fill="FFFFFF"/>
          </w:tcPr>
          <w:p w14:paraId="7B997455" w14:textId="77777777" w:rsidR="00AE116A" w:rsidRDefault="00AE116A" w:rsidP="00A20ED9">
            <w:pPr>
              <w:pStyle w:val="CETBodytext"/>
              <w:spacing w:line="240" w:lineRule="auto"/>
              <w:rPr>
                <w:lang w:val="en-GB"/>
              </w:rPr>
            </w:pPr>
            <w:r>
              <w:rPr>
                <w:lang w:val="en-GB"/>
              </w:rPr>
              <w:t>Mg K</w:t>
            </w:r>
          </w:p>
        </w:tc>
        <w:tc>
          <w:tcPr>
            <w:tcW w:w="446" w:type="pct"/>
            <w:tcBorders>
              <w:top w:val="single" w:sz="12" w:space="0" w:color="008000"/>
              <w:bottom w:val="single" w:sz="6" w:space="0" w:color="008000"/>
            </w:tcBorders>
            <w:shd w:val="clear" w:color="auto" w:fill="FFFFFF"/>
          </w:tcPr>
          <w:p w14:paraId="4910D4CB" w14:textId="77777777" w:rsidR="00AE116A" w:rsidRDefault="00AE116A" w:rsidP="00A20ED9">
            <w:pPr>
              <w:pStyle w:val="CETBodytext"/>
              <w:spacing w:line="240" w:lineRule="auto"/>
              <w:rPr>
                <w:lang w:val="en-GB"/>
              </w:rPr>
            </w:pPr>
            <w:r>
              <w:rPr>
                <w:lang w:val="en-GB"/>
              </w:rPr>
              <w:t>Al K</w:t>
            </w:r>
          </w:p>
        </w:tc>
        <w:tc>
          <w:tcPr>
            <w:tcW w:w="460" w:type="pct"/>
            <w:tcBorders>
              <w:top w:val="single" w:sz="12" w:space="0" w:color="008000"/>
              <w:bottom w:val="single" w:sz="6" w:space="0" w:color="008000"/>
            </w:tcBorders>
            <w:shd w:val="clear" w:color="auto" w:fill="FFFFFF"/>
          </w:tcPr>
          <w:p w14:paraId="25C04996" w14:textId="77777777" w:rsidR="00AE116A" w:rsidRDefault="00AE116A" w:rsidP="00A20ED9">
            <w:pPr>
              <w:pStyle w:val="CETBodytext"/>
              <w:spacing w:line="240" w:lineRule="auto"/>
              <w:rPr>
                <w:lang w:val="en-GB"/>
              </w:rPr>
            </w:pPr>
            <w:r>
              <w:rPr>
                <w:lang w:val="en-GB"/>
              </w:rPr>
              <w:t>Cl K</w:t>
            </w:r>
          </w:p>
        </w:tc>
        <w:tc>
          <w:tcPr>
            <w:tcW w:w="485" w:type="pct"/>
            <w:tcBorders>
              <w:top w:val="single" w:sz="12" w:space="0" w:color="008000"/>
              <w:bottom w:val="single" w:sz="6" w:space="0" w:color="008000"/>
            </w:tcBorders>
            <w:shd w:val="clear" w:color="auto" w:fill="FFFFFF"/>
          </w:tcPr>
          <w:p w14:paraId="5CD3D12A" w14:textId="77777777" w:rsidR="00AE116A" w:rsidRDefault="00AE116A" w:rsidP="00A20ED9">
            <w:pPr>
              <w:pStyle w:val="CETBodytext"/>
              <w:spacing w:line="240" w:lineRule="auto"/>
              <w:rPr>
                <w:lang w:val="en-GB"/>
              </w:rPr>
            </w:pPr>
            <w:r>
              <w:rPr>
                <w:lang w:val="en-GB"/>
              </w:rPr>
              <w:t>Cr K</w:t>
            </w:r>
          </w:p>
        </w:tc>
        <w:tc>
          <w:tcPr>
            <w:tcW w:w="514" w:type="pct"/>
            <w:tcBorders>
              <w:top w:val="single" w:sz="12" w:space="0" w:color="008000"/>
              <w:bottom w:val="single" w:sz="6" w:space="0" w:color="008000"/>
            </w:tcBorders>
            <w:shd w:val="clear" w:color="auto" w:fill="FFFFFF"/>
          </w:tcPr>
          <w:p w14:paraId="450C11A6" w14:textId="77777777" w:rsidR="00AE116A" w:rsidRDefault="00AE116A" w:rsidP="00A20ED9">
            <w:pPr>
              <w:pStyle w:val="CETBodytext"/>
              <w:spacing w:line="240" w:lineRule="auto"/>
              <w:rPr>
                <w:lang w:val="en-GB"/>
              </w:rPr>
            </w:pPr>
            <w:r>
              <w:rPr>
                <w:lang w:val="en-GB"/>
              </w:rPr>
              <w:t>Fe K</w:t>
            </w:r>
          </w:p>
        </w:tc>
      </w:tr>
      <w:tr w:rsidR="00AE116A" w:rsidRPr="00B57B36" w14:paraId="14FD39DC" w14:textId="77777777" w:rsidTr="00AE116A">
        <w:tc>
          <w:tcPr>
            <w:tcW w:w="1040" w:type="pct"/>
            <w:shd w:val="clear" w:color="auto" w:fill="FFFFFF"/>
          </w:tcPr>
          <w:p w14:paraId="5DABBC28" w14:textId="77777777" w:rsidR="00AE116A" w:rsidRPr="00E971C0" w:rsidRDefault="00AE116A" w:rsidP="00A20ED9">
            <w:pPr>
              <w:pStyle w:val="CETBodytext"/>
              <w:spacing w:line="240" w:lineRule="auto"/>
              <w:rPr>
                <w:lang w:val="en-GB"/>
              </w:rPr>
            </w:pPr>
            <w:r>
              <w:rPr>
                <w:lang w:val="en-GB"/>
              </w:rPr>
              <w:t>Weight %</w:t>
            </w:r>
          </w:p>
        </w:tc>
        <w:tc>
          <w:tcPr>
            <w:tcW w:w="473" w:type="pct"/>
            <w:shd w:val="clear" w:color="auto" w:fill="FFFFFF"/>
          </w:tcPr>
          <w:p w14:paraId="205E3CF3" w14:textId="77777777" w:rsidR="00AE116A" w:rsidRPr="00E971C0" w:rsidRDefault="00AE116A" w:rsidP="00A20ED9">
            <w:pPr>
              <w:pStyle w:val="CETBodytext"/>
              <w:spacing w:line="240" w:lineRule="auto"/>
              <w:rPr>
                <w:lang w:val="en-GB"/>
              </w:rPr>
            </w:pPr>
            <w:r>
              <w:rPr>
                <w:lang w:val="en-GB"/>
              </w:rPr>
              <w:t>14.6</w:t>
            </w:r>
          </w:p>
        </w:tc>
        <w:tc>
          <w:tcPr>
            <w:tcW w:w="473" w:type="pct"/>
            <w:shd w:val="clear" w:color="auto" w:fill="FFFFFF"/>
          </w:tcPr>
          <w:p w14:paraId="5A54F7C3" w14:textId="77777777" w:rsidR="00AE116A" w:rsidRPr="00E971C0" w:rsidRDefault="00AE116A" w:rsidP="00A20ED9">
            <w:pPr>
              <w:pStyle w:val="CETBodytext"/>
              <w:spacing w:line="240" w:lineRule="auto"/>
              <w:rPr>
                <w:lang w:val="en-GB"/>
              </w:rPr>
            </w:pPr>
            <w:r>
              <w:rPr>
                <w:lang w:val="en-GB"/>
              </w:rPr>
              <w:t>57.6</w:t>
            </w:r>
          </w:p>
        </w:tc>
        <w:tc>
          <w:tcPr>
            <w:tcW w:w="541" w:type="pct"/>
            <w:shd w:val="clear" w:color="auto" w:fill="FFFFFF"/>
          </w:tcPr>
          <w:p w14:paraId="08B1EA9B" w14:textId="77777777" w:rsidR="00AE116A" w:rsidRDefault="00AE116A" w:rsidP="00A20ED9">
            <w:pPr>
              <w:pStyle w:val="CETBodytext"/>
              <w:spacing w:line="240" w:lineRule="auto"/>
              <w:rPr>
                <w:lang w:val="en-GB"/>
              </w:rPr>
            </w:pPr>
            <w:r>
              <w:rPr>
                <w:lang w:val="en-GB"/>
              </w:rPr>
              <w:t>19.9</w:t>
            </w:r>
          </w:p>
        </w:tc>
        <w:tc>
          <w:tcPr>
            <w:tcW w:w="568" w:type="pct"/>
            <w:shd w:val="clear" w:color="auto" w:fill="FFFFFF"/>
          </w:tcPr>
          <w:p w14:paraId="2C81EBF7" w14:textId="77777777" w:rsidR="00AE116A" w:rsidRDefault="00AE116A" w:rsidP="00A20ED9">
            <w:pPr>
              <w:pStyle w:val="CETBodytext"/>
              <w:spacing w:line="240" w:lineRule="auto"/>
              <w:rPr>
                <w:lang w:val="en-GB"/>
              </w:rPr>
            </w:pPr>
            <w:r>
              <w:rPr>
                <w:lang w:val="en-GB"/>
              </w:rPr>
              <w:t>1.3</w:t>
            </w:r>
          </w:p>
        </w:tc>
        <w:tc>
          <w:tcPr>
            <w:tcW w:w="446" w:type="pct"/>
            <w:shd w:val="clear" w:color="auto" w:fill="FFFFFF"/>
          </w:tcPr>
          <w:p w14:paraId="0F462A4A" w14:textId="77777777" w:rsidR="00AE116A" w:rsidRDefault="00AE116A" w:rsidP="00A20ED9">
            <w:pPr>
              <w:pStyle w:val="CETBodytext"/>
              <w:spacing w:line="240" w:lineRule="auto"/>
              <w:rPr>
                <w:lang w:val="en-GB"/>
              </w:rPr>
            </w:pPr>
            <w:r>
              <w:rPr>
                <w:lang w:val="en-GB"/>
              </w:rPr>
              <w:t>0.8</w:t>
            </w:r>
          </w:p>
        </w:tc>
        <w:tc>
          <w:tcPr>
            <w:tcW w:w="460" w:type="pct"/>
            <w:shd w:val="clear" w:color="auto" w:fill="FFFFFF"/>
          </w:tcPr>
          <w:p w14:paraId="11D11E45" w14:textId="77777777" w:rsidR="00AE116A" w:rsidRDefault="00AE116A" w:rsidP="00A20ED9">
            <w:pPr>
              <w:pStyle w:val="CETBodytext"/>
              <w:spacing w:line="240" w:lineRule="auto"/>
              <w:rPr>
                <w:lang w:val="en-GB"/>
              </w:rPr>
            </w:pPr>
            <w:r>
              <w:rPr>
                <w:lang w:val="en-GB"/>
              </w:rPr>
              <w:t>0.2</w:t>
            </w:r>
          </w:p>
        </w:tc>
        <w:tc>
          <w:tcPr>
            <w:tcW w:w="485" w:type="pct"/>
            <w:shd w:val="clear" w:color="auto" w:fill="FFFFFF"/>
          </w:tcPr>
          <w:p w14:paraId="1E82F830" w14:textId="77777777" w:rsidR="00AE116A" w:rsidRDefault="00AE116A" w:rsidP="00A20ED9">
            <w:pPr>
              <w:pStyle w:val="CETBodytext"/>
              <w:spacing w:line="240" w:lineRule="auto"/>
              <w:rPr>
                <w:lang w:val="en-GB"/>
              </w:rPr>
            </w:pPr>
            <w:r>
              <w:rPr>
                <w:lang w:val="en-GB"/>
              </w:rPr>
              <w:t>1.5</w:t>
            </w:r>
          </w:p>
        </w:tc>
        <w:tc>
          <w:tcPr>
            <w:tcW w:w="514" w:type="pct"/>
            <w:shd w:val="clear" w:color="auto" w:fill="FFFFFF"/>
          </w:tcPr>
          <w:p w14:paraId="217808FB" w14:textId="77777777" w:rsidR="00AE116A" w:rsidRDefault="00AE116A" w:rsidP="00A20ED9">
            <w:pPr>
              <w:pStyle w:val="CETBodytext"/>
              <w:spacing w:line="240" w:lineRule="auto"/>
              <w:rPr>
                <w:lang w:val="en-GB"/>
              </w:rPr>
            </w:pPr>
            <w:r>
              <w:rPr>
                <w:lang w:val="en-GB"/>
              </w:rPr>
              <w:t>4.1</w:t>
            </w:r>
          </w:p>
        </w:tc>
      </w:tr>
      <w:tr w:rsidR="00AE116A" w:rsidRPr="00B57B36" w14:paraId="3BD58367" w14:textId="77777777" w:rsidTr="00AE116A">
        <w:tc>
          <w:tcPr>
            <w:tcW w:w="1040" w:type="pct"/>
            <w:shd w:val="clear" w:color="auto" w:fill="FFFFFF"/>
          </w:tcPr>
          <w:p w14:paraId="51A17AFF" w14:textId="77777777" w:rsidR="00AE116A" w:rsidRPr="00E971C0" w:rsidRDefault="00AE116A" w:rsidP="00A20ED9">
            <w:pPr>
              <w:pStyle w:val="CETBodytext"/>
              <w:spacing w:line="240" w:lineRule="auto"/>
              <w:ind w:right="-1"/>
              <w:rPr>
                <w:rFonts w:cs="Arial"/>
                <w:szCs w:val="18"/>
                <w:lang w:val="en-GB"/>
              </w:rPr>
            </w:pPr>
            <w:r>
              <w:rPr>
                <w:rFonts w:cs="Arial"/>
                <w:szCs w:val="18"/>
                <w:lang w:val="en-GB"/>
              </w:rPr>
              <w:t>Atomic %</w:t>
            </w:r>
          </w:p>
        </w:tc>
        <w:tc>
          <w:tcPr>
            <w:tcW w:w="473" w:type="pct"/>
            <w:shd w:val="clear" w:color="auto" w:fill="FFFFFF"/>
          </w:tcPr>
          <w:p w14:paraId="3AF86CD1" w14:textId="77777777" w:rsidR="00AE116A" w:rsidRPr="00E971C0" w:rsidRDefault="00AE116A" w:rsidP="00A20ED9">
            <w:pPr>
              <w:pStyle w:val="CETBodytext"/>
              <w:spacing w:line="240" w:lineRule="auto"/>
              <w:ind w:right="-1"/>
              <w:rPr>
                <w:rFonts w:cs="Arial"/>
                <w:szCs w:val="18"/>
                <w:lang w:val="en-GB"/>
              </w:rPr>
            </w:pPr>
            <w:r>
              <w:rPr>
                <w:rFonts w:cs="Arial"/>
                <w:szCs w:val="18"/>
                <w:lang w:val="en-GB"/>
              </w:rPr>
              <w:t>18.3</w:t>
            </w:r>
          </w:p>
        </w:tc>
        <w:tc>
          <w:tcPr>
            <w:tcW w:w="473" w:type="pct"/>
            <w:shd w:val="clear" w:color="auto" w:fill="FFFFFF"/>
          </w:tcPr>
          <w:p w14:paraId="67736225" w14:textId="77777777" w:rsidR="00AE116A" w:rsidRPr="00E971C0" w:rsidRDefault="00AE116A" w:rsidP="00A20ED9">
            <w:pPr>
              <w:pStyle w:val="CETBodytext"/>
              <w:spacing w:line="240" w:lineRule="auto"/>
              <w:ind w:right="-1"/>
              <w:rPr>
                <w:rFonts w:cs="Arial"/>
                <w:szCs w:val="18"/>
                <w:lang w:val="en-GB"/>
              </w:rPr>
            </w:pPr>
            <w:r>
              <w:rPr>
                <w:rFonts w:cs="Arial"/>
                <w:szCs w:val="18"/>
                <w:lang w:val="en-GB"/>
              </w:rPr>
              <w:t>63.2</w:t>
            </w:r>
          </w:p>
        </w:tc>
        <w:tc>
          <w:tcPr>
            <w:tcW w:w="541" w:type="pct"/>
            <w:shd w:val="clear" w:color="auto" w:fill="FFFFFF"/>
          </w:tcPr>
          <w:p w14:paraId="50890593" w14:textId="77777777" w:rsidR="00AE116A" w:rsidRDefault="00AE116A" w:rsidP="00A20ED9">
            <w:pPr>
              <w:pStyle w:val="CETBodytext"/>
              <w:spacing w:line="240" w:lineRule="auto"/>
              <w:ind w:right="-1"/>
              <w:rPr>
                <w:rFonts w:cs="Arial"/>
                <w:szCs w:val="18"/>
                <w:lang w:val="en-GB"/>
              </w:rPr>
            </w:pPr>
            <w:r>
              <w:rPr>
                <w:rFonts w:cs="Arial"/>
                <w:szCs w:val="18"/>
                <w:lang w:val="en-GB"/>
              </w:rPr>
              <w:t>15.2</w:t>
            </w:r>
          </w:p>
        </w:tc>
        <w:tc>
          <w:tcPr>
            <w:tcW w:w="568" w:type="pct"/>
            <w:shd w:val="clear" w:color="auto" w:fill="FFFFFF"/>
          </w:tcPr>
          <w:p w14:paraId="33A7B3F7" w14:textId="77777777" w:rsidR="00AE116A" w:rsidRDefault="00AE116A" w:rsidP="00A20ED9">
            <w:pPr>
              <w:pStyle w:val="CETBodytext"/>
              <w:spacing w:line="240" w:lineRule="auto"/>
              <w:ind w:right="-1"/>
              <w:rPr>
                <w:rFonts w:cs="Arial"/>
                <w:szCs w:val="18"/>
                <w:lang w:val="en-GB"/>
              </w:rPr>
            </w:pPr>
            <w:r>
              <w:rPr>
                <w:rFonts w:cs="Arial"/>
                <w:szCs w:val="18"/>
                <w:lang w:val="en-GB"/>
              </w:rPr>
              <w:t>0.9</w:t>
            </w:r>
          </w:p>
        </w:tc>
        <w:tc>
          <w:tcPr>
            <w:tcW w:w="446" w:type="pct"/>
            <w:shd w:val="clear" w:color="auto" w:fill="FFFFFF"/>
          </w:tcPr>
          <w:p w14:paraId="43AFE339" w14:textId="77777777" w:rsidR="00AE116A" w:rsidRDefault="00AE116A" w:rsidP="00A20ED9">
            <w:pPr>
              <w:pStyle w:val="CETBodytext"/>
              <w:spacing w:line="240" w:lineRule="auto"/>
              <w:ind w:right="-1"/>
              <w:rPr>
                <w:rFonts w:cs="Arial"/>
                <w:szCs w:val="18"/>
                <w:lang w:val="en-GB"/>
              </w:rPr>
            </w:pPr>
            <w:r>
              <w:rPr>
                <w:rFonts w:cs="Arial"/>
                <w:szCs w:val="18"/>
                <w:lang w:val="en-GB"/>
              </w:rPr>
              <w:t>0.5</w:t>
            </w:r>
          </w:p>
        </w:tc>
        <w:tc>
          <w:tcPr>
            <w:tcW w:w="460" w:type="pct"/>
            <w:shd w:val="clear" w:color="auto" w:fill="FFFFFF"/>
          </w:tcPr>
          <w:p w14:paraId="4DACC90A" w14:textId="77777777" w:rsidR="00AE116A" w:rsidRDefault="00AE116A" w:rsidP="00A20ED9">
            <w:pPr>
              <w:pStyle w:val="CETBodytext"/>
              <w:spacing w:line="240" w:lineRule="auto"/>
              <w:ind w:right="-1"/>
              <w:rPr>
                <w:rFonts w:cs="Arial"/>
                <w:szCs w:val="18"/>
                <w:lang w:val="en-GB"/>
              </w:rPr>
            </w:pPr>
            <w:r>
              <w:rPr>
                <w:rFonts w:cs="Arial"/>
                <w:szCs w:val="18"/>
                <w:lang w:val="en-GB"/>
              </w:rPr>
              <w:t>0.1</w:t>
            </w:r>
          </w:p>
        </w:tc>
        <w:tc>
          <w:tcPr>
            <w:tcW w:w="485" w:type="pct"/>
            <w:shd w:val="clear" w:color="auto" w:fill="FFFFFF"/>
          </w:tcPr>
          <w:p w14:paraId="78A95B79" w14:textId="77777777" w:rsidR="00AE116A" w:rsidRDefault="00AE116A" w:rsidP="00A20ED9">
            <w:pPr>
              <w:pStyle w:val="CETBodytext"/>
              <w:spacing w:line="240" w:lineRule="auto"/>
              <w:ind w:right="-1"/>
              <w:rPr>
                <w:rFonts w:cs="Arial"/>
                <w:szCs w:val="18"/>
                <w:lang w:val="en-GB"/>
              </w:rPr>
            </w:pPr>
            <w:r>
              <w:rPr>
                <w:rFonts w:cs="Arial"/>
                <w:szCs w:val="18"/>
                <w:lang w:val="en-GB"/>
              </w:rPr>
              <w:t>0.5</w:t>
            </w:r>
          </w:p>
        </w:tc>
        <w:tc>
          <w:tcPr>
            <w:tcW w:w="514" w:type="pct"/>
            <w:shd w:val="clear" w:color="auto" w:fill="FFFFFF"/>
          </w:tcPr>
          <w:p w14:paraId="14271ECE" w14:textId="77777777" w:rsidR="00AE116A" w:rsidRDefault="00AE116A" w:rsidP="00A20ED9">
            <w:pPr>
              <w:pStyle w:val="CETBodytext"/>
              <w:spacing w:line="240" w:lineRule="auto"/>
              <w:ind w:right="-1"/>
              <w:rPr>
                <w:rFonts w:cs="Arial"/>
                <w:szCs w:val="18"/>
                <w:lang w:val="en-GB"/>
              </w:rPr>
            </w:pPr>
            <w:r>
              <w:rPr>
                <w:rFonts w:cs="Arial"/>
                <w:szCs w:val="18"/>
                <w:lang w:val="en-GB"/>
              </w:rPr>
              <w:t>1.3</w:t>
            </w:r>
          </w:p>
        </w:tc>
      </w:tr>
    </w:tbl>
    <w:p w14:paraId="129F3CE9" w14:textId="7BFEC3E6" w:rsidR="00E971C0" w:rsidRDefault="004F749F" w:rsidP="004F749F">
      <w:pPr>
        <w:pStyle w:val="CETheadingx"/>
      </w:pPr>
      <w:r>
        <w:t>Polyol characterization</w:t>
      </w:r>
    </w:p>
    <w:p w14:paraId="0326AB03" w14:textId="1B54F14D" w:rsidR="00E971C0" w:rsidRPr="006D0B7F" w:rsidRDefault="004F749F" w:rsidP="00600535">
      <w:pPr>
        <w:pStyle w:val="CETBodytext"/>
        <w:rPr>
          <w:lang w:val="en-GB"/>
        </w:rPr>
      </w:pPr>
      <w:r w:rsidRPr="006D0B7F">
        <w:rPr>
          <w:lang w:val="en-GB"/>
        </w:rPr>
        <w:t>The polyol obtained from the glycolysis was then characterized by FT-IR spectroscopy,</w:t>
      </w:r>
      <w:r w:rsidR="003C4DA2" w:rsidRPr="006D0B7F">
        <w:rPr>
          <w:lang w:val="en-GB"/>
        </w:rPr>
        <w:t xml:space="preserve"> </w:t>
      </w:r>
      <w:r w:rsidRPr="006D0B7F">
        <w:rPr>
          <w:lang w:val="en-GB"/>
        </w:rPr>
        <w:t>thermogravimetric analysis</w:t>
      </w:r>
      <w:r w:rsidR="000B5D7F" w:rsidRPr="006D0B7F">
        <w:rPr>
          <w:lang w:val="en-GB"/>
        </w:rPr>
        <w:t xml:space="preserve">, and </w:t>
      </w:r>
      <w:r w:rsidR="000B5D7F" w:rsidRPr="006D0B7F">
        <w:rPr>
          <w:vertAlign w:val="superscript"/>
          <w:lang w:val="en-GB"/>
        </w:rPr>
        <w:t>1</w:t>
      </w:r>
      <w:r w:rsidR="000B5D7F" w:rsidRPr="006D0B7F">
        <w:rPr>
          <w:lang w:val="en-GB"/>
        </w:rPr>
        <w:t>H NMR spectroscopy</w:t>
      </w:r>
      <w:r w:rsidR="00F04390" w:rsidRPr="006D0B7F">
        <w:rPr>
          <w:lang w:val="en-GB"/>
        </w:rPr>
        <w:t xml:space="preserve"> (</w:t>
      </w:r>
      <w:r w:rsidR="009B7F5D" w:rsidRPr="006D0B7F">
        <w:rPr>
          <w:lang w:val="en-GB"/>
        </w:rPr>
        <w:t>Bruker Advance 400</w:t>
      </w:r>
      <w:r w:rsidR="00F04390" w:rsidRPr="006D0B7F">
        <w:rPr>
          <w:lang w:val="en-GB"/>
        </w:rPr>
        <w:t>)</w:t>
      </w:r>
      <w:r w:rsidR="003411E9" w:rsidRPr="006D0B7F">
        <w:rPr>
          <w:lang w:val="en-GB"/>
        </w:rPr>
        <w:t>.</w:t>
      </w:r>
      <w:r w:rsidR="003C4DA2" w:rsidRPr="006D0B7F">
        <w:rPr>
          <w:lang w:val="en-GB"/>
        </w:rPr>
        <w:t xml:space="preserve"> </w:t>
      </w:r>
      <w:r w:rsidRPr="006D0B7F">
        <w:rPr>
          <w:lang w:val="en-GB"/>
        </w:rPr>
        <w:t xml:space="preserve">The FTIR spectrum in </w:t>
      </w:r>
      <w:r w:rsidR="00043200" w:rsidRPr="006D0B7F">
        <w:rPr>
          <w:lang w:val="en-GB"/>
        </w:rPr>
        <w:fldChar w:fldCharType="begin"/>
      </w:r>
      <w:r w:rsidR="00043200" w:rsidRPr="006D0B7F">
        <w:rPr>
          <w:lang w:val="en-GB"/>
        </w:rPr>
        <w:instrText xml:space="preserve"> REF _Ref190868291 \h </w:instrText>
      </w:r>
      <w:r w:rsidR="00043200" w:rsidRPr="006D0B7F">
        <w:rPr>
          <w:lang w:val="en-GB"/>
        </w:rPr>
      </w:r>
      <w:r w:rsidR="006D0B7F">
        <w:rPr>
          <w:lang w:val="en-GB"/>
        </w:rPr>
        <w:instrText xml:space="preserve"> \* MERGEFORMAT </w:instrText>
      </w:r>
      <w:r w:rsidR="00043200" w:rsidRPr="006D0B7F">
        <w:rPr>
          <w:lang w:val="en-GB"/>
        </w:rPr>
        <w:fldChar w:fldCharType="separate"/>
      </w:r>
      <w:r w:rsidR="00CB561D" w:rsidRPr="006D0B7F">
        <w:t xml:space="preserve">Figure </w:t>
      </w:r>
      <w:r w:rsidR="00CB561D" w:rsidRPr="006D0B7F">
        <w:rPr>
          <w:noProof/>
        </w:rPr>
        <w:t>5</w:t>
      </w:r>
      <w:r w:rsidR="00043200" w:rsidRPr="006D0B7F">
        <w:rPr>
          <w:lang w:val="en-GB"/>
        </w:rPr>
        <w:fldChar w:fldCharType="end"/>
      </w:r>
      <w:r w:rsidR="009C399D" w:rsidRPr="006D0B7F">
        <w:rPr>
          <w:lang w:val="en-GB"/>
        </w:rPr>
        <w:t xml:space="preserve"> shows</w:t>
      </w:r>
      <w:r w:rsidRPr="006D0B7F">
        <w:rPr>
          <w:lang w:val="en-GB"/>
        </w:rPr>
        <w:t xml:space="preserve"> </w:t>
      </w:r>
      <w:r w:rsidR="00313EB6" w:rsidRPr="006D0B7F">
        <w:rPr>
          <w:lang w:val="en-GB"/>
        </w:rPr>
        <w:t>high-purity</w:t>
      </w:r>
      <w:r w:rsidR="005C7571" w:rsidRPr="006D0B7F">
        <w:rPr>
          <w:lang w:val="en-GB"/>
        </w:rPr>
        <w:t xml:space="preserve"> polyol as compared with a commercial one. V</w:t>
      </w:r>
      <w:r w:rsidRPr="006D0B7F">
        <w:rPr>
          <w:lang w:val="en-GB"/>
        </w:rPr>
        <w:t xml:space="preserve">ibrational bands at </w:t>
      </w:r>
      <w:r w:rsidR="00043200" w:rsidRPr="006D0B7F">
        <w:rPr>
          <w:lang w:val="en-GB"/>
        </w:rPr>
        <w:t>3,316.11 cm</w:t>
      </w:r>
      <w:r w:rsidR="00043200" w:rsidRPr="006D0B7F">
        <w:rPr>
          <w:vertAlign w:val="superscript"/>
          <w:lang w:val="en-GB"/>
        </w:rPr>
        <w:t>-1</w:t>
      </w:r>
      <w:r w:rsidR="00573745" w:rsidRPr="006D0B7F">
        <w:rPr>
          <w:lang w:val="en-GB"/>
        </w:rPr>
        <w:t xml:space="preserve"> for the OH group</w:t>
      </w:r>
      <w:r w:rsidR="00043200" w:rsidRPr="006D0B7F">
        <w:rPr>
          <w:lang w:val="en-GB"/>
        </w:rPr>
        <w:t>, 1,704.86 cm</w:t>
      </w:r>
      <w:r w:rsidR="00043200" w:rsidRPr="006D0B7F">
        <w:rPr>
          <w:vertAlign w:val="superscript"/>
          <w:lang w:val="en-GB"/>
        </w:rPr>
        <w:t>-1</w:t>
      </w:r>
      <w:r w:rsidR="00573745" w:rsidRPr="006D0B7F">
        <w:rPr>
          <w:lang w:val="en-GB"/>
        </w:rPr>
        <w:t xml:space="preserve"> from </w:t>
      </w:r>
      <w:r w:rsidR="00313EB6" w:rsidRPr="006D0B7F">
        <w:rPr>
          <w:lang w:val="en-GB"/>
        </w:rPr>
        <w:t xml:space="preserve">the </w:t>
      </w:r>
      <w:r w:rsidR="00573745" w:rsidRPr="006D0B7F">
        <w:rPr>
          <w:lang w:val="en-GB"/>
        </w:rPr>
        <w:t>ester carbonyl group</w:t>
      </w:r>
      <w:r w:rsidR="00043200" w:rsidRPr="006D0B7F">
        <w:rPr>
          <w:lang w:val="en-GB"/>
        </w:rPr>
        <w:t>, 1,221.48 cm</w:t>
      </w:r>
      <w:r w:rsidR="00043200" w:rsidRPr="006D0B7F">
        <w:rPr>
          <w:vertAlign w:val="superscript"/>
          <w:lang w:val="en-GB"/>
        </w:rPr>
        <w:t>-1</w:t>
      </w:r>
      <w:r w:rsidR="00573745" w:rsidRPr="006D0B7F">
        <w:rPr>
          <w:lang w:val="en-GB"/>
        </w:rPr>
        <w:t xml:space="preserve"> from C-O from ester, ether</w:t>
      </w:r>
      <w:r w:rsidR="00313EB6" w:rsidRPr="006D0B7F">
        <w:rPr>
          <w:lang w:val="en-GB"/>
        </w:rPr>
        <w:t>,</w:t>
      </w:r>
      <w:r w:rsidR="00573745" w:rsidRPr="006D0B7F">
        <w:rPr>
          <w:lang w:val="en-GB"/>
        </w:rPr>
        <w:t xml:space="preserve"> and hydroxyl group</w:t>
      </w:r>
      <w:r w:rsidR="00043200" w:rsidRPr="006D0B7F">
        <w:rPr>
          <w:lang w:val="en-GB"/>
        </w:rPr>
        <w:t>, 1,085.68 cm</w:t>
      </w:r>
      <w:r w:rsidR="00043200" w:rsidRPr="006D0B7F">
        <w:rPr>
          <w:vertAlign w:val="superscript"/>
          <w:lang w:val="en-GB"/>
        </w:rPr>
        <w:t>-1</w:t>
      </w:r>
      <w:r w:rsidR="00573745" w:rsidRPr="006D0B7F">
        <w:rPr>
          <w:lang w:val="en-GB"/>
        </w:rPr>
        <w:t xml:space="preserve"> from C=O</w:t>
      </w:r>
      <w:r w:rsidR="005C7571" w:rsidRPr="006D0B7F">
        <w:rPr>
          <w:lang w:val="en-GB"/>
        </w:rPr>
        <w:t>.</w:t>
      </w:r>
      <w:r w:rsidR="00573745" w:rsidRPr="006D0B7F">
        <w:rPr>
          <w:lang w:val="en-GB"/>
        </w:rPr>
        <w:t xml:space="preserve"> 2,917.14 cm</w:t>
      </w:r>
      <w:r w:rsidR="00573745" w:rsidRPr="006D0B7F">
        <w:rPr>
          <w:vertAlign w:val="superscript"/>
          <w:lang w:val="en-GB"/>
        </w:rPr>
        <w:t>-1</w:t>
      </w:r>
      <w:r w:rsidR="00573745" w:rsidRPr="006D0B7F">
        <w:rPr>
          <w:lang w:val="en-GB"/>
        </w:rPr>
        <w:t>, 2,872.63 cm</w:t>
      </w:r>
      <w:r w:rsidR="00573745" w:rsidRPr="006D0B7F">
        <w:rPr>
          <w:vertAlign w:val="superscript"/>
          <w:lang w:val="en-GB"/>
        </w:rPr>
        <w:t>-</w:t>
      </w:r>
      <w:r w:rsidR="00573745" w:rsidRPr="006D0B7F">
        <w:rPr>
          <w:lang w:val="en-GB"/>
        </w:rPr>
        <w:t>1, 1,452.43 cm</w:t>
      </w:r>
      <w:r w:rsidR="00573745" w:rsidRPr="006D0B7F">
        <w:rPr>
          <w:vertAlign w:val="superscript"/>
          <w:lang w:val="en-GB"/>
        </w:rPr>
        <w:t>-1</w:t>
      </w:r>
      <w:r w:rsidR="00573745" w:rsidRPr="006D0B7F">
        <w:rPr>
          <w:lang w:val="en-GB"/>
        </w:rPr>
        <w:t>, 1,407.93 cm</w:t>
      </w:r>
      <w:r w:rsidR="00573745" w:rsidRPr="006D0B7F">
        <w:rPr>
          <w:vertAlign w:val="superscript"/>
          <w:lang w:val="en-GB"/>
        </w:rPr>
        <w:t>-1</w:t>
      </w:r>
      <w:r w:rsidR="00573745" w:rsidRPr="006D0B7F">
        <w:rPr>
          <w:lang w:val="en-GB"/>
        </w:rPr>
        <w:t xml:space="preserve"> are related to </w:t>
      </w:r>
      <w:r w:rsidR="00313EB6" w:rsidRPr="006D0B7F">
        <w:rPr>
          <w:lang w:val="en-GB"/>
        </w:rPr>
        <w:t xml:space="preserve">the </w:t>
      </w:r>
      <w:r w:rsidR="00573745" w:rsidRPr="006D0B7F">
        <w:rPr>
          <w:lang w:val="en-GB"/>
        </w:rPr>
        <w:t>bending of alkane C-H (</w:t>
      </w:r>
      <w:proofErr w:type="spellStart"/>
      <w:r w:rsidR="00573745" w:rsidRPr="006D0B7F">
        <w:rPr>
          <w:lang w:val="en-GB"/>
        </w:rPr>
        <w:t>Radojcic</w:t>
      </w:r>
      <w:proofErr w:type="spellEnd"/>
      <w:r w:rsidR="00573745" w:rsidRPr="006D0B7F">
        <w:rPr>
          <w:lang w:val="en-GB"/>
        </w:rPr>
        <w:t xml:space="preserve"> D. et al., 2013).</w:t>
      </w:r>
      <w:r w:rsidR="00D37A19" w:rsidRPr="006D0B7F">
        <w:rPr>
          <w:lang w:val="en-GB"/>
        </w:rPr>
        <w:t xml:space="preserve"> The presence in FTIR analysis of the</w:t>
      </w:r>
      <w:r w:rsidR="00540111" w:rsidRPr="006D0B7F">
        <w:rPr>
          <w:lang w:val="en-GB"/>
        </w:rPr>
        <w:t xml:space="preserve"> typical</w:t>
      </w:r>
      <w:r w:rsidR="00D37A19" w:rsidRPr="006D0B7F">
        <w:rPr>
          <w:lang w:val="en-GB"/>
        </w:rPr>
        <w:t xml:space="preserve"> vibrational bands corresponding to OH, C-O</w:t>
      </w:r>
      <w:r w:rsidR="00313EB6" w:rsidRPr="006D0B7F">
        <w:rPr>
          <w:lang w:val="en-GB"/>
        </w:rPr>
        <w:t>,</w:t>
      </w:r>
      <w:r w:rsidR="00D37A19" w:rsidRPr="006D0B7F">
        <w:rPr>
          <w:lang w:val="en-GB"/>
        </w:rPr>
        <w:t xml:space="preserve"> and C=O can be </w:t>
      </w:r>
      <w:r w:rsidR="00540111" w:rsidRPr="006D0B7F">
        <w:rPr>
          <w:lang w:val="en-GB"/>
        </w:rPr>
        <w:t xml:space="preserve">related to a </w:t>
      </w:r>
      <w:r w:rsidR="00313EB6" w:rsidRPr="006D0B7F">
        <w:rPr>
          <w:lang w:val="en-GB"/>
        </w:rPr>
        <w:t>successful</w:t>
      </w:r>
      <w:r w:rsidR="00540111" w:rsidRPr="006D0B7F">
        <w:rPr>
          <w:lang w:val="en-GB"/>
        </w:rPr>
        <w:t xml:space="preserve"> degradation of polyurethane foams and a sign of similar structure and properties to conventional polyether polyols</w:t>
      </w:r>
      <w:r w:rsidR="00624844" w:rsidRPr="006D0B7F">
        <w:rPr>
          <w:lang w:val="en-GB"/>
        </w:rPr>
        <w:t>, both for the polyol obtained with Fe</w:t>
      </w:r>
      <w:r w:rsidR="00624844" w:rsidRPr="006D0B7F">
        <w:rPr>
          <w:vertAlign w:val="subscript"/>
          <w:lang w:val="en-GB"/>
        </w:rPr>
        <w:t>3</w:t>
      </w:r>
      <w:r w:rsidR="00624844" w:rsidRPr="006D0B7F">
        <w:rPr>
          <w:lang w:val="en-GB"/>
        </w:rPr>
        <w:t>O</w:t>
      </w:r>
      <w:r w:rsidR="00624844" w:rsidRPr="006D0B7F">
        <w:rPr>
          <w:vertAlign w:val="subscript"/>
          <w:lang w:val="en-GB"/>
        </w:rPr>
        <w:t>4</w:t>
      </w:r>
      <w:r w:rsidR="00624844" w:rsidRPr="006D0B7F">
        <w:rPr>
          <w:lang w:val="en-GB"/>
        </w:rPr>
        <w:t xml:space="preserve"> and Fe</w:t>
      </w:r>
      <w:r w:rsidR="00624844" w:rsidRPr="006D0B7F">
        <w:rPr>
          <w:vertAlign w:val="subscript"/>
          <w:lang w:val="en-GB"/>
        </w:rPr>
        <w:t>3</w:t>
      </w:r>
      <w:r w:rsidR="00624844" w:rsidRPr="006D0B7F">
        <w:rPr>
          <w:lang w:val="en-GB"/>
        </w:rPr>
        <w:t>O</w:t>
      </w:r>
      <w:r w:rsidR="00624844" w:rsidRPr="006D0B7F">
        <w:rPr>
          <w:vertAlign w:val="subscript"/>
          <w:lang w:val="en-GB"/>
        </w:rPr>
        <w:t>4</w:t>
      </w:r>
      <w:r w:rsidR="00624844" w:rsidRPr="006D0B7F">
        <w:rPr>
          <w:lang w:val="en-GB"/>
        </w:rPr>
        <w:t>@MgAl catalyst</w:t>
      </w:r>
      <w:r w:rsidR="00540111" w:rsidRPr="006D0B7F">
        <w:rPr>
          <w:lang w:val="en-GB"/>
        </w:rPr>
        <w:t xml:space="preserve"> (</w:t>
      </w:r>
      <w:proofErr w:type="spellStart"/>
      <w:r w:rsidR="00540111" w:rsidRPr="006D0B7F">
        <w:rPr>
          <w:lang w:val="en-GB"/>
        </w:rPr>
        <w:t>Ivashchuk</w:t>
      </w:r>
      <w:proofErr w:type="spellEnd"/>
      <w:r w:rsidR="00540111" w:rsidRPr="006D0B7F">
        <w:rPr>
          <w:lang w:val="en-GB"/>
        </w:rPr>
        <w:t xml:space="preserve"> O.S. et al., 2025).</w:t>
      </w:r>
    </w:p>
    <w:p w14:paraId="0724C2E7" w14:textId="2932620E" w:rsidR="00043200" w:rsidRPr="006D0B7F" w:rsidRDefault="00624844" w:rsidP="00043200">
      <w:pPr>
        <w:pStyle w:val="CETBodytext"/>
        <w:keepNext/>
      </w:pPr>
      <w:r w:rsidRPr="006D0B7F">
        <w:rPr>
          <w:noProof/>
        </w:rPr>
        <w:drawing>
          <wp:inline distT="0" distB="0" distL="0" distR="0" wp14:anchorId="4AD29F5C" wp14:editId="699DAA2D">
            <wp:extent cx="3841728" cy="1454150"/>
            <wp:effectExtent l="0" t="0" r="6985" b="0"/>
            <wp:docPr id="205960730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8251" cy="1471760"/>
                    </a:xfrm>
                    <a:prstGeom prst="rect">
                      <a:avLst/>
                    </a:prstGeom>
                    <a:noFill/>
                  </pic:spPr>
                </pic:pic>
              </a:graphicData>
            </a:graphic>
          </wp:inline>
        </w:drawing>
      </w:r>
    </w:p>
    <w:p w14:paraId="6A4D5DCE" w14:textId="08F8D7DE" w:rsidR="004F749F" w:rsidRPr="006D0B7F" w:rsidRDefault="00043200" w:rsidP="00043200">
      <w:pPr>
        <w:pStyle w:val="CETCaption"/>
      </w:pPr>
      <w:bookmarkStart w:id="7" w:name="_Ref190868291"/>
      <w:r w:rsidRPr="006D0B7F">
        <w:t xml:space="preserve">Figure </w:t>
      </w:r>
      <w:r w:rsidRPr="006D0B7F">
        <w:fldChar w:fldCharType="begin"/>
      </w:r>
      <w:r w:rsidRPr="006D0B7F">
        <w:instrText xml:space="preserve"> SEQ Figure \* ARABIC </w:instrText>
      </w:r>
      <w:r w:rsidRPr="006D0B7F">
        <w:fldChar w:fldCharType="separate"/>
      </w:r>
      <w:r w:rsidR="002C3B37" w:rsidRPr="006D0B7F">
        <w:rPr>
          <w:noProof/>
        </w:rPr>
        <w:t>5</w:t>
      </w:r>
      <w:r w:rsidRPr="006D0B7F">
        <w:fldChar w:fldCharType="end"/>
      </w:r>
      <w:bookmarkEnd w:id="7"/>
      <w:r w:rsidRPr="006D0B7F">
        <w:t xml:space="preserve"> </w:t>
      </w:r>
      <w:r w:rsidR="002C3B37" w:rsidRPr="006D0B7F">
        <w:t xml:space="preserve">a) </w:t>
      </w:r>
      <w:r w:rsidR="007D7FC1" w:rsidRPr="006D0B7F">
        <w:t xml:space="preserve">Comparison </w:t>
      </w:r>
      <w:r w:rsidR="00313EB6" w:rsidRPr="006D0B7F">
        <w:t xml:space="preserve">of </w:t>
      </w:r>
      <w:r w:rsidR="007D7FC1" w:rsidRPr="006D0B7F">
        <w:t>p</w:t>
      </w:r>
      <w:r w:rsidRPr="006D0B7F">
        <w:t>olyol from glycolysis</w:t>
      </w:r>
      <w:r w:rsidR="00624844" w:rsidRPr="006D0B7F">
        <w:t xml:space="preserve"> (Fe</w:t>
      </w:r>
      <w:r w:rsidR="00624844" w:rsidRPr="006D0B7F">
        <w:rPr>
          <w:vertAlign w:val="subscript"/>
        </w:rPr>
        <w:t>3</w:t>
      </w:r>
      <w:r w:rsidR="00624844" w:rsidRPr="006D0B7F">
        <w:t>O</w:t>
      </w:r>
      <w:r w:rsidR="00624844" w:rsidRPr="006D0B7F">
        <w:rPr>
          <w:vertAlign w:val="subscript"/>
        </w:rPr>
        <w:t>4</w:t>
      </w:r>
      <w:r w:rsidR="00624844" w:rsidRPr="006D0B7F">
        <w:t xml:space="preserve"> and Fe</w:t>
      </w:r>
      <w:r w:rsidR="00624844" w:rsidRPr="006D0B7F">
        <w:rPr>
          <w:vertAlign w:val="subscript"/>
        </w:rPr>
        <w:t>3</w:t>
      </w:r>
      <w:r w:rsidR="00624844" w:rsidRPr="006D0B7F">
        <w:t>O</w:t>
      </w:r>
      <w:r w:rsidR="00624844" w:rsidRPr="006D0B7F">
        <w:rPr>
          <w:vertAlign w:val="subscript"/>
        </w:rPr>
        <w:t>4</w:t>
      </w:r>
      <w:r w:rsidR="00624844" w:rsidRPr="006D0B7F">
        <w:t>@MgAl)</w:t>
      </w:r>
      <w:r w:rsidRPr="006D0B7F">
        <w:t xml:space="preserve"> and commercial polyol FTIR spectra</w:t>
      </w:r>
      <w:r w:rsidR="00313EB6" w:rsidRPr="006D0B7F">
        <w:t>,</w:t>
      </w:r>
      <w:r w:rsidR="002C3B37" w:rsidRPr="006D0B7F">
        <w:t xml:space="preserve"> and b) comparison </w:t>
      </w:r>
      <w:r w:rsidR="00313EB6" w:rsidRPr="006D0B7F">
        <w:t xml:space="preserve">of </w:t>
      </w:r>
      <w:r w:rsidR="002C3B37" w:rsidRPr="006D0B7F">
        <w:t>polyol from glycolysis</w:t>
      </w:r>
      <w:r w:rsidR="00624844" w:rsidRPr="006D0B7F">
        <w:t xml:space="preserve"> (Fe</w:t>
      </w:r>
      <w:r w:rsidR="00624844" w:rsidRPr="006D0B7F">
        <w:rPr>
          <w:vertAlign w:val="subscript"/>
        </w:rPr>
        <w:t>3</w:t>
      </w:r>
      <w:r w:rsidR="00624844" w:rsidRPr="006D0B7F">
        <w:t>O</w:t>
      </w:r>
      <w:r w:rsidR="00624844" w:rsidRPr="006D0B7F">
        <w:rPr>
          <w:vertAlign w:val="subscript"/>
        </w:rPr>
        <w:t>4</w:t>
      </w:r>
      <w:r w:rsidR="00624844" w:rsidRPr="006D0B7F">
        <w:t xml:space="preserve"> and Fe</w:t>
      </w:r>
      <w:r w:rsidR="00624844" w:rsidRPr="006D0B7F">
        <w:rPr>
          <w:vertAlign w:val="subscript"/>
        </w:rPr>
        <w:t>3</w:t>
      </w:r>
      <w:r w:rsidR="00624844" w:rsidRPr="006D0B7F">
        <w:t>O</w:t>
      </w:r>
      <w:r w:rsidR="00624844" w:rsidRPr="006D0B7F">
        <w:rPr>
          <w:vertAlign w:val="subscript"/>
        </w:rPr>
        <w:t>4</w:t>
      </w:r>
      <w:r w:rsidR="00624844" w:rsidRPr="006D0B7F">
        <w:t>@MgAl)</w:t>
      </w:r>
      <w:r w:rsidR="002C3B37" w:rsidRPr="006D0B7F">
        <w:t xml:space="preserve"> and commercial polyol TG-DTG analysis</w:t>
      </w:r>
    </w:p>
    <w:p w14:paraId="5DC4BF5C" w14:textId="24B9D504" w:rsidR="003A328D" w:rsidRPr="006D0B7F" w:rsidRDefault="00385666" w:rsidP="00385666">
      <w:pPr>
        <w:pStyle w:val="CETBodytext"/>
        <w:rPr>
          <w:lang w:val="en-GB"/>
        </w:rPr>
      </w:pPr>
      <w:r w:rsidRPr="006D0B7F">
        <w:rPr>
          <w:lang w:val="en-GB"/>
        </w:rPr>
        <w:t>The thermogravimetric analysis of polyol is shown in</w:t>
      </w:r>
      <w:r w:rsidR="002C3B37" w:rsidRPr="006D0B7F">
        <w:rPr>
          <w:lang w:val="en-GB"/>
        </w:rPr>
        <w:t xml:space="preserve"> </w:t>
      </w:r>
      <w:r w:rsidR="002C3B37" w:rsidRPr="006D0B7F">
        <w:rPr>
          <w:lang w:val="en-GB"/>
        </w:rPr>
        <w:fldChar w:fldCharType="begin"/>
      </w:r>
      <w:r w:rsidR="002C3B37" w:rsidRPr="006D0B7F">
        <w:rPr>
          <w:lang w:val="en-GB"/>
        </w:rPr>
        <w:instrText xml:space="preserve"> REF _Ref190868291 \h </w:instrText>
      </w:r>
      <w:r w:rsidR="002C3B37" w:rsidRPr="006D0B7F">
        <w:rPr>
          <w:lang w:val="en-GB"/>
        </w:rPr>
      </w:r>
      <w:r w:rsidR="006D0B7F">
        <w:rPr>
          <w:lang w:val="en-GB"/>
        </w:rPr>
        <w:instrText xml:space="preserve"> \* MERGEFORMAT </w:instrText>
      </w:r>
      <w:r w:rsidR="002C3B37" w:rsidRPr="006D0B7F">
        <w:rPr>
          <w:lang w:val="en-GB"/>
        </w:rPr>
        <w:fldChar w:fldCharType="separate"/>
      </w:r>
      <w:r w:rsidR="002C3B37" w:rsidRPr="006D0B7F">
        <w:t xml:space="preserve">Figure </w:t>
      </w:r>
      <w:r w:rsidR="002C3B37" w:rsidRPr="006D0B7F">
        <w:rPr>
          <w:noProof/>
        </w:rPr>
        <w:t>5</w:t>
      </w:r>
      <w:r w:rsidR="002C3B37" w:rsidRPr="006D0B7F">
        <w:rPr>
          <w:lang w:val="en-GB"/>
        </w:rPr>
        <w:fldChar w:fldCharType="end"/>
      </w:r>
      <w:r w:rsidR="002C3B37" w:rsidRPr="006D0B7F">
        <w:rPr>
          <w:lang w:val="en-GB"/>
        </w:rPr>
        <w:t>b</w:t>
      </w:r>
      <w:r w:rsidRPr="006D0B7F">
        <w:rPr>
          <w:lang w:val="en-GB"/>
        </w:rPr>
        <w:t>. The polyol from glycolysis</w:t>
      </w:r>
      <w:r w:rsidR="00C15C40" w:rsidRPr="006D0B7F">
        <w:rPr>
          <w:lang w:val="en-GB"/>
        </w:rPr>
        <w:t xml:space="preserve"> with Fe</w:t>
      </w:r>
      <w:r w:rsidR="00C15C40" w:rsidRPr="006D0B7F">
        <w:rPr>
          <w:vertAlign w:val="subscript"/>
          <w:lang w:val="en-GB"/>
        </w:rPr>
        <w:t>3</w:t>
      </w:r>
      <w:r w:rsidR="00C15C40" w:rsidRPr="006D0B7F">
        <w:rPr>
          <w:lang w:val="en-GB"/>
        </w:rPr>
        <w:t>O</w:t>
      </w:r>
      <w:r w:rsidR="00C15C40" w:rsidRPr="006D0B7F">
        <w:rPr>
          <w:vertAlign w:val="subscript"/>
          <w:lang w:val="en-GB"/>
        </w:rPr>
        <w:t>4</w:t>
      </w:r>
      <w:r w:rsidR="00C15C40" w:rsidRPr="006D0B7F">
        <w:rPr>
          <w:lang w:val="en-GB"/>
        </w:rPr>
        <w:t>@</w:t>
      </w:r>
      <w:r w:rsidR="00AE116A" w:rsidRPr="006D0B7F">
        <w:rPr>
          <w:lang w:val="en-GB"/>
        </w:rPr>
        <w:t>MgAl is</w:t>
      </w:r>
      <w:r w:rsidRPr="006D0B7F">
        <w:rPr>
          <w:lang w:val="en-GB"/>
        </w:rPr>
        <w:t xml:space="preserve"> characterized by a </w:t>
      </w:r>
      <w:r w:rsidR="005C7571" w:rsidRPr="006D0B7F">
        <w:rPr>
          <w:lang w:val="en-GB"/>
        </w:rPr>
        <w:t>weight</w:t>
      </w:r>
      <w:r w:rsidRPr="006D0B7F">
        <w:rPr>
          <w:lang w:val="en-GB"/>
        </w:rPr>
        <w:t xml:space="preserve"> loss </w:t>
      </w:r>
      <w:r w:rsidR="005C7571" w:rsidRPr="006D0B7F">
        <w:rPr>
          <w:lang w:val="en-GB"/>
        </w:rPr>
        <w:t>starting at 150 °C, probably</w:t>
      </w:r>
      <w:r w:rsidRPr="006D0B7F">
        <w:rPr>
          <w:lang w:val="en-GB"/>
        </w:rPr>
        <w:t xml:space="preserve"> </w:t>
      </w:r>
      <w:r w:rsidR="005C7571" w:rsidRPr="006D0B7F">
        <w:rPr>
          <w:lang w:val="en-GB"/>
        </w:rPr>
        <w:t xml:space="preserve">due to </w:t>
      </w:r>
      <w:r w:rsidR="00313EB6" w:rsidRPr="006D0B7F">
        <w:rPr>
          <w:lang w:val="en-GB"/>
        </w:rPr>
        <w:t>bound</w:t>
      </w:r>
      <w:r w:rsidR="005C7571" w:rsidRPr="006D0B7F">
        <w:rPr>
          <w:lang w:val="en-GB"/>
        </w:rPr>
        <w:t xml:space="preserve"> water, followed by a</w:t>
      </w:r>
      <w:r w:rsidRPr="006D0B7F">
        <w:rPr>
          <w:lang w:val="en-GB"/>
        </w:rPr>
        <w:t xml:space="preserve"> polyol degrad</w:t>
      </w:r>
      <w:r w:rsidR="005C7571" w:rsidRPr="006D0B7F">
        <w:rPr>
          <w:lang w:val="en-GB"/>
        </w:rPr>
        <w:t xml:space="preserve">ation, which occurs in </w:t>
      </w:r>
      <w:r w:rsidRPr="006D0B7F">
        <w:rPr>
          <w:lang w:val="en-GB"/>
        </w:rPr>
        <w:t>agreement with the commercial polyol analysis.</w:t>
      </w:r>
      <w:r w:rsidR="00C15C40" w:rsidRPr="006D0B7F">
        <w:rPr>
          <w:lang w:val="en-GB"/>
        </w:rPr>
        <w:t xml:space="preserve"> The polyol </w:t>
      </w:r>
      <w:r w:rsidR="009B7F5D" w:rsidRPr="006D0B7F">
        <w:rPr>
          <w:lang w:val="en-GB"/>
        </w:rPr>
        <w:t xml:space="preserve">obtained </w:t>
      </w:r>
      <w:r w:rsidR="00C15C40" w:rsidRPr="006D0B7F">
        <w:rPr>
          <w:lang w:val="en-GB"/>
        </w:rPr>
        <w:t>from glycolysis with Fe</w:t>
      </w:r>
      <w:r w:rsidR="00C15C40" w:rsidRPr="006D0B7F">
        <w:rPr>
          <w:vertAlign w:val="subscript"/>
          <w:lang w:val="en-GB"/>
        </w:rPr>
        <w:t>3</w:t>
      </w:r>
      <w:r w:rsidR="00C15C40" w:rsidRPr="006D0B7F">
        <w:rPr>
          <w:lang w:val="en-GB"/>
        </w:rPr>
        <w:t>O</w:t>
      </w:r>
      <w:r w:rsidR="00C15C40" w:rsidRPr="006D0B7F">
        <w:rPr>
          <w:vertAlign w:val="subscript"/>
          <w:lang w:val="en-GB"/>
        </w:rPr>
        <w:t>4</w:t>
      </w:r>
      <w:r w:rsidR="00C15C40" w:rsidRPr="006D0B7F">
        <w:rPr>
          <w:lang w:val="en-GB"/>
        </w:rPr>
        <w:t xml:space="preserve">, instead, shows a greater weight loss below 100 °C, which is associated with water in the sample, followed by polyol degradation in agreement with the other two </w:t>
      </w:r>
      <w:r w:rsidR="004E634B" w:rsidRPr="006D0B7F">
        <w:rPr>
          <w:lang w:val="en-GB"/>
        </w:rPr>
        <w:t>samples</w:t>
      </w:r>
      <w:r w:rsidR="00C15C40" w:rsidRPr="006D0B7F">
        <w:rPr>
          <w:lang w:val="en-GB"/>
        </w:rPr>
        <w:t>. The higher water content in the sample from Fe</w:t>
      </w:r>
      <w:r w:rsidR="00C15C40" w:rsidRPr="006D0B7F">
        <w:rPr>
          <w:vertAlign w:val="subscript"/>
          <w:lang w:val="en-GB"/>
        </w:rPr>
        <w:t>3</w:t>
      </w:r>
      <w:r w:rsidR="00C15C40" w:rsidRPr="006D0B7F">
        <w:rPr>
          <w:lang w:val="en-GB"/>
        </w:rPr>
        <w:t>O</w:t>
      </w:r>
      <w:r w:rsidR="00C15C40" w:rsidRPr="006D0B7F">
        <w:rPr>
          <w:vertAlign w:val="subscript"/>
          <w:lang w:val="en-GB"/>
        </w:rPr>
        <w:t>4</w:t>
      </w:r>
      <w:r w:rsidR="00C15C40" w:rsidRPr="006D0B7F">
        <w:rPr>
          <w:lang w:val="en-GB"/>
        </w:rPr>
        <w:t xml:space="preserve"> glycolysis </w:t>
      </w:r>
      <w:r w:rsidR="004E634B" w:rsidRPr="006D0B7F">
        <w:rPr>
          <w:lang w:val="en-GB"/>
        </w:rPr>
        <w:t xml:space="preserve">can lead to side reactions in the polyurethane foam production. Isocyanates react with water to form carbamic acid, which decomposes to primary amine and subsequently to </w:t>
      </w:r>
      <w:proofErr w:type="spellStart"/>
      <w:r w:rsidR="004E634B" w:rsidRPr="006D0B7F">
        <w:rPr>
          <w:lang w:val="en-GB"/>
        </w:rPr>
        <w:t>polyureas</w:t>
      </w:r>
      <w:proofErr w:type="spellEnd"/>
      <w:r w:rsidR="001645EE" w:rsidRPr="006D0B7F">
        <w:rPr>
          <w:lang w:val="en-GB"/>
        </w:rPr>
        <w:t xml:space="preserve"> (</w:t>
      </w:r>
      <w:proofErr w:type="spellStart"/>
      <w:r w:rsidR="005C3560" w:rsidRPr="006D0B7F">
        <w:rPr>
          <w:lang w:val="en-GB"/>
        </w:rPr>
        <w:t>Suryawanshi</w:t>
      </w:r>
      <w:proofErr w:type="spellEnd"/>
      <w:r w:rsidR="005C3560" w:rsidRPr="006D0B7F">
        <w:rPr>
          <w:lang w:val="en-GB"/>
        </w:rPr>
        <w:t xml:space="preserve"> Y. et al., 2018</w:t>
      </w:r>
      <w:r w:rsidR="001645EE" w:rsidRPr="006D0B7F">
        <w:rPr>
          <w:lang w:val="en-GB"/>
        </w:rPr>
        <w:t>)</w:t>
      </w:r>
      <w:r w:rsidR="004E634B" w:rsidRPr="006D0B7F">
        <w:rPr>
          <w:lang w:val="en-GB"/>
        </w:rPr>
        <w:t xml:space="preserve">. This reaction path reduces the amount of isocyanate available for the </w:t>
      </w:r>
      <w:r w:rsidR="0097787E" w:rsidRPr="006D0B7F">
        <w:rPr>
          <w:lang w:val="en-GB"/>
        </w:rPr>
        <w:t>reaction</w:t>
      </w:r>
      <w:r w:rsidR="004E634B" w:rsidRPr="006D0B7F">
        <w:rPr>
          <w:lang w:val="en-GB"/>
        </w:rPr>
        <w:t xml:space="preserve"> with polyols</w:t>
      </w:r>
      <w:r w:rsidR="001645EE" w:rsidRPr="006D0B7F">
        <w:rPr>
          <w:lang w:val="en-GB"/>
        </w:rPr>
        <w:t xml:space="preserve">, and so it </w:t>
      </w:r>
      <w:r w:rsidR="001645EE" w:rsidRPr="006D0B7F">
        <w:rPr>
          <w:lang w:val="en-GB"/>
        </w:rPr>
        <w:lastRenderedPageBreak/>
        <w:t xml:space="preserve">requires either a higher amount of isocyanate or a further purification process </w:t>
      </w:r>
      <w:proofErr w:type="gramStart"/>
      <w:r w:rsidR="001645EE" w:rsidRPr="006D0B7F">
        <w:rPr>
          <w:lang w:val="en-GB"/>
        </w:rPr>
        <w:t>in order to</w:t>
      </w:r>
      <w:proofErr w:type="gramEnd"/>
      <w:r w:rsidR="001645EE" w:rsidRPr="006D0B7F">
        <w:rPr>
          <w:lang w:val="en-GB"/>
        </w:rPr>
        <w:t xml:space="preserve"> remove the excess water</w:t>
      </w:r>
      <w:r w:rsidR="004E634B" w:rsidRPr="006D0B7F">
        <w:rPr>
          <w:lang w:val="en-GB"/>
        </w:rPr>
        <w:t>.</w:t>
      </w:r>
      <w:r w:rsidR="009B7F5D" w:rsidRPr="006D0B7F">
        <w:rPr>
          <w:lang w:val="en-GB"/>
        </w:rPr>
        <w:t xml:space="preserve"> The thermogravimetric analysis reveals that while the commercial polyol undergoes a single weight loss event between 300 °C and 400 °C, the recycled polyols exhibit a two-step degradation process within the 200 °C to 400 °C range. This </w:t>
      </w:r>
      <w:proofErr w:type="spellStart"/>
      <w:r w:rsidR="009B7F5D" w:rsidRPr="006D0B7F">
        <w:rPr>
          <w:lang w:val="en-GB"/>
        </w:rPr>
        <w:t>behavior</w:t>
      </w:r>
      <w:proofErr w:type="spellEnd"/>
      <w:r w:rsidR="009B7F5D" w:rsidRPr="006D0B7F">
        <w:rPr>
          <w:lang w:val="en-GB"/>
        </w:rPr>
        <w:t xml:space="preserve"> is likely related to variations in the molecular weight distribution of the glycolysis-derived products (Kiss G. et al., 2020). </w:t>
      </w:r>
      <w:r w:rsidR="003A328D" w:rsidRPr="006D0B7F">
        <w:rPr>
          <w:lang w:val="en-GB"/>
        </w:rPr>
        <w:t xml:space="preserve">Moreover, since the range from 200 °C to 400 °C is associated </w:t>
      </w:r>
      <w:r w:rsidR="00313EB6" w:rsidRPr="006D0B7F">
        <w:rPr>
          <w:lang w:val="en-GB"/>
        </w:rPr>
        <w:t>with</w:t>
      </w:r>
      <w:r w:rsidR="003A328D" w:rsidRPr="006D0B7F">
        <w:rPr>
          <w:lang w:val="en-GB"/>
        </w:rPr>
        <w:t xml:space="preserve"> polyol degradation, it is possible to determine process yield </w:t>
      </w:r>
      <w:r w:rsidR="00313EB6" w:rsidRPr="006D0B7F">
        <w:rPr>
          <w:lang w:val="en-GB"/>
        </w:rPr>
        <w:t xml:space="preserve">by </w:t>
      </w:r>
      <w:r w:rsidR="003A328D" w:rsidRPr="006D0B7F">
        <w:rPr>
          <w:lang w:val="en-GB"/>
        </w:rPr>
        <w:t>measuring the weight loss of the sample in this range. In particular, the degradation yield can be measured to be</w:t>
      </w:r>
      <w:r w:rsidR="00F04390" w:rsidRPr="006D0B7F">
        <w:rPr>
          <w:lang w:val="en-GB"/>
        </w:rPr>
        <w:t xml:space="preserve"> 42 wt.% for the Fe</w:t>
      </w:r>
      <w:r w:rsidR="00F04390" w:rsidRPr="006D0B7F">
        <w:rPr>
          <w:vertAlign w:val="subscript"/>
          <w:lang w:val="en-GB"/>
        </w:rPr>
        <w:t>3</w:t>
      </w:r>
      <w:r w:rsidR="00F04390" w:rsidRPr="006D0B7F">
        <w:rPr>
          <w:lang w:val="en-GB"/>
        </w:rPr>
        <w:t>O</w:t>
      </w:r>
      <w:r w:rsidR="00F04390" w:rsidRPr="006D0B7F">
        <w:rPr>
          <w:vertAlign w:val="subscript"/>
          <w:lang w:val="en-GB"/>
        </w:rPr>
        <w:t>4</w:t>
      </w:r>
      <w:r w:rsidR="00F04390" w:rsidRPr="006D0B7F">
        <w:rPr>
          <w:lang w:val="en-GB"/>
        </w:rPr>
        <w:t xml:space="preserve"> sample and </w:t>
      </w:r>
      <w:r w:rsidR="003A328D" w:rsidRPr="006D0B7F">
        <w:rPr>
          <w:lang w:val="en-GB"/>
        </w:rPr>
        <w:t>75 wt.%</w:t>
      </w:r>
      <w:r w:rsidR="00F04390" w:rsidRPr="006D0B7F">
        <w:rPr>
          <w:lang w:val="en-GB"/>
        </w:rPr>
        <w:t xml:space="preserve"> for the Fe</w:t>
      </w:r>
      <w:r w:rsidR="00F04390" w:rsidRPr="006D0B7F">
        <w:rPr>
          <w:vertAlign w:val="subscript"/>
          <w:lang w:val="en-GB"/>
        </w:rPr>
        <w:t>3</w:t>
      </w:r>
      <w:r w:rsidR="00F04390" w:rsidRPr="006D0B7F">
        <w:rPr>
          <w:lang w:val="en-GB"/>
        </w:rPr>
        <w:t>O</w:t>
      </w:r>
      <w:r w:rsidR="00F04390" w:rsidRPr="006D0B7F">
        <w:rPr>
          <w:vertAlign w:val="subscript"/>
          <w:lang w:val="en-GB"/>
        </w:rPr>
        <w:t>4</w:t>
      </w:r>
      <w:r w:rsidR="00F04390" w:rsidRPr="006D0B7F">
        <w:rPr>
          <w:lang w:val="en-GB"/>
        </w:rPr>
        <w:t>@MgAl sample</w:t>
      </w:r>
      <w:r w:rsidR="003A328D" w:rsidRPr="006D0B7F">
        <w:rPr>
          <w:lang w:val="en-GB"/>
        </w:rPr>
        <w:t>.</w:t>
      </w:r>
      <w:r w:rsidR="00F04390" w:rsidRPr="006D0B7F">
        <w:rPr>
          <w:lang w:val="en-GB"/>
        </w:rPr>
        <w:t xml:space="preserve"> Therefore, it can be stated that the use of the nanocomposite shows higher polyol recovery compared to the Fe</w:t>
      </w:r>
      <w:r w:rsidR="00F04390" w:rsidRPr="006D0B7F">
        <w:rPr>
          <w:vertAlign w:val="subscript"/>
          <w:lang w:val="en-GB"/>
        </w:rPr>
        <w:t>3</w:t>
      </w:r>
      <w:r w:rsidR="00F04390" w:rsidRPr="006D0B7F">
        <w:rPr>
          <w:lang w:val="en-GB"/>
        </w:rPr>
        <w:t>O</w:t>
      </w:r>
      <w:r w:rsidR="00F04390" w:rsidRPr="006D0B7F">
        <w:rPr>
          <w:vertAlign w:val="subscript"/>
          <w:lang w:val="en-GB"/>
        </w:rPr>
        <w:t>4</w:t>
      </w:r>
      <w:r w:rsidR="00F04390" w:rsidRPr="006D0B7F">
        <w:rPr>
          <w:lang w:val="en-GB"/>
        </w:rPr>
        <w:t xml:space="preserve"> catalyst.</w:t>
      </w:r>
    </w:p>
    <w:p w14:paraId="107D3E66" w14:textId="77777777" w:rsidR="002C3B37" w:rsidRPr="006D0B7F" w:rsidRDefault="0008630F" w:rsidP="002C3B37">
      <w:pPr>
        <w:pStyle w:val="CETBodytext"/>
        <w:keepNext/>
      </w:pPr>
      <w:r w:rsidRPr="006D0B7F">
        <w:rPr>
          <w:lang w:val="en-GB"/>
        </w:rPr>
        <w:t xml:space="preserve"> </w:t>
      </w:r>
      <w:r w:rsidR="002C3B37" w:rsidRPr="006D0B7F">
        <w:rPr>
          <w:noProof/>
        </w:rPr>
        <w:drawing>
          <wp:inline distT="0" distB="0" distL="0" distR="0" wp14:anchorId="4FBD646C" wp14:editId="3253149E">
            <wp:extent cx="4260850" cy="1180383"/>
            <wp:effectExtent l="0" t="0" r="6350" b="1270"/>
            <wp:docPr id="1244191299" name="Immagine 2" descr="Immagine che contiene testo, linea, Diagramm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191299" name="Immagine 2" descr="Immagine che contiene testo, linea, Diagramma, schermata&#10;&#10;Il contenuto generato dall'IA potrebbe non essere corret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6769" cy="1204185"/>
                    </a:xfrm>
                    <a:prstGeom prst="rect">
                      <a:avLst/>
                    </a:prstGeom>
                    <a:noFill/>
                  </pic:spPr>
                </pic:pic>
              </a:graphicData>
            </a:graphic>
          </wp:inline>
        </w:drawing>
      </w:r>
    </w:p>
    <w:p w14:paraId="77E07AEA" w14:textId="7940697B" w:rsidR="0045565C" w:rsidRPr="006D0B7F" w:rsidRDefault="002C3B37" w:rsidP="002C3B37">
      <w:pPr>
        <w:pStyle w:val="CETCaption"/>
      </w:pPr>
      <w:bookmarkStart w:id="8" w:name="_Ref204082874"/>
      <w:r w:rsidRPr="006D0B7F">
        <w:t xml:space="preserve">Figure </w:t>
      </w:r>
      <w:r w:rsidRPr="006D0B7F">
        <w:fldChar w:fldCharType="begin"/>
      </w:r>
      <w:r w:rsidRPr="006D0B7F">
        <w:instrText xml:space="preserve"> SEQ Figure \* ARABIC </w:instrText>
      </w:r>
      <w:r w:rsidRPr="006D0B7F">
        <w:fldChar w:fldCharType="separate"/>
      </w:r>
      <w:r w:rsidRPr="006D0B7F">
        <w:t>6</w:t>
      </w:r>
      <w:r w:rsidRPr="006D0B7F">
        <w:fldChar w:fldCharType="end"/>
      </w:r>
      <w:bookmarkEnd w:id="8"/>
      <w:r w:rsidRPr="006D0B7F">
        <w:t xml:space="preserve"> H-NMR spectra of a) polyol (commercial) and b) polyol (glycolysis)</w:t>
      </w:r>
    </w:p>
    <w:p w14:paraId="76F6DCCC" w14:textId="7C1B65D0" w:rsidR="000B5D7F" w:rsidRPr="006D0B7F" w:rsidRDefault="009B7F5D" w:rsidP="009B7F5D">
      <w:pPr>
        <w:pStyle w:val="CETBodytext"/>
        <w:rPr>
          <w:lang w:val="en-GB"/>
        </w:rPr>
      </w:pPr>
      <w:r w:rsidRPr="006D0B7F">
        <w:rPr>
          <w:lang w:val="en-GB"/>
        </w:rPr>
        <w:t xml:space="preserve">Figure 6 shows the ¹H-NMR spectra of the commercial polyol and the polyol obtained via glycolysis. In the commercial polyol, peaks at 3.3032–3.5198 ppm are attributed to hydroxyl groups, while 1.0444 and 1.0542 ppm correspond to methyl groups (Fu K. et al., 2025; Briones R. et al., 2011; </w:t>
      </w:r>
      <w:proofErr w:type="spellStart"/>
      <w:r w:rsidRPr="006D0B7F">
        <w:rPr>
          <w:lang w:val="en-GB"/>
        </w:rPr>
        <w:t>Dragunski</w:t>
      </w:r>
      <w:proofErr w:type="spellEnd"/>
      <w:r w:rsidRPr="006D0B7F">
        <w:rPr>
          <w:lang w:val="en-GB"/>
        </w:rPr>
        <w:t xml:space="preserve"> D.C. and </w:t>
      </w:r>
      <w:proofErr w:type="spellStart"/>
      <w:r w:rsidRPr="006D0B7F">
        <w:rPr>
          <w:lang w:val="en-GB"/>
        </w:rPr>
        <w:t>Pawlincka</w:t>
      </w:r>
      <w:proofErr w:type="spellEnd"/>
      <w:r w:rsidRPr="006D0B7F">
        <w:rPr>
          <w:lang w:val="en-GB"/>
        </w:rPr>
        <w:t xml:space="preserve"> A., 2001). The glycolysis-derived polyol exhibits similar −OH peaks (3.3492–3.5220 ppm), a signal at 4.4539 ppm from a −CH</w:t>
      </w:r>
      <w:r w:rsidRPr="006D0B7F">
        <w:rPr>
          <w:rFonts w:ascii="Cambria Math" w:hAnsi="Cambria Math" w:cs="Cambria Math"/>
          <w:lang w:val="en-GB"/>
        </w:rPr>
        <w:t>₂</w:t>
      </w:r>
      <w:r w:rsidRPr="006D0B7F">
        <w:rPr>
          <w:rFonts w:cs="Arial"/>
          <w:lang w:val="en-GB"/>
        </w:rPr>
        <w:t>−</w:t>
      </w:r>
      <w:r w:rsidRPr="006D0B7F">
        <w:rPr>
          <w:lang w:val="en-GB"/>
        </w:rPr>
        <w:t>O</w:t>
      </w:r>
      <w:r w:rsidRPr="006D0B7F">
        <w:rPr>
          <w:rFonts w:cs="Arial"/>
          <w:lang w:val="en-GB"/>
        </w:rPr>
        <w:t>−</w:t>
      </w:r>
      <w:r w:rsidRPr="006D0B7F">
        <w:rPr>
          <w:lang w:val="en-GB"/>
        </w:rPr>
        <w:t xml:space="preserve"> group near an aromatic ring, and aromatic and urethane </w:t>
      </w:r>
      <w:r w:rsidRPr="006D0B7F">
        <w:rPr>
          <w:rFonts w:cs="Arial"/>
          <w:lang w:val="en-GB"/>
        </w:rPr>
        <w:t>−</w:t>
      </w:r>
      <w:r w:rsidRPr="006D0B7F">
        <w:rPr>
          <w:lang w:val="en-GB"/>
        </w:rPr>
        <w:t>NH peaks between 6.4600</w:t>
      </w:r>
      <w:r w:rsidRPr="006D0B7F">
        <w:rPr>
          <w:rFonts w:cs="Arial"/>
          <w:lang w:val="en-GB"/>
        </w:rPr>
        <w:t>–</w:t>
      </w:r>
      <w:r w:rsidRPr="006D0B7F">
        <w:rPr>
          <w:lang w:val="en-GB"/>
        </w:rPr>
        <w:t>9.5753 ppm (Tang Q. and Gao K., 2017; Pegoraro M. et al., 2002).These peaks may indicate residual byproducts or impurities from the glycolysis process.</w:t>
      </w:r>
    </w:p>
    <w:p w14:paraId="65725849" w14:textId="77777777" w:rsidR="003411E9" w:rsidRPr="00B57B36" w:rsidRDefault="003411E9" w:rsidP="003411E9">
      <w:pPr>
        <w:pStyle w:val="CETHeading1"/>
        <w:rPr>
          <w:lang w:val="en-GB"/>
        </w:rPr>
      </w:pPr>
      <w:r w:rsidRPr="00B57B36">
        <w:rPr>
          <w:lang w:val="en-GB"/>
        </w:rPr>
        <w:t>Conclusions</w:t>
      </w:r>
    </w:p>
    <w:p w14:paraId="062F1287" w14:textId="6C569C89" w:rsidR="001F25AF" w:rsidRDefault="009B7F5D" w:rsidP="009B7F5D">
      <w:pPr>
        <w:pStyle w:val="CETBodytext"/>
        <w:rPr>
          <w:lang w:val="en-GB"/>
        </w:rPr>
      </w:pPr>
      <w:r w:rsidRPr="009B7F5D">
        <w:rPr>
          <w:lang w:val="en-GB"/>
        </w:rPr>
        <w:t xml:space="preserve">In this study, a </w:t>
      </w:r>
      <w:proofErr w:type="spellStart"/>
      <w:r w:rsidRPr="009B7F5D">
        <w:rPr>
          <w:lang w:val="en-GB"/>
        </w:rPr>
        <w:t>Fe</w:t>
      </w:r>
      <w:r w:rsidRPr="009B7F5D">
        <w:rPr>
          <w:rFonts w:ascii="Cambria Math" w:hAnsi="Cambria Math" w:cs="Cambria Math"/>
          <w:lang w:val="en-GB"/>
        </w:rPr>
        <w:t>₃</w:t>
      </w:r>
      <w:r w:rsidRPr="009B7F5D">
        <w:rPr>
          <w:lang w:val="en-GB"/>
        </w:rPr>
        <w:t>O</w:t>
      </w:r>
      <w:proofErr w:type="spellEnd"/>
      <w:r w:rsidRPr="009B7F5D">
        <w:rPr>
          <w:rFonts w:ascii="Cambria Math" w:hAnsi="Cambria Math" w:cs="Cambria Math"/>
          <w:lang w:val="en-GB"/>
        </w:rPr>
        <w:t>₄</w:t>
      </w:r>
      <w:r w:rsidRPr="009B7F5D">
        <w:rPr>
          <w:lang w:val="en-GB"/>
        </w:rPr>
        <w:t>@</w:t>
      </w:r>
      <w:proofErr w:type="spellStart"/>
      <w:r w:rsidRPr="009B7F5D">
        <w:rPr>
          <w:lang w:val="en-GB"/>
        </w:rPr>
        <w:t>MgAl</w:t>
      </w:r>
      <w:proofErr w:type="spellEnd"/>
      <w:r w:rsidRPr="009B7F5D">
        <w:rPr>
          <w:lang w:val="en-GB"/>
        </w:rPr>
        <w:t xml:space="preserve"> nanocomposite was synthesized and employed as a catalyst for the glycolysis of polyurethane foam. The characterization of the nanocomposite, supported by a comprehensive comparison with literature data, confirmed the successful synthesis of the material.</w:t>
      </w:r>
      <w:r>
        <w:rPr>
          <w:lang w:val="en-GB"/>
        </w:rPr>
        <w:t xml:space="preserve"> </w:t>
      </w:r>
      <w:r w:rsidRPr="009B7F5D">
        <w:rPr>
          <w:lang w:val="en-GB"/>
        </w:rPr>
        <w:t>The catalyst demonstrated effective activity in producing polyol from polyurethane foam waste, attributed to its high surface area at the nanoscale. Additionally, its magnetic properties enabled easy recovery after the reaction.</w:t>
      </w:r>
      <w:r>
        <w:rPr>
          <w:lang w:val="en-GB"/>
        </w:rPr>
        <w:t xml:space="preserve"> </w:t>
      </w:r>
      <w:r w:rsidRPr="009B7F5D">
        <w:rPr>
          <w:lang w:val="en-GB"/>
        </w:rPr>
        <w:t>The resulting polyol was characterized and compared with a commercial reference polyol. Both FTIR spectroscopy and thermogravimetric analysis (TGA) showed that the glycolysis-derived polyol exhibited comparable properties to the commercial product, supporting its potential as a sustainable alternative to fossil-based polyols in polyurethane foam production.</w:t>
      </w:r>
    </w:p>
    <w:p w14:paraId="3E8431B6" w14:textId="77777777" w:rsidR="00725D69" w:rsidRPr="00725D69" w:rsidRDefault="00725D69" w:rsidP="00725D69">
      <w:pPr>
        <w:pStyle w:val="CETAcknowledgementstitle"/>
      </w:pPr>
      <w:r w:rsidRPr="00725D69">
        <w:t>Acknowledgments</w:t>
      </w:r>
    </w:p>
    <w:p w14:paraId="2F197241" w14:textId="0EFB88F3" w:rsidR="00725D69" w:rsidRPr="00725D69" w:rsidRDefault="00725D69" w:rsidP="00600535">
      <w:pPr>
        <w:pStyle w:val="CETBodytext"/>
        <w:rPr>
          <w:lang w:val="it-IT"/>
        </w:rPr>
      </w:pPr>
      <w:r w:rsidRPr="00725D69">
        <w:t xml:space="preserve">This research was supported by the "Horizon Europe" program, funded by the European Union (C&amp;G Kiel Italia </w:t>
      </w:r>
      <w:proofErr w:type="spellStart"/>
      <w:r w:rsidRPr="00725D69">
        <w:t>srl</w:t>
      </w:r>
      <w:proofErr w:type="spellEnd"/>
      <w:r w:rsidRPr="00725D69">
        <w:t xml:space="preserve"> -Italy, project leader. </w:t>
      </w:r>
      <w:r w:rsidRPr="00725D69">
        <w:rPr>
          <w:lang w:val="it-IT"/>
        </w:rPr>
        <w:t xml:space="preserve">Project n. F/310234/03/X56– REA - Introduzione di </w:t>
      </w:r>
      <w:proofErr w:type="spellStart"/>
      <w:r w:rsidRPr="00725D69">
        <w:rPr>
          <w:lang w:val="it-IT"/>
        </w:rPr>
        <w:t>mateRiali</w:t>
      </w:r>
      <w:proofErr w:type="spellEnd"/>
      <w:r w:rsidRPr="00725D69">
        <w:rPr>
          <w:lang w:val="it-IT"/>
        </w:rPr>
        <w:t xml:space="preserve"> e </w:t>
      </w:r>
      <w:proofErr w:type="spellStart"/>
      <w:r w:rsidRPr="00725D69">
        <w:rPr>
          <w:lang w:val="it-IT"/>
        </w:rPr>
        <w:t>tEcnologie</w:t>
      </w:r>
      <w:proofErr w:type="spellEnd"/>
      <w:r w:rsidRPr="00725D69">
        <w:rPr>
          <w:lang w:val="it-IT"/>
        </w:rPr>
        <w:t xml:space="preserve"> circolari e sostenibili nell'industria del trasporto di </w:t>
      </w:r>
      <w:proofErr w:type="spellStart"/>
      <w:r w:rsidRPr="00725D69">
        <w:rPr>
          <w:lang w:val="it-IT"/>
        </w:rPr>
        <w:t>massA</w:t>
      </w:r>
      <w:proofErr w:type="spellEnd"/>
      <w:r w:rsidRPr="00725D69">
        <w:rPr>
          <w:lang w:val="it-IT"/>
        </w:rPr>
        <w:t xml:space="preserve">   - </w:t>
      </w:r>
      <w:proofErr w:type="spellStart"/>
      <w:r w:rsidRPr="00725D69">
        <w:rPr>
          <w:lang w:val="it-IT"/>
        </w:rPr>
        <w:t>Introduction</w:t>
      </w:r>
      <w:proofErr w:type="spellEnd"/>
      <w:r w:rsidRPr="00725D69">
        <w:rPr>
          <w:lang w:val="it-IT"/>
        </w:rPr>
        <w:t xml:space="preserve"> of </w:t>
      </w:r>
      <w:proofErr w:type="spellStart"/>
      <w:r w:rsidRPr="00725D69">
        <w:rPr>
          <w:lang w:val="it-IT"/>
        </w:rPr>
        <w:t>circular</w:t>
      </w:r>
      <w:proofErr w:type="spellEnd"/>
      <w:r w:rsidRPr="00725D69">
        <w:rPr>
          <w:lang w:val="it-IT"/>
        </w:rPr>
        <w:t xml:space="preserve"> and </w:t>
      </w:r>
      <w:proofErr w:type="spellStart"/>
      <w:r w:rsidRPr="00725D69">
        <w:rPr>
          <w:lang w:val="it-IT"/>
        </w:rPr>
        <w:t>sustainable</w:t>
      </w:r>
      <w:proofErr w:type="spellEnd"/>
      <w:r w:rsidRPr="00725D69">
        <w:rPr>
          <w:lang w:val="it-IT"/>
        </w:rPr>
        <w:t xml:space="preserve"> </w:t>
      </w:r>
      <w:proofErr w:type="spellStart"/>
      <w:r w:rsidRPr="00725D69">
        <w:rPr>
          <w:lang w:val="it-IT"/>
        </w:rPr>
        <w:t>materials</w:t>
      </w:r>
      <w:proofErr w:type="spellEnd"/>
      <w:r w:rsidRPr="00725D69">
        <w:rPr>
          <w:lang w:val="it-IT"/>
        </w:rPr>
        <w:t xml:space="preserve"> and </w:t>
      </w:r>
      <w:proofErr w:type="spellStart"/>
      <w:r w:rsidRPr="00725D69">
        <w:rPr>
          <w:lang w:val="it-IT"/>
        </w:rPr>
        <w:t>technologies</w:t>
      </w:r>
      <w:proofErr w:type="spellEnd"/>
      <w:r w:rsidRPr="00725D69">
        <w:rPr>
          <w:lang w:val="it-IT"/>
        </w:rPr>
        <w:t xml:space="preserve"> in the mass </w:t>
      </w:r>
      <w:proofErr w:type="spellStart"/>
      <w:r w:rsidRPr="00725D69">
        <w:rPr>
          <w:lang w:val="it-IT"/>
        </w:rPr>
        <w:t>transport</w:t>
      </w:r>
      <w:proofErr w:type="spellEnd"/>
      <w:r w:rsidRPr="00725D69">
        <w:rPr>
          <w:lang w:val="it-IT"/>
        </w:rPr>
        <w:t xml:space="preserve"> </w:t>
      </w:r>
      <w:proofErr w:type="spellStart"/>
      <w:r w:rsidRPr="00725D69">
        <w:rPr>
          <w:lang w:val="it-IT"/>
        </w:rPr>
        <w:t>industry</w:t>
      </w:r>
      <w:proofErr w:type="spellEnd"/>
      <w:r w:rsidRPr="00725D69">
        <w:rPr>
          <w:lang w:val="it-IT"/>
        </w:rPr>
        <w:t>).</w:t>
      </w:r>
    </w:p>
    <w:p w14:paraId="4F1327F8" w14:textId="77777777" w:rsidR="00600535" w:rsidRDefault="00600535" w:rsidP="00600535">
      <w:pPr>
        <w:pStyle w:val="CETReference"/>
      </w:pPr>
      <w:r w:rsidRPr="00B57B36">
        <w:t>References</w:t>
      </w:r>
    </w:p>
    <w:p w14:paraId="2F82ED31" w14:textId="7E6A823E" w:rsidR="00AB660B" w:rsidRPr="006D0B7F" w:rsidRDefault="00AB660B" w:rsidP="00495C77">
      <w:pPr>
        <w:pStyle w:val="CETReferencetext"/>
      </w:pPr>
      <w:r>
        <w:t xml:space="preserve">Ai L., </w:t>
      </w:r>
      <w:r w:rsidRPr="006D0B7F">
        <w:t xml:space="preserve">Zhang C., Meng L., 2011, Adsorption of Methyl Orange from Aqueous Solution on Hydrothermal Synthesized Mg-Al Layered Double Hydroxide, </w:t>
      </w:r>
      <w:r w:rsidR="009912C4" w:rsidRPr="006D0B7F">
        <w:t>Journal of Chemical &amp; Engineering Data, 56.</w:t>
      </w:r>
    </w:p>
    <w:p w14:paraId="6AC56327" w14:textId="545DD2DC" w:rsidR="00C20768" w:rsidRPr="006D0B7F" w:rsidRDefault="00C20768" w:rsidP="00495C77">
      <w:pPr>
        <w:pStyle w:val="CETReferencetext"/>
      </w:pPr>
      <w:r w:rsidRPr="006D0B7F">
        <w:t>Briones R., Serrano L., Younes R.B., Mondragon I., Labidi J., 2011, Polyol production by chemical modification of date seeds, Industrial Crops and Products, 34, 1035-1040.</w:t>
      </w:r>
    </w:p>
    <w:p w14:paraId="653B5973" w14:textId="7176E058" w:rsidR="00D20BD0" w:rsidRPr="006D0B7F" w:rsidRDefault="00D20BD0" w:rsidP="00495C77">
      <w:pPr>
        <w:pStyle w:val="CETReferencetext"/>
      </w:pPr>
      <w:r w:rsidRPr="006D0B7F">
        <w:t xml:space="preserve">Sarita Chandran A., </w:t>
      </w:r>
      <w:proofErr w:type="spellStart"/>
      <w:r w:rsidRPr="006D0B7F">
        <w:t>Ushami</w:t>
      </w:r>
      <w:proofErr w:type="spellEnd"/>
      <w:r w:rsidRPr="006D0B7F">
        <w:t xml:space="preserve"> M., </w:t>
      </w:r>
      <w:proofErr w:type="spellStart"/>
      <w:r w:rsidRPr="006D0B7F">
        <w:t>Krishnaraj</w:t>
      </w:r>
      <w:proofErr w:type="spellEnd"/>
      <w:r w:rsidRPr="006D0B7F">
        <w:t xml:space="preserve"> M.V., 2023, International Journal of Advanced Research in Science, communication and Technology (IJARSCT), 3.</w:t>
      </w:r>
    </w:p>
    <w:p w14:paraId="35FC482B" w14:textId="476CAF03" w:rsidR="00E11A4D" w:rsidRPr="006D0B7F" w:rsidRDefault="00E11A4D" w:rsidP="00495C77">
      <w:pPr>
        <w:pStyle w:val="CETReferencetext"/>
      </w:pPr>
      <w:r w:rsidRPr="006D0B7F">
        <w:t xml:space="preserve">Deng R., Davies P., Bajaj A.K., 2003, Flexible polyurethane foam modelling and identification of viscoelastic </w:t>
      </w:r>
      <w:proofErr w:type="spellStart"/>
      <w:r w:rsidRPr="006D0B7F">
        <w:t>parametera</w:t>
      </w:r>
      <w:proofErr w:type="spellEnd"/>
      <w:r w:rsidRPr="006D0B7F">
        <w:t xml:space="preserve"> for automotive seating applications, Journal of Sound and Vibration, 262, 391-417.</w:t>
      </w:r>
    </w:p>
    <w:p w14:paraId="31852D2B" w14:textId="569DD8BE" w:rsidR="00495C77" w:rsidRPr="006D0B7F" w:rsidRDefault="00495C77" w:rsidP="00495C77">
      <w:pPr>
        <w:pStyle w:val="CETReferencetext"/>
      </w:pPr>
      <w:r w:rsidRPr="006D0B7F">
        <w:rPr>
          <w:lang w:val="it-IT"/>
        </w:rPr>
        <w:t xml:space="preserve">Donadini R., </w:t>
      </w:r>
      <w:proofErr w:type="spellStart"/>
      <w:r w:rsidRPr="006D0B7F">
        <w:rPr>
          <w:lang w:val="it-IT"/>
        </w:rPr>
        <w:t>Boaretti</w:t>
      </w:r>
      <w:proofErr w:type="spellEnd"/>
      <w:r w:rsidRPr="006D0B7F">
        <w:rPr>
          <w:lang w:val="it-IT"/>
        </w:rPr>
        <w:t xml:space="preserve"> C., Lorenzetti A., Roso M., Penzo D., Lago E. D., Modesti M., 2023</w:t>
      </w:r>
      <w:r w:rsidR="00C34BBF" w:rsidRPr="006D0B7F">
        <w:rPr>
          <w:lang w:val="it-IT"/>
        </w:rPr>
        <w:t>a</w:t>
      </w:r>
      <w:r w:rsidRPr="006D0B7F">
        <w:rPr>
          <w:lang w:val="it-IT"/>
        </w:rPr>
        <w:t xml:space="preserve">, Chemical </w:t>
      </w:r>
      <w:proofErr w:type="spellStart"/>
      <w:r w:rsidRPr="006D0B7F">
        <w:rPr>
          <w:lang w:val="it-IT"/>
        </w:rPr>
        <w:t>recycling</w:t>
      </w:r>
      <w:proofErr w:type="spellEnd"/>
      <w:r w:rsidRPr="006D0B7F">
        <w:rPr>
          <w:lang w:val="it-IT"/>
        </w:rPr>
        <w:t xml:space="preserve"> of </w:t>
      </w:r>
      <w:proofErr w:type="spellStart"/>
      <w:r w:rsidRPr="006D0B7F">
        <w:rPr>
          <w:lang w:val="it-IT"/>
        </w:rPr>
        <w:t>polyurethane</w:t>
      </w:r>
      <w:proofErr w:type="spellEnd"/>
      <w:r w:rsidRPr="006D0B7F">
        <w:rPr>
          <w:lang w:val="it-IT"/>
        </w:rPr>
        <w:t xml:space="preserve"> </w:t>
      </w:r>
      <w:proofErr w:type="spellStart"/>
      <w:r w:rsidRPr="006D0B7F">
        <w:rPr>
          <w:lang w:val="it-IT"/>
        </w:rPr>
        <w:t>waste</w:t>
      </w:r>
      <w:proofErr w:type="spellEnd"/>
      <w:r w:rsidRPr="006D0B7F">
        <w:rPr>
          <w:lang w:val="it-IT"/>
        </w:rPr>
        <w:t xml:space="preserve"> via a </w:t>
      </w:r>
      <w:proofErr w:type="spellStart"/>
      <w:r w:rsidRPr="006D0B7F">
        <w:rPr>
          <w:lang w:val="it-IT"/>
        </w:rPr>
        <w:t>Microwave-Assisted</w:t>
      </w:r>
      <w:proofErr w:type="spellEnd"/>
      <w:r w:rsidRPr="006D0B7F">
        <w:rPr>
          <w:lang w:val="it-IT"/>
        </w:rPr>
        <w:t xml:space="preserve"> </w:t>
      </w:r>
      <w:proofErr w:type="spellStart"/>
      <w:r w:rsidRPr="006D0B7F">
        <w:rPr>
          <w:lang w:val="it-IT"/>
        </w:rPr>
        <w:t>glycolysis</w:t>
      </w:r>
      <w:proofErr w:type="spellEnd"/>
      <w:r w:rsidRPr="006D0B7F">
        <w:rPr>
          <w:lang w:val="it-IT"/>
        </w:rPr>
        <w:t xml:space="preserve"> </w:t>
      </w:r>
      <w:proofErr w:type="spellStart"/>
      <w:r w:rsidRPr="006D0B7F">
        <w:rPr>
          <w:lang w:val="it-IT"/>
        </w:rPr>
        <w:t>process</w:t>
      </w:r>
      <w:proofErr w:type="spellEnd"/>
      <w:r w:rsidRPr="006D0B7F">
        <w:rPr>
          <w:lang w:val="it-IT"/>
        </w:rPr>
        <w:t xml:space="preserve">. </w:t>
      </w:r>
      <w:r w:rsidRPr="006D0B7F">
        <w:t>ACS Omega, 8(5), 4655–4666.</w:t>
      </w:r>
    </w:p>
    <w:p w14:paraId="3EE99E9D" w14:textId="5E148421" w:rsidR="00C34BBF" w:rsidRPr="006D0B7F" w:rsidRDefault="00C34BBF" w:rsidP="007429A2">
      <w:pPr>
        <w:pStyle w:val="CETReferencetext"/>
      </w:pPr>
      <w:r w:rsidRPr="006D0B7F">
        <w:lastRenderedPageBreak/>
        <w:t xml:space="preserve">Donadini R., </w:t>
      </w:r>
      <w:proofErr w:type="spellStart"/>
      <w:r w:rsidRPr="006D0B7F">
        <w:t>Boaretti</w:t>
      </w:r>
      <w:proofErr w:type="spellEnd"/>
      <w:r w:rsidRPr="006D0B7F">
        <w:t xml:space="preserve"> C., Scopel L., Lorenzetti A., Modesti M., 2023b, Deamination of Polyols from the Glycolysis of Polyurethane, Chemistry – A European Journal, 30.</w:t>
      </w:r>
    </w:p>
    <w:p w14:paraId="5BD0CCE2" w14:textId="4F32993A" w:rsidR="00C10700" w:rsidRPr="006D0B7F" w:rsidRDefault="00C10700" w:rsidP="007429A2">
      <w:pPr>
        <w:pStyle w:val="CETReferencetext"/>
      </w:pPr>
      <w:r w:rsidRPr="006D0B7F">
        <w:t>Dragunski D.C., Pawlicka A., 2001, Preparation and characterization of starch grafted with toluene poly (propylene oxide) diisocyanate, Materials Research, 4(2), 77-81.</w:t>
      </w:r>
    </w:p>
    <w:p w14:paraId="68443012" w14:textId="2796567C" w:rsidR="00C10700" w:rsidRPr="006D0B7F" w:rsidRDefault="00C10700" w:rsidP="007429A2">
      <w:pPr>
        <w:pStyle w:val="CETReferencetext"/>
      </w:pPr>
      <w:r w:rsidRPr="006D0B7F">
        <w:t>Fu K., Hou L., Yang X., Lin Y., Tian H., Zhao S., Chang C., Han X., 2025, Efficient glycolysis of polyurethane (PU) foam using biobased crude glycerol for oil-water separation sponge and rigid PU foam preparation: Optimization and techno-economic evaluation, Separation and Purification Technology, 369, 133174</w:t>
      </w:r>
    </w:p>
    <w:p w14:paraId="665C2907" w14:textId="488F5CD8" w:rsidR="007429A2" w:rsidRPr="006D0B7F" w:rsidRDefault="007429A2" w:rsidP="007429A2">
      <w:pPr>
        <w:pStyle w:val="CETReferencetext"/>
      </w:pPr>
      <w:proofErr w:type="spellStart"/>
      <w:r w:rsidRPr="006D0B7F">
        <w:t>Heiran</w:t>
      </w:r>
      <w:proofErr w:type="spellEnd"/>
      <w:r w:rsidRPr="006D0B7F">
        <w:t xml:space="preserve"> R., </w:t>
      </w:r>
      <w:proofErr w:type="spellStart"/>
      <w:r w:rsidRPr="006D0B7F">
        <w:t>Ghaderian</w:t>
      </w:r>
      <w:proofErr w:type="spellEnd"/>
      <w:r w:rsidRPr="006D0B7F">
        <w:t xml:space="preserve"> A., </w:t>
      </w:r>
      <w:proofErr w:type="spellStart"/>
      <w:r w:rsidRPr="006D0B7F">
        <w:t>Reghunadhan</w:t>
      </w:r>
      <w:proofErr w:type="spellEnd"/>
      <w:r w:rsidRPr="006D0B7F">
        <w:t xml:space="preserve"> A., </w:t>
      </w:r>
      <w:proofErr w:type="spellStart"/>
      <w:r w:rsidRPr="006D0B7F">
        <w:t>Sedaghati</w:t>
      </w:r>
      <w:proofErr w:type="spellEnd"/>
      <w:r w:rsidRPr="006D0B7F">
        <w:t xml:space="preserve"> F., Thomas, S., Haghighi, A. H., 2021, Glycolysis: an efficient route for recycling of </w:t>
      </w:r>
      <w:proofErr w:type="gramStart"/>
      <w:r w:rsidRPr="006D0B7F">
        <w:t>end of life</w:t>
      </w:r>
      <w:proofErr w:type="gramEnd"/>
      <w:r w:rsidRPr="006D0B7F">
        <w:t xml:space="preserve"> polyurethane foams. Journal of Polymer Research, 28(1).</w:t>
      </w:r>
    </w:p>
    <w:p w14:paraId="5B91F0EB" w14:textId="17B57380" w:rsidR="00540111" w:rsidRPr="006D0B7F" w:rsidRDefault="00540111" w:rsidP="007429A2">
      <w:pPr>
        <w:pStyle w:val="CETReferencetext"/>
      </w:pPr>
      <w:r w:rsidRPr="006D0B7F">
        <w:t xml:space="preserve">Ivashchuk O.S., Suprun W.Y., </w:t>
      </w:r>
      <w:proofErr w:type="spellStart"/>
      <w:r w:rsidRPr="006D0B7F">
        <w:t>Atamanyuk</w:t>
      </w:r>
      <w:proofErr w:type="spellEnd"/>
      <w:r w:rsidRPr="006D0B7F">
        <w:t xml:space="preserve"> V.M., </w:t>
      </w:r>
      <w:proofErr w:type="spellStart"/>
      <w:r w:rsidRPr="006D0B7F">
        <w:t>Kurhanskyi</w:t>
      </w:r>
      <w:proofErr w:type="spellEnd"/>
      <w:r w:rsidRPr="006D0B7F">
        <w:t xml:space="preserve"> V.S., </w:t>
      </w:r>
      <w:proofErr w:type="spellStart"/>
      <w:r w:rsidRPr="006D0B7F">
        <w:t>Nahurskyi</w:t>
      </w:r>
      <w:proofErr w:type="spellEnd"/>
      <w:r w:rsidRPr="006D0B7F">
        <w:t xml:space="preserve"> A.O., </w:t>
      </w:r>
      <w:proofErr w:type="spellStart"/>
      <w:r w:rsidRPr="006D0B7F">
        <w:t>Chyzhovych</w:t>
      </w:r>
      <w:proofErr w:type="spellEnd"/>
      <w:r w:rsidRPr="006D0B7F">
        <w:t xml:space="preserve"> R.A., 2025. Depolymerization of rigid polyurethane waste by catalytic glycolysis with diethylene glycol, South African Journal of Chemical Engineering, 52, 61-67.</w:t>
      </w:r>
    </w:p>
    <w:p w14:paraId="1BA220E1" w14:textId="1B582208" w:rsidR="007733BB" w:rsidRPr="006D0B7F" w:rsidRDefault="007733BB" w:rsidP="007429A2">
      <w:pPr>
        <w:pStyle w:val="CETReferencetext"/>
      </w:pPr>
      <w:r w:rsidRPr="006D0B7F">
        <w:t xml:space="preserve">Jamil N., Mehmood M, Lateef A., Nazir R, </w:t>
      </w:r>
      <w:proofErr w:type="spellStart"/>
      <w:r w:rsidRPr="006D0B7F">
        <w:t>Ahsad</w:t>
      </w:r>
      <w:proofErr w:type="spellEnd"/>
      <w:r w:rsidRPr="006D0B7F">
        <w:t xml:space="preserve"> N.,</w:t>
      </w:r>
      <w:r w:rsidR="00E10299" w:rsidRPr="006D0B7F">
        <w:t xml:space="preserve"> 2015,</w:t>
      </w:r>
      <w:r w:rsidRPr="006D0B7F">
        <w:t xml:space="preserve"> MgO Nanoparticles for the Removal of Reactive dyes from Wastewater. Advanced Materials: TechConnect Briefs.</w:t>
      </w:r>
    </w:p>
    <w:p w14:paraId="7F6B7850" w14:textId="59680B7B" w:rsidR="0048042D" w:rsidRPr="006D0B7F" w:rsidRDefault="0048042D" w:rsidP="007429A2">
      <w:pPr>
        <w:pStyle w:val="CETReferencetext"/>
      </w:pPr>
      <w:r w:rsidRPr="006D0B7F">
        <w:t xml:space="preserve">Kiss G., Rusu G., </w:t>
      </w:r>
      <w:r w:rsidR="0024413D" w:rsidRPr="006D0B7F">
        <w:t>Peter F., Tanase I., Bandur G., 2020, Recovery of flexible polyurethane Foam Waste foe Efficient Reuse in Industrial Formulations. Polymers, 12(7), 1533.</w:t>
      </w:r>
    </w:p>
    <w:p w14:paraId="2859F431" w14:textId="01B3A421" w:rsidR="00495C77" w:rsidRPr="006D0B7F" w:rsidRDefault="00495C77" w:rsidP="00495C77">
      <w:pPr>
        <w:pStyle w:val="CETReferencetext"/>
      </w:pPr>
      <w:proofErr w:type="spellStart"/>
      <w:r w:rsidRPr="006D0B7F">
        <w:t>Lalhmangaihzuala</w:t>
      </w:r>
      <w:proofErr w:type="spellEnd"/>
      <w:r w:rsidRPr="006D0B7F">
        <w:t xml:space="preserve"> S., </w:t>
      </w:r>
      <w:proofErr w:type="spellStart"/>
      <w:r w:rsidRPr="006D0B7F">
        <w:t>Laldinpuii</w:t>
      </w:r>
      <w:proofErr w:type="spellEnd"/>
      <w:r w:rsidRPr="006D0B7F">
        <w:t xml:space="preserve"> Z., </w:t>
      </w:r>
      <w:proofErr w:type="spellStart"/>
      <w:r w:rsidRPr="006D0B7F">
        <w:t>Khiangte</w:t>
      </w:r>
      <w:proofErr w:type="spellEnd"/>
      <w:r w:rsidRPr="006D0B7F">
        <w:t xml:space="preserve"> V., </w:t>
      </w:r>
      <w:proofErr w:type="spellStart"/>
      <w:r w:rsidRPr="006D0B7F">
        <w:t>Lallawmzuali</w:t>
      </w:r>
      <w:proofErr w:type="spellEnd"/>
      <w:r w:rsidRPr="006D0B7F">
        <w:t xml:space="preserve"> G., </w:t>
      </w:r>
      <w:proofErr w:type="spellStart"/>
      <w:r w:rsidRPr="006D0B7F">
        <w:t>Thanhmingliana</w:t>
      </w:r>
      <w:proofErr w:type="spellEnd"/>
      <w:r w:rsidRPr="006D0B7F">
        <w:t xml:space="preserve"> N., </w:t>
      </w:r>
      <w:proofErr w:type="spellStart"/>
      <w:r w:rsidRPr="006D0B7F">
        <w:t>Vanlaldinpuia</w:t>
      </w:r>
      <w:proofErr w:type="spellEnd"/>
      <w:r w:rsidRPr="006D0B7F">
        <w:t xml:space="preserve"> K., 2023, Orange peel ash coated Fe3O4 nanoparticles as a magnetically retrievable catalyst for glycolysis and </w:t>
      </w:r>
      <w:proofErr w:type="spellStart"/>
      <w:r w:rsidRPr="006D0B7F">
        <w:t>methanolysis</w:t>
      </w:r>
      <w:proofErr w:type="spellEnd"/>
      <w:r w:rsidRPr="006D0B7F">
        <w:t xml:space="preserve"> of PET waste. Advanced Powder Technology, 34(7), 104076.</w:t>
      </w:r>
    </w:p>
    <w:p w14:paraId="4424A675" w14:textId="7DB1FD52" w:rsidR="00222FA7" w:rsidRPr="006D0B7F" w:rsidRDefault="00222FA7" w:rsidP="007429A2">
      <w:pPr>
        <w:pStyle w:val="CETReferencetext"/>
      </w:pPr>
      <w:r w:rsidRPr="006D0B7F">
        <w:t>Molero C., De Lucas A., Rodriguez J.F., 2006, Recovery of polyols from flexible polyurethane foam by “split-phase” glycolysis with new catalysts, Polymer Degradation and Stability, 91, 894-901.</w:t>
      </w:r>
    </w:p>
    <w:p w14:paraId="3814CEBE" w14:textId="0D7C48FC" w:rsidR="00FB3737" w:rsidRPr="006D0B7F" w:rsidRDefault="00FB3737" w:rsidP="007429A2">
      <w:pPr>
        <w:pStyle w:val="CETReferencetext"/>
      </w:pPr>
      <w:proofErr w:type="spellStart"/>
      <w:r w:rsidRPr="006D0B7F">
        <w:t>Mokaizh</w:t>
      </w:r>
      <w:proofErr w:type="spellEnd"/>
      <w:r w:rsidRPr="006D0B7F">
        <w:t xml:space="preserve"> A.A.B., </w:t>
      </w:r>
      <w:proofErr w:type="spellStart"/>
      <w:r w:rsidRPr="006D0B7F">
        <w:t>Shariffuddin</w:t>
      </w:r>
      <w:proofErr w:type="spellEnd"/>
      <w:r w:rsidRPr="006D0B7F">
        <w:t xml:space="preserve"> J.H., </w:t>
      </w:r>
      <w:proofErr w:type="spellStart"/>
      <w:r w:rsidRPr="006D0B7F">
        <w:t>Baari</w:t>
      </w:r>
      <w:r w:rsidR="00E10299" w:rsidRPr="006D0B7F">
        <w:t>mah</w:t>
      </w:r>
      <w:proofErr w:type="spellEnd"/>
      <w:r w:rsidR="00E10299" w:rsidRPr="006D0B7F">
        <w:t xml:space="preserve"> A.O., Al-Fakih A., Mohamed A., </w:t>
      </w:r>
      <w:proofErr w:type="spellStart"/>
      <w:r w:rsidR="00E10299" w:rsidRPr="006D0B7F">
        <w:t>Baarimah</w:t>
      </w:r>
      <w:proofErr w:type="spellEnd"/>
      <w:r w:rsidR="00E10299" w:rsidRPr="006D0B7F">
        <w:t xml:space="preserve"> S.O., Al-</w:t>
      </w:r>
      <w:proofErr w:type="spellStart"/>
      <w:r w:rsidR="00E10299" w:rsidRPr="006D0B7F">
        <w:t>Mekhlafi</w:t>
      </w:r>
      <w:proofErr w:type="spellEnd"/>
      <w:r w:rsidR="00E10299" w:rsidRPr="006D0B7F">
        <w:t xml:space="preserve"> A.A., </w:t>
      </w:r>
      <w:proofErr w:type="spellStart"/>
      <w:r w:rsidR="00E10299" w:rsidRPr="006D0B7F">
        <w:t>Alenezi</w:t>
      </w:r>
      <w:proofErr w:type="spellEnd"/>
      <w:r w:rsidR="00E10299" w:rsidRPr="006D0B7F">
        <w:t xml:space="preserve"> H., Olalere O.A., Saeed A.A.H., 2022, Elucidating the Effects of Reaction Time on the Physicochemical Characterization of </w:t>
      </w:r>
      <w:proofErr w:type="spellStart"/>
      <w:r w:rsidR="00E10299" w:rsidRPr="006D0B7F">
        <w:t>Valorized</w:t>
      </w:r>
      <w:proofErr w:type="spellEnd"/>
      <w:r w:rsidR="00E10299" w:rsidRPr="006D0B7F">
        <w:t xml:space="preserve"> Synthesized Alumina. Mechanical Properties of Advanced Materials and Structures, 15(9), 3046.</w:t>
      </w:r>
    </w:p>
    <w:p w14:paraId="1D054900" w14:textId="5B5D9D73" w:rsidR="002856E3" w:rsidRPr="006D0B7F" w:rsidRDefault="002856E3" w:rsidP="007429A2">
      <w:pPr>
        <w:pStyle w:val="CETReferencetext"/>
      </w:pPr>
      <w:r w:rsidRPr="006D0B7F">
        <w:t xml:space="preserve">Pegoraro M., Galbiati A., Ricca G., 2002, </w:t>
      </w:r>
      <w:r w:rsidRPr="006D0B7F">
        <w:rPr>
          <w:vertAlign w:val="superscript"/>
        </w:rPr>
        <w:t>1</w:t>
      </w:r>
      <w:r w:rsidRPr="006D0B7F">
        <w:t xml:space="preserve">H nuclear magnetic resonance study of polyurethane prepolymers from toluene diisocyanate and polypropylene glycol, </w:t>
      </w:r>
      <w:r w:rsidR="00447481" w:rsidRPr="006D0B7F">
        <w:t>Journal of Applied Polymer Science, 87, 347-357.</w:t>
      </w:r>
    </w:p>
    <w:p w14:paraId="73D6A4BD" w14:textId="2E06CE87" w:rsidR="00FB3737" w:rsidRPr="006D0B7F" w:rsidRDefault="00FB3737" w:rsidP="007429A2">
      <w:pPr>
        <w:pStyle w:val="CETReferencetext"/>
      </w:pPr>
      <w:r w:rsidRPr="006D0B7F">
        <w:t xml:space="preserve">Prabu S., Wang H., 2020, Enhanced hydrogen generation from graphite-mixed </w:t>
      </w:r>
      <w:proofErr w:type="spellStart"/>
      <w:r w:rsidRPr="006D0B7F">
        <w:t>aluminum</w:t>
      </w:r>
      <w:proofErr w:type="spellEnd"/>
      <w:r w:rsidRPr="006D0B7F">
        <w:t xml:space="preserve"> hydroxides </w:t>
      </w:r>
      <w:proofErr w:type="spellStart"/>
      <w:r w:rsidRPr="006D0B7F">
        <w:t>catalyzed</w:t>
      </w:r>
      <w:proofErr w:type="spellEnd"/>
      <w:r w:rsidRPr="006D0B7F">
        <w:t xml:space="preserve"> Al/water reaction, International Journal of Hydrogen Energy, 45, 33419-33429.</w:t>
      </w:r>
    </w:p>
    <w:p w14:paraId="1B6F7A24" w14:textId="1657DF77" w:rsidR="00E971C0" w:rsidRPr="006D0B7F" w:rsidRDefault="00E971C0" w:rsidP="007429A2">
      <w:pPr>
        <w:pStyle w:val="CETReferencetext"/>
      </w:pPr>
      <w:proofErr w:type="spellStart"/>
      <w:r w:rsidRPr="006D0B7F">
        <w:t>Racuciu</w:t>
      </w:r>
      <w:proofErr w:type="spellEnd"/>
      <w:r w:rsidRPr="006D0B7F">
        <w:t xml:space="preserve"> M., 2009, Synthesis protocol influence on aqueous magnetic fluid properties, Current Applied Physics, 9, 1062-1066</w:t>
      </w:r>
      <w:r w:rsidR="00573745" w:rsidRPr="006D0B7F">
        <w:t>.</w:t>
      </w:r>
    </w:p>
    <w:p w14:paraId="032491EC" w14:textId="788DCC06" w:rsidR="00573745" w:rsidRPr="006D0B7F" w:rsidRDefault="00573745" w:rsidP="007429A2">
      <w:pPr>
        <w:pStyle w:val="CETReferencetext"/>
      </w:pPr>
      <w:proofErr w:type="spellStart"/>
      <w:r w:rsidRPr="006D0B7F">
        <w:t>Radojcic</w:t>
      </w:r>
      <w:proofErr w:type="spellEnd"/>
      <w:r w:rsidRPr="006D0B7F">
        <w:t xml:space="preserve"> D., Ionescu M., Petrovic Z.S., 2013, Novel potentially biodegradable polyurethanes from bio-based polyols,</w:t>
      </w:r>
      <w:r w:rsidR="00654E4A" w:rsidRPr="006D0B7F">
        <w:t xml:space="preserve"> Contemporary Materials, </w:t>
      </w:r>
      <w:r w:rsidRPr="006D0B7F">
        <w:t>4, 9-21.</w:t>
      </w:r>
    </w:p>
    <w:p w14:paraId="1E0F3B79" w14:textId="280EF2BD" w:rsidR="007429A2" w:rsidRPr="006D0B7F" w:rsidRDefault="007429A2" w:rsidP="005751EC">
      <w:pPr>
        <w:pStyle w:val="CETReferencetext"/>
      </w:pPr>
      <w:r w:rsidRPr="006D0B7F">
        <w:t xml:space="preserve">Simón D., García M., De Lucas A., </w:t>
      </w:r>
      <w:proofErr w:type="spellStart"/>
      <w:r w:rsidRPr="006D0B7F">
        <w:t>Borreguero</w:t>
      </w:r>
      <w:proofErr w:type="spellEnd"/>
      <w:r w:rsidRPr="006D0B7F">
        <w:t xml:space="preserve"> A., Rodríguez J., 2012, Glycolysis of flexible polyurethane wastes using stannous octoate as the catalyst: Study on the influence of reaction parameters.</w:t>
      </w:r>
      <w:r w:rsidR="005751EC" w:rsidRPr="006D0B7F">
        <w:t xml:space="preserve"> </w:t>
      </w:r>
      <w:r w:rsidRPr="006D0B7F">
        <w:t>Polymer Degradation and Stability, 98(1), 144–149.</w:t>
      </w:r>
    </w:p>
    <w:p w14:paraId="1BDE5B88" w14:textId="077121D3" w:rsidR="005751EC" w:rsidRPr="006D0B7F" w:rsidRDefault="005751EC" w:rsidP="005751EC">
      <w:pPr>
        <w:pStyle w:val="CETReferencetext"/>
      </w:pPr>
      <w:r w:rsidRPr="006D0B7F">
        <w:t>Spiridigliozzi H., 2023, Bottom-up strategy for the development of optically transparent and nanostructured MgAl2O4 spinel ceramics. Materials Science, Université Paris-Nord - Paris XIII</w:t>
      </w:r>
    </w:p>
    <w:p w14:paraId="5A6BC77D" w14:textId="35D40957" w:rsidR="007733BB" w:rsidRPr="006D0B7F" w:rsidRDefault="007733BB" w:rsidP="005751EC">
      <w:pPr>
        <w:pStyle w:val="CETReferencetext"/>
      </w:pPr>
      <w:r w:rsidRPr="006D0B7F">
        <w:t>Subhan M., Saha P., Uddin N., Sarker P., 2017, Synthesis, Structure, Spectroscopy and Photocatalytic Studies of Nano Multi-Metal Oxide MgO</w:t>
      </w:r>
      <w:r w:rsidRPr="006D0B7F">
        <w:rPr>
          <w:rFonts w:cs="Arial"/>
        </w:rPr>
        <w:t>•</w:t>
      </w:r>
      <w:r w:rsidRPr="006D0B7F">
        <w:t>Al</w:t>
      </w:r>
      <w:r w:rsidRPr="006D0B7F">
        <w:rPr>
          <w:vertAlign w:val="subscript"/>
        </w:rPr>
        <w:t>2</w:t>
      </w:r>
      <w:r w:rsidRPr="006D0B7F">
        <w:t>O</w:t>
      </w:r>
      <w:r w:rsidRPr="006D0B7F">
        <w:rPr>
          <w:vertAlign w:val="subscript"/>
        </w:rPr>
        <w:t>3</w:t>
      </w:r>
      <w:r w:rsidRPr="006D0B7F">
        <w:rPr>
          <w:rFonts w:cs="Arial"/>
        </w:rPr>
        <w:t>•Z</w:t>
      </w:r>
      <w:r w:rsidRPr="006D0B7F">
        <w:t>nO and MgO</w:t>
      </w:r>
      <w:r w:rsidRPr="006D0B7F">
        <w:rPr>
          <w:rFonts w:cs="Arial"/>
        </w:rPr>
        <w:t>•</w:t>
      </w:r>
      <w:r w:rsidRPr="006D0B7F">
        <w:t>Al</w:t>
      </w:r>
      <w:r w:rsidRPr="006D0B7F">
        <w:rPr>
          <w:vertAlign w:val="subscript"/>
        </w:rPr>
        <w:t>2</w:t>
      </w:r>
      <w:r w:rsidRPr="006D0B7F">
        <w:t>O</w:t>
      </w:r>
      <w:r w:rsidRPr="006D0B7F">
        <w:rPr>
          <w:vertAlign w:val="subscript"/>
        </w:rPr>
        <w:t>3</w:t>
      </w:r>
      <w:r w:rsidRPr="006D0B7F">
        <w:rPr>
          <w:rFonts w:cs="Arial"/>
        </w:rPr>
        <w:t>•Z</w:t>
      </w:r>
      <w:r w:rsidRPr="006D0B7F">
        <w:t xml:space="preserve">nO Curcumin Composite. Int. J. </w:t>
      </w:r>
      <w:proofErr w:type="spellStart"/>
      <w:r w:rsidRPr="006D0B7F">
        <w:t>Nanosci</w:t>
      </w:r>
      <w:proofErr w:type="spellEnd"/>
      <w:r w:rsidRPr="006D0B7F">
        <w:t xml:space="preserve">. </w:t>
      </w:r>
      <w:proofErr w:type="spellStart"/>
      <w:r w:rsidRPr="006D0B7F">
        <w:t>Nanotechnol</w:t>
      </w:r>
      <w:proofErr w:type="spellEnd"/>
      <w:r w:rsidRPr="006D0B7F">
        <w:t>., 13(1), 69-82.</w:t>
      </w:r>
    </w:p>
    <w:p w14:paraId="0CFA79EE" w14:textId="56AEE26E" w:rsidR="005C3560" w:rsidRPr="006D0B7F" w:rsidRDefault="005C3560" w:rsidP="005751EC">
      <w:pPr>
        <w:pStyle w:val="CETReferencetext"/>
      </w:pPr>
      <w:proofErr w:type="spellStart"/>
      <w:r w:rsidRPr="006D0B7F">
        <w:t>Suryawanshi</w:t>
      </w:r>
      <w:proofErr w:type="spellEnd"/>
      <w:r w:rsidRPr="006D0B7F">
        <w:t xml:space="preserve"> Y., Sanap P., Wani V., 2018, Advances in the synthesis of non-isocyanate polyurethanes, Polymer Bulletin, 76, 3233-3246.</w:t>
      </w:r>
    </w:p>
    <w:p w14:paraId="66EDFCB3" w14:textId="0C905846" w:rsidR="008428D0" w:rsidRPr="006D0B7F" w:rsidRDefault="008428D0" w:rsidP="005751EC">
      <w:pPr>
        <w:pStyle w:val="CETReferencetext"/>
      </w:pPr>
      <w:r w:rsidRPr="006D0B7F">
        <w:t xml:space="preserve">Tang Q., Gao K., 2017, Structure analysis of polyether-based thermoplastic polyurethane elastomers by FTIR, </w:t>
      </w:r>
      <w:r w:rsidRPr="006D0B7F">
        <w:rPr>
          <w:vertAlign w:val="superscript"/>
        </w:rPr>
        <w:t>1</w:t>
      </w:r>
      <w:r w:rsidRPr="006D0B7F">
        <w:t xml:space="preserve">H NMR and </w:t>
      </w:r>
      <w:r w:rsidRPr="006D0B7F">
        <w:rPr>
          <w:vertAlign w:val="superscript"/>
        </w:rPr>
        <w:t>13</w:t>
      </w:r>
      <w:r w:rsidRPr="006D0B7F">
        <w:t>C NMR, International Journal of Polymer Analysis and Characterization, 1563-5341.</w:t>
      </w:r>
    </w:p>
    <w:p w14:paraId="1562C0F3" w14:textId="6AE9822B" w:rsidR="00AB660B" w:rsidRPr="006D0B7F" w:rsidRDefault="00AB660B" w:rsidP="007429A2">
      <w:pPr>
        <w:pStyle w:val="CETReferencetext"/>
      </w:pPr>
      <w:r w:rsidRPr="006D0B7F">
        <w:t xml:space="preserve">Verma S.K., Deb M.K., 2007, </w:t>
      </w:r>
      <w:proofErr w:type="spellStart"/>
      <w:r w:rsidRPr="006D0B7F">
        <w:t>Nondestructive</w:t>
      </w:r>
      <w:proofErr w:type="spellEnd"/>
      <w:r w:rsidRPr="006D0B7F">
        <w:t xml:space="preserve"> and rapid determination of nitrate in soil, dry deposits and aerosol samples using KBr-matrix with diffuse reflectance Fourier transform infrared spectroscopy (DRIFTS), Analytica </w:t>
      </w:r>
      <w:proofErr w:type="spellStart"/>
      <w:r w:rsidRPr="006D0B7F">
        <w:t>Chimica</w:t>
      </w:r>
      <w:proofErr w:type="spellEnd"/>
      <w:r w:rsidRPr="006D0B7F">
        <w:t xml:space="preserve"> Acta, 582, 382-389.</w:t>
      </w:r>
    </w:p>
    <w:p w14:paraId="03507984" w14:textId="5E58F2AD" w:rsidR="00600535" w:rsidRPr="006D0B7F" w:rsidRDefault="007429A2" w:rsidP="007429A2">
      <w:pPr>
        <w:pStyle w:val="CETReferencetext"/>
      </w:pPr>
      <w:r w:rsidRPr="006D0B7F">
        <w:t xml:space="preserve">Wieczorek K., Bukowski P., </w:t>
      </w:r>
      <w:proofErr w:type="spellStart"/>
      <w:r w:rsidRPr="006D0B7F">
        <w:t>Stawiński</w:t>
      </w:r>
      <w:proofErr w:type="spellEnd"/>
      <w:r w:rsidRPr="006D0B7F">
        <w:t xml:space="preserve"> K., </w:t>
      </w:r>
      <w:proofErr w:type="spellStart"/>
      <w:r w:rsidRPr="006D0B7F">
        <w:t>Ryłko</w:t>
      </w:r>
      <w:proofErr w:type="spellEnd"/>
      <w:r w:rsidRPr="006D0B7F">
        <w:t xml:space="preserve"> I., 2024, Recycling of polyurethane foams via glycolysis: a review. Materials, 17(18), 4617.</w:t>
      </w:r>
    </w:p>
    <w:p w14:paraId="645ACB73" w14:textId="691AEA5D" w:rsidR="00573272" w:rsidRDefault="00573272" w:rsidP="007429A2">
      <w:pPr>
        <w:pStyle w:val="CETReferencetext"/>
      </w:pPr>
      <w:r w:rsidRPr="006D0B7F">
        <w:t>Wu C.H., Chang C.Y., Cheng C.M., Huang H.C.,</w:t>
      </w:r>
      <w:r>
        <w:t xml:space="preserve"> 2003, Glycolysis of waste flexible polyurethane foam, Polymer Degradation and Stability, 80, 103-111.</w:t>
      </w:r>
    </w:p>
    <w:p w14:paraId="30B9B654" w14:textId="03686C5D" w:rsidR="009E5E8C" w:rsidRDefault="009E5E8C" w:rsidP="007429A2">
      <w:pPr>
        <w:pStyle w:val="CETReferencetext"/>
      </w:pPr>
      <w:r>
        <w:t>Wu X., Li B., Wen X., 2017, Synthesis and adsorption properties of hierarchical Fe</w:t>
      </w:r>
      <w:r w:rsidRPr="009E5E8C">
        <w:rPr>
          <w:vertAlign w:val="subscript"/>
        </w:rPr>
        <w:t>3</w:t>
      </w:r>
      <w:r>
        <w:t>O</w:t>
      </w:r>
      <w:r w:rsidRPr="009E5E8C">
        <w:rPr>
          <w:vertAlign w:val="subscript"/>
        </w:rPr>
        <w:t>4</w:t>
      </w:r>
      <w:r>
        <w:t>@MgAl-LDH magnetic nanospheres, Journal of Nanoparticles Research, 19.</w:t>
      </w:r>
    </w:p>
    <w:p w14:paraId="36D3DF36" w14:textId="0C2C79A8" w:rsidR="00B70541" w:rsidRDefault="00B70541" w:rsidP="007429A2">
      <w:pPr>
        <w:pStyle w:val="CETReferencetext"/>
      </w:pPr>
      <w:r>
        <w:t>Yang W., Dong Q., Liu S., Xie H., Liu L., Li J., 2012, Recycling and disposal methods for polyurethane foam wastes, Procedia Environmental Sciences 16, 167-175.</w:t>
      </w:r>
    </w:p>
    <w:p w14:paraId="19C4FC68" w14:textId="2AF5906E" w:rsidR="004628D2" w:rsidRDefault="00E00829" w:rsidP="003C4DA2">
      <w:pPr>
        <w:pStyle w:val="CETReferencetext"/>
      </w:pPr>
      <w:r>
        <w:t>Zia K.M., Bhatti H.N., Bhatti I.A., 2007, Methods for polyurethane and polyurethane composites, recycling and recovery: A review, Reactive and Functional Polymers, 67, 675-692.</w:t>
      </w:r>
    </w:p>
    <w:sectPr w:rsidR="004628D2" w:rsidSect="00A714E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B347" w14:textId="77777777" w:rsidR="004C2D98" w:rsidRDefault="004C2D98" w:rsidP="004F5E36">
      <w:r>
        <w:separator/>
      </w:r>
    </w:p>
  </w:endnote>
  <w:endnote w:type="continuationSeparator" w:id="0">
    <w:p w14:paraId="4BEF129E" w14:textId="77777777" w:rsidR="004C2D98" w:rsidRDefault="004C2D98"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F4437" w14:textId="77777777" w:rsidR="004C2D98" w:rsidRDefault="004C2D98" w:rsidP="004F5E36">
      <w:r>
        <w:separator/>
      </w:r>
    </w:p>
  </w:footnote>
  <w:footnote w:type="continuationSeparator" w:id="0">
    <w:p w14:paraId="367240F2" w14:textId="77777777" w:rsidR="004C2D98" w:rsidRDefault="004C2D98"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10EA1FD6"/>
    <w:multiLevelType w:val="hybridMultilevel"/>
    <w:tmpl w:val="18CEEE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17181848">
    <w:abstractNumId w:val="11"/>
  </w:num>
  <w:num w:numId="2" w16cid:durableId="1547373314">
    <w:abstractNumId w:val="8"/>
  </w:num>
  <w:num w:numId="3" w16cid:durableId="1300459071">
    <w:abstractNumId w:val="3"/>
  </w:num>
  <w:num w:numId="4" w16cid:durableId="17633223">
    <w:abstractNumId w:val="2"/>
  </w:num>
  <w:num w:numId="5" w16cid:durableId="49621990">
    <w:abstractNumId w:val="1"/>
  </w:num>
  <w:num w:numId="6" w16cid:durableId="1958826767">
    <w:abstractNumId w:val="0"/>
  </w:num>
  <w:num w:numId="7" w16cid:durableId="455412206">
    <w:abstractNumId w:val="9"/>
  </w:num>
  <w:num w:numId="8" w16cid:durableId="773138492">
    <w:abstractNumId w:val="7"/>
  </w:num>
  <w:num w:numId="9" w16cid:durableId="465127754">
    <w:abstractNumId w:val="6"/>
  </w:num>
  <w:num w:numId="10" w16cid:durableId="832066592">
    <w:abstractNumId w:val="5"/>
  </w:num>
  <w:num w:numId="11" w16cid:durableId="1558781003">
    <w:abstractNumId w:val="4"/>
  </w:num>
  <w:num w:numId="12" w16cid:durableId="780419091">
    <w:abstractNumId w:val="18"/>
  </w:num>
  <w:num w:numId="13" w16cid:durableId="1413166271">
    <w:abstractNumId w:val="13"/>
  </w:num>
  <w:num w:numId="14" w16cid:durableId="1360858399">
    <w:abstractNumId w:val="19"/>
  </w:num>
  <w:num w:numId="15" w16cid:durableId="363022338">
    <w:abstractNumId w:val="21"/>
  </w:num>
  <w:num w:numId="16" w16cid:durableId="1614283280">
    <w:abstractNumId w:val="20"/>
  </w:num>
  <w:num w:numId="17" w16cid:durableId="2143309856">
    <w:abstractNumId w:val="12"/>
  </w:num>
  <w:num w:numId="18" w16cid:durableId="1609041152">
    <w:abstractNumId w:val="13"/>
    <w:lvlOverride w:ilvl="0">
      <w:startOverride w:val="1"/>
    </w:lvlOverride>
  </w:num>
  <w:num w:numId="19" w16cid:durableId="1022628771">
    <w:abstractNumId w:val="17"/>
  </w:num>
  <w:num w:numId="20" w16cid:durableId="769549085">
    <w:abstractNumId w:val="16"/>
  </w:num>
  <w:num w:numId="21" w16cid:durableId="2037537435">
    <w:abstractNumId w:val="15"/>
  </w:num>
  <w:num w:numId="22" w16cid:durableId="975990635">
    <w:abstractNumId w:val="14"/>
  </w:num>
  <w:num w:numId="23" w16cid:durableId="288316712">
    <w:abstractNumId w:val="10"/>
  </w:num>
  <w:num w:numId="24" w16cid:durableId="841746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117CB"/>
    <w:rsid w:val="0003148D"/>
    <w:rsid w:val="00031EEC"/>
    <w:rsid w:val="00032842"/>
    <w:rsid w:val="00032F73"/>
    <w:rsid w:val="0004171B"/>
    <w:rsid w:val="00041929"/>
    <w:rsid w:val="00043200"/>
    <w:rsid w:val="00051566"/>
    <w:rsid w:val="00054288"/>
    <w:rsid w:val="000562A9"/>
    <w:rsid w:val="00057F0A"/>
    <w:rsid w:val="00062A9A"/>
    <w:rsid w:val="00065058"/>
    <w:rsid w:val="00077024"/>
    <w:rsid w:val="0008630F"/>
    <w:rsid w:val="00086C39"/>
    <w:rsid w:val="00093B8A"/>
    <w:rsid w:val="000A03B2"/>
    <w:rsid w:val="000A4DAF"/>
    <w:rsid w:val="000B0447"/>
    <w:rsid w:val="000B5D7F"/>
    <w:rsid w:val="000D0268"/>
    <w:rsid w:val="000D34BE"/>
    <w:rsid w:val="000D6926"/>
    <w:rsid w:val="000E102F"/>
    <w:rsid w:val="000E36F1"/>
    <w:rsid w:val="000E3A73"/>
    <w:rsid w:val="000E414A"/>
    <w:rsid w:val="000E4DD9"/>
    <w:rsid w:val="000F093C"/>
    <w:rsid w:val="000F787B"/>
    <w:rsid w:val="0012091F"/>
    <w:rsid w:val="00122395"/>
    <w:rsid w:val="00126BC2"/>
    <w:rsid w:val="001308B6"/>
    <w:rsid w:val="0013121F"/>
    <w:rsid w:val="00131FE6"/>
    <w:rsid w:val="0013263F"/>
    <w:rsid w:val="001331DF"/>
    <w:rsid w:val="00134DE4"/>
    <w:rsid w:val="0014034D"/>
    <w:rsid w:val="00144D16"/>
    <w:rsid w:val="00150E59"/>
    <w:rsid w:val="00152DE3"/>
    <w:rsid w:val="0015367A"/>
    <w:rsid w:val="00157981"/>
    <w:rsid w:val="001645EE"/>
    <w:rsid w:val="00164CF9"/>
    <w:rsid w:val="001667A6"/>
    <w:rsid w:val="00167522"/>
    <w:rsid w:val="00173B28"/>
    <w:rsid w:val="00184AD6"/>
    <w:rsid w:val="001952C3"/>
    <w:rsid w:val="001A4AF7"/>
    <w:rsid w:val="001B0349"/>
    <w:rsid w:val="001B1E93"/>
    <w:rsid w:val="001B1F42"/>
    <w:rsid w:val="001B35D8"/>
    <w:rsid w:val="001B65C1"/>
    <w:rsid w:val="001C684B"/>
    <w:rsid w:val="001D0CFB"/>
    <w:rsid w:val="001D21AF"/>
    <w:rsid w:val="001D53FC"/>
    <w:rsid w:val="001D6168"/>
    <w:rsid w:val="001E699E"/>
    <w:rsid w:val="001F25AF"/>
    <w:rsid w:val="001F42A5"/>
    <w:rsid w:val="001F7B9D"/>
    <w:rsid w:val="001F7F35"/>
    <w:rsid w:val="00201C93"/>
    <w:rsid w:val="00212BCD"/>
    <w:rsid w:val="002224B4"/>
    <w:rsid w:val="00222FA7"/>
    <w:rsid w:val="00223F7D"/>
    <w:rsid w:val="00225682"/>
    <w:rsid w:val="0024413D"/>
    <w:rsid w:val="002447EF"/>
    <w:rsid w:val="00244AE8"/>
    <w:rsid w:val="00251550"/>
    <w:rsid w:val="00263B05"/>
    <w:rsid w:val="0027221A"/>
    <w:rsid w:val="00275B61"/>
    <w:rsid w:val="00280FAF"/>
    <w:rsid w:val="00282656"/>
    <w:rsid w:val="002856E3"/>
    <w:rsid w:val="00296B83"/>
    <w:rsid w:val="002A16ED"/>
    <w:rsid w:val="002A17D8"/>
    <w:rsid w:val="002A6656"/>
    <w:rsid w:val="002B4015"/>
    <w:rsid w:val="002B78CE"/>
    <w:rsid w:val="002C2FB6"/>
    <w:rsid w:val="002C3B37"/>
    <w:rsid w:val="002E5BD7"/>
    <w:rsid w:val="002E5FA7"/>
    <w:rsid w:val="002F3309"/>
    <w:rsid w:val="003008CE"/>
    <w:rsid w:val="003009B7"/>
    <w:rsid w:val="00300E56"/>
    <w:rsid w:val="0030152C"/>
    <w:rsid w:val="0030469C"/>
    <w:rsid w:val="00313EB6"/>
    <w:rsid w:val="00321CA6"/>
    <w:rsid w:val="00323763"/>
    <w:rsid w:val="00323C5F"/>
    <w:rsid w:val="00334C09"/>
    <w:rsid w:val="003411E9"/>
    <w:rsid w:val="00341D2A"/>
    <w:rsid w:val="00353AFF"/>
    <w:rsid w:val="003723D4"/>
    <w:rsid w:val="003740A4"/>
    <w:rsid w:val="00374F0E"/>
    <w:rsid w:val="00381905"/>
    <w:rsid w:val="00384CC8"/>
    <w:rsid w:val="00385666"/>
    <w:rsid w:val="003871FD"/>
    <w:rsid w:val="003A1E30"/>
    <w:rsid w:val="003A2829"/>
    <w:rsid w:val="003A328D"/>
    <w:rsid w:val="003A7D1C"/>
    <w:rsid w:val="003B304B"/>
    <w:rsid w:val="003B3146"/>
    <w:rsid w:val="003B375F"/>
    <w:rsid w:val="003C4DA2"/>
    <w:rsid w:val="003D77F8"/>
    <w:rsid w:val="003E02BD"/>
    <w:rsid w:val="003F015E"/>
    <w:rsid w:val="003F6AC2"/>
    <w:rsid w:val="00400414"/>
    <w:rsid w:val="0041446B"/>
    <w:rsid w:val="0042148A"/>
    <w:rsid w:val="004245D8"/>
    <w:rsid w:val="00431D67"/>
    <w:rsid w:val="004377EC"/>
    <w:rsid w:val="0044071E"/>
    <w:rsid w:val="0044329C"/>
    <w:rsid w:val="004437AA"/>
    <w:rsid w:val="00445429"/>
    <w:rsid w:val="00447481"/>
    <w:rsid w:val="00453E24"/>
    <w:rsid w:val="0045565C"/>
    <w:rsid w:val="00457456"/>
    <w:rsid w:val="004577FE"/>
    <w:rsid w:val="00457B9C"/>
    <w:rsid w:val="004605B5"/>
    <w:rsid w:val="0046164A"/>
    <w:rsid w:val="004628D2"/>
    <w:rsid w:val="00462DCD"/>
    <w:rsid w:val="004648AD"/>
    <w:rsid w:val="00465190"/>
    <w:rsid w:val="00466324"/>
    <w:rsid w:val="004703A9"/>
    <w:rsid w:val="004760DE"/>
    <w:rsid w:val="004763D7"/>
    <w:rsid w:val="0048042D"/>
    <w:rsid w:val="00495C77"/>
    <w:rsid w:val="004A004E"/>
    <w:rsid w:val="004A24CF"/>
    <w:rsid w:val="004A68C3"/>
    <w:rsid w:val="004C2D98"/>
    <w:rsid w:val="004C3D1D"/>
    <w:rsid w:val="004C3D84"/>
    <w:rsid w:val="004C7913"/>
    <w:rsid w:val="004D482F"/>
    <w:rsid w:val="004E4DD6"/>
    <w:rsid w:val="004E634B"/>
    <w:rsid w:val="004F5E36"/>
    <w:rsid w:val="004F749F"/>
    <w:rsid w:val="0050027B"/>
    <w:rsid w:val="00507B47"/>
    <w:rsid w:val="00507BEF"/>
    <w:rsid w:val="00507CC9"/>
    <w:rsid w:val="005119A5"/>
    <w:rsid w:val="005278B7"/>
    <w:rsid w:val="00532016"/>
    <w:rsid w:val="005346C8"/>
    <w:rsid w:val="005359B5"/>
    <w:rsid w:val="00540111"/>
    <w:rsid w:val="00543E7D"/>
    <w:rsid w:val="00547A68"/>
    <w:rsid w:val="005531C9"/>
    <w:rsid w:val="00557E00"/>
    <w:rsid w:val="00566383"/>
    <w:rsid w:val="00570C43"/>
    <w:rsid w:val="00573272"/>
    <w:rsid w:val="00573547"/>
    <w:rsid w:val="00573745"/>
    <w:rsid w:val="005751EC"/>
    <w:rsid w:val="00583203"/>
    <w:rsid w:val="005901D5"/>
    <w:rsid w:val="00594BAA"/>
    <w:rsid w:val="005A246C"/>
    <w:rsid w:val="005B2110"/>
    <w:rsid w:val="005B61E6"/>
    <w:rsid w:val="005C3560"/>
    <w:rsid w:val="005C7571"/>
    <w:rsid w:val="005C77E1"/>
    <w:rsid w:val="005D1F40"/>
    <w:rsid w:val="005D668A"/>
    <w:rsid w:val="005D6A2F"/>
    <w:rsid w:val="005E1A82"/>
    <w:rsid w:val="005E1AC6"/>
    <w:rsid w:val="005E794C"/>
    <w:rsid w:val="005F0A28"/>
    <w:rsid w:val="005F0E5E"/>
    <w:rsid w:val="00600535"/>
    <w:rsid w:val="00601876"/>
    <w:rsid w:val="00610CD6"/>
    <w:rsid w:val="00620164"/>
    <w:rsid w:val="00620DEE"/>
    <w:rsid w:val="00621F92"/>
    <w:rsid w:val="0062280A"/>
    <w:rsid w:val="00624844"/>
    <w:rsid w:val="00625639"/>
    <w:rsid w:val="00631B33"/>
    <w:rsid w:val="0064184D"/>
    <w:rsid w:val="006422CC"/>
    <w:rsid w:val="00654E4A"/>
    <w:rsid w:val="00660E3E"/>
    <w:rsid w:val="00662E74"/>
    <w:rsid w:val="00671A20"/>
    <w:rsid w:val="00680C23"/>
    <w:rsid w:val="00681460"/>
    <w:rsid w:val="00693766"/>
    <w:rsid w:val="00695E1B"/>
    <w:rsid w:val="006A3281"/>
    <w:rsid w:val="006B4888"/>
    <w:rsid w:val="006B7616"/>
    <w:rsid w:val="006C2E45"/>
    <w:rsid w:val="006C359C"/>
    <w:rsid w:val="006C5579"/>
    <w:rsid w:val="006C5BBF"/>
    <w:rsid w:val="006D0B7F"/>
    <w:rsid w:val="006D19D8"/>
    <w:rsid w:val="006D6E8B"/>
    <w:rsid w:val="006E737D"/>
    <w:rsid w:val="00707DD1"/>
    <w:rsid w:val="00713973"/>
    <w:rsid w:val="00720A24"/>
    <w:rsid w:val="00725D69"/>
    <w:rsid w:val="00732386"/>
    <w:rsid w:val="0073514D"/>
    <w:rsid w:val="007429A2"/>
    <w:rsid w:val="007447F3"/>
    <w:rsid w:val="00754100"/>
    <w:rsid w:val="0075499F"/>
    <w:rsid w:val="007551AD"/>
    <w:rsid w:val="007661C8"/>
    <w:rsid w:val="0077098D"/>
    <w:rsid w:val="007733BB"/>
    <w:rsid w:val="007931FA"/>
    <w:rsid w:val="007A4861"/>
    <w:rsid w:val="007A4D0F"/>
    <w:rsid w:val="007A7BBA"/>
    <w:rsid w:val="007B0C50"/>
    <w:rsid w:val="007B48F9"/>
    <w:rsid w:val="007B723A"/>
    <w:rsid w:val="007C1A43"/>
    <w:rsid w:val="007C5202"/>
    <w:rsid w:val="007D0951"/>
    <w:rsid w:val="007D7FC1"/>
    <w:rsid w:val="0080013E"/>
    <w:rsid w:val="0080276B"/>
    <w:rsid w:val="00804666"/>
    <w:rsid w:val="00813288"/>
    <w:rsid w:val="0081329D"/>
    <w:rsid w:val="008168FC"/>
    <w:rsid w:val="00821762"/>
    <w:rsid w:val="00825874"/>
    <w:rsid w:val="00830996"/>
    <w:rsid w:val="008345F1"/>
    <w:rsid w:val="008428D0"/>
    <w:rsid w:val="00856147"/>
    <w:rsid w:val="00863ED0"/>
    <w:rsid w:val="00865B07"/>
    <w:rsid w:val="008667EA"/>
    <w:rsid w:val="0087637F"/>
    <w:rsid w:val="00892AD5"/>
    <w:rsid w:val="008A1512"/>
    <w:rsid w:val="008A3615"/>
    <w:rsid w:val="008B2DB7"/>
    <w:rsid w:val="008D32B9"/>
    <w:rsid w:val="008D433B"/>
    <w:rsid w:val="008D4A16"/>
    <w:rsid w:val="008D53DD"/>
    <w:rsid w:val="008E37FF"/>
    <w:rsid w:val="008E4444"/>
    <w:rsid w:val="008E566E"/>
    <w:rsid w:val="008E58F7"/>
    <w:rsid w:val="008F2C72"/>
    <w:rsid w:val="008F3AD2"/>
    <w:rsid w:val="0090161A"/>
    <w:rsid w:val="00901EB6"/>
    <w:rsid w:val="00904C62"/>
    <w:rsid w:val="00922BA8"/>
    <w:rsid w:val="00924DAC"/>
    <w:rsid w:val="00927058"/>
    <w:rsid w:val="00942750"/>
    <w:rsid w:val="00944447"/>
    <w:rsid w:val="009450CE"/>
    <w:rsid w:val="009459BB"/>
    <w:rsid w:val="00947179"/>
    <w:rsid w:val="0095164B"/>
    <w:rsid w:val="00954090"/>
    <w:rsid w:val="00956DA5"/>
    <w:rsid w:val="009573E7"/>
    <w:rsid w:val="00963E05"/>
    <w:rsid w:val="00964A45"/>
    <w:rsid w:val="00967843"/>
    <w:rsid w:val="00967D54"/>
    <w:rsid w:val="00971028"/>
    <w:rsid w:val="009711F0"/>
    <w:rsid w:val="0097787E"/>
    <w:rsid w:val="009912C4"/>
    <w:rsid w:val="00993B84"/>
    <w:rsid w:val="00996483"/>
    <w:rsid w:val="00996F5A"/>
    <w:rsid w:val="009B041A"/>
    <w:rsid w:val="009B7F5D"/>
    <w:rsid w:val="009C37C3"/>
    <w:rsid w:val="009C399D"/>
    <w:rsid w:val="009C4A8C"/>
    <w:rsid w:val="009C7C86"/>
    <w:rsid w:val="009D2FF7"/>
    <w:rsid w:val="009E2CF3"/>
    <w:rsid w:val="009E5E8C"/>
    <w:rsid w:val="009E7884"/>
    <w:rsid w:val="009E788A"/>
    <w:rsid w:val="009F0E08"/>
    <w:rsid w:val="009F0E6B"/>
    <w:rsid w:val="009F7DF0"/>
    <w:rsid w:val="00A02888"/>
    <w:rsid w:val="00A1763D"/>
    <w:rsid w:val="00A17CEC"/>
    <w:rsid w:val="00A211EA"/>
    <w:rsid w:val="00A25F14"/>
    <w:rsid w:val="00A27EF0"/>
    <w:rsid w:val="00A3346E"/>
    <w:rsid w:val="00A42361"/>
    <w:rsid w:val="00A50B20"/>
    <w:rsid w:val="00A51390"/>
    <w:rsid w:val="00A60D13"/>
    <w:rsid w:val="00A714EF"/>
    <w:rsid w:val="00A7223D"/>
    <w:rsid w:val="00A72745"/>
    <w:rsid w:val="00A76EFC"/>
    <w:rsid w:val="00A771AF"/>
    <w:rsid w:val="00A87D50"/>
    <w:rsid w:val="00A91010"/>
    <w:rsid w:val="00A97F29"/>
    <w:rsid w:val="00AA702E"/>
    <w:rsid w:val="00AA7D26"/>
    <w:rsid w:val="00AB0964"/>
    <w:rsid w:val="00AB5011"/>
    <w:rsid w:val="00AB660B"/>
    <w:rsid w:val="00AC7368"/>
    <w:rsid w:val="00AD16B9"/>
    <w:rsid w:val="00AD2527"/>
    <w:rsid w:val="00AE116A"/>
    <w:rsid w:val="00AE377D"/>
    <w:rsid w:val="00AF0EBA"/>
    <w:rsid w:val="00AF46C8"/>
    <w:rsid w:val="00B02C8A"/>
    <w:rsid w:val="00B17FBD"/>
    <w:rsid w:val="00B272EB"/>
    <w:rsid w:val="00B315A6"/>
    <w:rsid w:val="00B31813"/>
    <w:rsid w:val="00B33365"/>
    <w:rsid w:val="00B340E2"/>
    <w:rsid w:val="00B54274"/>
    <w:rsid w:val="00B57B36"/>
    <w:rsid w:val="00B57E6F"/>
    <w:rsid w:val="00B70541"/>
    <w:rsid w:val="00B77966"/>
    <w:rsid w:val="00B8686D"/>
    <w:rsid w:val="00B87E9D"/>
    <w:rsid w:val="00B93F69"/>
    <w:rsid w:val="00BA3D29"/>
    <w:rsid w:val="00BB1DDC"/>
    <w:rsid w:val="00BB273B"/>
    <w:rsid w:val="00BB3972"/>
    <w:rsid w:val="00BB67A2"/>
    <w:rsid w:val="00BC30C9"/>
    <w:rsid w:val="00BD077D"/>
    <w:rsid w:val="00BE3E58"/>
    <w:rsid w:val="00BF4D0C"/>
    <w:rsid w:val="00C01616"/>
    <w:rsid w:val="00C0162B"/>
    <w:rsid w:val="00C068ED"/>
    <w:rsid w:val="00C06EFB"/>
    <w:rsid w:val="00C07CE1"/>
    <w:rsid w:val="00C10700"/>
    <w:rsid w:val="00C15C40"/>
    <w:rsid w:val="00C17653"/>
    <w:rsid w:val="00C20768"/>
    <w:rsid w:val="00C22E0C"/>
    <w:rsid w:val="00C24AF1"/>
    <w:rsid w:val="00C26B9C"/>
    <w:rsid w:val="00C27A4D"/>
    <w:rsid w:val="00C345B1"/>
    <w:rsid w:val="00C34BBF"/>
    <w:rsid w:val="00C40142"/>
    <w:rsid w:val="00C40A91"/>
    <w:rsid w:val="00C42E75"/>
    <w:rsid w:val="00C511F9"/>
    <w:rsid w:val="00C52C3C"/>
    <w:rsid w:val="00C57182"/>
    <w:rsid w:val="00C57863"/>
    <w:rsid w:val="00C640AF"/>
    <w:rsid w:val="00C655FD"/>
    <w:rsid w:val="00C668FD"/>
    <w:rsid w:val="00C75407"/>
    <w:rsid w:val="00C81ECC"/>
    <w:rsid w:val="00C841C6"/>
    <w:rsid w:val="00C84CA7"/>
    <w:rsid w:val="00C870A8"/>
    <w:rsid w:val="00C94434"/>
    <w:rsid w:val="00CA0D75"/>
    <w:rsid w:val="00CA1C95"/>
    <w:rsid w:val="00CA5A9C"/>
    <w:rsid w:val="00CA6207"/>
    <w:rsid w:val="00CB561D"/>
    <w:rsid w:val="00CC4C20"/>
    <w:rsid w:val="00CD0C76"/>
    <w:rsid w:val="00CD3517"/>
    <w:rsid w:val="00CD5FE2"/>
    <w:rsid w:val="00CE262B"/>
    <w:rsid w:val="00CE7C68"/>
    <w:rsid w:val="00D02B4C"/>
    <w:rsid w:val="00D040C4"/>
    <w:rsid w:val="00D06785"/>
    <w:rsid w:val="00D06FEF"/>
    <w:rsid w:val="00D176D5"/>
    <w:rsid w:val="00D20AD1"/>
    <w:rsid w:val="00D20BD0"/>
    <w:rsid w:val="00D2582C"/>
    <w:rsid w:val="00D37A19"/>
    <w:rsid w:val="00D46B7E"/>
    <w:rsid w:val="00D50839"/>
    <w:rsid w:val="00D54743"/>
    <w:rsid w:val="00D57C84"/>
    <w:rsid w:val="00D6057D"/>
    <w:rsid w:val="00D62375"/>
    <w:rsid w:val="00D71640"/>
    <w:rsid w:val="00D71C71"/>
    <w:rsid w:val="00D836C5"/>
    <w:rsid w:val="00D84576"/>
    <w:rsid w:val="00DA1399"/>
    <w:rsid w:val="00DA24C6"/>
    <w:rsid w:val="00DA4D7B"/>
    <w:rsid w:val="00DD271C"/>
    <w:rsid w:val="00DE264A"/>
    <w:rsid w:val="00DF5072"/>
    <w:rsid w:val="00E00829"/>
    <w:rsid w:val="00E02D18"/>
    <w:rsid w:val="00E041E7"/>
    <w:rsid w:val="00E07D61"/>
    <w:rsid w:val="00E10299"/>
    <w:rsid w:val="00E11A4D"/>
    <w:rsid w:val="00E2171A"/>
    <w:rsid w:val="00E23CA1"/>
    <w:rsid w:val="00E25621"/>
    <w:rsid w:val="00E409A8"/>
    <w:rsid w:val="00E45993"/>
    <w:rsid w:val="00E50C12"/>
    <w:rsid w:val="00E65B91"/>
    <w:rsid w:val="00E7209D"/>
    <w:rsid w:val="00E72EAD"/>
    <w:rsid w:val="00E77223"/>
    <w:rsid w:val="00E8528B"/>
    <w:rsid w:val="00E85B94"/>
    <w:rsid w:val="00E9120E"/>
    <w:rsid w:val="00E971C0"/>
    <w:rsid w:val="00E978D0"/>
    <w:rsid w:val="00EA2F1F"/>
    <w:rsid w:val="00EA4613"/>
    <w:rsid w:val="00EA4D9E"/>
    <w:rsid w:val="00EA7F91"/>
    <w:rsid w:val="00EB1523"/>
    <w:rsid w:val="00EC0E49"/>
    <w:rsid w:val="00EC101F"/>
    <w:rsid w:val="00EC1D9F"/>
    <w:rsid w:val="00EC44B8"/>
    <w:rsid w:val="00ED02A5"/>
    <w:rsid w:val="00EE0131"/>
    <w:rsid w:val="00EE17B0"/>
    <w:rsid w:val="00EF06D9"/>
    <w:rsid w:val="00F04390"/>
    <w:rsid w:val="00F05428"/>
    <w:rsid w:val="00F26E0A"/>
    <w:rsid w:val="00F3049E"/>
    <w:rsid w:val="00F30C64"/>
    <w:rsid w:val="00F32BA2"/>
    <w:rsid w:val="00F32CDB"/>
    <w:rsid w:val="00F35B81"/>
    <w:rsid w:val="00F505B5"/>
    <w:rsid w:val="00F565FE"/>
    <w:rsid w:val="00F63A70"/>
    <w:rsid w:val="00F63D8C"/>
    <w:rsid w:val="00F66807"/>
    <w:rsid w:val="00F7534E"/>
    <w:rsid w:val="00F93EDF"/>
    <w:rsid w:val="00FA1802"/>
    <w:rsid w:val="00FA21D0"/>
    <w:rsid w:val="00FA5F5F"/>
    <w:rsid w:val="00FB3737"/>
    <w:rsid w:val="00FB41CD"/>
    <w:rsid w:val="00FB730C"/>
    <w:rsid w:val="00FC2695"/>
    <w:rsid w:val="00FC3E03"/>
    <w:rsid w:val="00FC3FC1"/>
    <w:rsid w:val="00FE2CD5"/>
    <w:rsid w:val="00FF248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Testosegnaposto">
    <w:name w:val="Placeholder Text"/>
    <w:basedOn w:val="Carpredefinitoparagrafo"/>
    <w:uiPriority w:val="99"/>
    <w:semiHidden/>
    <w:rsid w:val="00AB660B"/>
    <w:rPr>
      <w:color w:val="666666"/>
    </w:rPr>
  </w:style>
  <w:style w:type="character" w:styleId="Menzionenonrisolta">
    <w:name w:val="Unresolved Mention"/>
    <w:basedOn w:val="Carpredefinitoparagrafo"/>
    <w:uiPriority w:val="99"/>
    <w:semiHidden/>
    <w:unhideWhenUsed/>
    <w:rsid w:val="00086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40305">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056236">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65883">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4352">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878A8-545C-425E-A2AD-A05A926E7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3577</Words>
  <Characters>20750</Characters>
  <Application>Microsoft Office Word</Application>
  <DocSecurity>0</DocSecurity>
  <Lines>314</Lines>
  <Paragraphs>137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Luca GALLUCCI</cp:lastModifiedBy>
  <cp:revision>5</cp:revision>
  <cp:lastPrinted>2015-05-12T18:31:00Z</cp:lastPrinted>
  <dcterms:created xsi:type="dcterms:W3CDTF">2025-07-29T15:04:00Z</dcterms:created>
  <dcterms:modified xsi:type="dcterms:W3CDTF">2025-07-30T07:23:00Z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6f3bb0c78eedb46034a5874c67dc46a8e282b0d2c0fbd0809031de1234f1b4e2</vt:lpwstr>
  </property>
</Properties>
</file>