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BC7A1B">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BC7A1B">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BC7A1B">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 xml:space="preserve">Paolo </w:t>
            </w:r>
            <w:proofErr w:type="spellStart"/>
            <w:r w:rsidR="00FB41CD" w:rsidRPr="0042148A">
              <w:rPr>
                <w:rFonts w:ascii="Tahoma" w:hAnsi="Tahoma" w:cs="Tahoma"/>
                <w:color w:val="000000"/>
                <w:sz w:val="14"/>
                <w:szCs w:val="14"/>
                <w:shd w:val="clear" w:color="auto" w:fill="FFFFFF"/>
                <w:lang w:val="it-IT"/>
              </w:rPr>
              <w:t>Ciambelli</w:t>
            </w:r>
            <w:proofErr w:type="spellEnd"/>
            <w:r w:rsidR="00FB41CD" w:rsidRPr="0042148A">
              <w:rPr>
                <w:rFonts w:ascii="Tahoma" w:hAnsi="Tahoma" w:cs="Tahoma"/>
                <w:color w:val="000000"/>
                <w:sz w:val="14"/>
                <w:szCs w:val="14"/>
                <w:shd w:val="clear" w:color="auto" w:fill="FFFFFF"/>
                <w:lang w:val="it-IT"/>
              </w:rPr>
              <w:t>,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563333DD" w:rsidR="00E978D0" w:rsidRPr="00B57B36" w:rsidRDefault="00BC7A1B" w:rsidP="00E978D0">
      <w:pPr>
        <w:pStyle w:val="CETTitle"/>
      </w:pPr>
      <w:r w:rsidRPr="003363B6">
        <w:t>LCA of polyurethanes from glycolysis of waste upholstery a sustainable recycling approach</w:t>
      </w:r>
    </w:p>
    <w:p w14:paraId="0488FED2" w14:textId="434F7E34" w:rsidR="00B57E6F" w:rsidRPr="00BC7A1B" w:rsidRDefault="00BC7A1B" w:rsidP="00B57E6F">
      <w:pPr>
        <w:pStyle w:val="CETAuthors"/>
        <w:rPr>
          <w:lang w:val="it-IT"/>
        </w:rPr>
      </w:pPr>
      <w:r w:rsidRPr="008D4A33">
        <w:rPr>
          <w:lang w:val="it-IT"/>
        </w:rPr>
        <w:t>Claudia Cirillo</w:t>
      </w:r>
      <w:r>
        <w:rPr>
          <w:lang w:val="it-IT"/>
        </w:rPr>
        <w:t>°</w:t>
      </w:r>
      <w:r w:rsidRPr="008D4A33">
        <w:rPr>
          <w:lang w:val="it-IT"/>
        </w:rPr>
        <w:t>*, Luca Gallucci</w:t>
      </w:r>
      <w:r>
        <w:rPr>
          <w:lang w:val="it-IT"/>
        </w:rPr>
        <w:t>°</w:t>
      </w:r>
      <w:r w:rsidRPr="008D4A33">
        <w:rPr>
          <w:lang w:val="it-IT"/>
        </w:rPr>
        <w:t>, Mariagrazia Iuliano</w:t>
      </w:r>
      <w:r>
        <w:rPr>
          <w:lang w:val="it-IT"/>
        </w:rPr>
        <w:t>°</w:t>
      </w:r>
      <w:r w:rsidRPr="008D4A33">
        <w:rPr>
          <w:lang w:val="it-IT"/>
        </w:rPr>
        <w:t>, Maria Sarno</w:t>
      </w:r>
    </w:p>
    <w:p w14:paraId="39BFBB5B" w14:textId="77777777" w:rsidR="00BC7A1B" w:rsidRPr="00B57B36" w:rsidRDefault="00BC7A1B" w:rsidP="00BC7A1B">
      <w:pPr>
        <w:pStyle w:val="CETAddress"/>
      </w:pPr>
      <w:bookmarkStart w:id="0" w:name="_Hlk190329629"/>
      <w:r>
        <w:t>Department of Physics</w:t>
      </w:r>
      <w:r w:rsidRPr="00B57B36">
        <w:t xml:space="preserve"> </w:t>
      </w:r>
      <w:r>
        <w:t xml:space="preserve">“E.R. Caianiello” and Centre NANO_MATES </w:t>
      </w:r>
      <w:r w:rsidRPr="004719C5">
        <w:t>(Research Centre for Nanomaterials and Nanotechnology at the University of Salerno) University of Salerno, Via Giovanni Paolo II, 132 -  84084 Fisciano (SA), Italy</w:t>
      </w:r>
      <w:r>
        <w:t>.</w:t>
      </w:r>
    </w:p>
    <w:bookmarkEnd w:id="0"/>
    <w:p w14:paraId="0B8351FA" w14:textId="77777777" w:rsidR="00BC7A1B" w:rsidRDefault="00BC7A1B" w:rsidP="00BC7A1B">
      <w:pPr>
        <w:pStyle w:val="CETAddress"/>
      </w:pPr>
      <w:r>
        <w:t>°These three authors contribute equally</w:t>
      </w:r>
    </w:p>
    <w:p w14:paraId="325C1225" w14:textId="2D229169" w:rsidR="00681460" w:rsidRPr="009378F0" w:rsidRDefault="00BC7A1B" w:rsidP="00BC7A1B">
      <w:pPr>
        <w:pStyle w:val="CETemail"/>
      </w:pPr>
      <w:r>
        <w:t>*clcirillo@unisa.it</w:t>
      </w:r>
    </w:p>
    <w:p w14:paraId="5258FF64" w14:textId="01E1AC55" w:rsidR="00BC7A1B" w:rsidRPr="006D19B0" w:rsidRDefault="00BC7A1B" w:rsidP="00BC7A1B">
      <w:pPr>
        <w:pStyle w:val="CETBodytext"/>
        <w:rPr>
          <w:lang w:val="en-GB"/>
        </w:rPr>
      </w:pPr>
      <w:r w:rsidRPr="006D19B0">
        <w:rPr>
          <w:lang w:val="en-GB"/>
        </w:rPr>
        <w:t xml:space="preserve">Polyurethanes (PUs) are widely used materials with a broad spectrum of applications. </w:t>
      </w:r>
      <w:r w:rsidR="00A21792" w:rsidRPr="006D19B0">
        <w:rPr>
          <w:lang w:val="en-GB"/>
        </w:rPr>
        <w:t>Their</w:t>
      </w:r>
      <w:r w:rsidRPr="006D19B0">
        <w:rPr>
          <w:lang w:val="en-GB"/>
        </w:rPr>
        <w:t xml:space="preserve"> versatility and ability to adapt to various needs arise from </w:t>
      </w:r>
      <w:r w:rsidR="00A21792" w:rsidRPr="006D19B0">
        <w:rPr>
          <w:lang w:val="en-GB"/>
        </w:rPr>
        <w:t>their</w:t>
      </w:r>
      <w:r w:rsidRPr="006D19B0">
        <w:rPr>
          <w:lang w:val="en-GB"/>
        </w:rPr>
        <w:t xml:space="preserve"> segmented structure, which consists of both rigid and flexible segments, and the control of variables such as chemical composition, functionality, and </w:t>
      </w:r>
      <w:r w:rsidR="00AF28E5" w:rsidRPr="006D19B0">
        <w:rPr>
          <w:lang w:val="en-GB"/>
        </w:rPr>
        <w:t xml:space="preserve">the </w:t>
      </w:r>
      <w:r w:rsidRPr="006D19B0">
        <w:rPr>
          <w:lang w:val="en-GB"/>
        </w:rPr>
        <w:t>molecular weight of the reagents.</w:t>
      </w:r>
    </w:p>
    <w:p w14:paraId="3B4A71E6" w14:textId="03B31D69" w:rsidR="00BC7A1B" w:rsidRPr="006D19B0" w:rsidRDefault="00BC7A1B" w:rsidP="00BC7A1B">
      <w:pPr>
        <w:pStyle w:val="CETBodytext"/>
        <w:rPr>
          <w:lang w:val="en-GB"/>
        </w:rPr>
      </w:pPr>
      <w:r w:rsidRPr="006D19B0">
        <w:rPr>
          <w:lang w:val="en-GB"/>
        </w:rPr>
        <w:t xml:space="preserve">However, PU foam waste accumulation, resulting from </w:t>
      </w:r>
      <w:r w:rsidR="00AF28E5" w:rsidRPr="006D19B0">
        <w:rPr>
          <w:lang w:val="en-GB"/>
        </w:rPr>
        <w:t xml:space="preserve">de-commissioning of </w:t>
      </w:r>
      <w:r w:rsidRPr="006D19B0">
        <w:rPr>
          <w:lang w:val="en-GB"/>
        </w:rPr>
        <w:t xml:space="preserve">aging vehicles, </w:t>
      </w:r>
      <w:r w:rsidR="00975BFF" w:rsidRPr="006D19B0">
        <w:rPr>
          <w:lang w:val="en-GB"/>
        </w:rPr>
        <w:t>poses</w:t>
      </w:r>
      <w:r w:rsidRPr="006D19B0">
        <w:rPr>
          <w:lang w:val="en-GB"/>
        </w:rPr>
        <w:t xml:space="preserve"> a significant environmental challenge. The need to reduce the ecological impact of PU foam waste has led to the exploration of sustainable solutions, such as chemical recycling, specifically glycolysis, which enables the recovery of polyols from PU foam waste for reuse in the production of new materials. </w:t>
      </w:r>
      <w:r w:rsidR="00AF28E5" w:rsidRPr="006D19B0">
        <w:rPr>
          <w:lang w:val="en-GB"/>
        </w:rPr>
        <w:t>Glycolysis is a chemical recycling process in which waste polyurethane materials are broken down using glycol-based agents.</w:t>
      </w:r>
    </w:p>
    <w:p w14:paraId="2A86D74E" w14:textId="325040F9" w:rsidR="00BC7A1B" w:rsidRDefault="00BC7A1B" w:rsidP="00BC7A1B">
      <w:pPr>
        <w:pStyle w:val="CETBodytext"/>
        <w:rPr>
          <w:lang w:val="en-GB"/>
        </w:rPr>
      </w:pPr>
      <w:r w:rsidRPr="006D19B0">
        <w:rPr>
          <w:lang w:val="en-GB"/>
        </w:rPr>
        <w:t xml:space="preserve">In this context, </w:t>
      </w:r>
      <w:r w:rsidR="00A21792" w:rsidRPr="006D19B0">
        <w:rPr>
          <w:lang w:val="en-GB"/>
        </w:rPr>
        <w:t>this study presents</w:t>
      </w:r>
      <w:r w:rsidRPr="006D19B0">
        <w:rPr>
          <w:lang w:val="en-GB"/>
        </w:rPr>
        <w:t xml:space="preserve"> a Life Cycle Assessment (LCA) model to evaluate the environmental impact of polyurethanes derived from the glycolysis of PU waste. By adopting this methodology, the project aims to demonstrate that recycled PU foam waste use through glycolysis not only reduces waste but can also significantly contribute to a lower ecological footprint, promoting a more sustainable life cycle for the materials used in passenger transport seat cushions.</w:t>
      </w:r>
    </w:p>
    <w:p w14:paraId="69E75A4E" w14:textId="35161094" w:rsidR="00431D67" w:rsidRPr="00BC7A1B" w:rsidRDefault="00431D67" w:rsidP="00BC7A1B">
      <w:pPr>
        <w:pStyle w:val="CETBodytext"/>
        <w:rPr>
          <w:lang w:val="en-GB"/>
        </w:rPr>
      </w:pPr>
      <w:r w:rsidRPr="00B60AE4">
        <w:t xml:space="preserve"> </w:t>
      </w:r>
    </w:p>
    <w:p w14:paraId="51BA1200" w14:textId="26D2A129" w:rsidR="00600535" w:rsidRPr="00B34936" w:rsidRDefault="00600535" w:rsidP="00BC7A1B">
      <w:pPr>
        <w:pStyle w:val="CETHeading1"/>
        <w:rPr>
          <w:lang w:val="en-GB"/>
        </w:rPr>
      </w:pPr>
      <w:r w:rsidRPr="00B57B36">
        <w:rPr>
          <w:lang w:val="en-GB"/>
        </w:rPr>
        <w:t>Introduction</w:t>
      </w:r>
    </w:p>
    <w:p w14:paraId="7CF8DF34" w14:textId="49F63145" w:rsidR="00BC7A1B" w:rsidRPr="00D34605" w:rsidRDefault="00BC7A1B" w:rsidP="00BC7A1B">
      <w:pPr>
        <w:pStyle w:val="CETBodytext"/>
        <w:rPr>
          <w:lang w:val="en-GB"/>
        </w:rPr>
      </w:pPr>
      <w:r w:rsidRPr="00B34936">
        <w:rPr>
          <w:lang w:val="en-GB"/>
        </w:rPr>
        <w:t>Polyurethane foams are among the most</w:t>
      </w:r>
      <w:r w:rsidR="00AF28E5" w:rsidRPr="00B34936">
        <w:rPr>
          <w:lang w:val="en-GB"/>
        </w:rPr>
        <w:t xml:space="preserve"> widely</w:t>
      </w:r>
      <w:r w:rsidRPr="00B34936">
        <w:rPr>
          <w:lang w:val="en-GB"/>
        </w:rPr>
        <w:t xml:space="preserve"> used materials in the construction, automotive, furniture</w:t>
      </w:r>
      <w:r w:rsidR="00AF28E5" w:rsidRPr="00B34936">
        <w:rPr>
          <w:lang w:val="en-GB"/>
        </w:rPr>
        <w:t>,</w:t>
      </w:r>
      <w:r w:rsidRPr="00B34936">
        <w:rPr>
          <w:lang w:val="en-GB"/>
        </w:rPr>
        <w:t xml:space="preserve"> and indus</w:t>
      </w:r>
      <w:r w:rsidR="00AF28E5" w:rsidRPr="00B34936">
        <w:rPr>
          <w:lang w:val="en-GB"/>
        </w:rPr>
        <w:t>trial</w:t>
      </w:r>
      <w:r w:rsidRPr="00B34936">
        <w:rPr>
          <w:lang w:val="en-GB"/>
        </w:rPr>
        <w:t xml:space="preserve"> </w:t>
      </w:r>
      <w:r w:rsidRPr="006D19B0">
        <w:rPr>
          <w:lang w:val="en-GB"/>
        </w:rPr>
        <w:t xml:space="preserve">sectors. </w:t>
      </w:r>
      <w:r w:rsidR="00A21792" w:rsidRPr="006D19B0">
        <w:rPr>
          <w:lang w:val="en-GB"/>
        </w:rPr>
        <w:t>Their</w:t>
      </w:r>
      <w:r w:rsidRPr="006D19B0">
        <w:rPr>
          <w:lang w:val="en-GB"/>
        </w:rPr>
        <w:t xml:space="preserve"> versatility</w:t>
      </w:r>
      <w:r w:rsidRPr="00B34936">
        <w:rPr>
          <w:lang w:val="en-GB"/>
        </w:rPr>
        <w:t xml:space="preserve">, safety, insulation properties, and comfort make </w:t>
      </w:r>
      <w:r w:rsidR="00AF28E5" w:rsidRPr="00B34936">
        <w:rPr>
          <w:lang w:val="en-GB"/>
        </w:rPr>
        <w:t>them</w:t>
      </w:r>
      <w:r w:rsidRPr="00B34936">
        <w:rPr>
          <w:lang w:val="en-GB"/>
        </w:rPr>
        <w:t xml:space="preserve"> an ideal </w:t>
      </w:r>
      <w:r w:rsidRPr="00D34605">
        <w:rPr>
          <w:lang w:val="en-GB"/>
        </w:rPr>
        <w:t>choice for all these applications.</w:t>
      </w:r>
    </w:p>
    <w:p w14:paraId="7297D356" w14:textId="77777777" w:rsidR="00BC7A1B" w:rsidRPr="00D34605" w:rsidRDefault="00BC7A1B" w:rsidP="00BC7A1B">
      <w:pPr>
        <w:pStyle w:val="CETBodytext"/>
        <w:rPr>
          <w:lang w:val="en-GB"/>
        </w:rPr>
      </w:pPr>
      <w:r w:rsidRPr="00D34605">
        <w:rPr>
          <w:lang w:val="en-GB"/>
        </w:rPr>
        <w:t>Polyurethane foam’s properties can be attributed to its chemical structure. A typical reaction path for the synthesis of polyurethane</w:t>
      </w:r>
      <w:r>
        <w:rPr>
          <w:lang w:val="en-GB"/>
        </w:rPr>
        <w:t xml:space="preserve"> foams</w:t>
      </w:r>
      <w:r w:rsidRPr="00D34605">
        <w:rPr>
          <w:lang w:val="en-GB"/>
        </w:rPr>
        <w:t xml:space="preserve"> is shown in</w:t>
      </w:r>
      <w:r>
        <w:rPr>
          <w:lang w:val="en-GB"/>
        </w:rPr>
        <w:t xml:space="preserve"> </w:t>
      </w:r>
      <w:r>
        <w:rPr>
          <w:lang w:val="en-GB"/>
        </w:rPr>
        <w:fldChar w:fldCharType="begin"/>
      </w:r>
      <w:r>
        <w:rPr>
          <w:lang w:val="en-GB"/>
        </w:rPr>
        <w:instrText xml:space="preserve"> REF _Ref190268556 \h </w:instrText>
      </w:r>
      <w:r>
        <w:rPr>
          <w:lang w:val="en-GB"/>
        </w:rPr>
      </w:r>
      <w:r>
        <w:rPr>
          <w:lang w:val="en-GB"/>
        </w:rPr>
        <w:fldChar w:fldCharType="separate"/>
      </w:r>
      <w:r>
        <w:t xml:space="preserve">Figure </w:t>
      </w:r>
      <w:r>
        <w:rPr>
          <w:noProof/>
        </w:rPr>
        <w:t>1</w:t>
      </w:r>
      <w:r>
        <w:rPr>
          <w:lang w:val="en-GB"/>
        </w:rPr>
        <w:fldChar w:fldCharType="end"/>
      </w:r>
      <w:r w:rsidRPr="00D34605">
        <w:rPr>
          <w:lang w:val="en-GB"/>
        </w:rPr>
        <w:t>.</w:t>
      </w:r>
    </w:p>
    <w:p w14:paraId="4593776A" w14:textId="77777777" w:rsidR="00BC7A1B" w:rsidRDefault="00BC7A1B" w:rsidP="00BC7A1B">
      <w:pPr>
        <w:pStyle w:val="CETBodytext"/>
        <w:rPr>
          <w:lang w:val="en-GB"/>
        </w:rPr>
      </w:pPr>
      <w:r w:rsidRPr="00D34605">
        <w:rPr>
          <w:lang w:val="en-GB"/>
        </w:rPr>
        <w:t xml:space="preserve"> </w:t>
      </w:r>
    </w:p>
    <w:p w14:paraId="4558EA02" w14:textId="77777777" w:rsidR="00BC7A1B" w:rsidRDefault="00BC7A1B" w:rsidP="00BC7A1B">
      <w:pPr>
        <w:pStyle w:val="CETBodytext"/>
        <w:keepNext/>
      </w:pPr>
      <w:r w:rsidRPr="00FA322A">
        <w:rPr>
          <w:noProof/>
          <w:lang w:val="it-IT" w:eastAsia="it-IT"/>
        </w:rPr>
        <w:drawing>
          <wp:inline distT="0" distB="0" distL="0" distR="0" wp14:anchorId="15C7226B" wp14:editId="138016E0">
            <wp:extent cx="4740487" cy="861237"/>
            <wp:effectExtent l="0" t="0" r="3175" b="0"/>
            <wp:docPr id="92" name="Immagine 91" descr="Immagine che contiene testo, linea, Carattere, diagramma&#10;&#10;Descrizione generata automaticamente">
              <a:extLst xmlns:a="http://schemas.openxmlformats.org/drawingml/2006/main">
                <a:ext uri="{FF2B5EF4-FFF2-40B4-BE49-F238E27FC236}">
                  <a16:creationId xmlns:a16="http://schemas.microsoft.com/office/drawing/2014/main" id="{F7BBF09D-D647-6F00-FDBF-5D9CC9C2F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magine 91" descr="Immagine che contiene testo, linea, Carattere, diagramma&#10;&#10;Descrizione generata automaticamente">
                      <a:extLst>
                        <a:ext uri="{FF2B5EF4-FFF2-40B4-BE49-F238E27FC236}">
                          <a16:creationId xmlns:a16="http://schemas.microsoft.com/office/drawing/2014/main" id="{F7BBF09D-D647-6F00-FDBF-5D9CC9C2FB1C}"/>
                        </a:ext>
                      </a:extLst>
                    </pic:cNvPr>
                    <pic:cNvPicPr>
                      <a:picLocks noChangeAspect="1"/>
                    </pic:cNvPicPr>
                  </pic:nvPicPr>
                  <pic:blipFill>
                    <a:blip r:embed="rId10"/>
                    <a:stretch>
                      <a:fillRect/>
                    </a:stretch>
                  </pic:blipFill>
                  <pic:spPr>
                    <a:xfrm>
                      <a:off x="0" y="0"/>
                      <a:ext cx="4784552" cy="869243"/>
                    </a:xfrm>
                    <a:prstGeom prst="rect">
                      <a:avLst/>
                    </a:prstGeom>
                  </pic:spPr>
                </pic:pic>
              </a:graphicData>
            </a:graphic>
          </wp:inline>
        </w:drawing>
      </w:r>
    </w:p>
    <w:p w14:paraId="7F163A05" w14:textId="77777777" w:rsidR="00BC7A1B" w:rsidRPr="00D34605" w:rsidRDefault="00BC7A1B" w:rsidP="00BC7A1B">
      <w:pPr>
        <w:pStyle w:val="CETCaption"/>
      </w:pPr>
      <w:bookmarkStart w:id="1" w:name="_Ref190268556"/>
      <w:r>
        <w:t xml:space="preserve">Figure </w:t>
      </w:r>
      <w:r>
        <w:fldChar w:fldCharType="begin"/>
      </w:r>
      <w:r>
        <w:instrText xml:space="preserve"> SEQ Figure \* ARABIC </w:instrText>
      </w:r>
      <w:r>
        <w:fldChar w:fldCharType="separate"/>
      </w:r>
      <w:r>
        <w:rPr>
          <w:noProof/>
        </w:rPr>
        <w:t>1</w:t>
      </w:r>
      <w:r>
        <w:fldChar w:fldCharType="end"/>
      </w:r>
      <w:bookmarkEnd w:id="1"/>
      <w:r>
        <w:t xml:space="preserve"> </w:t>
      </w:r>
      <w:r w:rsidRPr="00866B4F">
        <w:t>Polyurethane synthesis</w:t>
      </w:r>
    </w:p>
    <w:p w14:paraId="12BCD638" w14:textId="77777777" w:rsidR="00BC7A1B" w:rsidRPr="006D19B0" w:rsidRDefault="00BC7A1B" w:rsidP="00BC7A1B">
      <w:pPr>
        <w:pStyle w:val="CETBodytext"/>
        <w:rPr>
          <w:lang w:val="en-GB"/>
        </w:rPr>
      </w:pPr>
      <w:r w:rsidRPr="006D19B0">
        <w:rPr>
          <w:lang w:val="en-GB"/>
        </w:rPr>
        <w:t>The reaction takes place between a diisocyanate, a molecule that contains isocyanate groups (-N=C=O), and a polyol, a molecule that contains hydroxyl groups (-OH).</w:t>
      </w:r>
    </w:p>
    <w:p w14:paraId="7172D451" w14:textId="67CE6751" w:rsidR="00BC7A1B" w:rsidRPr="006D19B0" w:rsidRDefault="00975BFF" w:rsidP="00BC7A1B">
      <w:pPr>
        <w:pStyle w:val="CETBodytext"/>
        <w:rPr>
          <w:lang w:val="en-GB"/>
        </w:rPr>
      </w:pPr>
      <w:r w:rsidRPr="006D19B0">
        <w:rPr>
          <w:lang w:val="en-GB"/>
        </w:rPr>
        <w:t xml:space="preserve">Due to aging and de-commissioning, polyurethane foam needs to be </w:t>
      </w:r>
      <w:r w:rsidR="00AF28E5" w:rsidRPr="006D19B0">
        <w:rPr>
          <w:lang w:val="en-GB"/>
        </w:rPr>
        <w:t>replaced</w:t>
      </w:r>
      <w:r w:rsidRPr="006D19B0">
        <w:rPr>
          <w:lang w:val="en-GB"/>
        </w:rPr>
        <w:t xml:space="preserve"> </w:t>
      </w:r>
      <w:r w:rsidR="00AF28E5" w:rsidRPr="006D19B0">
        <w:rPr>
          <w:lang w:val="en-GB"/>
        </w:rPr>
        <w:t>and so a polyurethane foam waste disposal problem emerges</w:t>
      </w:r>
      <w:r w:rsidR="00BC7A1B" w:rsidRPr="006D19B0">
        <w:rPr>
          <w:lang w:val="en-GB"/>
        </w:rPr>
        <w:t xml:space="preserve">. </w:t>
      </w:r>
      <w:r w:rsidRPr="006D19B0">
        <w:rPr>
          <w:lang w:val="en-GB"/>
        </w:rPr>
        <w:t>Generally</w:t>
      </w:r>
      <w:r w:rsidR="00BC7A1B" w:rsidRPr="006D19B0">
        <w:rPr>
          <w:lang w:val="en-GB"/>
        </w:rPr>
        <w:t>, polyurethane</w:t>
      </w:r>
      <w:r w:rsidR="00BC7A1B" w:rsidRPr="00D34605">
        <w:rPr>
          <w:lang w:val="en-GB"/>
        </w:rPr>
        <w:t xml:space="preserve"> foam is disposed </w:t>
      </w:r>
      <w:r w:rsidR="00BC7A1B">
        <w:rPr>
          <w:lang w:val="en-GB"/>
        </w:rPr>
        <w:t xml:space="preserve">of </w:t>
      </w:r>
      <w:r w:rsidR="00BC7A1B" w:rsidRPr="00D34605">
        <w:rPr>
          <w:lang w:val="en-GB"/>
        </w:rPr>
        <w:t xml:space="preserve">in landfill, causing environmental </w:t>
      </w:r>
      <w:r w:rsidR="00BC7A1B" w:rsidRPr="006D19B0">
        <w:rPr>
          <w:lang w:val="en-GB"/>
        </w:rPr>
        <w:lastRenderedPageBreak/>
        <w:t>damage associated</w:t>
      </w:r>
      <w:r w:rsidRPr="006D19B0">
        <w:rPr>
          <w:lang w:val="en-GB"/>
        </w:rPr>
        <w:t xml:space="preserve"> both</w:t>
      </w:r>
      <w:r w:rsidR="00BC7A1B" w:rsidRPr="006D19B0">
        <w:rPr>
          <w:lang w:val="en-GB"/>
        </w:rPr>
        <w:t xml:space="preserve"> with the </w:t>
      </w:r>
      <w:r w:rsidR="00AF28E5" w:rsidRPr="006D19B0">
        <w:rPr>
          <w:lang w:val="en-GB"/>
        </w:rPr>
        <w:t xml:space="preserve">potentially hazardous </w:t>
      </w:r>
      <w:r w:rsidR="00BC7A1B" w:rsidRPr="006D19B0">
        <w:rPr>
          <w:lang w:val="en-GB"/>
        </w:rPr>
        <w:t>chemicals</w:t>
      </w:r>
      <w:r w:rsidRPr="006D19B0">
        <w:rPr>
          <w:lang w:val="en-GB"/>
        </w:rPr>
        <w:t xml:space="preserve"> generated</w:t>
      </w:r>
      <w:r w:rsidR="00BC7A1B" w:rsidRPr="006D19B0">
        <w:rPr>
          <w:lang w:val="en-GB"/>
        </w:rPr>
        <w:t xml:space="preserve"> from its decomposition and </w:t>
      </w:r>
      <w:r w:rsidRPr="006D19B0">
        <w:rPr>
          <w:lang w:val="en-GB"/>
        </w:rPr>
        <w:t>with the</w:t>
      </w:r>
      <w:r w:rsidR="00BC7A1B" w:rsidRPr="006D19B0">
        <w:rPr>
          <w:lang w:val="en-GB"/>
        </w:rPr>
        <w:t xml:space="preserve"> large amount of space </w:t>
      </w:r>
      <w:r w:rsidRPr="006D19B0">
        <w:rPr>
          <w:lang w:val="en-GB"/>
        </w:rPr>
        <w:t>it takes in the landfill which</w:t>
      </w:r>
      <w:r w:rsidR="00BC7A1B" w:rsidRPr="006D19B0">
        <w:rPr>
          <w:lang w:val="en-GB"/>
        </w:rPr>
        <w:t xml:space="preserve"> could</w:t>
      </w:r>
      <w:r w:rsidRPr="006D19B0">
        <w:rPr>
          <w:lang w:val="en-GB"/>
        </w:rPr>
        <w:t xml:space="preserve"> otherwise</w:t>
      </w:r>
      <w:r w:rsidR="00BC7A1B" w:rsidRPr="006D19B0">
        <w:rPr>
          <w:lang w:val="en-GB"/>
        </w:rPr>
        <w:t xml:space="preserve"> fit other unavoidable wastes (</w:t>
      </w:r>
      <w:proofErr w:type="spellStart"/>
      <w:r w:rsidR="00BC7A1B" w:rsidRPr="006D19B0">
        <w:t>Roobankumar</w:t>
      </w:r>
      <w:proofErr w:type="spellEnd"/>
      <w:r w:rsidR="00BC7A1B" w:rsidRPr="006D19B0">
        <w:t xml:space="preserve"> R. and </w:t>
      </w:r>
      <w:proofErr w:type="spellStart"/>
      <w:r w:rsidR="00BC7A1B" w:rsidRPr="006D19B0">
        <w:t>SenthilPandian</w:t>
      </w:r>
      <w:proofErr w:type="spellEnd"/>
      <w:r w:rsidR="00BC7A1B" w:rsidRPr="006D19B0">
        <w:t xml:space="preserve"> M., 2024</w:t>
      </w:r>
      <w:r w:rsidR="00BC7A1B" w:rsidRPr="006D19B0">
        <w:rPr>
          <w:lang w:val="en-GB"/>
        </w:rPr>
        <w:t>).</w:t>
      </w:r>
    </w:p>
    <w:p w14:paraId="5D482D8C" w14:textId="503D1E6A" w:rsidR="00BC7A1B" w:rsidRPr="00D34605" w:rsidRDefault="00975BFF" w:rsidP="00BC7A1B">
      <w:pPr>
        <w:pStyle w:val="CETBodytext"/>
        <w:rPr>
          <w:lang w:val="en-GB"/>
        </w:rPr>
      </w:pPr>
      <w:r w:rsidRPr="006D19B0">
        <w:rPr>
          <w:lang w:val="en-GB"/>
        </w:rPr>
        <w:t>Due to these problems, alternatives to landfill disposal, like chemical recycling, need to be considered</w:t>
      </w:r>
      <w:r w:rsidR="00BC7A1B" w:rsidRPr="006D19B0">
        <w:rPr>
          <w:lang w:val="en-GB"/>
        </w:rPr>
        <w:t xml:space="preserve">. Chemical recycling processes can be divided into alcoholysis, hydrolysis, glycolysis, </w:t>
      </w:r>
      <w:proofErr w:type="spellStart"/>
      <w:r w:rsidR="00BC7A1B" w:rsidRPr="006D19B0">
        <w:rPr>
          <w:lang w:val="en-GB"/>
        </w:rPr>
        <w:t>hydroglycolysis</w:t>
      </w:r>
      <w:proofErr w:type="spellEnd"/>
      <w:r w:rsidR="00AF28E5" w:rsidRPr="006D19B0">
        <w:rPr>
          <w:lang w:val="en-GB"/>
        </w:rPr>
        <w:t xml:space="preserve"> and</w:t>
      </w:r>
      <w:r w:rsidR="00BC7A1B" w:rsidRPr="006D19B0">
        <w:rPr>
          <w:lang w:val="en-GB"/>
        </w:rPr>
        <w:t xml:space="preserve"> </w:t>
      </w:r>
      <w:proofErr w:type="spellStart"/>
      <w:r w:rsidR="00BC7A1B" w:rsidRPr="006D19B0">
        <w:rPr>
          <w:lang w:val="en-GB"/>
        </w:rPr>
        <w:t>aminolysis</w:t>
      </w:r>
      <w:proofErr w:type="spellEnd"/>
      <w:r w:rsidR="00BC7A1B" w:rsidRPr="006D19B0">
        <w:rPr>
          <w:lang w:val="en-GB"/>
        </w:rPr>
        <w:t xml:space="preserve"> (</w:t>
      </w:r>
      <w:r w:rsidR="00BC7A1B" w:rsidRPr="006D19B0">
        <w:t>Zia</w:t>
      </w:r>
      <w:r w:rsidR="00BC7A1B">
        <w:t xml:space="preserve"> K.M. et al., 2007</w:t>
      </w:r>
      <w:r w:rsidR="00BC7A1B">
        <w:rPr>
          <w:lang w:val="en-GB"/>
        </w:rPr>
        <w:t>)</w:t>
      </w:r>
      <w:r w:rsidR="00BC7A1B" w:rsidRPr="00D34605">
        <w:rPr>
          <w:lang w:val="en-GB"/>
        </w:rPr>
        <w:t xml:space="preserve">. Among the chemical recycling processes, glycolysis is considered to be the most convenient way to chemically recycle polyurethane foams </w:t>
      </w:r>
      <w:r w:rsidR="00BC7A1B">
        <w:rPr>
          <w:lang w:val="en-GB"/>
        </w:rPr>
        <w:t>(</w:t>
      </w:r>
      <w:proofErr w:type="spellStart"/>
      <w:r w:rsidR="00BC7A1B">
        <w:t>Heiran</w:t>
      </w:r>
      <w:proofErr w:type="spellEnd"/>
      <w:r w:rsidR="00BC7A1B">
        <w:t xml:space="preserve"> R. et al., 2021</w:t>
      </w:r>
      <w:r w:rsidR="00BC7A1B">
        <w:rPr>
          <w:lang w:val="en-GB"/>
        </w:rPr>
        <w:t>)</w:t>
      </w:r>
      <w:r w:rsidR="00BC7A1B" w:rsidRPr="00D34605">
        <w:rPr>
          <w:lang w:val="en-GB"/>
        </w:rPr>
        <w:t xml:space="preserve"> and it is also the most promising for industrial </w:t>
      </w:r>
      <w:r w:rsidR="00BC7A1B" w:rsidRPr="006D19B0">
        <w:rPr>
          <w:lang w:val="en-GB"/>
        </w:rPr>
        <w:t>scale</w:t>
      </w:r>
      <w:r w:rsidR="00AF28E5" w:rsidRPr="006D19B0">
        <w:rPr>
          <w:lang w:val="en-GB"/>
        </w:rPr>
        <w:t>-up</w:t>
      </w:r>
      <w:r w:rsidR="00BC7A1B" w:rsidRPr="006D19B0">
        <w:rPr>
          <w:lang w:val="en-GB"/>
        </w:rPr>
        <w:t xml:space="preserve"> </w:t>
      </w:r>
      <w:r w:rsidR="00BC7A1B">
        <w:rPr>
          <w:lang w:val="en-GB"/>
        </w:rPr>
        <w:t>(</w:t>
      </w:r>
      <w:r w:rsidR="00BC7A1B">
        <w:t>Donadini R. et al., 2023</w:t>
      </w:r>
      <w:r w:rsidR="00BC7A1B">
        <w:rPr>
          <w:lang w:val="en-GB"/>
        </w:rPr>
        <w:t>)</w:t>
      </w:r>
      <w:r w:rsidR="00BC7A1B" w:rsidRPr="00D34605">
        <w:rPr>
          <w:lang w:val="en-GB"/>
        </w:rPr>
        <w:t>.</w:t>
      </w:r>
    </w:p>
    <w:p w14:paraId="35083318" w14:textId="77777777" w:rsidR="00BC7A1B" w:rsidRPr="00D34605" w:rsidRDefault="00BC7A1B" w:rsidP="00BC7A1B">
      <w:pPr>
        <w:pStyle w:val="CETBodytext"/>
        <w:rPr>
          <w:lang w:val="en-GB"/>
        </w:rPr>
      </w:pPr>
      <w:r w:rsidRPr="00D34605">
        <w:rPr>
          <w:lang w:val="en-GB"/>
        </w:rPr>
        <w:t xml:space="preserve">Glycolysis is a transesterification reaction between the hydroxyl group of the glycolytic agent and the ester part of the urethane group of the polyurethane </w:t>
      </w:r>
      <w:r>
        <w:rPr>
          <w:lang w:val="en-GB"/>
        </w:rPr>
        <w:t>(</w:t>
      </w:r>
      <w:r>
        <w:t>Donadini R. et al., 2023</w:t>
      </w:r>
      <w:r>
        <w:rPr>
          <w:lang w:val="en-GB"/>
        </w:rPr>
        <w:t>)</w:t>
      </w:r>
      <w:r w:rsidRPr="00D34605">
        <w:rPr>
          <w:lang w:val="en-GB"/>
        </w:rPr>
        <w:t xml:space="preserve">. Typically, the most used glycolytic agents are ethylene glycol and diethylene glycol </w:t>
      </w:r>
      <w:r>
        <w:rPr>
          <w:lang w:val="en-GB"/>
        </w:rPr>
        <w:t>(</w:t>
      </w:r>
      <w:r>
        <w:t xml:space="preserve">Wieczorek K. et al., 2024; </w:t>
      </w:r>
      <w:proofErr w:type="spellStart"/>
      <w:r>
        <w:t>Heiran</w:t>
      </w:r>
      <w:proofErr w:type="spellEnd"/>
      <w:r>
        <w:t xml:space="preserve"> R. et al., 2021; Xiaohua G. et al., 2021</w:t>
      </w:r>
      <w:r>
        <w:rPr>
          <w:lang w:val="en-GB"/>
        </w:rPr>
        <w:t>)</w:t>
      </w:r>
      <w:r w:rsidRPr="00D34605">
        <w:rPr>
          <w:lang w:val="en-GB"/>
        </w:rPr>
        <w:t>.</w:t>
      </w:r>
    </w:p>
    <w:p w14:paraId="169CF464" w14:textId="286A7909" w:rsidR="00BC7A1B" w:rsidRDefault="00BC7A1B" w:rsidP="00BC7A1B">
      <w:pPr>
        <w:pStyle w:val="CETBodytext"/>
        <w:rPr>
          <w:lang w:val="en-GB"/>
        </w:rPr>
      </w:pPr>
      <w:r w:rsidRPr="00D34605">
        <w:rPr>
          <w:lang w:val="en-GB"/>
        </w:rPr>
        <w:t xml:space="preserve">To evaluate the advantages of recycling compared to landfill disposal, a life cycle assessment method can be used to describe the environmental impact of the two different scenarios. Life cycle assessment is a methodology </w:t>
      </w:r>
      <w:r>
        <w:rPr>
          <w:lang w:val="en-GB"/>
        </w:rPr>
        <w:t>that</w:t>
      </w:r>
      <w:r w:rsidRPr="00D34605">
        <w:rPr>
          <w:lang w:val="en-GB"/>
        </w:rPr>
        <w:t xml:space="preserve"> evaluates the environmental burdens caused by a product during its life cycle. The life cycle assessment methodology is defined by ISO 14040-2006 and ISO 14044-2006.</w:t>
      </w:r>
    </w:p>
    <w:p w14:paraId="1E585D8C" w14:textId="77777777" w:rsidR="00BC7A1B" w:rsidRDefault="00BC7A1B" w:rsidP="00BC7A1B">
      <w:pPr>
        <w:pStyle w:val="CETBodytext"/>
        <w:rPr>
          <w:lang w:val="en-GB"/>
        </w:rPr>
      </w:pPr>
    </w:p>
    <w:p w14:paraId="3F0986B2" w14:textId="77777777" w:rsidR="00BC7A1B" w:rsidRDefault="00BC7A1B" w:rsidP="00BC7A1B">
      <w:pPr>
        <w:pStyle w:val="CETHeading1"/>
        <w:rPr>
          <w:lang w:val="en-GB"/>
        </w:rPr>
      </w:pPr>
      <w:r w:rsidRPr="00EF0DED">
        <w:t>Materials and Methods</w:t>
      </w:r>
    </w:p>
    <w:p w14:paraId="6B813566" w14:textId="3E4FDDD4" w:rsidR="00BC7A1B" w:rsidRPr="00C00832" w:rsidRDefault="00BC7A1B" w:rsidP="00BC7A1B">
      <w:pPr>
        <w:pStyle w:val="CETBodytext"/>
        <w:rPr>
          <w:lang w:val="en-GB"/>
        </w:rPr>
      </w:pPr>
      <w:r w:rsidRPr="00C00832">
        <w:rPr>
          <w:lang w:val="en-GB"/>
        </w:rPr>
        <w:t xml:space="preserve">According to ISO 14040-2006 an LCA study </w:t>
      </w:r>
      <w:r w:rsidR="00AF28E5">
        <w:rPr>
          <w:lang w:val="en-GB"/>
        </w:rPr>
        <w:t>consists</w:t>
      </w:r>
      <w:r w:rsidRPr="00C00832">
        <w:rPr>
          <w:lang w:val="en-GB"/>
        </w:rPr>
        <w:t xml:space="preserve"> of four phases:</w:t>
      </w:r>
    </w:p>
    <w:p w14:paraId="56EA88FB" w14:textId="77777777" w:rsidR="00BC7A1B" w:rsidRPr="00C00832" w:rsidRDefault="00BC7A1B" w:rsidP="00BC7A1B">
      <w:pPr>
        <w:pStyle w:val="CETnumberingbullets"/>
      </w:pPr>
      <w:r w:rsidRPr="00C00832">
        <w:t>the goal and scope definition phase</w:t>
      </w:r>
    </w:p>
    <w:p w14:paraId="7E95F9FE" w14:textId="77777777" w:rsidR="00BC7A1B" w:rsidRPr="00C00832" w:rsidRDefault="00BC7A1B" w:rsidP="00BC7A1B">
      <w:pPr>
        <w:pStyle w:val="CETnumberingbullets"/>
      </w:pPr>
      <w:r w:rsidRPr="00C00832">
        <w:t>the inventory analysis phase</w:t>
      </w:r>
    </w:p>
    <w:p w14:paraId="5AA48C4B" w14:textId="77777777" w:rsidR="00BC7A1B" w:rsidRPr="00C00832" w:rsidRDefault="00BC7A1B" w:rsidP="00BC7A1B">
      <w:pPr>
        <w:pStyle w:val="CETnumberingbullets"/>
      </w:pPr>
      <w:r w:rsidRPr="00C00832">
        <w:t>the impact assessment phase</w:t>
      </w:r>
    </w:p>
    <w:p w14:paraId="75A6FF5F" w14:textId="77777777" w:rsidR="00BC7A1B" w:rsidRDefault="00BC7A1B" w:rsidP="00BC7A1B">
      <w:pPr>
        <w:pStyle w:val="CETnumberingbullets"/>
      </w:pPr>
      <w:r w:rsidRPr="00C00832">
        <w:t>the interpretation phase</w:t>
      </w:r>
    </w:p>
    <w:p w14:paraId="229FCF75" w14:textId="77777777" w:rsidR="00BC7A1B" w:rsidRDefault="00BC7A1B" w:rsidP="00BC7A1B">
      <w:pPr>
        <w:pStyle w:val="CETBodytext"/>
        <w:rPr>
          <w:lang w:val="en-GB"/>
        </w:rPr>
      </w:pPr>
    </w:p>
    <w:p w14:paraId="67E67D5D" w14:textId="77777777" w:rsidR="00BC7A1B" w:rsidRDefault="00BC7A1B" w:rsidP="00BC7A1B">
      <w:pPr>
        <w:pStyle w:val="CETheadingx"/>
        <w:rPr>
          <w:lang w:val="en-GB"/>
        </w:rPr>
      </w:pPr>
      <w:r>
        <w:t>Goal and Scope Definition</w:t>
      </w:r>
    </w:p>
    <w:p w14:paraId="10644C07" w14:textId="539E3E80" w:rsidR="00BC7A1B" w:rsidRPr="006D19B0" w:rsidRDefault="00BF37E5" w:rsidP="00BC7A1B">
      <w:pPr>
        <w:pStyle w:val="CETBodytext"/>
        <w:rPr>
          <w:lang w:val="en-GB"/>
        </w:rPr>
      </w:pPr>
      <w:r w:rsidRPr="006D19B0">
        <w:rPr>
          <w:lang w:val="en-GB"/>
        </w:rPr>
        <w:t xml:space="preserve">To assess the environmental impact associated </w:t>
      </w:r>
      <w:r w:rsidR="00AF28E5" w:rsidRPr="006D19B0">
        <w:rPr>
          <w:lang w:val="en-GB"/>
        </w:rPr>
        <w:t>with</w:t>
      </w:r>
      <w:r w:rsidRPr="006D19B0">
        <w:rPr>
          <w:lang w:val="en-GB"/>
        </w:rPr>
        <w:t xml:space="preserve"> the end-of-life treatment of polyurethane foam, two scenarios have been considered:</w:t>
      </w:r>
    </w:p>
    <w:p w14:paraId="72C569F4" w14:textId="77777777" w:rsidR="00BC7A1B" w:rsidRPr="006D19B0" w:rsidRDefault="00BC7A1B" w:rsidP="00BC7A1B">
      <w:pPr>
        <w:pStyle w:val="CETnumberingbullets"/>
      </w:pPr>
      <w:r w:rsidRPr="006D19B0">
        <w:t>Scenario 1: Landfill</w:t>
      </w:r>
    </w:p>
    <w:p w14:paraId="1A7EA570" w14:textId="77777777" w:rsidR="00BC7A1B" w:rsidRPr="006D19B0" w:rsidRDefault="00BC7A1B" w:rsidP="00BC7A1B">
      <w:pPr>
        <w:pStyle w:val="CETnumberingbullets"/>
      </w:pPr>
      <w:r w:rsidRPr="006D19B0">
        <w:t>Scenario 2: Chemical recycling</w:t>
      </w:r>
    </w:p>
    <w:p w14:paraId="079D6D77" w14:textId="5FEF6FC1" w:rsidR="00BC7A1B" w:rsidRPr="00C00832" w:rsidRDefault="00BC7A1B" w:rsidP="00BC7A1B">
      <w:pPr>
        <w:pStyle w:val="CETBodytext"/>
        <w:rPr>
          <w:lang w:val="en-GB"/>
        </w:rPr>
      </w:pPr>
      <w:r w:rsidRPr="006D19B0">
        <w:rPr>
          <w:lang w:val="en-GB"/>
        </w:rPr>
        <w:t xml:space="preserve">The system boundaries are shown in </w:t>
      </w:r>
      <w:r w:rsidRPr="006D19B0">
        <w:rPr>
          <w:lang w:val="en-GB"/>
        </w:rPr>
        <w:fldChar w:fldCharType="begin"/>
      </w:r>
      <w:r w:rsidRPr="006D19B0">
        <w:rPr>
          <w:lang w:val="en-GB"/>
        </w:rPr>
        <w:instrText xml:space="preserve"> REF _Ref190269844 \h </w:instrText>
      </w:r>
      <w:r w:rsidRPr="006D19B0">
        <w:rPr>
          <w:lang w:val="en-GB"/>
        </w:rPr>
      </w:r>
      <w:r w:rsidR="006D19B0">
        <w:rPr>
          <w:lang w:val="en-GB"/>
        </w:rPr>
        <w:instrText xml:space="preserve"> \* MERGEFORMAT </w:instrText>
      </w:r>
      <w:r w:rsidRPr="006D19B0">
        <w:rPr>
          <w:lang w:val="en-GB"/>
        </w:rPr>
        <w:fldChar w:fldCharType="separate"/>
      </w:r>
      <w:r w:rsidRPr="006D19B0">
        <w:t xml:space="preserve">Figure </w:t>
      </w:r>
      <w:r w:rsidRPr="006D19B0">
        <w:rPr>
          <w:noProof/>
        </w:rPr>
        <w:t>2</w:t>
      </w:r>
      <w:r w:rsidRPr="006D19B0">
        <w:rPr>
          <w:lang w:val="en-GB"/>
        </w:rPr>
        <w:fldChar w:fldCharType="end"/>
      </w:r>
      <w:r w:rsidRPr="006D19B0">
        <w:rPr>
          <w:lang w:val="en-GB"/>
        </w:rPr>
        <w:t xml:space="preserve">. Regarding Scenario 1, the process </w:t>
      </w:r>
      <w:r w:rsidR="00BF37E5" w:rsidRPr="006D19B0">
        <w:rPr>
          <w:lang w:val="en-GB"/>
        </w:rPr>
        <w:t>begins</w:t>
      </w:r>
      <w:r w:rsidRPr="006D19B0">
        <w:rPr>
          <w:lang w:val="en-GB"/>
        </w:rPr>
        <w:t xml:space="preserve"> with the polyurethane synthesis by mixing the polyol and isocyanate, followed by transportation and the use phase (which has not been mode</w:t>
      </w:r>
      <w:r w:rsidR="002D76F4" w:rsidRPr="006D19B0">
        <w:rPr>
          <w:lang w:val="en-GB"/>
        </w:rPr>
        <w:t>l</w:t>
      </w:r>
      <w:r w:rsidRPr="006D19B0">
        <w:rPr>
          <w:lang w:val="en-GB"/>
        </w:rPr>
        <w:t xml:space="preserve">led considering that the use phase can be assumed to be identical between Scenario 1 and Scenario 2). </w:t>
      </w:r>
      <w:r w:rsidR="00AF28E5" w:rsidRPr="006D19B0">
        <w:rPr>
          <w:lang w:val="en-GB"/>
        </w:rPr>
        <w:t>Finally, a last transportation</w:t>
      </w:r>
      <w:r w:rsidR="00AF28E5" w:rsidRPr="00AF28E5">
        <w:rPr>
          <w:lang w:val="en-GB"/>
        </w:rPr>
        <w:t xml:space="preserve"> step and landfill disposal complete the life cycle of Scenario 1.</w:t>
      </w:r>
    </w:p>
    <w:p w14:paraId="3D7D356A" w14:textId="77777777" w:rsidR="00BC7A1B" w:rsidRPr="00C00832" w:rsidRDefault="00BC7A1B" w:rsidP="00BC7A1B">
      <w:pPr>
        <w:pStyle w:val="CETBodytext"/>
        <w:rPr>
          <w:lang w:val="en-GB"/>
        </w:rPr>
      </w:pPr>
    </w:p>
    <w:p w14:paraId="78586E3A" w14:textId="2636CB87" w:rsidR="00BC7A1B" w:rsidRPr="006D19B0" w:rsidRDefault="00BC7A1B" w:rsidP="00BC7A1B">
      <w:pPr>
        <w:pStyle w:val="CETBodytext"/>
        <w:rPr>
          <w:lang w:val="en-GB"/>
        </w:rPr>
      </w:pPr>
      <w:r w:rsidRPr="006D19B0">
        <w:rPr>
          <w:lang w:val="en-GB"/>
        </w:rPr>
        <w:t xml:space="preserve">Regarding Scenario 2, on the other hand, up to the second transportation block, there are no differences compared to Scenario 1. </w:t>
      </w:r>
      <w:r w:rsidR="00AF28E5" w:rsidRPr="006D19B0">
        <w:rPr>
          <w:lang w:val="en-GB"/>
        </w:rPr>
        <w:t>H</w:t>
      </w:r>
      <w:r w:rsidR="009D0A91" w:rsidRPr="006D19B0">
        <w:rPr>
          <w:lang w:val="en-GB"/>
        </w:rPr>
        <w:t>owever</w:t>
      </w:r>
      <w:r w:rsidRPr="006D19B0">
        <w:rPr>
          <w:lang w:val="en-GB"/>
        </w:rPr>
        <w:t xml:space="preserve">, </w:t>
      </w:r>
      <w:r w:rsidR="00AF28E5" w:rsidRPr="006D19B0">
        <w:rPr>
          <w:lang w:val="en-GB"/>
        </w:rPr>
        <w:t xml:space="preserve">in this case, </w:t>
      </w:r>
      <w:r w:rsidRPr="006D19B0">
        <w:rPr>
          <w:lang w:val="en-GB"/>
        </w:rPr>
        <w:t>the waste polyurethane foam is transported to the recycling process which consists of</w:t>
      </w:r>
      <w:r w:rsidR="009D0A91" w:rsidRPr="006D19B0">
        <w:rPr>
          <w:lang w:val="en-GB"/>
        </w:rPr>
        <w:t xml:space="preserve"> a drying process, mechanical milling step and glycolysis reaction in order to remove humidity, reduce the size of the foam and recover polyol</w:t>
      </w:r>
      <w:r w:rsidR="00F06F6E" w:rsidRPr="006D19B0">
        <w:rPr>
          <w:lang w:val="en-GB"/>
        </w:rPr>
        <w:t xml:space="preserve"> respectively</w:t>
      </w:r>
      <w:r w:rsidR="009D0A91" w:rsidRPr="006D19B0">
        <w:rPr>
          <w:lang w:val="en-GB"/>
        </w:rPr>
        <w:t>.</w:t>
      </w:r>
    </w:p>
    <w:p w14:paraId="7389B176" w14:textId="6CF81FB0" w:rsidR="00BC7A1B" w:rsidRPr="006D19B0" w:rsidRDefault="00AF28E5" w:rsidP="00BC7A1B">
      <w:pPr>
        <w:pStyle w:val="CETBodytext"/>
        <w:rPr>
          <w:lang w:val="en-GB"/>
        </w:rPr>
      </w:pPr>
      <w:r w:rsidRPr="006D19B0">
        <w:rPr>
          <w:lang w:val="en-GB"/>
        </w:rPr>
        <w:t xml:space="preserve">Additionally, for Scenario 2, four sub-scenarios have been considered based on the percentage of virgin </w:t>
      </w:r>
      <w:r w:rsidR="00BC7A1B" w:rsidRPr="006D19B0">
        <w:rPr>
          <w:lang w:val="en-GB"/>
        </w:rPr>
        <w:t>polyol substitution:</w:t>
      </w:r>
    </w:p>
    <w:p w14:paraId="0469E898" w14:textId="77777777" w:rsidR="00BC7A1B" w:rsidRPr="006D19B0" w:rsidRDefault="00BC7A1B" w:rsidP="00BC7A1B">
      <w:pPr>
        <w:pStyle w:val="CETnumberingbullets"/>
      </w:pPr>
      <w:r w:rsidRPr="006D19B0">
        <w:t>Scenario 2a: 25%</w:t>
      </w:r>
    </w:p>
    <w:p w14:paraId="6E0CB1E8" w14:textId="77777777" w:rsidR="00BC7A1B" w:rsidRPr="006D19B0" w:rsidRDefault="00BC7A1B" w:rsidP="00BC7A1B">
      <w:pPr>
        <w:pStyle w:val="CETnumberingbullets"/>
      </w:pPr>
      <w:r w:rsidRPr="006D19B0">
        <w:t>Scenario 2b: 50%</w:t>
      </w:r>
    </w:p>
    <w:p w14:paraId="7812154D" w14:textId="77777777" w:rsidR="00BC7A1B" w:rsidRPr="006D19B0" w:rsidRDefault="00BC7A1B" w:rsidP="00BC7A1B">
      <w:pPr>
        <w:pStyle w:val="CETnumberingbullets"/>
      </w:pPr>
      <w:r w:rsidRPr="006D19B0">
        <w:t>Scenario 2c: 75%</w:t>
      </w:r>
    </w:p>
    <w:p w14:paraId="68C82D45" w14:textId="77777777" w:rsidR="00BC7A1B" w:rsidRPr="006D19B0" w:rsidRDefault="00BC7A1B" w:rsidP="00BC7A1B">
      <w:pPr>
        <w:pStyle w:val="CETnumberingbullets"/>
      </w:pPr>
      <w:r w:rsidRPr="006D19B0">
        <w:t>Scenario 2d: 100%</w:t>
      </w:r>
    </w:p>
    <w:p w14:paraId="0A282105" w14:textId="0CF2EE5A" w:rsidR="00BC7A1B" w:rsidRDefault="00AF28E5" w:rsidP="00BC7A1B">
      <w:pPr>
        <w:pStyle w:val="CETBodytext"/>
        <w:rPr>
          <w:lang w:val="en-GB"/>
        </w:rPr>
      </w:pPr>
      <w:r w:rsidRPr="006D19B0">
        <w:rPr>
          <w:lang w:val="en-GB"/>
        </w:rPr>
        <w:t>The substitution percentage represents the amount of polyol obtained through glycolysis that replaces virgin polyol in the polyurethane synthesis. The variation in polyol composition is shown in Table</w:t>
      </w:r>
      <w:r w:rsidRPr="00AF28E5">
        <w:rPr>
          <w:lang w:val="en-GB"/>
        </w:rPr>
        <w:t xml:space="preserve"> 1.</w:t>
      </w:r>
    </w:p>
    <w:p w14:paraId="40876B0C" w14:textId="77777777" w:rsidR="00BC7A1B" w:rsidRDefault="00BC7A1B" w:rsidP="00BC7A1B">
      <w:pPr>
        <w:pStyle w:val="CETBodytext"/>
        <w:keepNext/>
      </w:pPr>
      <w:r>
        <w:rPr>
          <w:noProof/>
          <w:lang w:val="it-IT" w:eastAsia="it-IT"/>
        </w:rPr>
        <w:lastRenderedPageBreak/>
        <w:drawing>
          <wp:inline distT="0" distB="0" distL="0" distR="0" wp14:anchorId="33FA451A" wp14:editId="45486682">
            <wp:extent cx="3330576" cy="4619625"/>
            <wp:effectExtent l="0" t="0" r="3175" b="0"/>
            <wp:docPr id="682447774" name="Immagine 2"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7774" name="Immagine 2" descr="Immagine che contiene testo, schermata, Carattere, design&#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6366" cy="4724748"/>
                    </a:xfrm>
                    <a:prstGeom prst="rect">
                      <a:avLst/>
                    </a:prstGeom>
                    <a:noFill/>
                  </pic:spPr>
                </pic:pic>
              </a:graphicData>
            </a:graphic>
          </wp:inline>
        </w:drawing>
      </w:r>
    </w:p>
    <w:p w14:paraId="262287F9" w14:textId="77777777" w:rsidR="00BC7A1B" w:rsidRDefault="00BC7A1B" w:rsidP="00BC7A1B">
      <w:pPr>
        <w:pStyle w:val="CETCaption"/>
      </w:pPr>
      <w:bookmarkStart w:id="2" w:name="_Ref190269844"/>
      <w:r>
        <w:t xml:space="preserve">Figure </w:t>
      </w:r>
      <w:r>
        <w:fldChar w:fldCharType="begin"/>
      </w:r>
      <w:r>
        <w:instrText xml:space="preserve"> SEQ Figure \* ARABIC </w:instrText>
      </w:r>
      <w:r>
        <w:fldChar w:fldCharType="separate"/>
      </w:r>
      <w:r>
        <w:rPr>
          <w:noProof/>
        </w:rPr>
        <w:t>2</w:t>
      </w:r>
      <w:r>
        <w:fldChar w:fldCharType="end"/>
      </w:r>
      <w:bookmarkEnd w:id="2"/>
      <w:r>
        <w:t xml:space="preserve"> </w:t>
      </w:r>
      <w:r w:rsidRPr="009300BE">
        <w:t>a) Scenario 1 and b) Scenario 2 Processes Flow Diagram</w:t>
      </w:r>
    </w:p>
    <w:p w14:paraId="27B7B418" w14:textId="05AADB4F" w:rsidR="00BC7A1B" w:rsidRDefault="00BC7A1B" w:rsidP="00BC7A1B">
      <w:pPr>
        <w:pStyle w:val="CETTabletitle"/>
      </w:pPr>
      <w:bookmarkStart w:id="3" w:name="_Ref204163027"/>
      <w:r>
        <w:t xml:space="preserve">Table </w:t>
      </w:r>
      <w:r>
        <w:fldChar w:fldCharType="begin"/>
      </w:r>
      <w:r>
        <w:instrText xml:space="preserve"> SEQ Table \* ARABIC </w:instrText>
      </w:r>
      <w:r>
        <w:fldChar w:fldCharType="separate"/>
      </w:r>
      <w:r>
        <w:t>1</w:t>
      </w:r>
      <w:r>
        <w:fldChar w:fldCharType="end"/>
      </w:r>
      <w:bookmarkEnd w:id="3"/>
      <w:r w:rsidRPr="00BC7A1B">
        <w:t xml:space="preserve"> </w:t>
      </w:r>
      <w:r>
        <w:t>Substitution</w:t>
      </w:r>
      <w:r w:rsidRPr="009E18FE">
        <w:t xml:space="preserve"> percentage in polyurethane foam production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tblGrid>
      <w:tr w:rsidR="00BC7A1B" w:rsidRPr="00B57B36" w14:paraId="4504CB4B" w14:textId="77777777" w:rsidTr="00661D58">
        <w:tc>
          <w:tcPr>
            <w:tcW w:w="1134" w:type="dxa"/>
            <w:tcBorders>
              <w:top w:val="single" w:sz="12" w:space="0" w:color="008000"/>
              <w:bottom w:val="single" w:sz="6" w:space="0" w:color="008000"/>
            </w:tcBorders>
            <w:shd w:val="clear" w:color="auto" w:fill="FFFFFF"/>
          </w:tcPr>
          <w:p w14:paraId="0830C9E1" w14:textId="77777777" w:rsidR="00BC7A1B" w:rsidRPr="00B57B36" w:rsidRDefault="00BC7A1B" w:rsidP="00661D58">
            <w:pPr>
              <w:pStyle w:val="CETBodytext"/>
              <w:rPr>
                <w:lang w:val="en-GB"/>
              </w:rPr>
            </w:pPr>
            <w:r>
              <w:rPr>
                <w:lang w:val="en-GB"/>
              </w:rPr>
              <w:t>Substitution percentage, %</w:t>
            </w:r>
          </w:p>
        </w:tc>
        <w:tc>
          <w:tcPr>
            <w:tcW w:w="1134" w:type="dxa"/>
            <w:tcBorders>
              <w:top w:val="single" w:sz="12" w:space="0" w:color="008000"/>
              <w:bottom w:val="single" w:sz="6" w:space="0" w:color="008000"/>
            </w:tcBorders>
            <w:shd w:val="clear" w:color="auto" w:fill="FFFFFF"/>
          </w:tcPr>
          <w:p w14:paraId="52BD6AAB" w14:textId="77777777" w:rsidR="00BC7A1B" w:rsidRPr="00B57B36" w:rsidRDefault="00BC7A1B" w:rsidP="00661D58">
            <w:pPr>
              <w:pStyle w:val="CETBodytext"/>
              <w:rPr>
                <w:lang w:val="en-GB"/>
              </w:rPr>
            </w:pPr>
            <w:r>
              <w:rPr>
                <w:lang w:val="en-GB"/>
              </w:rPr>
              <w:t>Isocyanate, kg</w:t>
            </w:r>
          </w:p>
        </w:tc>
        <w:tc>
          <w:tcPr>
            <w:tcW w:w="1134" w:type="dxa"/>
            <w:tcBorders>
              <w:top w:val="single" w:sz="12" w:space="0" w:color="008000"/>
              <w:bottom w:val="single" w:sz="6" w:space="0" w:color="008000"/>
            </w:tcBorders>
            <w:shd w:val="clear" w:color="auto" w:fill="FFFFFF"/>
          </w:tcPr>
          <w:p w14:paraId="47B20939" w14:textId="77777777" w:rsidR="00BC7A1B" w:rsidRPr="00B57B36" w:rsidRDefault="00BC7A1B" w:rsidP="00661D58">
            <w:pPr>
              <w:pStyle w:val="CETBodytext"/>
              <w:rPr>
                <w:lang w:val="en-GB"/>
              </w:rPr>
            </w:pPr>
            <w:r>
              <w:rPr>
                <w:lang w:val="en-GB"/>
              </w:rPr>
              <w:t>Polyol, kg</w:t>
            </w:r>
          </w:p>
        </w:tc>
        <w:tc>
          <w:tcPr>
            <w:tcW w:w="1134" w:type="dxa"/>
            <w:tcBorders>
              <w:top w:val="single" w:sz="12" w:space="0" w:color="008000"/>
              <w:bottom w:val="single" w:sz="6" w:space="0" w:color="008000"/>
            </w:tcBorders>
            <w:shd w:val="clear" w:color="auto" w:fill="FFFFFF"/>
          </w:tcPr>
          <w:p w14:paraId="1418A727" w14:textId="77777777" w:rsidR="00BC7A1B" w:rsidRPr="00B57B36" w:rsidRDefault="00BC7A1B" w:rsidP="00661D58">
            <w:pPr>
              <w:pStyle w:val="CETBodytext"/>
              <w:ind w:right="-1"/>
              <w:rPr>
                <w:rFonts w:cs="Arial"/>
                <w:szCs w:val="18"/>
                <w:lang w:val="en-GB"/>
              </w:rPr>
            </w:pPr>
            <w:r>
              <w:rPr>
                <w:rFonts w:cs="Arial"/>
                <w:szCs w:val="18"/>
                <w:lang w:val="en-GB"/>
              </w:rPr>
              <w:t>Polyol from glycolysis, kg</w:t>
            </w:r>
          </w:p>
        </w:tc>
        <w:tc>
          <w:tcPr>
            <w:tcW w:w="1134" w:type="dxa"/>
            <w:tcBorders>
              <w:top w:val="single" w:sz="12" w:space="0" w:color="008000"/>
              <w:bottom w:val="single" w:sz="6" w:space="0" w:color="008000"/>
            </w:tcBorders>
            <w:shd w:val="clear" w:color="auto" w:fill="FFFFFF"/>
          </w:tcPr>
          <w:p w14:paraId="10D135AC" w14:textId="77777777" w:rsidR="00BC7A1B" w:rsidRPr="00B57B36" w:rsidRDefault="00BC7A1B" w:rsidP="00661D58">
            <w:pPr>
              <w:pStyle w:val="CETBodytext"/>
              <w:ind w:right="-1"/>
              <w:rPr>
                <w:rFonts w:cs="Arial"/>
                <w:szCs w:val="18"/>
                <w:lang w:val="en-GB"/>
              </w:rPr>
            </w:pPr>
            <w:r>
              <w:rPr>
                <w:rFonts w:cs="Arial"/>
                <w:szCs w:val="18"/>
                <w:lang w:val="en-GB"/>
              </w:rPr>
              <w:t>Polyurethane foam produced, kg</w:t>
            </w:r>
          </w:p>
        </w:tc>
      </w:tr>
      <w:tr w:rsidR="00BC7A1B" w:rsidRPr="00B57B36" w14:paraId="3AAACBF1" w14:textId="77777777" w:rsidTr="00661D58">
        <w:tc>
          <w:tcPr>
            <w:tcW w:w="1134" w:type="dxa"/>
            <w:shd w:val="clear" w:color="auto" w:fill="FFFFFF"/>
          </w:tcPr>
          <w:p w14:paraId="63F7E4D8" w14:textId="77777777" w:rsidR="00BC7A1B" w:rsidRPr="00B57B36" w:rsidRDefault="00BC7A1B" w:rsidP="00661D58">
            <w:pPr>
              <w:pStyle w:val="CETBodytext"/>
              <w:rPr>
                <w:lang w:val="en-GB"/>
              </w:rPr>
            </w:pPr>
            <w:r>
              <w:rPr>
                <w:lang w:val="en-GB"/>
              </w:rPr>
              <w:t>0</w:t>
            </w:r>
          </w:p>
        </w:tc>
        <w:tc>
          <w:tcPr>
            <w:tcW w:w="1134" w:type="dxa"/>
            <w:shd w:val="clear" w:color="auto" w:fill="FFFFFF"/>
          </w:tcPr>
          <w:p w14:paraId="38132230" w14:textId="77777777" w:rsidR="00BC7A1B" w:rsidRPr="00B57B36" w:rsidRDefault="00BC7A1B" w:rsidP="00661D58">
            <w:pPr>
              <w:pStyle w:val="CETBodytext"/>
              <w:rPr>
                <w:lang w:val="en-GB"/>
              </w:rPr>
            </w:pPr>
            <w:r>
              <w:rPr>
                <w:lang w:val="en-GB"/>
              </w:rPr>
              <w:t>X</w:t>
            </w:r>
          </w:p>
        </w:tc>
        <w:tc>
          <w:tcPr>
            <w:tcW w:w="1134" w:type="dxa"/>
            <w:shd w:val="clear" w:color="auto" w:fill="FFFFFF"/>
          </w:tcPr>
          <w:p w14:paraId="51135E9B" w14:textId="77777777" w:rsidR="00BC7A1B" w:rsidRPr="00B57B36" w:rsidRDefault="00BC7A1B" w:rsidP="00661D58">
            <w:pPr>
              <w:pStyle w:val="CETBodytext"/>
              <w:rPr>
                <w:lang w:val="en-GB"/>
              </w:rPr>
            </w:pPr>
            <w:r>
              <w:rPr>
                <w:lang w:val="en-GB"/>
              </w:rPr>
              <w:t>Y</w:t>
            </w:r>
          </w:p>
        </w:tc>
        <w:tc>
          <w:tcPr>
            <w:tcW w:w="1134" w:type="dxa"/>
            <w:shd w:val="clear" w:color="auto" w:fill="FFFFFF"/>
          </w:tcPr>
          <w:p w14:paraId="6F2151F9" w14:textId="77777777" w:rsidR="00BC7A1B" w:rsidRPr="00B57B36" w:rsidRDefault="00BC7A1B" w:rsidP="00661D58">
            <w:pPr>
              <w:pStyle w:val="CETBodytext"/>
              <w:ind w:right="-1"/>
              <w:rPr>
                <w:rFonts w:cs="Arial"/>
                <w:szCs w:val="18"/>
                <w:lang w:val="en-GB"/>
              </w:rPr>
            </w:pPr>
            <w:r>
              <w:rPr>
                <w:rFonts w:cs="Arial"/>
                <w:szCs w:val="18"/>
                <w:lang w:val="en-GB"/>
              </w:rPr>
              <w:t>-</w:t>
            </w:r>
          </w:p>
        </w:tc>
        <w:tc>
          <w:tcPr>
            <w:tcW w:w="1134" w:type="dxa"/>
            <w:shd w:val="clear" w:color="auto" w:fill="FFFFFF"/>
          </w:tcPr>
          <w:p w14:paraId="6C52AC59" w14:textId="77777777" w:rsidR="00BC7A1B" w:rsidRPr="00B57B36" w:rsidRDefault="00BC7A1B" w:rsidP="00661D58">
            <w:pPr>
              <w:pStyle w:val="CETBodytext"/>
              <w:ind w:right="-1"/>
              <w:rPr>
                <w:rFonts w:cs="Arial"/>
                <w:szCs w:val="18"/>
                <w:lang w:val="en-GB"/>
              </w:rPr>
            </w:pPr>
            <w:r>
              <w:rPr>
                <w:rFonts w:cs="Arial"/>
                <w:szCs w:val="18"/>
                <w:lang w:val="en-GB"/>
              </w:rPr>
              <w:t>1,000</w:t>
            </w:r>
          </w:p>
        </w:tc>
      </w:tr>
      <w:tr w:rsidR="00BC7A1B" w:rsidRPr="00B57B36" w14:paraId="38021CF1" w14:textId="77777777" w:rsidTr="00661D58">
        <w:tc>
          <w:tcPr>
            <w:tcW w:w="1134" w:type="dxa"/>
            <w:shd w:val="clear" w:color="auto" w:fill="FFFFFF"/>
          </w:tcPr>
          <w:p w14:paraId="455EAEE6" w14:textId="77777777" w:rsidR="00BC7A1B" w:rsidRPr="00B57B36" w:rsidRDefault="00BC7A1B" w:rsidP="00661D58">
            <w:pPr>
              <w:pStyle w:val="CETBodytext"/>
              <w:rPr>
                <w:lang w:val="en-GB"/>
              </w:rPr>
            </w:pPr>
            <w:r>
              <w:rPr>
                <w:lang w:val="en-GB"/>
              </w:rPr>
              <w:t>25</w:t>
            </w:r>
          </w:p>
        </w:tc>
        <w:tc>
          <w:tcPr>
            <w:tcW w:w="1134" w:type="dxa"/>
            <w:shd w:val="clear" w:color="auto" w:fill="FFFFFF"/>
          </w:tcPr>
          <w:p w14:paraId="5C6878EE" w14:textId="77777777" w:rsidR="00BC7A1B" w:rsidRPr="00B57B36" w:rsidRDefault="00BC7A1B" w:rsidP="00661D58">
            <w:pPr>
              <w:pStyle w:val="CETBodytext"/>
              <w:rPr>
                <w:lang w:val="en-GB"/>
              </w:rPr>
            </w:pPr>
            <w:r>
              <w:rPr>
                <w:lang w:val="en-GB"/>
              </w:rPr>
              <w:t>X</w:t>
            </w:r>
          </w:p>
        </w:tc>
        <w:tc>
          <w:tcPr>
            <w:tcW w:w="1134" w:type="dxa"/>
            <w:shd w:val="clear" w:color="auto" w:fill="FFFFFF"/>
          </w:tcPr>
          <w:p w14:paraId="2EF43853" w14:textId="77777777" w:rsidR="00BC7A1B" w:rsidRPr="00B57B36" w:rsidRDefault="00BC7A1B" w:rsidP="00661D58">
            <w:pPr>
              <w:pStyle w:val="CETBodytext"/>
              <w:rPr>
                <w:lang w:val="en-GB"/>
              </w:rPr>
            </w:pPr>
            <w:r>
              <w:rPr>
                <w:lang w:val="en-GB"/>
              </w:rPr>
              <w:t>Y*0.75</w:t>
            </w:r>
          </w:p>
        </w:tc>
        <w:tc>
          <w:tcPr>
            <w:tcW w:w="1134" w:type="dxa"/>
            <w:shd w:val="clear" w:color="auto" w:fill="FFFFFF"/>
          </w:tcPr>
          <w:p w14:paraId="6A219746" w14:textId="77777777" w:rsidR="00BC7A1B" w:rsidRPr="00B57B36" w:rsidRDefault="00BC7A1B" w:rsidP="00661D58">
            <w:pPr>
              <w:pStyle w:val="CETBodytext"/>
              <w:ind w:right="-1"/>
              <w:rPr>
                <w:rFonts w:cs="Arial"/>
                <w:szCs w:val="18"/>
                <w:lang w:val="en-GB"/>
              </w:rPr>
            </w:pPr>
            <w:r>
              <w:rPr>
                <w:rFonts w:cs="Arial"/>
                <w:szCs w:val="18"/>
                <w:lang w:val="en-GB"/>
              </w:rPr>
              <w:t>Y*0.25</w:t>
            </w:r>
          </w:p>
        </w:tc>
        <w:tc>
          <w:tcPr>
            <w:tcW w:w="1134" w:type="dxa"/>
            <w:shd w:val="clear" w:color="auto" w:fill="FFFFFF"/>
          </w:tcPr>
          <w:p w14:paraId="25B55171" w14:textId="77777777" w:rsidR="00BC7A1B" w:rsidRPr="00B57B36" w:rsidRDefault="00BC7A1B" w:rsidP="00661D58">
            <w:pPr>
              <w:pStyle w:val="CETBodytext"/>
              <w:ind w:right="-1"/>
              <w:rPr>
                <w:rFonts w:cs="Arial"/>
                <w:szCs w:val="18"/>
                <w:lang w:val="en-GB"/>
              </w:rPr>
            </w:pPr>
            <w:r>
              <w:rPr>
                <w:rFonts w:cs="Arial"/>
                <w:szCs w:val="18"/>
                <w:lang w:val="en-GB"/>
              </w:rPr>
              <w:t>1,000</w:t>
            </w:r>
          </w:p>
        </w:tc>
      </w:tr>
      <w:tr w:rsidR="00BC7A1B" w:rsidRPr="00B57B36" w14:paraId="054F57D2" w14:textId="77777777" w:rsidTr="00661D58">
        <w:tc>
          <w:tcPr>
            <w:tcW w:w="1134" w:type="dxa"/>
            <w:shd w:val="clear" w:color="auto" w:fill="FFFFFF"/>
          </w:tcPr>
          <w:p w14:paraId="441D0891" w14:textId="77777777" w:rsidR="00BC7A1B" w:rsidRPr="00B57B36" w:rsidRDefault="00BC7A1B" w:rsidP="00661D58">
            <w:pPr>
              <w:pStyle w:val="CETBodytext"/>
              <w:rPr>
                <w:lang w:val="en-GB"/>
              </w:rPr>
            </w:pPr>
            <w:r>
              <w:rPr>
                <w:lang w:val="en-GB"/>
              </w:rPr>
              <w:t>50</w:t>
            </w:r>
          </w:p>
        </w:tc>
        <w:tc>
          <w:tcPr>
            <w:tcW w:w="1134" w:type="dxa"/>
            <w:shd w:val="clear" w:color="auto" w:fill="FFFFFF"/>
          </w:tcPr>
          <w:p w14:paraId="28DE734D" w14:textId="77777777" w:rsidR="00BC7A1B" w:rsidRPr="00B57B36" w:rsidRDefault="00BC7A1B" w:rsidP="00661D58">
            <w:pPr>
              <w:pStyle w:val="CETBodytext"/>
              <w:rPr>
                <w:lang w:val="en-GB"/>
              </w:rPr>
            </w:pPr>
            <w:r>
              <w:rPr>
                <w:lang w:val="en-GB"/>
              </w:rPr>
              <w:t>X</w:t>
            </w:r>
          </w:p>
        </w:tc>
        <w:tc>
          <w:tcPr>
            <w:tcW w:w="1134" w:type="dxa"/>
            <w:shd w:val="clear" w:color="auto" w:fill="FFFFFF"/>
          </w:tcPr>
          <w:p w14:paraId="78FA1587" w14:textId="77777777" w:rsidR="00BC7A1B" w:rsidRPr="00B57B36" w:rsidRDefault="00BC7A1B" w:rsidP="00661D58">
            <w:pPr>
              <w:pStyle w:val="CETBodytext"/>
              <w:rPr>
                <w:lang w:val="en-GB"/>
              </w:rPr>
            </w:pPr>
            <w:r>
              <w:rPr>
                <w:lang w:val="en-GB"/>
              </w:rPr>
              <w:t>Y*0.5</w:t>
            </w:r>
          </w:p>
        </w:tc>
        <w:tc>
          <w:tcPr>
            <w:tcW w:w="1134" w:type="dxa"/>
            <w:shd w:val="clear" w:color="auto" w:fill="FFFFFF"/>
          </w:tcPr>
          <w:p w14:paraId="2D18E3F7" w14:textId="77777777" w:rsidR="00BC7A1B" w:rsidRPr="00B57B36" w:rsidRDefault="00BC7A1B" w:rsidP="00661D58">
            <w:pPr>
              <w:pStyle w:val="CETBodytext"/>
              <w:ind w:right="-1"/>
              <w:rPr>
                <w:rFonts w:cs="Arial"/>
                <w:szCs w:val="18"/>
                <w:lang w:val="en-GB"/>
              </w:rPr>
            </w:pPr>
            <w:r>
              <w:rPr>
                <w:rFonts w:cs="Arial"/>
                <w:szCs w:val="18"/>
                <w:lang w:val="en-GB"/>
              </w:rPr>
              <w:t>Y*0.5</w:t>
            </w:r>
          </w:p>
        </w:tc>
        <w:tc>
          <w:tcPr>
            <w:tcW w:w="1134" w:type="dxa"/>
            <w:shd w:val="clear" w:color="auto" w:fill="FFFFFF"/>
          </w:tcPr>
          <w:p w14:paraId="2EEE4164" w14:textId="77777777" w:rsidR="00BC7A1B" w:rsidRPr="00B57B36" w:rsidRDefault="00BC7A1B" w:rsidP="00661D58">
            <w:pPr>
              <w:pStyle w:val="CETBodytext"/>
              <w:ind w:right="-1"/>
              <w:rPr>
                <w:rFonts w:cs="Arial"/>
                <w:szCs w:val="18"/>
                <w:lang w:val="en-GB"/>
              </w:rPr>
            </w:pPr>
            <w:r>
              <w:rPr>
                <w:rFonts w:cs="Arial"/>
                <w:szCs w:val="18"/>
                <w:lang w:val="en-GB"/>
              </w:rPr>
              <w:t>1,000</w:t>
            </w:r>
          </w:p>
        </w:tc>
      </w:tr>
      <w:tr w:rsidR="00BC7A1B" w:rsidRPr="00B57B36" w14:paraId="5AE93F24" w14:textId="77777777" w:rsidTr="00661D58">
        <w:tc>
          <w:tcPr>
            <w:tcW w:w="1134" w:type="dxa"/>
            <w:shd w:val="clear" w:color="auto" w:fill="FFFFFF"/>
          </w:tcPr>
          <w:p w14:paraId="4FE8D97F" w14:textId="77777777" w:rsidR="00BC7A1B" w:rsidRPr="00B57B36" w:rsidRDefault="00BC7A1B" w:rsidP="00661D58">
            <w:pPr>
              <w:pStyle w:val="CETBodytext"/>
              <w:rPr>
                <w:lang w:val="en-GB"/>
              </w:rPr>
            </w:pPr>
            <w:r>
              <w:rPr>
                <w:lang w:val="en-GB"/>
              </w:rPr>
              <w:t>75</w:t>
            </w:r>
          </w:p>
        </w:tc>
        <w:tc>
          <w:tcPr>
            <w:tcW w:w="1134" w:type="dxa"/>
            <w:shd w:val="clear" w:color="auto" w:fill="FFFFFF"/>
          </w:tcPr>
          <w:p w14:paraId="32ECBE8B" w14:textId="77777777" w:rsidR="00BC7A1B" w:rsidRPr="00B57B36" w:rsidRDefault="00BC7A1B" w:rsidP="00661D58">
            <w:pPr>
              <w:pStyle w:val="CETBodytext"/>
              <w:rPr>
                <w:lang w:val="en-GB"/>
              </w:rPr>
            </w:pPr>
            <w:r>
              <w:rPr>
                <w:lang w:val="en-GB"/>
              </w:rPr>
              <w:t>X</w:t>
            </w:r>
          </w:p>
        </w:tc>
        <w:tc>
          <w:tcPr>
            <w:tcW w:w="1134" w:type="dxa"/>
            <w:shd w:val="clear" w:color="auto" w:fill="FFFFFF"/>
          </w:tcPr>
          <w:p w14:paraId="3F56B96E" w14:textId="77777777" w:rsidR="00BC7A1B" w:rsidRPr="00B57B36" w:rsidRDefault="00BC7A1B" w:rsidP="00661D58">
            <w:pPr>
              <w:pStyle w:val="CETBodytext"/>
              <w:rPr>
                <w:lang w:val="en-GB"/>
              </w:rPr>
            </w:pPr>
            <w:r>
              <w:rPr>
                <w:lang w:val="en-GB"/>
              </w:rPr>
              <w:t>Y*0.25</w:t>
            </w:r>
          </w:p>
        </w:tc>
        <w:tc>
          <w:tcPr>
            <w:tcW w:w="1134" w:type="dxa"/>
            <w:shd w:val="clear" w:color="auto" w:fill="FFFFFF"/>
          </w:tcPr>
          <w:p w14:paraId="7D14901E" w14:textId="77777777" w:rsidR="00BC7A1B" w:rsidRPr="00B57B36" w:rsidRDefault="00BC7A1B" w:rsidP="00661D58">
            <w:pPr>
              <w:pStyle w:val="CETBodytext"/>
              <w:ind w:right="-1"/>
              <w:rPr>
                <w:rFonts w:cs="Arial"/>
                <w:szCs w:val="18"/>
                <w:lang w:val="en-GB"/>
              </w:rPr>
            </w:pPr>
            <w:r>
              <w:rPr>
                <w:rFonts w:cs="Arial"/>
                <w:szCs w:val="18"/>
                <w:lang w:val="en-GB"/>
              </w:rPr>
              <w:t>Y*0.75</w:t>
            </w:r>
          </w:p>
        </w:tc>
        <w:tc>
          <w:tcPr>
            <w:tcW w:w="1134" w:type="dxa"/>
            <w:shd w:val="clear" w:color="auto" w:fill="FFFFFF"/>
          </w:tcPr>
          <w:p w14:paraId="18E9C2F7" w14:textId="77777777" w:rsidR="00BC7A1B" w:rsidRPr="00B57B36" w:rsidRDefault="00BC7A1B" w:rsidP="00661D58">
            <w:pPr>
              <w:pStyle w:val="CETBodytext"/>
              <w:ind w:right="-1"/>
              <w:rPr>
                <w:rFonts w:cs="Arial"/>
                <w:szCs w:val="18"/>
                <w:lang w:val="en-GB"/>
              </w:rPr>
            </w:pPr>
            <w:r>
              <w:rPr>
                <w:rFonts w:cs="Arial"/>
                <w:szCs w:val="18"/>
                <w:lang w:val="en-GB"/>
              </w:rPr>
              <w:t>1,000</w:t>
            </w:r>
          </w:p>
        </w:tc>
      </w:tr>
      <w:tr w:rsidR="00BC7A1B" w:rsidRPr="00B57B36" w14:paraId="3E308327" w14:textId="77777777" w:rsidTr="00661D58">
        <w:tc>
          <w:tcPr>
            <w:tcW w:w="1134" w:type="dxa"/>
            <w:shd w:val="clear" w:color="auto" w:fill="FFFFFF"/>
          </w:tcPr>
          <w:p w14:paraId="412837DF" w14:textId="77777777" w:rsidR="00BC7A1B" w:rsidRPr="00B57B36" w:rsidRDefault="00BC7A1B" w:rsidP="00661D58">
            <w:pPr>
              <w:pStyle w:val="CETBodytext"/>
              <w:rPr>
                <w:lang w:val="en-GB"/>
              </w:rPr>
            </w:pPr>
            <w:r>
              <w:rPr>
                <w:lang w:val="en-GB"/>
              </w:rPr>
              <w:t>100</w:t>
            </w:r>
          </w:p>
        </w:tc>
        <w:tc>
          <w:tcPr>
            <w:tcW w:w="1134" w:type="dxa"/>
            <w:shd w:val="clear" w:color="auto" w:fill="FFFFFF"/>
          </w:tcPr>
          <w:p w14:paraId="3EF44027" w14:textId="77777777" w:rsidR="00BC7A1B" w:rsidRPr="00B57B36" w:rsidRDefault="00BC7A1B" w:rsidP="00661D58">
            <w:pPr>
              <w:pStyle w:val="CETBodytext"/>
              <w:rPr>
                <w:lang w:val="en-GB"/>
              </w:rPr>
            </w:pPr>
            <w:r>
              <w:rPr>
                <w:lang w:val="en-GB"/>
              </w:rPr>
              <w:t>X</w:t>
            </w:r>
          </w:p>
        </w:tc>
        <w:tc>
          <w:tcPr>
            <w:tcW w:w="1134" w:type="dxa"/>
            <w:shd w:val="clear" w:color="auto" w:fill="FFFFFF"/>
          </w:tcPr>
          <w:p w14:paraId="3B4DDF5A" w14:textId="77777777" w:rsidR="00BC7A1B" w:rsidRPr="00B57B36" w:rsidRDefault="00BC7A1B" w:rsidP="00661D58">
            <w:pPr>
              <w:pStyle w:val="CETBodytext"/>
              <w:rPr>
                <w:lang w:val="en-GB"/>
              </w:rPr>
            </w:pPr>
            <w:r>
              <w:rPr>
                <w:lang w:val="en-GB"/>
              </w:rPr>
              <w:t>-</w:t>
            </w:r>
          </w:p>
        </w:tc>
        <w:tc>
          <w:tcPr>
            <w:tcW w:w="1134" w:type="dxa"/>
            <w:shd w:val="clear" w:color="auto" w:fill="FFFFFF"/>
          </w:tcPr>
          <w:p w14:paraId="357E489A" w14:textId="77777777" w:rsidR="00BC7A1B" w:rsidRPr="00B57B36" w:rsidRDefault="00BC7A1B" w:rsidP="00661D58">
            <w:pPr>
              <w:pStyle w:val="CETBodytext"/>
              <w:ind w:right="-1"/>
              <w:rPr>
                <w:rFonts w:cs="Arial"/>
                <w:szCs w:val="18"/>
                <w:lang w:val="en-GB"/>
              </w:rPr>
            </w:pPr>
            <w:r>
              <w:rPr>
                <w:rFonts w:cs="Arial"/>
                <w:szCs w:val="18"/>
                <w:lang w:val="en-GB"/>
              </w:rPr>
              <w:t>Y</w:t>
            </w:r>
          </w:p>
        </w:tc>
        <w:tc>
          <w:tcPr>
            <w:tcW w:w="1134" w:type="dxa"/>
            <w:shd w:val="clear" w:color="auto" w:fill="FFFFFF"/>
          </w:tcPr>
          <w:p w14:paraId="48B40BAB" w14:textId="77777777" w:rsidR="00BC7A1B" w:rsidRPr="00B57B36" w:rsidRDefault="00BC7A1B" w:rsidP="00661D58">
            <w:pPr>
              <w:pStyle w:val="CETBodytext"/>
              <w:ind w:right="-1"/>
              <w:rPr>
                <w:rFonts w:cs="Arial"/>
                <w:szCs w:val="18"/>
                <w:lang w:val="en-GB"/>
              </w:rPr>
            </w:pPr>
            <w:r>
              <w:rPr>
                <w:rFonts w:cs="Arial"/>
                <w:szCs w:val="18"/>
                <w:lang w:val="en-GB"/>
              </w:rPr>
              <w:t>1,000</w:t>
            </w:r>
          </w:p>
        </w:tc>
      </w:tr>
    </w:tbl>
    <w:p w14:paraId="5E066CB5" w14:textId="77777777" w:rsidR="00BC7A1B" w:rsidRDefault="00BC7A1B" w:rsidP="00BC7A1B">
      <w:pPr>
        <w:pStyle w:val="CETBodytext"/>
        <w:rPr>
          <w:lang w:val="en-GB"/>
        </w:rPr>
      </w:pPr>
    </w:p>
    <w:p w14:paraId="1FC37EB7" w14:textId="77777777" w:rsidR="00BC7A1B" w:rsidRPr="00D11BC3" w:rsidRDefault="00BC7A1B" w:rsidP="00BC7A1B">
      <w:pPr>
        <w:pStyle w:val="CETBodytext"/>
        <w:rPr>
          <w:lang w:val="en-GB"/>
        </w:rPr>
      </w:pPr>
      <w:r w:rsidRPr="00D11BC3">
        <w:rPr>
          <w:lang w:val="en-GB"/>
        </w:rPr>
        <w:t>A reference flow was defined as 1</w:t>
      </w:r>
      <w:r>
        <w:rPr>
          <w:lang w:val="en-GB"/>
        </w:rPr>
        <w:t>,</w:t>
      </w:r>
      <w:r w:rsidRPr="00D11BC3">
        <w:rPr>
          <w:lang w:val="en-GB"/>
        </w:rPr>
        <w:t>000 kg of polyurethane foam disposed</w:t>
      </w:r>
      <w:r>
        <w:rPr>
          <w:lang w:val="en-GB"/>
        </w:rPr>
        <w:t xml:space="preserve"> of</w:t>
      </w:r>
      <w:r w:rsidRPr="00D11BC3">
        <w:rPr>
          <w:lang w:val="en-GB"/>
        </w:rPr>
        <w:t xml:space="preserve"> in </w:t>
      </w:r>
      <w:r>
        <w:rPr>
          <w:lang w:val="en-GB"/>
        </w:rPr>
        <w:t xml:space="preserve">a </w:t>
      </w:r>
      <w:r w:rsidRPr="00D11BC3">
        <w:rPr>
          <w:lang w:val="en-GB"/>
        </w:rPr>
        <w:t>landfill and 1</w:t>
      </w:r>
      <w:r>
        <w:rPr>
          <w:lang w:val="en-GB"/>
        </w:rPr>
        <w:t>,</w:t>
      </w:r>
      <w:r w:rsidRPr="00D11BC3">
        <w:rPr>
          <w:lang w:val="en-GB"/>
        </w:rPr>
        <w:t>000 kg of polyurethane foam produced by the recycling process.</w:t>
      </w:r>
    </w:p>
    <w:p w14:paraId="29E104C1" w14:textId="77777777" w:rsidR="00BC7A1B" w:rsidRPr="00D11BC3" w:rsidRDefault="00BC7A1B" w:rsidP="00BC7A1B">
      <w:pPr>
        <w:pStyle w:val="CETBodytext"/>
        <w:rPr>
          <w:lang w:val="en-GB"/>
        </w:rPr>
      </w:pPr>
    </w:p>
    <w:p w14:paraId="4F8AA2DE" w14:textId="2F0A732F" w:rsidR="00AF28E5" w:rsidRPr="00AF28E5" w:rsidRDefault="00AF28E5" w:rsidP="00AF28E5">
      <w:pPr>
        <w:pStyle w:val="CETBodytext"/>
        <w:rPr>
          <w:lang w:val="en-GB"/>
        </w:rPr>
      </w:pPr>
      <w:r w:rsidRPr="00AF28E5">
        <w:rPr>
          <w:lang w:val="en-GB"/>
        </w:rPr>
        <w:t>The recycling process in Scenario 2 introduces an allocation issue in this study. Allocation is defined in ISO 14044</w:t>
      </w:r>
      <w:r>
        <w:rPr>
          <w:lang w:val="en-GB"/>
        </w:rPr>
        <w:t>-</w:t>
      </w:r>
      <w:r w:rsidRPr="00AF28E5">
        <w:rPr>
          <w:lang w:val="en-GB"/>
        </w:rPr>
        <w:t>2006 as the partitioning of the input and output flows of a process or product system between the product system under study and one or more other product systems.</w:t>
      </w:r>
    </w:p>
    <w:p w14:paraId="14970F1E" w14:textId="77777777" w:rsidR="00AF28E5" w:rsidRPr="00AF28E5" w:rsidRDefault="00AF28E5" w:rsidP="00AF28E5">
      <w:pPr>
        <w:pStyle w:val="CETBodytext"/>
        <w:rPr>
          <w:lang w:val="en-GB"/>
        </w:rPr>
      </w:pPr>
      <w:r w:rsidRPr="00AF28E5">
        <w:rPr>
          <w:lang w:val="en-GB"/>
        </w:rPr>
        <w:t>To account for the environmental impacts associated with polyurethane foam entering the recycling process, the 50:50 allocation method has been considered (Zimmermann R.K. et al., 2022).</w:t>
      </w:r>
    </w:p>
    <w:p w14:paraId="022BBE08" w14:textId="77777777" w:rsidR="00AF28E5" w:rsidRPr="00AF28E5" w:rsidRDefault="00AF28E5" w:rsidP="00AF28E5">
      <w:pPr>
        <w:pStyle w:val="CETBodytext"/>
        <w:rPr>
          <w:lang w:val="en-GB"/>
        </w:rPr>
      </w:pPr>
      <w:r w:rsidRPr="00AF28E5">
        <w:rPr>
          <w:lang w:val="en-GB"/>
        </w:rPr>
        <w:t>Recycling a product into a new one implies a reduction in the need for virgin raw materials in the second product, as well as a reduction in the disposal burden from the first product. The 50:50 method accounts for this by attributing half of the environmental burdens of production to the first product and the other half to the second product (Obrecht T.P. et al., 2021).</w:t>
      </w:r>
    </w:p>
    <w:p w14:paraId="22CF6360" w14:textId="77777777" w:rsidR="00BC7A1B" w:rsidRDefault="00BC7A1B" w:rsidP="00BC7A1B">
      <w:pPr>
        <w:pStyle w:val="CETBodytext"/>
        <w:rPr>
          <w:lang w:val="en-GB"/>
        </w:rPr>
      </w:pPr>
    </w:p>
    <w:p w14:paraId="09242F5F" w14:textId="77777777" w:rsidR="00BC7A1B" w:rsidRDefault="00BC7A1B" w:rsidP="00BC7A1B">
      <w:pPr>
        <w:pStyle w:val="CETheadingx"/>
      </w:pPr>
      <w:r w:rsidRPr="00D11BC3">
        <w:lastRenderedPageBreak/>
        <w:t xml:space="preserve">Life Cycle </w:t>
      </w:r>
      <w:r>
        <w:t>Inventory</w:t>
      </w:r>
      <w:r w:rsidRPr="00D11BC3">
        <w:t xml:space="preserve"> Analysis (LCIA)</w:t>
      </w:r>
    </w:p>
    <w:p w14:paraId="4C3A0CA7" w14:textId="77777777" w:rsidR="00BC7A1B" w:rsidRPr="006D19B0" w:rsidRDefault="00BC7A1B" w:rsidP="00BC7A1B">
      <w:pPr>
        <w:pStyle w:val="CETBodytext"/>
        <w:rPr>
          <w:lang w:val="en-GB"/>
        </w:rPr>
      </w:pPr>
      <w:r w:rsidRPr="00D11BC3">
        <w:rPr>
          <w:lang w:val="en-GB"/>
        </w:rPr>
        <w:t xml:space="preserve">The Goal and Scope Definition phase is followed by the Life Cycle Inventory Analysis, which defines the </w:t>
      </w:r>
      <w:r w:rsidRPr="006D19B0">
        <w:rPr>
          <w:lang w:val="en-GB"/>
        </w:rPr>
        <w:t>connections between the different activities with quantitative data according to the functional unit.</w:t>
      </w:r>
    </w:p>
    <w:p w14:paraId="40D40A6A" w14:textId="33E71976" w:rsidR="00BC7A1B" w:rsidRDefault="00BC7A1B" w:rsidP="00BC7A1B">
      <w:pPr>
        <w:pStyle w:val="CETBodytext"/>
        <w:rPr>
          <w:lang w:val="en-GB"/>
        </w:rPr>
      </w:pPr>
      <w:r w:rsidRPr="006D19B0">
        <w:rPr>
          <w:lang w:val="en-GB"/>
        </w:rPr>
        <w:t xml:space="preserve">The data used for this study </w:t>
      </w:r>
      <w:r w:rsidR="00AF28E5" w:rsidRPr="006D19B0">
        <w:rPr>
          <w:lang w:val="en-GB"/>
        </w:rPr>
        <w:t>were obtained</w:t>
      </w:r>
      <w:r w:rsidRPr="006D19B0">
        <w:rPr>
          <w:lang w:val="en-GB"/>
        </w:rPr>
        <w:t xml:space="preserve"> from laboratory measurements, publications in scientific papers, and technical data sheets.</w:t>
      </w:r>
      <w:r w:rsidR="00A21792" w:rsidRPr="006D19B0">
        <w:rPr>
          <w:lang w:val="en-GB"/>
        </w:rPr>
        <w:t xml:space="preserve"> In particular, the polyol</w:t>
      </w:r>
      <w:r w:rsidR="00B34936" w:rsidRPr="006D19B0">
        <w:rPr>
          <w:lang w:val="en-GB"/>
        </w:rPr>
        <w:t>-to-</w:t>
      </w:r>
      <w:r w:rsidR="00A21792" w:rsidRPr="006D19B0">
        <w:rPr>
          <w:lang w:val="en-GB"/>
        </w:rPr>
        <w:t xml:space="preserve">isocyanate ratio used in the polyurethane foam production, polyurethane foam powder loss during milling process, </w:t>
      </w:r>
      <w:r w:rsidR="00B34936" w:rsidRPr="006D19B0">
        <w:rPr>
          <w:lang w:val="en-GB"/>
        </w:rPr>
        <w:t>and the percentage of polyol substitution were determined through laboratory measurements.</w:t>
      </w:r>
    </w:p>
    <w:p w14:paraId="21A05CB3" w14:textId="77777777" w:rsidR="00BC7A1B" w:rsidRDefault="00BC7A1B" w:rsidP="00BC7A1B">
      <w:pPr>
        <w:pStyle w:val="CETheadingx"/>
        <w:rPr>
          <w:lang w:val="en-GB"/>
        </w:rPr>
      </w:pPr>
      <w:r>
        <w:t>Impact evaluation</w:t>
      </w:r>
    </w:p>
    <w:p w14:paraId="49C03C28" w14:textId="2D6713A6" w:rsidR="00BC7A1B" w:rsidRDefault="00B34936" w:rsidP="00BC7A1B">
      <w:pPr>
        <w:pStyle w:val="CETBodytext"/>
        <w:rPr>
          <w:lang w:val="en-GB"/>
        </w:rPr>
      </w:pPr>
      <w:r w:rsidRPr="00B34936">
        <w:rPr>
          <w:lang w:val="en-GB"/>
        </w:rPr>
        <w:t xml:space="preserve">The life cycle assessment was performed using </w:t>
      </w:r>
      <w:proofErr w:type="spellStart"/>
      <w:r w:rsidRPr="00B34936">
        <w:rPr>
          <w:lang w:val="en-GB"/>
        </w:rPr>
        <w:t>openLCA</w:t>
      </w:r>
      <w:proofErr w:type="spellEnd"/>
      <w:r w:rsidRPr="00B34936">
        <w:rPr>
          <w:lang w:val="en-GB"/>
        </w:rPr>
        <w:t xml:space="preserve"> software (version 2.1.0). The impact evaluation was carried out using the Ecological Scarcity impact assessment method. The Ecological Scarcity method is based on "eco-factors", which are used to weigh the environmental burdens of a process. Eco-factors are calculated by comparing the level of emissions or resource consumption of a substance to a defined target and are expressed in “eco-points.”</w:t>
      </w:r>
      <w:r>
        <w:rPr>
          <w:lang w:val="en-GB"/>
        </w:rPr>
        <w:t xml:space="preserve"> </w:t>
      </w:r>
      <w:r w:rsidR="00BC7A1B" w:rsidRPr="00D11BC3">
        <w:rPr>
          <w:lang w:val="en-GB"/>
        </w:rPr>
        <w:t xml:space="preserve">An eco-factor is derived from the measure of the relative harmfulness of a pollutant </w:t>
      </w:r>
      <w:r>
        <w:rPr>
          <w:lang w:val="en-GB"/>
        </w:rPr>
        <w:t>e</w:t>
      </w:r>
      <w:r w:rsidR="00BC7A1B" w:rsidRPr="00D11BC3">
        <w:rPr>
          <w:lang w:val="en-GB"/>
        </w:rPr>
        <w:t>mission compared to a reference substance within a given impact category (characterization), the contribution of a unit of pollutant or resource use to the total current load/pressure in</w:t>
      </w:r>
      <w:r w:rsidR="00BC7A1B">
        <w:rPr>
          <w:lang w:val="en-GB"/>
        </w:rPr>
        <w:t xml:space="preserve"> </w:t>
      </w:r>
      <w:r w:rsidR="00BC7A1B" w:rsidRPr="00D11BC3">
        <w:rPr>
          <w:lang w:val="en-GB"/>
        </w:rPr>
        <w:t xml:space="preserve">a region per year (normalization) and the relationship between the current pollutant mission or resource consumption (current flow) and the consumption target (critical flow) </w:t>
      </w:r>
      <w:r w:rsidR="00BC7A1B">
        <w:rPr>
          <w:lang w:val="en-GB"/>
        </w:rPr>
        <w:t>(</w:t>
      </w:r>
      <w:r w:rsidR="00BC7A1B" w:rsidRPr="00E107A6">
        <w:t>Frischknecht R</w:t>
      </w:r>
      <w:r w:rsidR="00BC7A1B">
        <w:t>. et al., 2009</w:t>
      </w:r>
      <w:r w:rsidR="00BC7A1B">
        <w:rPr>
          <w:lang w:val="en-GB"/>
        </w:rPr>
        <w:t>)</w:t>
      </w:r>
      <w:r w:rsidR="00BC7A1B" w:rsidRPr="00D11BC3">
        <w:rPr>
          <w:lang w:val="en-GB"/>
        </w:rPr>
        <w:t>.</w:t>
      </w:r>
    </w:p>
    <w:p w14:paraId="6ED0B6E0" w14:textId="77777777" w:rsidR="00BC7A1B" w:rsidRDefault="00BC7A1B" w:rsidP="00BC7A1B">
      <w:pPr>
        <w:pStyle w:val="CETBodytext"/>
        <w:rPr>
          <w:lang w:val="en-GB"/>
        </w:rPr>
      </w:pPr>
    </w:p>
    <w:p w14:paraId="5804A23D" w14:textId="77777777" w:rsidR="00BC7A1B" w:rsidRDefault="00BC7A1B" w:rsidP="00BC7A1B">
      <w:pPr>
        <w:pStyle w:val="CETHeading1"/>
        <w:rPr>
          <w:lang w:val="en-GB"/>
        </w:rPr>
      </w:pPr>
      <w:r w:rsidRPr="00EF0DED">
        <w:t>Results and Discussion</w:t>
      </w:r>
    </w:p>
    <w:p w14:paraId="44D0E988" w14:textId="5A64F6A9" w:rsidR="00BC7A1B" w:rsidRDefault="00BC7A1B" w:rsidP="00BC7A1B">
      <w:pPr>
        <w:pStyle w:val="CETBodytext"/>
        <w:rPr>
          <w:lang w:val="en-GB"/>
        </w:rPr>
      </w:pPr>
      <w:r w:rsidRPr="00D11BC3">
        <w:rPr>
          <w:lang w:val="en-GB"/>
        </w:rPr>
        <w:t xml:space="preserve">The results of the impact assessment evaluation are presented in </w:t>
      </w:r>
      <w:r>
        <w:rPr>
          <w:lang w:val="en-GB"/>
        </w:rPr>
        <w:fldChar w:fldCharType="begin"/>
      </w:r>
      <w:r>
        <w:rPr>
          <w:lang w:val="en-GB"/>
        </w:rPr>
        <w:instrText xml:space="preserve"> REF _Ref190271454 \h </w:instrText>
      </w:r>
      <w:r>
        <w:rPr>
          <w:lang w:val="en-GB"/>
        </w:rPr>
      </w:r>
      <w:r>
        <w:rPr>
          <w:lang w:val="en-GB"/>
        </w:rPr>
        <w:fldChar w:fldCharType="separate"/>
      </w:r>
      <w:r>
        <w:t xml:space="preserve">Table </w:t>
      </w:r>
      <w:r>
        <w:rPr>
          <w:noProof/>
        </w:rPr>
        <w:t>2</w:t>
      </w:r>
      <w:r>
        <w:rPr>
          <w:lang w:val="en-GB"/>
        </w:rPr>
        <w:fldChar w:fldCharType="end"/>
      </w:r>
      <w:r>
        <w:rPr>
          <w:lang w:val="en-GB"/>
        </w:rPr>
        <w:t xml:space="preserve"> </w:t>
      </w:r>
      <w:r w:rsidRPr="00D11BC3">
        <w:rPr>
          <w:lang w:val="en-GB"/>
        </w:rPr>
        <w:t xml:space="preserve">as absolute values in UBP (eco-points), while </w:t>
      </w:r>
      <w:r>
        <w:rPr>
          <w:lang w:val="en-GB"/>
        </w:rPr>
        <w:fldChar w:fldCharType="begin"/>
      </w:r>
      <w:r>
        <w:rPr>
          <w:lang w:val="en-GB"/>
        </w:rPr>
        <w:instrText xml:space="preserve"> REF _Ref190271477 \h </w:instrText>
      </w:r>
      <w:r>
        <w:rPr>
          <w:lang w:val="en-GB"/>
        </w:rPr>
      </w:r>
      <w:r>
        <w:rPr>
          <w:lang w:val="en-GB"/>
        </w:rPr>
        <w:fldChar w:fldCharType="separate"/>
      </w:r>
      <w:r w:rsidRPr="0061582C">
        <w:rPr>
          <w:lang w:val="en-GB"/>
        </w:rPr>
        <w:t xml:space="preserve">Figure </w:t>
      </w:r>
      <w:r w:rsidRPr="0061582C">
        <w:rPr>
          <w:noProof/>
          <w:lang w:val="en-GB"/>
        </w:rPr>
        <w:t>3</w:t>
      </w:r>
      <w:r>
        <w:rPr>
          <w:lang w:val="en-GB"/>
        </w:rPr>
        <w:fldChar w:fldCharType="end"/>
      </w:r>
      <w:r>
        <w:rPr>
          <w:lang w:val="en-GB"/>
        </w:rPr>
        <w:t xml:space="preserve"> shows</w:t>
      </w:r>
      <w:r w:rsidRPr="00D11BC3">
        <w:rPr>
          <w:lang w:val="en-GB"/>
        </w:rPr>
        <w:t xml:space="preserve"> the values of each impact category of the different scenarios calculated as </w:t>
      </w:r>
      <w:r>
        <w:rPr>
          <w:lang w:val="en-GB"/>
        </w:rPr>
        <w:t xml:space="preserve">a </w:t>
      </w:r>
      <w:r w:rsidRPr="00D11BC3">
        <w:rPr>
          <w:lang w:val="en-GB"/>
        </w:rPr>
        <w:t xml:space="preserve">percentage of the highest impact value in that same category, i.e. for </w:t>
      </w:r>
      <w:r w:rsidR="00B34936">
        <w:rPr>
          <w:lang w:val="en-GB"/>
        </w:rPr>
        <w:t>“</w:t>
      </w:r>
      <w:r w:rsidRPr="00D11BC3">
        <w:rPr>
          <w:lang w:val="en-GB"/>
        </w:rPr>
        <w:t>carcinogenic substances into air – total</w:t>
      </w:r>
      <w:r w:rsidR="00B34936">
        <w:rPr>
          <w:lang w:val="en-GB"/>
        </w:rPr>
        <w:t>”</w:t>
      </w:r>
      <w:r w:rsidRPr="00D11BC3">
        <w:rPr>
          <w:lang w:val="en-GB"/>
        </w:rPr>
        <w:t xml:space="preserve"> </w:t>
      </w:r>
      <w:r w:rsidR="00B34936" w:rsidRPr="00B34936">
        <w:rPr>
          <w:lang w:val="en-GB"/>
        </w:rPr>
        <w:t>all impact values are expressed as percentages relative to the impact of Scenario 1, which serves as the reference.</w:t>
      </w:r>
    </w:p>
    <w:p w14:paraId="1B35F7BE" w14:textId="290ABD69" w:rsidR="00BC7A1B" w:rsidRDefault="00BC7A1B" w:rsidP="00BC7A1B">
      <w:pPr>
        <w:pStyle w:val="CETTabletitle"/>
      </w:pPr>
      <w:r>
        <w:t xml:space="preserve">Table </w:t>
      </w:r>
      <w:r>
        <w:fldChar w:fldCharType="begin"/>
      </w:r>
      <w:r>
        <w:instrText xml:space="preserve"> SEQ Table \* ARABIC </w:instrText>
      </w:r>
      <w:r>
        <w:fldChar w:fldCharType="separate"/>
      </w:r>
      <w:r>
        <w:t>2</w:t>
      </w:r>
      <w:r>
        <w:fldChar w:fldCharType="end"/>
      </w:r>
      <w:r>
        <w:t xml:space="preserve"> Life cycle assessment results for the different scenarios considered</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378"/>
        <w:gridCol w:w="395"/>
        <w:gridCol w:w="921"/>
        <w:gridCol w:w="1026"/>
        <w:gridCol w:w="1026"/>
        <w:gridCol w:w="1016"/>
        <w:gridCol w:w="1025"/>
      </w:tblGrid>
      <w:tr w:rsidR="00BC7A1B" w:rsidRPr="00B57B36" w14:paraId="72E2C168" w14:textId="2547765F" w:rsidTr="00BC7A1B">
        <w:tc>
          <w:tcPr>
            <w:tcW w:w="1922" w:type="pct"/>
            <w:tcBorders>
              <w:top w:val="single" w:sz="12" w:space="0" w:color="008000"/>
              <w:bottom w:val="single" w:sz="6" w:space="0" w:color="008000"/>
            </w:tcBorders>
            <w:shd w:val="clear" w:color="auto" w:fill="FFFFFF"/>
          </w:tcPr>
          <w:p w14:paraId="7C5FF6F0" w14:textId="6699C480" w:rsidR="00BC7A1B" w:rsidRPr="00B57B36" w:rsidRDefault="00BC7A1B" w:rsidP="00D9444A">
            <w:pPr>
              <w:pStyle w:val="CETBodytext"/>
              <w:rPr>
                <w:lang w:val="en-GB"/>
              </w:rPr>
            </w:pPr>
            <w:r>
              <w:rPr>
                <w:lang w:val="en-GB"/>
              </w:rPr>
              <w:t>Impact categories</w:t>
            </w:r>
          </w:p>
        </w:tc>
        <w:tc>
          <w:tcPr>
            <w:tcW w:w="225" w:type="pct"/>
            <w:tcBorders>
              <w:top w:val="single" w:sz="12" w:space="0" w:color="008000"/>
              <w:bottom w:val="single" w:sz="6" w:space="0" w:color="008000"/>
            </w:tcBorders>
            <w:shd w:val="clear" w:color="auto" w:fill="FFFFFF"/>
          </w:tcPr>
          <w:p w14:paraId="0891444F" w14:textId="0B26AFAC" w:rsidR="00BC7A1B" w:rsidRPr="00B57B36" w:rsidRDefault="00BC7A1B" w:rsidP="00D9444A">
            <w:pPr>
              <w:pStyle w:val="CETBodytext"/>
              <w:rPr>
                <w:lang w:val="en-GB"/>
              </w:rPr>
            </w:pPr>
            <w:r>
              <w:rPr>
                <w:lang w:val="en-GB"/>
              </w:rPr>
              <w:t>Unit</w:t>
            </w:r>
          </w:p>
        </w:tc>
        <w:tc>
          <w:tcPr>
            <w:tcW w:w="524" w:type="pct"/>
            <w:tcBorders>
              <w:top w:val="single" w:sz="12" w:space="0" w:color="008000"/>
              <w:bottom w:val="single" w:sz="6" w:space="0" w:color="008000"/>
            </w:tcBorders>
            <w:shd w:val="clear" w:color="auto" w:fill="FFFFFF"/>
          </w:tcPr>
          <w:p w14:paraId="47F64C90" w14:textId="16A7CC4E" w:rsidR="00BC7A1B" w:rsidRPr="00B57B36" w:rsidRDefault="00BC7A1B" w:rsidP="00D9444A">
            <w:pPr>
              <w:pStyle w:val="CETBodytext"/>
              <w:rPr>
                <w:lang w:val="en-GB"/>
              </w:rPr>
            </w:pPr>
            <w:r>
              <w:rPr>
                <w:lang w:val="en-GB"/>
              </w:rPr>
              <w:t>Scenario 1</w:t>
            </w:r>
          </w:p>
        </w:tc>
        <w:tc>
          <w:tcPr>
            <w:tcW w:w="584" w:type="pct"/>
            <w:tcBorders>
              <w:top w:val="single" w:sz="12" w:space="0" w:color="008000"/>
              <w:bottom w:val="single" w:sz="6" w:space="0" w:color="008000"/>
            </w:tcBorders>
            <w:shd w:val="clear" w:color="auto" w:fill="FFFFFF"/>
          </w:tcPr>
          <w:p w14:paraId="4EE3FD30" w14:textId="4051A15A" w:rsidR="00BC7A1B" w:rsidRPr="00B57B36" w:rsidRDefault="00BC7A1B" w:rsidP="00D9444A">
            <w:pPr>
              <w:pStyle w:val="CETBodytext"/>
              <w:ind w:right="-1"/>
              <w:rPr>
                <w:rFonts w:cs="Arial"/>
                <w:szCs w:val="18"/>
                <w:lang w:val="en-GB"/>
              </w:rPr>
            </w:pPr>
            <w:r>
              <w:rPr>
                <w:rFonts w:cs="Arial"/>
                <w:szCs w:val="18"/>
                <w:lang w:val="en-GB"/>
              </w:rPr>
              <w:t>Scenario 2a</w:t>
            </w:r>
          </w:p>
        </w:tc>
        <w:tc>
          <w:tcPr>
            <w:tcW w:w="584" w:type="pct"/>
            <w:tcBorders>
              <w:top w:val="single" w:sz="12" w:space="0" w:color="008000"/>
              <w:bottom w:val="single" w:sz="6" w:space="0" w:color="008000"/>
            </w:tcBorders>
            <w:shd w:val="clear" w:color="auto" w:fill="FFFFFF"/>
          </w:tcPr>
          <w:p w14:paraId="1B750237" w14:textId="4CA712BF" w:rsidR="00BC7A1B" w:rsidRPr="00B57B36" w:rsidRDefault="00BC7A1B" w:rsidP="00D9444A">
            <w:pPr>
              <w:pStyle w:val="CETBodytext"/>
              <w:ind w:right="-1"/>
              <w:rPr>
                <w:rFonts w:cs="Arial"/>
                <w:szCs w:val="18"/>
                <w:lang w:val="en-GB"/>
              </w:rPr>
            </w:pPr>
            <w:r>
              <w:rPr>
                <w:rFonts w:cs="Arial"/>
                <w:szCs w:val="18"/>
                <w:lang w:val="en-GB"/>
              </w:rPr>
              <w:t>Scenario 2b</w:t>
            </w:r>
          </w:p>
        </w:tc>
        <w:tc>
          <w:tcPr>
            <w:tcW w:w="578" w:type="pct"/>
            <w:tcBorders>
              <w:top w:val="single" w:sz="12" w:space="0" w:color="008000"/>
              <w:bottom w:val="single" w:sz="6" w:space="0" w:color="008000"/>
            </w:tcBorders>
            <w:shd w:val="clear" w:color="auto" w:fill="FFFFFF"/>
          </w:tcPr>
          <w:p w14:paraId="4879F96E" w14:textId="530960ED" w:rsidR="00BC7A1B" w:rsidRDefault="00BC7A1B" w:rsidP="00D9444A">
            <w:pPr>
              <w:pStyle w:val="CETBodytext"/>
              <w:ind w:right="-1"/>
              <w:rPr>
                <w:rFonts w:cs="Arial"/>
                <w:szCs w:val="18"/>
                <w:lang w:val="en-GB"/>
              </w:rPr>
            </w:pPr>
            <w:r>
              <w:rPr>
                <w:rFonts w:cs="Arial"/>
                <w:szCs w:val="18"/>
                <w:lang w:val="en-GB"/>
              </w:rPr>
              <w:t>Scenario 2c</w:t>
            </w:r>
          </w:p>
        </w:tc>
        <w:tc>
          <w:tcPr>
            <w:tcW w:w="584" w:type="pct"/>
            <w:tcBorders>
              <w:top w:val="single" w:sz="12" w:space="0" w:color="008000"/>
              <w:bottom w:val="single" w:sz="6" w:space="0" w:color="008000"/>
            </w:tcBorders>
            <w:shd w:val="clear" w:color="auto" w:fill="FFFFFF"/>
          </w:tcPr>
          <w:p w14:paraId="4194D1A9" w14:textId="06F64CC2" w:rsidR="00BC7A1B" w:rsidRDefault="00BC7A1B" w:rsidP="00D9444A">
            <w:pPr>
              <w:pStyle w:val="CETBodytext"/>
              <w:ind w:right="-1"/>
              <w:rPr>
                <w:rFonts w:cs="Arial"/>
                <w:szCs w:val="18"/>
                <w:lang w:val="en-GB"/>
              </w:rPr>
            </w:pPr>
            <w:r>
              <w:rPr>
                <w:rFonts w:cs="Arial"/>
                <w:szCs w:val="18"/>
                <w:lang w:val="en-GB"/>
              </w:rPr>
              <w:t>Scenario 2d</w:t>
            </w:r>
          </w:p>
        </w:tc>
      </w:tr>
      <w:tr w:rsidR="00BC7A1B" w:rsidRPr="00B57B36" w14:paraId="793E064D" w14:textId="053C0E40" w:rsidTr="00BC7A1B">
        <w:tc>
          <w:tcPr>
            <w:tcW w:w="1922" w:type="pct"/>
            <w:shd w:val="clear" w:color="auto" w:fill="FFFFFF"/>
            <w:vAlign w:val="center"/>
          </w:tcPr>
          <w:p w14:paraId="0022B34A" w14:textId="4E549D7B" w:rsidR="00BC7A1B" w:rsidRPr="00B57B36" w:rsidRDefault="00BC7A1B" w:rsidP="00BC7A1B">
            <w:pPr>
              <w:pStyle w:val="CETBodytext"/>
              <w:rPr>
                <w:lang w:val="en-GB"/>
              </w:rPr>
            </w:pPr>
            <w:r>
              <w:rPr>
                <w:rFonts w:cs="Arial"/>
                <w:szCs w:val="18"/>
              </w:rPr>
              <w:t>carcinogenic substances into air - total</w:t>
            </w:r>
          </w:p>
        </w:tc>
        <w:tc>
          <w:tcPr>
            <w:tcW w:w="225" w:type="pct"/>
            <w:shd w:val="clear" w:color="auto" w:fill="FFFFFF"/>
            <w:vAlign w:val="center"/>
          </w:tcPr>
          <w:p w14:paraId="4E44BEC7" w14:textId="1F2A4B88"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3E57A82B" w14:textId="34A05DB3" w:rsidR="00BC7A1B" w:rsidRPr="006D19B0" w:rsidRDefault="00BC7A1B" w:rsidP="00BC7A1B">
            <w:pPr>
              <w:pStyle w:val="CETBodytext"/>
              <w:rPr>
                <w:lang w:val="en-GB"/>
              </w:rPr>
            </w:pPr>
            <w:r w:rsidRPr="006D19B0">
              <w:rPr>
                <w:rFonts w:cs="Arial"/>
                <w:color w:val="000000"/>
                <w:szCs w:val="18"/>
              </w:rPr>
              <w:t>8,822.55</w:t>
            </w:r>
          </w:p>
        </w:tc>
        <w:tc>
          <w:tcPr>
            <w:tcW w:w="584" w:type="pct"/>
            <w:shd w:val="clear" w:color="auto" w:fill="FFFFFF"/>
            <w:vAlign w:val="center"/>
          </w:tcPr>
          <w:p w14:paraId="43DB539C" w14:textId="073765D6" w:rsidR="00BC7A1B" w:rsidRPr="006D19B0" w:rsidRDefault="00BC7A1B" w:rsidP="00BC7A1B">
            <w:pPr>
              <w:pStyle w:val="CETBodytext"/>
              <w:ind w:right="-1"/>
              <w:rPr>
                <w:rFonts w:cs="Arial"/>
                <w:szCs w:val="18"/>
                <w:lang w:val="en-GB"/>
              </w:rPr>
            </w:pPr>
            <w:r w:rsidRPr="006D19B0">
              <w:rPr>
                <w:rFonts w:cs="Arial"/>
                <w:color w:val="000000"/>
                <w:szCs w:val="18"/>
              </w:rPr>
              <w:t>97.89</w:t>
            </w:r>
          </w:p>
        </w:tc>
        <w:tc>
          <w:tcPr>
            <w:tcW w:w="584" w:type="pct"/>
            <w:shd w:val="clear" w:color="auto" w:fill="FFFFFF"/>
            <w:vAlign w:val="center"/>
          </w:tcPr>
          <w:p w14:paraId="50236748" w14:textId="734A72FE" w:rsidR="00BC7A1B" w:rsidRPr="006D19B0" w:rsidRDefault="00BC7A1B" w:rsidP="00BC7A1B">
            <w:pPr>
              <w:pStyle w:val="CETBodytext"/>
              <w:ind w:right="-1"/>
              <w:rPr>
                <w:rFonts w:cs="Arial"/>
                <w:szCs w:val="18"/>
                <w:lang w:val="en-GB"/>
              </w:rPr>
            </w:pPr>
            <w:r w:rsidRPr="006D19B0">
              <w:rPr>
                <w:rFonts w:cs="Arial"/>
                <w:color w:val="000000"/>
                <w:szCs w:val="18"/>
              </w:rPr>
              <w:t>190.85</w:t>
            </w:r>
          </w:p>
        </w:tc>
        <w:tc>
          <w:tcPr>
            <w:tcW w:w="578" w:type="pct"/>
            <w:shd w:val="clear" w:color="auto" w:fill="FFFFFF"/>
            <w:vAlign w:val="center"/>
          </w:tcPr>
          <w:p w14:paraId="09A0BC71" w14:textId="0A2A7995" w:rsidR="00BC7A1B" w:rsidRPr="006D19B0" w:rsidRDefault="00BC7A1B" w:rsidP="00BC7A1B">
            <w:pPr>
              <w:pStyle w:val="CETBodytext"/>
              <w:ind w:right="-1"/>
              <w:rPr>
                <w:rFonts w:cs="Arial"/>
                <w:szCs w:val="18"/>
                <w:lang w:val="en-GB"/>
              </w:rPr>
            </w:pPr>
            <w:r w:rsidRPr="006D19B0">
              <w:rPr>
                <w:rFonts w:cs="Arial"/>
                <w:color w:val="000000"/>
                <w:szCs w:val="18"/>
              </w:rPr>
              <w:t>283.81</w:t>
            </w:r>
          </w:p>
        </w:tc>
        <w:tc>
          <w:tcPr>
            <w:tcW w:w="584" w:type="pct"/>
            <w:shd w:val="clear" w:color="auto" w:fill="FFFFFF"/>
            <w:vAlign w:val="center"/>
          </w:tcPr>
          <w:p w14:paraId="6BFB5629" w14:textId="1A86ED9F" w:rsidR="00BC7A1B" w:rsidRPr="006D19B0" w:rsidRDefault="00BC7A1B" w:rsidP="00BC7A1B">
            <w:pPr>
              <w:pStyle w:val="CETBodytext"/>
              <w:ind w:right="-1"/>
              <w:rPr>
                <w:rFonts w:cs="Arial"/>
                <w:szCs w:val="18"/>
                <w:lang w:val="en-GB"/>
              </w:rPr>
            </w:pPr>
            <w:r w:rsidRPr="006D19B0">
              <w:rPr>
                <w:rFonts w:cs="Arial"/>
                <w:color w:val="000000"/>
                <w:szCs w:val="18"/>
              </w:rPr>
              <w:t>376.77</w:t>
            </w:r>
          </w:p>
        </w:tc>
      </w:tr>
      <w:tr w:rsidR="00BC7A1B" w:rsidRPr="00B57B36" w14:paraId="356762F9" w14:textId="2425437B" w:rsidTr="00BC7A1B">
        <w:tc>
          <w:tcPr>
            <w:tcW w:w="1922" w:type="pct"/>
            <w:shd w:val="clear" w:color="auto" w:fill="FFFFFF"/>
            <w:vAlign w:val="center"/>
          </w:tcPr>
          <w:p w14:paraId="5B84AD4F" w14:textId="4556B1D8" w:rsidR="00BC7A1B" w:rsidRPr="00B57B36" w:rsidRDefault="00BC7A1B" w:rsidP="00BC7A1B">
            <w:pPr>
              <w:pStyle w:val="CETBodytext"/>
              <w:rPr>
                <w:lang w:val="en-GB"/>
              </w:rPr>
            </w:pPr>
            <w:r>
              <w:rPr>
                <w:rFonts w:cs="Arial"/>
                <w:szCs w:val="18"/>
              </w:rPr>
              <w:t>energy resources - total</w:t>
            </w:r>
          </w:p>
        </w:tc>
        <w:tc>
          <w:tcPr>
            <w:tcW w:w="225" w:type="pct"/>
            <w:shd w:val="clear" w:color="auto" w:fill="FFFFFF"/>
            <w:vAlign w:val="center"/>
          </w:tcPr>
          <w:p w14:paraId="0BF99AED" w14:textId="29F19771"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01B926CE" w14:textId="344B9A13"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371262DC" w14:textId="5362A471"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57676A57" w14:textId="0A4B5F37"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5BF2E00E" w14:textId="0890847F"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449A7E68" w14:textId="2B37A280"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13E5CB49" w14:textId="75F02283" w:rsidTr="00BC7A1B">
        <w:tc>
          <w:tcPr>
            <w:tcW w:w="1922" w:type="pct"/>
            <w:shd w:val="clear" w:color="auto" w:fill="FFFFFF"/>
            <w:vAlign w:val="center"/>
          </w:tcPr>
          <w:p w14:paraId="5A4CBC5A" w14:textId="1061E258" w:rsidR="00BC7A1B" w:rsidRPr="00B57B36" w:rsidRDefault="00BC7A1B" w:rsidP="00BC7A1B">
            <w:pPr>
              <w:pStyle w:val="CETBodytext"/>
              <w:rPr>
                <w:lang w:val="en-GB"/>
              </w:rPr>
            </w:pPr>
            <w:r>
              <w:rPr>
                <w:rFonts w:cs="Arial"/>
                <w:szCs w:val="18"/>
              </w:rPr>
              <w:t>global warming - total</w:t>
            </w:r>
          </w:p>
        </w:tc>
        <w:tc>
          <w:tcPr>
            <w:tcW w:w="225" w:type="pct"/>
            <w:shd w:val="clear" w:color="auto" w:fill="FFFFFF"/>
            <w:vAlign w:val="center"/>
          </w:tcPr>
          <w:p w14:paraId="4CE2B6FD" w14:textId="1634F548"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3092F023" w14:textId="7195772B" w:rsidR="00BC7A1B" w:rsidRPr="006D19B0" w:rsidRDefault="00BC7A1B" w:rsidP="00BC7A1B">
            <w:pPr>
              <w:pStyle w:val="CETBodytext"/>
              <w:rPr>
                <w:lang w:val="en-GB"/>
              </w:rPr>
            </w:pPr>
            <w:r w:rsidRPr="006D19B0">
              <w:rPr>
                <w:rFonts w:cs="Arial"/>
                <w:color w:val="000000"/>
                <w:szCs w:val="18"/>
              </w:rPr>
              <w:t>4.89</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10133B98" w14:textId="6D2FA921" w:rsidR="00BC7A1B" w:rsidRPr="006D19B0" w:rsidRDefault="00BC7A1B" w:rsidP="00BC7A1B">
            <w:pPr>
              <w:pStyle w:val="CETBodytext"/>
              <w:ind w:right="-1"/>
              <w:rPr>
                <w:rFonts w:cs="Arial"/>
                <w:szCs w:val="18"/>
                <w:lang w:val="en-GB"/>
              </w:rPr>
            </w:pPr>
            <w:r w:rsidRPr="006D19B0">
              <w:rPr>
                <w:rFonts w:cs="Arial"/>
                <w:color w:val="000000"/>
                <w:szCs w:val="18"/>
              </w:rPr>
              <w:t>4.71</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4CE1F7A1" w14:textId="6F213754" w:rsidR="00BC7A1B" w:rsidRPr="006D19B0" w:rsidRDefault="00BC7A1B" w:rsidP="00BC7A1B">
            <w:pPr>
              <w:pStyle w:val="CETBodytext"/>
              <w:ind w:right="-1"/>
              <w:rPr>
                <w:rFonts w:cs="Arial"/>
                <w:szCs w:val="18"/>
                <w:lang w:val="en-GB"/>
              </w:rPr>
            </w:pPr>
            <w:r w:rsidRPr="006D19B0">
              <w:rPr>
                <w:rFonts w:cs="Arial"/>
                <w:color w:val="000000"/>
                <w:szCs w:val="18"/>
              </w:rPr>
              <w:t>4.54</w:t>
            </w:r>
            <w:r w:rsidR="00A21792" w:rsidRPr="006D19B0">
              <w:rPr>
                <w:rFonts w:cs="Arial"/>
                <w:color w:val="000000"/>
                <w:szCs w:val="18"/>
              </w:rPr>
              <w:t>*10^</w:t>
            </w:r>
            <w:r w:rsidRPr="006D19B0">
              <w:rPr>
                <w:rFonts w:cs="Arial"/>
                <w:color w:val="000000"/>
                <w:szCs w:val="18"/>
              </w:rPr>
              <w:t>5</w:t>
            </w:r>
          </w:p>
        </w:tc>
        <w:tc>
          <w:tcPr>
            <w:tcW w:w="578" w:type="pct"/>
            <w:shd w:val="clear" w:color="auto" w:fill="FFFFFF"/>
            <w:vAlign w:val="center"/>
          </w:tcPr>
          <w:p w14:paraId="49C71252" w14:textId="70D4DEBA" w:rsidR="00BC7A1B" w:rsidRPr="006D19B0" w:rsidRDefault="00BC7A1B" w:rsidP="00BC7A1B">
            <w:pPr>
              <w:pStyle w:val="CETBodytext"/>
              <w:ind w:right="-1"/>
              <w:rPr>
                <w:rFonts w:cs="Arial"/>
                <w:szCs w:val="18"/>
                <w:lang w:val="en-GB"/>
              </w:rPr>
            </w:pPr>
            <w:r w:rsidRPr="006D19B0">
              <w:rPr>
                <w:rFonts w:cs="Arial"/>
                <w:color w:val="000000"/>
                <w:szCs w:val="18"/>
              </w:rPr>
              <w:t>4.37</w:t>
            </w:r>
            <w:r w:rsidR="00E92713"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1868E76A" w14:textId="097DCF8D" w:rsidR="00BC7A1B" w:rsidRPr="006D19B0" w:rsidRDefault="00BC7A1B" w:rsidP="00BC7A1B">
            <w:pPr>
              <w:pStyle w:val="CETBodytext"/>
              <w:ind w:right="-1"/>
              <w:rPr>
                <w:rFonts w:cs="Arial"/>
                <w:szCs w:val="18"/>
                <w:lang w:val="en-GB"/>
              </w:rPr>
            </w:pPr>
            <w:r w:rsidRPr="006D19B0">
              <w:rPr>
                <w:rFonts w:cs="Arial"/>
                <w:color w:val="000000"/>
                <w:szCs w:val="18"/>
              </w:rPr>
              <w:t>4.19</w:t>
            </w:r>
            <w:r w:rsidR="00E92713" w:rsidRPr="006D19B0">
              <w:rPr>
                <w:rFonts w:cs="Arial"/>
                <w:color w:val="000000"/>
                <w:szCs w:val="18"/>
              </w:rPr>
              <w:t>*10^</w:t>
            </w:r>
            <w:r w:rsidRPr="006D19B0">
              <w:rPr>
                <w:rFonts w:cs="Arial"/>
                <w:color w:val="000000"/>
                <w:szCs w:val="18"/>
              </w:rPr>
              <w:t>5</w:t>
            </w:r>
          </w:p>
        </w:tc>
      </w:tr>
      <w:tr w:rsidR="00BC7A1B" w:rsidRPr="00B57B36" w14:paraId="4A928B1C" w14:textId="0B828FAC" w:rsidTr="00BC7A1B">
        <w:tc>
          <w:tcPr>
            <w:tcW w:w="1922" w:type="pct"/>
            <w:shd w:val="clear" w:color="auto" w:fill="FFFFFF"/>
            <w:vAlign w:val="center"/>
          </w:tcPr>
          <w:p w14:paraId="71B4634B" w14:textId="0150A303" w:rsidR="00BC7A1B" w:rsidRPr="00B57B36" w:rsidRDefault="00BC7A1B" w:rsidP="00BC7A1B">
            <w:pPr>
              <w:pStyle w:val="CETBodytext"/>
              <w:rPr>
                <w:lang w:val="en-GB"/>
              </w:rPr>
            </w:pPr>
            <w:r>
              <w:rPr>
                <w:rFonts w:cs="Arial"/>
                <w:szCs w:val="18"/>
              </w:rPr>
              <w:t>heavy metals into air - total</w:t>
            </w:r>
          </w:p>
        </w:tc>
        <w:tc>
          <w:tcPr>
            <w:tcW w:w="225" w:type="pct"/>
            <w:shd w:val="clear" w:color="auto" w:fill="FFFFFF"/>
            <w:vAlign w:val="center"/>
          </w:tcPr>
          <w:p w14:paraId="305221CB" w14:textId="0D8A515B"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59E731CD" w14:textId="76618DBA" w:rsidR="00BC7A1B" w:rsidRPr="006D19B0" w:rsidRDefault="00BC7A1B" w:rsidP="00BC7A1B">
            <w:pPr>
              <w:pStyle w:val="CETBodytext"/>
              <w:rPr>
                <w:lang w:val="en-GB"/>
              </w:rPr>
            </w:pPr>
            <w:r w:rsidRPr="006D19B0">
              <w:rPr>
                <w:rFonts w:cs="Arial"/>
                <w:color w:val="000000"/>
                <w:szCs w:val="18"/>
              </w:rPr>
              <w:t>1.16</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156E6323" w14:textId="5BB70961" w:rsidR="00BC7A1B" w:rsidRPr="006D19B0" w:rsidRDefault="00BC7A1B" w:rsidP="00BC7A1B">
            <w:pPr>
              <w:pStyle w:val="CETBodytext"/>
              <w:ind w:right="-1"/>
              <w:rPr>
                <w:rFonts w:cs="Arial"/>
                <w:szCs w:val="18"/>
                <w:lang w:val="en-GB"/>
              </w:rPr>
            </w:pPr>
            <w:r w:rsidRPr="006D19B0">
              <w:rPr>
                <w:rFonts w:cs="Arial"/>
                <w:color w:val="000000"/>
                <w:szCs w:val="18"/>
              </w:rPr>
              <w:t>1.09</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46DDEB23" w14:textId="0DBF6E9A" w:rsidR="00BC7A1B" w:rsidRPr="006D19B0" w:rsidRDefault="00BC7A1B" w:rsidP="00BC7A1B">
            <w:pPr>
              <w:pStyle w:val="CETBodytext"/>
              <w:ind w:right="-1"/>
              <w:rPr>
                <w:rFonts w:cs="Arial"/>
                <w:szCs w:val="18"/>
                <w:lang w:val="en-GB"/>
              </w:rPr>
            </w:pPr>
            <w:r w:rsidRPr="006D19B0">
              <w:rPr>
                <w:rFonts w:cs="Arial"/>
                <w:color w:val="000000"/>
                <w:szCs w:val="18"/>
              </w:rPr>
              <w:t>1.04</w:t>
            </w:r>
            <w:r w:rsidR="00A21792" w:rsidRPr="006D19B0">
              <w:rPr>
                <w:rFonts w:cs="Arial"/>
                <w:color w:val="000000"/>
                <w:szCs w:val="18"/>
              </w:rPr>
              <w:t>*10^</w:t>
            </w:r>
            <w:r w:rsidRPr="006D19B0">
              <w:rPr>
                <w:rFonts w:cs="Arial"/>
                <w:color w:val="000000"/>
                <w:szCs w:val="18"/>
              </w:rPr>
              <w:t>5</w:t>
            </w:r>
          </w:p>
        </w:tc>
        <w:tc>
          <w:tcPr>
            <w:tcW w:w="578" w:type="pct"/>
            <w:shd w:val="clear" w:color="auto" w:fill="FFFFFF"/>
            <w:vAlign w:val="center"/>
          </w:tcPr>
          <w:p w14:paraId="01019752" w14:textId="0CD5EC06" w:rsidR="00BC7A1B" w:rsidRPr="006D19B0" w:rsidRDefault="00BC7A1B" w:rsidP="00BC7A1B">
            <w:pPr>
              <w:pStyle w:val="CETBodytext"/>
              <w:ind w:right="-1"/>
              <w:rPr>
                <w:rFonts w:cs="Arial"/>
                <w:szCs w:val="18"/>
                <w:lang w:val="en-GB"/>
              </w:rPr>
            </w:pPr>
            <w:r w:rsidRPr="006D19B0">
              <w:rPr>
                <w:rFonts w:cs="Arial"/>
                <w:color w:val="000000"/>
                <w:szCs w:val="18"/>
              </w:rPr>
              <w:t>9.91</w:t>
            </w:r>
            <w:r w:rsidR="00E92713"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2ACE7BDF" w14:textId="2B00C8B2" w:rsidR="00BC7A1B" w:rsidRPr="006D19B0" w:rsidRDefault="00BC7A1B" w:rsidP="00BC7A1B">
            <w:pPr>
              <w:pStyle w:val="CETBodytext"/>
              <w:ind w:right="-1"/>
              <w:rPr>
                <w:rFonts w:cs="Arial"/>
                <w:szCs w:val="18"/>
                <w:lang w:val="en-GB"/>
              </w:rPr>
            </w:pPr>
            <w:r w:rsidRPr="006D19B0">
              <w:rPr>
                <w:rFonts w:cs="Arial"/>
                <w:color w:val="000000"/>
                <w:szCs w:val="18"/>
              </w:rPr>
              <w:t>9.44</w:t>
            </w:r>
            <w:r w:rsidR="00E92713" w:rsidRPr="006D19B0">
              <w:rPr>
                <w:rFonts w:cs="Arial"/>
                <w:color w:val="000000"/>
                <w:szCs w:val="18"/>
              </w:rPr>
              <w:t>*10^</w:t>
            </w:r>
            <w:r w:rsidRPr="006D19B0">
              <w:rPr>
                <w:rFonts w:cs="Arial"/>
                <w:color w:val="000000"/>
                <w:szCs w:val="18"/>
              </w:rPr>
              <w:t>4</w:t>
            </w:r>
          </w:p>
        </w:tc>
      </w:tr>
      <w:tr w:rsidR="00BC7A1B" w:rsidRPr="00B57B36" w14:paraId="2B1107B9" w14:textId="4E72F14D" w:rsidTr="00BC7A1B">
        <w:tc>
          <w:tcPr>
            <w:tcW w:w="1922" w:type="pct"/>
            <w:shd w:val="clear" w:color="auto" w:fill="FFFFFF"/>
            <w:vAlign w:val="center"/>
          </w:tcPr>
          <w:p w14:paraId="72EF9280" w14:textId="2DEBC569" w:rsidR="00BC7A1B" w:rsidRPr="00B57B36" w:rsidRDefault="00BC7A1B" w:rsidP="00BC7A1B">
            <w:pPr>
              <w:pStyle w:val="CETBodytext"/>
              <w:rPr>
                <w:lang w:val="en-GB"/>
              </w:rPr>
            </w:pPr>
            <w:r>
              <w:rPr>
                <w:rFonts w:cs="Arial"/>
                <w:szCs w:val="18"/>
              </w:rPr>
              <w:t>heavy metals into soil - total</w:t>
            </w:r>
          </w:p>
        </w:tc>
        <w:tc>
          <w:tcPr>
            <w:tcW w:w="225" w:type="pct"/>
            <w:shd w:val="clear" w:color="auto" w:fill="FFFFFF"/>
            <w:vAlign w:val="center"/>
          </w:tcPr>
          <w:p w14:paraId="6BD436D4" w14:textId="49010CE9"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47484672" w14:textId="48591039" w:rsidR="00BC7A1B" w:rsidRPr="006D19B0" w:rsidRDefault="00BC7A1B" w:rsidP="00BC7A1B">
            <w:pPr>
              <w:pStyle w:val="CETBodytext"/>
              <w:rPr>
                <w:lang w:val="en-GB"/>
              </w:rPr>
            </w:pPr>
            <w:r w:rsidRPr="006D19B0">
              <w:rPr>
                <w:rFonts w:cs="Arial"/>
                <w:color w:val="000000"/>
                <w:szCs w:val="18"/>
              </w:rPr>
              <w:t>4,497,82</w:t>
            </w:r>
          </w:p>
        </w:tc>
        <w:tc>
          <w:tcPr>
            <w:tcW w:w="584" w:type="pct"/>
            <w:shd w:val="clear" w:color="auto" w:fill="FFFFFF"/>
            <w:vAlign w:val="center"/>
          </w:tcPr>
          <w:p w14:paraId="3AC35EC1" w14:textId="1BD042C9" w:rsidR="00BC7A1B" w:rsidRPr="006D19B0" w:rsidRDefault="00BC7A1B" w:rsidP="00BC7A1B">
            <w:pPr>
              <w:pStyle w:val="CETBodytext"/>
              <w:ind w:right="-1"/>
              <w:rPr>
                <w:rFonts w:cs="Arial"/>
                <w:szCs w:val="18"/>
                <w:lang w:val="en-GB"/>
              </w:rPr>
            </w:pPr>
            <w:r w:rsidRPr="006D19B0">
              <w:rPr>
                <w:rFonts w:cs="Arial"/>
                <w:color w:val="000000"/>
                <w:szCs w:val="18"/>
              </w:rPr>
              <w:t>0.81</w:t>
            </w:r>
          </w:p>
        </w:tc>
        <w:tc>
          <w:tcPr>
            <w:tcW w:w="584" w:type="pct"/>
            <w:shd w:val="clear" w:color="auto" w:fill="FFFFFF"/>
            <w:vAlign w:val="center"/>
          </w:tcPr>
          <w:p w14:paraId="7416D5B2" w14:textId="1F9ED7F6" w:rsidR="00BC7A1B" w:rsidRPr="006D19B0" w:rsidRDefault="00BC7A1B" w:rsidP="00BC7A1B">
            <w:pPr>
              <w:pStyle w:val="CETBodytext"/>
              <w:ind w:right="-1"/>
              <w:rPr>
                <w:rFonts w:cs="Arial"/>
                <w:szCs w:val="18"/>
                <w:lang w:val="en-GB"/>
              </w:rPr>
            </w:pPr>
            <w:r w:rsidRPr="006D19B0">
              <w:rPr>
                <w:rFonts w:cs="Arial"/>
                <w:color w:val="000000"/>
                <w:szCs w:val="18"/>
              </w:rPr>
              <w:t>1.62</w:t>
            </w:r>
          </w:p>
        </w:tc>
        <w:tc>
          <w:tcPr>
            <w:tcW w:w="578" w:type="pct"/>
            <w:shd w:val="clear" w:color="auto" w:fill="FFFFFF"/>
            <w:vAlign w:val="center"/>
          </w:tcPr>
          <w:p w14:paraId="48F1F4B0" w14:textId="2BCFC206" w:rsidR="00BC7A1B" w:rsidRPr="006D19B0" w:rsidRDefault="00BC7A1B" w:rsidP="00BC7A1B">
            <w:pPr>
              <w:pStyle w:val="CETBodytext"/>
              <w:ind w:right="-1"/>
              <w:rPr>
                <w:rFonts w:cs="Arial"/>
                <w:szCs w:val="18"/>
                <w:lang w:val="en-GB"/>
              </w:rPr>
            </w:pPr>
            <w:r w:rsidRPr="006D19B0">
              <w:rPr>
                <w:rFonts w:cs="Arial"/>
                <w:color w:val="000000"/>
                <w:szCs w:val="18"/>
              </w:rPr>
              <w:t>2.44</w:t>
            </w:r>
          </w:p>
        </w:tc>
        <w:tc>
          <w:tcPr>
            <w:tcW w:w="584" w:type="pct"/>
            <w:shd w:val="clear" w:color="auto" w:fill="FFFFFF"/>
            <w:vAlign w:val="center"/>
          </w:tcPr>
          <w:p w14:paraId="2AA00844" w14:textId="5C5328DC" w:rsidR="00BC7A1B" w:rsidRPr="006D19B0" w:rsidRDefault="00BC7A1B" w:rsidP="00BC7A1B">
            <w:pPr>
              <w:pStyle w:val="CETBodytext"/>
              <w:ind w:right="-1"/>
              <w:rPr>
                <w:rFonts w:cs="Arial"/>
                <w:szCs w:val="18"/>
                <w:lang w:val="en-GB"/>
              </w:rPr>
            </w:pPr>
            <w:r w:rsidRPr="006D19B0">
              <w:rPr>
                <w:rFonts w:cs="Arial"/>
                <w:color w:val="000000"/>
                <w:szCs w:val="18"/>
              </w:rPr>
              <w:t>324.716</w:t>
            </w:r>
          </w:p>
        </w:tc>
      </w:tr>
      <w:tr w:rsidR="00BC7A1B" w:rsidRPr="00B57B36" w14:paraId="1D5DBC7B" w14:textId="77777777" w:rsidTr="00BC7A1B">
        <w:tc>
          <w:tcPr>
            <w:tcW w:w="1922" w:type="pct"/>
            <w:shd w:val="clear" w:color="auto" w:fill="FFFFFF"/>
            <w:vAlign w:val="center"/>
          </w:tcPr>
          <w:p w14:paraId="1B8E79CF" w14:textId="7D53611A" w:rsidR="00BC7A1B" w:rsidRPr="00B57B36" w:rsidRDefault="00BC7A1B" w:rsidP="00BC7A1B">
            <w:pPr>
              <w:pStyle w:val="CETBodytext"/>
              <w:rPr>
                <w:lang w:val="en-GB"/>
              </w:rPr>
            </w:pPr>
            <w:r>
              <w:rPr>
                <w:rFonts w:cs="Arial"/>
                <w:szCs w:val="18"/>
              </w:rPr>
              <w:t>heavy metals into water - total</w:t>
            </w:r>
          </w:p>
        </w:tc>
        <w:tc>
          <w:tcPr>
            <w:tcW w:w="225" w:type="pct"/>
            <w:shd w:val="clear" w:color="auto" w:fill="FFFFFF"/>
            <w:vAlign w:val="center"/>
          </w:tcPr>
          <w:p w14:paraId="43E3C427" w14:textId="02C112D8"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13E8F0BA" w14:textId="071581FD" w:rsidR="00BC7A1B" w:rsidRPr="006D19B0" w:rsidRDefault="00BC7A1B" w:rsidP="00BC7A1B">
            <w:pPr>
              <w:pStyle w:val="CETBodytext"/>
              <w:rPr>
                <w:lang w:val="en-GB"/>
              </w:rPr>
            </w:pPr>
            <w:r w:rsidRPr="006D19B0">
              <w:rPr>
                <w:rFonts w:cs="Arial"/>
                <w:color w:val="000000"/>
                <w:szCs w:val="18"/>
              </w:rPr>
              <w:t>3.73</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6A67B9E7" w14:textId="53C487BB" w:rsidR="00BC7A1B" w:rsidRPr="006D19B0" w:rsidRDefault="00BC7A1B" w:rsidP="00BC7A1B">
            <w:pPr>
              <w:pStyle w:val="CETBodytext"/>
              <w:ind w:right="-1"/>
              <w:rPr>
                <w:rFonts w:cs="Arial"/>
                <w:szCs w:val="18"/>
                <w:lang w:val="en-GB"/>
              </w:rPr>
            </w:pPr>
            <w:r w:rsidRPr="006D19B0">
              <w:rPr>
                <w:rFonts w:cs="Arial"/>
                <w:color w:val="000000"/>
                <w:szCs w:val="18"/>
              </w:rPr>
              <w:t>3.80</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2853C4D0" w14:textId="60EBDFF2" w:rsidR="00BC7A1B" w:rsidRPr="006D19B0" w:rsidRDefault="00BC7A1B" w:rsidP="00BC7A1B">
            <w:pPr>
              <w:pStyle w:val="CETBodytext"/>
              <w:ind w:right="-1"/>
              <w:rPr>
                <w:rFonts w:cs="Arial"/>
                <w:szCs w:val="18"/>
                <w:lang w:val="en-GB"/>
              </w:rPr>
            </w:pPr>
            <w:r w:rsidRPr="006D19B0">
              <w:rPr>
                <w:rFonts w:cs="Arial"/>
                <w:color w:val="000000"/>
                <w:szCs w:val="18"/>
              </w:rPr>
              <w:t>3.87</w:t>
            </w:r>
            <w:r w:rsidR="00A21792" w:rsidRPr="006D19B0">
              <w:rPr>
                <w:rFonts w:cs="Arial"/>
                <w:color w:val="000000"/>
                <w:szCs w:val="18"/>
              </w:rPr>
              <w:t>*10^</w:t>
            </w:r>
            <w:r w:rsidRPr="006D19B0">
              <w:rPr>
                <w:rFonts w:cs="Arial"/>
                <w:color w:val="000000"/>
                <w:szCs w:val="18"/>
              </w:rPr>
              <w:t>5</w:t>
            </w:r>
          </w:p>
        </w:tc>
        <w:tc>
          <w:tcPr>
            <w:tcW w:w="578" w:type="pct"/>
            <w:shd w:val="clear" w:color="auto" w:fill="FFFFFF"/>
            <w:vAlign w:val="center"/>
          </w:tcPr>
          <w:p w14:paraId="30B216A3" w14:textId="2FE91201" w:rsidR="00BC7A1B" w:rsidRPr="006D19B0" w:rsidRDefault="00BC7A1B" w:rsidP="00BC7A1B">
            <w:pPr>
              <w:pStyle w:val="CETBodytext"/>
              <w:ind w:right="-1"/>
              <w:rPr>
                <w:rFonts w:cs="Arial"/>
                <w:szCs w:val="18"/>
                <w:lang w:val="en-GB"/>
              </w:rPr>
            </w:pPr>
            <w:r w:rsidRPr="006D19B0">
              <w:rPr>
                <w:rFonts w:cs="Arial"/>
                <w:color w:val="000000"/>
                <w:szCs w:val="18"/>
              </w:rPr>
              <w:t>3.94</w:t>
            </w:r>
            <w:r w:rsidR="00E92713"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3B1B3219" w14:textId="3B09AE8E" w:rsidR="00BC7A1B" w:rsidRPr="006D19B0" w:rsidRDefault="00BC7A1B" w:rsidP="00BC7A1B">
            <w:pPr>
              <w:pStyle w:val="CETBodytext"/>
              <w:ind w:right="-1"/>
              <w:rPr>
                <w:rFonts w:cs="Arial"/>
                <w:szCs w:val="18"/>
                <w:lang w:val="en-GB"/>
              </w:rPr>
            </w:pPr>
            <w:r w:rsidRPr="006D19B0">
              <w:rPr>
                <w:rFonts w:cs="Arial"/>
                <w:color w:val="000000"/>
                <w:szCs w:val="18"/>
              </w:rPr>
              <w:t>4.01</w:t>
            </w:r>
            <w:r w:rsidR="00E92713" w:rsidRPr="006D19B0">
              <w:rPr>
                <w:rFonts w:cs="Arial"/>
                <w:color w:val="000000"/>
                <w:szCs w:val="18"/>
              </w:rPr>
              <w:t>*10^</w:t>
            </w:r>
            <w:r w:rsidRPr="006D19B0">
              <w:rPr>
                <w:rFonts w:cs="Arial"/>
                <w:color w:val="000000"/>
                <w:szCs w:val="18"/>
              </w:rPr>
              <w:t>5</w:t>
            </w:r>
          </w:p>
        </w:tc>
      </w:tr>
      <w:tr w:rsidR="00BC7A1B" w:rsidRPr="00B57B36" w14:paraId="2B53281B" w14:textId="77777777" w:rsidTr="00BC7A1B">
        <w:tc>
          <w:tcPr>
            <w:tcW w:w="1922" w:type="pct"/>
            <w:shd w:val="clear" w:color="auto" w:fill="FFFFFF"/>
            <w:vAlign w:val="center"/>
          </w:tcPr>
          <w:p w14:paraId="30147488" w14:textId="277E181E" w:rsidR="00BC7A1B" w:rsidRPr="00B57B36" w:rsidRDefault="00BC7A1B" w:rsidP="00BC7A1B">
            <w:pPr>
              <w:pStyle w:val="CETBodytext"/>
              <w:rPr>
                <w:lang w:val="en-GB"/>
              </w:rPr>
            </w:pPr>
            <w:r>
              <w:rPr>
                <w:rFonts w:cs="Arial"/>
                <w:szCs w:val="18"/>
              </w:rPr>
              <w:t>land use - total</w:t>
            </w:r>
          </w:p>
        </w:tc>
        <w:tc>
          <w:tcPr>
            <w:tcW w:w="225" w:type="pct"/>
            <w:shd w:val="clear" w:color="auto" w:fill="FFFFFF"/>
            <w:vAlign w:val="center"/>
          </w:tcPr>
          <w:p w14:paraId="1BC74194" w14:textId="2B6FFE88"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462B78C6" w14:textId="028473C3"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0CC50BA4" w14:textId="2E59B6D7"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7E5C3F88" w14:textId="42C81606"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33FE4403" w14:textId="1101AC57"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3C83E774" w14:textId="083D3603"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5FE2D6E7" w14:textId="77777777" w:rsidTr="00BC7A1B">
        <w:tc>
          <w:tcPr>
            <w:tcW w:w="1922" w:type="pct"/>
            <w:shd w:val="clear" w:color="auto" w:fill="FFFFFF"/>
            <w:vAlign w:val="center"/>
          </w:tcPr>
          <w:p w14:paraId="2929B796" w14:textId="2F4DD19B" w:rsidR="00BC7A1B" w:rsidRPr="00B57B36" w:rsidRDefault="00BC7A1B" w:rsidP="00BC7A1B">
            <w:pPr>
              <w:pStyle w:val="CETBodytext"/>
              <w:rPr>
                <w:lang w:val="en-GB"/>
              </w:rPr>
            </w:pPr>
            <w:r>
              <w:rPr>
                <w:rFonts w:cs="Arial"/>
                <w:szCs w:val="18"/>
              </w:rPr>
              <w:t>main air pollutants and PM - total</w:t>
            </w:r>
          </w:p>
        </w:tc>
        <w:tc>
          <w:tcPr>
            <w:tcW w:w="225" w:type="pct"/>
            <w:shd w:val="clear" w:color="auto" w:fill="FFFFFF"/>
            <w:vAlign w:val="center"/>
          </w:tcPr>
          <w:p w14:paraId="4074AFF0" w14:textId="576EE9D8"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578E57BD" w14:textId="17C47380" w:rsidR="00BC7A1B" w:rsidRPr="006D19B0" w:rsidRDefault="00BC7A1B" w:rsidP="00BC7A1B">
            <w:pPr>
              <w:pStyle w:val="CETBodytext"/>
              <w:rPr>
                <w:lang w:val="en-GB"/>
              </w:rPr>
            </w:pPr>
            <w:r w:rsidRPr="006D19B0">
              <w:rPr>
                <w:rFonts w:cs="Arial"/>
                <w:color w:val="000000"/>
                <w:szCs w:val="18"/>
              </w:rPr>
              <w:t>4.97</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0AC8C76E" w14:textId="1BC11C4A" w:rsidR="00BC7A1B" w:rsidRPr="006D19B0" w:rsidRDefault="00BC7A1B" w:rsidP="00BC7A1B">
            <w:pPr>
              <w:pStyle w:val="CETBodytext"/>
              <w:ind w:right="-1"/>
              <w:rPr>
                <w:rFonts w:cs="Arial"/>
                <w:szCs w:val="18"/>
                <w:lang w:val="en-GB"/>
              </w:rPr>
            </w:pPr>
            <w:r w:rsidRPr="006D19B0">
              <w:rPr>
                <w:rFonts w:cs="Arial"/>
                <w:color w:val="000000"/>
                <w:szCs w:val="18"/>
              </w:rPr>
              <w:t>4.18</w:t>
            </w:r>
            <w:r w:rsidR="00A21792"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53976B4D" w14:textId="34878E52" w:rsidR="00BC7A1B" w:rsidRPr="006D19B0" w:rsidRDefault="00BC7A1B" w:rsidP="00BC7A1B">
            <w:pPr>
              <w:pStyle w:val="CETBodytext"/>
              <w:ind w:right="-1"/>
              <w:rPr>
                <w:rFonts w:cs="Arial"/>
                <w:szCs w:val="18"/>
                <w:lang w:val="en-GB"/>
              </w:rPr>
            </w:pPr>
            <w:r w:rsidRPr="006D19B0">
              <w:rPr>
                <w:rFonts w:cs="Arial"/>
                <w:color w:val="000000"/>
                <w:szCs w:val="18"/>
              </w:rPr>
              <w:t>4.15</w:t>
            </w:r>
            <w:r w:rsidR="00A21792" w:rsidRPr="006D19B0">
              <w:rPr>
                <w:rFonts w:cs="Arial"/>
                <w:color w:val="000000"/>
                <w:szCs w:val="18"/>
              </w:rPr>
              <w:t>*10^</w:t>
            </w:r>
            <w:r w:rsidRPr="006D19B0">
              <w:rPr>
                <w:rFonts w:cs="Arial"/>
                <w:color w:val="000000"/>
                <w:szCs w:val="18"/>
              </w:rPr>
              <w:t>5</w:t>
            </w:r>
          </w:p>
        </w:tc>
        <w:tc>
          <w:tcPr>
            <w:tcW w:w="578" w:type="pct"/>
            <w:shd w:val="clear" w:color="auto" w:fill="FFFFFF"/>
            <w:vAlign w:val="center"/>
          </w:tcPr>
          <w:p w14:paraId="72FC467B" w14:textId="20A7C5B2" w:rsidR="00BC7A1B" w:rsidRPr="006D19B0" w:rsidRDefault="00BC7A1B" w:rsidP="00BC7A1B">
            <w:pPr>
              <w:pStyle w:val="CETBodytext"/>
              <w:ind w:right="-1"/>
              <w:rPr>
                <w:rFonts w:cs="Arial"/>
                <w:szCs w:val="18"/>
                <w:lang w:val="en-GB"/>
              </w:rPr>
            </w:pPr>
            <w:r w:rsidRPr="006D19B0">
              <w:rPr>
                <w:rFonts w:cs="Arial"/>
                <w:color w:val="000000"/>
                <w:szCs w:val="18"/>
              </w:rPr>
              <w:t>4.12</w:t>
            </w:r>
            <w:r w:rsidR="00E92713"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5328D0E6" w14:textId="712FA7CE" w:rsidR="00BC7A1B" w:rsidRPr="006D19B0" w:rsidRDefault="00BC7A1B" w:rsidP="00BC7A1B">
            <w:pPr>
              <w:pStyle w:val="CETBodytext"/>
              <w:ind w:right="-1"/>
              <w:rPr>
                <w:rFonts w:cs="Arial"/>
                <w:szCs w:val="18"/>
                <w:lang w:val="en-GB"/>
              </w:rPr>
            </w:pPr>
            <w:r w:rsidRPr="006D19B0">
              <w:rPr>
                <w:rFonts w:cs="Arial"/>
                <w:color w:val="000000"/>
                <w:szCs w:val="18"/>
              </w:rPr>
              <w:t>4.09</w:t>
            </w:r>
            <w:r w:rsidR="00E92713" w:rsidRPr="006D19B0">
              <w:rPr>
                <w:rFonts w:cs="Arial"/>
                <w:color w:val="000000"/>
                <w:szCs w:val="18"/>
              </w:rPr>
              <w:t>*10^</w:t>
            </w:r>
            <w:r w:rsidRPr="006D19B0">
              <w:rPr>
                <w:rFonts w:cs="Arial"/>
                <w:color w:val="000000"/>
                <w:szCs w:val="18"/>
              </w:rPr>
              <w:t>5</w:t>
            </w:r>
          </w:p>
        </w:tc>
      </w:tr>
      <w:tr w:rsidR="00BC7A1B" w:rsidRPr="00B57B36" w14:paraId="6E39F11E" w14:textId="77777777" w:rsidTr="00BC7A1B">
        <w:tc>
          <w:tcPr>
            <w:tcW w:w="1922" w:type="pct"/>
            <w:shd w:val="clear" w:color="auto" w:fill="FFFFFF"/>
            <w:vAlign w:val="center"/>
          </w:tcPr>
          <w:p w14:paraId="1C5B4379" w14:textId="412194EC" w:rsidR="00BC7A1B" w:rsidRPr="00B57B36" w:rsidRDefault="00BC7A1B" w:rsidP="00BC7A1B">
            <w:pPr>
              <w:pStyle w:val="CETBodytext"/>
              <w:rPr>
                <w:lang w:val="en-GB"/>
              </w:rPr>
            </w:pPr>
            <w:r>
              <w:rPr>
                <w:rFonts w:cs="Arial"/>
                <w:szCs w:val="18"/>
              </w:rPr>
              <w:t>mineral resources - total</w:t>
            </w:r>
          </w:p>
        </w:tc>
        <w:tc>
          <w:tcPr>
            <w:tcW w:w="225" w:type="pct"/>
            <w:shd w:val="clear" w:color="auto" w:fill="FFFFFF"/>
            <w:vAlign w:val="center"/>
          </w:tcPr>
          <w:p w14:paraId="74382D7B" w14:textId="405AEC70"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2A35AE30" w14:textId="7B2D6232" w:rsidR="00BC7A1B" w:rsidRPr="006D19B0" w:rsidRDefault="00BC7A1B" w:rsidP="00BC7A1B">
            <w:pPr>
              <w:pStyle w:val="CETBodytext"/>
              <w:rPr>
                <w:lang w:val="en-GB"/>
              </w:rPr>
            </w:pPr>
            <w:r w:rsidRPr="006D19B0">
              <w:rPr>
                <w:rFonts w:cs="Arial"/>
                <w:color w:val="000000"/>
                <w:szCs w:val="18"/>
              </w:rPr>
              <w:t>47.90</w:t>
            </w:r>
          </w:p>
        </w:tc>
        <w:tc>
          <w:tcPr>
            <w:tcW w:w="584" w:type="pct"/>
            <w:shd w:val="clear" w:color="auto" w:fill="FFFFFF"/>
            <w:vAlign w:val="center"/>
          </w:tcPr>
          <w:p w14:paraId="68682D7E" w14:textId="171D0C61" w:rsidR="00BC7A1B" w:rsidRPr="006D19B0" w:rsidRDefault="00BC7A1B" w:rsidP="00BC7A1B">
            <w:pPr>
              <w:pStyle w:val="CETBodytext"/>
              <w:ind w:right="-1"/>
              <w:rPr>
                <w:rFonts w:cs="Arial"/>
                <w:szCs w:val="18"/>
                <w:lang w:val="en-GB"/>
              </w:rPr>
            </w:pPr>
            <w:r w:rsidRPr="006D19B0">
              <w:rPr>
                <w:rFonts w:cs="Arial"/>
                <w:color w:val="000000"/>
                <w:szCs w:val="18"/>
              </w:rPr>
              <w:t>48.00</w:t>
            </w:r>
          </w:p>
        </w:tc>
        <w:tc>
          <w:tcPr>
            <w:tcW w:w="584" w:type="pct"/>
            <w:shd w:val="clear" w:color="auto" w:fill="FFFFFF"/>
            <w:vAlign w:val="center"/>
          </w:tcPr>
          <w:p w14:paraId="7FA6349A" w14:textId="5070B496" w:rsidR="00BC7A1B" w:rsidRPr="006D19B0" w:rsidRDefault="00BC7A1B" w:rsidP="00BC7A1B">
            <w:pPr>
              <w:pStyle w:val="CETBodytext"/>
              <w:ind w:right="-1"/>
              <w:rPr>
                <w:rFonts w:cs="Arial"/>
                <w:szCs w:val="18"/>
                <w:lang w:val="en-GB"/>
              </w:rPr>
            </w:pPr>
            <w:r w:rsidRPr="006D19B0">
              <w:rPr>
                <w:rFonts w:cs="Arial"/>
                <w:color w:val="000000"/>
                <w:szCs w:val="18"/>
              </w:rPr>
              <w:t>48.20</w:t>
            </w:r>
          </w:p>
        </w:tc>
        <w:tc>
          <w:tcPr>
            <w:tcW w:w="578" w:type="pct"/>
            <w:shd w:val="clear" w:color="auto" w:fill="FFFFFF"/>
            <w:vAlign w:val="center"/>
          </w:tcPr>
          <w:p w14:paraId="263D057D" w14:textId="0ECCC60C" w:rsidR="00BC7A1B" w:rsidRPr="006D19B0" w:rsidRDefault="00BC7A1B" w:rsidP="00BC7A1B">
            <w:pPr>
              <w:pStyle w:val="CETBodytext"/>
              <w:ind w:right="-1"/>
              <w:rPr>
                <w:rFonts w:cs="Arial"/>
                <w:szCs w:val="18"/>
                <w:lang w:val="en-GB"/>
              </w:rPr>
            </w:pPr>
            <w:r w:rsidRPr="006D19B0">
              <w:rPr>
                <w:rFonts w:cs="Arial"/>
                <w:color w:val="000000"/>
                <w:szCs w:val="18"/>
              </w:rPr>
              <w:t>48.40</w:t>
            </w:r>
          </w:p>
        </w:tc>
        <w:tc>
          <w:tcPr>
            <w:tcW w:w="584" w:type="pct"/>
            <w:shd w:val="clear" w:color="auto" w:fill="FFFFFF"/>
            <w:vAlign w:val="center"/>
          </w:tcPr>
          <w:p w14:paraId="0E084489" w14:textId="60D66EE2" w:rsidR="00BC7A1B" w:rsidRPr="006D19B0" w:rsidRDefault="00BC7A1B" w:rsidP="00BC7A1B">
            <w:pPr>
              <w:pStyle w:val="CETBodytext"/>
              <w:ind w:right="-1"/>
              <w:rPr>
                <w:rFonts w:cs="Arial"/>
                <w:szCs w:val="18"/>
                <w:lang w:val="en-GB"/>
              </w:rPr>
            </w:pPr>
            <w:r w:rsidRPr="006D19B0">
              <w:rPr>
                <w:rFonts w:cs="Arial"/>
                <w:color w:val="000000"/>
                <w:szCs w:val="18"/>
              </w:rPr>
              <w:t>48.60</w:t>
            </w:r>
          </w:p>
        </w:tc>
      </w:tr>
      <w:tr w:rsidR="00BC7A1B" w:rsidRPr="00B57B36" w14:paraId="4C659425" w14:textId="77777777" w:rsidTr="00BC7A1B">
        <w:tc>
          <w:tcPr>
            <w:tcW w:w="1922" w:type="pct"/>
            <w:shd w:val="clear" w:color="auto" w:fill="FFFFFF"/>
            <w:vAlign w:val="center"/>
          </w:tcPr>
          <w:p w14:paraId="3FE3F253" w14:textId="1D68BA9B" w:rsidR="00BC7A1B" w:rsidRPr="00B57B36" w:rsidRDefault="00BC7A1B" w:rsidP="00BC7A1B">
            <w:pPr>
              <w:pStyle w:val="CETBodytext"/>
              <w:rPr>
                <w:lang w:val="en-GB"/>
              </w:rPr>
            </w:pPr>
            <w:proofErr w:type="spellStart"/>
            <w:r>
              <w:rPr>
                <w:rFonts w:cs="Arial"/>
                <w:szCs w:val="18"/>
              </w:rPr>
              <w:t>non radioactive</w:t>
            </w:r>
            <w:proofErr w:type="spellEnd"/>
            <w:r>
              <w:rPr>
                <w:rFonts w:cs="Arial"/>
                <w:szCs w:val="18"/>
              </w:rPr>
              <w:t xml:space="preserve"> waste to deposit - total</w:t>
            </w:r>
          </w:p>
        </w:tc>
        <w:tc>
          <w:tcPr>
            <w:tcW w:w="225" w:type="pct"/>
            <w:shd w:val="clear" w:color="auto" w:fill="FFFFFF"/>
            <w:vAlign w:val="center"/>
          </w:tcPr>
          <w:p w14:paraId="26D43FAF" w14:textId="55CB925E"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379BD4C5" w14:textId="7DBAF39D"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703E6C3F" w14:textId="0820DB94"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25CB8F32" w14:textId="6F9474E2"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0D4130A2" w14:textId="2D55042E"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18F3648F" w14:textId="318E18C7"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6800E1FD" w14:textId="77777777" w:rsidTr="00BC7A1B">
        <w:tc>
          <w:tcPr>
            <w:tcW w:w="1922" w:type="pct"/>
            <w:shd w:val="clear" w:color="auto" w:fill="FFFFFF"/>
            <w:vAlign w:val="center"/>
          </w:tcPr>
          <w:p w14:paraId="6FF1333E" w14:textId="33594962" w:rsidR="00BC7A1B" w:rsidRPr="00B57B36" w:rsidRDefault="00BC7A1B" w:rsidP="00BC7A1B">
            <w:pPr>
              <w:pStyle w:val="CETBodytext"/>
              <w:rPr>
                <w:lang w:val="en-GB"/>
              </w:rPr>
            </w:pPr>
            <w:r>
              <w:rPr>
                <w:rFonts w:cs="Arial"/>
                <w:szCs w:val="18"/>
              </w:rPr>
              <w:t>ozone layer depletion - total</w:t>
            </w:r>
          </w:p>
        </w:tc>
        <w:tc>
          <w:tcPr>
            <w:tcW w:w="225" w:type="pct"/>
            <w:shd w:val="clear" w:color="auto" w:fill="FFFFFF"/>
            <w:vAlign w:val="center"/>
          </w:tcPr>
          <w:p w14:paraId="1347CFA1" w14:textId="03610C32"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44F521F0" w14:textId="7F239EFD" w:rsidR="00BC7A1B" w:rsidRPr="006D19B0" w:rsidRDefault="00BC7A1B" w:rsidP="00BC7A1B">
            <w:pPr>
              <w:pStyle w:val="CETBodytext"/>
              <w:rPr>
                <w:lang w:val="en-GB"/>
              </w:rPr>
            </w:pPr>
            <w:r w:rsidRPr="006D19B0">
              <w:rPr>
                <w:rFonts w:cs="Arial"/>
                <w:color w:val="000000"/>
                <w:szCs w:val="18"/>
              </w:rPr>
              <w:t>1.34</w:t>
            </w:r>
            <w:r w:rsidR="00A21792"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0B23D4D9" w14:textId="6B71CA45" w:rsidR="00BC7A1B" w:rsidRPr="006D19B0" w:rsidRDefault="00BC7A1B" w:rsidP="00BC7A1B">
            <w:pPr>
              <w:pStyle w:val="CETBodytext"/>
              <w:ind w:right="-1"/>
              <w:rPr>
                <w:rFonts w:cs="Arial"/>
                <w:szCs w:val="18"/>
                <w:lang w:val="en-GB"/>
              </w:rPr>
            </w:pPr>
            <w:r w:rsidRPr="006D19B0">
              <w:rPr>
                <w:rFonts w:cs="Arial"/>
                <w:color w:val="000000"/>
                <w:szCs w:val="18"/>
              </w:rPr>
              <w:t>1.34</w:t>
            </w:r>
            <w:r w:rsidR="00A21792"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78A94871" w14:textId="7BBD7A65" w:rsidR="00BC7A1B" w:rsidRPr="006D19B0" w:rsidRDefault="00BC7A1B" w:rsidP="00BC7A1B">
            <w:pPr>
              <w:pStyle w:val="CETBodytext"/>
              <w:ind w:right="-1"/>
              <w:rPr>
                <w:rFonts w:cs="Arial"/>
                <w:szCs w:val="18"/>
                <w:lang w:val="en-GB"/>
              </w:rPr>
            </w:pPr>
            <w:r w:rsidRPr="006D19B0">
              <w:rPr>
                <w:rFonts w:cs="Arial"/>
                <w:color w:val="000000"/>
                <w:szCs w:val="18"/>
              </w:rPr>
              <w:t>1.35</w:t>
            </w:r>
            <w:r w:rsidR="00A21792" w:rsidRPr="006D19B0">
              <w:rPr>
                <w:rFonts w:cs="Arial"/>
                <w:color w:val="000000"/>
                <w:szCs w:val="18"/>
              </w:rPr>
              <w:t>*10^</w:t>
            </w:r>
            <w:r w:rsidRPr="006D19B0">
              <w:rPr>
                <w:rFonts w:cs="Arial"/>
                <w:color w:val="000000"/>
                <w:szCs w:val="18"/>
              </w:rPr>
              <w:t>4</w:t>
            </w:r>
          </w:p>
        </w:tc>
        <w:tc>
          <w:tcPr>
            <w:tcW w:w="578" w:type="pct"/>
            <w:shd w:val="clear" w:color="auto" w:fill="FFFFFF"/>
            <w:vAlign w:val="center"/>
          </w:tcPr>
          <w:p w14:paraId="114D1F6C" w14:textId="066B3ABA" w:rsidR="00BC7A1B" w:rsidRPr="006D19B0" w:rsidRDefault="00BC7A1B" w:rsidP="00BC7A1B">
            <w:pPr>
              <w:pStyle w:val="CETBodytext"/>
              <w:ind w:right="-1"/>
              <w:rPr>
                <w:rFonts w:cs="Arial"/>
                <w:szCs w:val="18"/>
                <w:lang w:val="en-GB"/>
              </w:rPr>
            </w:pPr>
            <w:r w:rsidRPr="006D19B0">
              <w:rPr>
                <w:rFonts w:cs="Arial"/>
                <w:color w:val="000000"/>
                <w:szCs w:val="18"/>
              </w:rPr>
              <w:t>1.36</w:t>
            </w:r>
            <w:r w:rsidR="00E92713"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56BB3C30" w14:textId="31D4CE82" w:rsidR="00BC7A1B" w:rsidRPr="006D19B0" w:rsidRDefault="00BC7A1B" w:rsidP="00BC7A1B">
            <w:pPr>
              <w:pStyle w:val="CETBodytext"/>
              <w:ind w:right="-1"/>
              <w:rPr>
                <w:rFonts w:cs="Arial"/>
                <w:szCs w:val="18"/>
                <w:lang w:val="en-GB"/>
              </w:rPr>
            </w:pPr>
            <w:r w:rsidRPr="006D19B0">
              <w:rPr>
                <w:rFonts w:cs="Arial"/>
                <w:color w:val="000000"/>
                <w:szCs w:val="18"/>
              </w:rPr>
              <w:t>1.37</w:t>
            </w:r>
            <w:r w:rsidR="00E92713" w:rsidRPr="006D19B0">
              <w:rPr>
                <w:rFonts w:cs="Arial"/>
                <w:color w:val="000000"/>
                <w:szCs w:val="18"/>
              </w:rPr>
              <w:t>*10^</w:t>
            </w:r>
            <w:r w:rsidRPr="006D19B0">
              <w:rPr>
                <w:rFonts w:cs="Arial"/>
                <w:color w:val="000000"/>
                <w:szCs w:val="18"/>
              </w:rPr>
              <w:t>4</w:t>
            </w:r>
          </w:p>
        </w:tc>
      </w:tr>
      <w:tr w:rsidR="00BC7A1B" w:rsidRPr="00B57B36" w14:paraId="35EE92DD" w14:textId="77777777" w:rsidTr="00BC7A1B">
        <w:tc>
          <w:tcPr>
            <w:tcW w:w="1922" w:type="pct"/>
            <w:shd w:val="clear" w:color="auto" w:fill="FFFFFF"/>
            <w:vAlign w:val="center"/>
          </w:tcPr>
          <w:p w14:paraId="30365AEB" w14:textId="7C4FBCA5" w:rsidR="00BC7A1B" w:rsidRPr="00B57B36" w:rsidRDefault="00BC7A1B" w:rsidP="00BC7A1B">
            <w:pPr>
              <w:pStyle w:val="CETBodytext"/>
              <w:rPr>
                <w:lang w:val="en-GB"/>
              </w:rPr>
            </w:pPr>
            <w:r>
              <w:rPr>
                <w:rFonts w:cs="Arial"/>
                <w:szCs w:val="18"/>
              </w:rPr>
              <w:t>pesticides into soil - total</w:t>
            </w:r>
          </w:p>
        </w:tc>
        <w:tc>
          <w:tcPr>
            <w:tcW w:w="225" w:type="pct"/>
            <w:shd w:val="clear" w:color="auto" w:fill="FFFFFF"/>
            <w:vAlign w:val="center"/>
          </w:tcPr>
          <w:p w14:paraId="304AAB4F" w14:textId="1A04F7FC"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3B9AC98B" w14:textId="4BAA43B5"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3C32BD27" w14:textId="5DF44354"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018F4AFA" w14:textId="7EC7DFC7"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713C0912" w14:textId="54E0D592"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2734F6D8" w14:textId="506E1AAE"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19AFA969" w14:textId="77777777" w:rsidTr="00BC7A1B">
        <w:tc>
          <w:tcPr>
            <w:tcW w:w="1922" w:type="pct"/>
            <w:shd w:val="clear" w:color="auto" w:fill="FFFFFF"/>
            <w:vAlign w:val="center"/>
          </w:tcPr>
          <w:p w14:paraId="1C84EC53" w14:textId="2B025A7B" w:rsidR="00BC7A1B" w:rsidRPr="00B57B36" w:rsidRDefault="00BC7A1B" w:rsidP="00BC7A1B">
            <w:pPr>
              <w:pStyle w:val="CETBodytext"/>
              <w:rPr>
                <w:lang w:val="en-GB"/>
              </w:rPr>
            </w:pPr>
            <w:r>
              <w:rPr>
                <w:rFonts w:cs="Arial"/>
                <w:szCs w:val="18"/>
              </w:rPr>
              <w:t>POP into water - total</w:t>
            </w:r>
          </w:p>
        </w:tc>
        <w:tc>
          <w:tcPr>
            <w:tcW w:w="225" w:type="pct"/>
            <w:shd w:val="clear" w:color="auto" w:fill="FFFFFF"/>
            <w:vAlign w:val="center"/>
          </w:tcPr>
          <w:p w14:paraId="326ADCEF" w14:textId="1455EF49"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48AA79D1" w14:textId="08B5FF38" w:rsidR="00BC7A1B" w:rsidRPr="006D19B0" w:rsidRDefault="00BC7A1B" w:rsidP="00BC7A1B">
            <w:pPr>
              <w:pStyle w:val="CETBodytext"/>
              <w:rPr>
                <w:lang w:val="en-GB"/>
              </w:rPr>
            </w:pPr>
            <w:r w:rsidRPr="006D19B0">
              <w:rPr>
                <w:rFonts w:cs="Arial"/>
                <w:color w:val="000000"/>
                <w:szCs w:val="18"/>
              </w:rPr>
              <w:t>5.1</w:t>
            </w:r>
            <w:r w:rsidR="00A21792"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4F101B38" w14:textId="7D85512A" w:rsidR="00BC7A1B" w:rsidRPr="006D19B0" w:rsidRDefault="00BC7A1B" w:rsidP="00BC7A1B">
            <w:pPr>
              <w:pStyle w:val="CETBodytext"/>
              <w:ind w:right="-1"/>
              <w:rPr>
                <w:rFonts w:cs="Arial"/>
                <w:szCs w:val="18"/>
                <w:lang w:val="en-GB"/>
              </w:rPr>
            </w:pPr>
            <w:r w:rsidRPr="006D19B0">
              <w:rPr>
                <w:rFonts w:cs="Arial"/>
                <w:color w:val="000000"/>
                <w:szCs w:val="18"/>
              </w:rPr>
              <w:t>5.7</w:t>
            </w:r>
            <w:r w:rsidR="00A21792"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37F11A72" w14:textId="32E85FE7" w:rsidR="00BC7A1B" w:rsidRPr="006D19B0" w:rsidRDefault="00BC7A1B" w:rsidP="00BC7A1B">
            <w:pPr>
              <w:pStyle w:val="CETBodytext"/>
              <w:ind w:right="-1"/>
              <w:rPr>
                <w:rFonts w:cs="Arial"/>
                <w:szCs w:val="18"/>
                <w:lang w:val="en-GB"/>
              </w:rPr>
            </w:pPr>
            <w:r w:rsidRPr="006D19B0">
              <w:rPr>
                <w:rFonts w:cs="Arial"/>
                <w:color w:val="000000"/>
                <w:szCs w:val="18"/>
              </w:rPr>
              <w:t>6.3</w:t>
            </w:r>
            <w:r w:rsidR="00A21792" w:rsidRPr="006D19B0">
              <w:rPr>
                <w:rFonts w:cs="Arial"/>
                <w:color w:val="000000"/>
                <w:szCs w:val="18"/>
              </w:rPr>
              <w:t>*10^</w:t>
            </w:r>
            <w:r w:rsidRPr="006D19B0">
              <w:rPr>
                <w:rFonts w:cs="Arial"/>
                <w:color w:val="000000"/>
                <w:szCs w:val="18"/>
              </w:rPr>
              <w:t>-4</w:t>
            </w:r>
          </w:p>
        </w:tc>
        <w:tc>
          <w:tcPr>
            <w:tcW w:w="578" w:type="pct"/>
            <w:shd w:val="clear" w:color="auto" w:fill="FFFFFF"/>
            <w:vAlign w:val="center"/>
          </w:tcPr>
          <w:p w14:paraId="37905EDB" w14:textId="797DE512" w:rsidR="00BC7A1B" w:rsidRPr="006D19B0" w:rsidRDefault="00BC7A1B" w:rsidP="00BC7A1B">
            <w:pPr>
              <w:pStyle w:val="CETBodytext"/>
              <w:ind w:right="-1"/>
              <w:rPr>
                <w:rFonts w:cs="Arial"/>
                <w:szCs w:val="18"/>
                <w:lang w:val="en-GB"/>
              </w:rPr>
            </w:pPr>
            <w:r w:rsidRPr="006D19B0">
              <w:rPr>
                <w:rFonts w:cs="Arial"/>
                <w:color w:val="000000"/>
                <w:szCs w:val="18"/>
              </w:rPr>
              <w:t>6.9</w:t>
            </w:r>
            <w:r w:rsidR="00E92713"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3893D06D" w14:textId="2DE33C04" w:rsidR="00BC7A1B" w:rsidRPr="006D19B0" w:rsidRDefault="00BC7A1B" w:rsidP="00BC7A1B">
            <w:pPr>
              <w:pStyle w:val="CETBodytext"/>
              <w:ind w:right="-1"/>
              <w:rPr>
                <w:rFonts w:cs="Arial"/>
                <w:szCs w:val="18"/>
                <w:lang w:val="en-GB"/>
              </w:rPr>
            </w:pPr>
            <w:r w:rsidRPr="006D19B0">
              <w:rPr>
                <w:rFonts w:cs="Arial"/>
                <w:color w:val="000000"/>
                <w:szCs w:val="18"/>
              </w:rPr>
              <w:t>7.5</w:t>
            </w:r>
            <w:r w:rsidR="00E92713" w:rsidRPr="006D19B0">
              <w:rPr>
                <w:rFonts w:cs="Arial"/>
                <w:color w:val="000000"/>
                <w:szCs w:val="18"/>
              </w:rPr>
              <w:t>*10^</w:t>
            </w:r>
            <w:r w:rsidRPr="006D19B0">
              <w:rPr>
                <w:rFonts w:cs="Arial"/>
                <w:color w:val="000000"/>
                <w:szCs w:val="18"/>
              </w:rPr>
              <w:t>-4</w:t>
            </w:r>
          </w:p>
        </w:tc>
      </w:tr>
      <w:tr w:rsidR="00BC7A1B" w:rsidRPr="00B57B36" w14:paraId="753B0794" w14:textId="77777777" w:rsidTr="00BC7A1B">
        <w:tc>
          <w:tcPr>
            <w:tcW w:w="1922" w:type="pct"/>
            <w:shd w:val="clear" w:color="auto" w:fill="FFFFFF"/>
            <w:vAlign w:val="center"/>
          </w:tcPr>
          <w:p w14:paraId="0302E363" w14:textId="553AC829" w:rsidR="00BC7A1B" w:rsidRPr="00B57B36" w:rsidRDefault="00BC7A1B" w:rsidP="00BC7A1B">
            <w:pPr>
              <w:pStyle w:val="CETBodytext"/>
              <w:rPr>
                <w:lang w:val="en-GB"/>
              </w:rPr>
            </w:pPr>
            <w:r>
              <w:rPr>
                <w:rFonts w:cs="Arial"/>
                <w:szCs w:val="18"/>
              </w:rPr>
              <w:t>radioactive substances into air - total</w:t>
            </w:r>
          </w:p>
        </w:tc>
        <w:tc>
          <w:tcPr>
            <w:tcW w:w="225" w:type="pct"/>
            <w:shd w:val="clear" w:color="auto" w:fill="FFFFFF"/>
            <w:vAlign w:val="center"/>
          </w:tcPr>
          <w:p w14:paraId="20D9EFF5" w14:textId="4B1DC1EF"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63D75D2D" w14:textId="0836FE2A" w:rsidR="00BC7A1B" w:rsidRPr="006D19B0" w:rsidRDefault="00BC7A1B" w:rsidP="00BC7A1B">
            <w:pPr>
              <w:pStyle w:val="CETBodytext"/>
              <w:rPr>
                <w:lang w:val="en-GB"/>
              </w:rPr>
            </w:pPr>
            <w:r w:rsidRPr="006D19B0">
              <w:rPr>
                <w:rFonts w:cs="Arial"/>
                <w:color w:val="000000"/>
                <w:szCs w:val="18"/>
              </w:rPr>
              <w:t>2.5</w:t>
            </w:r>
            <w:r w:rsidR="00A21792" w:rsidRPr="006D19B0">
              <w:rPr>
                <w:rFonts w:cs="Arial"/>
                <w:color w:val="000000"/>
                <w:szCs w:val="18"/>
              </w:rPr>
              <w:t>*10^</w:t>
            </w:r>
            <w:r w:rsidRPr="006D19B0">
              <w:rPr>
                <w:rFonts w:cs="Arial"/>
                <w:color w:val="000000"/>
                <w:szCs w:val="18"/>
              </w:rPr>
              <w:t>-4</w:t>
            </w:r>
          </w:p>
        </w:tc>
        <w:tc>
          <w:tcPr>
            <w:tcW w:w="584" w:type="pct"/>
            <w:shd w:val="clear" w:color="auto" w:fill="FFFFFF"/>
            <w:vAlign w:val="center"/>
          </w:tcPr>
          <w:p w14:paraId="581E69A7" w14:textId="71106A62" w:rsidR="00BC7A1B" w:rsidRPr="006D19B0" w:rsidRDefault="00BC7A1B" w:rsidP="00BC7A1B">
            <w:pPr>
              <w:pStyle w:val="CETBodytext"/>
              <w:ind w:right="-1"/>
              <w:rPr>
                <w:rFonts w:cs="Arial"/>
                <w:szCs w:val="18"/>
                <w:lang w:val="en-GB"/>
              </w:rPr>
            </w:pPr>
            <w:r w:rsidRPr="006D19B0">
              <w:rPr>
                <w:rFonts w:cs="Arial"/>
                <w:color w:val="000000"/>
                <w:szCs w:val="18"/>
              </w:rPr>
              <w:t>5.95</w:t>
            </w:r>
            <w:r w:rsidR="00A21792" w:rsidRPr="006D19B0">
              <w:rPr>
                <w:rFonts w:cs="Arial"/>
                <w:color w:val="000000"/>
                <w:szCs w:val="18"/>
              </w:rPr>
              <w:t>*10^</w:t>
            </w:r>
            <w:r w:rsidRPr="006D19B0">
              <w:rPr>
                <w:rFonts w:cs="Arial"/>
                <w:color w:val="000000"/>
                <w:szCs w:val="18"/>
              </w:rPr>
              <w:t>-6</w:t>
            </w:r>
          </w:p>
        </w:tc>
        <w:tc>
          <w:tcPr>
            <w:tcW w:w="584" w:type="pct"/>
            <w:shd w:val="clear" w:color="auto" w:fill="FFFFFF"/>
            <w:vAlign w:val="center"/>
          </w:tcPr>
          <w:p w14:paraId="21C8117F" w14:textId="6E9FC65A" w:rsidR="00BC7A1B" w:rsidRPr="006D19B0" w:rsidRDefault="00BC7A1B" w:rsidP="00BC7A1B">
            <w:pPr>
              <w:pStyle w:val="CETBodytext"/>
              <w:ind w:right="-1"/>
              <w:rPr>
                <w:rFonts w:cs="Arial"/>
                <w:szCs w:val="18"/>
                <w:lang w:val="en-GB"/>
              </w:rPr>
            </w:pPr>
            <w:r w:rsidRPr="006D19B0">
              <w:rPr>
                <w:rFonts w:cs="Arial"/>
                <w:color w:val="000000"/>
                <w:szCs w:val="18"/>
              </w:rPr>
              <w:t>1.19</w:t>
            </w:r>
            <w:r w:rsidR="00A21792" w:rsidRPr="006D19B0">
              <w:rPr>
                <w:rFonts w:cs="Arial"/>
                <w:color w:val="000000"/>
                <w:szCs w:val="18"/>
              </w:rPr>
              <w:t>*10^</w:t>
            </w:r>
            <w:r w:rsidRPr="006D19B0">
              <w:rPr>
                <w:rFonts w:cs="Arial"/>
                <w:color w:val="000000"/>
                <w:szCs w:val="18"/>
              </w:rPr>
              <w:t>-5</w:t>
            </w:r>
          </w:p>
        </w:tc>
        <w:tc>
          <w:tcPr>
            <w:tcW w:w="578" w:type="pct"/>
            <w:shd w:val="clear" w:color="auto" w:fill="FFFFFF"/>
            <w:vAlign w:val="center"/>
          </w:tcPr>
          <w:p w14:paraId="13540936" w14:textId="416168B9" w:rsidR="00BC7A1B" w:rsidRPr="006D19B0" w:rsidRDefault="00BC7A1B" w:rsidP="00BC7A1B">
            <w:pPr>
              <w:pStyle w:val="CETBodytext"/>
              <w:ind w:right="-1"/>
              <w:rPr>
                <w:rFonts w:cs="Arial"/>
                <w:szCs w:val="18"/>
                <w:lang w:val="en-GB"/>
              </w:rPr>
            </w:pPr>
            <w:r w:rsidRPr="006D19B0">
              <w:rPr>
                <w:rFonts w:cs="Arial"/>
                <w:color w:val="000000"/>
                <w:szCs w:val="18"/>
              </w:rPr>
              <w:t>1.79</w:t>
            </w:r>
            <w:r w:rsidR="00E92713" w:rsidRPr="006D19B0">
              <w:rPr>
                <w:rFonts w:cs="Arial"/>
                <w:color w:val="000000"/>
                <w:szCs w:val="18"/>
              </w:rPr>
              <w:t>*10^</w:t>
            </w:r>
            <w:r w:rsidRPr="006D19B0">
              <w:rPr>
                <w:rFonts w:cs="Arial"/>
                <w:color w:val="000000"/>
                <w:szCs w:val="18"/>
              </w:rPr>
              <w:t>-5</w:t>
            </w:r>
          </w:p>
        </w:tc>
        <w:tc>
          <w:tcPr>
            <w:tcW w:w="584" w:type="pct"/>
            <w:shd w:val="clear" w:color="auto" w:fill="FFFFFF"/>
            <w:vAlign w:val="center"/>
          </w:tcPr>
          <w:p w14:paraId="19F20874" w14:textId="3A738EA7" w:rsidR="00BC7A1B" w:rsidRPr="006D19B0" w:rsidRDefault="00BC7A1B" w:rsidP="00BC7A1B">
            <w:pPr>
              <w:pStyle w:val="CETBodytext"/>
              <w:ind w:right="-1"/>
              <w:rPr>
                <w:rFonts w:cs="Arial"/>
                <w:szCs w:val="18"/>
                <w:lang w:val="en-GB"/>
              </w:rPr>
            </w:pPr>
            <w:r w:rsidRPr="006D19B0">
              <w:rPr>
                <w:rFonts w:cs="Arial"/>
                <w:color w:val="000000"/>
                <w:szCs w:val="18"/>
              </w:rPr>
              <w:t>2.38</w:t>
            </w:r>
            <w:r w:rsidR="00E92713" w:rsidRPr="006D19B0">
              <w:rPr>
                <w:rFonts w:cs="Arial"/>
                <w:color w:val="000000"/>
                <w:szCs w:val="18"/>
              </w:rPr>
              <w:t>*10^</w:t>
            </w:r>
            <w:r w:rsidRPr="006D19B0">
              <w:rPr>
                <w:rFonts w:cs="Arial"/>
                <w:color w:val="000000"/>
                <w:szCs w:val="18"/>
              </w:rPr>
              <w:t>-5</w:t>
            </w:r>
          </w:p>
        </w:tc>
      </w:tr>
      <w:tr w:rsidR="00BC7A1B" w:rsidRPr="00B57B36" w14:paraId="512933DD" w14:textId="77777777" w:rsidTr="00BC7A1B">
        <w:tc>
          <w:tcPr>
            <w:tcW w:w="1922" w:type="pct"/>
            <w:shd w:val="clear" w:color="auto" w:fill="FFFFFF"/>
            <w:vAlign w:val="center"/>
          </w:tcPr>
          <w:p w14:paraId="27CDFAF7" w14:textId="0F4988AD" w:rsidR="00BC7A1B" w:rsidRPr="00B57B36" w:rsidRDefault="00BC7A1B" w:rsidP="00BC7A1B">
            <w:pPr>
              <w:pStyle w:val="CETBodytext"/>
              <w:rPr>
                <w:lang w:val="en-GB"/>
              </w:rPr>
            </w:pPr>
            <w:r>
              <w:rPr>
                <w:rFonts w:cs="Arial"/>
                <w:szCs w:val="18"/>
              </w:rPr>
              <w:t>radioactive substances into water - total</w:t>
            </w:r>
          </w:p>
        </w:tc>
        <w:tc>
          <w:tcPr>
            <w:tcW w:w="225" w:type="pct"/>
            <w:shd w:val="clear" w:color="auto" w:fill="FFFFFF"/>
            <w:vAlign w:val="center"/>
          </w:tcPr>
          <w:p w14:paraId="2421A322" w14:textId="130D11EB"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397C1B2E" w14:textId="77751944"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692B86A8" w14:textId="62574F0B"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45D9B7CB" w14:textId="4A805740"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4C6CBBA4" w14:textId="38A00E90"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026754B4" w14:textId="6F5B7BC2"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0862FEBF" w14:textId="77777777" w:rsidTr="00BC7A1B">
        <w:tc>
          <w:tcPr>
            <w:tcW w:w="1922" w:type="pct"/>
            <w:shd w:val="clear" w:color="auto" w:fill="FFFFFF"/>
            <w:vAlign w:val="center"/>
          </w:tcPr>
          <w:p w14:paraId="34B78127" w14:textId="23A7AC54" w:rsidR="00BC7A1B" w:rsidRPr="00B57B36" w:rsidRDefault="00BC7A1B" w:rsidP="00BC7A1B">
            <w:pPr>
              <w:pStyle w:val="CETBodytext"/>
              <w:rPr>
                <w:lang w:val="en-GB"/>
              </w:rPr>
            </w:pPr>
            <w:r>
              <w:rPr>
                <w:rFonts w:cs="Arial"/>
                <w:szCs w:val="18"/>
              </w:rPr>
              <w:t>radioactive waste to deposit - total</w:t>
            </w:r>
          </w:p>
        </w:tc>
        <w:tc>
          <w:tcPr>
            <w:tcW w:w="225" w:type="pct"/>
            <w:shd w:val="clear" w:color="auto" w:fill="FFFFFF"/>
            <w:vAlign w:val="center"/>
          </w:tcPr>
          <w:p w14:paraId="7EE273CE" w14:textId="728AC6E3"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5081A058" w14:textId="50FCF165" w:rsidR="00BC7A1B" w:rsidRPr="006D19B0" w:rsidRDefault="00BC7A1B" w:rsidP="00BC7A1B">
            <w:pPr>
              <w:pStyle w:val="CETBodytext"/>
              <w:rPr>
                <w:lang w:val="en-GB"/>
              </w:rPr>
            </w:pPr>
            <w:r w:rsidRPr="006D19B0">
              <w:rPr>
                <w:rFonts w:cs="Arial"/>
                <w:color w:val="000000"/>
                <w:szCs w:val="18"/>
              </w:rPr>
              <w:t>0</w:t>
            </w:r>
          </w:p>
        </w:tc>
        <w:tc>
          <w:tcPr>
            <w:tcW w:w="584" w:type="pct"/>
            <w:shd w:val="clear" w:color="auto" w:fill="FFFFFF"/>
            <w:vAlign w:val="center"/>
          </w:tcPr>
          <w:p w14:paraId="17F12936" w14:textId="12C57E25"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19C6BCE9" w14:textId="3D850BBC"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78" w:type="pct"/>
            <w:shd w:val="clear" w:color="auto" w:fill="FFFFFF"/>
            <w:vAlign w:val="center"/>
          </w:tcPr>
          <w:p w14:paraId="7849E446" w14:textId="34201146" w:rsidR="00BC7A1B" w:rsidRPr="006D19B0" w:rsidRDefault="00BC7A1B" w:rsidP="00BC7A1B">
            <w:pPr>
              <w:pStyle w:val="CETBodytext"/>
              <w:ind w:right="-1"/>
              <w:rPr>
                <w:rFonts w:cs="Arial"/>
                <w:szCs w:val="18"/>
                <w:lang w:val="en-GB"/>
              </w:rPr>
            </w:pPr>
            <w:r w:rsidRPr="006D19B0">
              <w:rPr>
                <w:rFonts w:cs="Arial"/>
                <w:color w:val="000000"/>
                <w:szCs w:val="18"/>
              </w:rPr>
              <w:t>0</w:t>
            </w:r>
          </w:p>
        </w:tc>
        <w:tc>
          <w:tcPr>
            <w:tcW w:w="584" w:type="pct"/>
            <w:shd w:val="clear" w:color="auto" w:fill="FFFFFF"/>
            <w:vAlign w:val="center"/>
          </w:tcPr>
          <w:p w14:paraId="45C74305" w14:textId="4D438C6F" w:rsidR="00BC7A1B" w:rsidRPr="006D19B0" w:rsidRDefault="00BC7A1B" w:rsidP="00BC7A1B">
            <w:pPr>
              <w:pStyle w:val="CETBodytext"/>
              <w:ind w:right="-1"/>
              <w:rPr>
                <w:rFonts w:cs="Arial"/>
                <w:szCs w:val="18"/>
                <w:lang w:val="en-GB"/>
              </w:rPr>
            </w:pPr>
            <w:r w:rsidRPr="006D19B0">
              <w:rPr>
                <w:rFonts w:cs="Arial"/>
                <w:color w:val="000000"/>
                <w:szCs w:val="18"/>
              </w:rPr>
              <w:t>0</w:t>
            </w:r>
          </w:p>
        </w:tc>
      </w:tr>
      <w:tr w:rsidR="00BC7A1B" w:rsidRPr="00B57B36" w14:paraId="193EF047" w14:textId="77777777" w:rsidTr="00BC7A1B">
        <w:tc>
          <w:tcPr>
            <w:tcW w:w="1922" w:type="pct"/>
            <w:shd w:val="clear" w:color="auto" w:fill="FFFFFF"/>
            <w:vAlign w:val="center"/>
          </w:tcPr>
          <w:p w14:paraId="58D39663" w14:textId="336F6EA5" w:rsidR="00BC7A1B" w:rsidRPr="00B57B36" w:rsidRDefault="00BC7A1B" w:rsidP="00BC7A1B">
            <w:pPr>
              <w:pStyle w:val="CETBodytext"/>
              <w:rPr>
                <w:lang w:val="en-GB"/>
              </w:rPr>
            </w:pPr>
            <w:r>
              <w:rPr>
                <w:rFonts w:cs="Arial"/>
                <w:szCs w:val="18"/>
              </w:rPr>
              <w:t>total - total</w:t>
            </w:r>
          </w:p>
        </w:tc>
        <w:tc>
          <w:tcPr>
            <w:tcW w:w="225" w:type="pct"/>
            <w:shd w:val="clear" w:color="auto" w:fill="FFFFFF"/>
            <w:vAlign w:val="center"/>
          </w:tcPr>
          <w:p w14:paraId="483D4C39" w14:textId="54F46E22"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72A21500" w14:textId="5548B002" w:rsidR="00BC7A1B" w:rsidRPr="006D19B0" w:rsidRDefault="00BC7A1B" w:rsidP="00BC7A1B">
            <w:pPr>
              <w:pStyle w:val="CETBodytext"/>
              <w:rPr>
                <w:lang w:val="en-GB"/>
              </w:rPr>
            </w:pPr>
            <w:r w:rsidRPr="006D19B0">
              <w:rPr>
                <w:rFonts w:cs="Arial"/>
                <w:color w:val="000000"/>
                <w:szCs w:val="18"/>
              </w:rPr>
              <w:t>1.51</w:t>
            </w:r>
            <w:r w:rsidR="00A21792" w:rsidRPr="006D19B0">
              <w:rPr>
                <w:rFonts w:cs="Arial"/>
                <w:color w:val="000000"/>
                <w:szCs w:val="18"/>
              </w:rPr>
              <w:t>*10^</w:t>
            </w:r>
            <w:r w:rsidRPr="006D19B0">
              <w:rPr>
                <w:rFonts w:cs="Arial"/>
                <w:color w:val="000000"/>
                <w:szCs w:val="18"/>
              </w:rPr>
              <w:t>6</w:t>
            </w:r>
          </w:p>
        </w:tc>
        <w:tc>
          <w:tcPr>
            <w:tcW w:w="584" w:type="pct"/>
            <w:shd w:val="clear" w:color="auto" w:fill="FFFFFF"/>
            <w:vAlign w:val="center"/>
          </w:tcPr>
          <w:p w14:paraId="4F0C893A" w14:textId="196C60E8" w:rsidR="00BC7A1B" w:rsidRPr="006D19B0" w:rsidRDefault="00BC7A1B" w:rsidP="00BC7A1B">
            <w:pPr>
              <w:pStyle w:val="CETBodytext"/>
              <w:ind w:right="-1"/>
              <w:rPr>
                <w:rFonts w:cs="Arial"/>
                <w:szCs w:val="18"/>
                <w:lang w:val="en-GB"/>
              </w:rPr>
            </w:pPr>
            <w:r w:rsidRPr="006D19B0">
              <w:rPr>
                <w:rFonts w:cs="Arial"/>
                <w:color w:val="000000"/>
                <w:szCs w:val="18"/>
              </w:rPr>
              <w:t>1.40</w:t>
            </w:r>
            <w:r w:rsidR="00A21792" w:rsidRPr="006D19B0">
              <w:rPr>
                <w:rFonts w:cs="Arial"/>
                <w:color w:val="000000"/>
                <w:szCs w:val="18"/>
              </w:rPr>
              <w:t>*10^</w:t>
            </w:r>
            <w:r w:rsidRPr="006D19B0">
              <w:rPr>
                <w:rFonts w:cs="Arial"/>
                <w:color w:val="000000"/>
                <w:szCs w:val="18"/>
              </w:rPr>
              <w:t>6</w:t>
            </w:r>
          </w:p>
        </w:tc>
        <w:tc>
          <w:tcPr>
            <w:tcW w:w="584" w:type="pct"/>
            <w:shd w:val="clear" w:color="auto" w:fill="FFFFFF"/>
            <w:vAlign w:val="center"/>
          </w:tcPr>
          <w:p w14:paraId="2EF94306" w14:textId="7F1ABA23" w:rsidR="00BC7A1B" w:rsidRPr="006D19B0" w:rsidRDefault="00BC7A1B" w:rsidP="00BC7A1B">
            <w:pPr>
              <w:pStyle w:val="CETBodytext"/>
              <w:ind w:right="-1"/>
              <w:rPr>
                <w:rFonts w:cs="Arial"/>
                <w:szCs w:val="18"/>
                <w:lang w:val="en-GB"/>
              </w:rPr>
            </w:pPr>
            <w:r w:rsidRPr="006D19B0">
              <w:rPr>
                <w:rFonts w:cs="Arial"/>
                <w:color w:val="000000"/>
                <w:szCs w:val="18"/>
              </w:rPr>
              <w:t>1.38</w:t>
            </w:r>
            <w:r w:rsidR="00A21792" w:rsidRPr="006D19B0">
              <w:rPr>
                <w:rFonts w:cs="Arial"/>
                <w:color w:val="000000"/>
                <w:szCs w:val="18"/>
              </w:rPr>
              <w:t>*10^</w:t>
            </w:r>
            <w:r w:rsidRPr="006D19B0">
              <w:rPr>
                <w:rFonts w:cs="Arial"/>
                <w:color w:val="000000"/>
                <w:szCs w:val="18"/>
              </w:rPr>
              <w:t>6</w:t>
            </w:r>
          </w:p>
        </w:tc>
        <w:tc>
          <w:tcPr>
            <w:tcW w:w="578" w:type="pct"/>
            <w:shd w:val="clear" w:color="auto" w:fill="FFFFFF"/>
            <w:vAlign w:val="center"/>
          </w:tcPr>
          <w:p w14:paraId="2B8D0590" w14:textId="0B437CCB" w:rsidR="00BC7A1B" w:rsidRPr="006D19B0" w:rsidRDefault="00BC7A1B" w:rsidP="00BC7A1B">
            <w:pPr>
              <w:pStyle w:val="CETBodytext"/>
              <w:ind w:right="-1"/>
              <w:rPr>
                <w:rFonts w:cs="Arial"/>
                <w:szCs w:val="18"/>
                <w:lang w:val="en-GB"/>
              </w:rPr>
            </w:pPr>
            <w:r w:rsidRPr="006D19B0">
              <w:rPr>
                <w:rFonts w:cs="Arial"/>
                <w:color w:val="000000"/>
                <w:szCs w:val="18"/>
              </w:rPr>
              <w:t>1.36</w:t>
            </w:r>
            <w:r w:rsidR="00E92713" w:rsidRPr="006D19B0">
              <w:rPr>
                <w:rFonts w:cs="Arial"/>
                <w:color w:val="000000"/>
                <w:szCs w:val="18"/>
              </w:rPr>
              <w:t>*10^</w:t>
            </w:r>
            <w:r w:rsidRPr="006D19B0">
              <w:rPr>
                <w:rFonts w:cs="Arial"/>
                <w:color w:val="000000"/>
                <w:szCs w:val="18"/>
              </w:rPr>
              <w:t>6</w:t>
            </w:r>
          </w:p>
        </w:tc>
        <w:tc>
          <w:tcPr>
            <w:tcW w:w="584" w:type="pct"/>
            <w:shd w:val="clear" w:color="auto" w:fill="FFFFFF"/>
            <w:vAlign w:val="center"/>
          </w:tcPr>
          <w:p w14:paraId="5C1B2A9F" w14:textId="7CC1DBCE" w:rsidR="00BC7A1B" w:rsidRPr="006D19B0" w:rsidRDefault="00BC7A1B" w:rsidP="00BC7A1B">
            <w:pPr>
              <w:pStyle w:val="CETBodytext"/>
              <w:ind w:right="-1"/>
              <w:rPr>
                <w:rFonts w:cs="Arial"/>
                <w:szCs w:val="18"/>
                <w:lang w:val="en-GB"/>
              </w:rPr>
            </w:pPr>
            <w:r w:rsidRPr="006D19B0">
              <w:rPr>
                <w:rFonts w:cs="Arial"/>
                <w:color w:val="000000"/>
                <w:szCs w:val="18"/>
              </w:rPr>
              <w:t>1.35</w:t>
            </w:r>
            <w:r w:rsidR="00E92713" w:rsidRPr="006D19B0">
              <w:rPr>
                <w:rFonts w:cs="Arial"/>
                <w:color w:val="000000"/>
                <w:szCs w:val="18"/>
              </w:rPr>
              <w:t>*10^</w:t>
            </w:r>
            <w:r w:rsidRPr="006D19B0">
              <w:rPr>
                <w:rFonts w:cs="Arial"/>
                <w:color w:val="000000"/>
                <w:szCs w:val="18"/>
              </w:rPr>
              <w:t>6</w:t>
            </w:r>
          </w:p>
        </w:tc>
      </w:tr>
      <w:tr w:rsidR="00BC7A1B" w:rsidRPr="00B57B36" w14:paraId="24E0C238" w14:textId="77777777" w:rsidTr="00BC7A1B">
        <w:tc>
          <w:tcPr>
            <w:tcW w:w="1922" w:type="pct"/>
            <w:shd w:val="clear" w:color="auto" w:fill="FFFFFF"/>
            <w:vAlign w:val="center"/>
          </w:tcPr>
          <w:p w14:paraId="1E949775" w14:textId="33A603C9" w:rsidR="00BC7A1B" w:rsidRPr="00B57B36" w:rsidRDefault="00BC7A1B" w:rsidP="00BC7A1B">
            <w:pPr>
              <w:pStyle w:val="CETBodytext"/>
              <w:rPr>
                <w:lang w:val="en-GB"/>
              </w:rPr>
            </w:pPr>
            <w:r>
              <w:rPr>
                <w:rFonts w:cs="Arial"/>
                <w:szCs w:val="18"/>
              </w:rPr>
              <w:t>water pollutants - total</w:t>
            </w:r>
          </w:p>
        </w:tc>
        <w:tc>
          <w:tcPr>
            <w:tcW w:w="225" w:type="pct"/>
            <w:shd w:val="clear" w:color="auto" w:fill="FFFFFF"/>
            <w:vAlign w:val="center"/>
          </w:tcPr>
          <w:p w14:paraId="458317CE" w14:textId="02EBF231"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51350B6F" w14:textId="30B6EFCF" w:rsidR="00BC7A1B" w:rsidRPr="006D19B0" w:rsidRDefault="00BC7A1B" w:rsidP="00BC7A1B">
            <w:pPr>
              <w:pStyle w:val="CETBodytext"/>
              <w:rPr>
                <w:lang w:val="en-GB"/>
              </w:rPr>
            </w:pPr>
            <w:r w:rsidRPr="006D19B0">
              <w:rPr>
                <w:rFonts w:cs="Arial"/>
                <w:color w:val="000000"/>
                <w:szCs w:val="18"/>
              </w:rPr>
              <w:t>7,950.55</w:t>
            </w:r>
          </w:p>
        </w:tc>
        <w:tc>
          <w:tcPr>
            <w:tcW w:w="584" w:type="pct"/>
            <w:shd w:val="clear" w:color="auto" w:fill="FFFFFF"/>
            <w:vAlign w:val="center"/>
          </w:tcPr>
          <w:p w14:paraId="7B0473BE" w14:textId="751A9FE8" w:rsidR="00BC7A1B" w:rsidRPr="006D19B0" w:rsidRDefault="00BC7A1B" w:rsidP="00BC7A1B">
            <w:pPr>
              <w:pStyle w:val="CETBodytext"/>
              <w:ind w:right="-1"/>
              <w:rPr>
                <w:rFonts w:cs="Arial"/>
                <w:szCs w:val="18"/>
                <w:lang w:val="en-GB"/>
              </w:rPr>
            </w:pPr>
            <w:r w:rsidRPr="006D19B0">
              <w:rPr>
                <w:rFonts w:cs="Arial"/>
                <w:color w:val="000000"/>
                <w:szCs w:val="18"/>
              </w:rPr>
              <w:t>7,992.78</w:t>
            </w:r>
          </w:p>
        </w:tc>
        <w:tc>
          <w:tcPr>
            <w:tcW w:w="584" w:type="pct"/>
            <w:shd w:val="clear" w:color="auto" w:fill="FFFFFF"/>
            <w:vAlign w:val="center"/>
          </w:tcPr>
          <w:p w14:paraId="74D938BB" w14:textId="1975719B" w:rsidR="00BC7A1B" w:rsidRPr="006D19B0" w:rsidRDefault="00BC7A1B" w:rsidP="00BC7A1B">
            <w:pPr>
              <w:pStyle w:val="CETBodytext"/>
              <w:ind w:right="-1"/>
              <w:rPr>
                <w:rFonts w:cs="Arial"/>
                <w:szCs w:val="18"/>
                <w:lang w:val="en-GB"/>
              </w:rPr>
            </w:pPr>
            <w:r w:rsidRPr="006D19B0">
              <w:rPr>
                <w:rFonts w:cs="Arial"/>
                <w:color w:val="000000"/>
                <w:szCs w:val="18"/>
              </w:rPr>
              <w:t>8,046.25</w:t>
            </w:r>
          </w:p>
        </w:tc>
        <w:tc>
          <w:tcPr>
            <w:tcW w:w="578" w:type="pct"/>
            <w:shd w:val="clear" w:color="auto" w:fill="FFFFFF"/>
            <w:vAlign w:val="center"/>
          </w:tcPr>
          <w:p w14:paraId="4C624FC0" w14:textId="4994178E" w:rsidR="00BC7A1B" w:rsidRPr="006D19B0" w:rsidRDefault="00BC7A1B" w:rsidP="00BC7A1B">
            <w:pPr>
              <w:pStyle w:val="CETBodytext"/>
              <w:ind w:right="-1"/>
              <w:rPr>
                <w:rFonts w:cs="Arial"/>
                <w:szCs w:val="18"/>
                <w:lang w:val="en-GB"/>
              </w:rPr>
            </w:pPr>
            <w:r w:rsidRPr="006D19B0">
              <w:rPr>
                <w:rFonts w:cs="Arial"/>
                <w:color w:val="000000"/>
                <w:szCs w:val="18"/>
              </w:rPr>
              <w:t>8,099.72</w:t>
            </w:r>
          </w:p>
        </w:tc>
        <w:tc>
          <w:tcPr>
            <w:tcW w:w="584" w:type="pct"/>
            <w:shd w:val="clear" w:color="auto" w:fill="FFFFFF"/>
            <w:vAlign w:val="center"/>
          </w:tcPr>
          <w:p w14:paraId="729A4F4A" w14:textId="51589108" w:rsidR="00BC7A1B" w:rsidRPr="006D19B0" w:rsidRDefault="00BC7A1B" w:rsidP="00BC7A1B">
            <w:pPr>
              <w:pStyle w:val="CETBodytext"/>
              <w:ind w:right="-1"/>
              <w:rPr>
                <w:rFonts w:cs="Arial"/>
                <w:szCs w:val="18"/>
                <w:lang w:val="en-GB"/>
              </w:rPr>
            </w:pPr>
            <w:r w:rsidRPr="006D19B0">
              <w:rPr>
                <w:rFonts w:cs="Arial"/>
                <w:color w:val="000000"/>
                <w:szCs w:val="18"/>
              </w:rPr>
              <w:t>8,153.19</w:t>
            </w:r>
          </w:p>
        </w:tc>
      </w:tr>
      <w:tr w:rsidR="00BC7A1B" w:rsidRPr="00B57B36" w14:paraId="4D978555" w14:textId="77777777" w:rsidTr="00BC7A1B">
        <w:tc>
          <w:tcPr>
            <w:tcW w:w="1922" w:type="pct"/>
            <w:shd w:val="clear" w:color="auto" w:fill="FFFFFF"/>
            <w:vAlign w:val="center"/>
          </w:tcPr>
          <w:p w14:paraId="5D87AD64" w14:textId="4DC0AFB4" w:rsidR="00BC7A1B" w:rsidRPr="00B57B36" w:rsidRDefault="00BC7A1B" w:rsidP="00BC7A1B">
            <w:pPr>
              <w:pStyle w:val="CETBodytext"/>
              <w:rPr>
                <w:lang w:val="en-GB"/>
              </w:rPr>
            </w:pPr>
            <w:r>
              <w:rPr>
                <w:rFonts w:cs="Arial"/>
                <w:szCs w:val="18"/>
              </w:rPr>
              <w:t>water resources - total</w:t>
            </w:r>
          </w:p>
        </w:tc>
        <w:tc>
          <w:tcPr>
            <w:tcW w:w="225" w:type="pct"/>
            <w:shd w:val="clear" w:color="auto" w:fill="FFFFFF"/>
            <w:vAlign w:val="center"/>
          </w:tcPr>
          <w:p w14:paraId="3913C75F" w14:textId="74217763" w:rsidR="00BC7A1B" w:rsidRPr="00B57B36" w:rsidRDefault="00BC7A1B" w:rsidP="00BC7A1B">
            <w:pPr>
              <w:pStyle w:val="CETBodytext"/>
              <w:rPr>
                <w:lang w:val="en-GB"/>
              </w:rPr>
            </w:pPr>
            <w:r>
              <w:rPr>
                <w:rFonts w:cs="Arial"/>
                <w:szCs w:val="18"/>
              </w:rPr>
              <w:t>UBP</w:t>
            </w:r>
          </w:p>
        </w:tc>
        <w:tc>
          <w:tcPr>
            <w:tcW w:w="524" w:type="pct"/>
            <w:shd w:val="clear" w:color="auto" w:fill="FFFFFF"/>
            <w:vAlign w:val="center"/>
          </w:tcPr>
          <w:p w14:paraId="46D44C85" w14:textId="42EDF97D" w:rsidR="00BC7A1B" w:rsidRPr="00B57B36" w:rsidRDefault="00BC7A1B" w:rsidP="00BC7A1B">
            <w:pPr>
              <w:pStyle w:val="CETBodytext"/>
              <w:rPr>
                <w:lang w:val="en-GB"/>
              </w:rPr>
            </w:pPr>
            <w:r>
              <w:rPr>
                <w:rFonts w:cs="Arial"/>
                <w:color w:val="000000"/>
                <w:szCs w:val="18"/>
              </w:rPr>
              <w:t>0</w:t>
            </w:r>
          </w:p>
        </w:tc>
        <w:tc>
          <w:tcPr>
            <w:tcW w:w="584" w:type="pct"/>
            <w:shd w:val="clear" w:color="auto" w:fill="FFFFFF"/>
            <w:vAlign w:val="center"/>
          </w:tcPr>
          <w:p w14:paraId="59886F52" w14:textId="3E89193C" w:rsidR="00BC7A1B" w:rsidRPr="00B57B36" w:rsidRDefault="00BC7A1B" w:rsidP="00BC7A1B">
            <w:pPr>
              <w:pStyle w:val="CETBodytext"/>
              <w:ind w:right="-1"/>
              <w:rPr>
                <w:rFonts w:cs="Arial"/>
                <w:szCs w:val="18"/>
                <w:lang w:val="en-GB"/>
              </w:rPr>
            </w:pPr>
            <w:r>
              <w:rPr>
                <w:rFonts w:cs="Arial"/>
                <w:color w:val="000000"/>
                <w:szCs w:val="18"/>
              </w:rPr>
              <w:t>0</w:t>
            </w:r>
          </w:p>
        </w:tc>
        <w:tc>
          <w:tcPr>
            <w:tcW w:w="584" w:type="pct"/>
            <w:shd w:val="clear" w:color="auto" w:fill="FFFFFF"/>
            <w:vAlign w:val="center"/>
          </w:tcPr>
          <w:p w14:paraId="622370EF" w14:textId="2C99F10F" w:rsidR="00BC7A1B" w:rsidRPr="00B57B36" w:rsidRDefault="00BC7A1B" w:rsidP="00BC7A1B">
            <w:pPr>
              <w:pStyle w:val="CETBodytext"/>
              <w:ind w:right="-1"/>
              <w:rPr>
                <w:rFonts w:cs="Arial"/>
                <w:szCs w:val="18"/>
                <w:lang w:val="en-GB"/>
              </w:rPr>
            </w:pPr>
            <w:r>
              <w:rPr>
                <w:rFonts w:cs="Arial"/>
                <w:color w:val="000000"/>
                <w:szCs w:val="18"/>
              </w:rPr>
              <w:t>0</w:t>
            </w:r>
          </w:p>
        </w:tc>
        <w:tc>
          <w:tcPr>
            <w:tcW w:w="578" w:type="pct"/>
            <w:shd w:val="clear" w:color="auto" w:fill="FFFFFF"/>
            <w:vAlign w:val="center"/>
          </w:tcPr>
          <w:p w14:paraId="04B059FE" w14:textId="28C19342" w:rsidR="00BC7A1B" w:rsidRDefault="00BC7A1B" w:rsidP="00BC7A1B">
            <w:pPr>
              <w:pStyle w:val="CETBodytext"/>
              <w:ind w:right="-1"/>
              <w:rPr>
                <w:rFonts w:cs="Arial"/>
                <w:szCs w:val="18"/>
                <w:lang w:val="en-GB"/>
              </w:rPr>
            </w:pPr>
            <w:r>
              <w:rPr>
                <w:rFonts w:cs="Arial"/>
                <w:color w:val="000000"/>
                <w:szCs w:val="18"/>
              </w:rPr>
              <w:t>0</w:t>
            </w:r>
          </w:p>
        </w:tc>
        <w:tc>
          <w:tcPr>
            <w:tcW w:w="584" w:type="pct"/>
            <w:shd w:val="clear" w:color="auto" w:fill="FFFFFF"/>
            <w:vAlign w:val="center"/>
          </w:tcPr>
          <w:p w14:paraId="7C791E97" w14:textId="253B1768" w:rsidR="00BC7A1B" w:rsidRDefault="00BC7A1B" w:rsidP="00BC7A1B">
            <w:pPr>
              <w:pStyle w:val="CETBodytext"/>
              <w:ind w:right="-1"/>
              <w:rPr>
                <w:rFonts w:cs="Arial"/>
                <w:szCs w:val="18"/>
                <w:lang w:val="en-GB"/>
              </w:rPr>
            </w:pPr>
            <w:r>
              <w:rPr>
                <w:rFonts w:cs="Arial"/>
                <w:color w:val="000000"/>
                <w:szCs w:val="18"/>
              </w:rPr>
              <w:t>0</w:t>
            </w:r>
          </w:p>
        </w:tc>
      </w:tr>
    </w:tbl>
    <w:p w14:paraId="24606DDB" w14:textId="77777777" w:rsidR="00BC7A1B" w:rsidRDefault="00BC7A1B" w:rsidP="00BC7A1B">
      <w:pPr>
        <w:pStyle w:val="CETBodytext"/>
        <w:rPr>
          <w:lang w:val="en-GB"/>
        </w:rPr>
      </w:pPr>
    </w:p>
    <w:p w14:paraId="72150FF0" w14:textId="77777777" w:rsidR="00BC7A1B" w:rsidRDefault="00BC7A1B" w:rsidP="00BC7A1B">
      <w:pPr>
        <w:pStyle w:val="CETBodytext"/>
        <w:keepNext/>
      </w:pPr>
      <w:r>
        <w:object w:dxaOrig="5780" w:dyaOrig="4051" w14:anchorId="71C01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292.3pt" o:ole="">
            <v:imagedata r:id="rId12" o:title=""/>
          </v:shape>
          <o:OLEObject Type="Embed" ProgID="Origin50.Graph" ShapeID="_x0000_i1025" DrawAspect="Content" ObjectID="_1815290315" r:id="rId13"/>
        </w:object>
      </w:r>
    </w:p>
    <w:p w14:paraId="2D11509E" w14:textId="77777777" w:rsidR="00BC7A1B" w:rsidRPr="008D4A33" w:rsidRDefault="00BC7A1B" w:rsidP="00BC7A1B">
      <w:pPr>
        <w:pStyle w:val="CETCaption"/>
        <w:rPr>
          <w:lang w:val="it-IT"/>
        </w:rPr>
      </w:pPr>
      <w:bookmarkStart w:id="4" w:name="_Ref190271477"/>
      <w:r w:rsidRPr="008D4A33">
        <w:rPr>
          <w:lang w:val="it-IT"/>
        </w:rPr>
        <w:t xml:space="preserve">Figure </w:t>
      </w:r>
      <w:r>
        <w:fldChar w:fldCharType="begin"/>
      </w:r>
      <w:r w:rsidRPr="008D4A33">
        <w:rPr>
          <w:lang w:val="it-IT"/>
        </w:rPr>
        <w:instrText xml:space="preserve"> SEQ Figure \* ARABIC </w:instrText>
      </w:r>
      <w:r>
        <w:fldChar w:fldCharType="separate"/>
      </w:r>
      <w:r>
        <w:rPr>
          <w:noProof/>
          <w:lang w:val="it-IT"/>
        </w:rPr>
        <w:t>3</w:t>
      </w:r>
      <w:r>
        <w:fldChar w:fldCharType="end"/>
      </w:r>
      <w:bookmarkEnd w:id="4"/>
      <w:r w:rsidRPr="008D4A33">
        <w:rPr>
          <w:lang w:val="it-IT"/>
        </w:rPr>
        <w:t xml:space="preserve"> </w:t>
      </w:r>
      <w:proofErr w:type="spellStart"/>
      <w:r w:rsidRPr="008D4A33">
        <w:rPr>
          <w:lang w:val="it-IT"/>
        </w:rPr>
        <w:t>Ecological</w:t>
      </w:r>
      <w:proofErr w:type="spellEnd"/>
      <w:r w:rsidRPr="008D4A33">
        <w:rPr>
          <w:lang w:val="it-IT"/>
        </w:rPr>
        <w:t xml:space="preserve"> </w:t>
      </w:r>
      <w:proofErr w:type="spellStart"/>
      <w:r w:rsidRPr="008D4A33">
        <w:rPr>
          <w:lang w:val="it-IT"/>
        </w:rPr>
        <w:t>scarcity</w:t>
      </w:r>
      <w:proofErr w:type="spellEnd"/>
      <w:r w:rsidRPr="008D4A33">
        <w:rPr>
          <w:lang w:val="it-IT"/>
        </w:rPr>
        <w:t xml:space="preserve"> impact </w:t>
      </w:r>
      <w:proofErr w:type="spellStart"/>
      <w:r w:rsidRPr="008D4A33">
        <w:rPr>
          <w:lang w:val="it-IT"/>
        </w:rPr>
        <w:t>categories</w:t>
      </w:r>
      <w:proofErr w:type="spellEnd"/>
      <w:r w:rsidRPr="008D4A33">
        <w:rPr>
          <w:lang w:val="it-IT"/>
        </w:rPr>
        <w:t xml:space="preserve"> </w:t>
      </w:r>
      <w:proofErr w:type="spellStart"/>
      <w:r w:rsidRPr="008D4A33">
        <w:rPr>
          <w:lang w:val="it-IT"/>
        </w:rPr>
        <w:t>results</w:t>
      </w:r>
      <w:proofErr w:type="spellEnd"/>
      <w:r w:rsidRPr="008D4A33">
        <w:rPr>
          <w:lang w:val="it-IT"/>
        </w:rPr>
        <w:t xml:space="preserve"> for Scenario 1, Scenario 2a, Scenario 2b, Scenario 2c, Scenario 2d</w:t>
      </w:r>
    </w:p>
    <w:p w14:paraId="29DA44F6" w14:textId="77777777" w:rsidR="00B34936" w:rsidRDefault="00BC7A1B" w:rsidP="00BC7A1B">
      <w:pPr>
        <w:pStyle w:val="CETBodytext"/>
        <w:rPr>
          <w:lang w:val="en-GB"/>
        </w:rPr>
      </w:pPr>
      <w:r w:rsidRPr="00BC00EE">
        <w:rPr>
          <w:lang w:val="en-GB"/>
        </w:rPr>
        <w:t xml:space="preserve">Regarding the carcinogenic substances in the air impact </w:t>
      </w:r>
      <w:r w:rsidRPr="006D19B0">
        <w:rPr>
          <w:lang w:val="en-GB"/>
        </w:rPr>
        <w:t xml:space="preserve">category, Scenario 1 </w:t>
      </w:r>
      <w:r w:rsidR="00F06F6E" w:rsidRPr="006D19B0">
        <w:rPr>
          <w:lang w:val="en-GB"/>
        </w:rPr>
        <w:t>shows</w:t>
      </w:r>
      <w:r w:rsidRPr="006D19B0">
        <w:rPr>
          <w:lang w:val="en-GB"/>
        </w:rPr>
        <w:t xml:space="preserve"> </w:t>
      </w:r>
      <w:r w:rsidR="00B34936" w:rsidRPr="006D19B0">
        <w:rPr>
          <w:lang w:val="en-GB"/>
        </w:rPr>
        <w:t>the</w:t>
      </w:r>
      <w:r w:rsidR="00B34936" w:rsidRPr="00B34936">
        <w:rPr>
          <w:lang w:val="en-GB"/>
        </w:rPr>
        <w:t xml:space="preserve"> highest result. The recycling scenarios reduce the impact almost to zero, which is mainly due to the significant contribution of landfill disposal, accounting for nearly 90% of the impact in this category.</w:t>
      </w:r>
    </w:p>
    <w:p w14:paraId="091CD623" w14:textId="3788A991" w:rsidR="00B34936" w:rsidRDefault="00BC7A1B" w:rsidP="00BC7A1B">
      <w:pPr>
        <w:pStyle w:val="CETBodytext"/>
        <w:rPr>
          <w:lang w:val="en-GB"/>
        </w:rPr>
      </w:pPr>
      <w:r w:rsidRPr="00BC00EE">
        <w:rPr>
          <w:lang w:val="en-GB"/>
        </w:rPr>
        <w:t xml:space="preserve">In the global warming impact category, the recycling process reduces the impact with the increase in the substitution percentage. Indeed, </w:t>
      </w:r>
      <w:r w:rsidR="00B34936">
        <w:rPr>
          <w:lang w:val="en-GB"/>
        </w:rPr>
        <w:t>t</w:t>
      </w:r>
      <w:r w:rsidR="00B34936" w:rsidRPr="00B34936">
        <w:rPr>
          <w:lang w:val="en-GB"/>
        </w:rPr>
        <w:t>he main contributor to global warming is the virgin polyol used in polyurethane foam synthesis. In Scenario 1, virgin polyol accounts for approximately 80% of the category's total impact. The use of recycled polyol decreases the need for virgin polyol, thereby reducing the global warming impact.</w:t>
      </w:r>
    </w:p>
    <w:p w14:paraId="32C913B2" w14:textId="120C0050" w:rsidR="00BC7A1B" w:rsidRDefault="00BC7A1B" w:rsidP="00BC7A1B">
      <w:pPr>
        <w:pStyle w:val="CETBodytext"/>
        <w:rPr>
          <w:lang w:val="en-GB"/>
        </w:rPr>
      </w:pPr>
      <w:r w:rsidRPr="00BC00EE">
        <w:rPr>
          <w:lang w:val="en-GB"/>
        </w:rPr>
        <w:t xml:space="preserve">In heavy metals into the air impact category, </w:t>
      </w:r>
      <w:r w:rsidR="00B34936" w:rsidRPr="00B34936">
        <w:rPr>
          <w:lang w:val="en-GB"/>
        </w:rPr>
        <w:t>a trend similar to global warming is observed: the impact decreases as the substitution percentage increases. This is again mainly due to the virgin polyol, which contributes approximately 60% to this category. Therefore, its replacement leads to a significant reduction in impact.</w:t>
      </w:r>
    </w:p>
    <w:p w14:paraId="67054F9B" w14:textId="77777777" w:rsidR="00BC7A1B" w:rsidRPr="00BC00EE" w:rsidRDefault="00BC7A1B" w:rsidP="00BC7A1B">
      <w:pPr>
        <w:pStyle w:val="CETBodytext"/>
        <w:rPr>
          <w:lang w:val="en-GB"/>
        </w:rPr>
      </w:pPr>
      <w:r w:rsidRPr="00BC00EE">
        <w:rPr>
          <w:lang w:val="en-GB"/>
        </w:rPr>
        <w:t>Regarding heavy metals in the soil impact category, the only impact shown in the graph is associated with Scenario 1, due to the landfill disposal of the polyurethane waste which accounts for almost 100%. In Scenario 2, instead, the negligible impacts in the category are due to electricity consumption.</w:t>
      </w:r>
    </w:p>
    <w:p w14:paraId="51CBD323" w14:textId="77777777" w:rsidR="00BC7A1B" w:rsidRPr="00BC00EE" w:rsidRDefault="00BC7A1B" w:rsidP="00BC7A1B">
      <w:pPr>
        <w:pStyle w:val="CETBodytext"/>
        <w:rPr>
          <w:lang w:val="en-GB"/>
        </w:rPr>
      </w:pPr>
      <w:r w:rsidRPr="00BC00EE">
        <w:rPr>
          <w:lang w:val="en-GB"/>
        </w:rPr>
        <w:t>In heavy metals in the water impact category, there is a slight increase in the impact value with the increase in the recycling percentage. This, to a lesser extent, is due to the use of glycol in the glycolysis process, while the main cause of the increase is the use of virgin isocyanate. These impacts, though, can be reduced if recycling isocyanate is used, so that the overall process benefits from the recycling of both reagents.</w:t>
      </w:r>
    </w:p>
    <w:p w14:paraId="136FB9CA" w14:textId="77777777" w:rsidR="00BC7A1B" w:rsidRPr="00BC00EE" w:rsidRDefault="00BC7A1B" w:rsidP="00BC7A1B">
      <w:pPr>
        <w:pStyle w:val="CETBodytext"/>
        <w:rPr>
          <w:lang w:val="en-GB"/>
        </w:rPr>
      </w:pPr>
      <w:r w:rsidRPr="00BC00EE">
        <w:rPr>
          <w:lang w:val="en-GB"/>
        </w:rPr>
        <w:t>In the main air pollutants and PM impact category, Scenario 1 shows the highest impact. The main reason is landfill disposal, which contributes to almost 30% of the category for Scenario 1. In Scenario 2 there is a slight increase in the isocyanate contribution, but it is limited to 10% in the worst-case scenario.</w:t>
      </w:r>
    </w:p>
    <w:p w14:paraId="40372637" w14:textId="0E86C8FA" w:rsidR="00BC7A1B" w:rsidRPr="006D19B0" w:rsidRDefault="00BC7A1B" w:rsidP="00BC7A1B">
      <w:pPr>
        <w:pStyle w:val="CETBodytext"/>
        <w:rPr>
          <w:lang w:val="en-GB"/>
        </w:rPr>
      </w:pPr>
      <w:r w:rsidRPr="00BC00EE">
        <w:rPr>
          <w:lang w:val="en-GB"/>
        </w:rPr>
        <w:t xml:space="preserve">In the </w:t>
      </w:r>
      <w:r w:rsidR="00B34936" w:rsidRPr="00B34936">
        <w:rPr>
          <w:lang w:val="en-GB"/>
        </w:rPr>
        <w:t xml:space="preserve">persistent organic pollutants </w:t>
      </w:r>
      <w:r w:rsidR="00B34936">
        <w:rPr>
          <w:lang w:val="en-GB"/>
        </w:rPr>
        <w:t>(</w:t>
      </w:r>
      <w:r w:rsidRPr="00BC00EE">
        <w:rPr>
          <w:lang w:val="en-GB"/>
        </w:rPr>
        <w:t>POP</w:t>
      </w:r>
      <w:r w:rsidR="00B34936">
        <w:rPr>
          <w:lang w:val="en-GB"/>
        </w:rPr>
        <w:t>)</w:t>
      </w:r>
      <w:r w:rsidRPr="00BC00EE">
        <w:rPr>
          <w:lang w:val="en-GB"/>
        </w:rPr>
        <w:t xml:space="preserve"> into water impact category, </w:t>
      </w:r>
      <w:r w:rsidRPr="006D19B0">
        <w:rPr>
          <w:lang w:val="en-GB"/>
        </w:rPr>
        <w:t xml:space="preserve">the recycling process leads to an increase in the impact of the process due to the glycol used in the glycolysis process. As </w:t>
      </w:r>
      <w:r w:rsidR="00094B49" w:rsidRPr="006D19B0">
        <w:rPr>
          <w:lang w:val="en-GB"/>
        </w:rPr>
        <w:t xml:space="preserve">it </w:t>
      </w:r>
      <w:r w:rsidRPr="006D19B0">
        <w:rPr>
          <w:lang w:val="en-GB"/>
        </w:rPr>
        <w:t>can be seen, the increase in the substitution percentage leads to an increase in the impact due to the ethylene glycol. In fact, its contribution from the glycolysis process increases with the substitution percentage leading to the result of the LCA study. However, the ethylene glycol impact could be reduced using a different chemical in the glycolysis process.</w:t>
      </w:r>
    </w:p>
    <w:p w14:paraId="1EC1EFCA" w14:textId="77777777" w:rsidR="00BC7A1B" w:rsidRPr="00BC00EE" w:rsidRDefault="00BC7A1B" w:rsidP="00BC7A1B">
      <w:pPr>
        <w:pStyle w:val="CETBodytext"/>
        <w:rPr>
          <w:lang w:val="en-GB"/>
        </w:rPr>
      </w:pPr>
      <w:r w:rsidRPr="006D19B0">
        <w:rPr>
          <w:lang w:val="en-GB"/>
        </w:rPr>
        <w:t xml:space="preserve">Regarding the radioactive substances in the air impact category, the recycling process reduces drastically the impact thanks to the absence of landfill disposal. This process, in fact, for Scenario 1 contributes to 75% of the total. This is due to the presence of </w:t>
      </w:r>
      <w:r w:rsidRPr="006D19B0">
        <w:rPr>
          <w:vertAlign w:val="superscript"/>
          <w:lang w:val="en-GB"/>
        </w:rPr>
        <w:t>14</w:t>
      </w:r>
      <w:r w:rsidRPr="006D19B0">
        <w:rPr>
          <w:lang w:val="en-GB"/>
        </w:rPr>
        <w:t xml:space="preserve">C in biomass, textiles, wood fractions and other wastes that are disposed of in the landfill together with the polyurethane foam waste (Fellner J. and </w:t>
      </w:r>
      <w:proofErr w:type="spellStart"/>
      <w:r w:rsidRPr="006D19B0">
        <w:rPr>
          <w:lang w:val="en-GB"/>
        </w:rPr>
        <w:t>Rechberger</w:t>
      </w:r>
      <w:proofErr w:type="spellEnd"/>
      <w:r w:rsidRPr="006D19B0">
        <w:rPr>
          <w:lang w:val="en-GB"/>
        </w:rPr>
        <w:t xml:space="preserve"> H., 2009).</w:t>
      </w:r>
    </w:p>
    <w:p w14:paraId="1118C9C4" w14:textId="77777777" w:rsidR="00BC7A1B" w:rsidRPr="00BC00EE" w:rsidRDefault="00BC7A1B" w:rsidP="00BC7A1B">
      <w:pPr>
        <w:pStyle w:val="CETBodytext"/>
        <w:rPr>
          <w:lang w:val="en-GB"/>
        </w:rPr>
      </w:pPr>
      <w:r w:rsidRPr="00BC00EE">
        <w:rPr>
          <w:lang w:val="en-GB"/>
        </w:rPr>
        <w:lastRenderedPageBreak/>
        <w:t>Regarding mineral resources, ozone layer depletion and water pollutants impact categories, the results are all very similar among all the scenarios. Moreover, the impacts associated with polyol decrease with the increase of substitution percentage in Scenario 2, while the slight increase of isocyanate impact and the ethylene glycol contribution in the recycling process led to the results of the LCA analysis. Even though the recycling, in these impact categories, is slightly more impactful than Scenario 1, alternatives to virgin isocyanate and virgin ethylene glycol could help in further reducing the impacts of Scenario 2.</w:t>
      </w:r>
    </w:p>
    <w:p w14:paraId="7F010C36" w14:textId="34AD59EE" w:rsidR="00BC7A1B" w:rsidRPr="00BC00EE" w:rsidRDefault="00B34936" w:rsidP="00BC7A1B">
      <w:pPr>
        <w:pStyle w:val="CETBodytext"/>
        <w:rPr>
          <w:lang w:val="en-GB"/>
        </w:rPr>
      </w:pPr>
      <w:r>
        <w:rPr>
          <w:lang w:val="en-GB"/>
        </w:rPr>
        <w:t>Finally</w:t>
      </w:r>
      <w:r w:rsidR="00BC7A1B" w:rsidRPr="00BC00EE">
        <w:rPr>
          <w:lang w:val="en-GB"/>
        </w:rPr>
        <w:t xml:space="preserve">, regarding the total impact category, </w:t>
      </w:r>
      <w:r w:rsidRPr="00B34936">
        <w:rPr>
          <w:lang w:val="en-GB"/>
        </w:rPr>
        <w:t>the recycling process reduces the overall environmental burden. Furthermore, increasing the substitution percentage leads to a consistent decrease in total impact.</w:t>
      </w:r>
    </w:p>
    <w:p w14:paraId="663E73AB" w14:textId="77777777" w:rsidR="00BC7A1B" w:rsidRDefault="00BC7A1B" w:rsidP="00BC7A1B">
      <w:pPr>
        <w:pStyle w:val="CETBodytext"/>
        <w:rPr>
          <w:lang w:val="en-GB"/>
        </w:rPr>
      </w:pPr>
    </w:p>
    <w:p w14:paraId="04E8514C" w14:textId="77777777" w:rsidR="00BC7A1B" w:rsidRPr="00B57B36" w:rsidRDefault="00BC7A1B" w:rsidP="00BC7A1B">
      <w:pPr>
        <w:pStyle w:val="CETHeading1"/>
        <w:rPr>
          <w:lang w:val="en-GB"/>
        </w:rPr>
      </w:pPr>
      <w:r w:rsidRPr="00B57B36">
        <w:rPr>
          <w:lang w:val="en-GB"/>
        </w:rPr>
        <w:t>Conclusions</w:t>
      </w:r>
    </w:p>
    <w:p w14:paraId="5F8392D8" w14:textId="64991DB4" w:rsidR="00BC7A1B" w:rsidRPr="006D19B0" w:rsidRDefault="00BC7A1B" w:rsidP="00BC7A1B">
      <w:pPr>
        <w:pStyle w:val="CETBodytext"/>
        <w:rPr>
          <w:lang w:val="en-GB"/>
        </w:rPr>
      </w:pPr>
      <w:r w:rsidRPr="006D19B0">
        <w:rPr>
          <w:lang w:val="en-GB"/>
        </w:rPr>
        <w:t>I</w:t>
      </w:r>
      <w:r w:rsidR="00094B49" w:rsidRPr="006D19B0">
        <w:rPr>
          <w:lang w:val="en-GB"/>
        </w:rPr>
        <w:t>n conclusion, in this work i</w:t>
      </w:r>
      <w:r w:rsidRPr="006D19B0">
        <w:rPr>
          <w:lang w:val="en-GB"/>
        </w:rPr>
        <w:t>t has been considered the comparison between different end-of-life treatments for polyurethane foams. It has been studied the comparison between landfill disposal and chemical recycling by glycolysis at different</w:t>
      </w:r>
      <w:r w:rsidR="00094B49" w:rsidRPr="006D19B0">
        <w:rPr>
          <w:lang w:val="en-GB"/>
        </w:rPr>
        <w:t xml:space="preserve"> substitution</w:t>
      </w:r>
      <w:r w:rsidRPr="006D19B0">
        <w:rPr>
          <w:lang w:val="en-GB"/>
        </w:rPr>
        <w:t xml:space="preserve"> percentages.</w:t>
      </w:r>
    </w:p>
    <w:p w14:paraId="55A55830" w14:textId="5700C179" w:rsidR="00BC7A1B" w:rsidRPr="006D19B0" w:rsidRDefault="00BC7A1B" w:rsidP="00BC7A1B">
      <w:pPr>
        <w:pStyle w:val="CETBodytext"/>
        <w:rPr>
          <w:lang w:val="en-GB"/>
        </w:rPr>
      </w:pPr>
      <w:r w:rsidRPr="006D19B0">
        <w:rPr>
          <w:lang w:val="en-GB"/>
        </w:rPr>
        <w:t>The analysis has been carried out exploring the life cycle assessment of the different scenarios considered using the Ecological Scarcity method to evaluate the environmental burdens of the end-of-life of polyurethane foam waste. The impact assessment showed how</w:t>
      </w:r>
      <w:r w:rsidR="00094B49" w:rsidRPr="006D19B0">
        <w:rPr>
          <w:lang w:val="en-GB"/>
        </w:rPr>
        <w:t>,</w:t>
      </w:r>
      <w:r w:rsidRPr="006D19B0">
        <w:rPr>
          <w:lang w:val="en-GB"/>
        </w:rPr>
        <w:t xml:space="preserve"> in most of the categories</w:t>
      </w:r>
      <w:r w:rsidR="00094B49" w:rsidRPr="006D19B0">
        <w:rPr>
          <w:lang w:val="en-GB"/>
        </w:rPr>
        <w:t>,</w:t>
      </w:r>
      <w:r w:rsidRPr="006D19B0">
        <w:rPr>
          <w:lang w:val="en-GB"/>
        </w:rPr>
        <w:t xml:space="preserve"> the recycling process can reduce, in some cases even drastically, the impact of the polyurethane on the environment.</w:t>
      </w:r>
    </w:p>
    <w:p w14:paraId="4334FC9C" w14:textId="00C6BAEA" w:rsidR="00BC7A1B" w:rsidRPr="003363B6" w:rsidRDefault="00BC7A1B" w:rsidP="00BC7A1B">
      <w:pPr>
        <w:pStyle w:val="CETBodytext"/>
        <w:rPr>
          <w:highlight w:val="yellow"/>
          <w:lang w:val="en-GB"/>
        </w:rPr>
        <w:sectPr w:rsidR="00BC7A1B" w:rsidRPr="003363B6" w:rsidSect="00BC7A1B">
          <w:type w:val="continuous"/>
          <w:pgSz w:w="11906" w:h="16838" w:code="9"/>
          <w:pgMar w:top="1701" w:right="1418" w:bottom="1701" w:left="1701" w:header="1701" w:footer="0" w:gutter="0"/>
          <w:cols w:space="708"/>
          <w:formProt w:val="0"/>
          <w:titlePg/>
          <w:docGrid w:linePitch="360"/>
        </w:sectPr>
      </w:pPr>
      <w:r w:rsidRPr="006D19B0">
        <w:rPr>
          <w:lang w:val="en-GB"/>
        </w:rPr>
        <w:t xml:space="preserve">Overall, </w:t>
      </w:r>
      <w:r w:rsidR="00B34936" w:rsidRPr="006D19B0">
        <w:rPr>
          <w:lang w:val="en-GB"/>
        </w:rPr>
        <w:t>the total impact category demonstrated a clear decreasing trend as the substitution percentage increased.</w:t>
      </w:r>
      <w:r w:rsidR="00094B49" w:rsidRPr="006D19B0">
        <w:rPr>
          <w:lang w:val="en-GB"/>
        </w:rPr>
        <w:t xml:space="preserve"> For this reason,</w:t>
      </w:r>
      <w:r w:rsidRPr="006D19B0">
        <w:rPr>
          <w:lang w:val="en-GB"/>
        </w:rPr>
        <w:t xml:space="preserve"> it can be stated that the chemical recycling process </w:t>
      </w:r>
      <w:r w:rsidR="00B34936" w:rsidRPr="006D19B0">
        <w:rPr>
          <w:lang w:val="en-GB"/>
        </w:rPr>
        <w:t>offers a more sustainable alternative to landfill disposal, leading</w:t>
      </w:r>
      <w:r w:rsidR="00B34936" w:rsidRPr="00B34936">
        <w:rPr>
          <w:lang w:val="en-GB"/>
        </w:rPr>
        <w:t xml:space="preserve"> to a reduced environmental footprint for polyurethane foam waste management.</w:t>
      </w:r>
    </w:p>
    <w:p w14:paraId="62CBB7F9" w14:textId="77777777" w:rsidR="00BC7A1B" w:rsidRPr="00B57B36" w:rsidRDefault="00BC7A1B" w:rsidP="00BC7A1B">
      <w:pPr>
        <w:pStyle w:val="CETAcknowledgementstitle"/>
      </w:pPr>
      <w:r w:rsidRPr="00B57B36">
        <w:t>Acknowledgments</w:t>
      </w:r>
    </w:p>
    <w:p w14:paraId="3C5DBA5A" w14:textId="77777777" w:rsidR="00BC7A1B" w:rsidRPr="00BC00EE" w:rsidRDefault="00BC7A1B" w:rsidP="00BC7A1B">
      <w:pPr>
        <w:pStyle w:val="CETBodytext"/>
        <w:rPr>
          <w:lang w:val="it-IT"/>
        </w:rPr>
      </w:pPr>
      <w:r w:rsidRPr="00BC00EE">
        <w:rPr>
          <w:lang w:val="en-GB"/>
        </w:rPr>
        <w:t xml:space="preserve">This research was supported by the "Horizon Europe" program, funded by the European Union (C&amp;G Kiel Italia </w:t>
      </w:r>
      <w:proofErr w:type="spellStart"/>
      <w:r w:rsidRPr="00BC00EE">
        <w:rPr>
          <w:lang w:val="en-GB"/>
        </w:rPr>
        <w:t>srl</w:t>
      </w:r>
      <w:proofErr w:type="spellEnd"/>
      <w:r w:rsidRPr="00BC00EE">
        <w:rPr>
          <w:lang w:val="en-GB"/>
        </w:rPr>
        <w:t xml:space="preserve"> -Italy, project leader. </w:t>
      </w:r>
      <w:r w:rsidRPr="00BC00EE">
        <w:rPr>
          <w:lang w:val="it-IT"/>
        </w:rPr>
        <w:t xml:space="preserve">Project n. F/310234/03/X56– REA - Introduzione di </w:t>
      </w:r>
      <w:proofErr w:type="spellStart"/>
      <w:r w:rsidRPr="00BC00EE">
        <w:rPr>
          <w:lang w:val="it-IT"/>
        </w:rPr>
        <w:t>mateRiali</w:t>
      </w:r>
      <w:proofErr w:type="spellEnd"/>
      <w:r w:rsidRPr="00BC00EE">
        <w:rPr>
          <w:lang w:val="it-IT"/>
        </w:rPr>
        <w:t xml:space="preserve"> e </w:t>
      </w:r>
      <w:proofErr w:type="spellStart"/>
      <w:r w:rsidRPr="00BC00EE">
        <w:rPr>
          <w:lang w:val="it-IT"/>
        </w:rPr>
        <w:t>tEcnologie</w:t>
      </w:r>
      <w:proofErr w:type="spellEnd"/>
      <w:r w:rsidRPr="00BC00EE">
        <w:rPr>
          <w:lang w:val="it-IT"/>
        </w:rPr>
        <w:t xml:space="preserve"> circolari e sostenibili nell'industria del trasporto di </w:t>
      </w:r>
      <w:proofErr w:type="spellStart"/>
      <w:r w:rsidRPr="00BC00EE">
        <w:rPr>
          <w:lang w:val="it-IT"/>
        </w:rPr>
        <w:t>massA</w:t>
      </w:r>
      <w:proofErr w:type="spellEnd"/>
      <w:r w:rsidRPr="00BC00EE">
        <w:rPr>
          <w:lang w:val="it-IT"/>
        </w:rPr>
        <w:t xml:space="preserve">   - </w:t>
      </w:r>
      <w:proofErr w:type="spellStart"/>
      <w:r w:rsidRPr="00BC00EE">
        <w:rPr>
          <w:lang w:val="it-IT"/>
        </w:rPr>
        <w:t>Introduction</w:t>
      </w:r>
      <w:proofErr w:type="spellEnd"/>
      <w:r w:rsidRPr="00BC00EE">
        <w:rPr>
          <w:lang w:val="it-IT"/>
        </w:rPr>
        <w:t xml:space="preserve"> of </w:t>
      </w:r>
      <w:proofErr w:type="spellStart"/>
      <w:r w:rsidRPr="00BC00EE">
        <w:rPr>
          <w:lang w:val="it-IT"/>
        </w:rPr>
        <w:t>circular</w:t>
      </w:r>
      <w:proofErr w:type="spellEnd"/>
      <w:r w:rsidRPr="00BC00EE">
        <w:rPr>
          <w:lang w:val="it-IT"/>
        </w:rPr>
        <w:t xml:space="preserve"> and </w:t>
      </w:r>
      <w:proofErr w:type="spellStart"/>
      <w:r w:rsidRPr="00BC00EE">
        <w:rPr>
          <w:lang w:val="it-IT"/>
        </w:rPr>
        <w:t>sustainable</w:t>
      </w:r>
      <w:proofErr w:type="spellEnd"/>
      <w:r w:rsidRPr="00BC00EE">
        <w:rPr>
          <w:lang w:val="it-IT"/>
        </w:rPr>
        <w:t xml:space="preserve"> </w:t>
      </w:r>
      <w:proofErr w:type="spellStart"/>
      <w:r w:rsidRPr="00BC00EE">
        <w:rPr>
          <w:lang w:val="it-IT"/>
        </w:rPr>
        <w:t>materials</w:t>
      </w:r>
      <w:proofErr w:type="spellEnd"/>
      <w:r w:rsidRPr="00BC00EE">
        <w:rPr>
          <w:lang w:val="it-IT"/>
        </w:rPr>
        <w:t xml:space="preserve"> and </w:t>
      </w:r>
      <w:proofErr w:type="spellStart"/>
      <w:r w:rsidRPr="00BC00EE">
        <w:rPr>
          <w:lang w:val="it-IT"/>
        </w:rPr>
        <w:t>technologies</w:t>
      </w:r>
      <w:proofErr w:type="spellEnd"/>
      <w:r w:rsidRPr="00BC00EE">
        <w:rPr>
          <w:lang w:val="it-IT"/>
        </w:rPr>
        <w:t xml:space="preserve"> in the mass </w:t>
      </w:r>
      <w:proofErr w:type="spellStart"/>
      <w:r w:rsidRPr="00BC00EE">
        <w:rPr>
          <w:lang w:val="it-IT"/>
        </w:rPr>
        <w:t>transport</w:t>
      </w:r>
      <w:proofErr w:type="spellEnd"/>
      <w:r w:rsidRPr="00BC00EE">
        <w:rPr>
          <w:lang w:val="it-IT"/>
        </w:rPr>
        <w:t xml:space="preserve"> </w:t>
      </w:r>
      <w:proofErr w:type="spellStart"/>
      <w:r w:rsidRPr="00BC00EE">
        <w:rPr>
          <w:lang w:val="it-IT"/>
        </w:rPr>
        <w:t>industry</w:t>
      </w:r>
      <w:proofErr w:type="spellEnd"/>
      <w:r w:rsidRPr="00BC00EE">
        <w:rPr>
          <w:lang w:val="it-IT"/>
        </w:rPr>
        <w:t>).</w:t>
      </w:r>
    </w:p>
    <w:p w14:paraId="72C2E1F0" w14:textId="77777777" w:rsidR="00BC7A1B" w:rsidRPr="0061582C" w:rsidRDefault="00BC7A1B" w:rsidP="00BC7A1B">
      <w:pPr>
        <w:pStyle w:val="CETReference"/>
        <w:rPr>
          <w:lang w:val="it-IT"/>
        </w:rPr>
      </w:pPr>
      <w:proofErr w:type="spellStart"/>
      <w:r w:rsidRPr="0061582C">
        <w:rPr>
          <w:lang w:val="it-IT"/>
        </w:rPr>
        <w:t>References</w:t>
      </w:r>
      <w:proofErr w:type="spellEnd"/>
    </w:p>
    <w:p w14:paraId="3962ACD3" w14:textId="77777777" w:rsidR="00BC7A1B" w:rsidRPr="006D19B0" w:rsidRDefault="00BC7A1B" w:rsidP="00BC7A1B">
      <w:pPr>
        <w:pStyle w:val="CETReferencetext"/>
        <w:rPr>
          <w:lang w:val="it-IT"/>
        </w:rPr>
      </w:pPr>
      <w:r w:rsidRPr="006D19B0">
        <w:rPr>
          <w:lang w:val="it-IT"/>
        </w:rPr>
        <w:t xml:space="preserve">Donadini R., </w:t>
      </w:r>
      <w:proofErr w:type="spellStart"/>
      <w:r w:rsidRPr="006D19B0">
        <w:rPr>
          <w:lang w:val="it-IT"/>
        </w:rPr>
        <w:t>Boaretti</w:t>
      </w:r>
      <w:proofErr w:type="spellEnd"/>
      <w:r w:rsidRPr="006D19B0">
        <w:rPr>
          <w:lang w:val="it-IT"/>
        </w:rPr>
        <w:t xml:space="preserve"> C., Lorenzetti A., Roso M., Penzo D., Dal Lago E., Modesti M., 2023, Chemical </w:t>
      </w:r>
      <w:proofErr w:type="spellStart"/>
      <w:r w:rsidRPr="006D19B0">
        <w:rPr>
          <w:lang w:val="it-IT"/>
        </w:rPr>
        <w:t>Recycling</w:t>
      </w:r>
      <w:proofErr w:type="spellEnd"/>
      <w:r w:rsidRPr="006D19B0">
        <w:rPr>
          <w:lang w:val="it-IT"/>
        </w:rPr>
        <w:t xml:space="preserve"> of </w:t>
      </w:r>
      <w:proofErr w:type="spellStart"/>
      <w:r w:rsidRPr="006D19B0">
        <w:rPr>
          <w:lang w:val="it-IT"/>
        </w:rPr>
        <w:t>Polyurethane</w:t>
      </w:r>
      <w:proofErr w:type="spellEnd"/>
      <w:r w:rsidRPr="006D19B0">
        <w:rPr>
          <w:lang w:val="it-IT"/>
        </w:rPr>
        <w:t xml:space="preserve"> Waste via a </w:t>
      </w:r>
      <w:proofErr w:type="spellStart"/>
      <w:r w:rsidRPr="006D19B0">
        <w:rPr>
          <w:lang w:val="it-IT"/>
        </w:rPr>
        <w:t>Microwave-Assisted</w:t>
      </w:r>
      <w:proofErr w:type="spellEnd"/>
      <w:r w:rsidRPr="006D19B0">
        <w:rPr>
          <w:lang w:val="it-IT"/>
        </w:rPr>
        <w:t xml:space="preserve"> </w:t>
      </w:r>
      <w:proofErr w:type="spellStart"/>
      <w:r w:rsidRPr="006D19B0">
        <w:rPr>
          <w:lang w:val="it-IT"/>
        </w:rPr>
        <w:t>Glycolysis</w:t>
      </w:r>
      <w:proofErr w:type="spellEnd"/>
      <w:r w:rsidRPr="006D19B0">
        <w:rPr>
          <w:lang w:val="it-IT"/>
        </w:rPr>
        <w:t xml:space="preserve"> </w:t>
      </w:r>
      <w:proofErr w:type="spellStart"/>
      <w:r w:rsidRPr="006D19B0">
        <w:rPr>
          <w:lang w:val="it-IT"/>
        </w:rPr>
        <w:t>Process</w:t>
      </w:r>
      <w:proofErr w:type="spellEnd"/>
      <w:r w:rsidRPr="006D19B0">
        <w:rPr>
          <w:lang w:val="it-IT"/>
        </w:rPr>
        <w:t>, ACS Omega, 8, 4655-4666.</w:t>
      </w:r>
    </w:p>
    <w:p w14:paraId="198CDF37" w14:textId="77777777" w:rsidR="00BC7A1B" w:rsidRPr="006D19B0" w:rsidRDefault="00BC7A1B" w:rsidP="00BC7A1B">
      <w:pPr>
        <w:pStyle w:val="CETReferencetext"/>
      </w:pPr>
      <w:r w:rsidRPr="006D19B0">
        <w:t xml:space="preserve">Fellner J. And </w:t>
      </w:r>
      <w:proofErr w:type="spellStart"/>
      <w:r w:rsidRPr="006D19B0">
        <w:t>Rechberger</w:t>
      </w:r>
      <w:proofErr w:type="spellEnd"/>
      <w:r w:rsidRPr="006D19B0">
        <w:t xml:space="preserve"> H., 2009, Abundance of </w:t>
      </w:r>
      <w:r w:rsidRPr="006D19B0">
        <w:rPr>
          <w:vertAlign w:val="superscript"/>
        </w:rPr>
        <w:t>14</w:t>
      </w:r>
      <w:r w:rsidRPr="006D19B0">
        <w:t>C in biomass fraction of wastes and solid recovered fuels, Waste Management, 29, 1495-1503</w:t>
      </w:r>
    </w:p>
    <w:p w14:paraId="4C5BFC2C" w14:textId="77777777" w:rsidR="00BC7A1B" w:rsidRPr="006D19B0" w:rsidRDefault="00BC7A1B" w:rsidP="00BC7A1B">
      <w:pPr>
        <w:pStyle w:val="CETReferencetext"/>
      </w:pPr>
      <w:r w:rsidRPr="006D19B0">
        <w:t>Frischknecht R., Steiner R., Jungbluth N., 2009, The ecological scarcity method—eco-factors 2006. A method for impact assessment in LCA. Federal Office for the Environment (FOEN), Bern.</w:t>
      </w:r>
    </w:p>
    <w:p w14:paraId="7FE610DA" w14:textId="77777777" w:rsidR="00BC7A1B" w:rsidRDefault="00BC7A1B" w:rsidP="00BC7A1B">
      <w:pPr>
        <w:pStyle w:val="CETReferencetext"/>
      </w:pPr>
      <w:proofErr w:type="spellStart"/>
      <w:r w:rsidRPr="006D19B0">
        <w:t>Heiran</w:t>
      </w:r>
      <w:proofErr w:type="spellEnd"/>
      <w:r w:rsidRPr="006D19B0">
        <w:t xml:space="preserve">, R., </w:t>
      </w:r>
      <w:proofErr w:type="spellStart"/>
      <w:r w:rsidRPr="006D19B0">
        <w:t>Ghaderian</w:t>
      </w:r>
      <w:proofErr w:type="spellEnd"/>
      <w:r w:rsidRPr="006D19B0">
        <w:t xml:space="preserve">, A., </w:t>
      </w:r>
      <w:proofErr w:type="spellStart"/>
      <w:r w:rsidRPr="006D19B0">
        <w:t>Reghunadhan</w:t>
      </w:r>
      <w:proofErr w:type="spellEnd"/>
      <w:r w:rsidRPr="006D19B0">
        <w:t xml:space="preserve">, A., </w:t>
      </w:r>
      <w:proofErr w:type="spellStart"/>
      <w:r w:rsidRPr="006D19B0">
        <w:t>Sedaghati</w:t>
      </w:r>
      <w:proofErr w:type="spellEnd"/>
      <w:r w:rsidRPr="006D19B0">
        <w:t>, F., Thomas, S., Haghighi, A. H., 2021, Glycolysis: an efficient route for recycling of end of life</w:t>
      </w:r>
      <w:r>
        <w:t xml:space="preserve"> polyurethane foams. Journal of Polymer Research, 28.</w:t>
      </w:r>
    </w:p>
    <w:p w14:paraId="3821787A" w14:textId="77777777" w:rsidR="00BC7A1B" w:rsidRDefault="00BC7A1B" w:rsidP="00BC7A1B">
      <w:pPr>
        <w:pStyle w:val="CETReferencetext"/>
      </w:pPr>
      <w:r>
        <w:t>Obrecht T.P., Jordan S., Legat A., Saade M.R.M., Passer A., 2021, An LCA methodology for assessing the environmental impacts of building components before and after refurbishment, Journal of Cleaner Production, 327</w:t>
      </w:r>
    </w:p>
    <w:p w14:paraId="7717AEC4" w14:textId="77777777" w:rsidR="00BC7A1B" w:rsidRDefault="00BC7A1B" w:rsidP="00BC7A1B">
      <w:pPr>
        <w:pStyle w:val="CETReferencetext"/>
      </w:pPr>
      <w:proofErr w:type="spellStart"/>
      <w:r>
        <w:t>Roobankumar</w:t>
      </w:r>
      <w:proofErr w:type="spellEnd"/>
      <w:r>
        <w:t xml:space="preserve"> R., </w:t>
      </w:r>
      <w:proofErr w:type="spellStart"/>
      <w:r>
        <w:t>SenthilPandian</w:t>
      </w:r>
      <w:proofErr w:type="spellEnd"/>
      <w:r>
        <w:t xml:space="preserve"> M., 2024. A review of utilization of waste polyurethane foam as lightweight aggregate in concrete. </w:t>
      </w:r>
      <w:proofErr w:type="spellStart"/>
      <w:r>
        <w:t>Heliyon</w:t>
      </w:r>
      <w:proofErr w:type="spellEnd"/>
      <w:r>
        <w:t>, 10.</w:t>
      </w:r>
    </w:p>
    <w:p w14:paraId="62989C39" w14:textId="77777777" w:rsidR="00BC7A1B" w:rsidRDefault="00BC7A1B" w:rsidP="00BC7A1B">
      <w:pPr>
        <w:pStyle w:val="CETReferencetext"/>
      </w:pPr>
      <w:r>
        <w:t>Sheldon, R. A., 2017, Metrics of Green Chemistry and Sustainability: past, present, and future. ACS Sustainable Chemistry &amp;amp; Engineering, 6, 32–48.</w:t>
      </w:r>
    </w:p>
    <w:p w14:paraId="13AE1CD6" w14:textId="77777777" w:rsidR="00BC7A1B" w:rsidRDefault="00BC7A1B" w:rsidP="00BC7A1B">
      <w:pPr>
        <w:pStyle w:val="CETReferencetext"/>
      </w:pPr>
      <w:r>
        <w:t xml:space="preserve">Wieczorek, K., Bukowski, P., </w:t>
      </w:r>
      <w:proofErr w:type="spellStart"/>
      <w:r>
        <w:t>Stawiński</w:t>
      </w:r>
      <w:proofErr w:type="spellEnd"/>
      <w:r>
        <w:t xml:space="preserve">, K., </w:t>
      </w:r>
      <w:proofErr w:type="spellStart"/>
      <w:r>
        <w:t>Ryłko</w:t>
      </w:r>
      <w:proofErr w:type="spellEnd"/>
      <w:r>
        <w:t>, I., 2024, Recycling of polyurethane foams via glycolysis: a review, Materials, 17.</w:t>
      </w:r>
    </w:p>
    <w:p w14:paraId="19950753" w14:textId="77777777" w:rsidR="00BC7A1B" w:rsidRDefault="00BC7A1B" w:rsidP="00BC7A1B">
      <w:pPr>
        <w:pStyle w:val="CETReferencetext"/>
      </w:pPr>
      <w:r>
        <w:t xml:space="preserve">Xiaohua G., </w:t>
      </w:r>
      <w:proofErr w:type="spellStart"/>
      <w:r>
        <w:t>Hongxiang</w:t>
      </w:r>
      <w:proofErr w:type="spellEnd"/>
      <w:r>
        <w:t xml:space="preserve"> L., </w:t>
      </w:r>
      <w:proofErr w:type="spellStart"/>
      <w:r>
        <w:t>Shiwei</w:t>
      </w:r>
      <w:proofErr w:type="spellEnd"/>
      <w:r>
        <w:t xml:space="preserve"> L., Peng C., 2021, Glycolysis Recycling of Waste Polyurethane Rigid Foam Using Different Catalysts, Journal of Renewable Materials, </w:t>
      </w:r>
      <w:r w:rsidRPr="00C529ED">
        <w:t>9</w:t>
      </w:r>
      <w:r>
        <w:t xml:space="preserve">, </w:t>
      </w:r>
      <w:r w:rsidRPr="00C529ED">
        <w:t>1253-1266</w:t>
      </w:r>
      <w:r>
        <w:t>.</w:t>
      </w:r>
    </w:p>
    <w:p w14:paraId="0546BCDE" w14:textId="77777777" w:rsidR="00BC7A1B" w:rsidRDefault="00BC7A1B" w:rsidP="00BC7A1B">
      <w:pPr>
        <w:pStyle w:val="CETReferencetext"/>
      </w:pPr>
      <w:r>
        <w:t>Zia K.M., Bhatti H.N., Bhatti I.A., 2007, Methods for polyurethane and polyurethane composites, recycling and recovery: A review, Reactive and Functional Polymers, 67, 675-692.</w:t>
      </w:r>
    </w:p>
    <w:p w14:paraId="05C84F98" w14:textId="77777777" w:rsidR="00BC7A1B" w:rsidRDefault="00BC7A1B" w:rsidP="00BC7A1B">
      <w:pPr>
        <w:pStyle w:val="CETReferencetext"/>
      </w:pPr>
      <w:r>
        <w:t xml:space="preserve">Zimmermann R.K., Rasmussen F. N., Kanafani K., Eberhardt L.C.M., Birgisdóttir H., 2022, Reviewing allocation approaches and modelling in LCA for building refurbishment. IOP Conf. </w:t>
      </w:r>
      <w:proofErr w:type="spellStart"/>
      <w:proofErr w:type="gramStart"/>
      <w:r>
        <w:t>Ser.:Earth</w:t>
      </w:r>
      <w:proofErr w:type="spellEnd"/>
      <w:proofErr w:type="gramEnd"/>
      <w:r>
        <w:t xml:space="preserve"> Environ. Sci. 1078</w:t>
      </w:r>
    </w:p>
    <w:p w14:paraId="19C4FC68" w14:textId="77777777" w:rsidR="004628D2" w:rsidRDefault="004628D2" w:rsidP="00FA5F5F">
      <w:pPr>
        <w:pStyle w:val="CETHeading1"/>
        <w:numPr>
          <w:ilvl w:val="0"/>
          <w:numId w:val="0"/>
        </w:numPr>
      </w:pP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28425" w14:textId="77777777" w:rsidR="00E4692D" w:rsidRDefault="00E4692D" w:rsidP="004F5E36">
      <w:r>
        <w:separator/>
      </w:r>
    </w:p>
  </w:endnote>
  <w:endnote w:type="continuationSeparator" w:id="0">
    <w:p w14:paraId="7B28B9E1" w14:textId="77777777" w:rsidR="00E4692D" w:rsidRDefault="00E4692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8B8E" w14:textId="77777777" w:rsidR="00E4692D" w:rsidRDefault="00E4692D" w:rsidP="004F5E36">
      <w:r>
        <w:separator/>
      </w:r>
    </w:p>
  </w:footnote>
  <w:footnote w:type="continuationSeparator" w:id="0">
    <w:p w14:paraId="237D73DF" w14:textId="77777777" w:rsidR="00E4692D" w:rsidRDefault="00E4692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51566"/>
    <w:rsid w:val="00054288"/>
    <w:rsid w:val="000562A9"/>
    <w:rsid w:val="00060E32"/>
    <w:rsid w:val="00062A9A"/>
    <w:rsid w:val="00065058"/>
    <w:rsid w:val="00086C39"/>
    <w:rsid w:val="00094B49"/>
    <w:rsid w:val="000A03B2"/>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31DF"/>
    <w:rsid w:val="00134DE4"/>
    <w:rsid w:val="0014034D"/>
    <w:rsid w:val="00144D16"/>
    <w:rsid w:val="00147C80"/>
    <w:rsid w:val="00150E59"/>
    <w:rsid w:val="00152DE3"/>
    <w:rsid w:val="00164CF9"/>
    <w:rsid w:val="001667A6"/>
    <w:rsid w:val="00184AD6"/>
    <w:rsid w:val="001A4AF7"/>
    <w:rsid w:val="001B0349"/>
    <w:rsid w:val="001B1E93"/>
    <w:rsid w:val="001B65C1"/>
    <w:rsid w:val="001C684B"/>
    <w:rsid w:val="001D0CFB"/>
    <w:rsid w:val="001D21AF"/>
    <w:rsid w:val="001D53FC"/>
    <w:rsid w:val="001F42A5"/>
    <w:rsid w:val="001F7B9D"/>
    <w:rsid w:val="001F7F35"/>
    <w:rsid w:val="00201C93"/>
    <w:rsid w:val="002224B4"/>
    <w:rsid w:val="002447EF"/>
    <w:rsid w:val="00251550"/>
    <w:rsid w:val="00263B05"/>
    <w:rsid w:val="0027221A"/>
    <w:rsid w:val="00275B61"/>
    <w:rsid w:val="00280FAF"/>
    <w:rsid w:val="00282656"/>
    <w:rsid w:val="00296B83"/>
    <w:rsid w:val="002A659A"/>
    <w:rsid w:val="002B4015"/>
    <w:rsid w:val="002B78CE"/>
    <w:rsid w:val="002C2FB6"/>
    <w:rsid w:val="002D76F4"/>
    <w:rsid w:val="002E5FA7"/>
    <w:rsid w:val="002F3309"/>
    <w:rsid w:val="003008CE"/>
    <w:rsid w:val="003009B7"/>
    <w:rsid w:val="00300E56"/>
    <w:rsid w:val="0030152C"/>
    <w:rsid w:val="0030469C"/>
    <w:rsid w:val="00321CA6"/>
    <w:rsid w:val="00323763"/>
    <w:rsid w:val="00323C5F"/>
    <w:rsid w:val="00334C09"/>
    <w:rsid w:val="003723D4"/>
    <w:rsid w:val="00374F0E"/>
    <w:rsid w:val="00381905"/>
    <w:rsid w:val="00384CC8"/>
    <w:rsid w:val="003871FD"/>
    <w:rsid w:val="003A1E30"/>
    <w:rsid w:val="003A2829"/>
    <w:rsid w:val="003A7D1C"/>
    <w:rsid w:val="003B304B"/>
    <w:rsid w:val="003B3146"/>
    <w:rsid w:val="003F015E"/>
    <w:rsid w:val="00400414"/>
    <w:rsid w:val="0041446B"/>
    <w:rsid w:val="0042148A"/>
    <w:rsid w:val="00431D67"/>
    <w:rsid w:val="0044071E"/>
    <w:rsid w:val="0044329C"/>
    <w:rsid w:val="004437AA"/>
    <w:rsid w:val="00453E24"/>
    <w:rsid w:val="00457456"/>
    <w:rsid w:val="004577FE"/>
    <w:rsid w:val="00457B9C"/>
    <w:rsid w:val="0046164A"/>
    <w:rsid w:val="004628D2"/>
    <w:rsid w:val="00462DCD"/>
    <w:rsid w:val="004648AD"/>
    <w:rsid w:val="00466324"/>
    <w:rsid w:val="004703A9"/>
    <w:rsid w:val="004760DE"/>
    <w:rsid w:val="004763D7"/>
    <w:rsid w:val="004A004E"/>
    <w:rsid w:val="004A24CF"/>
    <w:rsid w:val="004C3D1D"/>
    <w:rsid w:val="004C3D84"/>
    <w:rsid w:val="004C7913"/>
    <w:rsid w:val="004D482F"/>
    <w:rsid w:val="004E4DD6"/>
    <w:rsid w:val="004F5E36"/>
    <w:rsid w:val="00507B47"/>
    <w:rsid w:val="00507BEF"/>
    <w:rsid w:val="00507CC9"/>
    <w:rsid w:val="005119A5"/>
    <w:rsid w:val="005278B7"/>
    <w:rsid w:val="00532016"/>
    <w:rsid w:val="0053310D"/>
    <w:rsid w:val="005346C8"/>
    <w:rsid w:val="00543E7D"/>
    <w:rsid w:val="00547A68"/>
    <w:rsid w:val="005531C9"/>
    <w:rsid w:val="00557E00"/>
    <w:rsid w:val="00570C43"/>
    <w:rsid w:val="005B2110"/>
    <w:rsid w:val="005B61E6"/>
    <w:rsid w:val="005C77E1"/>
    <w:rsid w:val="005D668A"/>
    <w:rsid w:val="005D6A2F"/>
    <w:rsid w:val="005E1A82"/>
    <w:rsid w:val="005E794C"/>
    <w:rsid w:val="005F0A28"/>
    <w:rsid w:val="005F0E5E"/>
    <w:rsid w:val="00600535"/>
    <w:rsid w:val="00610CD6"/>
    <w:rsid w:val="006142C0"/>
    <w:rsid w:val="00620164"/>
    <w:rsid w:val="00620DEE"/>
    <w:rsid w:val="00621F92"/>
    <w:rsid w:val="0062280A"/>
    <w:rsid w:val="00625639"/>
    <w:rsid w:val="00631B33"/>
    <w:rsid w:val="0064184D"/>
    <w:rsid w:val="006422CC"/>
    <w:rsid w:val="00660E3E"/>
    <w:rsid w:val="00662E74"/>
    <w:rsid w:val="00680C23"/>
    <w:rsid w:val="00681460"/>
    <w:rsid w:val="006932A3"/>
    <w:rsid w:val="00693766"/>
    <w:rsid w:val="00695E1B"/>
    <w:rsid w:val="006A3281"/>
    <w:rsid w:val="006A571E"/>
    <w:rsid w:val="006B4888"/>
    <w:rsid w:val="006C2E45"/>
    <w:rsid w:val="006C359C"/>
    <w:rsid w:val="006C5579"/>
    <w:rsid w:val="006D19B0"/>
    <w:rsid w:val="006D6E8B"/>
    <w:rsid w:val="006E737D"/>
    <w:rsid w:val="00707DD1"/>
    <w:rsid w:val="00713973"/>
    <w:rsid w:val="00720A24"/>
    <w:rsid w:val="00732386"/>
    <w:rsid w:val="0073514D"/>
    <w:rsid w:val="007447F3"/>
    <w:rsid w:val="0075499F"/>
    <w:rsid w:val="007661C8"/>
    <w:rsid w:val="0077098D"/>
    <w:rsid w:val="007931FA"/>
    <w:rsid w:val="007A4861"/>
    <w:rsid w:val="007A7BBA"/>
    <w:rsid w:val="007B0C50"/>
    <w:rsid w:val="007B48F9"/>
    <w:rsid w:val="007C14E5"/>
    <w:rsid w:val="007C1A43"/>
    <w:rsid w:val="007C5202"/>
    <w:rsid w:val="007D0951"/>
    <w:rsid w:val="0080013E"/>
    <w:rsid w:val="00813288"/>
    <w:rsid w:val="008168FC"/>
    <w:rsid w:val="00821762"/>
    <w:rsid w:val="00830996"/>
    <w:rsid w:val="008345F1"/>
    <w:rsid w:val="00865B07"/>
    <w:rsid w:val="008667EA"/>
    <w:rsid w:val="0087637F"/>
    <w:rsid w:val="00892AD5"/>
    <w:rsid w:val="008A1512"/>
    <w:rsid w:val="008D32B9"/>
    <w:rsid w:val="008D433B"/>
    <w:rsid w:val="008D4A16"/>
    <w:rsid w:val="008E566E"/>
    <w:rsid w:val="008E58F7"/>
    <w:rsid w:val="0090161A"/>
    <w:rsid w:val="00901EB6"/>
    <w:rsid w:val="00904C62"/>
    <w:rsid w:val="00922BA8"/>
    <w:rsid w:val="009248A6"/>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75BFF"/>
    <w:rsid w:val="00993B84"/>
    <w:rsid w:val="00996483"/>
    <w:rsid w:val="00996F5A"/>
    <w:rsid w:val="009B041A"/>
    <w:rsid w:val="009C37C3"/>
    <w:rsid w:val="009C7C86"/>
    <w:rsid w:val="009D0A91"/>
    <w:rsid w:val="009D2FF7"/>
    <w:rsid w:val="009E7884"/>
    <w:rsid w:val="009E788A"/>
    <w:rsid w:val="009F0E08"/>
    <w:rsid w:val="00A1763D"/>
    <w:rsid w:val="00A17CEC"/>
    <w:rsid w:val="00A21792"/>
    <w:rsid w:val="00A27EF0"/>
    <w:rsid w:val="00A42361"/>
    <w:rsid w:val="00A50B20"/>
    <w:rsid w:val="00A51390"/>
    <w:rsid w:val="00A60D13"/>
    <w:rsid w:val="00A714EF"/>
    <w:rsid w:val="00A7223D"/>
    <w:rsid w:val="00A72745"/>
    <w:rsid w:val="00A76EFC"/>
    <w:rsid w:val="00A87D50"/>
    <w:rsid w:val="00A91010"/>
    <w:rsid w:val="00A97F29"/>
    <w:rsid w:val="00AA702E"/>
    <w:rsid w:val="00AA7D26"/>
    <w:rsid w:val="00AB0964"/>
    <w:rsid w:val="00AB5011"/>
    <w:rsid w:val="00AC7368"/>
    <w:rsid w:val="00AD16B9"/>
    <w:rsid w:val="00AE377D"/>
    <w:rsid w:val="00AF0EBA"/>
    <w:rsid w:val="00AF28E5"/>
    <w:rsid w:val="00AF46C8"/>
    <w:rsid w:val="00B02C8A"/>
    <w:rsid w:val="00B17FBD"/>
    <w:rsid w:val="00B315A6"/>
    <w:rsid w:val="00B31813"/>
    <w:rsid w:val="00B33365"/>
    <w:rsid w:val="00B34936"/>
    <w:rsid w:val="00B54274"/>
    <w:rsid w:val="00B57B36"/>
    <w:rsid w:val="00B57E6F"/>
    <w:rsid w:val="00B8686D"/>
    <w:rsid w:val="00B93F69"/>
    <w:rsid w:val="00BB1DDC"/>
    <w:rsid w:val="00BC30C9"/>
    <w:rsid w:val="00BC7A1B"/>
    <w:rsid w:val="00BD077D"/>
    <w:rsid w:val="00BE3E58"/>
    <w:rsid w:val="00BF37E5"/>
    <w:rsid w:val="00C01616"/>
    <w:rsid w:val="00C0162B"/>
    <w:rsid w:val="00C068ED"/>
    <w:rsid w:val="00C22E0C"/>
    <w:rsid w:val="00C24AF1"/>
    <w:rsid w:val="00C345B1"/>
    <w:rsid w:val="00C40142"/>
    <w:rsid w:val="00C52C3C"/>
    <w:rsid w:val="00C57182"/>
    <w:rsid w:val="00C57863"/>
    <w:rsid w:val="00C640AF"/>
    <w:rsid w:val="00C655FD"/>
    <w:rsid w:val="00C668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57C84"/>
    <w:rsid w:val="00D6057D"/>
    <w:rsid w:val="00D71640"/>
    <w:rsid w:val="00D71C71"/>
    <w:rsid w:val="00D836C5"/>
    <w:rsid w:val="00D84576"/>
    <w:rsid w:val="00DA1399"/>
    <w:rsid w:val="00DA24C6"/>
    <w:rsid w:val="00DA4D7B"/>
    <w:rsid w:val="00DD271C"/>
    <w:rsid w:val="00DE264A"/>
    <w:rsid w:val="00DF5072"/>
    <w:rsid w:val="00E02D18"/>
    <w:rsid w:val="00E041E7"/>
    <w:rsid w:val="00E23CA1"/>
    <w:rsid w:val="00E409A8"/>
    <w:rsid w:val="00E4692D"/>
    <w:rsid w:val="00E50C12"/>
    <w:rsid w:val="00E65B91"/>
    <w:rsid w:val="00E7209D"/>
    <w:rsid w:val="00E72EAD"/>
    <w:rsid w:val="00E77223"/>
    <w:rsid w:val="00E8528B"/>
    <w:rsid w:val="00E85B94"/>
    <w:rsid w:val="00E92713"/>
    <w:rsid w:val="00E978D0"/>
    <w:rsid w:val="00EA4613"/>
    <w:rsid w:val="00EA7F91"/>
    <w:rsid w:val="00EB1523"/>
    <w:rsid w:val="00EC0E49"/>
    <w:rsid w:val="00EC101F"/>
    <w:rsid w:val="00EC1D9F"/>
    <w:rsid w:val="00ED02A5"/>
    <w:rsid w:val="00EE0131"/>
    <w:rsid w:val="00EE17B0"/>
    <w:rsid w:val="00EF06D9"/>
    <w:rsid w:val="00F06F6E"/>
    <w:rsid w:val="00F3049E"/>
    <w:rsid w:val="00F30C64"/>
    <w:rsid w:val="00F32BA2"/>
    <w:rsid w:val="00F32CDB"/>
    <w:rsid w:val="00F565FE"/>
    <w:rsid w:val="00F63A70"/>
    <w:rsid w:val="00F63D8C"/>
    <w:rsid w:val="00F66807"/>
    <w:rsid w:val="00F7534E"/>
    <w:rsid w:val="00F93EDF"/>
    <w:rsid w:val="00FA1802"/>
    <w:rsid w:val="00FA21D0"/>
    <w:rsid w:val="00FA5F5F"/>
    <w:rsid w:val="00FB41CD"/>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0706">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1007">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2816</Words>
  <Characters>15746</Characters>
  <Application>Microsoft Office Word</Application>
  <DocSecurity>0</DocSecurity>
  <Lines>403</Lines>
  <Paragraphs>304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Luca GALLUCCI</cp:lastModifiedBy>
  <cp:revision>30</cp:revision>
  <cp:lastPrinted>2015-05-12T18:31:00Z</cp:lastPrinted>
  <dcterms:created xsi:type="dcterms:W3CDTF">2022-09-21T08:52:00Z</dcterms:created>
  <dcterms:modified xsi:type="dcterms:W3CDTF">2025-07-29T08:32:00Z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d6e08cd8-7119-4e33-a4a3-090bfecdf1b9</vt:lpwstr>
  </property>
</Properties>
</file>