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1842"/>
      </w:tblGrid>
      <w:tr w:rsidR="000A03B2" w:rsidRPr="00B57B36" w14:paraId="2A131A54" w14:textId="77777777" w:rsidTr="00C674DC">
        <w:trPr>
          <w:trHeight w:val="852"/>
          <w:jc w:val="center"/>
        </w:trPr>
        <w:tc>
          <w:tcPr>
            <w:tcW w:w="6940" w:type="dxa"/>
            <w:vMerge w:val="restart"/>
            <w:tcBorders>
              <w:right w:val="single" w:sz="4" w:space="0" w:color="auto"/>
            </w:tcBorders>
          </w:tcPr>
          <w:p w14:paraId="38C3D2BA" w14:textId="77777777" w:rsidR="000A03B2" w:rsidRPr="00B57B36" w:rsidRDefault="000A03B2" w:rsidP="00DE264A">
            <w:pPr>
              <w:tabs>
                <w:tab w:val="left" w:pos="-108"/>
              </w:tabs>
              <w:ind w:left="-108"/>
              <w:jc w:val="left"/>
              <w:rPr>
                <w:rFonts w:cs="Arial"/>
                <w:b/>
                <w:bCs/>
                <w:i/>
                <w:iCs/>
                <w:color w:val="000066"/>
                <w:sz w:val="12"/>
                <w:szCs w:val="12"/>
                <w:lang w:eastAsia="it-IT"/>
              </w:rPr>
            </w:pPr>
            <w:r w:rsidRPr="00B57B36">
              <w:rPr>
                <w:rFonts w:ascii="AdvP6960" w:hAnsi="AdvP6960" w:cs="AdvP6960"/>
                <w:noProof/>
                <w:color w:val="241F20"/>
                <w:szCs w:val="18"/>
                <w:lang w:eastAsia="en-GB"/>
              </w:rPr>
              <w:drawing>
                <wp:inline distT="0" distB="0" distL="0" distR="0" wp14:anchorId="02B7C3D3" wp14:editId="5EE03112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B36">
              <w:rPr>
                <w:rFonts w:ascii="AdvP6960" w:hAnsi="AdvP6960" w:cs="AdvP6960"/>
                <w:color w:val="241F20"/>
                <w:szCs w:val="18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4"/>
                <w:szCs w:val="24"/>
                <w:lang w:eastAsia="it-IT"/>
              </w:rPr>
              <w:t>CHEMICAL ENGINEERING</w:t>
            </w:r>
            <w:r w:rsidRPr="00B57B36">
              <w:rPr>
                <w:rFonts w:cs="Arial"/>
                <w:b/>
                <w:bCs/>
                <w:i/>
                <w:iCs/>
                <w:color w:val="0033FF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666666"/>
                <w:sz w:val="24"/>
                <w:szCs w:val="24"/>
                <w:lang w:eastAsia="it-IT"/>
              </w:rPr>
              <w:t>TRANSACTIONS</w:t>
            </w:r>
            <w:r w:rsidRPr="00B57B36">
              <w:rPr>
                <w:color w:val="333333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7"/>
                <w:szCs w:val="27"/>
                <w:lang w:eastAsia="it-IT"/>
              </w:rPr>
              <w:br/>
            </w:r>
          </w:p>
          <w:p w14:paraId="4B780582" w14:textId="0DAB3DDA" w:rsidR="000A03B2" w:rsidRPr="00B57B36" w:rsidRDefault="00A76EFC" w:rsidP="001D21AF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B57B36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VOL. </w:t>
            </w:r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  </w:t>
            </w:r>
            <w:r w:rsidR="007B48F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</w:t>
            </w:r>
            <w:r w:rsidR="00FA5F5F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30152C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202</w:t>
            </w:r>
            <w:r w:rsidR="00C24AF1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8213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A publication of</w:t>
            </w:r>
          </w:p>
          <w:p w14:paraId="599E5441" w14:textId="77777777" w:rsidR="000A03B2" w:rsidRPr="00B57B36" w:rsidRDefault="000A03B2" w:rsidP="00CD5FE2">
            <w:pPr>
              <w:jc w:val="right"/>
            </w:pPr>
            <w:r w:rsidRPr="00B57B36">
              <w:rPr>
                <w:noProof/>
                <w:lang w:eastAsia="en-GB"/>
              </w:rPr>
              <w:drawing>
                <wp:inline distT="0" distB="0" distL="0" distR="0" wp14:anchorId="59C75AF4" wp14:editId="4FF92432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B57B36" w14:paraId="380FA3CD" w14:textId="77777777" w:rsidTr="00C674DC">
        <w:trPr>
          <w:trHeight w:val="567"/>
          <w:jc w:val="center"/>
        </w:trPr>
        <w:tc>
          <w:tcPr>
            <w:tcW w:w="6940" w:type="dxa"/>
            <w:vMerge/>
            <w:tcBorders>
              <w:right w:val="single" w:sz="4" w:space="0" w:color="auto"/>
            </w:tcBorders>
          </w:tcPr>
          <w:p w14:paraId="39E5E4C1" w14:textId="77777777" w:rsidR="000A03B2" w:rsidRPr="00B57B36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858A98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The Italian Association</w:t>
            </w:r>
          </w:p>
          <w:p w14:paraId="7522B1D2" w14:textId="77777777"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of Chemical Engineering</w:t>
            </w:r>
          </w:p>
          <w:p w14:paraId="4F0CC5DE" w14:textId="47FDB2FC" w:rsidR="000A03B2" w:rsidRPr="000D0268" w:rsidRDefault="000D0268" w:rsidP="00CD5FE2">
            <w:pPr>
              <w:spacing w:line="140" w:lineRule="atLeast"/>
              <w:jc w:val="right"/>
              <w:rPr>
                <w:rFonts w:cs="Arial"/>
                <w:sz w:val="13"/>
                <w:szCs w:val="13"/>
              </w:rPr>
            </w:pPr>
            <w:r w:rsidRPr="000D0268">
              <w:rPr>
                <w:rFonts w:cs="Arial"/>
                <w:sz w:val="13"/>
                <w:szCs w:val="13"/>
              </w:rPr>
              <w:t>Online at www.cetjournal.it</w:t>
            </w:r>
          </w:p>
        </w:tc>
      </w:tr>
      <w:tr w:rsidR="000A03B2" w:rsidRPr="00B57B36" w14:paraId="2D1B7169" w14:textId="77777777" w:rsidTr="00C674DC">
        <w:trPr>
          <w:trHeight w:val="68"/>
          <w:jc w:val="center"/>
        </w:trPr>
        <w:tc>
          <w:tcPr>
            <w:tcW w:w="8782" w:type="dxa"/>
            <w:gridSpan w:val="2"/>
          </w:tcPr>
          <w:p w14:paraId="1D8DD3C9" w14:textId="30FEC83E" w:rsidR="00AA7D26" w:rsidRPr="00FB41CD" w:rsidRDefault="00AA7D26" w:rsidP="00AA7D26">
            <w:pPr>
              <w:ind w:left="-107"/>
              <w:outlineLvl w:val="2"/>
              <w:rPr>
                <w:rFonts w:ascii="Tahoma" w:hAnsi="Tahoma" w:cs="Tahoma"/>
                <w:bCs/>
                <w:color w:val="000000"/>
                <w:sz w:val="14"/>
                <w:szCs w:val="14"/>
                <w:lang w:val="it-IT" w:eastAsia="it-IT"/>
              </w:rPr>
            </w:pPr>
            <w:r w:rsidRPr="00FB41CD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Pr="00FB41CD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 </w:t>
            </w:r>
            <w:r w:rsidR="00FB41CD" w:rsidRPr="0042148A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Paolo Ciambelli, Luca di Palma</w:t>
            </w:r>
          </w:p>
          <w:p w14:paraId="1B0F1814" w14:textId="6F18EEAD" w:rsidR="000A03B2" w:rsidRPr="00B57B36" w:rsidRDefault="00AA7D26" w:rsidP="00AA7D26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202</w:t>
            </w:r>
            <w:r w:rsidR="00C24AF1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5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, AIDIC Servizi S.r.l.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Pr="00B57B36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Pr="00B57B36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97</w:t>
            </w:r>
            <w:r w:rsidR="00D2582C">
              <w:rPr>
                <w:rFonts w:ascii="Tahoma" w:hAnsi="Tahoma" w:cs="Tahoma"/>
                <w:sz w:val="14"/>
                <w:szCs w:val="14"/>
              </w:rPr>
              <w:t>9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12</w:t>
            </w:r>
            <w:r w:rsidR="00D2582C" w:rsidRPr="000562A9">
              <w:rPr>
                <w:rFonts w:ascii="Tahoma" w:hAnsi="Tahoma" w:cs="Tahoma"/>
                <w:sz w:val="14"/>
                <w:szCs w:val="14"/>
              </w:rPr>
              <w:t>-</w:t>
            </w:r>
            <w:r w:rsidR="00D2582C">
              <w:rPr>
                <w:rFonts w:ascii="Tahoma" w:hAnsi="Tahoma" w:cs="Tahoma"/>
                <w:sz w:val="14"/>
                <w:szCs w:val="14"/>
              </w:rPr>
              <w:t>81206-</w:t>
            </w:r>
            <w:r w:rsidR="00466324">
              <w:rPr>
                <w:rFonts w:ascii="Tahoma" w:hAnsi="Tahoma" w:cs="Tahoma"/>
                <w:sz w:val="14"/>
                <w:szCs w:val="14"/>
              </w:rPr>
              <w:t>20</w:t>
            </w:r>
            <w:r w:rsidR="00D2582C">
              <w:rPr>
                <w:rFonts w:ascii="Tahoma" w:hAnsi="Tahoma" w:cs="Tahoma"/>
                <w:sz w:val="14"/>
                <w:szCs w:val="14"/>
              </w:rPr>
              <w:t>-</w:t>
            </w:r>
            <w:r w:rsidR="00466324">
              <w:rPr>
                <w:rFonts w:ascii="Tahoma" w:hAnsi="Tahoma" w:cs="Tahoma"/>
                <w:sz w:val="14"/>
                <w:szCs w:val="14"/>
              </w:rPr>
              <w:t>5</w:t>
            </w:r>
            <w:r w:rsidRPr="00EF06D9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;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r w:rsidRPr="00B57B36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p w14:paraId="2E667253" w14:textId="15A97DDD" w:rsidR="00E978D0" w:rsidRPr="00B57B36" w:rsidRDefault="00C674DC" w:rsidP="00110F97">
      <w:pPr>
        <w:pStyle w:val="CETTitle"/>
      </w:pPr>
      <w:r w:rsidRPr="00C674DC">
        <w:t xml:space="preserve">Synthesis of </w:t>
      </w:r>
      <w:r w:rsidR="001E7591" w:rsidRPr="00C674DC">
        <w:t xml:space="preserve">Novel </w:t>
      </w:r>
      <w:r w:rsidR="001E7591">
        <w:t xml:space="preserve">Cyclic Poly(2,5-furylene vinylene) </w:t>
      </w:r>
      <w:r w:rsidRPr="00C674DC">
        <w:t>Biosourced Furanic Polymers</w:t>
      </w:r>
      <w:r w:rsidR="001E7591">
        <w:t xml:space="preserve"> via McMurry Homopolymerization of Diformylfuran</w:t>
      </w:r>
    </w:p>
    <w:p w14:paraId="7B669CC3" w14:textId="77777777" w:rsidR="00110F97" w:rsidRPr="00336C39" w:rsidRDefault="00110F97" w:rsidP="00336C39">
      <w:pPr>
        <w:pStyle w:val="CETBodytext"/>
        <w:rPr>
          <w:szCs w:val="28"/>
          <w:lang w:val="en-GB"/>
        </w:rPr>
      </w:pPr>
    </w:p>
    <w:p w14:paraId="0488FED2" w14:textId="28B8CBF3" w:rsidR="00B57E6F" w:rsidRPr="00336C39" w:rsidRDefault="00C674DC" w:rsidP="00EE0C47">
      <w:pPr>
        <w:pStyle w:val="CETBodytext"/>
        <w:rPr>
          <w:sz w:val="24"/>
          <w:szCs w:val="28"/>
          <w:lang w:val="it-IT"/>
        </w:rPr>
      </w:pPr>
      <w:r w:rsidRPr="00336C39">
        <w:rPr>
          <w:sz w:val="24"/>
          <w:szCs w:val="28"/>
          <w:lang w:val="it-IT"/>
        </w:rPr>
        <w:t>Salvatore Impemba</w:t>
      </w:r>
      <w:r w:rsidR="00B57E6F" w:rsidRPr="00336C39">
        <w:rPr>
          <w:sz w:val="24"/>
          <w:szCs w:val="28"/>
          <w:vertAlign w:val="superscript"/>
          <w:lang w:val="it-IT"/>
        </w:rPr>
        <w:t>a</w:t>
      </w:r>
      <w:r w:rsidR="009E46E1" w:rsidRPr="00336C39">
        <w:rPr>
          <w:sz w:val="24"/>
          <w:szCs w:val="28"/>
          <w:vertAlign w:val="superscript"/>
          <w:lang w:val="it-IT"/>
        </w:rPr>
        <w:t>,b</w:t>
      </w:r>
      <w:r w:rsidR="00CD712E" w:rsidRPr="00336C39">
        <w:rPr>
          <w:sz w:val="24"/>
          <w:szCs w:val="28"/>
          <w:lang w:val="it-IT"/>
        </w:rPr>
        <w:t>*</w:t>
      </w:r>
      <w:r w:rsidR="00B57E6F" w:rsidRPr="00336C39">
        <w:rPr>
          <w:sz w:val="24"/>
          <w:szCs w:val="28"/>
          <w:lang w:val="it-IT"/>
        </w:rPr>
        <w:t xml:space="preserve">, </w:t>
      </w:r>
      <w:r w:rsidRPr="00336C39">
        <w:rPr>
          <w:sz w:val="24"/>
          <w:szCs w:val="28"/>
          <w:lang w:val="it-IT"/>
        </w:rPr>
        <w:t xml:space="preserve">Valentina </w:t>
      </w:r>
      <w:r w:rsidR="009673C4" w:rsidRPr="00336C39">
        <w:rPr>
          <w:sz w:val="24"/>
          <w:szCs w:val="28"/>
          <w:lang w:val="it-IT"/>
        </w:rPr>
        <w:t>A.</w:t>
      </w:r>
      <w:r w:rsidRPr="00336C39">
        <w:rPr>
          <w:sz w:val="24"/>
          <w:szCs w:val="28"/>
          <w:lang w:val="it-IT"/>
        </w:rPr>
        <w:t xml:space="preserve"> Crispino</w:t>
      </w:r>
      <w:r w:rsidR="009673C4" w:rsidRPr="00336C39">
        <w:rPr>
          <w:sz w:val="24"/>
          <w:szCs w:val="28"/>
          <w:vertAlign w:val="superscript"/>
          <w:lang w:val="it-IT"/>
        </w:rPr>
        <w:t>a</w:t>
      </w:r>
      <w:r w:rsidR="00B57E6F" w:rsidRPr="00336C39">
        <w:rPr>
          <w:sz w:val="24"/>
          <w:szCs w:val="28"/>
          <w:lang w:val="it-IT"/>
        </w:rPr>
        <w:t xml:space="preserve">, </w:t>
      </w:r>
      <w:r w:rsidR="009673C4" w:rsidRPr="00336C39">
        <w:rPr>
          <w:sz w:val="24"/>
          <w:szCs w:val="28"/>
          <w:lang w:val="it-IT"/>
        </w:rPr>
        <w:t>Irene Contento</w:t>
      </w:r>
      <w:r w:rsidR="009673C4" w:rsidRPr="00336C39">
        <w:rPr>
          <w:sz w:val="24"/>
          <w:szCs w:val="28"/>
          <w:vertAlign w:val="superscript"/>
          <w:lang w:val="it-IT"/>
        </w:rPr>
        <w:t>a</w:t>
      </w:r>
      <w:r w:rsidR="009673C4" w:rsidRPr="00336C39">
        <w:rPr>
          <w:sz w:val="24"/>
          <w:szCs w:val="28"/>
          <w:lang w:val="it-IT"/>
        </w:rPr>
        <w:t>,</w:t>
      </w:r>
      <w:r w:rsidR="006F445D" w:rsidRPr="006F445D">
        <w:rPr>
          <w:sz w:val="24"/>
          <w:szCs w:val="28"/>
          <w:lang w:val="it-IT"/>
        </w:rPr>
        <w:t xml:space="preserve"> </w:t>
      </w:r>
      <w:r w:rsidR="00B6040B">
        <w:rPr>
          <w:sz w:val="24"/>
          <w:szCs w:val="28"/>
          <w:lang w:val="it-IT"/>
        </w:rPr>
        <w:t>Alessia Giannattasio</w:t>
      </w:r>
      <w:r w:rsidR="00B6040B" w:rsidRPr="00336C39">
        <w:rPr>
          <w:sz w:val="24"/>
          <w:szCs w:val="28"/>
          <w:vertAlign w:val="superscript"/>
          <w:lang w:val="it-IT"/>
        </w:rPr>
        <w:t>a</w:t>
      </w:r>
      <w:r w:rsidR="00B6040B" w:rsidRPr="00336C39">
        <w:rPr>
          <w:sz w:val="24"/>
          <w:szCs w:val="28"/>
          <w:lang w:val="it-IT"/>
        </w:rPr>
        <w:t>,</w:t>
      </w:r>
      <w:r w:rsidR="00B6040B">
        <w:rPr>
          <w:sz w:val="24"/>
          <w:szCs w:val="28"/>
          <w:lang w:val="it-IT"/>
        </w:rPr>
        <w:t xml:space="preserve"> </w:t>
      </w:r>
      <w:r w:rsidR="006F445D">
        <w:rPr>
          <w:sz w:val="24"/>
          <w:szCs w:val="28"/>
          <w:lang w:val="it-IT"/>
        </w:rPr>
        <w:t>Marco Bellini</w:t>
      </w:r>
      <w:r w:rsidR="006F445D" w:rsidRPr="0051501C">
        <w:rPr>
          <w:sz w:val="24"/>
          <w:szCs w:val="28"/>
          <w:vertAlign w:val="superscript"/>
          <w:lang w:val="it-IT"/>
        </w:rPr>
        <w:t>c</w:t>
      </w:r>
      <w:r w:rsidR="006F445D">
        <w:rPr>
          <w:sz w:val="24"/>
          <w:szCs w:val="28"/>
          <w:lang w:val="it-IT"/>
        </w:rPr>
        <w:t>, Hamish A. Miller</w:t>
      </w:r>
      <w:r w:rsidR="006F445D" w:rsidRPr="0051501C">
        <w:rPr>
          <w:sz w:val="24"/>
          <w:szCs w:val="28"/>
          <w:vertAlign w:val="superscript"/>
          <w:lang w:val="it-IT"/>
        </w:rPr>
        <w:t>c</w:t>
      </w:r>
      <w:r w:rsidR="006F445D">
        <w:rPr>
          <w:sz w:val="24"/>
          <w:szCs w:val="28"/>
          <w:lang w:val="it-IT"/>
        </w:rPr>
        <w:t>,</w:t>
      </w:r>
      <w:r w:rsidR="009673C4" w:rsidRPr="00336C39">
        <w:rPr>
          <w:sz w:val="24"/>
          <w:szCs w:val="28"/>
          <w:lang w:val="it-IT"/>
        </w:rPr>
        <w:t xml:space="preserve"> Carmine Capacchione</w:t>
      </w:r>
      <w:r w:rsidR="009673C4" w:rsidRPr="00336C39">
        <w:rPr>
          <w:sz w:val="24"/>
          <w:szCs w:val="28"/>
          <w:vertAlign w:val="superscript"/>
          <w:lang w:val="it-IT"/>
        </w:rPr>
        <w:t>a</w:t>
      </w:r>
      <w:r w:rsidR="009E46E1" w:rsidRPr="00336C39">
        <w:rPr>
          <w:sz w:val="24"/>
          <w:szCs w:val="28"/>
          <w:vertAlign w:val="superscript"/>
          <w:lang w:val="it-IT"/>
        </w:rPr>
        <w:t>,b</w:t>
      </w:r>
      <w:r w:rsidR="009673C4" w:rsidRPr="00336C39">
        <w:rPr>
          <w:sz w:val="24"/>
          <w:szCs w:val="28"/>
          <w:lang w:val="it-IT"/>
        </w:rPr>
        <w:t>, Alfonso Grassi</w:t>
      </w:r>
      <w:r w:rsidR="009673C4" w:rsidRPr="00336C39">
        <w:rPr>
          <w:sz w:val="24"/>
          <w:szCs w:val="28"/>
          <w:vertAlign w:val="superscript"/>
          <w:lang w:val="it-IT"/>
        </w:rPr>
        <w:t>a</w:t>
      </w:r>
      <w:r w:rsidR="009E46E1" w:rsidRPr="00336C39">
        <w:rPr>
          <w:sz w:val="24"/>
          <w:szCs w:val="28"/>
          <w:vertAlign w:val="superscript"/>
          <w:lang w:val="it-IT"/>
        </w:rPr>
        <w:t>,b</w:t>
      </w:r>
      <w:r w:rsidR="009673C4" w:rsidRPr="00336C39">
        <w:rPr>
          <w:sz w:val="24"/>
          <w:szCs w:val="28"/>
          <w:lang w:val="it-IT"/>
        </w:rPr>
        <w:t>, Antonio Buonerba</w:t>
      </w:r>
      <w:r w:rsidR="009673C4" w:rsidRPr="00336C39">
        <w:rPr>
          <w:sz w:val="24"/>
          <w:szCs w:val="28"/>
          <w:vertAlign w:val="superscript"/>
          <w:lang w:val="it-IT"/>
        </w:rPr>
        <w:t>a</w:t>
      </w:r>
      <w:r w:rsidR="009E46E1" w:rsidRPr="00336C39">
        <w:rPr>
          <w:sz w:val="24"/>
          <w:szCs w:val="28"/>
          <w:vertAlign w:val="superscript"/>
          <w:lang w:val="it-IT"/>
        </w:rPr>
        <w:t>,b</w:t>
      </w:r>
    </w:p>
    <w:p w14:paraId="36DDD7A2" w14:textId="77777777" w:rsidR="00EE0C47" w:rsidRPr="001E7591" w:rsidRDefault="00EE0C47" w:rsidP="00336C39">
      <w:pPr>
        <w:pStyle w:val="CETBodytext"/>
        <w:rPr>
          <w:szCs w:val="28"/>
          <w:lang w:val="it-IT"/>
        </w:rPr>
      </w:pPr>
    </w:p>
    <w:p w14:paraId="3D72B0B0" w14:textId="4B3B09AD" w:rsidR="00B57E6F" w:rsidRPr="00336C39" w:rsidRDefault="006F5AD3" w:rsidP="00336C39">
      <w:pPr>
        <w:pStyle w:val="CETAddress"/>
        <w:ind w:left="142" w:hanging="142"/>
        <w:rPr>
          <w:rFonts w:ascii="Times New Roman" w:eastAsia="Verdana" w:hAnsi="Times New Roman"/>
          <w:i/>
          <w:color w:val="002060"/>
          <w:sz w:val="20"/>
          <w:lang w:val="it-IT"/>
        </w:rPr>
      </w:pPr>
      <w:r w:rsidRPr="00336C39">
        <w:rPr>
          <w:vertAlign w:val="superscript"/>
          <w:lang w:val="it-IT"/>
        </w:rPr>
        <w:t>a</w:t>
      </w:r>
      <w:r w:rsidRPr="00336C39">
        <w:rPr>
          <w:rFonts w:ascii="Times New Roman" w:eastAsia="Verdana" w:hAnsi="Times New Roman"/>
          <w:i/>
          <w:color w:val="002060"/>
          <w:sz w:val="20"/>
          <w:lang w:val="it-IT"/>
        </w:rPr>
        <w:tab/>
      </w:r>
      <w:r w:rsidR="009673C4" w:rsidRPr="00336C39">
        <w:rPr>
          <w:rFonts w:eastAsia="Verdana"/>
          <w:lang w:val="it-IT"/>
        </w:rPr>
        <w:t>University of Salerno, Dept</w:t>
      </w:r>
      <w:r w:rsidR="009E46E1" w:rsidRPr="00336C39">
        <w:rPr>
          <w:rFonts w:eastAsia="Verdana"/>
          <w:lang w:val="it-IT"/>
        </w:rPr>
        <w:t>.</w:t>
      </w:r>
      <w:r w:rsidR="009673C4" w:rsidRPr="00336C39">
        <w:rPr>
          <w:rFonts w:eastAsia="Verdana"/>
          <w:lang w:val="it-IT"/>
        </w:rPr>
        <w:t xml:space="preserve"> of Chemistry and Biology</w:t>
      </w:r>
      <w:r w:rsidRPr="00336C39">
        <w:rPr>
          <w:rFonts w:eastAsia="Verdana"/>
          <w:lang w:val="it-IT"/>
        </w:rPr>
        <w:t xml:space="preserve"> </w:t>
      </w:r>
      <w:r w:rsidRPr="00336C39">
        <w:rPr>
          <w:rFonts w:eastAsia="Verdana"/>
          <w:i/>
          <w:iCs/>
          <w:lang w:val="it-IT"/>
        </w:rPr>
        <w:t>“A. Zambelli”</w:t>
      </w:r>
      <w:r w:rsidR="009673C4" w:rsidRPr="00336C39">
        <w:rPr>
          <w:rFonts w:eastAsia="Verdana"/>
          <w:lang w:val="it-IT"/>
        </w:rPr>
        <w:t xml:space="preserve">, </w:t>
      </w:r>
      <w:r w:rsidRPr="00336C39">
        <w:rPr>
          <w:lang w:val="it-IT"/>
        </w:rPr>
        <w:t xml:space="preserve">Via Giovanni Paolo II, </w:t>
      </w:r>
      <w:r w:rsidR="009673C4" w:rsidRPr="00336C39">
        <w:rPr>
          <w:rFonts w:eastAsia="Verdana"/>
          <w:lang w:val="it-IT"/>
        </w:rPr>
        <w:t>84084 Fisciano (SA</w:t>
      </w:r>
      <w:r w:rsidRPr="00336C39">
        <w:rPr>
          <w:rFonts w:eastAsia="Verdana"/>
          <w:lang w:val="it-IT"/>
        </w:rPr>
        <w:t>), Italy</w:t>
      </w:r>
      <w:r w:rsidRPr="00336C39">
        <w:rPr>
          <w:rFonts w:ascii="Times New Roman" w:eastAsia="Verdana" w:hAnsi="Times New Roman"/>
          <w:i/>
          <w:color w:val="002060"/>
          <w:sz w:val="20"/>
          <w:lang w:val="it-IT"/>
        </w:rPr>
        <w:t>.</w:t>
      </w:r>
    </w:p>
    <w:p w14:paraId="78381FFB" w14:textId="224BA5E9" w:rsidR="006F5AD3" w:rsidRDefault="006F5AD3" w:rsidP="00336C39">
      <w:pPr>
        <w:pStyle w:val="CETAddress"/>
        <w:ind w:left="142" w:hanging="142"/>
      </w:pPr>
      <w:r w:rsidRPr="00336C39">
        <w:rPr>
          <w:vertAlign w:val="superscript"/>
        </w:rPr>
        <w:t>b</w:t>
      </w:r>
      <w:r>
        <w:tab/>
      </w:r>
      <w:r w:rsidRPr="00592D2A">
        <w:t>Interuniversity Consortium of Chemical Reactivity and Catalysis (CIRCC), Via Celso Ulpiani, 27, 70126 Bari, Ital</w:t>
      </w:r>
      <w:r>
        <w:t xml:space="preserve">y, and </w:t>
      </w:r>
      <w:r w:rsidRPr="00592D2A">
        <w:t xml:space="preserve">Research Centre for Nanomaterials and Nanotechnology </w:t>
      </w:r>
      <w:r>
        <w:t>(</w:t>
      </w:r>
      <w:r w:rsidRPr="00592D2A">
        <w:t>NANO_MATES</w:t>
      </w:r>
      <w:r>
        <w:t>),</w:t>
      </w:r>
      <w:r w:rsidRPr="00592D2A">
        <w:t xml:space="preserve"> Via Giovanni Paolo II, 132, 84084, Fisciano (SA), Italy</w:t>
      </w:r>
      <w:r>
        <w:t>.</w:t>
      </w:r>
    </w:p>
    <w:p w14:paraId="5F8D0D6C" w14:textId="37C4F10C" w:rsidR="00C176FC" w:rsidRDefault="00C176FC" w:rsidP="00C176FC">
      <w:pPr>
        <w:pStyle w:val="CETAddress"/>
        <w:ind w:left="142" w:hanging="142"/>
      </w:pPr>
      <w:r>
        <w:rPr>
          <w:vertAlign w:val="superscript"/>
        </w:rPr>
        <w:t>c</w:t>
      </w:r>
      <w:r>
        <w:tab/>
      </w:r>
      <w:r w:rsidRPr="00C176FC">
        <w:t>Institute of Organometallic Chemistry (ICCOM) – Italian National Research Council (CNR), Via Madonna del Piano 10, 50019 Sesto Fiorentino (FI), Italy</w:t>
      </w:r>
    </w:p>
    <w:p w14:paraId="325C1225" w14:textId="19603AC5" w:rsidR="00681460" w:rsidRPr="00D2528B" w:rsidRDefault="00CD712E" w:rsidP="00336C39">
      <w:pPr>
        <w:pStyle w:val="CETemail"/>
        <w:ind w:left="142" w:hanging="142"/>
      </w:pPr>
      <w:r w:rsidRPr="00CD712E">
        <w:t>*</w:t>
      </w:r>
      <w:r>
        <w:t xml:space="preserve"> </w:t>
      </w:r>
      <w:r w:rsidR="00C176FC">
        <w:t xml:space="preserve"> </w:t>
      </w:r>
      <w:r w:rsidR="009E46E1">
        <w:t xml:space="preserve">Correspondence to: </w:t>
      </w:r>
      <w:r w:rsidR="009673C4" w:rsidRPr="00D2528B">
        <w:t>simpemba</w:t>
      </w:r>
      <w:r w:rsidR="0090326E" w:rsidRPr="00D2528B">
        <w:t>@unisa.it</w:t>
      </w:r>
    </w:p>
    <w:p w14:paraId="23908350" w14:textId="77777777" w:rsidR="00110F97" w:rsidRPr="00D2528B" w:rsidRDefault="00110F97" w:rsidP="0090326E">
      <w:pPr>
        <w:pStyle w:val="CETBodytext"/>
        <w:rPr>
          <w:lang w:val="en-GB"/>
        </w:rPr>
      </w:pPr>
    </w:p>
    <w:p w14:paraId="3F2D4149" w14:textId="09EC6F88" w:rsidR="0090326E" w:rsidRPr="00184719" w:rsidRDefault="00EE0C47" w:rsidP="0090326E">
      <w:pPr>
        <w:pStyle w:val="CETBodytext"/>
        <w:rPr>
          <w:lang w:val="en-GB"/>
        </w:rPr>
      </w:pPr>
      <w:r>
        <w:rPr>
          <w:lang w:val="en-GB"/>
        </w:rPr>
        <w:t xml:space="preserve">The </w:t>
      </w:r>
      <w:r w:rsidR="00184719" w:rsidRPr="00184719">
        <w:rPr>
          <w:lang w:val="en-GB"/>
        </w:rPr>
        <w:t xml:space="preserve">interest in </w:t>
      </w:r>
      <w:r w:rsidR="00CD712E">
        <w:rPr>
          <w:lang w:val="en-GB"/>
        </w:rPr>
        <w:t xml:space="preserve">synthesizing chemicals from renewable sources such as biomass has grown steadily </w:t>
      </w:r>
      <w:r w:rsidR="00B6040B">
        <w:rPr>
          <w:lang w:val="en-GB"/>
        </w:rPr>
        <w:t>i</w:t>
      </w:r>
      <w:r w:rsidR="00B6040B" w:rsidRPr="00184719">
        <w:rPr>
          <w:lang w:val="en-GB"/>
        </w:rPr>
        <w:t xml:space="preserve">n </w:t>
      </w:r>
      <w:r w:rsidRPr="00184719">
        <w:rPr>
          <w:lang w:val="en-GB"/>
        </w:rPr>
        <w:t xml:space="preserve">recent </w:t>
      </w:r>
      <w:r w:rsidRPr="00184719">
        <w:t xml:space="preserve">years </w:t>
      </w:r>
      <w:r>
        <w:t>to</w:t>
      </w:r>
      <w:r w:rsidR="00CD712E">
        <w:rPr>
          <w:lang w:val="en-GB"/>
        </w:rPr>
        <w:t xml:space="preserve"> become the focus of a promising industry in developing</w:t>
      </w:r>
      <w:r w:rsidR="00184719" w:rsidRPr="00184719">
        <w:rPr>
          <w:lang w:val="en-GB"/>
        </w:rPr>
        <w:t xml:space="preserve"> more sustainable materials that overcome current dependence on fossil sources. Furan derivatives such as furfural (FA) and 5-hydroxymethylfurfural (HMF), which can be derived from pentose and </w:t>
      </w:r>
      <w:r w:rsidR="00CD712E">
        <w:rPr>
          <w:lang w:val="en-GB"/>
        </w:rPr>
        <w:t>hexose</w:t>
      </w:r>
      <w:r w:rsidR="00184719" w:rsidRPr="00184719">
        <w:rPr>
          <w:lang w:val="en-GB"/>
        </w:rPr>
        <w:t xml:space="preserve"> sugars, are key components of this new sector. HMF can be seen as the link between biomass chemistry and petrochemicals. By selective oxidation of the hydroxymethyl function of HMF, 2,5-diformylfuran (DFF) can be obtained, a substrate of industrial and scientific interest with a symmetrical structure in which aldehyde groups can be converted into other functions</w:t>
      </w:r>
      <w:r w:rsidR="00BE777D">
        <w:rPr>
          <w:lang w:val="en-GB"/>
        </w:rPr>
        <w:t>,</w:t>
      </w:r>
      <w:r w:rsidR="00184719" w:rsidRPr="00184719">
        <w:rPr>
          <w:lang w:val="en-GB"/>
        </w:rPr>
        <w:t xml:space="preserve"> such as olefins.</w:t>
      </w:r>
    </w:p>
    <w:p w14:paraId="462E6496" w14:textId="07CBADD9" w:rsidR="0090326E" w:rsidRPr="00184719" w:rsidRDefault="00184719" w:rsidP="0090326E">
      <w:pPr>
        <w:pStyle w:val="CETBodytext"/>
        <w:rPr>
          <w:lang w:val="en-GB"/>
        </w:rPr>
      </w:pPr>
      <w:r w:rsidRPr="00184719">
        <w:rPr>
          <w:lang w:val="en-GB"/>
        </w:rPr>
        <w:t xml:space="preserve">In this paper, we report on </w:t>
      </w:r>
      <w:r w:rsidR="00CD712E">
        <w:rPr>
          <w:lang w:val="en-GB"/>
        </w:rPr>
        <w:t>synthesizing and characterizing</w:t>
      </w:r>
      <w:r w:rsidRPr="00184719">
        <w:rPr>
          <w:lang w:val="en-GB"/>
        </w:rPr>
        <w:t xml:space="preserve"> a new cyclic polymeric material based on DFF obtained by </w:t>
      </w:r>
      <w:r w:rsidR="00CD712E">
        <w:rPr>
          <w:lang w:val="en-GB"/>
        </w:rPr>
        <w:t xml:space="preserve">the </w:t>
      </w:r>
      <w:r w:rsidRPr="00184719">
        <w:rPr>
          <w:lang w:val="en-GB"/>
        </w:rPr>
        <w:t>McMurry reaction.</w:t>
      </w:r>
    </w:p>
    <w:p w14:paraId="3A1B98C8" w14:textId="77777777" w:rsidR="0090326E" w:rsidRPr="00184719" w:rsidRDefault="0090326E" w:rsidP="0090326E">
      <w:pPr>
        <w:pStyle w:val="CETBodytext"/>
        <w:rPr>
          <w:lang w:val="en-GB"/>
        </w:rPr>
      </w:pPr>
    </w:p>
    <w:p w14:paraId="1A109883" w14:textId="09CF1983" w:rsidR="00C93713" w:rsidRDefault="00D50F92" w:rsidP="0090326E">
      <w:pPr>
        <w:pStyle w:val="CETBodytext"/>
        <w:rPr>
          <w:b/>
          <w:lang w:val="en-GB"/>
        </w:rPr>
      </w:pPr>
      <w:r>
        <w:rPr>
          <w:b/>
          <w:lang w:val="en-GB"/>
        </w:rPr>
        <w:t xml:space="preserve">1. </w:t>
      </w:r>
      <w:r w:rsidR="0090326E" w:rsidRPr="0090326E">
        <w:rPr>
          <w:b/>
          <w:lang w:val="en-GB"/>
        </w:rPr>
        <w:t>Introduction</w:t>
      </w:r>
    </w:p>
    <w:p w14:paraId="520E5433" w14:textId="1236C9E1" w:rsidR="00CA156C" w:rsidRDefault="00CA156C" w:rsidP="00CA156C">
      <w:pPr>
        <w:pStyle w:val="CETBodytext"/>
        <w:rPr>
          <w:lang w:val="en"/>
        </w:rPr>
      </w:pPr>
      <w:r w:rsidRPr="00CA156C">
        <w:rPr>
          <w:lang w:val="en"/>
        </w:rPr>
        <w:t xml:space="preserve">The biorefinery has as its fundamental </w:t>
      </w:r>
      <w:r>
        <w:rPr>
          <w:lang w:val="en"/>
        </w:rPr>
        <w:t>goal</w:t>
      </w:r>
      <w:r w:rsidRPr="00CA156C">
        <w:rPr>
          <w:lang w:val="en"/>
        </w:rPr>
        <w:t xml:space="preserve"> the development of more sustainable materials and polymers to limit dependence on fossil resources. Starting from biomass</w:t>
      </w:r>
      <w:r w:rsidR="00EE0C47">
        <w:rPr>
          <w:lang w:val="en"/>
        </w:rPr>
        <w:t>,</w:t>
      </w:r>
      <w:r w:rsidRPr="00CA156C">
        <w:rPr>
          <w:lang w:val="en"/>
        </w:rPr>
        <w:t xml:space="preserve"> it is possible to obtain substrates of high interest, such as 5-</w:t>
      </w:r>
      <w:r w:rsidR="00EE0C47">
        <w:rPr>
          <w:lang w:val="en"/>
        </w:rPr>
        <w:t>h</w:t>
      </w:r>
      <w:r w:rsidRPr="00CA156C">
        <w:rPr>
          <w:lang w:val="en"/>
        </w:rPr>
        <w:t>ydroxymethylfurfural (HMF), included by the US Department of Energy (DOE) among the 10 platform molecules of natural origin on which to invest in the future</w:t>
      </w:r>
      <w:r w:rsidR="00012339">
        <w:rPr>
          <w:lang w:val="en"/>
        </w:rPr>
        <w:t xml:space="preserve"> (</w:t>
      </w:r>
      <w:r w:rsidR="00012339" w:rsidRPr="00012339">
        <w:t>Bozell</w:t>
      </w:r>
      <w:r w:rsidR="006F0124">
        <w:t xml:space="preserve"> and </w:t>
      </w:r>
      <w:r w:rsidR="00012339" w:rsidRPr="00012339">
        <w:t>Petersen,</w:t>
      </w:r>
      <w:r w:rsidR="006F0124">
        <w:t xml:space="preserve"> </w:t>
      </w:r>
      <w:r w:rsidR="00012339" w:rsidRPr="00012339">
        <w:t>2010)</w:t>
      </w:r>
      <w:r w:rsidRPr="00CA156C">
        <w:rPr>
          <w:lang w:val="en"/>
        </w:rPr>
        <w:t>. This furanic molecule has two functional groups</w:t>
      </w:r>
      <w:r w:rsidR="00EB2055">
        <w:rPr>
          <w:lang w:val="en"/>
        </w:rPr>
        <w:t xml:space="preserve">, </w:t>
      </w:r>
      <w:r w:rsidRPr="00CA156C">
        <w:rPr>
          <w:lang w:val="en"/>
        </w:rPr>
        <w:t>aldehyde</w:t>
      </w:r>
      <w:r w:rsidR="00CD712E">
        <w:rPr>
          <w:lang w:val="en"/>
        </w:rPr>
        <w:t xml:space="preserve"> and alcohol, with very different reactivities,</w:t>
      </w:r>
      <w:r w:rsidRPr="00CA156C">
        <w:rPr>
          <w:lang w:val="en"/>
        </w:rPr>
        <w:t xml:space="preserve"> and their functionalization still remains a challenging objective.</w:t>
      </w:r>
      <w:r w:rsidR="00EE0C47">
        <w:rPr>
          <w:lang w:val="en"/>
        </w:rPr>
        <w:t xml:space="preserve"> </w:t>
      </w:r>
      <w:r w:rsidR="009A0B64" w:rsidRPr="009A0B64">
        <w:rPr>
          <w:lang w:val="en"/>
        </w:rPr>
        <w:t>Actually</w:t>
      </w:r>
      <w:r w:rsidR="00BE777D">
        <w:rPr>
          <w:lang w:val="en"/>
        </w:rPr>
        <w:t>,</w:t>
      </w:r>
      <w:r w:rsidR="009A0B64" w:rsidRPr="009A0B64">
        <w:rPr>
          <w:lang w:val="en"/>
        </w:rPr>
        <w:t xml:space="preserve"> HMF oxidation easily evolves to </w:t>
      </w:r>
      <w:r w:rsidR="00BE777D">
        <w:rPr>
          <w:lang w:val="en"/>
        </w:rPr>
        <w:t>several</w:t>
      </w:r>
      <w:r w:rsidR="009A0B64" w:rsidRPr="009A0B64">
        <w:rPr>
          <w:lang w:val="en"/>
        </w:rPr>
        <w:t xml:space="preserve"> oxidation products</w:t>
      </w:r>
      <w:r w:rsidR="00BE777D">
        <w:rPr>
          <w:lang w:val="en"/>
        </w:rPr>
        <w:t>,</w:t>
      </w:r>
      <w:r w:rsidR="009A0B64" w:rsidRPr="009A0B64">
        <w:rPr>
          <w:lang w:val="en"/>
        </w:rPr>
        <w:t xml:space="preserve"> among which </w:t>
      </w:r>
      <w:r w:rsidR="009A0B64">
        <w:rPr>
          <w:lang w:val="en"/>
        </w:rPr>
        <w:t xml:space="preserve">2,5-diformylfuran (DFF), </w:t>
      </w:r>
      <w:r w:rsidR="009A0B64" w:rsidRPr="009A0B64">
        <w:rPr>
          <w:lang w:val="en"/>
        </w:rPr>
        <w:t>2,5-furandicarboxylic acid</w:t>
      </w:r>
      <w:r w:rsidR="00BE777D">
        <w:rPr>
          <w:lang w:val="en"/>
        </w:rPr>
        <w:t>,</w:t>
      </w:r>
      <w:r w:rsidR="009A0B64" w:rsidRPr="009A0B64">
        <w:rPr>
          <w:lang w:val="en"/>
        </w:rPr>
        <w:t xml:space="preserve"> and its alkyl esters are the most relevant for industrial application</w:t>
      </w:r>
      <w:r w:rsidR="00BE777D">
        <w:rPr>
          <w:lang w:val="en"/>
        </w:rPr>
        <w:t>.</w:t>
      </w:r>
      <w:r w:rsidR="009A0B64" w:rsidRPr="009A0B64">
        <w:rPr>
          <w:lang w:val="en"/>
        </w:rPr>
        <w:t xml:space="preserve"> </w:t>
      </w:r>
      <w:r w:rsidR="009A0B64">
        <w:rPr>
          <w:lang w:val="en"/>
        </w:rPr>
        <w:t xml:space="preserve">DFF is a </w:t>
      </w:r>
      <w:r w:rsidR="00CD712E">
        <w:rPr>
          <w:lang w:val="en"/>
        </w:rPr>
        <w:t>platform molecule</w:t>
      </w:r>
      <w:r w:rsidR="00EB2055">
        <w:rPr>
          <w:lang w:val="en"/>
        </w:rPr>
        <w:t xml:space="preserve"> </w:t>
      </w:r>
      <w:r w:rsidR="00BE777D">
        <w:rPr>
          <w:lang w:val="en"/>
        </w:rPr>
        <w:t xml:space="preserve">that </w:t>
      </w:r>
      <w:r w:rsidR="00EB2055">
        <w:rPr>
          <w:lang w:val="en"/>
        </w:rPr>
        <w:t>is</w:t>
      </w:r>
      <w:r w:rsidRPr="00CA156C">
        <w:rPr>
          <w:lang w:val="en"/>
        </w:rPr>
        <w:t xml:space="preserve"> </w:t>
      </w:r>
      <w:r w:rsidR="00EB2055">
        <w:rPr>
          <w:lang w:val="en"/>
        </w:rPr>
        <w:t>elusive</w:t>
      </w:r>
      <w:r w:rsidRPr="00CA156C">
        <w:rPr>
          <w:lang w:val="en"/>
        </w:rPr>
        <w:t xml:space="preserve"> to obtain</w:t>
      </w:r>
      <w:r w:rsidR="00EB2055">
        <w:rPr>
          <w:lang w:val="en"/>
        </w:rPr>
        <w:t xml:space="preserve"> from HMF</w:t>
      </w:r>
      <w:r w:rsidR="00CD712E">
        <w:rPr>
          <w:lang w:val="en"/>
        </w:rPr>
        <w:t xml:space="preserve"> since its oxidation easily evolves to acids, esters,</w:t>
      </w:r>
      <w:r w:rsidRPr="00CA156C">
        <w:rPr>
          <w:lang w:val="en"/>
        </w:rPr>
        <w:t xml:space="preserve"> and other molecules with a </w:t>
      </w:r>
      <w:r w:rsidR="00EE0C47">
        <w:rPr>
          <w:lang w:val="en"/>
        </w:rPr>
        <w:t>higher</w:t>
      </w:r>
      <w:r w:rsidR="00EE0C47" w:rsidRPr="00CA156C">
        <w:rPr>
          <w:lang w:val="en"/>
        </w:rPr>
        <w:t xml:space="preserve"> oxidation</w:t>
      </w:r>
      <w:r w:rsidR="00EE0C47">
        <w:rPr>
          <w:lang w:val="en"/>
        </w:rPr>
        <w:t xml:space="preserve"> </w:t>
      </w:r>
      <w:r w:rsidRPr="00CA156C">
        <w:rPr>
          <w:lang w:val="en"/>
        </w:rPr>
        <w:t xml:space="preserve">degree. By </w:t>
      </w:r>
      <w:r w:rsidR="00EB2055">
        <w:rPr>
          <w:lang w:val="en"/>
        </w:rPr>
        <w:t>tuning</w:t>
      </w:r>
      <w:r w:rsidRPr="00CA156C">
        <w:rPr>
          <w:lang w:val="en"/>
        </w:rPr>
        <w:t xml:space="preserve"> the reaction conditions</w:t>
      </w:r>
      <w:r w:rsidR="00CD712E">
        <w:rPr>
          <w:lang w:val="en"/>
        </w:rPr>
        <w:t xml:space="preserve"> through catalysts based on </w:t>
      </w:r>
      <w:r w:rsidR="00EE0C47">
        <w:rPr>
          <w:lang w:val="en"/>
        </w:rPr>
        <w:t>gold nanoparticles (</w:t>
      </w:r>
      <w:r w:rsidR="00CD712E">
        <w:rPr>
          <w:lang w:val="en"/>
        </w:rPr>
        <w:t>AuNP</w:t>
      </w:r>
      <w:r w:rsidR="00EE0C47">
        <w:rPr>
          <w:lang w:val="en"/>
        </w:rPr>
        <w:t>s)</w:t>
      </w:r>
      <w:r w:rsidR="00CD712E">
        <w:rPr>
          <w:lang w:val="en"/>
        </w:rPr>
        <w:t>, it is possible to selectively</w:t>
      </w:r>
      <w:r w:rsidRPr="00CA156C">
        <w:rPr>
          <w:lang w:val="en"/>
        </w:rPr>
        <w:t xml:space="preserve"> control the oxidation of HMF to DFF</w:t>
      </w:r>
      <w:r w:rsidR="00012339">
        <w:rPr>
          <w:lang w:val="en"/>
        </w:rPr>
        <w:t xml:space="preserve"> (Buonerba </w:t>
      </w:r>
      <w:r w:rsidR="00012339" w:rsidRPr="00012339">
        <w:rPr>
          <w:lang w:val="en"/>
        </w:rPr>
        <w:t>et al</w:t>
      </w:r>
      <w:r w:rsidR="00012339">
        <w:rPr>
          <w:lang w:val="en"/>
        </w:rPr>
        <w:t>.</w:t>
      </w:r>
      <w:r w:rsidR="00012339" w:rsidRPr="00012339">
        <w:rPr>
          <w:lang w:val="en"/>
        </w:rPr>
        <w:t>,</w:t>
      </w:r>
      <w:r w:rsidR="00012339">
        <w:rPr>
          <w:lang w:val="en"/>
        </w:rPr>
        <w:t xml:space="preserve"> 2018)</w:t>
      </w:r>
      <w:r w:rsidRPr="00CA156C">
        <w:rPr>
          <w:lang w:val="en"/>
        </w:rPr>
        <w:t xml:space="preserve">. </w:t>
      </w:r>
    </w:p>
    <w:p w14:paraId="70011C0A" w14:textId="3D9292AA" w:rsidR="00CA156C" w:rsidRPr="007C3ADB" w:rsidRDefault="009A0B64" w:rsidP="002F2801">
      <w:pPr>
        <w:pStyle w:val="CETBodytext"/>
      </w:pPr>
      <w:r w:rsidRPr="009A0B64">
        <w:rPr>
          <w:lang w:val="en"/>
        </w:rPr>
        <w:t>A further ambitious goal is the synthesis of furanic polymers using DFF monomer</w:t>
      </w:r>
      <w:r w:rsidR="00BE777D">
        <w:rPr>
          <w:lang w:val="en"/>
        </w:rPr>
        <w:t>,</w:t>
      </w:r>
      <w:r w:rsidRPr="009A0B64">
        <w:rPr>
          <w:lang w:val="en"/>
        </w:rPr>
        <w:t xml:space="preserve"> where covalent </w:t>
      </w:r>
      <w:bookmarkStart w:id="0" w:name="_Hlk204791286"/>
      <w:r w:rsidR="00BE777D" w:rsidRPr="009A0B64">
        <w:rPr>
          <w:lang w:val="en"/>
        </w:rPr>
        <w:t>adaptive</w:t>
      </w:r>
      <w:bookmarkEnd w:id="0"/>
      <w:r w:rsidRPr="009A0B64">
        <w:rPr>
          <w:lang w:val="en"/>
        </w:rPr>
        <w:t xml:space="preserve"> networks (CANs) and self-healing properties can be obtained via </w:t>
      </w:r>
      <w:r w:rsidR="00BE777D">
        <w:rPr>
          <w:lang w:val="en"/>
        </w:rPr>
        <w:t>Diels-Alder</w:t>
      </w:r>
      <w:r w:rsidRPr="009A0B64">
        <w:rPr>
          <w:lang w:val="en"/>
        </w:rPr>
        <w:t xml:space="preserve"> reaction of maleimides with the furan ring.</w:t>
      </w:r>
      <w:r w:rsidR="00012339">
        <w:rPr>
          <w:lang w:val="en"/>
        </w:rPr>
        <w:t>(</w:t>
      </w:r>
      <w:r w:rsidR="000933A8">
        <w:rPr>
          <w:lang w:val="en"/>
        </w:rPr>
        <w:t xml:space="preserve">Gandini and </w:t>
      </w:r>
      <w:r w:rsidR="00012339" w:rsidRPr="00B43016">
        <w:rPr>
          <w:lang w:val="en"/>
        </w:rPr>
        <w:t>Lacerda</w:t>
      </w:r>
      <w:r w:rsidR="00012339">
        <w:rPr>
          <w:lang w:val="en"/>
        </w:rPr>
        <w:t xml:space="preserve">, 2022). </w:t>
      </w:r>
      <w:r w:rsidR="007C3ADB">
        <w:rPr>
          <w:lang w:val="en"/>
        </w:rPr>
        <w:t xml:space="preserve">The </w:t>
      </w:r>
      <w:r w:rsidR="00B43016">
        <w:rPr>
          <w:lang w:val="en"/>
        </w:rPr>
        <w:t xml:space="preserve">focus </w:t>
      </w:r>
      <w:r w:rsidR="007C3ADB">
        <w:rPr>
          <w:lang w:val="en"/>
        </w:rPr>
        <w:t xml:space="preserve">is </w:t>
      </w:r>
      <w:r w:rsidR="00B43016">
        <w:rPr>
          <w:lang w:val="en"/>
        </w:rPr>
        <w:t xml:space="preserve">on </w:t>
      </w:r>
      <w:r w:rsidR="00CD712E">
        <w:rPr>
          <w:lang w:val="en"/>
        </w:rPr>
        <w:t>synthesizing</w:t>
      </w:r>
      <w:r w:rsidR="00B43016">
        <w:rPr>
          <w:lang w:val="en"/>
        </w:rPr>
        <w:t xml:space="preserve"> </w:t>
      </w:r>
      <w:r w:rsidR="00CA156C" w:rsidRPr="00CA156C">
        <w:rPr>
          <w:lang w:val="en"/>
        </w:rPr>
        <w:t>polyolefins</w:t>
      </w:r>
      <w:r w:rsidR="00B43016">
        <w:rPr>
          <w:lang w:val="en"/>
        </w:rPr>
        <w:t>, which</w:t>
      </w:r>
      <w:r w:rsidR="00CA156C" w:rsidRPr="00CA156C">
        <w:rPr>
          <w:lang w:val="en"/>
        </w:rPr>
        <w:t xml:space="preserve"> can be reversibly cross-linked with bis-maleimides via the Diels-Alder reaction, obtaining covalent adaptive networks with self-healing </w:t>
      </w:r>
      <w:r w:rsidR="00CA156C" w:rsidRPr="00CA156C">
        <w:rPr>
          <w:lang w:val="en"/>
        </w:rPr>
        <w:lastRenderedPageBreak/>
        <w:t>properties</w:t>
      </w:r>
      <w:r w:rsidR="00845FB3">
        <w:rPr>
          <w:lang w:val="en"/>
        </w:rPr>
        <w:t xml:space="preserve"> (</w:t>
      </w:r>
      <w:r w:rsidR="00845FB3" w:rsidRPr="00845FB3">
        <w:rPr>
          <w:lang w:val="en-GB"/>
        </w:rPr>
        <w:t>Buonerba</w:t>
      </w:r>
      <w:r w:rsidR="00845FB3">
        <w:rPr>
          <w:lang w:val="en-GB"/>
        </w:rPr>
        <w:t xml:space="preserve"> et al, 2017; </w:t>
      </w:r>
      <w:r w:rsidR="00845FB3" w:rsidRPr="00845FB3">
        <w:rPr>
          <w:lang w:val="en-GB"/>
        </w:rPr>
        <w:t>Buonerba</w:t>
      </w:r>
      <w:r w:rsidR="00845FB3">
        <w:rPr>
          <w:lang w:val="en-GB"/>
        </w:rPr>
        <w:t xml:space="preserve"> et al, 2018</w:t>
      </w:r>
      <w:r w:rsidR="00845FB3">
        <w:rPr>
          <w:lang w:val="en"/>
        </w:rPr>
        <w:t>)</w:t>
      </w:r>
      <w:r w:rsidR="000933A8">
        <w:rPr>
          <w:lang w:val="en"/>
        </w:rPr>
        <w:t>.</w:t>
      </w:r>
      <w:r w:rsidR="00F85442" w:rsidRPr="00F85442">
        <w:t xml:space="preserve"> </w:t>
      </w:r>
      <w:r w:rsidR="00F85442" w:rsidRPr="00F85442">
        <w:rPr>
          <w:lang w:val="en"/>
        </w:rPr>
        <w:t>Inspired by this reaction and from literature (</w:t>
      </w:r>
      <w:r w:rsidR="00F85442" w:rsidRPr="00012339">
        <w:rPr>
          <w:lang w:val="en-GB"/>
        </w:rPr>
        <w:t>Cooke</w:t>
      </w:r>
      <w:r w:rsidR="00F85442">
        <w:rPr>
          <w:lang w:val="en-GB"/>
        </w:rPr>
        <w:t xml:space="preserve"> and</w:t>
      </w:r>
      <w:r w:rsidR="00F85442" w:rsidRPr="00012339">
        <w:rPr>
          <w:lang w:val="en-GB"/>
        </w:rPr>
        <w:t xml:space="preserve"> Wagener</w:t>
      </w:r>
      <w:r w:rsidR="00F85442">
        <w:rPr>
          <w:lang w:val="en-GB"/>
        </w:rPr>
        <w:t>, 1991</w:t>
      </w:r>
      <w:r w:rsidR="00F85442" w:rsidRPr="00F85442">
        <w:rPr>
          <w:lang w:val="en"/>
        </w:rPr>
        <w:t>)</w:t>
      </w:r>
      <w:r w:rsidR="00B2746E">
        <w:rPr>
          <w:lang w:val="en"/>
        </w:rPr>
        <w:t>,</w:t>
      </w:r>
      <w:r w:rsidR="00F85442" w:rsidRPr="00F85442">
        <w:rPr>
          <w:lang w:val="en"/>
        </w:rPr>
        <w:t xml:space="preserve"> we designed the d</w:t>
      </w:r>
      <w:r w:rsidR="00B2746E">
        <w:rPr>
          <w:lang w:val="en"/>
        </w:rPr>
        <w:t>r</w:t>
      </w:r>
      <w:r w:rsidR="00F85442" w:rsidRPr="00F85442">
        <w:rPr>
          <w:lang w:val="en"/>
        </w:rPr>
        <w:t>op-in synthesis of highly conjugated polyolefins usin</w:t>
      </w:r>
      <w:r w:rsidR="00F85442">
        <w:rPr>
          <w:lang w:val="en"/>
        </w:rPr>
        <w:t xml:space="preserve">g </w:t>
      </w:r>
      <w:r w:rsidR="00B2746E">
        <w:rPr>
          <w:lang w:val="en"/>
        </w:rPr>
        <w:t>M</w:t>
      </w:r>
      <w:r w:rsidR="00F85442">
        <w:rPr>
          <w:lang w:val="en"/>
        </w:rPr>
        <w:t>c</w:t>
      </w:r>
      <w:r w:rsidR="00B2746E">
        <w:rPr>
          <w:lang w:val="en"/>
        </w:rPr>
        <w:t>M</w:t>
      </w:r>
      <w:r w:rsidR="00F85442">
        <w:rPr>
          <w:lang w:val="en"/>
        </w:rPr>
        <w:t>urry polymerization of DFF,</w:t>
      </w:r>
      <w:r w:rsidR="00CA156C" w:rsidRPr="00CA156C">
        <w:rPr>
          <w:lang w:val="en"/>
        </w:rPr>
        <w:t xml:space="preserve"> which </w:t>
      </w:r>
      <w:r w:rsidR="00AB6772">
        <w:rPr>
          <w:lang w:val="en"/>
        </w:rPr>
        <w:t>uses</w:t>
      </w:r>
      <w:r w:rsidR="00AB6772" w:rsidRPr="00CA156C">
        <w:rPr>
          <w:lang w:val="en"/>
        </w:rPr>
        <w:t xml:space="preserve"> TiCl</w:t>
      </w:r>
      <w:r w:rsidR="00AB6772" w:rsidRPr="00CA156C">
        <w:rPr>
          <w:vertAlign w:val="subscript"/>
          <w:lang w:val="en"/>
        </w:rPr>
        <w:t>4</w:t>
      </w:r>
      <w:r w:rsidR="00AB6772" w:rsidRPr="00CA156C">
        <w:rPr>
          <w:lang w:val="en"/>
        </w:rPr>
        <w:t xml:space="preserve"> </w:t>
      </w:r>
      <w:r w:rsidR="00AB6772">
        <w:rPr>
          <w:lang w:val="en"/>
        </w:rPr>
        <w:t xml:space="preserve">as a catalyst in the presence of </w:t>
      </w:r>
      <w:r w:rsidR="00CA156C" w:rsidRPr="00CA156C">
        <w:rPr>
          <w:lang w:val="en"/>
        </w:rPr>
        <w:t>redu</w:t>
      </w:r>
      <w:r w:rsidR="00EE0C47">
        <w:rPr>
          <w:lang w:val="en"/>
        </w:rPr>
        <w:t>ctive</w:t>
      </w:r>
      <w:r w:rsidR="00CA156C" w:rsidRPr="00CA156C">
        <w:rPr>
          <w:lang w:val="en"/>
        </w:rPr>
        <w:t xml:space="preserve"> metals to perform </w:t>
      </w:r>
      <w:r w:rsidR="00AB6772">
        <w:rPr>
          <w:lang w:val="en"/>
        </w:rPr>
        <w:t>the</w:t>
      </w:r>
      <w:r w:rsidR="00AB6772" w:rsidRPr="00CA156C">
        <w:rPr>
          <w:lang w:val="en"/>
        </w:rPr>
        <w:t xml:space="preserve"> </w:t>
      </w:r>
      <w:r w:rsidR="00CA156C" w:rsidRPr="00CA156C">
        <w:rPr>
          <w:lang w:val="en"/>
        </w:rPr>
        <w:t>coupling reaction of carbonyl groups</w:t>
      </w:r>
      <w:r w:rsidR="00B2746E">
        <w:rPr>
          <w:lang w:val="en"/>
        </w:rPr>
        <w:t>.</w:t>
      </w:r>
    </w:p>
    <w:p w14:paraId="16502CF2" w14:textId="5280DD36" w:rsidR="00E85932" w:rsidRPr="00E85932" w:rsidRDefault="00280B6A" w:rsidP="00CA156C">
      <w:pPr>
        <w:pStyle w:val="CETBodytext"/>
        <w:rPr>
          <w:lang w:val="en-GB"/>
        </w:rPr>
      </w:pPr>
      <w:r w:rsidRPr="00CA156C">
        <w:rPr>
          <w:lang w:val="en"/>
        </w:rPr>
        <w:t>Preliminar</w:t>
      </w:r>
      <w:r>
        <w:rPr>
          <w:lang w:val="en"/>
        </w:rPr>
        <w:t>i</w:t>
      </w:r>
      <w:r w:rsidRPr="00CA156C">
        <w:rPr>
          <w:lang w:val="en"/>
        </w:rPr>
        <w:t>ly</w:t>
      </w:r>
      <w:r>
        <w:rPr>
          <w:lang w:val="en"/>
        </w:rPr>
        <w:t>,</w:t>
      </w:r>
      <w:r w:rsidR="00CA156C" w:rsidRPr="00CA156C">
        <w:rPr>
          <w:lang w:val="en"/>
        </w:rPr>
        <w:t xml:space="preserve"> model studies </w:t>
      </w:r>
      <w:r w:rsidR="0042033C">
        <w:rPr>
          <w:lang w:val="en"/>
        </w:rPr>
        <w:t>with furfural,</w:t>
      </w:r>
      <w:r w:rsidR="00CA156C" w:rsidRPr="00CA156C">
        <w:rPr>
          <w:lang w:val="en"/>
        </w:rPr>
        <w:t xml:space="preserve"> with a single aldehyde functionality</w:t>
      </w:r>
      <w:r w:rsidR="0042033C">
        <w:rPr>
          <w:lang w:val="en"/>
        </w:rPr>
        <w:t>,</w:t>
      </w:r>
      <w:r w:rsidR="00CA156C" w:rsidRPr="00CA156C">
        <w:rPr>
          <w:lang w:val="en"/>
        </w:rPr>
        <w:t xml:space="preserve"> were performed, after which we moved on to DFF to obtain a conjugated </w:t>
      </w:r>
      <w:r w:rsidR="00F01742">
        <w:rPr>
          <w:lang w:val="en"/>
        </w:rPr>
        <w:t>polymer,</w:t>
      </w:r>
      <w:r w:rsidR="00CA156C">
        <w:rPr>
          <w:lang w:val="en"/>
        </w:rPr>
        <w:t xml:space="preserve"> which can show interesting properties</w:t>
      </w:r>
      <w:r w:rsidR="00CA156C" w:rsidRPr="00CA156C">
        <w:rPr>
          <w:lang w:val="en"/>
        </w:rPr>
        <w:t>.</w:t>
      </w:r>
      <w:r w:rsidR="00F01742">
        <w:rPr>
          <w:lang w:val="en"/>
        </w:rPr>
        <w:t xml:space="preserve"> </w:t>
      </w:r>
      <w:r w:rsidR="00AB6772">
        <w:rPr>
          <w:lang w:val="en"/>
        </w:rPr>
        <w:t>Conjugated</w:t>
      </w:r>
      <w:r w:rsidR="00E85932" w:rsidRPr="00E85932">
        <w:rPr>
          <w:lang w:val="en-GB"/>
        </w:rPr>
        <w:t xml:space="preserve"> molecules are very interesting for the development of </w:t>
      </w:r>
      <w:r w:rsidR="00CD712E">
        <w:rPr>
          <w:lang w:val="en-GB"/>
        </w:rPr>
        <w:t>optoelectronic devices, such as organic light-emitting diodes (Heeger et al., 2015), organic photovoltaic devices,</w:t>
      </w:r>
      <w:r w:rsidR="00E85932" w:rsidRPr="00E85932">
        <w:rPr>
          <w:lang w:val="en-GB"/>
        </w:rPr>
        <w:t xml:space="preserve"> and organic field effect transistors</w:t>
      </w:r>
      <w:r w:rsidR="00D46274">
        <w:rPr>
          <w:lang w:val="en-GB"/>
        </w:rPr>
        <w:t xml:space="preserve"> (Yang et al., 2015)</w:t>
      </w:r>
      <w:r w:rsidR="00E85932" w:rsidRPr="00E85932">
        <w:rPr>
          <w:lang w:val="en-GB"/>
        </w:rPr>
        <w:t>.</w:t>
      </w:r>
      <w:r w:rsidR="00E85932">
        <w:rPr>
          <w:lang w:val="en-GB"/>
        </w:rPr>
        <w:t xml:space="preserve"> </w:t>
      </w:r>
      <w:r w:rsidR="00E85932" w:rsidRPr="00E85932">
        <w:rPr>
          <w:lang w:val="en-GB"/>
        </w:rPr>
        <w:t xml:space="preserve">In this </w:t>
      </w:r>
      <w:r w:rsidR="00DE26DE" w:rsidRPr="00E85932" w:rsidDel="00DE26DE">
        <w:t>cont</w:t>
      </w:r>
      <w:r w:rsidR="00DE26DE">
        <w:t>ribution</w:t>
      </w:r>
      <w:r w:rsidR="00CD712E">
        <w:rPr>
          <w:lang w:val="en-GB"/>
        </w:rPr>
        <w:t xml:space="preserve">, </w:t>
      </w:r>
      <w:r w:rsidR="00DE26DE">
        <w:rPr>
          <w:lang w:val="en-GB"/>
        </w:rPr>
        <w:t>it is reported the application of</w:t>
      </w:r>
      <w:r w:rsidR="00CD712E">
        <w:rPr>
          <w:lang w:val="en-GB"/>
        </w:rPr>
        <w:t xml:space="preserve"> the McMurry reaction</w:t>
      </w:r>
      <w:r w:rsidR="00DE26DE">
        <w:rPr>
          <w:lang w:val="en-GB"/>
        </w:rPr>
        <w:t xml:space="preserve"> for the selective synthesis of</w:t>
      </w:r>
      <w:r w:rsidR="00E85932" w:rsidRPr="00E85932">
        <w:rPr>
          <w:lang w:val="en-GB"/>
        </w:rPr>
        <w:t xml:space="preserve"> conjugated cyclic polymers </w:t>
      </w:r>
      <w:r w:rsidR="00DE26DE">
        <w:rPr>
          <w:lang w:val="en-GB"/>
        </w:rPr>
        <w:t>of</w:t>
      </w:r>
      <w:r w:rsidR="00DE26DE" w:rsidRPr="00E85932">
        <w:rPr>
          <w:lang w:val="en-GB"/>
        </w:rPr>
        <w:t xml:space="preserve"> </w:t>
      </w:r>
      <w:r w:rsidR="00E85932" w:rsidRPr="00E85932">
        <w:rPr>
          <w:lang w:val="en-GB"/>
        </w:rPr>
        <w:t>DFF</w:t>
      </w:r>
      <w:r w:rsidR="00DE26DE">
        <w:rPr>
          <w:lang w:val="en-GB"/>
        </w:rPr>
        <w:t>. These cyclic polymers could present interesting chemo-physical properties</w:t>
      </w:r>
      <w:r w:rsidR="00B2746E">
        <w:rPr>
          <w:lang w:val="en-GB"/>
        </w:rPr>
        <w:t>. They could</w:t>
      </w:r>
      <w:r w:rsidR="00DE26DE">
        <w:rPr>
          <w:lang w:val="en-GB"/>
        </w:rPr>
        <w:t xml:space="preserve"> be used </w:t>
      </w:r>
      <w:r w:rsidR="00E85932" w:rsidRPr="00E85932">
        <w:rPr>
          <w:lang w:val="en-GB"/>
        </w:rPr>
        <w:t>a</w:t>
      </w:r>
      <w:r w:rsidR="00DE26DE">
        <w:rPr>
          <w:lang w:val="en-GB"/>
        </w:rPr>
        <w:t>s a</w:t>
      </w:r>
      <w:r w:rsidR="00E85932" w:rsidRPr="00E85932">
        <w:rPr>
          <w:lang w:val="en-GB"/>
        </w:rPr>
        <w:t xml:space="preserve"> starting </w:t>
      </w:r>
      <w:r w:rsidR="00DE26DE">
        <w:rPr>
          <w:lang w:val="en-GB"/>
        </w:rPr>
        <w:t>material</w:t>
      </w:r>
      <w:r w:rsidR="00DE26DE" w:rsidRPr="00E85932">
        <w:rPr>
          <w:lang w:val="en-GB"/>
        </w:rPr>
        <w:t xml:space="preserve"> </w:t>
      </w:r>
      <w:r w:rsidR="00E85932" w:rsidRPr="00E85932">
        <w:rPr>
          <w:lang w:val="en-GB"/>
        </w:rPr>
        <w:t xml:space="preserve">for the production of linear conjugated polymers through the opening of the </w:t>
      </w:r>
      <w:r w:rsidR="00B2746E">
        <w:rPr>
          <w:lang w:val="en-GB"/>
        </w:rPr>
        <w:t xml:space="preserve">polymer's </w:t>
      </w:r>
      <w:r w:rsidR="00E85932" w:rsidRPr="00E85932">
        <w:rPr>
          <w:lang w:val="en-GB"/>
        </w:rPr>
        <w:t xml:space="preserve">cyclic </w:t>
      </w:r>
      <w:r w:rsidR="00DE26DE">
        <w:rPr>
          <w:lang w:val="en-GB"/>
        </w:rPr>
        <w:t>structure</w:t>
      </w:r>
      <w:r w:rsidR="00E85932" w:rsidRPr="00E85932">
        <w:rPr>
          <w:lang w:val="en-GB"/>
        </w:rPr>
        <w:t>.</w:t>
      </w:r>
      <w:r w:rsidR="00E85932">
        <w:rPr>
          <w:lang w:val="en-GB"/>
        </w:rPr>
        <w:t xml:space="preserve"> </w:t>
      </w:r>
      <w:r w:rsidR="00DE26DE">
        <w:rPr>
          <w:lang w:val="en-GB"/>
        </w:rPr>
        <w:t>These</w:t>
      </w:r>
      <w:r w:rsidR="00E85932" w:rsidRPr="00E85932">
        <w:rPr>
          <w:lang w:val="en-GB"/>
        </w:rPr>
        <w:t xml:space="preserve"> cyclic </w:t>
      </w:r>
      <w:r w:rsidR="00DE26DE">
        <w:rPr>
          <w:lang w:val="en-GB"/>
        </w:rPr>
        <w:t>polymers</w:t>
      </w:r>
      <w:r w:rsidR="00DE26DE" w:rsidRPr="00E85932">
        <w:rPr>
          <w:lang w:val="en-GB"/>
        </w:rPr>
        <w:t xml:space="preserve"> </w:t>
      </w:r>
      <w:r w:rsidR="00E85932" w:rsidRPr="00E85932">
        <w:rPr>
          <w:lang w:val="en-GB"/>
        </w:rPr>
        <w:t xml:space="preserve">can be </w:t>
      </w:r>
      <w:r w:rsidR="00DE26DE">
        <w:rPr>
          <w:lang w:val="en-GB"/>
        </w:rPr>
        <w:t>opened via metathesis reaction by</w:t>
      </w:r>
      <w:r w:rsidR="00DE26DE" w:rsidRPr="00E85932">
        <w:rPr>
          <w:lang w:val="en-GB"/>
        </w:rPr>
        <w:t xml:space="preserve"> </w:t>
      </w:r>
      <w:r w:rsidR="00CD712E">
        <w:rPr>
          <w:lang w:val="en-GB"/>
        </w:rPr>
        <w:t>using a second-generation Grubbs catalyst to</w:t>
      </w:r>
      <w:r w:rsidR="00E85932" w:rsidRPr="00E85932">
        <w:rPr>
          <w:lang w:val="en-GB"/>
        </w:rPr>
        <w:t xml:space="preserve"> obtain the linear polymer</w:t>
      </w:r>
      <w:r w:rsidR="004160AA">
        <w:rPr>
          <w:lang w:val="en-GB"/>
        </w:rPr>
        <w:t xml:space="preserve"> </w:t>
      </w:r>
      <w:r w:rsidR="00DE26DE">
        <w:rPr>
          <w:lang w:val="en-GB"/>
        </w:rPr>
        <w:t xml:space="preserve">architecture </w:t>
      </w:r>
      <w:r w:rsidR="004160AA">
        <w:rPr>
          <w:lang w:val="en-GB"/>
        </w:rPr>
        <w:t>(Masaki et al., 2018)</w:t>
      </w:r>
      <w:r w:rsidR="00E85932" w:rsidRPr="00E85932">
        <w:rPr>
          <w:lang w:val="en-GB"/>
        </w:rPr>
        <w:t>.</w:t>
      </w:r>
      <w:r w:rsidR="006F445D" w:rsidRPr="006F445D">
        <w:t xml:space="preserve"> </w:t>
      </w:r>
      <w:r w:rsidR="006F445D" w:rsidRPr="006F445D">
        <w:rPr>
          <w:lang w:val="en-GB"/>
        </w:rPr>
        <w:t>To investigate the electrical conductivity of the polymer for optoelectronic applications, Electrochemical Impedance Spectroscopy measurements were performed.</w:t>
      </w:r>
    </w:p>
    <w:p w14:paraId="39A812E9" w14:textId="34F36795" w:rsidR="007C3ADB" w:rsidRPr="005635DA" w:rsidRDefault="000F1FFF" w:rsidP="00336C39">
      <w:pPr>
        <w:pStyle w:val="CETBodytext"/>
        <w:jc w:val="center"/>
        <w:rPr>
          <w:lang w:val="en"/>
        </w:rPr>
      </w:pPr>
      <w:r w:rsidRPr="005635DA">
        <w:rPr>
          <w:lang w:val="en-GB"/>
        </w:rPr>
        <w:object w:dxaOrig="3056" w:dyaOrig="1279" w14:anchorId="4A5B5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93.75pt" o:ole="">
            <v:imagedata r:id="rId10" o:title=""/>
          </v:shape>
          <o:OLEObject Type="Embed" ProgID="ChemDraw.Document.6.0" ShapeID="_x0000_i1025" DrawAspect="Content" ObjectID="_1815459424" r:id="rId11"/>
        </w:object>
      </w:r>
    </w:p>
    <w:p w14:paraId="2D21D299" w14:textId="78D98E1A" w:rsidR="007C3ADB" w:rsidRPr="003A196C" w:rsidRDefault="007C3ADB" w:rsidP="00336C39">
      <w:pPr>
        <w:tabs>
          <w:tab w:val="left" w:pos="-108"/>
        </w:tabs>
        <w:jc w:val="center"/>
        <w:rPr>
          <w:rStyle w:val="CETCaptionCarattere"/>
          <w:lang w:val="en-US"/>
        </w:rPr>
      </w:pPr>
      <w:r w:rsidRPr="00336C39">
        <w:rPr>
          <w:rStyle w:val="CETCaptionCarattere"/>
          <w:b/>
          <w:bCs/>
          <w:lang w:val="en-US"/>
        </w:rPr>
        <w:t>Figure 1:</w:t>
      </w:r>
      <w:r w:rsidRPr="003A196C">
        <w:rPr>
          <w:rStyle w:val="CETCaptionCarattere"/>
          <w:lang w:val="en-US"/>
        </w:rPr>
        <w:t xml:space="preserve"> </w:t>
      </w:r>
      <w:r w:rsidR="003A196C" w:rsidRPr="003A196C">
        <w:rPr>
          <w:i/>
          <w:lang w:val="en"/>
        </w:rPr>
        <w:t>DFF polymerization via McMurry reaction</w:t>
      </w:r>
    </w:p>
    <w:p w14:paraId="61157788" w14:textId="77777777" w:rsidR="00110F97" w:rsidRDefault="00110F97" w:rsidP="0090326E">
      <w:pPr>
        <w:pStyle w:val="CETBodytext"/>
      </w:pPr>
    </w:p>
    <w:p w14:paraId="7CA5B92B" w14:textId="68D62A7D" w:rsidR="0084160A" w:rsidRDefault="00D50F92" w:rsidP="0090326E">
      <w:pPr>
        <w:pStyle w:val="CETBodytext"/>
        <w:rPr>
          <w:b/>
          <w:lang w:val="en-GB"/>
        </w:rPr>
      </w:pPr>
      <w:r>
        <w:rPr>
          <w:b/>
          <w:lang w:val="en-GB"/>
        </w:rPr>
        <w:t xml:space="preserve">2. </w:t>
      </w:r>
      <w:r w:rsidR="0090326E" w:rsidRPr="0090326E">
        <w:rPr>
          <w:b/>
          <w:lang w:val="en-GB"/>
        </w:rPr>
        <w:t>Materials</w:t>
      </w:r>
      <w:r w:rsidR="00DE26DE">
        <w:rPr>
          <w:b/>
          <w:lang w:val="en-GB"/>
        </w:rPr>
        <w:t xml:space="preserve"> </w:t>
      </w:r>
    </w:p>
    <w:p w14:paraId="6F9D135D" w14:textId="34B34C4A" w:rsidR="00DE26DE" w:rsidRPr="004A6491" w:rsidRDefault="00DE26DE" w:rsidP="00DE26DE">
      <w:pPr>
        <w:pStyle w:val="CETBodytext"/>
      </w:pPr>
      <w:r w:rsidRPr="00DE26DE">
        <w:t>Titanium tetrachloride (TiCl</w:t>
      </w:r>
      <w:r w:rsidRPr="00DE26DE">
        <w:rPr>
          <w:vertAlign w:val="subscript"/>
        </w:rPr>
        <w:t>4</w:t>
      </w:r>
      <w:r>
        <w:t>;</w:t>
      </w:r>
      <w:r w:rsidRPr="00DE26DE">
        <w:t xml:space="preserve"> ≥98%</w:t>
      </w:r>
      <w:r>
        <w:t>; Sigma Aldrich</w:t>
      </w:r>
      <w:r w:rsidRPr="00DE26DE">
        <w:t xml:space="preserve">), </w:t>
      </w:r>
      <w:r>
        <w:t>z</w:t>
      </w:r>
      <w:r w:rsidRPr="00DE26DE">
        <w:t>inc dust (</w:t>
      </w:r>
      <w:r w:rsidR="00706C0C">
        <w:t xml:space="preserve">Zn; </w:t>
      </w:r>
      <w:r w:rsidRPr="00DE26DE">
        <w:t>≥98%</w:t>
      </w:r>
      <w:r>
        <w:t>; Sigma Aldrich</w:t>
      </w:r>
      <w:r w:rsidRPr="00DE26DE">
        <w:t>),</w:t>
      </w:r>
      <w:r w:rsidR="00541E69">
        <w:t xml:space="preserve"> magnesium dust (</w:t>
      </w:r>
      <w:r w:rsidR="00706C0C">
        <w:t xml:space="preserve">Mg; </w:t>
      </w:r>
      <w:r w:rsidR="00541E69" w:rsidRPr="00DE26DE">
        <w:t>≥</w:t>
      </w:r>
      <w:r w:rsidR="00541E69">
        <w:t>99%; Sigma Aldrich),</w:t>
      </w:r>
      <w:r w:rsidRPr="00DE26DE">
        <w:t xml:space="preserve"> </w:t>
      </w:r>
      <w:r w:rsidR="00152C59" w:rsidRPr="00DE26DE">
        <w:t>2,5-furandicarboxaldehyde (</w:t>
      </w:r>
      <w:r w:rsidR="00706C0C">
        <w:t xml:space="preserve">DFF; </w:t>
      </w:r>
      <w:r w:rsidR="00152C59" w:rsidRPr="00DE26DE">
        <w:t xml:space="preserve">97%, </w:t>
      </w:r>
      <w:r w:rsidR="00152C59" w:rsidRPr="004F7CAC">
        <w:t>Indagoo Research Chemicals)</w:t>
      </w:r>
      <w:r w:rsidR="00152C59">
        <w:t xml:space="preserve">, </w:t>
      </w:r>
      <w:r w:rsidR="00541E3A">
        <w:t>d</w:t>
      </w:r>
      <w:r w:rsidRPr="00DE26DE">
        <w:t>ichloromethane (</w:t>
      </w:r>
      <w:r w:rsidR="00541E3A">
        <w:t>Sigma Aldrich</w:t>
      </w:r>
      <w:r w:rsidRPr="00DE26DE">
        <w:t xml:space="preserve">), </w:t>
      </w:r>
      <w:r w:rsidR="00A96ABA">
        <w:t>d</w:t>
      </w:r>
      <w:r w:rsidR="00A96ABA" w:rsidRPr="00DE26DE">
        <w:t xml:space="preserve">iethyl </w:t>
      </w:r>
      <w:r w:rsidR="00A96ABA">
        <w:t>e</w:t>
      </w:r>
      <w:r w:rsidR="00A96ABA" w:rsidRPr="00DE26DE">
        <w:t>ther</w:t>
      </w:r>
      <w:r w:rsidR="00A96ABA" w:rsidRPr="001034D7">
        <w:t xml:space="preserve"> </w:t>
      </w:r>
      <w:r w:rsidR="00A96ABA">
        <w:t>(</w:t>
      </w:r>
      <w:r w:rsidR="00A96ABA" w:rsidRPr="001034D7">
        <w:t>Carlo Erba Reagents</w:t>
      </w:r>
      <w:r w:rsidR="00A96ABA">
        <w:t xml:space="preserve">) </w:t>
      </w:r>
      <w:r w:rsidRPr="00DE26DE">
        <w:t xml:space="preserve">and </w:t>
      </w:r>
      <w:r w:rsidR="008D64E9">
        <w:t xml:space="preserve">anhydrous </w:t>
      </w:r>
      <w:r w:rsidR="00541E3A">
        <w:t>m</w:t>
      </w:r>
      <w:r w:rsidRPr="00DE26DE">
        <w:t>agnesium sulfate (MgSO</w:t>
      </w:r>
      <w:r w:rsidRPr="00DE26DE">
        <w:rPr>
          <w:vertAlign w:val="subscript"/>
        </w:rPr>
        <w:t>4</w:t>
      </w:r>
      <w:r w:rsidRPr="00DE26DE">
        <w:t>, ≥99.5%</w:t>
      </w:r>
      <w:r w:rsidR="00541E3A">
        <w:t>; Sigma Aldrich</w:t>
      </w:r>
      <w:r w:rsidRPr="00DE26DE">
        <w:t>)</w:t>
      </w:r>
      <w:r w:rsidR="00541E3A">
        <w:t>, unless otherwise stated,</w:t>
      </w:r>
      <w:r w:rsidRPr="00DE26DE">
        <w:t xml:space="preserve"> were </w:t>
      </w:r>
      <w:r w:rsidR="00541E3A">
        <w:t>used as received</w:t>
      </w:r>
      <w:r w:rsidRPr="004A6491">
        <w:t>.</w:t>
      </w:r>
      <w:r w:rsidR="00A96ABA">
        <w:t xml:space="preserve"> </w:t>
      </w:r>
      <w:r w:rsidR="00541E3A">
        <w:t>T</w:t>
      </w:r>
      <w:r w:rsidR="00541E3A" w:rsidRPr="00DE26DE">
        <w:t>etrahydrofuran (THF</w:t>
      </w:r>
      <w:r w:rsidR="00541E3A">
        <w:t>; Sigma Aldrich</w:t>
      </w:r>
      <w:r w:rsidR="00541E3A" w:rsidRPr="00DE26DE">
        <w:t>)</w:t>
      </w:r>
      <w:r w:rsidR="00706C0C">
        <w:t xml:space="preserve"> and dioxane</w:t>
      </w:r>
      <w:r w:rsidR="00706C0C" w:rsidRPr="00706C0C">
        <w:t xml:space="preserve"> </w:t>
      </w:r>
      <w:r w:rsidR="00B2746E">
        <w:t>(</w:t>
      </w:r>
      <w:r w:rsidR="00706C0C">
        <w:t>Sigma Aldrich</w:t>
      </w:r>
      <w:r w:rsidR="00706C0C" w:rsidRPr="00DE26DE">
        <w:t>)</w:t>
      </w:r>
      <w:r w:rsidR="00541E3A">
        <w:t xml:space="preserve"> </w:t>
      </w:r>
      <w:r w:rsidR="00A96ABA">
        <w:t>w</w:t>
      </w:r>
      <w:r w:rsidR="00706C0C">
        <w:t>ere</w:t>
      </w:r>
      <w:r w:rsidR="00541E3A">
        <w:t xml:space="preserve"> purified by distillation over lithium aluminum hydride. </w:t>
      </w:r>
      <w:r w:rsidR="00862C58">
        <w:rPr>
          <w:lang w:val="en-GB"/>
        </w:rPr>
        <w:t xml:space="preserve">Deuterated solvents were </w:t>
      </w:r>
      <w:r w:rsidR="00862C58" w:rsidRPr="003560B7">
        <w:rPr>
          <w:lang w:val="en-GB"/>
        </w:rPr>
        <w:t>purchased from Cambridge Isotope Laboratories</w:t>
      </w:r>
      <w:r w:rsidR="00862C58">
        <w:rPr>
          <w:lang w:val="en-GB"/>
        </w:rPr>
        <w:t xml:space="preserve"> or Sigma Aldrich</w:t>
      </w:r>
      <w:r w:rsidR="00862C58" w:rsidRPr="003560B7">
        <w:rPr>
          <w:lang w:val="en-GB"/>
        </w:rPr>
        <w:t>, degas</w:t>
      </w:r>
      <w:r w:rsidR="00862C58">
        <w:rPr>
          <w:lang w:val="en-GB"/>
        </w:rPr>
        <w:t>sed</w:t>
      </w:r>
      <w:r w:rsidR="00B2746E">
        <w:rPr>
          <w:lang w:val="en-GB"/>
        </w:rPr>
        <w:t>,</w:t>
      </w:r>
      <w:r w:rsidR="00862C58">
        <w:rPr>
          <w:lang w:val="en-GB"/>
        </w:rPr>
        <w:t xml:space="preserve"> and dried over activated 4Å </w:t>
      </w:r>
      <w:r w:rsidR="00862C58" w:rsidRPr="003560B7">
        <w:rPr>
          <w:lang w:val="en-GB"/>
        </w:rPr>
        <w:t xml:space="preserve">molecular sieves </w:t>
      </w:r>
      <w:r w:rsidR="00862C58">
        <w:rPr>
          <w:lang w:val="en-GB"/>
        </w:rPr>
        <w:t>before</w:t>
      </w:r>
      <w:r w:rsidR="00862C58" w:rsidRPr="003560B7">
        <w:rPr>
          <w:lang w:val="en-GB"/>
        </w:rPr>
        <w:t xml:space="preserve"> use.</w:t>
      </w:r>
    </w:p>
    <w:p w14:paraId="520690B4" w14:textId="77777777" w:rsidR="00A96ABA" w:rsidRPr="00336C39" w:rsidRDefault="00A96ABA" w:rsidP="00B91BEA">
      <w:pPr>
        <w:pStyle w:val="CETBodytext"/>
      </w:pPr>
    </w:p>
    <w:p w14:paraId="4320B356" w14:textId="23EAF5A9" w:rsidR="0084160A" w:rsidRDefault="00D50F92" w:rsidP="0090326E">
      <w:pPr>
        <w:pStyle w:val="CETBodytext"/>
        <w:rPr>
          <w:b/>
        </w:rPr>
      </w:pPr>
      <w:bookmarkStart w:id="1" w:name="_yuvpfkafjssm"/>
      <w:bookmarkEnd w:id="1"/>
      <w:r>
        <w:rPr>
          <w:b/>
        </w:rPr>
        <w:t xml:space="preserve">3. </w:t>
      </w:r>
      <w:r w:rsidR="0090326E" w:rsidRPr="00FA18EF">
        <w:rPr>
          <w:b/>
        </w:rPr>
        <w:t>Method</w:t>
      </w:r>
      <w:r w:rsidR="00541E3A">
        <w:rPr>
          <w:b/>
        </w:rPr>
        <w:t>s</w:t>
      </w:r>
    </w:p>
    <w:p w14:paraId="2A9087B8" w14:textId="05319F1C" w:rsidR="00A61353" w:rsidRDefault="00D50F92" w:rsidP="00D2528B">
      <w:pPr>
        <w:pStyle w:val="CETBodytext"/>
        <w:rPr>
          <w:lang w:val="en-GB"/>
        </w:rPr>
      </w:pPr>
      <w:r>
        <w:rPr>
          <w:b/>
          <w:i/>
          <w:iCs/>
        </w:rPr>
        <w:t xml:space="preserve">3.1 </w:t>
      </w:r>
      <w:r w:rsidR="00D22806" w:rsidRPr="00336C39">
        <w:rPr>
          <w:b/>
          <w:i/>
          <w:iCs/>
        </w:rPr>
        <w:t xml:space="preserve">Instrumental </w:t>
      </w:r>
      <w:r w:rsidR="001E7591" w:rsidRPr="001E7591">
        <w:rPr>
          <w:b/>
          <w:i/>
          <w:iCs/>
        </w:rPr>
        <w:t>characterization</w:t>
      </w:r>
      <w:r w:rsidR="00D22806">
        <w:rPr>
          <w:b/>
          <w:lang w:val="en-GB"/>
        </w:rPr>
        <w:t xml:space="preserve">. </w:t>
      </w:r>
      <w:r w:rsidR="00CD712E">
        <w:rPr>
          <w:lang w:val="en-GB"/>
        </w:rPr>
        <w:t xml:space="preserve">Nuclear magnetic resonance (NMR) spectra were recorded on </w:t>
      </w:r>
      <w:r w:rsidR="00862C58">
        <w:rPr>
          <w:lang w:val="en-GB"/>
        </w:rPr>
        <w:t xml:space="preserve">a </w:t>
      </w:r>
      <w:r w:rsidR="00CD712E">
        <w:rPr>
          <w:lang w:val="en-GB"/>
        </w:rPr>
        <w:t xml:space="preserve">Bruker Avance </w:t>
      </w:r>
      <w:r w:rsidR="00862C58">
        <w:rPr>
          <w:lang w:val="en-GB"/>
        </w:rPr>
        <w:t>spectrometer (</w:t>
      </w:r>
      <w:r w:rsidR="00CD712E">
        <w:rPr>
          <w:lang w:val="en-GB"/>
        </w:rPr>
        <w:t xml:space="preserve">400 MHz </w:t>
      </w:r>
      <w:r w:rsidR="00862C58">
        <w:rPr>
          <w:lang w:val="en-GB"/>
        </w:rPr>
        <w:t xml:space="preserve">for 1H NMR) </w:t>
      </w:r>
      <w:r w:rsidR="00CD712E">
        <w:rPr>
          <w:lang w:val="en-GB"/>
        </w:rPr>
        <w:t>at 25 °C</w:t>
      </w:r>
      <w:r w:rsidR="003560B7">
        <w:rPr>
          <w:lang w:val="en-GB"/>
        </w:rPr>
        <w:t>.</w:t>
      </w:r>
      <w:r w:rsidR="003D42D2" w:rsidRPr="003D42D2">
        <w:rPr>
          <w:lang w:val="en-GB"/>
        </w:rPr>
        <w:t xml:space="preserve"> </w:t>
      </w:r>
      <w:r w:rsidR="003D42D2">
        <w:rPr>
          <w:lang w:val="en-GB"/>
        </w:rPr>
        <w:t xml:space="preserve">Chemical </w:t>
      </w:r>
      <w:r w:rsidR="00CD712E">
        <w:rPr>
          <w:lang w:val="en-GB"/>
        </w:rPr>
        <w:t>shifts were referred to tetramethylsilane</w:t>
      </w:r>
      <w:r w:rsidR="00862C58">
        <w:rPr>
          <w:lang w:val="en-GB"/>
        </w:rPr>
        <w:t xml:space="preserve"> </w:t>
      </w:r>
      <w:r w:rsidR="00CD712E">
        <w:rPr>
          <w:lang w:val="en-GB"/>
        </w:rPr>
        <w:t>as an external reference</w:t>
      </w:r>
      <w:r w:rsidR="00862C58">
        <w:rPr>
          <w:lang w:val="en-GB"/>
        </w:rPr>
        <w:t xml:space="preserve"> </w:t>
      </w:r>
      <w:r w:rsidR="003560B7" w:rsidRPr="003560B7">
        <w:rPr>
          <w:lang w:val="en-GB"/>
        </w:rPr>
        <w:t>using the resi</w:t>
      </w:r>
      <w:r w:rsidR="003560B7">
        <w:rPr>
          <w:lang w:val="en-GB"/>
        </w:rPr>
        <w:t xml:space="preserve">dual </w:t>
      </w:r>
      <w:r w:rsidR="00862C58">
        <w:rPr>
          <w:lang w:val="en-GB"/>
        </w:rPr>
        <w:t xml:space="preserve">protio </w:t>
      </w:r>
      <w:r w:rsidR="003560B7">
        <w:rPr>
          <w:lang w:val="en-GB"/>
        </w:rPr>
        <w:t xml:space="preserve">solvent peak at </w:t>
      </w:r>
      <w:r w:rsidR="003D42D2">
        <w:rPr>
          <w:lang w:val="en-GB"/>
        </w:rPr>
        <w:t xml:space="preserve">2.50 </w:t>
      </w:r>
      <w:r w:rsidR="00862C58">
        <w:rPr>
          <w:lang w:val="en-GB"/>
        </w:rPr>
        <w:t xml:space="preserve">ppm </w:t>
      </w:r>
      <w:r w:rsidR="003D42D2">
        <w:rPr>
          <w:lang w:val="en-GB"/>
        </w:rPr>
        <w:t>for DMSO-</w:t>
      </w:r>
      <w:r w:rsidR="009030B8" w:rsidRPr="00336C39">
        <w:rPr>
          <w:i/>
          <w:iCs/>
        </w:rPr>
        <w:t>d</w:t>
      </w:r>
      <w:r w:rsidR="009030B8">
        <w:rPr>
          <w:vertAlign w:val="subscript"/>
          <w:lang w:val="en-GB"/>
        </w:rPr>
        <w:t>6</w:t>
      </w:r>
      <w:r w:rsidR="003D42D2">
        <w:rPr>
          <w:lang w:val="en-GB"/>
        </w:rPr>
        <w:t>.</w:t>
      </w:r>
      <w:r w:rsidR="00862C58">
        <w:rPr>
          <w:lang w:val="en-GB"/>
        </w:rPr>
        <w:t xml:space="preserve"> </w:t>
      </w:r>
    </w:p>
    <w:p w14:paraId="60ED346B" w14:textId="05B36ACD" w:rsidR="00D2528B" w:rsidRDefault="00862C58" w:rsidP="00D2528B">
      <w:pPr>
        <w:pStyle w:val="CETBodytext"/>
      </w:pPr>
      <w:r>
        <w:rPr>
          <w:lang w:val="en-GB"/>
        </w:rPr>
        <w:t>Ultraviolet-visible (</w:t>
      </w:r>
      <w:r w:rsidR="00922326" w:rsidRPr="00922326">
        <w:rPr>
          <w:lang w:val="en-GB"/>
        </w:rPr>
        <w:t>UV-Vis</w:t>
      </w:r>
      <w:r>
        <w:rPr>
          <w:lang w:val="en-GB"/>
        </w:rPr>
        <w:t xml:space="preserve">) absorption </w:t>
      </w:r>
      <w:r w:rsidR="00922326" w:rsidRPr="00922326">
        <w:rPr>
          <w:lang w:val="en-GB"/>
        </w:rPr>
        <w:t xml:space="preserve">spectra were collected </w:t>
      </w:r>
      <w:r>
        <w:rPr>
          <w:lang w:val="en-GB"/>
        </w:rPr>
        <w:t xml:space="preserve">in THF solution </w:t>
      </w:r>
      <w:r w:rsidR="00922326" w:rsidRPr="00922326">
        <w:rPr>
          <w:lang w:val="en-GB"/>
        </w:rPr>
        <w:t>on a PerkinElmer Lambda EZ 201 spectrophotometer</w:t>
      </w:r>
      <w:r w:rsidR="00922326">
        <w:rPr>
          <w:lang w:val="en-GB"/>
        </w:rPr>
        <w:t>.</w:t>
      </w:r>
      <w:r>
        <w:rPr>
          <w:lang w:val="en-GB"/>
        </w:rPr>
        <w:t xml:space="preserve"> The solvent was used for the acquisition of the bank spectrum. </w:t>
      </w:r>
    </w:p>
    <w:p w14:paraId="0472BCC1" w14:textId="5D828D65" w:rsidR="00922326" w:rsidRDefault="00B2746E" w:rsidP="00D2528B">
      <w:pPr>
        <w:pStyle w:val="CETBodytext"/>
        <w:rPr>
          <w:lang w:val="en-GB"/>
        </w:rPr>
      </w:pPr>
      <w:r>
        <w:rPr>
          <w:lang w:val="en-GB"/>
        </w:rPr>
        <w:t>High-resolution</w:t>
      </w:r>
      <w:r w:rsidR="00D22806">
        <w:rPr>
          <w:lang w:val="en-GB"/>
        </w:rPr>
        <w:t xml:space="preserve"> m</w:t>
      </w:r>
      <w:r w:rsidR="00D22806" w:rsidRPr="00D22806">
        <w:rPr>
          <w:lang w:val="en-GB"/>
        </w:rPr>
        <w:t>atrix-assisted laser desorption/ionization Fourier transform ion cyclotron resonance mass spectrometry</w:t>
      </w:r>
      <w:r w:rsidR="00D22806">
        <w:rPr>
          <w:lang w:val="en-GB"/>
        </w:rPr>
        <w:t xml:space="preserve"> </w:t>
      </w:r>
      <w:r w:rsidR="00922326" w:rsidRPr="00922326">
        <w:rPr>
          <w:lang w:val="en-GB"/>
        </w:rPr>
        <w:t>(HR-MALDI FT-I</w:t>
      </w:r>
      <w:r w:rsidR="00922326">
        <w:rPr>
          <w:lang w:val="en-GB"/>
        </w:rPr>
        <w:t xml:space="preserve">CR MS) measurements of cyclic polymers </w:t>
      </w:r>
      <w:r w:rsidR="00922326" w:rsidRPr="00922326">
        <w:rPr>
          <w:lang w:val="en-GB"/>
        </w:rPr>
        <w:t>were performed using a Bruker Solaris XR instrument.</w:t>
      </w:r>
      <w:r w:rsidR="00D2528B" w:rsidRPr="00D2528B">
        <w:t xml:space="preserve"> </w:t>
      </w:r>
      <w:r w:rsidR="00D2528B" w:rsidRPr="00D2528B">
        <w:rPr>
          <w:lang w:val="en-GB"/>
        </w:rPr>
        <w:t xml:space="preserve">1.0 mg of </w:t>
      </w:r>
      <w:r w:rsidR="00D22806">
        <w:rPr>
          <w:lang w:val="en-GB"/>
        </w:rPr>
        <w:t xml:space="preserve">the polymer </w:t>
      </w:r>
      <w:r w:rsidR="00D2528B">
        <w:rPr>
          <w:lang w:val="en-GB"/>
        </w:rPr>
        <w:t xml:space="preserve">was dissolved in 1.0 mL </w:t>
      </w:r>
      <w:r w:rsidR="00D2528B" w:rsidRPr="00D2528B">
        <w:rPr>
          <w:lang w:val="en-GB"/>
        </w:rPr>
        <w:t xml:space="preserve">of </w:t>
      </w:r>
      <w:r w:rsidR="004A1751">
        <w:rPr>
          <w:lang w:val="en-GB"/>
        </w:rPr>
        <w:t>THF</w:t>
      </w:r>
      <w:r>
        <w:rPr>
          <w:lang w:val="en-GB"/>
        </w:rPr>
        <w:t>,</w:t>
      </w:r>
      <w:r w:rsidR="00D22806">
        <w:rPr>
          <w:lang w:val="en-GB"/>
        </w:rPr>
        <w:t xml:space="preserve"> and</w:t>
      </w:r>
      <w:r w:rsidR="00D2528B" w:rsidRPr="00D2528B">
        <w:rPr>
          <w:lang w:val="en-GB"/>
        </w:rPr>
        <w:t xml:space="preserve"> 4 μL of this solution was added </w:t>
      </w:r>
      <w:r w:rsidR="00D22806">
        <w:rPr>
          <w:lang w:val="en-GB"/>
        </w:rPr>
        <w:t>to</w:t>
      </w:r>
      <w:r w:rsidR="00D22806" w:rsidRPr="00D2528B">
        <w:rPr>
          <w:lang w:val="en-GB"/>
        </w:rPr>
        <w:t xml:space="preserve"> </w:t>
      </w:r>
      <w:r w:rsidR="00D2528B" w:rsidRPr="00D2528B">
        <w:rPr>
          <w:lang w:val="en-GB"/>
        </w:rPr>
        <w:t xml:space="preserve">45 μL of </w:t>
      </w:r>
      <w:r>
        <w:rPr>
          <w:lang w:val="en-GB"/>
        </w:rPr>
        <w:t xml:space="preserve">a </w:t>
      </w:r>
      <w:r w:rsidR="00D2528B" w:rsidRPr="00D2528B">
        <w:rPr>
          <w:lang w:val="en-GB"/>
        </w:rPr>
        <w:t>solution of</w:t>
      </w:r>
      <w:r w:rsidR="00D2528B">
        <w:rPr>
          <w:lang w:val="en-GB"/>
        </w:rPr>
        <w:t xml:space="preserve"> </w:t>
      </w:r>
      <w:r w:rsidR="00D2528B" w:rsidRPr="00336C39">
        <w:rPr>
          <w:i/>
          <w:iCs/>
          <w:lang w:val="en-GB"/>
        </w:rPr>
        <w:t>trans</w:t>
      </w:r>
      <w:r w:rsidR="00D2528B" w:rsidRPr="00D2528B">
        <w:rPr>
          <w:lang w:val="en-GB"/>
        </w:rPr>
        <w:t>-2-[3-(4-</w:t>
      </w:r>
      <w:r w:rsidR="00D2528B" w:rsidRPr="00336C39">
        <w:rPr>
          <w:i/>
          <w:iCs/>
          <w:lang w:val="en-GB"/>
        </w:rPr>
        <w:t>tert</w:t>
      </w:r>
      <w:r w:rsidR="00D2528B" w:rsidRPr="00D2528B">
        <w:rPr>
          <w:lang w:val="en-GB"/>
        </w:rPr>
        <w:t>-</w:t>
      </w:r>
      <w:r w:rsidR="00A55BFB">
        <w:rPr>
          <w:lang w:val="en-GB"/>
        </w:rPr>
        <w:t>butyl phenyl</w:t>
      </w:r>
      <w:r w:rsidR="00D2528B" w:rsidRPr="00D2528B">
        <w:rPr>
          <w:lang w:val="en-GB"/>
        </w:rPr>
        <w:t xml:space="preserve">)-2-methyl-2-propenylidene]malononitrile </w:t>
      </w:r>
      <w:r w:rsidR="00D22806">
        <w:rPr>
          <w:lang w:val="en-GB"/>
        </w:rPr>
        <w:t>(</w:t>
      </w:r>
      <w:r w:rsidR="00D2528B">
        <w:rPr>
          <w:lang w:val="en-GB"/>
        </w:rPr>
        <w:t xml:space="preserve">40 mM in </w:t>
      </w:r>
      <w:r w:rsidR="00D2528B" w:rsidRPr="00D2528B">
        <w:rPr>
          <w:lang w:val="en-GB"/>
        </w:rPr>
        <w:t>CH</w:t>
      </w:r>
      <w:r w:rsidR="00D2528B" w:rsidRPr="00D2528B">
        <w:rPr>
          <w:vertAlign w:val="subscript"/>
          <w:lang w:val="en-GB"/>
        </w:rPr>
        <w:t>2</w:t>
      </w:r>
      <w:r w:rsidR="00D2528B" w:rsidRPr="00D2528B">
        <w:rPr>
          <w:lang w:val="en-GB"/>
        </w:rPr>
        <w:t>Cl</w:t>
      </w:r>
      <w:r w:rsidR="00D2528B" w:rsidRPr="00D2528B">
        <w:rPr>
          <w:vertAlign w:val="subscript"/>
          <w:lang w:val="en-GB"/>
        </w:rPr>
        <w:t>2</w:t>
      </w:r>
      <w:r w:rsidR="00D22806">
        <w:rPr>
          <w:lang w:val="en-GB"/>
        </w:rPr>
        <w:t xml:space="preserve">) </w:t>
      </w:r>
      <w:r w:rsidR="00D2528B">
        <w:rPr>
          <w:lang w:val="en-GB"/>
        </w:rPr>
        <w:t xml:space="preserve">as matrix agent and </w:t>
      </w:r>
      <w:r w:rsidR="00D22806">
        <w:rPr>
          <w:lang w:val="en-GB"/>
        </w:rPr>
        <w:t>analysed.</w:t>
      </w:r>
    </w:p>
    <w:p w14:paraId="7CC2AFD2" w14:textId="1FD7DCDF" w:rsidR="00C176FC" w:rsidRDefault="00A61353" w:rsidP="00D2528B">
      <w:pPr>
        <w:pStyle w:val="CETBodytext"/>
      </w:pPr>
      <w:r>
        <w:rPr>
          <w:lang w:val="en-GB"/>
        </w:rPr>
        <w:t>Wide-angle x-ray diffraction (WAXD) patterns were obtained in reflection mode with an automatic Bruker D8 powder diffractometer using the nickel-filtered Cu</w:t>
      </w:r>
      <w:r w:rsidR="00B2746E">
        <w:rPr>
          <w:lang w:val="en-GB"/>
        </w:rPr>
        <w:t>-</w:t>
      </w:r>
      <w:r>
        <w:rPr>
          <w:lang w:val="en-GB"/>
        </w:rPr>
        <w:t>K</w:t>
      </w:r>
      <w:r w:rsidRPr="00A61353">
        <w:rPr>
          <w:rFonts w:cs="Arial"/>
          <w:vertAlign w:val="subscript"/>
          <w:lang w:val="en-GB"/>
        </w:rPr>
        <w:t>α</w:t>
      </w:r>
      <w:r>
        <w:rPr>
          <w:lang w:val="en-GB"/>
        </w:rPr>
        <w:t xml:space="preserve"> radiation.</w:t>
      </w:r>
      <w:r w:rsidR="00C176FC" w:rsidRPr="00C176FC">
        <w:t xml:space="preserve"> </w:t>
      </w:r>
    </w:p>
    <w:p w14:paraId="4F14DC7D" w14:textId="1EBA5825" w:rsidR="00A61353" w:rsidRDefault="00C176FC" w:rsidP="00D2528B">
      <w:pPr>
        <w:pStyle w:val="CETBodytext"/>
        <w:rPr>
          <w:lang w:val="en-GB"/>
        </w:rPr>
      </w:pPr>
      <w:r w:rsidRPr="00C176FC">
        <w:rPr>
          <w:lang w:val="en-GB"/>
        </w:rPr>
        <w:t xml:space="preserve">Electrochemical </w:t>
      </w:r>
      <w:r w:rsidR="00B2746E">
        <w:rPr>
          <w:lang w:val="en-GB"/>
        </w:rPr>
        <w:t>Impedance</w:t>
      </w:r>
      <w:r w:rsidR="00B2746E" w:rsidRPr="00C176FC">
        <w:rPr>
          <w:lang w:val="en-GB"/>
        </w:rPr>
        <w:t xml:space="preserve"> </w:t>
      </w:r>
      <w:r w:rsidRPr="00C176FC">
        <w:rPr>
          <w:lang w:val="en-GB"/>
        </w:rPr>
        <w:t xml:space="preserve">Spectroscopy (EIS) was performed with a Princeton 2273A potentiostat/galvanostat. The polymer was pressed </w:t>
      </w:r>
      <w:r w:rsidR="00B2746E">
        <w:rPr>
          <w:lang w:val="en-GB"/>
        </w:rPr>
        <w:t>into</w:t>
      </w:r>
      <w:r w:rsidR="00B2746E" w:rsidRPr="00C176FC">
        <w:rPr>
          <w:lang w:val="en-GB"/>
        </w:rPr>
        <w:t xml:space="preserve"> </w:t>
      </w:r>
      <w:r w:rsidRPr="00C176FC">
        <w:rPr>
          <w:lang w:val="en-GB"/>
        </w:rPr>
        <w:t>a cylindrical pellet (8 mm diameter, 0.7 mm thickness) and squeezed between two platinum electrodes. Measurements were carried out in the frequency range spanning from 2 MHz to 1 kHz at the open circuit potential with an AC perturbation wave of 10 mV. The data and the equivalent circuit were elaborated with “EC-lab” software (from Biologic). A R1/C1 equivalent circuit was used for fitting the data.</w:t>
      </w:r>
    </w:p>
    <w:p w14:paraId="1BBB5024" w14:textId="77777777" w:rsidR="00C176FC" w:rsidRPr="003560B7" w:rsidRDefault="00C176FC" w:rsidP="00D2528B">
      <w:pPr>
        <w:pStyle w:val="CETBodytext"/>
        <w:rPr>
          <w:lang w:val="en-GB"/>
        </w:rPr>
      </w:pPr>
    </w:p>
    <w:p w14:paraId="3680BA63" w14:textId="6DD45530" w:rsidR="0053731A" w:rsidRDefault="00D50F92" w:rsidP="00D22806">
      <w:pPr>
        <w:rPr>
          <w:lang w:val="en"/>
        </w:rPr>
      </w:pPr>
      <w:r>
        <w:rPr>
          <w:b/>
          <w:bCs/>
          <w:i/>
          <w:iCs/>
          <w:lang w:val="en"/>
        </w:rPr>
        <w:t xml:space="preserve">3.2 </w:t>
      </w:r>
      <w:r w:rsidR="00D22806" w:rsidRPr="002D2344">
        <w:rPr>
          <w:b/>
          <w:bCs/>
          <w:i/>
          <w:iCs/>
          <w:lang w:val="en"/>
        </w:rPr>
        <w:t>DFF polymerization</w:t>
      </w:r>
      <w:r w:rsidR="00DD3218">
        <w:rPr>
          <w:b/>
          <w:bCs/>
          <w:i/>
          <w:iCs/>
          <w:lang w:val="en"/>
        </w:rPr>
        <w:t xml:space="preserve"> (referred to Entry 3, Table 1)</w:t>
      </w:r>
      <w:r w:rsidR="00D22806">
        <w:rPr>
          <w:lang w:val="en"/>
        </w:rPr>
        <w:t xml:space="preserve">. A </w:t>
      </w:r>
      <w:r w:rsidR="00B2746E">
        <w:rPr>
          <w:lang w:val="en"/>
        </w:rPr>
        <w:t>round-bottom</w:t>
      </w:r>
      <w:r w:rsidR="00D22806">
        <w:rPr>
          <w:lang w:val="en"/>
        </w:rPr>
        <w:t xml:space="preserve"> flask equipped with a magnetic stir bar and condenser was charged with zinc dust (</w:t>
      </w:r>
      <w:r w:rsidR="00D22806" w:rsidRPr="00FA18EF">
        <w:rPr>
          <w:lang w:val="en"/>
        </w:rPr>
        <w:t>2.</w:t>
      </w:r>
      <w:r w:rsidR="00D22806">
        <w:rPr>
          <w:lang w:val="en"/>
        </w:rPr>
        <w:t>5</w:t>
      </w:r>
      <w:r w:rsidR="00D22806" w:rsidRPr="00FA18EF">
        <w:rPr>
          <w:lang w:val="en"/>
        </w:rPr>
        <w:t xml:space="preserve"> g</w:t>
      </w:r>
      <w:r w:rsidR="00435653">
        <w:rPr>
          <w:lang w:val="en"/>
        </w:rPr>
        <w:t>; 38 mmol</w:t>
      </w:r>
      <w:r w:rsidR="00D22806">
        <w:rPr>
          <w:lang w:val="en"/>
        </w:rPr>
        <w:t xml:space="preserve">), and </w:t>
      </w:r>
      <w:r w:rsidR="00D22806" w:rsidRPr="00FA18EF">
        <w:rPr>
          <w:lang w:val="en"/>
        </w:rPr>
        <w:t>vacuum/nitrogen cycles were performed</w:t>
      </w:r>
      <w:r w:rsidR="00D22806">
        <w:rPr>
          <w:lang w:val="en"/>
        </w:rPr>
        <w:t xml:space="preserve"> to generate an inert atmosphere inside the reactor. Dry </w:t>
      </w:r>
      <w:r w:rsidR="00D22806" w:rsidRPr="00FA18EF">
        <w:rPr>
          <w:lang w:val="en"/>
        </w:rPr>
        <w:t xml:space="preserve">THF </w:t>
      </w:r>
      <w:r w:rsidR="00D22806">
        <w:rPr>
          <w:lang w:val="en"/>
        </w:rPr>
        <w:t xml:space="preserve">(50 mL) </w:t>
      </w:r>
      <w:r w:rsidR="00D22806" w:rsidRPr="00FA18EF">
        <w:rPr>
          <w:lang w:val="en"/>
        </w:rPr>
        <w:t xml:space="preserve">was </w:t>
      </w:r>
      <w:r w:rsidR="00D22806">
        <w:rPr>
          <w:lang w:val="en"/>
        </w:rPr>
        <w:t>adde</w:t>
      </w:r>
      <w:r w:rsidR="00D22806" w:rsidRPr="00FA18EF">
        <w:rPr>
          <w:lang w:val="en"/>
        </w:rPr>
        <w:t>d</w:t>
      </w:r>
      <w:r w:rsidR="00D22806">
        <w:rPr>
          <w:lang w:val="en"/>
        </w:rPr>
        <w:t>,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 xml:space="preserve">followed by </w:t>
      </w:r>
      <w:r w:rsidR="00D22806" w:rsidRPr="00FA18EF">
        <w:rPr>
          <w:lang w:val="en"/>
        </w:rPr>
        <w:t>TiCl</w:t>
      </w:r>
      <w:r w:rsidR="00D22806" w:rsidRPr="00007537">
        <w:rPr>
          <w:vertAlign w:val="subscript"/>
          <w:lang w:val="en"/>
        </w:rPr>
        <w:t>4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>(</w:t>
      </w:r>
      <w:r w:rsidR="00D22806" w:rsidRPr="00FA18EF">
        <w:rPr>
          <w:lang w:val="en"/>
        </w:rPr>
        <w:t>3.</w:t>
      </w:r>
      <w:r w:rsidR="00D22806">
        <w:rPr>
          <w:lang w:val="en"/>
        </w:rPr>
        <w:t>5</w:t>
      </w:r>
      <w:r w:rsidR="00D22806" w:rsidRPr="00FA18EF">
        <w:rPr>
          <w:lang w:val="en"/>
        </w:rPr>
        <w:t xml:space="preserve"> g</w:t>
      </w:r>
      <w:r w:rsidR="00435653">
        <w:rPr>
          <w:lang w:val="en"/>
        </w:rPr>
        <w:t>; 18 mmol</w:t>
      </w:r>
      <w:r w:rsidR="00D22806">
        <w:rPr>
          <w:lang w:val="en"/>
        </w:rPr>
        <w:t>),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>and t</w:t>
      </w:r>
      <w:r w:rsidR="00D22806" w:rsidRPr="00FA18EF">
        <w:rPr>
          <w:lang w:val="en"/>
        </w:rPr>
        <w:t>he mixture was stirred at 85</w:t>
      </w:r>
      <w:r w:rsidR="00D22806">
        <w:rPr>
          <w:lang w:val="en"/>
        </w:rPr>
        <w:t xml:space="preserve"> °C for 2.5 hours.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>The reactor</w:t>
      </w:r>
      <w:r w:rsidR="00D22806" w:rsidRPr="00FA18EF">
        <w:rPr>
          <w:lang w:val="en"/>
        </w:rPr>
        <w:t xml:space="preserve"> was cooled in an ice bath</w:t>
      </w:r>
      <w:r w:rsidR="00D22806">
        <w:rPr>
          <w:lang w:val="en"/>
        </w:rPr>
        <w:t>,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 xml:space="preserve">and a solution </w:t>
      </w:r>
      <w:r w:rsidR="00D22806">
        <w:rPr>
          <w:lang w:val="en"/>
        </w:rPr>
        <w:lastRenderedPageBreak/>
        <w:t>of</w:t>
      </w:r>
      <w:r w:rsidR="00D22806" w:rsidRPr="00FA18EF">
        <w:rPr>
          <w:lang w:val="en"/>
        </w:rPr>
        <w:t xml:space="preserve"> DFF</w:t>
      </w:r>
      <w:r w:rsidR="00D22806">
        <w:rPr>
          <w:lang w:val="en"/>
        </w:rPr>
        <w:t xml:space="preserve"> in THF (</w:t>
      </w:r>
      <w:r w:rsidR="00D22806" w:rsidRPr="00FA18EF">
        <w:rPr>
          <w:lang w:val="en"/>
        </w:rPr>
        <w:t>18.5 m</w:t>
      </w:r>
      <w:r w:rsidR="00D22806">
        <w:rPr>
          <w:lang w:val="en"/>
        </w:rPr>
        <w:t xml:space="preserve">L, </w:t>
      </w:r>
      <w:r w:rsidR="00D22806" w:rsidRPr="00FA18EF">
        <w:rPr>
          <w:lang w:val="en"/>
        </w:rPr>
        <w:t>0.27 M</w:t>
      </w:r>
      <w:r w:rsidR="00D22806">
        <w:rPr>
          <w:lang w:val="en"/>
        </w:rPr>
        <w:t xml:space="preserve">, </w:t>
      </w:r>
      <w:r w:rsidR="00D22806" w:rsidRPr="00FA18EF">
        <w:rPr>
          <w:lang w:val="en"/>
        </w:rPr>
        <w:t xml:space="preserve">corresponding to </w:t>
      </w:r>
      <w:r w:rsidR="00D22806">
        <w:rPr>
          <w:lang w:val="en"/>
        </w:rPr>
        <w:t>5 mmol</w:t>
      </w:r>
      <w:r w:rsidR="00D22806" w:rsidRPr="00FA18EF">
        <w:rPr>
          <w:lang w:val="en"/>
        </w:rPr>
        <w:t xml:space="preserve"> of DFF</w:t>
      </w:r>
      <w:r w:rsidR="00D22806">
        <w:rPr>
          <w:lang w:val="en"/>
        </w:rPr>
        <w:t>)</w:t>
      </w:r>
      <w:r w:rsidR="00D22806" w:rsidRPr="00FA18EF">
        <w:rPr>
          <w:lang w:val="en"/>
        </w:rPr>
        <w:t xml:space="preserve"> </w:t>
      </w:r>
      <w:r w:rsidR="00D22806">
        <w:rPr>
          <w:lang w:val="en"/>
        </w:rPr>
        <w:t xml:space="preserve">was then added, </w:t>
      </w:r>
      <w:r w:rsidR="00D22806" w:rsidRPr="00FA18EF">
        <w:rPr>
          <w:lang w:val="en"/>
        </w:rPr>
        <w:t>and the reaction was carried out for 2</w:t>
      </w:r>
      <w:r w:rsidR="00541E69">
        <w:rPr>
          <w:lang w:val="en"/>
        </w:rPr>
        <w:t>.5</w:t>
      </w:r>
      <w:r w:rsidR="00D22806" w:rsidRPr="00FA18EF">
        <w:rPr>
          <w:lang w:val="en"/>
        </w:rPr>
        <w:t xml:space="preserve"> hours at </w:t>
      </w:r>
      <w:r w:rsidR="00541E69">
        <w:rPr>
          <w:lang w:val="en"/>
        </w:rPr>
        <w:t>30 °C</w:t>
      </w:r>
      <w:r w:rsidR="00D22806" w:rsidRPr="00FA18EF">
        <w:rPr>
          <w:lang w:val="en"/>
        </w:rPr>
        <w:t>.</w:t>
      </w:r>
      <w:r w:rsidR="00D22806">
        <w:rPr>
          <w:lang w:val="en"/>
        </w:rPr>
        <w:t xml:space="preserve"> </w:t>
      </w:r>
      <w:r w:rsidR="00D22806" w:rsidRPr="00FA18EF">
        <w:rPr>
          <w:lang w:val="en"/>
        </w:rPr>
        <w:t xml:space="preserve">The workup </w:t>
      </w:r>
      <w:r w:rsidR="00D22806">
        <w:rPr>
          <w:lang w:val="en"/>
        </w:rPr>
        <w:t xml:space="preserve">of the reaction </w:t>
      </w:r>
      <w:r w:rsidR="00D22806" w:rsidRPr="00FA18EF">
        <w:rPr>
          <w:lang w:val="en"/>
        </w:rPr>
        <w:t>was performed by extraction with water/diethyl ether, followed by drying the organic phase with MgSO</w:t>
      </w:r>
      <w:r w:rsidR="00D22806" w:rsidRPr="00FA18EF">
        <w:rPr>
          <w:vertAlign w:val="subscript"/>
          <w:lang w:val="en"/>
        </w:rPr>
        <w:t>4</w:t>
      </w:r>
      <w:r w:rsidR="00D22806">
        <w:rPr>
          <w:lang w:val="en"/>
        </w:rPr>
        <w:t xml:space="preserve">. After filtration, the solvent was removed by </w:t>
      </w:r>
      <w:r w:rsidR="00DA4F7E">
        <w:rPr>
          <w:lang w:val="en"/>
        </w:rPr>
        <w:t xml:space="preserve">a </w:t>
      </w:r>
      <w:r w:rsidR="00D22806">
        <w:rPr>
          <w:lang w:val="en"/>
        </w:rPr>
        <w:t xml:space="preserve">rotary evaporator </w:t>
      </w:r>
      <w:r w:rsidR="00D22806" w:rsidRPr="00FA18EF">
        <w:rPr>
          <w:lang w:val="en"/>
        </w:rPr>
        <w:t>to isolate the reaction product</w:t>
      </w:r>
      <w:r w:rsidR="00D22806">
        <w:rPr>
          <w:lang w:val="en"/>
        </w:rPr>
        <w:t xml:space="preserve"> in the form of a dark red oil (Yield = 42 %</w:t>
      </w:r>
      <w:r w:rsidR="00D22806">
        <w:rPr>
          <w:vertAlign w:val="subscript"/>
          <w:lang w:val="en"/>
        </w:rPr>
        <w:t>wt</w:t>
      </w:r>
      <w:r w:rsidR="00D22806">
        <w:rPr>
          <w:lang w:val="en"/>
        </w:rPr>
        <w:t>).</w:t>
      </w:r>
      <w:r w:rsidR="00B649A1">
        <w:rPr>
          <w:lang w:val="en"/>
        </w:rPr>
        <w:t xml:space="preserve"> </w:t>
      </w:r>
    </w:p>
    <w:p w14:paraId="64C6F324" w14:textId="6481E15A" w:rsidR="00D22806" w:rsidRPr="00D92265" w:rsidRDefault="00B649A1" w:rsidP="00D22806">
      <w:pPr>
        <w:rPr>
          <w:color w:val="000000" w:themeColor="text1"/>
          <w:lang w:val="en"/>
        </w:rPr>
      </w:pPr>
      <w:bookmarkStart w:id="2" w:name="_GoBack"/>
      <w:bookmarkEnd w:id="2"/>
      <w:r w:rsidRPr="00864696">
        <w:rPr>
          <w:color w:val="000000" w:themeColor="text1"/>
          <w:lang w:val="en"/>
        </w:rPr>
        <w:t xml:space="preserve">The Ti/DFF molar ratio was investigated between </w:t>
      </w:r>
      <w:r w:rsidR="00D92265" w:rsidRPr="00864696">
        <w:rPr>
          <w:color w:val="000000" w:themeColor="text1"/>
          <w:lang w:val="en"/>
        </w:rPr>
        <w:t xml:space="preserve">0.4 </w:t>
      </w:r>
      <w:r w:rsidRPr="00864696">
        <w:rPr>
          <w:color w:val="000000" w:themeColor="text1"/>
          <w:lang w:val="en"/>
        </w:rPr>
        <w:t xml:space="preserve">and </w:t>
      </w:r>
      <w:r w:rsidR="00D92265" w:rsidRPr="00864696">
        <w:rPr>
          <w:color w:val="000000" w:themeColor="text1"/>
          <w:lang w:val="en"/>
        </w:rPr>
        <w:t>3.6, so as to explore both an excess and a defect of Ti with respect to DFF. The same was done regarding the Zn/Ti molar ratio, explored between 2.1 and 30.</w:t>
      </w:r>
      <w:r w:rsidRPr="00864696">
        <w:rPr>
          <w:color w:val="000000" w:themeColor="text1"/>
          <w:lang w:val="en"/>
        </w:rPr>
        <w:t xml:space="preserve"> </w:t>
      </w:r>
      <w:r w:rsidR="00864696" w:rsidRPr="00864696">
        <w:rPr>
          <w:color w:val="000000" w:themeColor="text1"/>
          <w:lang w:val="en"/>
        </w:rPr>
        <w:t>T</w:t>
      </w:r>
      <w:r w:rsidRPr="00864696">
        <w:rPr>
          <w:color w:val="000000" w:themeColor="text1"/>
          <w:lang w:val="en"/>
        </w:rPr>
        <w:t xml:space="preserve">he temperature was investigated between </w:t>
      </w:r>
      <w:r w:rsidR="00D92265" w:rsidRPr="00864696">
        <w:rPr>
          <w:color w:val="000000" w:themeColor="text1"/>
          <w:lang w:val="en"/>
        </w:rPr>
        <w:t>30</w:t>
      </w:r>
      <w:r w:rsidRPr="00864696">
        <w:rPr>
          <w:color w:val="000000" w:themeColor="text1"/>
          <w:lang w:val="en"/>
        </w:rPr>
        <w:t xml:space="preserve"> and </w:t>
      </w:r>
      <w:r w:rsidR="00D92265" w:rsidRPr="00864696">
        <w:rPr>
          <w:color w:val="000000" w:themeColor="text1"/>
          <w:lang w:val="en"/>
        </w:rPr>
        <w:t xml:space="preserve">120, </w:t>
      </w:r>
      <w:r w:rsidR="00864696" w:rsidRPr="00864696">
        <w:rPr>
          <w:color w:val="000000" w:themeColor="text1"/>
          <w:lang w:val="en"/>
        </w:rPr>
        <w:t>using THF or Dioxane depending on the temperature chosen to conduct the reaction.</w:t>
      </w:r>
    </w:p>
    <w:p w14:paraId="4ABE90E4" w14:textId="77777777" w:rsidR="00DA71B6" w:rsidRPr="00864696" w:rsidRDefault="00DA71B6" w:rsidP="0084160A">
      <w:pPr>
        <w:pStyle w:val="CETBodytext"/>
        <w:rPr>
          <w:bCs/>
          <w:lang w:val="en"/>
        </w:rPr>
      </w:pPr>
    </w:p>
    <w:p w14:paraId="39CD79C0" w14:textId="5B81E5BD" w:rsidR="0084160A" w:rsidRDefault="00D50F92" w:rsidP="0084160A">
      <w:pPr>
        <w:pStyle w:val="CETBodytext"/>
        <w:rPr>
          <w:b/>
          <w:lang w:val="pt-BR"/>
        </w:rPr>
      </w:pPr>
      <w:r>
        <w:rPr>
          <w:b/>
          <w:lang w:val="pt-BR"/>
        </w:rPr>
        <w:t xml:space="preserve">4. </w:t>
      </w:r>
      <w:r w:rsidR="0084160A" w:rsidRPr="0084160A">
        <w:rPr>
          <w:b/>
          <w:lang w:val="pt-BR"/>
        </w:rPr>
        <w:t>Results and Discussion</w:t>
      </w:r>
    </w:p>
    <w:p w14:paraId="18DB6B22" w14:textId="6F6CFE18" w:rsidR="00CA0616" w:rsidRDefault="00492526" w:rsidP="00143D37">
      <w:r>
        <w:t xml:space="preserve">The optimization of the reaction condition has been performed </w:t>
      </w:r>
      <w:r w:rsidR="00CD712E">
        <w:t xml:space="preserve">in </w:t>
      </w:r>
      <w:r>
        <w:t>stainless steel pressure reactors</w:t>
      </w:r>
      <w:r w:rsidR="00CD712E">
        <w:t xml:space="preserve"> </w:t>
      </w:r>
      <w:r>
        <w:t>or</w:t>
      </w:r>
      <w:r w:rsidR="00FF3609" w:rsidRPr="00FF3609">
        <w:t xml:space="preserve"> Schlenk </w:t>
      </w:r>
      <w:r w:rsidRPr="00FF3609">
        <w:t>glass</w:t>
      </w:r>
      <w:r>
        <w:t>ware</w:t>
      </w:r>
      <w:r w:rsidR="00FF3609" w:rsidRPr="00FF3609">
        <w:t xml:space="preserve">, varying different reaction parameters to optimize the synthesis of the </w:t>
      </w:r>
      <w:r>
        <w:t>poly</w:t>
      </w:r>
      <w:r w:rsidRPr="00FF3609">
        <w:t>olefin</w:t>
      </w:r>
      <w:r w:rsidR="00FF3609" w:rsidRPr="00FF3609">
        <w:t xml:space="preserve"> product</w:t>
      </w:r>
      <w:r w:rsidR="00210DA3">
        <w:t>, i.e., the poly</w:t>
      </w:r>
      <w:r w:rsidR="00210DA3" w:rsidRPr="00210DA3">
        <w:t>(2,5-furylene vinylene)</w:t>
      </w:r>
      <w:r w:rsidR="00210DA3">
        <w:t xml:space="preserve"> (PFV)</w:t>
      </w:r>
      <w:r w:rsidR="00FF3609" w:rsidRPr="00FF3609">
        <w:t xml:space="preserve">. In particular, </w:t>
      </w:r>
      <w:r w:rsidR="00B2746E">
        <w:t>the molar ratio between reagents, solvent, reaction temperature, and reducing species were the parameters</w:t>
      </w:r>
      <w:r w:rsidR="009B65B7">
        <w:t xml:space="preserve"> investigated</w:t>
      </w:r>
      <w:r w:rsidR="00FF3609" w:rsidRPr="00FF3609">
        <w:t xml:space="preserve">. </w:t>
      </w:r>
      <w:r w:rsidR="00FF3609" w:rsidRPr="000B298C">
        <w:t xml:space="preserve">In order to promote the formation of the </w:t>
      </w:r>
      <w:r w:rsidR="00210DA3">
        <w:t>PFV</w:t>
      </w:r>
      <w:r w:rsidR="00FF3609" w:rsidRPr="000B298C">
        <w:t xml:space="preserve"> product, </w:t>
      </w:r>
      <w:r w:rsidR="000B298C" w:rsidRPr="000B298C">
        <w:t xml:space="preserve">an excess of </w:t>
      </w:r>
      <w:r w:rsidR="009B65B7">
        <w:t xml:space="preserve">zinc as a </w:t>
      </w:r>
      <w:r w:rsidR="000B298C" w:rsidRPr="000B298C">
        <w:t xml:space="preserve">reductant </w:t>
      </w:r>
      <w:r w:rsidR="009B65B7">
        <w:t xml:space="preserve">with respect </w:t>
      </w:r>
      <w:r w:rsidR="009B65B7" w:rsidRPr="000B298C">
        <w:t>to TiCl</w:t>
      </w:r>
      <w:r w:rsidR="009B65B7" w:rsidRPr="000B298C">
        <w:rPr>
          <w:vertAlign w:val="subscript"/>
        </w:rPr>
        <w:t>4</w:t>
      </w:r>
      <w:r w:rsidR="009B65B7">
        <w:t xml:space="preserve"> was used</w:t>
      </w:r>
      <w:r w:rsidR="000B298C" w:rsidRPr="000B298C">
        <w:t>.</w:t>
      </w:r>
      <w:r w:rsidR="00FF3609" w:rsidRPr="000B298C">
        <w:t xml:space="preserve"> </w:t>
      </w:r>
      <w:r w:rsidR="00FF3609" w:rsidRPr="00FF3609">
        <w:t xml:space="preserve">The </w:t>
      </w:r>
      <w:r w:rsidR="009B65B7">
        <w:t>type of</w:t>
      </w:r>
      <w:r w:rsidR="00FF3609" w:rsidRPr="00FF3609">
        <w:t xml:space="preserve"> solvent was also investigated</w:t>
      </w:r>
      <w:r w:rsidR="009B65B7">
        <w:t>.</w:t>
      </w:r>
      <w:r w:rsidR="009B65B7" w:rsidRPr="00FF3609">
        <w:t xml:space="preserve"> </w:t>
      </w:r>
      <w:r w:rsidR="00FF3609" w:rsidRPr="00FF3609">
        <w:t xml:space="preserve">THF </w:t>
      </w:r>
      <w:r w:rsidR="00CD712E">
        <w:t>was</w:t>
      </w:r>
      <w:r w:rsidR="00CD712E" w:rsidRPr="00FF3609">
        <w:t xml:space="preserve"> </w:t>
      </w:r>
      <w:r w:rsidR="00FF3609" w:rsidRPr="00FF3609">
        <w:t xml:space="preserve">used </w:t>
      </w:r>
      <w:r w:rsidR="00E81D0D">
        <w:t xml:space="preserve">both </w:t>
      </w:r>
      <w:r w:rsidR="00FF3609" w:rsidRPr="00FF3609">
        <w:t>at room temperature and reflux, as well as dioxane, which allowed temperatures up to 120°C.</w:t>
      </w:r>
      <w:r w:rsidR="001A5345" w:rsidRPr="001A5345">
        <w:t xml:space="preserve"> </w:t>
      </w:r>
      <w:r w:rsidR="00E81D0D" w:rsidRPr="00E81D0D">
        <w:t xml:space="preserve">The </w:t>
      </w:r>
      <w:r w:rsidR="009B65B7">
        <w:t xml:space="preserve">range of </w:t>
      </w:r>
      <w:r w:rsidR="00E81D0D" w:rsidRPr="00E81D0D">
        <w:t xml:space="preserve">temperature </w:t>
      </w:r>
      <w:r w:rsidR="009B65B7">
        <w:t>comprised between</w:t>
      </w:r>
      <w:r w:rsidR="00E81D0D" w:rsidRPr="00E81D0D">
        <w:t xml:space="preserve"> 25 to 80 °C </w:t>
      </w:r>
      <w:r w:rsidR="009B65B7">
        <w:t>was investigated by using stainless steel pressure</w:t>
      </w:r>
      <w:r w:rsidR="00E81D0D" w:rsidRPr="00E81D0D">
        <w:t xml:space="preserve"> </w:t>
      </w:r>
      <w:r w:rsidR="009B65B7">
        <w:t xml:space="preserve">reactors, without observing </w:t>
      </w:r>
      <w:r w:rsidR="00B2746E">
        <w:t xml:space="preserve">a </w:t>
      </w:r>
      <w:r w:rsidR="00E81D0D" w:rsidRPr="00E81D0D">
        <w:t>significant increase in the final yield</w:t>
      </w:r>
      <w:r w:rsidR="009B65B7">
        <w:t xml:space="preserve"> of the desired </w:t>
      </w:r>
      <w:r w:rsidR="00210DA3">
        <w:t xml:space="preserve">PFV </w:t>
      </w:r>
      <w:r w:rsidR="009B65B7">
        <w:t>product. D</w:t>
      </w:r>
      <w:r w:rsidR="00E81D0D" w:rsidRPr="00E81D0D">
        <w:t xml:space="preserve">ioxane </w:t>
      </w:r>
      <w:r w:rsidR="009B65B7">
        <w:t xml:space="preserve">was used </w:t>
      </w:r>
      <w:r w:rsidR="00E81D0D" w:rsidRPr="00E81D0D">
        <w:t xml:space="preserve">as </w:t>
      </w:r>
      <w:r w:rsidR="00CD712E">
        <w:t xml:space="preserve">a </w:t>
      </w:r>
      <w:r w:rsidR="00E81D0D" w:rsidRPr="00E81D0D">
        <w:t xml:space="preserve">solvent </w:t>
      </w:r>
      <w:r w:rsidR="009B65B7">
        <w:t xml:space="preserve">at higher </w:t>
      </w:r>
      <w:r w:rsidR="00B2746E">
        <w:t>temperatures (80-120 °C); however, incomplete conversion of DFF was observed</w:t>
      </w:r>
      <w:r w:rsidR="009B65B7">
        <w:t>.</w:t>
      </w:r>
      <w:r w:rsidR="00E81D0D">
        <w:t xml:space="preserve"> </w:t>
      </w:r>
      <w:r w:rsidR="000F1FFF">
        <w:t>The</w:t>
      </w:r>
      <w:r w:rsidR="00E81D0D" w:rsidRPr="00E81D0D">
        <w:t xml:space="preserve"> </w:t>
      </w:r>
      <w:r w:rsidR="009B65B7">
        <w:t>optimal</w:t>
      </w:r>
      <w:r w:rsidR="009B65B7" w:rsidRPr="00E81D0D">
        <w:t xml:space="preserve"> </w:t>
      </w:r>
      <w:r w:rsidR="00E81D0D" w:rsidRPr="00E81D0D">
        <w:t xml:space="preserve">conditions in terms of yield, </w:t>
      </w:r>
      <w:r w:rsidR="009B65B7">
        <w:t xml:space="preserve">facilitated </w:t>
      </w:r>
      <w:r w:rsidR="00E81D0D" w:rsidRPr="00E81D0D">
        <w:t>purification</w:t>
      </w:r>
      <w:r w:rsidR="00B2746E">
        <w:t>,</w:t>
      </w:r>
      <w:r w:rsidR="00E81D0D" w:rsidRPr="00E81D0D">
        <w:t xml:space="preserve"> and </w:t>
      </w:r>
      <w:r w:rsidR="009B65B7">
        <w:t xml:space="preserve">increased </w:t>
      </w:r>
      <w:r w:rsidR="00E81D0D" w:rsidRPr="00E81D0D">
        <w:t>selectivity towards the</w:t>
      </w:r>
      <w:r w:rsidR="009B65B7">
        <w:t xml:space="preserve"> formation of the </w:t>
      </w:r>
      <w:r w:rsidR="00210DA3">
        <w:t>PFV</w:t>
      </w:r>
      <w:r w:rsidR="00E81D0D" w:rsidRPr="00E81D0D">
        <w:t xml:space="preserve"> product </w:t>
      </w:r>
      <w:r w:rsidR="009B65B7">
        <w:t>were obtained in THF at room temperature, as detailed in</w:t>
      </w:r>
      <w:r w:rsidR="00B2746E">
        <w:t xml:space="preserve"> the</w:t>
      </w:r>
      <w:r w:rsidR="00E81D0D">
        <w:t xml:space="preserve"> </w:t>
      </w:r>
      <w:r w:rsidR="009B65B7">
        <w:t xml:space="preserve">Methods </w:t>
      </w:r>
      <w:r w:rsidR="00E81D0D">
        <w:t>paragraph.</w:t>
      </w:r>
      <w:r w:rsidR="000B298C">
        <w:t xml:space="preserve"> </w:t>
      </w:r>
    </w:p>
    <w:p w14:paraId="77E854C4" w14:textId="77777777" w:rsidR="00DD3218" w:rsidRPr="00B57B36" w:rsidRDefault="00DD3218" w:rsidP="00DD3218">
      <w:pPr>
        <w:pStyle w:val="CETTabletitle"/>
      </w:pPr>
      <w:r w:rsidRPr="00B57B36">
        <w:t xml:space="preserve">Table 1: </w:t>
      </w:r>
      <w:r>
        <w:t>McMurry reaction conditions for the selective synthesis of</w:t>
      </w:r>
      <w:r w:rsidRPr="00E85932">
        <w:t xml:space="preserve"> conjugated cyclic polymers </w:t>
      </w:r>
      <w:r>
        <w:t>of</w:t>
      </w:r>
      <w:r w:rsidRPr="00E85932">
        <w:t xml:space="preserve"> DFF</w:t>
      </w:r>
      <w:r>
        <w:t>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6"/>
        <w:gridCol w:w="944"/>
        <w:gridCol w:w="1008"/>
        <w:gridCol w:w="1108"/>
        <w:gridCol w:w="1008"/>
        <w:gridCol w:w="1163"/>
        <w:gridCol w:w="716"/>
        <w:gridCol w:w="480"/>
        <w:gridCol w:w="1059"/>
        <w:gridCol w:w="765"/>
      </w:tblGrid>
      <w:tr w:rsidR="00DD3218" w:rsidRPr="00B57B36" w14:paraId="731409CD" w14:textId="77777777" w:rsidTr="00C25658">
        <w:tc>
          <w:tcPr>
            <w:tcW w:w="567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2708D0E6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Entry</w:t>
            </w:r>
          </w:p>
        </w:tc>
        <w:tc>
          <w:tcPr>
            <w:tcW w:w="993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1842DE66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Reducent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585AB689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TiCl</w:t>
            </w:r>
            <w:r>
              <w:rPr>
                <w:vertAlign w:val="subscript"/>
                <w:lang w:val="en-GB"/>
              </w:rPr>
              <w:t>4</w:t>
            </w:r>
          </w:p>
          <w:p w14:paraId="2B198A8D" w14:textId="77777777" w:rsidR="00DD3218" w:rsidRPr="000752F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(mmol)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0DE50277" w14:textId="77777777" w:rsidR="00DD3218" w:rsidRDefault="00DD3218" w:rsidP="00C25658">
            <w:pPr>
              <w:pStyle w:val="CETBodytext"/>
              <w:ind w:right="-1"/>
              <w:rPr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[Red.]/[</w:t>
            </w:r>
            <w:r>
              <w:rPr>
                <w:lang w:val="en-GB"/>
              </w:rPr>
              <w:t>TiCl</w:t>
            </w:r>
            <w:r>
              <w:rPr>
                <w:vertAlign w:val="subscript"/>
                <w:lang w:val="en-GB"/>
              </w:rPr>
              <w:t>4</w:t>
            </w:r>
            <w:r>
              <w:rPr>
                <w:lang w:val="en-GB"/>
              </w:rPr>
              <w:t>]</w:t>
            </w:r>
          </w:p>
          <w:p w14:paraId="259C4E66" w14:textId="77777777" w:rsidR="00DD3218" w:rsidRPr="00CA5F7D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lang w:val="en-GB"/>
              </w:rPr>
              <w:t>molar ratio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7878573F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DFF</w:t>
            </w:r>
          </w:p>
          <w:p w14:paraId="3BB814EE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(mmol)</w:t>
            </w:r>
          </w:p>
        </w:tc>
        <w:tc>
          <w:tcPr>
            <w:tcW w:w="130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2007D0D8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Solvent</w:t>
            </w:r>
          </w:p>
          <w:p w14:paraId="66E3B4E6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(mL)</w:t>
            </w:r>
          </w:p>
        </w:tc>
        <w:tc>
          <w:tcPr>
            <w:tcW w:w="822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489FD1DE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time</w:t>
            </w:r>
          </w:p>
          <w:p w14:paraId="36430438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(h)</w:t>
            </w:r>
          </w:p>
        </w:tc>
        <w:tc>
          <w:tcPr>
            <w:tcW w:w="525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4405B8A0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 xml:space="preserve">T </w:t>
            </w:r>
          </w:p>
          <w:p w14:paraId="2A88BBA0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(°C)</w:t>
            </w:r>
          </w:p>
        </w:tc>
        <w:tc>
          <w:tcPr>
            <w:tcW w:w="1176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5A92B95F" w14:textId="77777777" w:rsidR="00DD3218" w:rsidRPr="006305BE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Reactor</w:t>
            </w:r>
          </w:p>
        </w:tc>
        <w:tc>
          <w:tcPr>
            <w:tcW w:w="84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14:paraId="49DE5FF5" w14:textId="77777777" w:rsidR="00DD3218" w:rsidRPr="006305BE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Yield</w:t>
            </w:r>
            <w:r w:rsidRPr="00D92265">
              <w:rPr>
                <w:rFonts w:cs="Arial"/>
                <w:i/>
                <w:iCs/>
                <w:szCs w:val="18"/>
                <w:vertAlign w:val="superscript"/>
                <w:lang w:val="en-GB"/>
              </w:rPr>
              <w:t>a</w:t>
            </w:r>
            <w:r>
              <w:rPr>
                <w:rFonts w:cs="Arial"/>
                <w:szCs w:val="18"/>
                <w:lang w:val="en-GB"/>
              </w:rPr>
              <w:t xml:space="preserve"> (%</w:t>
            </w:r>
            <w:r>
              <w:rPr>
                <w:rFonts w:cs="Arial"/>
                <w:szCs w:val="18"/>
                <w:vertAlign w:val="subscript"/>
                <w:lang w:val="en-GB"/>
              </w:rPr>
              <w:t>wt</w:t>
            </w:r>
            <w:r>
              <w:rPr>
                <w:rFonts w:cs="Arial"/>
                <w:szCs w:val="18"/>
                <w:lang w:val="en-GB"/>
              </w:rPr>
              <w:t>)</w:t>
            </w:r>
          </w:p>
        </w:tc>
      </w:tr>
      <w:tr w:rsidR="00DD3218" w:rsidRPr="00B57B36" w14:paraId="1DD3290F" w14:textId="77777777" w:rsidTr="00C25658">
        <w:tc>
          <w:tcPr>
            <w:tcW w:w="567" w:type="dxa"/>
            <w:shd w:val="clear" w:color="auto" w:fill="FFFFFF"/>
          </w:tcPr>
          <w:p w14:paraId="62C8E878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508B2C1E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Zn</w:t>
            </w:r>
          </w:p>
        </w:tc>
        <w:tc>
          <w:tcPr>
            <w:tcW w:w="1134" w:type="dxa"/>
            <w:shd w:val="clear" w:color="auto" w:fill="FFFFFF"/>
          </w:tcPr>
          <w:p w14:paraId="062863A7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683AE98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12/1</w:t>
            </w:r>
          </w:p>
        </w:tc>
        <w:tc>
          <w:tcPr>
            <w:tcW w:w="1134" w:type="dxa"/>
            <w:shd w:val="clear" w:color="auto" w:fill="FFFFFF"/>
          </w:tcPr>
          <w:p w14:paraId="14CDEE83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</w:t>
            </w:r>
          </w:p>
        </w:tc>
        <w:tc>
          <w:tcPr>
            <w:tcW w:w="1304" w:type="dxa"/>
            <w:shd w:val="clear" w:color="auto" w:fill="FFFFFF"/>
          </w:tcPr>
          <w:p w14:paraId="3B43E3A5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THF (10)</w:t>
            </w:r>
          </w:p>
        </w:tc>
        <w:tc>
          <w:tcPr>
            <w:tcW w:w="822" w:type="dxa"/>
            <w:shd w:val="clear" w:color="auto" w:fill="FFFFFF"/>
          </w:tcPr>
          <w:p w14:paraId="3680F26E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44</w:t>
            </w:r>
          </w:p>
        </w:tc>
        <w:tc>
          <w:tcPr>
            <w:tcW w:w="525" w:type="dxa"/>
            <w:shd w:val="clear" w:color="auto" w:fill="FFFFFF"/>
          </w:tcPr>
          <w:p w14:paraId="0BE1365D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60</w:t>
            </w:r>
          </w:p>
        </w:tc>
        <w:tc>
          <w:tcPr>
            <w:tcW w:w="1176" w:type="dxa"/>
            <w:shd w:val="clear" w:color="auto" w:fill="FFFFFF"/>
          </w:tcPr>
          <w:p w14:paraId="59EF3D70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Steel reactor</w:t>
            </w:r>
          </w:p>
        </w:tc>
        <w:tc>
          <w:tcPr>
            <w:tcW w:w="849" w:type="dxa"/>
            <w:shd w:val="clear" w:color="auto" w:fill="FFFFFF"/>
          </w:tcPr>
          <w:p w14:paraId="4A14DF9B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0</w:t>
            </w:r>
          </w:p>
        </w:tc>
      </w:tr>
      <w:tr w:rsidR="00DD3218" w:rsidRPr="00B57B36" w14:paraId="378948AC" w14:textId="77777777" w:rsidTr="00C25658">
        <w:tc>
          <w:tcPr>
            <w:tcW w:w="567" w:type="dxa"/>
            <w:shd w:val="clear" w:color="auto" w:fill="FFFFFF"/>
          </w:tcPr>
          <w:p w14:paraId="48DADF91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14:paraId="0FBFA395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Zn</w:t>
            </w:r>
          </w:p>
        </w:tc>
        <w:tc>
          <w:tcPr>
            <w:tcW w:w="1134" w:type="dxa"/>
            <w:shd w:val="clear" w:color="auto" w:fill="FFFFFF"/>
          </w:tcPr>
          <w:p w14:paraId="45F33FCE" w14:textId="77777777" w:rsidR="00DD3218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1.2</w:t>
            </w:r>
          </w:p>
        </w:tc>
        <w:tc>
          <w:tcPr>
            <w:tcW w:w="1134" w:type="dxa"/>
            <w:shd w:val="clear" w:color="auto" w:fill="FFFFFF"/>
          </w:tcPr>
          <w:p w14:paraId="1FE38FEA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20/1</w:t>
            </w:r>
          </w:p>
        </w:tc>
        <w:tc>
          <w:tcPr>
            <w:tcW w:w="1134" w:type="dxa"/>
            <w:shd w:val="clear" w:color="auto" w:fill="FFFFFF"/>
          </w:tcPr>
          <w:p w14:paraId="7814C1D2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</w:t>
            </w:r>
          </w:p>
        </w:tc>
        <w:tc>
          <w:tcPr>
            <w:tcW w:w="1304" w:type="dxa"/>
            <w:shd w:val="clear" w:color="auto" w:fill="FFFFFF"/>
          </w:tcPr>
          <w:p w14:paraId="4F5C8FDF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THF (10)</w:t>
            </w:r>
          </w:p>
        </w:tc>
        <w:tc>
          <w:tcPr>
            <w:tcW w:w="822" w:type="dxa"/>
            <w:shd w:val="clear" w:color="auto" w:fill="FFFFFF"/>
          </w:tcPr>
          <w:p w14:paraId="2D083E25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24</w:t>
            </w:r>
          </w:p>
        </w:tc>
        <w:tc>
          <w:tcPr>
            <w:tcW w:w="525" w:type="dxa"/>
            <w:shd w:val="clear" w:color="auto" w:fill="FFFFFF"/>
          </w:tcPr>
          <w:p w14:paraId="3044ED01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30</w:t>
            </w:r>
          </w:p>
        </w:tc>
        <w:tc>
          <w:tcPr>
            <w:tcW w:w="1176" w:type="dxa"/>
            <w:shd w:val="clear" w:color="auto" w:fill="FFFFFF"/>
          </w:tcPr>
          <w:p w14:paraId="5F4517DA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Steel reactor</w:t>
            </w:r>
          </w:p>
        </w:tc>
        <w:tc>
          <w:tcPr>
            <w:tcW w:w="849" w:type="dxa"/>
            <w:shd w:val="clear" w:color="auto" w:fill="FFFFFF"/>
          </w:tcPr>
          <w:p w14:paraId="78B0F3E3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0</w:t>
            </w:r>
          </w:p>
        </w:tc>
      </w:tr>
      <w:tr w:rsidR="00DD3218" w:rsidRPr="00B57B36" w14:paraId="7892AEA9" w14:textId="77777777" w:rsidTr="00C25658">
        <w:tc>
          <w:tcPr>
            <w:tcW w:w="567" w:type="dxa"/>
            <w:shd w:val="clear" w:color="auto" w:fill="FFFFFF"/>
          </w:tcPr>
          <w:p w14:paraId="28B5B60B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E158961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Zn</w:t>
            </w:r>
          </w:p>
        </w:tc>
        <w:tc>
          <w:tcPr>
            <w:tcW w:w="1134" w:type="dxa"/>
            <w:shd w:val="clear" w:color="auto" w:fill="FFFFFF"/>
          </w:tcPr>
          <w:p w14:paraId="7B442FB7" w14:textId="77777777" w:rsidR="00DD3218" w:rsidRPr="00B57B36" w:rsidRDefault="00DD3218" w:rsidP="00C25658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14:paraId="01E78BC0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2.1/1</w:t>
            </w:r>
          </w:p>
        </w:tc>
        <w:tc>
          <w:tcPr>
            <w:tcW w:w="1134" w:type="dxa"/>
            <w:shd w:val="clear" w:color="auto" w:fill="FFFFFF"/>
          </w:tcPr>
          <w:p w14:paraId="2AE8F96D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5</w:t>
            </w:r>
          </w:p>
        </w:tc>
        <w:tc>
          <w:tcPr>
            <w:tcW w:w="1304" w:type="dxa"/>
            <w:shd w:val="clear" w:color="auto" w:fill="FFFFFF"/>
          </w:tcPr>
          <w:p w14:paraId="46B598AD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THF (50)</w:t>
            </w:r>
          </w:p>
        </w:tc>
        <w:tc>
          <w:tcPr>
            <w:tcW w:w="822" w:type="dxa"/>
            <w:shd w:val="clear" w:color="auto" w:fill="FFFFFF"/>
          </w:tcPr>
          <w:p w14:paraId="3FAEF9AB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2.5</w:t>
            </w:r>
          </w:p>
        </w:tc>
        <w:tc>
          <w:tcPr>
            <w:tcW w:w="525" w:type="dxa"/>
            <w:shd w:val="clear" w:color="auto" w:fill="FFFFFF"/>
          </w:tcPr>
          <w:p w14:paraId="36ACE046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30</w:t>
            </w:r>
          </w:p>
        </w:tc>
        <w:tc>
          <w:tcPr>
            <w:tcW w:w="1176" w:type="dxa"/>
            <w:shd w:val="clear" w:color="auto" w:fill="FFFFFF"/>
          </w:tcPr>
          <w:p w14:paraId="2124BE64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Schlenk</w:t>
            </w:r>
          </w:p>
        </w:tc>
        <w:tc>
          <w:tcPr>
            <w:tcW w:w="849" w:type="dxa"/>
            <w:shd w:val="clear" w:color="auto" w:fill="FFFFFF"/>
          </w:tcPr>
          <w:p w14:paraId="19A8B774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42</w:t>
            </w:r>
          </w:p>
        </w:tc>
      </w:tr>
      <w:tr w:rsidR="00DD3218" w:rsidRPr="00B57B36" w14:paraId="5F99C9A0" w14:textId="77777777" w:rsidTr="00C25658">
        <w:tc>
          <w:tcPr>
            <w:tcW w:w="567" w:type="dxa"/>
            <w:shd w:val="clear" w:color="auto" w:fill="FFFFFF"/>
          </w:tcPr>
          <w:p w14:paraId="2E437B36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14:paraId="6DDA9D28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Mg</w:t>
            </w:r>
          </w:p>
        </w:tc>
        <w:tc>
          <w:tcPr>
            <w:tcW w:w="1134" w:type="dxa"/>
            <w:shd w:val="clear" w:color="auto" w:fill="FFFFFF"/>
          </w:tcPr>
          <w:p w14:paraId="76CBFFDD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  <w:tc>
          <w:tcPr>
            <w:tcW w:w="1134" w:type="dxa"/>
            <w:shd w:val="clear" w:color="auto" w:fill="FFFFFF"/>
          </w:tcPr>
          <w:p w14:paraId="0B23B6B4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20/1</w:t>
            </w:r>
          </w:p>
        </w:tc>
        <w:tc>
          <w:tcPr>
            <w:tcW w:w="1134" w:type="dxa"/>
            <w:shd w:val="clear" w:color="auto" w:fill="FFFFFF"/>
          </w:tcPr>
          <w:p w14:paraId="7424BCC7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</w:t>
            </w:r>
          </w:p>
        </w:tc>
        <w:tc>
          <w:tcPr>
            <w:tcW w:w="1304" w:type="dxa"/>
            <w:shd w:val="clear" w:color="auto" w:fill="FFFFFF"/>
          </w:tcPr>
          <w:p w14:paraId="406B10A2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Dioxane (10)</w:t>
            </w:r>
          </w:p>
        </w:tc>
        <w:tc>
          <w:tcPr>
            <w:tcW w:w="822" w:type="dxa"/>
            <w:shd w:val="clear" w:color="auto" w:fill="FFFFFF"/>
          </w:tcPr>
          <w:p w14:paraId="6669F7E2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72</w:t>
            </w:r>
          </w:p>
        </w:tc>
        <w:tc>
          <w:tcPr>
            <w:tcW w:w="525" w:type="dxa"/>
            <w:shd w:val="clear" w:color="auto" w:fill="FFFFFF"/>
          </w:tcPr>
          <w:p w14:paraId="0A577B90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100</w:t>
            </w:r>
          </w:p>
        </w:tc>
        <w:tc>
          <w:tcPr>
            <w:tcW w:w="1176" w:type="dxa"/>
            <w:shd w:val="clear" w:color="auto" w:fill="FFFFFF"/>
          </w:tcPr>
          <w:p w14:paraId="592BEA59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Schlenk</w:t>
            </w:r>
          </w:p>
        </w:tc>
        <w:tc>
          <w:tcPr>
            <w:tcW w:w="849" w:type="dxa"/>
            <w:shd w:val="clear" w:color="auto" w:fill="FFFFFF"/>
          </w:tcPr>
          <w:p w14:paraId="04CA4A87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24</w:t>
            </w:r>
          </w:p>
        </w:tc>
      </w:tr>
      <w:tr w:rsidR="00DD3218" w:rsidRPr="00B57B36" w14:paraId="49CDD233" w14:textId="77777777" w:rsidTr="00C25658">
        <w:tc>
          <w:tcPr>
            <w:tcW w:w="567" w:type="dxa"/>
            <w:shd w:val="clear" w:color="auto" w:fill="FFFFFF"/>
          </w:tcPr>
          <w:p w14:paraId="29D8DBE3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7F78685B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Mg</w:t>
            </w:r>
          </w:p>
        </w:tc>
        <w:tc>
          <w:tcPr>
            <w:tcW w:w="1134" w:type="dxa"/>
            <w:shd w:val="clear" w:color="auto" w:fill="FFFFFF"/>
          </w:tcPr>
          <w:p w14:paraId="4948638B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1.2</w:t>
            </w:r>
          </w:p>
        </w:tc>
        <w:tc>
          <w:tcPr>
            <w:tcW w:w="1134" w:type="dxa"/>
            <w:shd w:val="clear" w:color="auto" w:fill="FFFFFF"/>
          </w:tcPr>
          <w:p w14:paraId="791FA854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20/1</w:t>
            </w:r>
          </w:p>
        </w:tc>
        <w:tc>
          <w:tcPr>
            <w:tcW w:w="1134" w:type="dxa"/>
            <w:shd w:val="clear" w:color="auto" w:fill="FFFFFF"/>
          </w:tcPr>
          <w:p w14:paraId="4E89A0BE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</w:t>
            </w:r>
          </w:p>
        </w:tc>
        <w:tc>
          <w:tcPr>
            <w:tcW w:w="1304" w:type="dxa"/>
            <w:shd w:val="clear" w:color="auto" w:fill="FFFFFF"/>
          </w:tcPr>
          <w:p w14:paraId="10E8672D" w14:textId="498B830F" w:rsidR="00DD3218" w:rsidRPr="00B57B36" w:rsidRDefault="00D92265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Dioxane</w:t>
            </w:r>
            <w:r>
              <w:rPr>
                <w:rFonts w:cs="Arial"/>
                <w:szCs w:val="18"/>
                <w:lang w:val="en-GB"/>
              </w:rPr>
              <w:t xml:space="preserve"> </w:t>
            </w:r>
            <w:r w:rsidR="00DD3218">
              <w:rPr>
                <w:rFonts w:cs="Arial"/>
                <w:szCs w:val="18"/>
                <w:lang w:val="en-GB"/>
              </w:rPr>
              <w:t>(10)</w:t>
            </w:r>
          </w:p>
        </w:tc>
        <w:tc>
          <w:tcPr>
            <w:tcW w:w="822" w:type="dxa"/>
            <w:shd w:val="clear" w:color="auto" w:fill="FFFFFF"/>
          </w:tcPr>
          <w:p w14:paraId="3ECAEE22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24</w:t>
            </w:r>
          </w:p>
        </w:tc>
        <w:tc>
          <w:tcPr>
            <w:tcW w:w="525" w:type="dxa"/>
            <w:shd w:val="clear" w:color="auto" w:fill="FFFFFF"/>
          </w:tcPr>
          <w:p w14:paraId="0A1E5E74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120</w:t>
            </w:r>
          </w:p>
        </w:tc>
        <w:tc>
          <w:tcPr>
            <w:tcW w:w="1176" w:type="dxa"/>
            <w:shd w:val="clear" w:color="auto" w:fill="FFFFFF"/>
          </w:tcPr>
          <w:p w14:paraId="4A1A4249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Steel reactor</w:t>
            </w:r>
          </w:p>
        </w:tc>
        <w:tc>
          <w:tcPr>
            <w:tcW w:w="849" w:type="dxa"/>
            <w:shd w:val="clear" w:color="auto" w:fill="FFFFFF"/>
          </w:tcPr>
          <w:p w14:paraId="6C6DC28F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0</w:t>
            </w:r>
          </w:p>
        </w:tc>
      </w:tr>
      <w:tr w:rsidR="00DD3218" w:rsidRPr="00B57B36" w14:paraId="3E9D01A3" w14:textId="77777777" w:rsidTr="00C25658">
        <w:tc>
          <w:tcPr>
            <w:tcW w:w="567" w:type="dxa"/>
            <w:shd w:val="clear" w:color="auto" w:fill="FFFFFF"/>
          </w:tcPr>
          <w:p w14:paraId="7805B7E1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0E6C2C46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Mg</w:t>
            </w:r>
          </w:p>
        </w:tc>
        <w:tc>
          <w:tcPr>
            <w:tcW w:w="1134" w:type="dxa"/>
            <w:shd w:val="clear" w:color="auto" w:fill="FFFFFF"/>
          </w:tcPr>
          <w:p w14:paraId="66EB44E1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18</w:t>
            </w:r>
          </w:p>
        </w:tc>
        <w:tc>
          <w:tcPr>
            <w:tcW w:w="1134" w:type="dxa"/>
            <w:shd w:val="clear" w:color="auto" w:fill="FFFFFF"/>
          </w:tcPr>
          <w:p w14:paraId="6ABE6891" w14:textId="77777777" w:rsidR="00DD3218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30/1</w:t>
            </w:r>
          </w:p>
        </w:tc>
        <w:tc>
          <w:tcPr>
            <w:tcW w:w="1134" w:type="dxa"/>
            <w:shd w:val="clear" w:color="auto" w:fill="FFFFFF"/>
          </w:tcPr>
          <w:p w14:paraId="25BE740B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5</w:t>
            </w:r>
          </w:p>
        </w:tc>
        <w:tc>
          <w:tcPr>
            <w:tcW w:w="1304" w:type="dxa"/>
            <w:shd w:val="clear" w:color="auto" w:fill="FFFFFF"/>
          </w:tcPr>
          <w:p w14:paraId="16769D05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THF (80)</w:t>
            </w:r>
          </w:p>
        </w:tc>
        <w:tc>
          <w:tcPr>
            <w:tcW w:w="822" w:type="dxa"/>
            <w:shd w:val="clear" w:color="auto" w:fill="FFFFFF"/>
          </w:tcPr>
          <w:p w14:paraId="5F72862E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24</w:t>
            </w:r>
          </w:p>
        </w:tc>
        <w:tc>
          <w:tcPr>
            <w:tcW w:w="525" w:type="dxa"/>
            <w:shd w:val="clear" w:color="auto" w:fill="FFFFFF"/>
          </w:tcPr>
          <w:p w14:paraId="479289D9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85</w:t>
            </w:r>
          </w:p>
        </w:tc>
        <w:tc>
          <w:tcPr>
            <w:tcW w:w="1176" w:type="dxa"/>
            <w:shd w:val="clear" w:color="auto" w:fill="FFFFFF"/>
          </w:tcPr>
          <w:p w14:paraId="5BBF1C54" w14:textId="77777777" w:rsidR="00DD3218" w:rsidRPr="0036429A" w:rsidRDefault="00DD3218" w:rsidP="00C25658">
            <w:pPr>
              <w:pStyle w:val="CETBodytext"/>
              <w:ind w:right="-1"/>
              <w:rPr>
                <w:rFonts w:cs="Arial"/>
                <w:szCs w:val="18"/>
                <w:u w:val="single"/>
                <w:lang w:val="en-GB"/>
              </w:rPr>
            </w:pPr>
            <w:r w:rsidRPr="0036429A">
              <w:rPr>
                <w:rFonts w:cs="Arial"/>
                <w:szCs w:val="18"/>
                <w:lang w:val="en-GB"/>
              </w:rPr>
              <w:t>Schlenk</w:t>
            </w:r>
          </w:p>
        </w:tc>
        <w:tc>
          <w:tcPr>
            <w:tcW w:w="849" w:type="dxa"/>
            <w:shd w:val="clear" w:color="auto" w:fill="FFFFFF"/>
          </w:tcPr>
          <w:p w14:paraId="4DAE9BD4" w14:textId="77777777" w:rsidR="00DD3218" w:rsidRPr="00B57B36" w:rsidRDefault="00DD3218" w:rsidP="00C25658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35</w:t>
            </w:r>
          </w:p>
        </w:tc>
      </w:tr>
    </w:tbl>
    <w:p w14:paraId="28549A17" w14:textId="38804145" w:rsidR="00DD3218" w:rsidRPr="001A7B7F" w:rsidRDefault="00DD3218" w:rsidP="00DD3218">
      <w:r w:rsidRPr="00D92265">
        <w:rPr>
          <w:i/>
          <w:iCs/>
          <w:vertAlign w:val="superscript"/>
        </w:rPr>
        <w:t>a</w:t>
      </w:r>
      <w:r w:rsidR="00B2746E">
        <w:rPr>
          <w:vertAlign w:val="superscript"/>
        </w:rPr>
        <w:t xml:space="preserve"> </w:t>
      </w:r>
      <w:r>
        <w:t xml:space="preserve">Determined </w:t>
      </w:r>
      <w:r w:rsidR="00B2746E">
        <w:t>as follows</w:t>
      </w:r>
      <w:r>
        <w:t xml:space="preserve">: </w:t>
      </w:r>
      <w:r w:rsidR="00B2746E">
        <w:t xml:space="preserve">[weight </w:t>
      </w:r>
      <w:r>
        <w:t>of obtained product</w:t>
      </w:r>
      <w:r w:rsidR="00B2746E">
        <w:t xml:space="preserve"> (g)</w:t>
      </w:r>
      <w:r>
        <w:t>/</w:t>
      </w:r>
      <w:r w:rsidR="00B2746E">
        <w:t>weight</w:t>
      </w:r>
      <w:r>
        <w:t xml:space="preserve"> of DFF </w:t>
      </w:r>
      <w:r w:rsidR="00B2746E">
        <w:t>loaded (g)]</w:t>
      </w:r>
      <w:r>
        <w:rPr>
          <w:rFonts w:cs="Arial"/>
        </w:rPr>
        <w:t>∙</w:t>
      </w:r>
      <w:r>
        <w:t>100</w:t>
      </w:r>
      <w:r w:rsidR="00B2746E">
        <w:t>.</w:t>
      </w:r>
    </w:p>
    <w:p w14:paraId="17BE3AF4" w14:textId="77777777" w:rsidR="00DD3218" w:rsidRPr="00E81D0D" w:rsidRDefault="00DD3218" w:rsidP="00143D37"/>
    <w:p w14:paraId="0BC95532" w14:textId="651A97D7" w:rsidR="00DA71B6" w:rsidRDefault="001A5345" w:rsidP="00143D37">
      <w:r>
        <w:t xml:space="preserve">The </w:t>
      </w:r>
      <w:r w:rsidRPr="00675CD5">
        <w:rPr>
          <w:vertAlign w:val="superscript"/>
        </w:rPr>
        <w:t>1</w:t>
      </w:r>
      <w:r w:rsidRPr="00675CD5">
        <w:t>H-NMR</w:t>
      </w:r>
      <w:r>
        <w:t xml:space="preserve"> spectrum of </w:t>
      </w:r>
      <w:r w:rsidR="00210DA3">
        <w:t>PFV</w:t>
      </w:r>
      <w:r>
        <w:t xml:space="preserve"> is reported in </w:t>
      </w:r>
      <w:r w:rsidR="000F1FFF">
        <w:rPr>
          <w:i/>
        </w:rPr>
        <w:t xml:space="preserve">Figure </w:t>
      </w:r>
      <w:r>
        <w:rPr>
          <w:i/>
        </w:rPr>
        <w:t>2</w:t>
      </w:r>
      <w:r>
        <w:t xml:space="preserve"> (red </w:t>
      </w:r>
      <w:r w:rsidR="00210DA3">
        <w:t>spectrum</w:t>
      </w:r>
      <w:r>
        <w:t>).</w:t>
      </w:r>
      <w:r w:rsidR="000B298C">
        <w:t xml:space="preserve"> </w:t>
      </w:r>
      <w:r w:rsidR="00675CD5" w:rsidRPr="00675CD5">
        <w:t>The</w:t>
      </w:r>
      <w:r w:rsidR="00210DA3">
        <w:t xml:space="preserve"> presence of</w:t>
      </w:r>
      <w:r w:rsidR="00675CD5" w:rsidRPr="00675CD5">
        <w:t xml:space="preserve"> two</w:t>
      </w:r>
      <w:r w:rsidR="00210DA3">
        <w:t xml:space="preserve"> sharp</w:t>
      </w:r>
      <w:r w:rsidR="00675CD5" w:rsidRPr="00675CD5">
        <w:t xml:space="preserve"> signals at 9.01 and 8.92 ppm </w:t>
      </w:r>
      <w:r w:rsidR="00210DA3">
        <w:t xml:space="preserve">suggests </w:t>
      </w:r>
      <w:r w:rsidR="00675CD5" w:rsidRPr="00675CD5">
        <w:t>the presence of a symmetric species</w:t>
      </w:r>
      <w:r w:rsidR="00210DA3">
        <w:t>. Those</w:t>
      </w:r>
      <w:r w:rsidR="009D30F0" w:rsidRPr="009D30F0">
        <w:t xml:space="preserve"> signals </w:t>
      </w:r>
      <w:r w:rsidR="00210DA3">
        <w:t>can be assigned to</w:t>
      </w:r>
      <w:r w:rsidR="009D30F0" w:rsidRPr="009D30F0">
        <w:t xml:space="preserve"> the iminic and </w:t>
      </w:r>
      <w:r w:rsidR="00934F14">
        <w:t>aromatic protons of the furanic</w:t>
      </w:r>
      <w:r w:rsidR="009D30F0" w:rsidRPr="009D30F0">
        <w:t xml:space="preserve"> ring</w:t>
      </w:r>
      <w:r w:rsidR="00647A10">
        <w:t xml:space="preserve">. </w:t>
      </w:r>
      <w:r w:rsidR="00CC68CE">
        <w:t>This information</w:t>
      </w:r>
      <w:r w:rsidR="00647A10">
        <w:t xml:space="preserve"> and the absence of terminal groups </w:t>
      </w:r>
      <w:r w:rsidR="00CC68CE">
        <w:t xml:space="preserve">indicate </w:t>
      </w:r>
      <w:r w:rsidR="00647A10">
        <w:t xml:space="preserve">the formation of </w:t>
      </w:r>
      <w:r w:rsidR="00675CD5" w:rsidRPr="00675CD5">
        <w:t>cyclic polymer</w:t>
      </w:r>
      <w:r w:rsidR="00647A10">
        <w:t>s</w:t>
      </w:r>
      <w:r w:rsidR="00934F14" w:rsidRPr="00934F14">
        <w:t>.</w:t>
      </w:r>
    </w:p>
    <w:p w14:paraId="1CA46040" w14:textId="77777777" w:rsidR="00647A10" w:rsidRPr="00675CD5" w:rsidRDefault="00647A10" w:rsidP="00143D37"/>
    <w:p w14:paraId="33EA7849" w14:textId="1DA881F2" w:rsidR="00CE645B" w:rsidRDefault="00973102" w:rsidP="00143D37">
      <w:pPr>
        <w:rPr>
          <w:lang w:val="en-US"/>
        </w:rPr>
      </w:pPr>
      <w:r w:rsidRPr="00973102">
        <w:rPr>
          <w:noProof/>
          <w:lang w:eastAsia="en-GB"/>
        </w:rPr>
        <w:drawing>
          <wp:inline distT="0" distB="0" distL="0" distR="0" wp14:anchorId="738E74B8" wp14:editId="79D9F1D4">
            <wp:extent cx="5579745" cy="160401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24231" t="48833" r="980" b="12920"/>
                    <a:stretch/>
                  </pic:blipFill>
                  <pic:spPr>
                    <a:xfrm>
                      <a:off x="0" y="0"/>
                      <a:ext cx="557974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5243" w14:textId="371F4FAA" w:rsidR="00CE645B" w:rsidRPr="00DA71B6" w:rsidRDefault="00675CD5" w:rsidP="00DA71B6">
      <w:pPr>
        <w:spacing w:before="240" w:after="240"/>
        <w:rPr>
          <w:i/>
        </w:rPr>
      </w:pPr>
      <w:r w:rsidRPr="00D50F92">
        <w:rPr>
          <w:rStyle w:val="CETCaptionCarattere"/>
          <w:bCs/>
          <w:lang w:val="en-US"/>
        </w:rPr>
        <w:t>Figure 2</w:t>
      </w:r>
      <w:r w:rsidR="00CE645B" w:rsidRPr="00D50F92">
        <w:rPr>
          <w:rStyle w:val="CETCaptionCarattere"/>
          <w:bCs/>
          <w:lang w:val="en-US"/>
        </w:rPr>
        <w:t>:</w:t>
      </w:r>
      <w:r w:rsidR="00CE645B" w:rsidRPr="003A196C">
        <w:rPr>
          <w:rStyle w:val="CETCaptionCarattere"/>
          <w:lang w:val="en-US"/>
        </w:rPr>
        <w:t xml:space="preserve"> </w:t>
      </w:r>
      <w:r w:rsidR="00CE645B">
        <w:rPr>
          <w:i/>
        </w:rPr>
        <w:t xml:space="preserve">Comparison of the </w:t>
      </w:r>
      <w:r w:rsidR="00CE645B" w:rsidRPr="00CE645B">
        <w:rPr>
          <w:i/>
          <w:vertAlign w:val="superscript"/>
        </w:rPr>
        <w:t>1</w:t>
      </w:r>
      <w:r w:rsidR="00CE645B">
        <w:rPr>
          <w:i/>
        </w:rPr>
        <w:t xml:space="preserve">H NMR spectra of </w:t>
      </w:r>
      <w:r w:rsidR="009B65B7">
        <w:rPr>
          <w:i/>
        </w:rPr>
        <w:t xml:space="preserve">DFF </w:t>
      </w:r>
      <w:r w:rsidR="00CE645B">
        <w:rPr>
          <w:i/>
        </w:rPr>
        <w:t xml:space="preserve">(blue </w:t>
      </w:r>
      <w:r w:rsidR="005858C9">
        <w:rPr>
          <w:i/>
        </w:rPr>
        <w:t>spectrum</w:t>
      </w:r>
      <w:r w:rsidR="00CE645B">
        <w:rPr>
          <w:i/>
        </w:rPr>
        <w:t xml:space="preserve">) and </w:t>
      </w:r>
      <w:r w:rsidR="005858C9">
        <w:rPr>
          <w:i/>
        </w:rPr>
        <w:t>the corresponding cyclic p</w:t>
      </w:r>
      <w:r w:rsidR="005858C9" w:rsidRPr="005858C9">
        <w:rPr>
          <w:i/>
        </w:rPr>
        <w:t>oly</w:t>
      </w:r>
      <w:r w:rsidR="005858C9" w:rsidRPr="005858C9">
        <w:rPr>
          <w:rFonts w:ascii="Cambria Math" w:hAnsi="Cambria Math" w:cs="Cambria Math"/>
          <w:i/>
        </w:rPr>
        <w:t>‐</w:t>
      </w:r>
      <w:r w:rsidR="005858C9" w:rsidRPr="005858C9">
        <w:rPr>
          <w:i/>
        </w:rPr>
        <w:t>(2,5</w:t>
      </w:r>
      <w:r w:rsidR="005858C9" w:rsidRPr="005858C9">
        <w:rPr>
          <w:rFonts w:ascii="Cambria Math" w:hAnsi="Cambria Math" w:cs="Cambria Math"/>
          <w:i/>
        </w:rPr>
        <w:t>‐</w:t>
      </w:r>
      <w:r w:rsidR="005858C9" w:rsidRPr="005858C9">
        <w:rPr>
          <w:i/>
        </w:rPr>
        <w:t xml:space="preserve">furanylene </w:t>
      </w:r>
      <w:r w:rsidR="005858C9">
        <w:rPr>
          <w:i/>
        </w:rPr>
        <w:t>v</w:t>
      </w:r>
      <w:r w:rsidR="005858C9" w:rsidRPr="005858C9">
        <w:rPr>
          <w:i/>
        </w:rPr>
        <w:t>inylene)</w:t>
      </w:r>
      <w:r w:rsidR="00CE645B">
        <w:rPr>
          <w:i/>
        </w:rPr>
        <w:t xml:space="preserve"> (red </w:t>
      </w:r>
      <w:r w:rsidR="005858C9">
        <w:rPr>
          <w:i/>
        </w:rPr>
        <w:t>spectrum</w:t>
      </w:r>
      <w:r w:rsidR="00CE645B">
        <w:rPr>
          <w:i/>
        </w:rPr>
        <w:t>) (DMSO-d</w:t>
      </w:r>
      <w:r w:rsidR="00CE645B">
        <w:rPr>
          <w:i/>
          <w:vertAlign w:val="subscript"/>
        </w:rPr>
        <w:t>5</w:t>
      </w:r>
      <w:r w:rsidR="00CE645B">
        <w:rPr>
          <w:i/>
        </w:rPr>
        <w:t>, 400 MHz, 25 °C)</w:t>
      </w:r>
      <w:r w:rsidR="00721190">
        <w:rPr>
          <w:i/>
        </w:rPr>
        <w:t xml:space="preserve"> (Entry 3, Table 1)</w:t>
      </w:r>
      <w:r w:rsidR="00183E8F">
        <w:rPr>
          <w:i/>
        </w:rPr>
        <w:t>.</w:t>
      </w:r>
    </w:p>
    <w:p w14:paraId="2FB555EB" w14:textId="77777777" w:rsidR="00647A10" w:rsidRDefault="00647A10" w:rsidP="00143D37"/>
    <w:p w14:paraId="7BD6521D" w14:textId="5E58E65A" w:rsidR="00143D37" w:rsidRPr="00D54B90" w:rsidRDefault="00D54B90" w:rsidP="00143D37">
      <w:r w:rsidRPr="00D54B90">
        <w:t xml:space="preserve">The formation of a mixture of only cyclic </w:t>
      </w:r>
      <w:r w:rsidR="00647A10">
        <w:t>PFV</w:t>
      </w:r>
      <w:r w:rsidRPr="00D54B90">
        <w:t xml:space="preserve"> has been </w:t>
      </w:r>
      <w:r w:rsidR="00647A10">
        <w:t xml:space="preserve">definitively </w:t>
      </w:r>
      <w:r w:rsidRPr="00D54B90">
        <w:t xml:space="preserve">confirmed by the MALDI analysis, which indicates the presence of cyclooligomers composed of 8, 12-15 </w:t>
      </w:r>
      <w:r w:rsidR="00647A10">
        <w:t>furylene-vinylene</w:t>
      </w:r>
      <w:r w:rsidR="00647A10" w:rsidRPr="00D54B90">
        <w:t xml:space="preserve"> </w:t>
      </w:r>
      <w:r w:rsidRPr="00D54B90">
        <w:t>units</w:t>
      </w:r>
      <w:r w:rsidR="00647A10">
        <w:t xml:space="preserve"> (see Figure 3)</w:t>
      </w:r>
      <w:r w:rsidRPr="00D54B90">
        <w:t>.</w:t>
      </w:r>
    </w:p>
    <w:p w14:paraId="58C8E9A8" w14:textId="77777777" w:rsidR="00163058" w:rsidRPr="00D54B90" w:rsidRDefault="00163058" w:rsidP="00143D37"/>
    <w:p w14:paraId="188CB71B" w14:textId="3DED832A" w:rsidR="005635DA" w:rsidRDefault="005635DA" w:rsidP="00D50F92">
      <w:pPr>
        <w:rPr>
          <w:lang w:val="en-US"/>
        </w:rPr>
      </w:pPr>
      <w:r w:rsidRPr="005635DA">
        <w:rPr>
          <w:noProof/>
          <w:lang w:eastAsia="en-GB"/>
        </w:rPr>
        <w:lastRenderedPageBreak/>
        <w:drawing>
          <wp:inline distT="0" distB="0" distL="0" distR="0" wp14:anchorId="5BCDB5BA" wp14:editId="51B590D0">
            <wp:extent cx="4115934" cy="2792202"/>
            <wp:effectExtent l="0" t="0" r="0" b="825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3594" cy="279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CB80" w14:textId="47400D95" w:rsidR="00DA71B6" w:rsidRPr="000B298C" w:rsidRDefault="00163058" w:rsidP="00D50F92">
      <w:pPr>
        <w:spacing w:before="240" w:after="240"/>
        <w:rPr>
          <w:i/>
        </w:rPr>
      </w:pPr>
      <w:r w:rsidRPr="00D50F92">
        <w:rPr>
          <w:rStyle w:val="CETCaptionCarattere"/>
          <w:bCs/>
          <w:lang w:val="en-US"/>
        </w:rPr>
        <w:t>Figure 3:</w:t>
      </w:r>
      <w:r w:rsidRPr="003A196C">
        <w:rPr>
          <w:rStyle w:val="CETCaptionCarattere"/>
          <w:lang w:val="en-US"/>
        </w:rPr>
        <w:t xml:space="preserve"> </w:t>
      </w:r>
      <w:r w:rsidR="000F1FFF">
        <w:rPr>
          <w:i/>
        </w:rPr>
        <w:t>High-Resolution</w:t>
      </w:r>
      <w:r>
        <w:rPr>
          <w:i/>
        </w:rPr>
        <w:t xml:space="preserve"> </w:t>
      </w:r>
      <w:r w:rsidR="00647A10">
        <w:rPr>
          <w:i/>
        </w:rPr>
        <w:t xml:space="preserve">MALDI </w:t>
      </w:r>
      <w:r>
        <w:rPr>
          <w:i/>
        </w:rPr>
        <w:t xml:space="preserve">spectrum of </w:t>
      </w:r>
      <w:r w:rsidR="00647A10">
        <w:rPr>
          <w:i/>
        </w:rPr>
        <w:t>PFV</w:t>
      </w:r>
      <w:r w:rsidR="00183E8F">
        <w:rPr>
          <w:i/>
        </w:rPr>
        <w:t xml:space="preserve"> (Entry 3, Table 1).</w:t>
      </w:r>
    </w:p>
    <w:p w14:paraId="32EA1F5C" w14:textId="77777777" w:rsidR="00647A10" w:rsidRDefault="00647A10" w:rsidP="00143D37">
      <w:pPr>
        <w:rPr>
          <w:lang w:val="en-US"/>
        </w:rPr>
      </w:pPr>
    </w:p>
    <w:p w14:paraId="3F3AE6FB" w14:textId="32E1E78D" w:rsidR="00143D37" w:rsidRDefault="00143D37" w:rsidP="00647A10">
      <w:r w:rsidRPr="00143D37">
        <w:rPr>
          <w:lang w:val="en-US"/>
        </w:rPr>
        <w:t>UV-</w:t>
      </w:r>
      <w:r w:rsidR="00647A10" w:rsidRPr="00143D37">
        <w:rPr>
          <w:lang w:val="en-US"/>
        </w:rPr>
        <w:t>V</w:t>
      </w:r>
      <w:r w:rsidR="00647A10">
        <w:rPr>
          <w:lang w:val="en-US"/>
        </w:rPr>
        <w:t>is</w:t>
      </w:r>
      <w:r w:rsidR="00647A10" w:rsidRPr="00143D37">
        <w:rPr>
          <w:lang w:val="en-US"/>
        </w:rPr>
        <w:t xml:space="preserve"> </w:t>
      </w:r>
      <w:r w:rsidRPr="00143D37">
        <w:rPr>
          <w:lang w:val="en-US"/>
        </w:rPr>
        <w:t xml:space="preserve">analysis </w:t>
      </w:r>
      <w:r w:rsidR="00647A10">
        <w:rPr>
          <w:lang w:val="en-US"/>
        </w:rPr>
        <w:t xml:space="preserve">confirmed the formation of highly conjugated systems. The UV-Vis spectra of DFF and the corresponding PFV are reported in Figure 4. </w:t>
      </w:r>
      <w:r w:rsidR="005B550D" w:rsidRPr="005B550D">
        <w:t>DFF</w:t>
      </w:r>
      <w:r w:rsidR="00647A10">
        <w:t xml:space="preserve"> showed</w:t>
      </w:r>
      <w:r w:rsidR="000F1FFF">
        <w:t xml:space="preserve"> an absorption </w:t>
      </w:r>
      <w:r w:rsidR="00647A10">
        <w:t>band at</w:t>
      </w:r>
      <w:r w:rsidR="000F1FFF">
        <w:t xml:space="preserve"> 270-300 nm, </w:t>
      </w:r>
      <w:r w:rsidR="00647A10">
        <w:t xml:space="preserve">while </w:t>
      </w:r>
      <w:r w:rsidR="000F1FFF">
        <w:t xml:space="preserve">for the cyclic oligomer, </w:t>
      </w:r>
      <w:r w:rsidR="00647A10">
        <w:t xml:space="preserve">the </w:t>
      </w:r>
      <w:r w:rsidR="000F1FFF">
        <w:t xml:space="preserve">absorption </w:t>
      </w:r>
      <w:r w:rsidR="00647A10">
        <w:t xml:space="preserve">band was shifted to </w:t>
      </w:r>
      <w:r w:rsidR="00CC68CE">
        <w:t xml:space="preserve">a </w:t>
      </w:r>
      <w:r w:rsidR="00647A10">
        <w:t xml:space="preserve">higher wavelength at </w:t>
      </w:r>
      <w:r w:rsidR="00647A10">
        <w:rPr>
          <w:rFonts w:cs="Arial"/>
        </w:rPr>
        <w:t>≈</w:t>
      </w:r>
      <w:r w:rsidR="000F1FFF">
        <w:t>340 nm</w:t>
      </w:r>
      <w:r w:rsidR="00647A10">
        <w:t>,</w:t>
      </w:r>
      <w:r w:rsidR="00676079" w:rsidRPr="00676079">
        <w:t xml:space="preserve"> due to the </w:t>
      </w:r>
      <w:r w:rsidR="00647A10">
        <w:t xml:space="preserve">extended </w:t>
      </w:r>
      <w:r w:rsidR="00647A10">
        <w:rPr>
          <w:rFonts w:cs="Arial"/>
        </w:rPr>
        <w:t>π-</w:t>
      </w:r>
      <w:r w:rsidR="00676079" w:rsidRPr="00676079">
        <w:t>conjugation.</w:t>
      </w:r>
    </w:p>
    <w:p w14:paraId="041BBC9C" w14:textId="77777777" w:rsidR="00100016" w:rsidRPr="00676079" w:rsidRDefault="00100016" w:rsidP="00647A10"/>
    <w:p w14:paraId="5BE1BE7A" w14:textId="20C82C71" w:rsidR="00531243" w:rsidRDefault="00531243" w:rsidP="00D50F92">
      <w:pPr>
        <w:rPr>
          <w:lang w:val="en-US"/>
        </w:rPr>
      </w:pPr>
      <w:r w:rsidRPr="00531243">
        <w:rPr>
          <w:noProof/>
          <w:lang w:eastAsia="en-GB"/>
        </w:rPr>
        <w:drawing>
          <wp:inline distT="0" distB="0" distL="0" distR="0" wp14:anchorId="24B0C9F0" wp14:editId="3A5DC112">
            <wp:extent cx="2493050" cy="2125064"/>
            <wp:effectExtent l="0" t="0" r="2540" b="889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l="12734" t="11209" r="11804" b="4751"/>
                    <a:stretch/>
                  </pic:blipFill>
                  <pic:spPr>
                    <a:xfrm>
                      <a:off x="0" y="0"/>
                      <a:ext cx="2498435" cy="212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5E86" w14:textId="248F5A86" w:rsidR="0084160A" w:rsidRDefault="00D1690F" w:rsidP="00D50F92">
      <w:pPr>
        <w:spacing w:before="240" w:after="240"/>
        <w:rPr>
          <w:i/>
        </w:rPr>
      </w:pPr>
      <w:r w:rsidRPr="00D50F92">
        <w:rPr>
          <w:rStyle w:val="CETCaptionCarattere"/>
          <w:bCs/>
          <w:lang w:val="en-US"/>
        </w:rPr>
        <w:t>Figure 4:</w:t>
      </w:r>
      <w:r w:rsidRPr="003A196C">
        <w:rPr>
          <w:rStyle w:val="CETCaptionCarattere"/>
          <w:lang w:val="en-US"/>
        </w:rPr>
        <w:t xml:space="preserve"> </w:t>
      </w:r>
      <w:r>
        <w:rPr>
          <w:i/>
        </w:rPr>
        <w:t>Absorbance spectra of DFF and cyclic ol</w:t>
      </w:r>
      <w:r w:rsidR="00A61353">
        <w:rPr>
          <w:i/>
        </w:rPr>
        <w:t>igo</w:t>
      </w:r>
      <w:r>
        <w:rPr>
          <w:i/>
        </w:rPr>
        <w:t>mer.</w:t>
      </w:r>
      <w:r w:rsidR="00183E8F">
        <w:rPr>
          <w:i/>
        </w:rPr>
        <w:t xml:space="preserve"> (Entry 3, Table 1).</w:t>
      </w:r>
    </w:p>
    <w:p w14:paraId="7C2DA0D0" w14:textId="144AFA2D" w:rsidR="00A61353" w:rsidRDefault="00A61353" w:rsidP="00A61353">
      <w:r>
        <w:rPr>
          <w:lang w:val="en-US"/>
        </w:rPr>
        <w:t xml:space="preserve">The cyclic </w:t>
      </w:r>
      <w:r>
        <w:t>oligomer was found in amorphous form, as observable from the 2</w:t>
      </w:r>
      <w:r w:rsidRPr="00A61353">
        <w:t>θ</w:t>
      </w:r>
      <w:r>
        <w:t xml:space="preserve"> range 5-30° of the WAXD diffraction pattern in Figure 5.</w:t>
      </w:r>
    </w:p>
    <w:p w14:paraId="126A8458" w14:textId="08B59839" w:rsidR="00A61353" w:rsidRDefault="00A61353" w:rsidP="00D50F92">
      <w:pPr>
        <w:spacing w:before="240" w:after="240"/>
        <w:rPr>
          <w:i/>
        </w:rPr>
      </w:pPr>
      <w:r w:rsidRPr="00A61353">
        <w:rPr>
          <w:i/>
          <w:noProof/>
          <w:lang w:eastAsia="en-GB"/>
        </w:rPr>
        <w:lastRenderedPageBreak/>
        <w:drawing>
          <wp:inline distT="0" distB="0" distL="0" distR="0" wp14:anchorId="399D85EB" wp14:editId="316F9587">
            <wp:extent cx="2485496" cy="2124000"/>
            <wp:effectExtent l="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12662" t="10771" r="11509" b="4562"/>
                    <a:stretch/>
                  </pic:blipFill>
                  <pic:spPr>
                    <a:xfrm>
                      <a:off x="0" y="0"/>
                      <a:ext cx="2485496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1BC3" w14:textId="048740A7" w:rsidR="00A61353" w:rsidRDefault="00A61353" w:rsidP="00D50F92">
      <w:pPr>
        <w:spacing w:before="240" w:after="240"/>
        <w:rPr>
          <w:i/>
        </w:rPr>
      </w:pPr>
      <w:r w:rsidRPr="00D50F92">
        <w:rPr>
          <w:rStyle w:val="CETCaptionCarattere"/>
          <w:bCs/>
          <w:lang w:val="en-US"/>
        </w:rPr>
        <w:t>Figure 5:</w:t>
      </w:r>
      <w:r w:rsidRPr="003A196C">
        <w:rPr>
          <w:rStyle w:val="CETCaptionCarattere"/>
          <w:lang w:val="en-US"/>
        </w:rPr>
        <w:t xml:space="preserve"> </w:t>
      </w:r>
      <w:r>
        <w:rPr>
          <w:i/>
        </w:rPr>
        <w:t>WAXD pattern of cyclic polymer. (Entry 3, Table 1).</w:t>
      </w:r>
    </w:p>
    <w:p w14:paraId="77B25CC8" w14:textId="484001B3" w:rsidR="006F445D" w:rsidRDefault="00CC68CE" w:rsidP="006F445D">
      <w:pPr>
        <w:spacing w:before="240" w:after="240"/>
        <w:rPr>
          <w:iCs/>
        </w:rPr>
      </w:pPr>
      <w:r>
        <w:rPr>
          <w:iCs/>
        </w:rPr>
        <w:t xml:space="preserve">The </w:t>
      </w:r>
      <w:r w:rsidR="006F445D">
        <w:rPr>
          <w:iCs/>
        </w:rPr>
        <w:t>Nyquist plot reported in Figure 6 and calculated from EIS measurements at OCP shows a polymer resistance of 708 k</w:t>
      </w:r>
      <w:r w:rsidR="006F445D">
        <w:rPr>
          <w:rFonts w:cs="Arial"/>
          <w:iCs/>
        </w:rPr>
        <w:t>Ω and a capacitance of 46.6 pF</w:t>
      </w:r>
      <w:r w:rsidR="006F445D">
        <w:rPr>
          <w:iCs/>
        </w:rPr>
        <w:t xml:space="preserve">. The conductivity in DC current is low, in the order of magnitude of a dielectric system. The relative dielectric constant </w:t>
      </w:r>
      <w:r w:rsidR="006F445D">
        <w:rPr>
          <w:rFonts w:cs="Arial"/>
          <w:iCs/>
        </w:rPr>
        <w:t>ε</w:t>
      </w:r>
      <w:r w:rsidR="006F445D">
        <w:rPr>
          <w:iCs/>
        </w:rPr>
        <w:t>, calculated from eq. 1, is around 83.8</w:t>
      </w:r>
      <w:r>
        <w:rPr>
          <w:iCs/>
        </w:rPr>
        <w:t>, which</w:t>
      </w:r>
      <w:r w:rsidR="006F445D">
        <w:rPr>
          <w:iCs/>
        </w:rPr>
        <w:t xml:space="preserve"> makes the polymer suitable for making capacitors.</w:t>
      </w:r>
    </w:p>
    <w:p w14:paraId="610E410F" w14:textId="7AE2B77C" w:rsidR="006F445D" w:rsidRDefault="006F445D" w:rsidP="00D50F92">
      <w:pPr>
        <w:spacing w:before="240" w:after="240"/>
        <w:rPr>
          <w:iCs/>
        </w:rPr>
      </w:pPr>
      <w:r>
        <w:rPr>
          <w:iCs/>
          <w:noProof/>
          <w:lang w:eastAsia="en-GB"/>
        </w:rPr>
        <w:drawing>
          <wp:inline distT="0" distB="0" distL="0" distR="0" wp14:anchorId="66A6047C" wp14:editId="0A06ED61">
            <wp:extent cx="3283527" cy="2426743"/>
            <wp:effectExtent l="0" t="0" r="0" b="0"/>
            <wp:docPr id="19707421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431" cy="24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D63C" w14:textId="2D6BD95F" w:rsidR="006F445D" w:rsidRPr="0008598A" w:rsidRDefault="006F445D" w:rsidP="00D50F92">
      <w:pPr>
        <w:spacing w:before="240" w:after="240"/>
        <w:rPr>
          <w:iCs/>
        </w:rPr>
      </w:pPr>
      <w:r w:rsidRPr="00D50F92">
        <w:rPr>
          <w:rStyle w:val="CETCaptionCarattere"/>
          <w:bCs/>
          <w:lang w:val="en-US"/>
        </w:rPr>
        <w:t>Figure 6:</w:t>
      </w:r>
      <w:r w:rsidRPr="003A196C">
        <w:rPr>
          <w:rStyle w:val="CETCaptionCarattere"/>
          <w:lang w:val="en-US"/>
        </w:rPr>
        <w:t xml:space="preserve"> </w:t>
      </w:r>
      <w:r>
        <w:rPr>
          <w:i/>
        </w:rPr>
        <w:t>Electrochemical impedance spectroscopy of the polymer, Nyquist plot (grey) and fitting of the Nyquist plot (red) with the R</w:t>
      </w:r>
      <w:r w:rsidRPr="0051501C">
        <w:rPr>
          <w:i/>
          <w:vertAlign w:val="subscript"/>
        </w:rPr>
        <w:t>1</w:t>
      </w:r>
      <w:r>
        <w:rPr>
          <w:i/>
        </w:rPr>
        <w:t>/C</w:t>
      </w:r>
      <w:r w:rsidRPr="0051501C">
        <w:rPr>
          <w:i/>
          <w:vertAlign w:val="subscript"/>
        </w:rPr>
        <w:t>1</w:t>
      </w:r>
      <w:r>
        <w:rPr>
          <w:i/>
        </w:rPr>
        <w:t xml:space="preserve"> equivalent circuit.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</w:tblGrid>
      <w:tr w:rsidR="004A382E" w14:paraId="328E2130" w14:textId="77777777" w:rsidTr="0051501C">
        <w:tc>
          <w:tcPr>
            <w:tcW w:w="2926" w:type="dxa"/>
          </w:tcPr>
          <w:p w14:paraId="0266C7FB" w14:textId="77777777" w:rsidR="004A382E" w:rsidRDefault="004A382E" w:rsidP="0051501C">
            <w:pPr>
              <w:spacing w:before="240" w:after="240"/>
              <w:rPr>
                <w:i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Area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disk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thickness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disk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</w:rPr>
                  <m:t>*ε*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926" w:type="dxa"/>
          </w:tcPr>
          <w:p w14:paraId="3C12A699" w14:textId="4A1875B2" w:rsidR="004A382E" w:rsidRDefault="004A382E" w:rsidP="00D50F92">
            <w:pPr>
              <w:spacing w:before="240" w:after="240"/>
              <w:jc w:val="left"/>
              <w:rPr>
                <w:iCs/>
              </w:rPr>
            </w:pPr>
            <w:r>
              <w:rPr>
                <w:iCs/>
              </w:rPr>
              <w:t>(1)</w:t>
            </w:r>
          </w:p>
        </w:tc>
      </w:tr>
    </w:tbl>
    <w:p w14:paraId="526143A9" w14:textId="77777777" w:rsidR="00DA71B6" w:rsidRPr="00DA71B6" w:rsidRDefault="00DA71B6" w:rsidP="00DA71B6">
      <w:pPr>
        <w:spacing w:before="240" w:after="240"/>
        <w:rPr>
          <w:i/>
        </w:rPr>
      </w:pPr>
    </w:p>
    <w:p w14:paraId="4F32844B" w14:textId="25D29DDB" w:rsidR="0084160A" w:rsidRDefault="00D50F92" w:rsidP="0084160A">
      <w:pPr>
        <w:pStyle w:val="CETBodytext"/>
        <w:rPr>
          <w:b/>
          <w:lang w:val="pt-BR"/>
        </w:rPr>
      </w:pPr>
      <w:r>
        <w:rPr>
          <w:b/>
          <w:lang w:val="pt-BR"/>
        </w:rPr>
        <w:t xml:space="preserve">5. </w:t>
      </w:r>
      <w:r w:rsidR="0084160A" w:rsidRPr="00D46274">
        <w:rPr>
          <w:b/>
          <w:lang w:val="pt-BR"/>
        </w:rPr>
        <w:t>Conclusions</w:t>
      </w:r>
      <w:r w:rsidR="0084160A">
        <w:rPr>
          <w:b/>
          <w:lang w:val="pt-BR"/>
        </w:rPr>
        <w:t xml:space="preserve"> </w:t>
      </w:r>
    </w:p>
    <w:p w14:paraId="2ED1AC43" w14:textId="10E934CE" w:rsidR="00DA71B6" w:rsidRDefault="00647A10" w:rsidP="0084160A">
      <w:pPr>
        <w:pStyle w:val="CETBodytext"/>
        <w:rPr>
          <w:lang w:val="pt-BR"/>
        </w:rPr>
      </w:pPr>
      <w:r>
        <w:rPr>
          <w:lang w:val="pt-BR"/>
        </w:rPr>
        <w:t xml:space="preserve">The </w:t>
      </w:r>
      <w:r w:rsidR="00342F4F">
        <w:rPr>
          <w:lang w:val="pt-BR"/>
        </w:rPr>
        <w:t xml:space="preserve">optimization of the </w:t>
      </w:r>
      <w:r>
        <w:rPr>
          <w:lang w:val="pt-BR"/>
        </w:rPr>
        <w:t xml:space="preserve">reaction </w:t>
      </w:r>
      <w:r w:rsidR="00342F4F">
        <w:rPr>
          <w:lang w:val="pt-BR"/>
        </w:rPr>
        <w:t>condition</w:t>
      </w:r>
      <w:r w:rsidR="00CC68CE">
        <w:rPr>
          <w:lang w:val="pt-BR"/>
        </w:rPr>
        <w:t>s</w:t>
      </w:r>
      <w:r>
        <w:rPr>
          <w:lang w:val="pt-BR"/>
        </w:rPr>
        <w:t xml:space="preserve"> for the homocoupling of DFF via McMurry reaction</w:t>
      </w:r>
      <w:r w:rsidR="000F1FFF">
        <w:rPr>
          <w:lang w:val="pt-BR"/>
        </w:rPr>
        <w:t xml:space="preserve"> (temperature, Zn/TiCl</w:t>
      </w:r>
      <w:r w:rsidR="000F1FFF" w:rsidRPr="00336C39">
        <w:rPr>
          <w:vertAlign w:val="subscript"/>
          <w:lang w:val="pt-BR"/>
        </w:rPr>
        <w:t>4</w:t>
      </w:r>
      <w:r w:rsidR="000F1FFF">
        <w:rPr>
          <w:lang w:val="pt-BR"/>
        </w:rPr>
        <w:t xml:space="preserve"> ratio, solvent, reaction time)</w:t>
      </w:r>
      <w:r w:rsidR="00342F4F">
        <w:rPr>
          <w:lang w:val="pt-BR"/>
        </w:rPr>
        <w:t xml:space="preserve"> to obtain cyclic PFV were investigated in this study. The combination of </w:t>
      </w:r>
      <w:r w:rsidR="000F1FFF">
        <w:rPr>
          <w:lang w:val="pt-BR"/>
        </w:rPr>
        <w:t>TiCl</w:t>
      </w:r>
      <w:r w:rsidR="000F1FFF" w:rsidRPr="00336C39">
        <w:rPr>
          <w:vertAlign w:val="subscript"/>
          <w:lang w:val="pt-BR"/>
        </w:rPr>
        <w:t>4</w:t>
      </w:r>
      <w:r w:rsidR="00342F4F">
        <w:rPr>
          <w:lang w:val="pt-BR"/>
        </w:rPr>
        <w:t xml:space="preserve"> with an excess of </w:t>
      </w:r>
      <w:r w:rsidR="000F1FFF">
        <w:rPr>
          <w:lang w:val="pt-BR"/>
        </w:rPr>
        <w:t xml:space="preserve">Zn </w:t>
      </w:r>
      <w:r w:rsidR="001E7591">
        <w:rPr>
          <w:lang w:val="pt-BR"/>
        </w:rPr>
        <w:t>afforded the formation of</w:t>
      </w:r>
      <w:r w:rsidR="00676079">
        <w:rPr>
          <w:lang w:val="pt-BR"/>
        </w:rPr>
        <w:t xml:space="preserve"> </w:t>
      </w:r>
      <w:r w:rsidR="00D54B90">
        <w:rPr>
          <w:lang w:val="pt-BR"/>
        </w:rPr>
        <w:t>cycli</w:t>
      </w:r>
      <w:r w:rsidR="00676079">
        <w:rPr>
          <w:lang w:val="pt-BR"/>
        </w:rPr>
        <w:t xml:space="preserve">c </w:t>
      </w:r>
      <w:r w:rsidR="001E7591">
        <w:rPr>
          <w:lang w:val="pt-BR"/>
        </w:rPr>
        <w:t xml:space="preserve">PFV </w:t>
      </w:r>
      <w:r w:rsidR="00D54B90">
        <w:rPr>
          <w:lang w:val="pt-BR"/>
        </w:rPr>
        <w:t>with high selectivity.</w:t>
      </w:r>
      <w:r w:rsidR="001A6677">
        <w:rPr>
          <w:lang w:val="pt-BR"/>
        </w:rPr>
        <w:t xml:space="preserve"> </w:t>
      </w:r>
    </w:p>
    <w:p w14:paraId="091EB025" w14:textId="5A8E0DC3" w:rsidR="00D50F92" w:rsidRDefault="001A6677" w:rsidP="001E7591">
      <w:pPr>
        <w:pStyle w:val="CETBodytext"/>
      </w:pPr>
      <w:r w:rsidRPr="001A6677">
        <w:rPr>
          <w:lang w:val="pt-BR"/>
        </w:rPr>
        <w:t xml:space="preserve">NMR and </w:t>
      </w:r>
      <w:r w:rsidR="00CC68CE">
        <w:rPr>
          <w:lang w:val="pt-BR"/>
        </w:rPr>
        <w:t>MALDI-TOF</w:t>
      </w:r>
      <w:r w:rsidRPr="001A6677">
        <w:rPr>
          <w:lang w:val="pt-BR"/>
        </w:rPr>
        <w:t xml:space="preserve"> an</w:t>
      </w:r>
      <w:r>
        <w:rPr>
          <w:lang w:val="pt-BR"/>
        </w:rPr>
        <w:t>alysi</w:t>
      </w:r>
      <w:r w:rsidRPr="001A6677">
        <w:rPr>
          <w:lang w:val="pt-BR"/>
        </w:rPr>
        <w:t>s confirmed the presence of cyclic species</w:t>
      </w:r>
      <w:r w:rsidR="00B74EB7">
        <w:rPr>
          <w:lang w:val="pt-BR"/>
        </w:rPr>
        <w:t xml:space="preserve">. </w:t>
      </w:r>
      <w:r w:rsidRPr="001A6677">
        <w:rPr>
          <w:lang w:val="pt-BR"/>
        </w:rPr>
        <w:t xml:space="preserve">UV-Vis </w:t>
      </w:r>
      <w:r w:rsidR="001E7591">
        <w:rPr>
          <w:lang w:val="pt-BR"/>
        </w:rPr>
        <w:t xml:space="preserve">further </w:t>
      </w:r>
      <w:r w:rsidRPr="001A6677">
        <w:rPr>
          <w:lang w:val="pt-BR"/>
        </w:rPr>
        <w:t>confirmed the presence of a</w:t>
      </w:r>
      <w:r w:rsidR="001E7591">
        <w:rPr>
          <w:lang w:val="pt-BR"/>
        </w:rPr>
        <w:t>n extended</w:t>
      </w:r>
      <w:r w:rsidRPr="001A6677">
        <w:rPr>
          <w:lang w:val="pt-BR"/>
        </w:rPr>
        <w:t xml:space="preserve"> </w:t>
      </w:r>
      <w:r w:rsidR="001E7591">
        <w:rPr>
          <w:rFonts w:cs="Arial"/>
          <w:lang w:val="pt-BR"/>
        </w:rPr>
        <w:t>π</w:t>
      </w:r>
      <w:r w:rsidR="001E7591">
        <w:rPr>
          <w:lang w:val="pt-BR"/>
        </w:rPr>
        <w:t>-</w:t>
      </w:r>
      <w:r w:rsidRPr="001A6677">
        <w:rPr>
          <w:lang w:val="pt-BR"/>
        </w:rPr>
        <w:t>conjugated system</w:t>
      </w:r>
      <w:r w:rsidR="00CC68CE">
        <w:rPr>
          <w:lang w:val="pt-BR"/>
        </w:rPr>
        <w:t>,</w:t>
      </w:r>
      <w:r w:rsidR="00A61353">
        <w:rPr>
          <w:lang w:val="pt-BR"/>
        </w:rPr>
        <w:t xml:space="preserve"> and by WAXD analysis</w:t>
      </w:r>
      <w:r w:rsidR="00CC68CE">
        <w:rPr>
          <w:lang w:val="pt-BR"/>
        </w:rPr>
        <w:t>,</w:t>
      </w:r>
      <w:r w:rsidR="00A61353">
        <w:rPr>
          <w:lang w:val="pt-BR"/>
        </w:rPr>
        <w:t xml:space="preserve"> an amorphous structure was found.</w:t>
      </w:r>
      <w:r w:rsidR="00D50F92" w:rsidRPr="00D50F92">
        <w:t xml:space="preserve"> </w:t>
      </w:r>
    </w:p>
    <w:p w14:paraId="66C8B60D" w14:textId="16B2D499" w:rsidR="00344471" w:rsidRPr="00344471" w:rsidRDefault="00D50F92" w:rsidP="001E7591">
      <w:pPr>
        <w:pStyle w:val="CETBodytext"/>
        <w:rPr>
          <w:lang w:val="pt-BR"/>
        </w:rPr>
      </w:pPr>
      <w:r w:rsidRPr="00D50F92">
        <w:rPr>
          <w:lang w:val="pt-BR"/>
        </w:rPr>
        <w:lastRenderedPageBreak/>
        <w:t xml:space="preserve">EIS measurements </w:t>
      </w:r>
      <w:r w:rsidR="00CC68CE">
        <w:rPr>
          <w:lang w:val="pt-BR"/>
        </w:rPr>
        <w:t>show</w:t>
      </w:r>
      <w:r w:rsidR="00CC68CE" w:rsidRPr="00D50F92">
        <w:rPr>
          <w:lang w:val="pt-BR"/>
        </w:rPr>
        <w:t xml:space="preserve"> </w:t>
      </w:r>
      <w:r w:rsidRPr="00D50F92">
        <w:rPr>
          <w:lang w:val="pt-BR"/>
        </w:rPr>
        <w:t>a predominant dielectric behaviour of the polymer, which is suitable for making capacitors.</w:t>
      </w:r>
    </w:p>
    <w:p w14:paraId="27928493" w14:textId="77777777" w:rsidR="003C7866" w:rsidRDefault="003C7866" w:rsidP="0084160A">
      <w:pPr>
        <w:pStyle w:val="CETBodytext"/>
        <w:rPr>
          <w:b/>
          <w:lang w:val="pt-BR"/>
        </w:rPr>
      </w:pPr>
    </w:p>
    <w:p w14:paraId="2504B515" w14:textId="77777777" w:rsidR="00DA71B6" w:rsidRDefault="00DA71B6" w:rsidP="00DA71B6">
      <w:pPr>
        <w:pStyle w:val="CETAcknowledgementstitle"/>
      </w:pPr>
      <w:r>
        <w:t>Acknowledgments</w:t>
      </w:r>
    </w:p>
    <w:p w14:paraId="5F4D87F6" w14:textId="556A28F8" w:rsidR="00B74EB7" w:rsidRPr="00FF1314" w:rsidRDefault="00B74EB7" w:rsidP="00B74EB7">
      <w:r w:rsidRPr="00FF1314">
        <w:t xml:space="preserve">The authors are grateful to Dr. Patrizia Iannece, Dr. Patrizia Oliva, Dr. Mariagrazia Napoli, </w:t>
      </w:r>
      <w:r>
        <w:t xml:space="preserve">Dr. Veronica Iuliano, </w:t>
      </w:r>
      <w:r w:rsidRPr="00FF1314">
        <w:t>Dr. David Hermann Lamparelli, and Dr. Ivano Immediata from the University of Salerno for technical support.</w:t>
      </w:r>
    </w:p>
    <w:p w14:paraId="62FC45B5" w14:textId="5E267317" w:rsidR="00DA71B6" w:rsidRPr="00DA71B6" w:rsidRDefault="00B74EB7" w:rsidP="00B74EB7">
      <w:pPr>
        <w:pStyle w:val="CETBodytext"/>
        <w:rPr>
          <w:color w:val="000000" w:themeColor="text1"/>
          <w:lang w:val="en-GB"/>
        </w:rPr>
      </w:pPr>
      <w:r w:rsidRPr="00FF1314">
        <w:t xml:space="preserve">Financial support is gratefully from: </w:t>
      </w:r>
      <w:r w:rsidRPr="00FF1314">
        <w:rPr>
          <w:i/>
          <w:iCs/>
        </w:rPr>
        <w:t>i</w:t>
      </w:r>
      <w:r w:rsidRPr="00FF1314">
        <w:t xml:space="preserve">) Ministero dell’Università della Ricerca (Ministry of University and Research, MUR, Rome, Italy) for the grant </w:t>
      </w:r>
      <w:r w:rsidRPr="00182981">
        <w:rPr>
          <w:i/>
          <w:iCs/>
        </w:rPr>
        <w:t>“</w:t>
      </w:r>
      <w:r w:rsidRPr="00FF1314">
        <w:rPr>
          <w:i/>
          <w:iCs/>
        </w:rPr>
        <w:t>PRIN2022 Finanziato dall’Unione europea-Next Generation EU, Missione 4, Componente 1-CUP: D53D23017260001”</w:t>
      </w:r>
      <w:r w:rsidRPr="00FF1314">
        <w:t xml:space="preserve">; </w:t>
      </w:r>
      <w:r w:rsidRPr="00FF1314">
        <w:rPr>
          <w:i/>
          <w:iCs/>
        </w:rPr>
        <w:t>ii</w:t>
      </w:r>
      <w:r w:rsidRPr="00FF1314">
        <w:t xml:space="preserve">) Università degli Studi di Salerno (University of Salerno, Fisciano, SA, Italy) for the grants </w:t>
      </w:r>
      <w:r w:rsidRPr="00FF1314">
        <w:rPr>
          <w:i/>
          <w:iCs/>
        </w:rPr>
        <w:t>FARB ORSA224812</w:t>
      </w:r>
      <w:r w:rsidRPr="00FF1314">
        <w:t xml:space="preserve">, </w:t>
      </w:r>
      <w:r w:rsidRPr="00FF1314">
        <w:rPr>
          <w:i/>
          <w:iCs/>
        </w:rPr>
        <w:t>FARB ORSA239513</w:t>
      </w:r>
      <w:r w:rsidRPr="00FF1314">
        <w:t>, and</w:t>
      </w:r>
      <w:r w:rsidRPr="00FF1314">
        <w:rPr>
          <w:i/>
          <w:iCs/>
        </w:rPr>
        <w:t xml:space="preserve"> FARB ORSA247407</w:t>
      </w:r>
      <w:r w:rsidRPr="00FF1314">
        <w:t>.</w:t>
      </w:r>
    </w:p>
    <w:p w14:paraId="20311889" w14:textId="77777777" w:rsidR="00DA71B6" w:rsidRDefault="00DA71B6" w:rsidP="0084160A">
      <w:pPr>
        <w:pStyle w:val="CETBodytext"/>
        <w:rPr>
          <w:b/>
          <w:lang w:val="pt-BR"/>
        </w:rPr>
      </w:pPr>
    </w:p>
    <w:p w14:paraId="02A71470" w14:textId="77777777" w:rsidR="0084160A" w:rsidRPr="0084160A" w:rsidRDefault="0084160A" w:rsidP="00336C39">
      <w:pPr>
        <w:pStyle w:val="CETBodytext"/>
        <w:spacing w:before="120" w:line="240" w:lineRule="auto"/>
        <w:rPr>
          <w:b/>
          <w:lang w:val="en-GB"/>
        </w:rPr>
      </w:pPr>
      <w:r w:rsidRPr="0084160A">
        <w:rPr>
          <w:b/>
          <w:lang w:val="en-GB"/>
        </w:rPr>
        <w:t>References</w:t>
      </w:r>
    </w:p>
    <w:p w14:paraId="60BCF465" w14:textId="64B28FFA" w:rsidR="00B43016" w:rsidRPr="00B43016" w:rsidRDefault="00B43016" w:rsidP="00336C39">
      <w:pPr>
        <w:spacing w:before="120" w:line="240" w:lineRule="auto"/>
        <w:rPr>
          <w:lang w:val="en-US"/>
        </w:rPr>
      </w:pPr>
      <w:r w:rsidRPr="00B43016">
        <w:rPr>
          <w:lang w:val="en-US"/>
        </w:rPr>
        <w:t>Joseph J. Bozell</w:t>
      </w:r>
      <w:r>
        <w:rPr>
          <w:lang w:val="en-US"/>
        </w:rPr>
        <w:t xml:space="preserve">, </w:t>
      </w:r>
      <w:r w:rsidRPr="00B43016">
        <w:rPr>
          <w:lang w:val="en-US"/>
        </w:rPr>
        <w:t>Gene R. Petersen</w:t>
      </w:r>
      <w:r w:rsidR="005C16C6">
        <w:rPr>
          <w:lang w:val="en-US"/>
        </w:rPr>
        <w:t xml:space="preserve">, 2010, </w:t>
      </w:r>
      <w:r w:rsidR="005C16C6" w:rsidRPr="005C16C6">
        <w:rPr>
          <w:lang w:val="en-US"/>
        </w:rPr>
        <w:t xml:space="preserve">Technology development for </w:t>
      </w:r>
      <w:r w:rsidR="009030B8">
        <w:rPr>
          <w:lang w:val="en-US"/>
        </w:rPr>
        <w:t>producing</w:t>
      </w:r>
      <w:r w:rsidR="005C16C6" w:rsidRPr="005C16C6">
        <w:rPr>
          <w:lang w:val="en-US"/>
        </w:rPr>
        <w:t xml:space="preserve"> biobased products from</w:t>
      </w:r>
      <w:r w:rsidR="005C16C6">
        <w:rPr>
          <w:lang w:val="en-US"/>
        </w:rPr>
        <w:t xml:space="preserve"> </w:t>
      </w:r>
      <w:r w:rsidR="005C16C6" w:rsidRPr="005C16C6">
        <w:rPr>
          <w:lang w:val="en-US"/>
        </w:rPr>
        <w:t>biorefinery carbohydrates—the US Department of Energy’s “Top 10”</w:t>
      </w:r>
      <w:r w:rsidR="005C16C6">
        <w:rPr>
          <w:lang w:val="en-US"/>
        </w:rPr>
        <w:t xml:space="preserve"> </w:t>
      </w:r>
      <w:r w:rsidR="005C16C6" w:rsidRPr="005C16C6">
        <w:rPr>
          <w:lang w:val="en-US"/>
        </w:rPr>
        <w:t>revisited</w:t>
      </w:r>
      <w:r w:rsidR="005C16C6">
        <w:rPr>
          <w:lang w:val="en-US"/>
        </w:rPr>
        <w:t xml:space="preserve">. </w:t>
      </w:r>
      <w:r w:rsidR="005C16C6" w:rsidRPr="005C16C6">
        <w:rPr>
          <w:lang w:val="en-US"/>
        </w:rPr>
        <w:t>Green Chem., 12, 539–554</w:t>
      </w:r>
      <w:r w:rsidR="00A55BFB">
        <w:rPr>
          <w:lang w:val="en-US"/>
        </w:rPr>
        <w:t>.</w:t>
      </w:r>
    </w:p>
    <w:p w14:paraId="6C39A1DF" w14:textId="4DD64244" w:rsidR="003C7866" w:rsidRPr="005C16C6" w:rsidRDefault="0084160A" w:rsidP="00336C39">
      <w:pPr>
        <w:spacing w:before="120" w:line="240" w:lineRule="auto"/>
        <w:rPr>
          <w:lang w:val="en-US"/>
        </w:rPr>
      </w:pPr>
      <w:r w:rsidRPr="005C16C6">
        <w:rPr>
          <w:lang w:val="en-US"/>
        </w:rPr>
        <w:t>A. Gandini, T.M. Lacerda.</w:t>
      </w:r>
      <w:r w:rsidR="005C16C6" w:rsidRPr="005C16C6">
        <w:rPr>
          <w:lang w:val="en-US"/>
        </w:rPr>
        <w:t>, 2022,</w:t>
      </w:r>
      <w:r w:rsidRPr="005C16C6">
        <w:rPr>
          <w:lang w:val="en-US"/>
        </w:rPr>
        <w:t xml:space="preserve"> Furan polymers: State of the Art and Perspectives. </w:t>
      </w:r>
      <w:r w:rsidRPr="00EB2055">
        <w:rPr>
          <w:lang w:val="en-US"/>
        </w:rPr>
        <w:t xml:space="preserve">Macromol. Mater. </w:t>
      </w:r>
      <w:r w:rsidRPr="005C16C6">
        <w:rPr>
          <w:lang w:val="en-US"/>
        </w:rPr>
        <w:t>Eng. 307, 2100902.</w:t>
      </w:r>
    </w:p>
    <w:p w14:paraId="6B9A85B3" w14:textId="63F92F59" w:rsidR="0084160A" w:rsidRPr="005C16C6" w:rsidRDefault="0084160A" w:rsidP="00336C39">
      <w:pPr>
        <w:spacing w:before="120" w:line="240" w:lineRule="auto"/>
        <w:rPr>
          <w:szCs w:val="18"/>
          <w:lang w:val="en-US"/>
        </w:rPr>
      </w:pPr>
      <w:r w:rsidRPr="005C16C6">
        <w:rPr>
          <w:szCs w:val="18"/>
          <w:lang w:val="en-US"/>
        </w:rPr>
        <w:t>A.W. Cooke, K.B. Wagener</w:t>
      </w:r>
      <w:r w:rsidR="005C16C6">
        <w:rPr>
          <w:szCs w:val="18"/>
          <w:lang w:val="en-US"/>
        </w:rPr>
        <w:t xml:space="preserve">, 1991, </w:t>
      </w:r>
      <w:r w:rsidRPr="005C16C6">
        <w:rPr>
          <w:szCs w:val="18"/>
          <w:lang w:val="en-US"/>
        </w:rPr>
        <w:t>An Investigation of Polymerization via Reductive Coupling of Carbonyls. Macromolecules, 24, 1404-1407.</w:t>
      </w:r>
    </w:p>
    <w:p w14:paraId="491BB1B3" w14:textId="6C8526F2" w:rsidR="002222D4" w:rsidRPr="002222D4" w:rsidRDefault="002222D4" w:rsidP="00336C39">
      <w:pPr>
        <w:spacing w:before="120" w:line="240" w:lineRule="auto"/>
        <w:rPr>
          <w:szCs w:val="18"/>
          <w:lang w:val="en-US"/>
        </w:rPr>
      </w:pPr>
      <w:r>
        <w:rPr>
          <w:szCs w:val="18"/>
          <w:lang w:val="en-US"/>
        </w:rPr>
        <w:t>A. B</w:t>
      </w:r>
      <w:r w:rsidRPr="002222D4">
        <w:rPr>
          <w:szCs w:val="18"/>
          <w:lang w:val="en-US"/>
        </w:rPr>
        <w:t>uonerba, S. Impemba, A. D. Litta, C. Capacchione, S. Milione, A. Grassi, 2018, Aerobic Oxidation and Oxidative Esterification of 5-Hydroxymethylfurfural by Gold Nanoparticles Supported on Nanoporous Polymer Host Matrix. ChemSusChem, 11, 3139–3149</w:t>
      </w:r>
      <w:r w:rsidR="00A55BFB">
        <w:rPr>
          <w:szCs w:val="18"/>
          <w:lang w:val="en-US"/>
        </w:rPr>
        <w:t>.</w:t>
      </w:r>
    </w:p>
    <w:p w14:paraId="4DA87C7A" w14:textId="314A5A84" w:rsidR="00D46274" w:rsidRPr="00845FB3" w:rsidRDefault="00A55BFB" w:rsidP="00336C39">
      <w:pPr>
        <w:spacing w:before="120" w:line="240" w:lineRule="auto"/>
        <w:rPr>
          <w:szCs w:val="18"/>
          <w:lang w:val="en-US"/>
        </w:rPr>
      </w:pPr>
      <w:r w:rsidRPr="00A55BFB">
        <w:rPr>
          <w:szCs w:val="18"/>
          <w:lang w:val="en-US"/>
        </w:rPr>
        <w:t>A.</w:t>
      </w:r>
      <w:r>
        <w:rPr>
          <w:szCs w:val="18"/>
          <w:lang w:val="en-US"/>
        </w:rPr>
        <w:t xml:space="preserve"> </w:t>
      </w:r>
      <w:r w:rsidR="005C16C6" w:rsidRPr="00A55BFB">
        <w:rPr>
          <w:szCs w:val="18"/>
          <w:lang w:val="en-US"/>
        </w:rPr>
        <w:t>B</w:t>
      </w:r>
      <w:r w:rsidR="0084160A" w:rsidRPr="00A55BFB">
        <w:rPr>
          <w:szCs w:val="18"/>
          <w:lang w:val="en-US"/>
        </w:rPr>
        <w:t xml:space="preserve">uonerba, </w:t>
      </w:r>
      <w:r w:rsidR="005C16C6" w:rsidRPr="00A55BFB">
        <w:rPr>
          <w:szCs w:val="18"/>
          <w:lang w:val="en-US"/>
        </w:rPr>
        <w:t xml:space="preserve">V. </w:t>
      </w:r>
      <w:r w:rsidR="0084160A" w:rsidRPr="00A55BFB">
        <w:rPr>
          <w:szCs w:val="18"/>
          <w:lang w:val="en-US"/>
        </w:rPr>
        <w:t>Speranz</w:t>
      </w:r>
      <w:r w:rsidR="005C16C6" w:rsidRPr="00A55BFB">
        <w:rPr>
          <w:szCs w:val="18"/>
          <w:lang w:val="en-US"/>
        </w:rPr>
        <w:t>a, C.</w:t>
      </w:r>
      <w:r w:rsidR="0084160A" w:rsidRPr="00A55BFB">
        <w:rPr>
          <w:szCs w:val="18"/>
          <w:lang w:val="en-US"/>
        </w:rPr>
        <w:t xml:space="preserve"> Capacchione,</w:t>
      </w:r>
      <w:r w:rsidR="005C16C6" w:rsidRPr="00A55BFB">
        <w:rPr>
          <w:szCs w:val="18"/>
          <w:lang w:val="en-US"/>
        </w:rPr>
        <w:t xml:space="preserve"> S. </w:t>
      </w:r>
      <w:r w:rsidR="0084160A" w:rsidRPr="00A55BFB">
        <w:rPr>
          <w:szCs w:val="18"/>
          <w:lang w:val="en-US"/>
        </w:rPr>
        <w:t>Milione,</w:t>
      </w:r>
      <w:r w:rsidR="005C16C6" w:rsidRPr="00A55BFB">
        <w:rPr>
          <w:szCs w:val="18"/>
          <w:lang w:val="en-US"/>
        </w:rPr>
        <w:t xml:space="preserve"> A.</w:t>
      </w:r>
      <w:r w:rsidR="0084160A" w:rsidRPr="00A55BFB">
        <w:rPr>
          <w:szCs w:val="18"/>
          <w:lang w:val="en-US"/>
        </w:rPr>
        <w:t xml:space="preserve"> Grassi,</w:t>
      </w:r>
      <w:r w:rsidR="005C16C6" w:rsidRPr="00A55BFB">
        <w:rPr>
          <w:szCs w:val="18"/>
          <w:lang w:val="en-US"/>
        </w:rPr>
        <w:t xml:space="preserve"> 2018,</w:t>
      </w:r>
      <w:r w:rsidR="0084160A" w:rsidRPr="00A55BFB">
        <w:rPr>
          <w:szCs w:val="18"/>
          <w:lang w:val="en-US"/>
        </w:rPr>
        <w:t xml:space="preserve"> Improvement of Tensile Properties, Self-Healing and Recycle of Thermoset Styrene/2-Vinylfuran Copolymers via Thermal Triggered Rearrangement of </w:t>
      </w:r>
      <w:r w:rsidR="0084160A" w:rsidRPr="00845FB3">
        <w:rPr>
          <w:szCs w:val="18"/>
          <w:lang w:val="en-US"/>
        </w:rPr>
        <w:t>Covalent Crosslink. European Polymer Journal</w:t>
      </w:r>
      <w:r w:rsidR="005C16C6" w:rsidRPr="00845FB3">
        <w:rPr>
          <w:szCs w:val="18"/>
          <w:lang w:val="en-US"/>
        </w:rPr>
        <w:t xml:space="preserve">, </w:t>
      </w:r>
      <w:r w:rsidR="0084160A" w:rsidRPr="00845FB3">
        <w:rPr>
          <w:szCs w:val="18"/>
          <w:lang w:val="en-US"/>
        </w:rPr>
        <w:t>99, 368–377</w:t>
      </w:r>
      <w:r w:rsidRPr="00845FB3">
        <w:rPr>
          <w:szCs w:val="18"/>
          <w:lang w:val="en-US"/>
        </w:rPr>
        <w:t>.</w:t>
      </w:r>
    </w:p>
    <w:p w14:paraId="53F8B07A" w14:textId="478A21B5" w:rsidR="00845FB3" w:rsidRPr="00845FB3" w:rsidRDefault="00845FB3" w:rsidP="00336C39">
      <w:pPr>
        <w:spacing w:before="120" w:line="240" w:lineRule="auto"/>
        <w:rPr>
          <w:szCs w:val="18"/>
          <w:lang w:val="en-US"/>
        </w:rPr>
      </w:pPr>
      <w:r w:rsidRPr="00D92265">
        <w:rPr>
          <w:szCs w:val="18"/>
          <w:lang w:val="en-US"/>
        </w:rPr>
        <w:t>A. Buonerba, R. Lapenta, S. Ortega Sánchez, C. Capacchione, S. Milione, A. Grassi, A Comprehensive Depiction of the Furan-Maleimide Coupling via Kinetic and Thermodynamic Investigations of the Diels-Alder Reaction of Poly(styrene–co-2-vinylfuran) with Maleimides</w:t>
      </w:r>
      <w:r>
        <w:rPr>
          <w:szCs w:val="18"/>
          <w:lang w:val="en-US"/>
        </w:rPr>
        <w:t xml:space="preserve">, </w:t>
      </w:r>
      <w:r w:rsidRPr="00D92265">
        <w:rPr>
          <w:i/>
          <w:iCs/>
          <w:szCs w:val="18"/>
          <w:lang w:val="en-US"/>
        </w:rPr>
        <w:t>ChemistrySelect</w:t>
      </w:r>
      <w:r w:rsidRPr="00D92265">
        <w:rPr>
          <w:szCs w:val="18"/>
          <w:lang w:val="en-US"/>
        </w:rPr>
        <w:t xml:space="preserve"> 2017, </w:t>
      </w:r>
      <w:r w:rsidRPr="00D92265">
        <w:rPr>
          <w:i/>
          <w:iCs/>
          <w:szCs w:val="18"/>
          <w:lang w:val="en-US"/>
        </w:rPr>
        <w:t>2</w:t>
      </w:r>
      <w:r w:rsidRPr="00D92265">
        <w:rPr>
          <w:szCs w:val="18"/>
          <w:lang w:val="en-US"/>
        </w:rPr>
        <w:t xml:space="preserve">, 1605. </w:t>
      </w:r>
    </w:p>
    <w:p w14:paraId="1F5E498E" w14:textId="0C7F34A0" w:rsidR="00D46274" w:rsidRDefault="00D46274" w:rsidP="00336C39">
      <w:pPr>
        <w:spacing w:before="120" w:line="240" w:lineRule="auto"/>
        <w:rPr>
          <w:szCs w:val="18"/>
        </w:rPr>
      </w:pPr>
      <w:r w:rsidRPr="00845FB3">
        <w:rPr>
          <w:szCs w:val="18"/>
        </w:rPr>
        <w:t>J. Liu, H. Zang, H. Dong</w:t>
      </w:r>
      <w:r>
        <w:rPr>
          <w:szCs w:val="18"/>
        </w:rPr>
        <w:t xml:space="preserve">, L. Meng, L. Jiang, L. Jiang, Y. Wang, J. Yu, Y. Sun, W. Hu, A.J. Heeger, 2015, High mobility emissive organic semiconductor. Nature </w:t>
      </w:r>
      <w:r w:rsidR="009030B8">
        <w:rPr>
          <w:szCs w:val="18"/>
        </w:rPr>
        <w:t>Communications</w:t>
      </w:r>
      <w:r>
        <w:rPr>
          <w:szCs w:val="18"/>
        </w:rPr>
        <w:t>, 6, 10032.</w:t>
      </w:r>
    </w:p>
    <w:p w14:paraId="2633739F" w14:textId="07129A39" w:rsidR="004160AA" w:rsidRPr="00D46274" w:rsidRDefault="00D46274" w:rsidP="00336C39">
      <w:pPr>
        <w:spacing w:before="120" w:line="240" w:lineRule="auto"/>
        <w:rPr>
          <w:szCs w:val="18"/>
        </w:rPr>
      </w:pPr>
      <w:r w:rsidRPr="00D46274">
        <w:rPr>
          <w:szCs w:val="18"/>
        </w:rPr>
        <w:t>L. Dou, Y. Liu, Z. Hon</w:t>
      </w:r>
      <w:r>
        <w:rPr>
          <w:szCs w:val="18"/>
        </w:rPr>
        <w:t>g, G. Li, Y. Yang, 2015, Low-Bandgap Near-IR Conjugated Polymers/Molecules for Organic Electronics. Chemical Reviews, 115, 12633-12665.</w:t>
      </w:r>
    </w:p>
    <w:p w14:paraId="1C75AD24" w14:textId="4992E2DC" w:rsidR="005C16C6" w:rsidRDefault="004160AA" w:rsidP="00336C39">
      <w:pPr>
        <w:pStyle w:val="CETBodytext"/>
        <w:spacing w:before="120" w:line="240" w:lineRule="auto"/>
        <w:rPr>
          <w:b/>
          <w:lang w:val="pt-BR"/>
        </w:rPr>
      </w:pPr>
      <w:r w:rsidRPr="004160AA">
        <w:rPr>
          <w:szCs w:val="18"/>
        </w:rPr>
        <w:t xml:space="preserve">S.-T. Chiu, H.-Y. Chiang, Y.-J. Lin, Y.-Y. Lu, H. Tanaka, T. Hosokai, M. Horie, 2018, </w:t>
      </w:r>
      <w:r w:rsidR="009030B8">
        <w:rPr>
          <w:szCs w:val="18"/>
        </w:rPr>
        <w:t>Self-assembly</w:t>
      </w:r>
      <w:r>
        <w:rPr>
          <w:szCs w:val="18"/>
        </w:rPr>
        <w:t xml:space="preserve"> and ring-opening metathesis polymerization of cyclic conjugated molecules on highly ordered pyrolytic graphite. Chem. Commun., 54, 5546-5549.</w:t>
      </w:r>
    </w:p>
    <w:sectPr w:rsidR="005C16C6" w:rsidSect="00A714EF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2752" w14:textId="77777777" w:rsidR="00F51137" w:rsidRDefault="00F51137" w:rsidP="004F5E36">
      <w:r>
        <w:separator/>
      </w:r>
    </w:p>
  </w:endnote>
  <w:endnote w:type="continuationSeparator" w:id="0">
    <w:p w14:paraId="7EE72C1C" w14:textId="77777777" w:rsidR="00F51137" w:rsidRDefault="00F51137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6960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99043" w14:textId="77777777" w:rsidR="00F51137" w:rsidRDefault="00F51137" w:rsidP="004F5E36">
      <w:r>
        <w:separator/>
      </w:r>
    </w:p>
  </w:footnote>
  <w:footnote w:type="continuationSeparator" w:id="0">
    <w:p w14:paraId="47202013" w14:textId="77777777" w:rsidR="00F51137" w:rsidRDefault="00F51137" w:rsidP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771E6"/>
    <w:multiLevelType w:val="hybridMultilevel"/>
    <w:tmpl w:val="9C60B42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473B8"/>
    <w:multiLevelType w:val="hybridMultilevel"/>
    <w:tmpl w:val="01B6F8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96957"/>
    <w:multiLevelType w:val="hybridMultilevel"/>
    <w:tmpl w:val="21DAF1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8217E"/>
    <w:multiLevelType w:val="multilevel"/>
    <w:tmpl w:val="F17228D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A6B0A58"/>
    <w:multiLevelType w:val="hybridMultilevel"/>
    <w:tmpl w:val="8E6EA3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7051D"/>
    <w:multiLevelType w:val="hybridMultilevel"/>
    <w:tmpl w:val="5C9C32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29B9"/>
    <w:multiLevelType w:val="hybridMultilevel"/>
    <w:tmpl w:val="A2E6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C25CD"/>
    <w:multiLevelType w:val="hybridMultilevel"/>
    <w:tmpl w:val="9264AC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48CA"/>
    <w:multiLevelType w:val="hybridMultilevel"/>
    <w:tmpl w:val="FB22038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57FEF"/>
    <w:multiLevelType w:val="hybridMultilevel"/>
    <w:tmpl w:val="57A02C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81DE1"/>
    <w:multiLevelType w:val="hybridMultilevel"/>
    <w:tmpl w:val="EE26D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640AA"/>
    <w:multiLevelType w:val="hybridMultilevel"/>
    <w:tmpl w:val="5A2CA2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74CF"/>
    <w:multiLevelType w:val="hybridMultilevel"/>
    <w:tmpl w:val="D65415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5"/>
  </w:num>
  <w:num w:numId="13">
    <w:abstractNumId w:val="17"/>
  </w:num>
  <w:num w:numId="14">
    <w:abstractNumId w:val="26"/>
  </w:num>
  <w:num w:numId="15">
    <w:abstractNumId w:val="28"/>
  </w:num>
  <w:num w:numId="16">
    <w:abstractNumId w:val="27"/>
  </w:num>
  <w:num w:numId="17">
    <w:abstractNumId w:val="16"/>
  </w:num>
  <w:num w:numId="18">
    <w:abstractNumId w:val="17"/>
    <w:lvlOverride w:ilvl="0">
      <w:startOverride w:val="1"/>
    </w:lvlOverride>
  </w:num>
  <w:num w:numId="19">
    <w:abstractNumId w:val="23"/>
  </w:num>
  <w:num w:numId="20">
    <w:abstractNumId w:val="21"/>
  </w:num>
  <w:num w:numId="21">
    <w:abstractNumId w:val="19"/>
  </w:num>
  <w:num w:numId="22">
    <w:abstractNumId w:val="18"/>
  </w:num>
  <w:num w:numId="23">
    <w:abstractNumId w:val="29"/>
  </w:num>
  <w:num w:numId="24">
    <w:abstractNumId w:val="11"/>
  </w:num>
  <w:num w:numId="25">
    <w:abstractNumId w:val="30"/>
  </w:num>
  <w:num w:numId="26">
    <w:abstractNumId w:val="14"/>
  </w:num>
  <w:num w:numId="27">
    <w:abstractNumId w:val="10"/>
  </w:num>
  <w:num w:numId="28">
    <w:abstractNumId w:val="20"/>
  </w:num>
  <w:num w:numId="29">
    <w:abstractNumId w:val="24"/>
  </w:num>
  <w:num w:numId="30">
    <w:abstractNumId w:val="12"/>
  </w:num>
  <w:num w:numId="31">
    <w:abstractNumId w:val="31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forms" w:enforcement="0"/>
  <w:autoFormatOverride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27C0"/>
    <w:rsid w:val="000052FB"/>
    <w:rsid w:val="00005A19"/>
    <w:rsid w:val="00007537"/>
    <w:rsid w:val="000117CB"/>
    <w:rsid w:val="00012339"/>
    <w:rsid w:val="0003148D"/>
    <w:rsid w:val="00031EEC"/>
    <w:rsid w:val="00051566"/>
    <w:rsid w:val="00054288"/>
    <w:rsid w:val="000562A9"/>
    <w:rsid w:val="00062A9A"/>
    <w:rsid w:val="00065058"/>
    <w:rsid w:val="0007500D"/>
    <w:rsid w:val="0008687D"/>
    <w:rsid w:val="00086C39"/>
    <w:rsid w:val="000933A8"/>
    <w:rsid w:val="000A03B2"/>
    <w:rsid w:val="000B298C"/>
    <w:rsid w:val="000B579A"/>
    <w:rsid w:val="000B59A2"/>
    <w:rsid w:val="000D0268"/>
    <w:rsid w:val="000D23BD"/>
    <w:rsid w:val="000D2ABF"/>
    <w:rsid w:val="000D34BE"/>
    <w:rsid w:val="000E102F"/>
    <w:rsid w:val="000E36F1"/>
    <w:rsid w:val="000E3A73"/>
    <w:rsid w:val="000E414A"/>
    <w:rsid w:val="000E5A6C"/>
    <w:rsid w:val="000F093C"/>
    <w:rsid w:val="000F1FFF"/>
    <w:rsid w:val="000F787B"/>
    <w:rsid w:val="00100016"/>
    <w:rsid w:val="00110F97"/>
    <w:rsid w:val="0012091F"/>
    <w:rsid w:val="00126BC2"/>
    <w:rsid w:val="001308B6"/>
    <w:rsid w:val="0013121F"/>
    <w:rsid w:val="00131FE6"/>
    <w:rsid w:val="0013263F"/>
    <w:rsid w:val="001331DF"/>
    <w:rsid w:val="00134DE4"/>
    <w:rsid w:val="0014034D"/>
    <w:rsid w:val="00143D37"/>
    <w:rsid w:val="00144D16"/>
    <w:rsid w:val="00150E59"/>
    <w:rsid w:val="00152C59"/>
    <w:rsid w:val="00152DE3"/>
    <w:rsid w:val="00163058"/>
    <w:rsid w:val="00164CF9"/>
    <w:rsid w:val="001667A6"/>
    <w:rsid w:val="00183E8F"/>
    <w:rsid w:val="00184719"/>
    <w:rsid w:val="00184AD6"/>
    <w:rsid w:val="00193BA3"/>
    <w:rsid w:val="001A0EB9"/>
    <w:rsid w:val="001A4AF7"/>
    <w:rsid w:val="001A5345"/>
    <w:rsid w:val="001A6677"/>
    <w:rsid w:val="001B0349"/>
    <w:rsid w:val="001B1E93"/>
    <w:rsid w:val="001B65C1"/>
    <w:rsid w:val="001C684B"/>
    <w:rsid w:val="001D0CFB"/>
    <w:rsid w:val="001D21AF"/>
    <w:rsid w:val="001D53FC"/>
    <w:rsid w:val="001E7591"/>
    <w:rsid w:val="001F42A5"/>
    <w:rsid w:val="001F7B9D"/>
    <w:rsid w:val="001F7F35"/>
    <w:rsid w:val="00201C93"/>
    <w:rsid w:val="00210DA3"/>
    <w:rsid w:val="002222D4"/>
    <w:rsid w:val="002224B4"/>
    <w:rsid w:val="002447EF"/>
    <w:rsid w:val="00251550"/>
    <w:rsid w:val="00253AE7"/>
    <w:rsid w:val="002636EB"/>
    <w:rsid w:val="00263B05"/>
    <w:rsid w:val="0027221A"/>
    <w:rsid w:val="002759AD"/>
    <w:rsid w:val="00275B61"/>
    <w:rsid w:val="00280B6A"/>
    <w:rsid w:val="00280FAF"/>
    <w:rsid w:val="00282656"/>
    <w:rsid w:val="00293A60"/>
    <w:rsid w:val="00296B83"/>
    <w:rsid w:val="002B4015"/>
    <w:rsid w:val="002B78CE"/>
    <w:rsid w:val="002C2FB6"/>
    <w:rsid w:val="002D07A2"/>
    <w:rsid w:val="002E5FA7"/>
    <w:rsid w:val="002F2801"/>
    <w:rsid w:val="002F3309"/>
    <w:rsid w:val="003008CE"/>
    <w:rsid w:val="003009B7"/>
    <w:rsid w:val="00300E56"/>
    <w:rsid w:val="0030152C"/>
    <w:rsid w:val="0030469C"/>
    <w:rsid w:val="00321CA6"/>
    <w:rsid w:val="00323763"/>
    <w:rsid w:val="00323C5F"/>
    <w:rsid w:val="00334C09"/>
    <w:rsid w:val="00336C39"/>
    <w:rsid w:val="00342F4F"/>
    <w:rsid w:val="00344471"/>
    <w:rsid w:val="003560B7"/>
    <w:rsid w:val="003704B6"/>
    <w:rsid w:val="003723D4"/>
    <w:rsid w:val="00374673"/>
    <w:rsid w:val="00374F0E"/>
    <w:rsid w:val="00381905"/>
    <w:rsid w:val="00384CC8"/>
    <w:rsid w:val="003871FD"/>
    <w:rsid w:val="003A196C"/>
    <w:rsid w:val="003A1E30"/>
    <w:rsid w:val="003A2829"/>
    <w:rsid w:val="003A7D1C"/>
    <w:rsid w:val="003B304B"/>
    <w:rsid w:val="003B3146"/>
    <w:rsid w:val="003C7866"/>
    <w:rsid w:val="003D42D2"/>
    <w:rsid w:val="003E6D9A"/>
    <w:rsid w:val="003E79ED"/>
    <w:rsid w:val="003F015E"/>
    <w:rsid w:val="00400414"/>
    <w:rsid w:val="00403271"/>
    <w:rsid w:val="0041446B"/>
    <w:rsid w:val="004145F7"/>
    <w:rsid w:val="004160AA"/>
    <w:rsid w:val="0042033C"/>
    <w:rsid w:val="00420927"/>
    <w:rsid w:val="0042148A"/>
    <w:rsid w:val="00431D67"/>
    <w:rsid w:val="00435653"/>
    <w:rsid w:val="0044071E"/>
    <w:rsid w:val="0044329C"/>
    <w:rsid w:val="004437AA"/>
    <w:rsid w:val="00453E24"/>
    <w:rsid w:val="00457456"/>
    <w:rsid w:val="004577FE"/>
    <w:rsid w:val="00457B9C"/>
    <w:rsid w:val="0046164A"/>
    <w:rsid w:val="004628D2"/>
    <w:rsid w:val="00462DCD"/>
    <w:rsid w:val="004648AD"/>
    <w:rsid w:val="00466324"/>
    <w:rsid w:val="004703A9"/>
    <w:rsid w:val="004760DE"/>
    <w:rsid w:val="004763D7"/>
    <w:rsid w:val="00492526"/>
    <w:rsid w:val="004A004E"/>
    <w:rsid w:val="004A1751"/>
    <w:rsid w:val="004A24CF"/>
    <w:rsid w:val="004A382E"/>
    <w:rsid w:val="004C3D1D"/>
    <w:rsid w:val="004C3D84"/>
    <w:rsid w:val="004C7913"/>
    <w:rsid w:val="004D482F"/>
    <w:rsid w:val="004D7D63"/>
    <w:rsid w:val="004E4DD6"/>
    <w:rsid w:val="004F5E36"/>
    <w:rsid w:val="00507B47"/>
    <w:rsid w:val="00507BEF"/>
    <w:rsid w:val="00507CC9"/>
    <w:rsid w:val="005119A5"/>
    <w:rsid w:val="0051303F"/>
    <w:rsid w:val="005278B7"/>
    <w:rsid w:val="00531243"/>
    <w:rsid w:val="00532016"/>
    <w:rsid w:val="005346C8"/>
    <w:rsid w:val="0053731A"/>
    <w:rsid w:val="00541E3A"/>
    <w:rsid w:val="00541E69"/>
    <w:rsid w:val="00543E7D"/>
    <w:rsid w:val="00547A68"/>
    <w:rsid w:val="0055066E"/>
    <w:rsid w:val="005509F2"/>
    <w:rsid w:val="005531C9"/>
    <w:rsid w:val="00557E00"/>
    <w:rsid w:val="005635DA"/>
    <w:rsid w:val="00570C43"/>
    <w:rsid w:val="005858C9"/>
    <w:rsid w:val="00597369"/>
    <w:rsid w:val="005B2110"/>
    <w:rsid w:val="005B550D"/>
    <w:rsid w:val="005B61E6"/>
    <w:rsid w:val="005C16C6"/>
    <w:rsid w:val="005C77E1"/>
    <w:rsid w:val="005D668A"/>
    <w:rsid w:val="005D6A2F"/>
    <w:rsid w:val="005E1A82"/>
    <w:rsid w:val="005E794C"/>
    <w:rsid w:val="005F0A28"/>
    <w:rsid w:val="005F0E5E"/>
    <w:rsid w:val="00600535"/>
    <w:rsid w:val="00610CD6"/>
    <w:rsid w:val="00616F13"/>
    <w:rsid w:val="00617A87"/>
    <w:rsid w:val="00620164"/>
    <w:rsid w:val="00620DEE"/>
    <w:rsid w:val="00621F92"/>
    <w:rsid w:val="0062280A"/>
    <w:rsid w:val="00625639"/>
    <w:rsid w:val="00631B33"/>
    <w:rsid w:val="0064184D"/>
    <w:rsid w:val="006422CC"/>
    <w:rsid w:val="00647A10"/>
    <w:rsid w:val="00660E3E"/>
    <w:rsid w:val="00662E74"/>
    <w:rsid w:val="00675CD5"/>
    <w:rsid w:val="00676079"/>
    <w:rsid w:val="00680C23"/>
    <w:rsid w:val="00681460"/>
    <w:rsid w:val="00686793"/>
    <w:rsid w:val="00693766"/>
    <w:rsid w:val="00695E1B"/>
    <w:rsid w:val="00696E25"/>
    <w:rsid w:val="006A3281"/>
    <w:rsid w:val="006B4888"/>
    <w:rsid w:val="006B5F05"/>
    <w:rsid w:val="006C2E45"/>
    <w:rsid w:val="006C359C"/>
    <w:rsid w:val="006C5579"/>
    <w:rsid w:val="006C602A"/>
    <w:rsid w:val="006D0D55"/>
    <w:rsid w:val="006D6E8B"/>
    <w:rsid w:val="006E737D"/>
    <w:rsid w:val="006F0124"/>
    <w:rsid w:val="006F445D"/>
    <w:rsid w:val="006F5AD3"/>
    <w:rsid w:val="007053B5"/>
    <w:rsid w:val="00706C0C"/>
    <w:rsid w:val="00707DD1"/>
    <w:rsid w:val="00713973"/>
    <w:rsid w:val="00720A24"/>
    <w:rsid w:val="00721190"/>
    <w:rsid w:val="0073171A"/>
    <w:rsid w:val="00732386"/>
    <w:rsid w:val="0073514D"/>
    <w:rsid w:val="007447F3"/>
    <w:rsid w:val="0075499F"/>
    <w:rsid w:val="00760C34"/>
    <w:rsid w:val="007661C8"/>
    <w:rsid w:val="0077098D"/>
    <w:rsid w:val="007931FA"/>
    <w:rsid w:val="007A4861"/>
    <w:rsid w:val="007A7BBA"/>
    <w:rsid w:val="007B0C50"/>
    <w:rsid w:val="007B48F9"/>
    <w:rsid w:val="007C1A43"/>
    <w:rsid w:val="007C3ADB"/>
    <w:rsid w:val="007C5202"/>
    <w:rsid w:val="007D08F7"/>
    <w:rsid w:val="007D0951"/>
    <w:rsid w:val="0080013E"/>
    <w:rsid w:val="00813288"/>
    <w:rsid w:val="008154F1"/>
    <w:rsid w:val="008168FC"/>
    <w:rsid w:val="00817438"/>
    <w:rsid w:val="00821762"/>
    <w:rsid w:val="00830996"/>
    <w:rsid w:val="00832733"/>
    <w:rsid w:val="008345F1"/>
    <w:rsid w:val="0084160A"/>
    <w:rsid w:val="00845FB3"/>
    <w:rsid w:val="00862C58"/>
    <w:rsid w:val="00864696"/>
    <w:rsid w:val="00865B07"/>
    <w:rsid w:val="008667EA"/>
    <w:rsid w:val="0087499A"/>
    <w:rsid w:val="0087637F"/>
    <w:rsid w:val="00892AD5"/>
    <w:rsid w:val="008A1512"/>
    <w:rsid w:val="008C08BC"/>
    <w:rsid w:val="008C4A15"/>
    <w:rsid w:val="008D32B9"/>
    <w:rsid w:val="008D433B"/>
    <w:rsid w:val="008D4A16"/>
    <w:rsid w:val="008D64E9"/>
    <w:rsid w:val="008E566E"/>
    <w:rsid w:val="008E58F7"/>
    <w:rsid w:val="008F4060"/>
    <w:rsid w:val="0090161A"/>
    <w:rsid w:val="00901EB6"/>
    <w:rsid w:val="00902642"/>
    <w:rsid w:val="009030B8"/>
    <w:rsid w:val="0090326E"/>
    <w:rsid w:val="00904C62"/>
    <w:rsid w:val="00920923"/>
    <w:rsid w:val="00922326"/>
    <w:rsid w:val="00922BA8"/>
    <w:rsid w:val="00924DAC"/>
    <w:rsid w:val="00927058"/>
    <w:rsid w:val="00931E33"/>
    <w:rsid w:val="00934F14"/>
    <w:rsid w:val="00942750"/>
    <w:rsid w:val="009450CE"/>
    <w:rsid w:val="009459BB"/>
    <w:rsid w:val="00947179"/>
    <w:rsid w:val="0095164B"/>
    <w:rsid w:val="00954090"/>
    <w:rsid w:val="009573E7"/>
    <w:rsid w:val="00963E05"/>
    <w:rsid w:val="00964A45"/>
    <w:rsid w:val="009673C4"/>
    <w:rsid w:val="00967843"/>
    <w:rsid w:val="00967D54"/>
    <w:rsid w:val="00971028"/>
    <w:rsid w:val="00973102"/>
    <w:rsid w:val="00993B84"/>
    <w:rsid w:val="00996483"/>
    <w:rsid w:val="00996F5A"/>
    <w:rsid w:val="009A0B64"/>
    <w:rsid w:val="009A4571"/>
    <w:rsid w:val="009B041A"/>
    <w:rsid w:val="009B65B7"/>
    <w:rsid w:val="009C37C3"/>
    <w:rsid w:val="009C7C86"/>
    <w:rsid w:val="009D2FF7"/>
    <w:rsid w:val="009D30F0"/>
    <w:rsid w:val="009E46E1"/>
    <w:rsid w:val="009E7884"/>
    <w:rsid w:val="009E788A"/>
    <w:rsid w:val="009F0E08"/>
    <w:rsid w:val="00A1763D"/>
    <w:rsid w:val="00A17CEC"/>
    <w:rsid w:val="00A27EF0"/>
    <w:rsid w:val="00A40D7A"/>
    <w:rsid w:val="00A42361"/>
    <w:rsid w:val="00A50B20"/>
    <w:rsid w:val="00A51390"/>
    <w:rsid w:val="00A55BFB"/>
    <w:rsid w:val="00A60D13"/>
    <w:rsid w:val="00A61353"/>
    <w:rsid w:val="00A61BEB"/>
    <w:rsid w:val="00A714EF"/>
    <w:rsid w:val="00A7223D"/>
    <w:rsid w:val="00A72745"/>
    <w:rsid w:val="00A76EFC"/>
    <w:rsid w:val="00A877C9"/>
    <w:rsid w:val="00A87D50"/>
    <w:rsid w:val="00A91010"/>
    <w:rsid w:val="00A96ABA"/>
    <w:rsid w:val="00A97F29"/>
    <w:rsid w:val="00AA702E"/>
    <w:rsid w:val="00AA7D26"/>
    <w:rsid w:val="00AB0964"/>
    <w:rsid w:val="00AB5011"/>
    <w:rsid w:val="00AB6772"/>
    <w:rsid w:val="00AC7368"/>
    <w:rsid w:val="00AD16B9"/>
    <w:rsid w:val="00AE377D"/>
    <w:rsid w:val="00AF0EBA"/>
    <w:rsid w:val="00AF46C8"/>
    <w:rsid w:val="00B02C8A"/>
    <w:rsid w:val="00B02ED6"/>
    <w:rsid w:val="00B17FBD"/>
    <w:rsid w:val="00B2388D"/>
    <w:rsid w:val="00B2746E"/>
    <w:rsid w:val="00B315A6"/>
    <w:rsid w:val="00B31813"/>
    <w:rsid w:val="00B33365"/>
    <w:rsid w:val="00B43016"/>
    <w:rsid w:val="00B47F8A"/>
    <w:rsid w:val="00B54274"/>
    <w:rsid w:val="00B57B36"/>
    <w:rsid w:val="00B57E6F"/>
    <w:rsid w:val="00B6040B"/>
    <w:rsid w:val="00B649A1"/>
    <w:rsid w:val="00B74EB7"/>
    <w:rsid w:val="00B8686D"/>
    <w:rsid w:val="00B91BEA"/>
    <w:rsid w:val="00B93F69"/>
    <w:rsid w:val="00B960D9"/>
    <w:rsid w:val="00B96C5C"/>
    <w:rsid w:val="00BB1DDC"/>
    <w:rsid w:val="00BC30C9"/>
    <w:rsid w:val="00BD077D"/>
    <w:rsid w:val="00BE3E58"/>
    <w:rsid w:val="00BE777D"/>
    <w:rsid w:val="00C01616"/>
    <w:rsid w:val="00C0162B"/>
    <w:rsid w:val="00C068ED"/>
    <w:rsid w:val="00C176FC"/>
    <w:rsid w:val="00C22E0C"/>
    <w:rsid w:val="00C24AF1"/>
    <w:rsid w:val="00C345B1"/>
    <w:rsid w:val="00C40142"/>
    <w:rsid w:val="00C43AA6"/>
    <w:rsid w:val="00C52C3C"/>
    <w:rsid w:val="00C57182"/>
    <w:rsid w:val="00C57863"/>
    <w:rsid w:val="00C640AF"/>
    <w:rsid w:val="00C655FD"/>
    <w:rsid w:val="00C668FD"/>
    <w:rsid w:val="00C674DC"/>
    <w:rsid w:val="00C75407"/>
    <w:rsid w:val="00C841C6"/>
    <w:rsid w:val="00C870A8"/>
    <w:rsid w:val="00C93713"/>
    <w:rsid w:val="00C94434"/>
    <w:rsid w:val="00CA0616"/>
    <w:rsid w:val="00CA0D75"/>
    <w:rsid w:val="00CA156C"/>
    <w:rsid w:val="00CA1C95"/>
    <w:rsid w:val="00CA5A9C"/>
    <w:rsid w:val="00CC4C20"/>
    <w:rsid w:val="00CC68CE"/>
    <w:rsid w:val="00CD3517"/>
    <w:rsid w:val="00CD5FE2"/>
    <w:rsid w:val="00CD712E"/>
    <w:rsid w:val="00CE645B"/>
    <w:rsid w:val="00CE7C68"/>
    <w:rsid w:val="00D02B4C"/>
    <w:rsid w:val="00D040C4"/>
    <w:rsid w:val="00D1690F"/>
    <w:rsid w:val="00D20AD1"/>
    <w:rsid w:val="00D22806"/>
    <w:rsid w:val="00D2528B"/>
    <w:rsid w:val="00D2582C"/>
    <w:rsid w:val="00D27B00"/>
    <w:rsid w:val="00D46274"/>
    <w:rsid w:val="00D46B7E"/>
    <w:rsid w:val="00D50F92"/>
    <w:rsid w:val="00D54B90"/>
    <w:rsid w:val="00D57C84"/>
    <w:rsid w:val="00D6057D"/>
    <w:rsid w:val="00D71640"/>
    <w:rsid w:val="00D71C71"/>
    <w:rsid w:val="00D836C5"/>
    <w:rsid w:val="00D84576"/>
    <w:rsid w:val="00D860EE"/>
    <w:rsid w:val="00D92265"/>
    <w:rsid w:val="00D9471B"/>
    <w:rsid w:val="00DA1399"/>
    <w:rsid w:val="00DA24C6"/>
    <w:rsid w:val="00DA4D7B"/>
    <w:rsid w:val="00DA4F7E"/>
    <w:rsid w:val="00DA71B6"/>
    <w:rsid w:val="00DD271C"/>
    <w:rsid w:val="00DD3218"/>
    <w:rsid w:val="00DE264A"/>
    <w:rsid w:val="00DE26DE"/>
    <w:rsid w:val="00DF5072"/>
    <w:rsid w:val="00E0041D"/>
    <w:rsid w:val="00E02D18"/>
    <w:rsid w:val="00E041E7"/>
    <w:rsid w:val="00E23CA1"/>
    <w:rsid w:val="00E409A8"/>
    <w:rsid w:val="00E50C12"/>
    <w:rsid w:val="00E65B91"/>
    <w:rsid w:val="00E71A07"/>
    <w:rsid w:val="00E7209D"/>
    <w:rsid w:val="00E72EAD"/>
    <w:rsid w:val="00E77223"/>
    <w:rsid w:val="00E81D0D"/>
    <w:rsid w:val="00E8528B"/>
    <w:rsid w:val="00E85932"/>
    <w:rsid w:val="00E85B94"/>
    <w:rsid w:val="00E978D0"/>
    <w:rsid w:val="00EA0D00"/>
    <w:rsid w:val="00EA4613"/>
    <w:rsid w:val="00EA7F91"/>
    <w:rsid w:val="00EB1523"/>
    <w:rsid w:val="00EB2055"/>
    <w:rsid w:val="00EC0E49"/>
    <w:rsid w:val="00EC101F"/>
    <w:rsid w:val="00EC1D9F"/>
    <w:rsid w:val="00ED02A5"/>
    <w:rsid w:val="00EE0131"/>
    <w:rsid w:val="00EE0C47"/>
    <w:rsid w:val="00EE17B0"/>
    <w:rsid w:val="00EF06D9"/>
    <w:rsid w:val="00F011DC"/>
    <w:rsid w:val="00F01742"/>
    <w:rsid w:val="00F03F7D"/>
    <w:rsid w:val="00F3049E"/>
    <w:rsid w:val="00F30C64"/>
    <w:rsid w:val="00F32BA2"/>
    <w:rsid w:val="00F32CDB"/>
    <w:rsid w:val="00F51137"/>
    <w:rsid w:val="00F565FE"/>
    <w:rsid w:val="00F63A70"/>
    <w:rsid w:val="00F63D8C"/>
    <w:rsid w:val="00F66807"/>
    <w:rsid w:val="00F7534E"/>
    <w:rsid w:val="00F85442"/>
    <w:rsid w:val="00F93EDF"/>
    <w:rsid w:val="00FA1802"/>
    <w:rsid w:val="00FA18EF"/>
    <w:rsid w:val="00FA21D0"/>
    <w:rsid w:val="00FA5F5F"/>
    <w:rsid w:val="00FB41CD"/>
    <w:rsid w:val="00FB730C"/>
    <w:rsid w:val="00FC2695"/>
    <w:rsid w:val="00FC3E03"/>
    <w:rsid w:val="00FC3FC1"/>
    <w:rsid w:val="00FD1B71"/>
    <w:rsid w:val="00FE53D0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0CC22"/>
  <w14:defaultImageDpi w14:val="330"/>
  <w15:docId w15:val="{0B95FB59-9D38-42B5-B090-D2348EE1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FA5F5F"/>
    <w:pPr>
      <w:keepNext/>
      <w:numPr>
        <w:ilvl w:val="2"/>
        <w:numId w:val="1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F7534E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FA5F5F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F7534E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577F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Carpredefinitoparagrafo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0F787B"/>
    <w:pPr>
      <w:numPr>
        <w:ilvl w:val="0"/>
        <w:numId w:val="0"/>
      </w:numPr>
    </w:pPr>
  </w:style>
  <w:style w:type="character" w:customStyle="1" w:styleId="CETHeadingxxChar">
    <w:name w:val="CET Headingxx Char"/>
    <w:basedOn w:val="CETheadingxCarattere"/>
    <w:link w:val="CETHeadingxx"/>
    <w:rsid w:val="000F787B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280FAF"/>
    <w:pPr>
      <w:ind w:left="720"/>
      <w:contextualSpacing/>
    </w:pPr>
  </w:style>
  <w:style w:type="character" w:customStyle="1" w:styleId="gmail-apple-converted-space">
    <w:name w:val="gmail-apple-converted-space"/>
    <w:basedOn w:val="Carpredefinitoparagrafo"/>
    <w:rsid w:val="00005A19"/>
  </w:style>
  <w:style w:type="character" w:styleId="Rimandonotaapidipagina">
    <w:name w:val="footnote reference"/>
    <w:basedOn w:val="Carpredefinitoparagrafo"/>
    <w:uiPriority w:val="99"/>
    <w:semiHidden/>
    <w:unhideWhenUsed/>
    <w:rsid w:val="00C93713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D7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D712E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8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4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D2F4-D898-4BB1-99A0-F1B79992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15735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Salvatore</cp:lastModifiedBy>
  <cp:revision>79</cp:revision>
  <cp:lastPrinted>2015-05-12T18:31:00Z</cp:lastPrinted>
  <dcterms:created xsi:type="dcterms:W3CDTF">2025-03-27T14:16:00Z</dcterms:created>
  <dcterms:modified xsi:type="dcterms:W3CDTF">2025-07-31T07:30:00Z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  <property fmtid="{D5CDD505-2E9C-101B-9397-08002B2CF9AE}" pid="4" name="GrammarlyDocumentId">
    <vt:lpwstr>1a2134f6daf52946a679709a710c1fc27098e1a95d1eb8fc9ea4732aef17731f</vt:lpwstr>
  </property>
</Properties>
</file>