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940"/>
        <w:gridCol w:w="1842"/>
      </w:tblGrid>
      <w:tr w:rsidR="000A03B2" w:rsidRPr="00B57B36" w14:paraId="2A131A54" w14:textId="77777777" w:rsidTr="005933F9">
        <w:trPr>
          <w:trHeight w:val="852"/>
          <w:jc w:val="center"/>
        </w:trPr>
        <w:tc>
          <w:tcPr>
            <w:tcW w:w="6940" w:type="dxa"/>
            <w:vMerge w:val="restart"/>
            <w:tcBorders>
              <w:right w:val="single" w:sz="4" w:space="0" w:color="auto"/>
            </w:tcBorders>
          </w:tcPr>
          <w:p w14:paraId="38C3D2BA" w14:textId="77777777" w:rsidR="000A03B2" w:rsidRPr="00B57B36" w:rsidRDefault="000A03B2" w:rsidP="00DE264A">
            <w:pPr>
              <w:tabs>
                <w:tab w:val="left" w:pos="-108"/>
              </w:tabs>
              <w:ind w:left="-108"/>
              <w:jc w:val="left"/>
              <w:rPr>
                <w:rFonts w:cs="Arial"/>
                <w:b/>
                <w:bCs/>
                <w:i/>
                <w:iCs/>
                <w:color w:val="000066"/>
                <w:sz w:val="12"/>
                <w:szCs w:val="12"/>
                <w:lang w:eastAsia="it-IT"/>
              </w:rPr>
            </w:pPr>
            <w:r w:rsidRPr="00B57B36">
              <w:rPr>
                <w:rFonts w:ascii="AdvP6960" w:hAnsi="AdvP6960" w:cs="AdvP6960"/>
                <w:noProof/>
                <w:color w:val="241F20"/>
                <w:szCs w:val="18"/>
                <w:lang w:val="it-IT" w:eastAsia="it-IT"/>
              </w:rPr>
              <w:drawing>
                <wp:inline distT="0" distB="0" distL="0" distR="0" wp14:anchorId="02B7C3D3" wp14:editId="5EE03112">
                  <wp:extent cx="640080" cy="373380"/>
                  <wp:effectExtent l="0" t="0" r="7620" b="7620"/>
                  <wp:docPr id="5" name="Immagine 5" descr="cet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et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7B36">
              <w:rPr>
                <w:rFonts w:ascii="AdvP6960" w:hAnsi="AdvP6960" w:cs="AdvP6960"/>
                <w:color w:val="241F20"/>
                <w:szCs w:val="18"/>
                <w:lang w:eastAsia="it-IT"/>
              </w:rPr>
              <w:t xml:space="preserve"> </w:t>
            </w:r>
            <w:r w:rsidRPr="00B57B36">
              <w:rPr>
                <w:rFonts w:cs="Arial"/>
                <w:b/>
                <w:bCs/>
                <w:i/>
                <w:iCs/>
                <w:color w:val="000066"/>
                <w:sz w:val="24"/>
                <w:szCs w:val="24"/>
                <w:lang w:eastAsia="it-IT"/>
              </w:rPr>
              <w:t>CHEMICAL ENGINEERING</w:t>
            </w:r>
            <w:r w:rsidRPr="00B57B36">
              <w:rPr>
                <w:rFonts w:cs="Arial"/>
                <w:b/>
                <w:bCs/>
                <w:i/>
                <w:iCs/>
                <w:color w:val="0033FF"/>
                <w:sz w:val="24"/>
                <w:szCs w:val="24"/>
                <w:lang w:eastAsia="it-IT"/>
              </w:rPr>
              <w:t xml:space="preserve"> </w:t>
            </w:r>
            <w:r w:rsidRPr="00B57B36">
              <w:rPr>
                <w:rFonts w:cs="Arial"/>
                <w:b/>
                <w:bCs/>
                <w:i/>
                <w:iCs/>
                <w:color w:val="666666"/>
                <w:sz w:val="24"/>
                <w:szCs w:val="24"/>
                <w:lang w:eastAsia="it-IT"/>
              </w:rPr>
              <w:t>TRANSACTIONS</w:t>
            </w:r>
            <w:r w:rsidRPr="00B57B36">
              <w:rPr>
                <w:color w:val="333333"/>
                <w:sz w:val="24"/>
                <w:szCs w:val="24"/>
                <w:lang w:eastAsia="it-IT"/>
              </w:rPr>
              <w:t xml:space="preserve"> </w:t>
            </w:r>
            <w:r w:rsidRPr="00B57B36">
              <w:rPr>
                <w:rFonts w:cs="Arial"/>
                <w:b/>
                <w:bCs/>
                <w:i/>
                <w:iCs/>
                <w:color w:val="000066"/>
                <w:sz w:val="27"/>
                <w:szCs w:val="27"/>
                <w:lang w:eastAsia="it-IT"/>
              </w:rPr>
              <w:br/>
            </w:r>
          </w:p>
          <w:p w14:paraId="4B780582" w14:textId="0DAB3DDA" w:rsidR="000A03B2" w:rsidRPr="00B57B36" w:rsidRDefault="00A76EFC" w:rsidP="001D21AF">
            <w:pPr>
              <w:tabs>
                <w:tab w:val="left" w:pos="-108"/>
              </w:tabs>
              <w:ind w:left="-108"/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</w:pPr>
            <w:r w:rsidRPr="00B57B36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 xml:space="preserve">VOL. </w:t>
            </w:r>
            <w:r w:rsidR="0030152C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 xml:space="preserve"> </w:t>
            </w:r>
            <w:proofErr w:type="gramStart"/>
            <w:r w:rsidR="0030152C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 xml:space="preserve">  </w:t>
            </w:r>
            <w:r w:rsidR="007B48F9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,</w:t>
            </w:r>
            <w:proofErr w:type="gramEnd"/>
            <w:r w:rsidR="00FA5F5F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 xml:space="preserve"> </w:t>
            </w:r>
            <w:r w:rsidR="0030152C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202</w:t>
            </w:r>
            <w:r w:rsidR="00C24AF1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782132" w14:textId="77777777"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>A publication of</w:t>
            </w:r>
          </w:p>
          <w:p w14:paraId="599E5441" w14:textId="77777777" w:rsidR="000A03B2" w:rsidRPr="00B57B36" w:rsidRDefault="000A03B2" w:rsidP="00CD5FE2">
            <w:pPr>
              <w:jc w:val="right"/>
            </w:pPr>
            <w:r w:rsidRPr="00B57B36">
              <w:rPr>
                <w:noProof/>
                <w:lang w:val="it-IT" w:eastAsia="it-IT"/>
              </w:rPr>
              <w:drawing>
                <wp:inline distT="0" distB="0" distL="0" distR="0" wp14:anchorId="59C75AF4" wp14:editId="4FF92432">
                  <wp:extent cx="670560" cy="358140"/>
                  <wp:effectExtent l="0" t="0" r="0" b="3810"/>
                  <wp:docPr id="6" name="Immagine 6" descr="aidiclogo_gra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idiclogo_gra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3B2" w:rsidRPr="00B57B36" w14:paraId="380FA3CD" w14:textId="77777777" w:rsidTr="005933F9">
        <w:trPr>
          <w:trHeight w:val="567"/>
          <w:jc w:val="center"/>
        </w:trPr>
        <w:tc>
          <w:tcPr>
            <w:tcW w:w="6940" w:type="dxa"/>
            <w:vMerge/>
            <w:tcBorders>
              <w:right w:val="single" w:sz="4" w:space="0" w:color="auto"/>
            </w:tcBorders>
          </w:tcPr>
          <w:p w14:paraId="39E5E4C1" w14:textId="77777777" w:rsidR="000A03B2" w:rsidRPr="00B57B36" w:rsidRDefault="000A03B2" w:rsidP="00CD5FE2">
            <w:pPr>
              <w:tabs>
                <w:tab w:val="left" w:pos="-108"/>
              </w:tabs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858A98" w14:textId="77777777"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>The Italian Association</w:t>
            </w:r>
          </w:p>
          <w:p w14:paraId="7522B1D2" w14:textId="77777777"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>of Chemical Engineering</w:t>
            </w:r>
          </w:p>
          <w:p w14:paraId="4F0CC5DE" w14:textId="47FDB2FC" w:rsidR="000A03B2" w:rsidRPr="000D0268" w:rsidRDefault="000D0268" w:rsidP="00CD5FE2">
            <w:pPr>
              <w:spacing w:line="140" w:lineRule="atLeast"/>
              <w:jc w:val="right"/>
              <w:rPr>
                <w:rFonts w:cs="Arial"/>
                <w:sz w:val="13"/>
                <w:szCs w:val="13"/>
              </w:rPr>
            </w:pPr>
            <w:r w:rsidRPr="000D0268">
              <w:rPr>
                <w:rFonts w:cs="Arial"/>
                <w:sz w:val="13"/>
                <w:szCs w:val="13"/>
              </w:rPr>
              <w:t>Online at www.cetjournal.it</w:t>
            </w:r>
          </w:p>
        </w:tc>
      </w:tr>
      <w:tr w:rsidR="000A03B2" w:rsidRPr="00B57B36" w14:paraId="2D1B7169" w14:textId="77777777" w:rsidTr="005933F9">
        <w:trPr>
          <w:trHeight w:val="68"/>
          <w:jc w:val="center"/>
        </w:trPr>
        <w:tc>
          <w:tcPr>
            <w:tcW w:w="8782" w:type="dxa"/>
            <w:gridSpan w:val="2"/>
          </w:tcPr>
          <w:p w14:paraId="1D8DD3C9" w14:textId="30FEC83E" w:rsidR="00AA7D26" w:rsidRPr="00FB41CD" w:rsidRDefault="00AA7D26" w:rsidP="00AA7D26">
            <w:pPr>
              <w:ind w:left="-107"/>
              <w:outlineLvl w:val="2"/>
              <w:rPr>
                <w:rFonts w:ascii="Tahoma" w:hAnsi="Tahoma" w:cs="Tahoma"/>
                <w:bCs/>
                <w:color w:val="000000"/>
                <w:sz w:val="14"/>
                <w:szCs w:val="14"/>
                <w:lang w:val="it-IT" w:eastAsia="it-IT"/>
              </w:rPr>
            </w:pPr>
            <w:r w:rsidRPr="00FB41CD">
              <w:rPr>
                <w:rFonts w:ascii="Tahoma" w:hAnsi="Tahoma" w:cs="Tahoma"/>
                <w:iCs/>
                <w:color w:val="333333"/>
                <w:sz w:val="14"/>
                <w:szCs w:val="14"/>
                <w:lang w:val="it-IT" w:eastAsia="it-IT"/>
              </w:rPr>
              <w:t>Guest Editors:</w:t>
            </w:r>
            <w:r w:rsidRPr="00FB41CD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  <w:t xml:space="preserve"> </w:t>
            </w:r>
            <w:r w:rsidR="00FB41CD" w:rsidRPr="0042148A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  <w:t xml:space="preserve">Paolo </w:t>
            </w:r>
            <w:proofErr w:type="spellStart"/>
            <w:r w:rsidR="00FB41CD" w:rsidRPr="0042148A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  <w:t>Ciambelli</w:t>
            </w:r>
            <w:proofErr w:type="spellEnd"/>
            <w:r w:rsidR="00FB41CD" w:rsidRPr="0042148A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  <w:t>, Luca di Palma</w:t>
            </w:r>
          </w:p>
          <w:p w14:paraId="1B0F1814" w14:textId="6F18EEAD" w:rsidR="000A03B2" w:rsidRPr="00B57B36" w:rsidRDefault="00AA7D26" w:rsidP="00AA7D26">
            <w:pPr>
              <w:tabs>
                <w:tab w:val="left" w:pos="-108"/>
              </w:tabs>
              <w:spacing w:line="140" w:lineRule="atLeast"/>
              <w:ind w:left="-107"/>
              <w:jc w:val="left"/>
            </w:pPr>
            <w:r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Copyright © 202</w:t>
            </w:r>
            <w:r w:rsidR="00C24AF1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5</w:t>
            </w:r>
            <w:r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, AIDIC </w:t>
            </w:r>
            <w:proofErr w:type="spellStart"/>
            <w:r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Servizi</w:t>
            </w:r>
            <w:proofErr w:type="spellEnd"/>
            <w:r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S.r.l</w:t>
            </w:r>
            <w:proofErr w:type="spellEnd"/>
            <w:r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.</w:t>
            </w:r>
            <w:r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br/>
            </w:r>
            <w:r w:rsidRPr="00B57B36">
              <w:rPr>
                <w:rFonts w:ascii="Tahoma" w:hAnsi="Tahoma" w:cs="Tahoma"/>
                <w:b/>
                <w:iCs/>
                <w:color w:val="000000"/>
                <w:sz w:val="14"/>
                <w:szCs w:val="14"/>
                <w:lang w:eastAsia="it-IT"/>
              </w:rPr>
              <w:t>ISBN</w:t>
            </w:r>
            <w:r w:rsidRPr="00B57B36">
              <w:rPr>
                <w:rFonts w:ascii="Tahoma" w:hAnsi="Tahoma" w:cs="Tahoma"/>
                <w:iCs/>
                <w:color w:val="000000"/>
                <w:sz w:val="14"/>
                <w:szCs w:val="14"/>
                <w:lang w:eastAsia="it-IT"/>
              </w:rPr>
              <w:t xml:space="preserve"> </w:t>
            </w:r>
            <w:r w:rsidR="00D2582C" w:rsidRPr="000562A9">
              <w:rPr>
                <w:rFonts w:ascii="Tahoma" w:hAnsi="Tahoma" w:cs="Tahoma"/>
                <w:sz w:val="14"/>
                <w:szCs w:val="14"/>
              </w:rPr>
              <w:t>97</w:t>
            </w:r>
            <w:r w:rsidR="00D2582C">
              <w:rPr>
                <w:rFonts w:ascii="Tahoma" w:hAnsi="Tahoma" w:cs="Tahoma"/>
                <w:sz w:val="14"/>
                <w:szCs w:val="14"/>
              </w:rPr>
              <w:t>9</w:t>
            </w:r>
            <w:r w:rsidR="00D2582C" w:rsidRPr="000562A9">
              <w:rPr>
                <w:rFonts w:ascii="Tahoma" w:hAnsi="Tahoma" w:cs="Tahoma"/>
                <w:sz w:val="14"/>
                <w:szCs w:val="14"/>
              </w:rPr>
              <w:t>-</w:t>
            </w:r>
            <w:r w:rsidR="00D2582C">
              <w:rPr>
                <w:rFonts w:ascii="Tahoma" w:hAnsi="Tahoma" w:cs="Tahoma"/>
                <w:sz w:val="14"/>
                <w:szCs w:val="14"/>
              </w:rPr>
              <w:t>12</w:t>
            </w:r>
            <w:r w:rsidR="00D2582C" w:rsidRPr="000562A9">
              <w:rPr>
                <w:rFonts w:ascii="Tahoma" w:hAnsi="Tahoma" w:cs="Tahoma"/>
                <w:sz w:val="14"/>
                <w:szCs w:val="14"/>
              </w:rPr>
              <w:t>-</w:t>
            </w:r>
            <w:r w:rsidR="00D2582C">
              <w:rPr>
                <w:rFonts w:ascii="Tahoma" w:hAnsi="Tahoma" w:cs="Tahoma"/>
                <w:sz w:val="14"/>
                <w:szCs w:val="14"/>
              </w:rPr>
              <w:t>81206-</w:t>
            </w:r>
            <w:r w:rsidR="00466324">
              <w:rPr>
                <w:rFonts w:ascii="Tahoma" w:hAnsi="Tahoma" w:cs="Tahoma"/>
                <w:sz w:val="14"/>
                <w:szCs w:val="14"/>
              </w:rPr>
              <w:t>20</w:t>
            </w:r>
            <w:r w:rsidR="00D2582C">
              <w:rPr>
                <w:rFonts w:ascii="Tahoma" w:hAnsi="Tahoma" w:cs="Tahoma"/>
                <w:sz w:val="14"/>
                <w:szCs w:val="14"/>
              </w:rPr>
              <w:t>-</w:t>
            </w:r>
            <w:r w:rsidR="00466324">
              <w:rPr>
                <w:rFonts w:ascii="Tahoma" w:hAnsi="Tahoma" w:cs="Tahoma"/>
                <w:sz w:val="14"/>
                <w:szCs w:val="14"/>
              </w:rPr>
              <w:t>5</w:t>
            </w:r>
            <w:r w:rsidRPr="00EF06D9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;</w:t>
            </w:r>
            <w:r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 </w:t>
            </w:r>
            <w:r w:rsidRPr="00B57B36">
              <w:rPr>
                <w:rFonts w:ascii="Tahoma" w:hAnsi="Tahoma" w:cs="Tahoma"/>
                <w:b/>
                <w:iCs/>
                <w:color w:val="333333"/>
                <w:sz w:val="14"/>
                <w:szCs w:val="14"/>
                <w:lang w:eastAsia="it-IT"/>
              </w:rPr>
              <w:t>ISSN</w:t>
            </w:r>
            <w:r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 2283-9216</w:t>
            </w:r>
          </w:p>
        </w:tc>
      </w:tr>
    </w:tbl>
    <w:p w14:paraId="339FE8E6" w14:textId="079597C1" w:rsidR="005933F9" w:rsidRPr="005933F9" w:rsidRDefault="005933F9" w:rsidP="005933F9">
      <w:pPr>
        <w:tabs>
          <w:tab w:val="clear" w:pos="7100"/>
          <w:tab w:val="left" w:pos="5812"/>
        </w:tabs>
        <w:suppressAutoHyphens/>
        <w:spacing w:before="300" w:after="120"/>
        <w:jc w:val="center"/>
        <w:outlineLvl w:val="0"/>
        <w:rPr>
          <w:sz w:val="32"/>
          <w:lang w:val="en-US"/>
        </w:rPr>
      </w:pPr>
      <w:r w:rsidRPr="005933F9">
        <w:rPr>
          <w:sz w:val="32"/>
        </w:rPr>
        <w:t xml:space="preserve">Micronization of </w:t>
      </w:r>
      <w:r w:rsidR="00562C9C">
        <w:rPr>
          <w:sz w:val="32"/>
        </w:rPr>
        <w:t>Levan</w:t>
      </w:r>
      <w:r w:rsidRPr="005933F9">
        <w:rPr>
          <w:sz w:val="32"/>
        </w:rPr>
        <w:t>, a</w:t>
      </w:r>
      <w:r w:rsidR="00562C9C">
        <w:rPr>
          <w:sz w:val="32"/>
        </w:rPr>
        <w:t xml:space="preserve"> Fructose-based</w:t>
      </w:r>
      <w:r w:rsidRPr="005933F9">
        <w:rPr>
          <w:sz w:val="32"/>
        </w:rPr>
        <w:t xml:space="preserve"> amphiphilic polymer</w:t>
      </w:r>
      <w:r w:rsidR="00562C9C">
        <w:rPr>
          <w:sz w:val="32"/>
        </w:rPr>
        <w:t>,</w:t>
      </w:r>
      <w:r w:rsidRPr="005933F9">
        <w:rPr>
          <w:sz w:val="32"/>
        </w:rPr>
        <w:t xml:space="preserve"> </w:t>
      </w:r>
      <w:r w:rsidR="00562C9C">
        <w:rPr>
          <w:sz w:val="32"/>
        </w:rPr>
        <w:t xml:space="preserve">using </w:t>
      </w:r>
      <w:r w:rsidRPr="005933F9">
        <w:rPr>
          <w:sz w:val="32"/>
        </w:rPr>
        <w:t xml:space="preserve">supercritical </w:t>
      </w:r>
      <w:r w:rsidR="00562C9C">
        <w:rPr>
          <w:sz w:val="32"/>
        </w:rPr>
        <w:t>CO</w:t>
      </w:r>
      <w:r w:rsidR="00562C9C" w:rsidRPr="00562C9C">
        <w:rPr>
          <w:sz w:val="32"/>
          <w:vertAlign w:val="subscript"/>
        </w:rPr>
        <w:t>2</w:t>
      </w:r>
      <w:r w:rsidR="00562C9C">
        <w:rPr>
          <w:sz w:val="32"/>
        </w:rPr>
        <w:t xml:space="preserve"> </w:t>
      </w:r>
      <w:r w:rsidRPr="005933F9">
        <w:rPr>
          <w:sz w:val="32"/>
        </w:rPr>
        <w:t xml:space="preserve">as antisolvent </w:t>
      </w:r>
    </w:p>
    <w:p w14:paraId="2D280BE5" w14:textId="27AF3ACD" w:rsidR="005933F9" w:rsidRPr="005933F9" w:rsidRDefault="005933F9" w:rsidP="00272A4B">
      <w:pPr>
        <w:pStyle w:val="CETAuthors"/>
        <w:rPr>
          <w:lang w:val="it-IT"/>
        </w:rPr>
      </w:pPr>
      <w:r w:rsidRPr="005933F9">
        <w:rPr>
          <w:lang w:val="it-IT"/>
        </w:rPr>
        <w:t>Stefania Mottola</w:t>
      </w:r>
      <w:r w:rsidRPr="005933F9">
        <w:rPr>
          <w:vertAlign w:val="superscript"/>
          <w:lang w:val="it-IT"/>
        </w:rPr>
        <w:t>a</w:t>
      </w:r>
      <w:r w:rsidRPr="005933F9">
        <w:rPr>
          <w:lang w:val="it-IT"/>
        </w:rPr>
        <w:t>, Álvaro González-Garcinuño</w:t>
      </w:r>
      <w:r w:rsidRPr="005933F9">
        <w:rPr>
          <w:vertAlign w:val="superscript"/>
          <w:lang w:val="it-IT"/>
        </w:rPr>
        <w:t>b</w:t>
      </w:r>
      <w:r w:rsidRPr="005933F9">
        <w:rPr>
          <w:lang w:val="it-IT"/>
        </w:rPr>
        <w:t>, Antonio Tabernero</w:t>
      </w:r>
      <w:r w:rsidRPr="005933F9">
        <w:rPr>
          <w:vertAlign w:val="superscript"/>
          <w:lang w:val="it-IT"/>
        </w:rPr>
        <w:t>b</w:t>
      </w:r>
      <w:r w:rsidRPr="005933F9">
        <w:rPr>
          <w:lang w:val="it-IT"/>
        </w:rPr>
        <w:t>, Stefano Cardea</w:t>
      </w:r>
      <w:r w:rsidRPr="005933F9">
        <w:rPr>
          <w:vertAlign w:val="superscript"/>
          <w:lang w:val="it-IT"/>
        </w:rPr>
        <w:t>a</w:t>
      </w:r>
      <w:r w:rsidRPr="005933F9">
        <w:rPr>
          <w:lang w:val="it-IT"/>
        </w:rPr>
        <w:t>, Eva Martín del Valle</w:t>
      </w:r>
      <w:r w:rsidRPr="005933F9">
        <w:rPr>
          <w:vertAlign w:val="superscript"/>
          <w:lang w:val="it-IT"/>
        </w:rPr>
        <w:t>b</w:t>
      </w:r>
      <w:r w:rsidRPr="005933F9">
        <w:rPr>
          <w:lang w:val="it-IT"/>
        </w:rPr>
        <w:t>, Iolanda De Marco</w:t>
      </w:r>
      <w:r w:rsidRPr="005933F9">
        <w:rPr>
          <w:vertAlign w:val="superscript"/>
          <w:lang w:val="it-IT"/>
        </w:rPr>
        <w:t>a,*</w:t>
      </w:r>
      <w:r w:rsidRPr="005933F9">
        <w:rPr>
          <w:lang w:val="it-IT"/>
        </w:rPr>
        <w:t xml:space="preserve"> </w:t>
      </w:r>
    </w:p>
    <w:p w14:paraId="745D1D5D" w14:textId="77777777" w:rsidR="005933F9" w:rsidRPr="005933F9" w:rsidRDefault="005933F9" w:rsidP="00272A4B">
      <w:pPr>
        <w:pStyle w:val="CETAddress"/>
      </w:pPr>
      <w:r w:rsidRPr="005933F9">
        <w:rPr>
          <w:vertAlign w:val="superscript"/>
        </w:rPr>
        <w:t xml:space="preserve">a  </w:t>
      </w:r>
      <w:r w:rsidRPr="005933F9">
        <w:t>Department of Industrial Engineering, University of Salerno, Via Giovanni Paolo II, 132, 84084 Fisciano, Salerno, Italy</w:t>
      </w:r>
    </w:p>
    <w:p w14:paraId="333C7C6F" w14:textId="77777777" w:rsidR="005933F9" w:rsidRPr="005933F9" w:rsidRDefault="005933F9" w:rsidP="00272A4B">
      <w:pPr>
        <w:pStyle w:val="CETAddress"/>
      </w:pPr>
      <w:r w:rsidRPr="005933F9">
        <w:rPr>
          <w:vertAlign w:val="superscript"/>
        </w:rPr>
        <w:t xml:space="preserve">b </w:t>
      </w:r>
      <w:r w:rsidRPr="005933F9">
        <w:t>Department of Chemical Engineering, University of Salamanca, Plaza de los Caídos s/n, 37001, Salamanca, Spain</w:t>
      </w:r>
    </w:p>
    <w:p w14:paraId="3C0F3B5C" w14:textId="6B6BA2ED" w:rsidR="005933F9" w:rsidRDefault="00000000" w:rsidP="005933F9">
      <w:pPr>
        <w:keepNext/>
        <w:tabs>
          <w:tab w:val="clear" w:pos="7100"/>
        </w:tabs>
        <w:suppressAutoHyphens/>
        <w:spacing w:after="200" w:line="276" w:lineRule="auto"/>
        <w:contextualSpacing/>
        <w:jc w:val="left"/>
        <w:rPr>
          <w:noProof/>
          <w:sz w:val="16"/>
        </w:rPr>
      </w:pPr>
      <w:hyperlink r:id="rId10" w:history="1">
        <w:r w:rsidR="005933F9" w:rsidRPr="005933F9">
          <w:rPr>
            <w:rStyle w:val="Collegamentoipertestuale"/>
            <w:noProof/>
            <w:sz w:val="16"/>
          </w:rPr>
          <w:t>*idemarco@unisa.it</w:t>
        </w:r>
      </w:hyperlink>
    </w:p>
    <w:p w14:paraId="1E3F2CD4" w14:textId="77777777" w:rsidR="005933F9" w:rsidRPr="005933F9" w:rsidRDefault="005933F9" w:rsidP="005933F9">
      <w:pPr>
        <w:keepNext/>
        <w:tabs>
          <w:tab w:val="clear" w:pos="7100"/>
        </w:tabs>
        <w:suppressAutoHyphens/>
        <w:spacing w:after="200" w:line="276" w:lineRule="auto"/>
        <w:contextualSpacing/>
        <w:jc w:val="left"/>
        <w:rPr>
          <w:noProof/>
          <w:sz w:val="16"/>
        </w:rPr>
      </w:pPr>
    </w:p>
    <w:p w14:paraId="2F6513C3" w14:textId="50E779C5" w:rsidR="005933F9" w:rsidRPr="005933F9" w:rsidRDefault="005933F9" w:rsidP="00272A4B">
      <w:pPr>
        <w:pStyle w:val="CETBodytext"/>
      </w:pPr>
      <w:r w:rsidRPr="005933F9">
        <w:t xml:space="preserve">Levan is a fructose polysaccharide with potential </w:t>
      </w:r>
      <w:r w:rsidR="00753685">
        <w:t>applications in biomedicine and the food industry, as it can form particles in water (approximately 120 nm) through</w:t>
      </w:r>
      <w:r w:rsidRPr="005933F9">
        <w:t xml:space="preserve"> a self-assembly process. </w:t>
      </w:r>
      <w:r w:rsidR="00F62A6A">
        <w:t xml:space="preserve">Despite this phenomenon, the </w:t>
      </w:r>
      <w:proofErr w:type="spellStart"/>
      <w:r w:rsidR="00F62A6A">
        <w:t>levan</w:t>
      </w:r>
      <w:proofErr w:type="spellEnd"/>
      <w:r w:rsidR="00F62A6A">
        <w:t xml:space="preserve"> size in powdered form cannot be controlled using conventional techniques, which hinders its use in various applications where</w:t>
      </w:r>
      <w:r w:rsidRPr="005933F9">
        <w:t xml:space="preserve"> </w:t>
      </w:r>
      <w:r w:rsidR="00F62A6A">
        <w:t xml:space="preserve">the </w:t>
      </w:r>
      <w:r w:rsidRPr="005933F9">
        <w:t xml:space="preserve">powdered form is required. </w:t>
      </w:r>
    </w:p>
    <w:p w14:paraId="53B3E36D" w14:textId="02492DAF" w:rsidR="005933F9" w:rsidRPr="005933F9" w:rsidRDefault="005933F9" w:rsidP="00272A4B">
      <w:pPr>
        <w:pStyle w:val="CETBodytext"/>
      </w:pPr>
      <w:r w:rsidRPr="005933F9">
        <w:t xml:space="preserve">Based on the previous fact, the supercritical antisolvent technique (SAS) was used to process </w:t>
      </w:r>
      <w:proofErr w:type="spellStart"/>
      <w:r w:rsidRPr="005933F9">
        <w:t>levan</w:t>
      </w:r>
      <w:proofErr w:type="spellEnd"/>
      <w:r w:rsidRPr="005933F9">
        <w:t xml:space="preserve"> (previously synthesized with a cell-free methodology) to obtain the polymer in powdered form with a controlled particle size distribution. Specifically, particles ranging from </w:t>
      </w:r>
      <w:r w:rsidR="00E43038">
        <w:t>3</w:t>
      </w:r>
      <w:r w:rsidRPr="005933F9">
        <w:t xml:space="preserve">00 to 500 </w:t>
      </w:r>
      <w:r w:rsidR="00165FE5">
        <w:t>n</w:t>
      </w:r>
      <w:r w:rsidR="00753685">
        <w:t>m</w:t>
      </w:r>
      <w:r w:rsidRPr="005933F9">
        <w:t xml:space="preserve"> were obtained depending on the experimental conditions (pressure and temperature), but always working above the mixture critical point of the solvent-antisolvent system (CO</w:t>
      </w:r>
      <w:r w:rsidRPr="005933F9">
        <w:rPr>
          <w:vertAlign w:val="subscript"/>
        </w:rPr>
        <w:t>2</w:t>
      </w:r>
      <w:r w:rsidRPr="005933F9">
        <w:t xml:space="preserve">-DMSO). Moreover, </w:t>
      </w:r>
      <w:proofErr w:type="spellStart"/>
      <w:r w:rsidRPr="005933F9">
        <w:t>nimesulide</w:t>
      </w:r>
      <w:proofErr w:type="spellEnd"/>
      <w:r w:rsidRPr="005933F9">
        <w:t xml:space="preserve"> as a model drug was coprecipitated with the polymer, obtaining a controlled-release drug delivery system. These results highlighted that amphiphilic polymers (</w:t>
      </w:r>
      <w:proofErr w:type="spellStart"/>
      <w:r w:rsidRPr="005933F9">
        <w:t>levan</w:t>
      </w:r>
      <w:proofErr w:type="spellEnd"/>
      <w:r w:rsidRPr="005933F9">
        <w:t>) can be processed with supercritical CO</w:t>
      </w:r>
      <w:r w:rsidRPr="005933F9">
        <w:rPr>
          <w:vertAlign w:val="subscript"/>
        </w:rPr>
        <w:t>2</w:t>
      </w:r>
      <w:r w:rsidRPr="005933F9">
        <w:t xml:space="preserve"> to control the particle size of the polymer in powdered form.</w:t>
      </w:r>
    </w:p>
    <w:p w14:paraId="3728A04B" w14:textId="77777777" w:rsidR="005933F9" w:rsidRPr="005933F9" w:rsidRDefault="005933F9" w:rsidP="005933F9">
      <w:pPr>
        <w:keepNext/>
        <w:numPr>
          <w:ilvl w:val="1"/>
          <w:numId w:val="1"/>
        </w:numPr>
        <w:suppressAutoHyphens/>
        <w:spacing w:before="240" w:after="120" w:line="240" w:lineRule="auto"/>
        <w:rPr>
          <w:b/>
          <w:sz w:val="20"/>
        </w:rPr>
      </w:pPr>
      <w:r w:rsidRPr="005933F9">
        <w:rPr>
          <w:b/>
          <w:sz w:val="20"/>
        </w:rPr>
        <w:t>Introduction</w:t>
      </w:r>
    </w:p>
    <w:p w14:paraId="48DFDF98" w14:textId="282D069E" w:rsidR="00094A52" w:rsidRPr="00094A52" w:rsidRDefault="00094A52" w:rsidP="00272A4B">
      <w:pPr>
        <w:pStyle w:val="CETBodytext"/>
        <w:rPr>
          <w:rFonts w:eastAsia="SimSun"/>
        </w:rPr>
      </w:pPr>
      <w:r>
        <w:rPr>
          <w:rFonts w:eastAsia="SimSun"/>
        </w:rPr>
        <w:t>Levan</w:t>
      </w:r>
      <w:r w:rsidRPr="00094A52">
        <w:rPr>
          <w:rFonts w:eastAsia="SimSun"/>
        </w:rPr>
        <w:t xml:space="preserve"> </w:t>
      </w:r>
      <w:r w:rsidR="003A6870">
        <w:rPr>
          <w:rFonts w:eastAsia="SimSun"/>
        </w:rPr>
        <w:t>is</w:t>
      </w:r>
      <w:r w:rsidRPr="00094A52">
        <w:rPr>
          <w:rFonts w:eastAsia="SimSun"/>
        </w:rPr>
        <w:t xml:space="preserve"> </w:t>
      </w:r>
      <w:r w:rsidR="003A6870">
        <w:rPr>
          <w:rFonts w:eastAsia="SimSun"/>
        </w:rPr>
        <w:t xml:space="preserve">a </w:t>
      </w:r>
      <w:r w:rsidRPr="00094A52">
        <w:rPr>
          <w:rFonts w:eastAsia="SimSun"/>
        </w:rPr>
        <w:t xml:space="preserve">fructose-based homopolysaccharide consisting of β-2,6-linked fructose chains with β-2,1-linked branch points. This nonionic polysaccharide has exceptional properties, including low intrinsic viscosity and high adhesive strength. Furthermore, </w:t>
      </w:r>
      <w:proofErr w:type="spellStart"/>
      <w:r>
        <w:rPr>
          <w:rFonts w:eastAsia="SimSun"/>
        </w:rPr>
        <w:t>levan</w:t>
      </w:r>
      <w:proofErr w:type="spellEnd"/>
      <w:r w:rsidRPr="00094A52">
        <w:rPr>
          <w:rFonts w:eastAsia="SimSun"/>
        </w:rPr>
        <w:t xml:space="preserve"> are biocompatible and biodegradable and can spontaneously form colloidal dispersions containing particles through a self-assembly </w:t>
      </w:r>
      <w:r w:rsidR="00C77CC8" w:rsidRPr="00094A52">
        <w:rPr>
          <w:rFonts w:eastAsia="SimSun"/>
        </w:rPr>
        <w:t>process</w:t>
      </w:r>
      <w:r w:rsidR="00C77CC8">
        <w:rPr>
          <w:rFonts w:eastAsia="SimSun"/>
        </w:rPr>
        <w:t xml:space="preserve"> (</w:t>
      </w:r>
      <w:proofErr w:type="spellStart"/>
      <w:r w:rsidR="00C77CC8" w:rsidRPr="00C77CC8">
        <w:rPr>
          <w:rFonts w:eastAsia="SimSun"/>
        </w:rPr>
        <w:t>Kırtel</w:t>
      </w:r>
      <w:proofErr w:type="spellEnd"/>
      <w:r w:rsidR="00C77CC8">
        <w:rPr>
          <w:rFonts w:eastAsia="SimSun"/>
        </w:rPr>
        <w:t xml:space="preserve"> and</w:t>
      </w:r>
      <w:r w:rsidR="00C77CC8" w:rsidRPr="00C77CC8">
        <w:rPr>
          <w:rFonts w:eastAsia="SimSun"/>
        </w:rPr>
        <w:t xml:space="preserve"> </w:t>
      </w:r>
      <w:proofErr w:type="spellStart"/>
      <w:r w:rsidR="00C77CC8" w:rsidRPr="00C77CC8">
        <w:rPr>
          <w:rFonts w:eastAsia="SimSun"/>
        </w:rPr>
        <w:t>Combie</w:t>
      </w:r>
      <w:proofErr w:type="spellEnd"/>
      <w:r w:rsidR="00C77CC8" w:rsidRPr="00C77CC8">
        <w:rPr>
          <w:rFonts w:eastAsia="SimSun"/>
        </w:rPr>
        <w:t>,</w:t>
      </w:r>
      <w:r w:rsidR="006C707E">
        <w:rPr>
          <w:rFonts w:eastAsia="SimSun"/>
        </w:rPr>
        <w:t xml:space="preserve"> </w:t>
      </w:r>
      <w:r w:rsidR="00C77CC8" w:rsidRPr="00C77CC8">
        <w:rPr>
          <w:rFonts w:eastAsia="SimSun"/>
        </w:rPr>
        <w:t>2022)</w:t>
      </w:r>
      <w:r w:rsidR="006C707E">
        <w:rPr>
          <w:rFonts w:eastAsia="SimSun"/>
        </w:rPr>
        <w:t>.</w:t>
      </w:r>
    </w:p>
    <w:p w14:paraId="4F91AF39" w14:textId="5B1B7CB4" w:rsidR="00094A52" w:rsidRPr="00094A52" w:rsidRDefault="00165FE5" w:rsidP="00272A4B">
      <w:pPr>
        <w:pStyle w:val="CETBodytext"/>
        <w:rPr>
          <w:rFonts w:eastAsia="SimSun"/>
        </w:rPr>
      </w:pPr>
      <w:r>
        <w:rPr>
          <w:rFonts w:eastAsia="SimSun"/>
        </w:rPr>
        <w:t xml:space="preserve">Amphiphilic polymers like </w:t>
      </w:r>
      <w:proofErr w:type="spellStart"/>
      <w:r>
        <w:rPr>
          <w:rFonts w:eastAsia="SimSun"/>
        </w:rPr>
        <w:t>levan</w:t>
      </w:r>
      <w:proofErr w:type="spellEnd"/>
      <w:r>
        <w:rPr>
          <w:rFonts w:eastAsia="SimSun"/>
        </w:rPr>
        <w:t xml:space="preserve">, with </w:t>
      </w:r>
      <w:r w:rsidR="00B62C60">
        <w:rPr>
          <w:rFonts w:eastAsia="SimSun"/>
        </w:rPr>
        <w:t>their</w:t>
      </w:r>
      <w:r>
        <w:rPr>
          <w:rFonts w:eastAsia="SimSun"/>
        </w:rPr>
        <w:t xml:space="preserve"> unique properties, find applications in </w:t>
      </w:r>
      <w:r w:rsidR="005D0673">
        <w:rPr>
          <w:rFonts w:eastAsia="SimSun"/>
        </w:rPr>
        <w:t>various</w:t>
      </w:r>
      <w:r>
        <w:rPr>
          <w:rFonts w:eastAsia="SimSun"/>
        </w:rPr>
        <w:t xml:space="preserve"> fields</w:t>
      </w:r>
      <w:r w:rsidR="00F775CF">
        <w:rPr>
          <w:rFonts w:eastAsia="SimSun"/>
        </w:rPr>
        <w:t xml:space="preserve">, from food and pharmaceuticals to wound healing, corrosion inhibition, adhesives, and biomedicine. The versatility of </w:t>
      </w:r>
      <w:proofErr w:type="spellStart"/>
      <w:r w:rsidR="00F775CF">
        <w:rPr>
          <w:rFonts w:eastAsia="SimSun"/>
        </w:rPr>
        <w:t>levan</w:t>
      </w:r>
      <w:proofErr w:type="spellEnd"/>
      <w:r w:rsidR="00F775CF">
        <w:rPr>
          <w:rFonts w:eastAsia="SimSun"/>
        </w:rPr>
        <w:t xml:space="preserve"> in these </w:t>
      </w:r>
      <w:r w:rsidR="005D0673">
        <w:rPr>
          <w:rFonts w:eastAsia="SimSun"/>
        </w:rPr>
        <w:t xml:space="preserve">different </w:t>
      </w:r>
      <w:r w:rsidR="00F775CF">
        <w:rPr>
          <w:rFonts w:eastAsia="SimSun"/>
        </w:rPr>
        <w:t xml:space="preserve">fields </w:t>
      </w:r>
      <w:r w:rsidR="00E241C6">
        <w:rPr>
          <w:rFonts w:eastAsia="SimSun"/>
        </w:rPr>
        <w:t>not only testifies to its potential but also</w:t>
      </w:r>
      <w:r w:rsidR="00F775CF">
        <w:rPr>
          <w:rFonts w:eastAsia="SimSun"/>
        </w:rPr>
        <w:t xml:space="preserve"> should inspire further exploration and innovation.</w:t>
      </w:r>
    </w:p>
    <w:p w14:paraId="41693E3F" w14:textId="5867E914" w:rsidR="00E35C49" w:rsidRDefault="00165FE5" w:rsidP="00272A4B">
      <w:pPr>
        <w:pStyle w:val="CETBodytext"/>
        <w:rPr>
          <w:rFonts w:eastAsia="SimSun"/>
        </w:rPr>
      </w:pPr>
      <w:r>
        <w:rPr>
          <w:rFonts w:eastAsia="SimSun"/>
        </w:rPr>
        <w:t>Current research focuse</w:t>
      </w:r>
      <w:r w:rsidR="005D0673">
        <w:rPr>
          <w:rFonts w:eastAsia="SimSun"/>
        </w:rPr>
        <w:t>s</w:t>
      </w:r>
      <w:r>
        <w:rPr>
          <w:rFonts w:eastAsia="SimSun"/>
        </w:rPr>
        <w:t xml:space="preserve"> on optimizing </w:t>
      </w:r>
      <w:proofErr w:type="spellStart"/>
      <w:r>
        <w:rPr>
          <w:rFonts w:eastAsia="SimSun"/>
        </w:rPr>
        <w:t>levan</w:t>
      </w:r>
      <w:proofErr w:type="spellEnd"/>
      <w:r>
        <w:rPr>
          <w:rFonts w:eastAsia="SimSun"/>
        </w:rPr>
        <w:t xml:space="preserve"> for medical purposes, including enhancing the efficiency of its synthesis, increasing its stability, and functionalizing it to be more effective against certain diseases. The biodegradability and non-toxic nature of </w:t>
      </w:r>
      <w:proofErr w:type="spellStart"/>
      <w:r>
        <w:rPr>
          <w:rFonts w:eastAsia="SimSun"/>
        </w:rPr>
        <w:t>levan</w:t>
      </w:r>
      <w:proofErr w:type="spellEnd"/>
      <w:r>
        <w:rPr>
          <w:rFonts w:eastAsia="SimSun"/>
        </w:rPr>
        <w:t xml:space="preserve"> make it a</w:t>
      </w:r>
      <w:r w:rsidR="00E16597">
        <w:rPr>
          <w:rFonts w:eastAsia="SimSun"/>
        </w:rPr>
        <w:t xml:space="preserve"> valuable resource</w:t>
      </w:r>
      <w:r>
        <w:rPr>
          <w:rFonts w:eastAsia="SimSun"/>
        </w:rPr>
        <w:t xml:space="preserve"> for sustainable and safe medical applications, particularly in drug delivery, tissue regeneration, and wound healing.</w:t>
      </w:r>
    </w:p>
    <w:p w14:paraId="2796DC5E" w14:textId="6AA6A91B" w:rsidR="005933F9" w:rsidRPr="005933F9" w:rsidRDefault="005933F9" w:rsidP="00272A4B">
      <w:pPr>
        <w:pStyle w:val="CETBodytext"/>
        <w:rPr>
          <w:rFonts w:eastAsia="SimSun"/>
        </w:rPr>
      </w:pPr>
      <w:r w:rsidRPr="005933F9">
        <w:rPr>
          <w:rFonts w:eastAsia="SimSun"/>
        </w:rPr>
        <w:t>Levan</w:t>
      </w:r>
      <w:r w:rsidR="00112493">
        <w:rPr>
          <w:rFonts w:eastAsia="SimSun"/>
        </w:rPr>
        <w:t>’</w:t>
      </w:r>
      <w:r w:rsidRPr="005933F9">
        <w:rPr>
          <w:rFonts w:eastAsia="SimSun"/>
        </w:rPr>
        <w:t>s ability to form gels and its compatibility with various</w:t>
      </w:r>
      <w:r w:rsidR="00740F10">
        <w:rPr>
          <w:rFonts w:eastAsia="SimSun"/>
        </w:rPr>
        <w:t xml:space="preserve"> </w:t>
      </w:r>
      <w:r w:rsidR="00B62C60">
        <w:rPr>
          <w:rFonts w:eastAsia="SimSun"/>
        </w:rPr>
        <w:t>types</w:t>
      </w:r>
      <w:r w:rsidR="00740F10">
        <w:rPr>
          <w:rFonts w:eastAsia="SimSun"/>
        </w:rPr>
        <w:t xml:space="preserve"> of</w:t>
      </w:r>
      <w:r w:rsidRPr="005933F9">
        <w:rPr>
          <w:rFonts w:eastAsia="SimSun"/>
        </w:rPr>
        <w:t xml:space="preserve"> drugs make it an ideal candidate for drug delivery systems. </w:t>
      </w:r>
      <w:r w:rsidR="00094A52">
        <w:rPr>
          <w:rFonts w:eastAsia="SimSun"/>
        </w:rPr>
        <w:t>L</w:t>
      </w:r>
      <w:r w:rsidRPr="005933F9">
        <w:rPr>
          <w:rFonts w:eastAsia="SimSun"/>
        </w:rPr>
        <w:t>evan was</w:t>
      </w:r>
      <w:r w:rsidR="00740F10">
        <w:rPr>
          <w:rFonts w:eastAsia="SimSun"/>
        </w:rPr>
        <w:t xml:space="preserve"> already</w:t>
      </w:r>
      <w:r w:rsidRPr="005933F9">
        <w:rPr>
          <w:rFonts w:eastAsia="SimSun"/>
        </w:rPr>
        <w:t xml:space="preserve"> </w:t>
      </w:r>
      <w:r w:rsidR="00112493">
        <w:rPr>
          <w:rFonts w:eastAsia="SimSun"/>
        </w:rPr>
        <w:t>used</w:t>
      </w:r>
      <w:r w:rsidR="00740F10">
        <w:rPr>
          <w:rFonts w:eastAsia="SimSun"/>
        </w:rPr>
        <w:t xml:space="preserve"> in this form</w:t>
      </w:r>
      <w:r w:rsidR="00112493" w:rsidRPr="005933F9">
        <w:rPr>
          <w:rFonts w:eastAsia="SimSun"/>
        </w:rPr>
        <w:t xml:space="preserve"> </w:t>
      </w:r>
      <w:r w:rsidRPr="005933F9">
        <w:rPr>
          <w:rFonts w:eastAsia="SimSun"/>
        </w:rPr>
        <w:t xml:space="preserve">as a delivery system for anticancer drugs. </w:t>
      </w:r>
      <w:r w:rsidR="00740F10">
        <w:rPr>
          <w:rFonts w:eastAsia="SimSun"/>
        </w:rPr>
        <w:t>Some recent</w:t>
      </w:r>
      <w:r w:rsidRPr="005933F9">
        <w:rPr>
          <w:rFonts w:eastAsia="SimSun"/>
        </w:rPr>
        <w:t xml:space="preserve"> </w:t>
      </w:r>
      <w:r w:rsidR="00E43038">
        <w:rPr>
          <w:rFonts w:eastAsia="SimSun"/>
        </w:rPr>
        <w:t>research has shown</w:t>
      </w:r>
      <w:r w:rsidRPr="005933F9">
        <w:rPr>
          <w:rFonts w:eastAsia="SimSun"/>
        </w:rPr>
        <w:t xml:space="preserve"> that </w:t>
      </w:r>
      <w:proofErr w:type="spellStart"/>
      <w:r w:rsidRPr="005933F9">
        <w:rPr>
          <w:rFonts w:eastAsia="SimSun"/>
        </w:rPr>
        <w:t>levan</w:t>
      </w:r>
      <w:proofErr w:type="spellEnd"/>
      <w:r w:rsidRPr="005933F9">
        <w:rPr>
          <w:rFonts w:eastAsia="SimSun"/>
        </w:rPr>
        <w:t>-based formulations could gradually release the drug, improving the drug</w:t>
      </w:r>
      <w:r w:rsidR="00112493">
        <w:rPr>
          <w:rFonts w:eastAsia="SimSun"/>
        </w:rPr>
        <w:t>’</w:t>
      </w:r>
      <w:r w:rsidRPr="005933F9">
        <w:rPr>
          <w:rFonts w:eastAsia="SimSun"/>
        </w:rPr>
        <w:t xml:space="preserve">s therapeutic efficacy while reducing systemic toxicity. This controlled release also </w:t>
      </w:r>
      <w:r w:rsidR="00AA06DA">
        <w:rPr>
          <w:rFonts w:eastAsia="SimSun"/>
        </w:rPr>
        <w:t>increased</w:t>
      </w:r>
      <w:r w:rsidRPr="005933F9">
        <w:rPr>
          <w:rFonts w:eastAsia="SimSun"/>
        </w:rPr>
        <w:t xml:space="preserve"> drug retention in cancer tissues</w:t>
      </w:r>
      <w:r w:rsidR="001633D2">
        <w:rPr>
          <w:rFonts w:eastAsia="SimSun"/>
        </w:rPr>
        <w:t xml:space="preserve"> (</w:t>
      </w:r>
      <w:proofErr w:type="spellStart"/>
      <w:r w:rsidR="001633D2" w:rsidRPr="001633D2">
        <w:rPr>
          <w:rFonts w:eastAsia="SimSun"/>
        </w:rPr>
        <w:t>Domżał-Kędzia</w:t>
      </w:r>
      <w:proofErr w:type="spellEnd"/>
      <w:r w:rsidR="001633D2">
        <w:rPr>
          <w:rFonts w:eastAsia="SimSun"/>
        </w:rPr>
        <w:t xml:space="preserve"> et al.,</w:t>
      </w:r>
      <w:r w:rsidR="0053111C">
        <w:rPr>
          <w:rFonts w:eastAsia="SimSun"/>
        </w:rPr>
        <w:t xml:space="preserve"> </w:t>
      </w:r>
      <w:r w:rsidR="001633D2">
        <w:rPr>
          <w:rFonts w:eastAsia="SimSun"/>
        </w:rPr>
        <w:t>2023)</w:t>
      </w:r>
      <w:r w:rsidR="0053111C">
        <w:rPr>
          <w:rFonts w:eastAsia="SimSun"/>
        </w:rPr>
        <w:t>.</w:t>
      </w:r>
    </w:p>
    <w:p w14:paraId="74214A4F" w14:textId="7A8C5F86" w:rsidR="001633D2" w:rsidRDefault="005933F9" w:rsidP="00272A4B">
      <w:pPr>
        <w:pStyle w:val="CETBodytext"/>
        <w:rPr>
          <w:rFonts w:eastAsia="SimSun"/>
        </w:rPr>
      </w:pPr>
      <w:r w:rsidRPr="005933F9">
        <w:rPr>
          <w:rFonts w:eastAsia="SimSun"/>
        </w:rPr>
        <w:t>Levan</w:t>
      </w:r>
      <w:r w:rsidR="00740F10">
        <w:rPr>
          <w:rFonts w:eastAsia="SimSun"/>
        </w:rPr>
        <w:t xml:space="preserve"> also possesses </w:t>
      </w:r>
      <w:r w:rsidR="00E43038">
        <w:rPr>
          <w:rFonts w:eastAsia="SimSun"/>
        </w:rPr>
        <w:t xml:space="preserve">natural antibacterial </w:t>
      </w:r>
      <w:r w:rsidR="00740F10">
        <w:rPr>
          <w:rFonts w:eastAsia="SimSun"/>
        </w:rPr>
        <w:t xml:space="preserve">properties, </w:t>
      </w:r>
      <w:r w:rsidR="00B62C60">
        <w:rPr>
          <w:rFonts w:eastAsia="SimSun"/>
        </w:rPr>
        <w:t xml:space="preserve">helping reduce the risk of infections at the wound site when </w:t>
      </w:r>
      <w:r w:rsidR="00740F10">
        <w:rPr>
          <w:rFonts w:eastAsia="SimSun"/>
        </w:rPr>
        <w:t>applied</w:t>
      </w:r>
      <w:r w:rsidRPr="005933F9">
        <w:rPr>
          <w:rFonts w:eastAsia="SimSun"/>
        </w:rPr>
        <w:t xml:space="preserve">. Moreover, Levan’s structure allows it to be used as a carrier for cancer vaccines. The results showed that </w:t>
      </w:r>
      <w:proofErr w:type="spellStart"/>
      <w:r w:rsidRPr="005933F9">
        <w:rPr>
          <w:rFonts w:eastAsia="SimSun"/>
        </w:rPr>
        <w:t>levan</w:t>
      </w:r>
      <w:proofErr w:type="spellEnd"/>
      <w:r w:rsidRPr="005933F9">
        <w:rPr>
          <w:rFonts w:eastAsia="SimSun"/>
        </w:rPr>
        <w:t xml:space="preserve"> helped to enhance immune responses against the </w:t>
      </w:r>
      <w:proofErr w:type="spellStart"/>
      <w:r w:rsidR="00740F10">
        <w:rPr>
          <w:rFonts w:eastAsia="SimSun"/>
        </w:rPr>
        <w:t>tumour</w:t>
      </w:r>
      <w:proofErr w:type="spellEnd"/>
      <w:r w:rsidRPr="005933F9">
        <w:rPr>
          <w:rFonts w:eastAsia="SimSun"/>
        </w:rPr>
        <w:t xml:space="preserve">, showing promise as a delivery agent for cancer </w:t>
      </w:r>
      <w:r w:rsidR="001633D2" w:rsidRPr="005933F9">
        <w:rPr>
          <w:rFonts w:eastAsia="SimSun"/>
        </w:rPr>
        <w:t>immunotherapies</w:t>
      </w:r>
      <w:r w:rsidR="001633D2">
        <w:rPr>
          <w:rFonts w:eastAsia="SimSun"/>
        </w:rPr>
        <w:t xml:space="preserve"> (</w:t>
      </w:r>
      <w:r w:rsidR="001633D2" w:rsidRPr="001633D2">
        <w:rPr>
          <w:rFonts w:eastAsia="SimSun"/>
        </w:rPr>
        <w:t>P</w:t>
      </w:r>
      <w:r w:rsidR="00D93C71">
        <w:rPr>
          <w:rFonts w:eastAsia="SimSun"/>
        </w:rPr>
        <w:t xml:space="preserve">aul </w:t>
      </w:r>
      <w:r w:rsidR="001633D2">
        <w:rPr>
          <w:rFonts w:eastAsia="SimSun"/>
        </w:rPr>
        <w:t>et al.,</w:t>
      </w:r>
      <w:r w:rsidR="0053111C">
        <w:rPr>
          <w:rFonts w:eastAsia="SimSun"/>
        </w:rPr>
        <w:t xml:space="preserve"> </w:t>
      </w:r>
      <w:r w:rsidR="001633D2">
        <w:rPr>
          <w:rFonts w:eastAsia="SimSun"/>
        </w:rPr>
        <w:t>2023)</w:t>
      </w:r>
      <w:r w:rsidR="0053111C">
        <w:rPr>
          <w:rFonts w:eastAsia="SimSun"/>
        </w:rPr>
        <w:t>.</w:t>
      </w:r>
    </w:p>
    <w:p w14:paraId="089D00E7" w14:textId="0C634D8D" w:rsidR="005933F9" w:rsidRPr="005933F9" w:rsidRDefault="005933F9" w:rsidP="00272A4B">
      <w:pPr>
        <w:pStyle w:val="CETBodytext"/>
        <w:rPr>
          <w:rFonts w:eastAsia="SimSun"/>
        </w:rPr>
      </w:pPr>
      <w:r w:rsidRPr="005933F9">
        <w:rPr>
          <w:rFonts w:eastAsia="SimSun"/>
        </w:rPr>
        <w:t xml:space="preserve">The non-toxic nature of </w:t>
      </w:r>
      <w:proofErr w:type="spellStart"/>
      <w:r w:rsidRPr="005933F9">
        <w:rPr>
          <w:rFonts w:eastAsia="SimSun"/>
        </w:rPr>
        <w:t>levan</w:t>
      </w:r>
      <w:proofErr w:type="spellEnd"/>
      <w:r w:rsidRPr="005933F9">
        <w:rPr>
          <w:rFonts w:eastAsia="SimSun"/>
        </w:rPr>
        <w:t xml:space="preserve"> makes it a safe choice for in vivo applications. It is also biodegradable, meaning that once its purpose has been served, it will naturally break down without causing harm </w:t>
      </w:r>
      <w:r w:rsidR="001633D2">
        <w:rPr>
          <w:rFonts w:eastAsia="SimSun"/>
        </w:rPr>
        <w:t>(</w:t>
      </w:r>
      <w:r w:rsidR="001633D2" w:rsidRPr="001633D2">
        <w:rPr>
          <w:rFonts w:eastAsia="SimSun"/>
        </w:rPr>
        <w:t>Mouro</w:t>
      </w:r>
      <w:r w:rsidR="001633D2">
        <w:rPr>
          <w:rFonts w:eastAsia="SimSun"/>
        </w:rPr>
        <w:t xml:space="preserve"> et al.,</w:t>
      </w:r>
      <w:r w:rsidR="00112493">
        <w:rPr>
          <w:rFonts w:eastAsia="SimSun"/>
        </w:rPr>
        <w:t xml:space="preserve"> </w:t>
      </w:r>
      <w:r w:rsidR="001633D2">
        <w:rPr>
          <w:rFonts w:eastAsia="SimSun"/>
        </w:rPr>
        <w:t>2024)</w:t>
      </w:r>
      <w:r w:rsidR="00112493">
        <w:rPr>
          <w:rFonts w:eastAsia="SimSun"/>
        </w:rPr>
        <w:t>.</w:t>
      </w:r>
    </w:p>
    <w:p w14:paraId="0A385572" w14:textId="4984E077" w:rsidR="005933F9" w:rsidRPr="005933F9" w:rsidRDefault="006C6EF5" w:rsidP="00272A4B">
      <w:pPr>
        <w:pStyle w:val="CETBodytext"/>
      </w:pPr>
      <w:r>
        <w:lastRenderedPageBreak/>
        <w:t>Specific</w:t>
      </w:r>
      <w:r w:rsidR="005933F9" w:rsidRPr="005933F9">
        <w:t xml:space="preserve"> existing or forthcoming applications of </w:t>
      </w:r>
      <w:proofErr w:type="spellStart"/>
      <w:r w:rsidR="005933F9" w:rsidRPr="005933F9">
        <w:t>levan</w:t>
      </w:r>
      <w:proofErr w:type="spellEnd"/>
      <w:r w:rsidR="005933F9" w:rsidRPr="005933F9">
        <w:t xml:space="preserve"> may necessitate its utilization in powdered form and with a specific particle size. For instance, the size of the particles </w:t>
      </w:r>
      <w:r w:rsidR="00E16597">
        <w:t>is pivotal</w:t>
      </w:r>
      <w:r w:rsidR="005933F9" w:rsidRPr="005933F9">
        <w:t xml:space="preserve"> in the delivery through nasal and pulmonary routes; additionally, it is feasible to create composites where </w:t>
      </w:r>
      <w:proofErr w:type="spellStart"/>
      <w:r w:rsidR="005933F9" w:rsidRPr="005933F9">
        <w:t>levan</w:t>
      </w:r>
      <w:proofErr w:type="spellEnd"/>
      <w:r w:rsidR="005933F9" w:rsidRPr="005933F9">
        <w:t xml:space="preserve"> is incorporated in solid form. It is also essential that the distribution of particle sizes remains narrow to prevent the formation of aggregates</w:t>
      </w:r>
      <w:r w:rsidR="00740F10">
        <w:t xml:space="preserve"> to ensure the desire</w:t>
      </w:r>
      <w:r w:rsidR="00481B9F">
        <w:t>d release of the drug in the specific site</w:t>
      </w:r>
      <w:r w:rsidR="005933F9" w:rsidRPr="005933F9">
        <w:t xml:space="preserve">. </w:t>
      </w:r>
      <w:r w:rsidR="00341263">
        <w:t>(</w:t>
      </w:r>
      <w:proofErr w:type="spellStart"/>
      <w:r w:rsidR="00341263" w:rsidRPr="00341263">
        <w:t>Młynek</w:t>
      </w:r>
      <w:proofErr w:type="spellEnd"/>
      <w:r w:rsidR="00341263">
        <w:t xml:space="preserve"> et al</w:t>
      </w:r>
      <w:r w:rsidR="00341263" w:rsidRPr="00341263">
        <w:t>.</w:t>
      </w:r>
      <w:r w:rsidR="00341263">
        <w:t>,2023)</w:t>
      </w:r>
      <w:r w:rsidR="00341263" w:rsidRPr="00341263">
        <w:t xml:space="preserve"> </w:t>
      </w:r>
    </w:p>
    <w:p w14:paraId="2E329A62" w14:textId="7C0E34AD" w:rsidR="005933F9" w:rsidRPr="005933F9" w:rsidRDefault="005933F9" w:rsidP="00272A4B">
      <w:pPr>
        <w:pStyle w:val="CETBodytext"/>
      </w:pPr>
      <w:r w:rsidRPr="005933F9">
        <w:t>Levan shows a great capacity to encapsulate and stabilize hydrophobic substances</w:t>
      </w:r>
      <w:r w:rsidR="00F775CF">
        <w:t>, which</w:t>
      </w:r>
      <w:r w:rsidRPr="005933F9">
        <w:t xml:space="preserve"> positions it as a promising carrier for such drugs. </w:t>
      </w:r>
    </w:p>
    <w:p w14:paraId="2AFD3E47" w14:textId="2C894614" w:rsidR="00094A52" w:rsidRDefault="00094A52" w:rsidP="00272A4B">
      <w:pPr>
        <w:pStyle w:val="CETBodytext"/>
      </w:pPr>
      <w:r w:rsidRPr="005933F9">
        <w:t>Considering</w:t>
      </w:r>
      <w:r w:rsidR="005933F9" w:rsidRPr="005933F9">
        <w:t xml:space="preserve"> this fact, the supercritical antisolvent technique (SAS) was employed to transform </w:t>
      </w:r>
      <w:proofErr w:type="spellStart"/>
      <w:r w:rsidR="005933F9" w:rsidRPr="005933F9">
        <w:t>levan</w:t>
      </w:r>
      <w:proofErr w:type="spellEnd"/>
      <w:r w:rsidR="005933F9" w:rsidRPr="005933F9">
        <w:t xml:space="preserve"> (</w:t>
      </w:r>
      <w:proofErr w:type="spellStart"/>
      <w:r w:rsidR="00481B9F">
        <w:t>synthesised</w:t>
      </w:r>
      <w:proofErr w:type="spellEnd"/>
      <w:r w:rsidR="005933F9" w:rsidRPr="005933F9">
        <w:t xml:space="preserve"> using a cell-free method) into powdered form while ensuring a controlled distribution of particle sizes. </w:t>
      </w:r>
      <w:r w:rsidR="00481B9F">
        <w:t>The SAS process is selected for the main advantages that it shows in the Micronization of pharmaceutically active compounds; in fact, this process allows to obtain particles with dimensions useful for the delivery of the drug with a narrow distribution, and the final product of this process presents no residual solvent; that is a key factor when it is considered the human health. (</w:t>
      </w:r>
      <w:proofErr w:type="spellStart"/>
      <w:r w:rsidR="00481B9F">
        <w:t>Badens</w:t>
      </w:r>
      <w:proofErr w:type="spellEnd"/>
      <w:r w:rsidR="00481B9F">
        <w:t xml:space="preserve"> et al, 2018)</w:t>
      </w:r>
    </w:p>
    <w:p w14:paraId="0D35A587" w14:textId="35375FCF" w:rsidR="005933F9" w:rsidRPr="005933F9" w:rsidRDefault="002B2EA5" w:rsidP="00272A4B">
      <w:pPr>
        <w:pStyle w:val="CETBodytext"/>
        <w:rPr>
          <w:rFonts w:cs="Arial"/>
          <w:szCs w:val="18"/>
        </w:rPr>
      </w:pPr>
      <w:r>
        <w:t xml:space="preserve">To test the </w:t>
      </w:r>
      <w:proofErr w:type="spellStart"/>
      <w:r>
        <w:t>behaviour</w:t>
      </w:r>
      <w:proofErr w:type="spellEnd"/>
      <w:r>
        <w:t xml:space="preserve"> of Levan a</w:t>
      </w:r>
      <w:r w:rsidR="00DD58DF">
        <w:t>s</w:t>
      </w:r>
      <w:r>
        <w:t xml:space="preserve"> </w:t>
      </w:r>
      <w:r w:rsidR="00DD58DF">
        <w:t xml:space="preserve">a </w:t>
      </w:r>
      <w:r w:rsidR="00E43038">
        <w:t xml:space="preserve">carrier, </w:t>
      </w:r>
      <w:proofErr w:type="spellStart"/>
      <w:r w:rsidR="00E43038" w:rsidRPr="005933F9">
        <w:t>Nimesulide</w:t>
      </w:r>
      <w:proofErr w:type="spellEnd"/>
      <w:r w:rsidR="005933F9" w:rsidRPr="005933F9">
        <w:t xml:space="preserve"> (NIM) as  model drug was coprecipitated with the polymer</w:t>
      </w:r>
      <w:r w:rsidR="00094A52">
        <w:t xml:space="preserve"> to obtain a controlled-release drug delivery system and highlight that amphiphilic polymers (</w:t>
      </w:r>
      <w:proofErr w:type="spellStart"/>
      <w:r w:rsidR="00094A52">
        <w:t>levan</w:t>
      </w:r>
      <w:proofErr w:type="spellEnd"/>
      <w:r w:rsidR="00094A52">
        <w:t>) can be processed with supercritical CO</w:t>
      </w:r>
      <w:r w:rsidR="00094A52" w:rsidRPr="00F775CF">
        <w:rPr>
          <w:vertAlign w:val="subscript"/>
        </w:rPr>
        <w:t>2</w:t>
      </w:r>
      <w:r w:rsidR="00094A52">
        <w:t xml:space="preserve"> as carriers</w:t>
      </w:r>
      <w:r w:rsidR="005933F9" w:rsidRPr="005933F9">
        <w:t xml:space="preserve"> of hydrophobic drugs.</w:t>
      </w:r>
    </w:p>
    <w:p w14:paraId="5E1BD314" w14:textId="77777777" w:rsidR="005933F9" w:rsidRPr="005933F9" w:rsidRDefault="005933F9" w:rsidP="005933F9">
      <w:pPr>
        <w:keepNext/>
        <w:suppressAutoHyphens/>
        <w:spacing w:before="240" w:after="120" w:line="240" w:lineRule="auto"/>
        <w:rPr>
          <w:b/>
          <w:sz w:val="20"/>
        </w:rPr>
      </w:pPr>
      <w:r w:rsidRPr="005933F9">
        <w:rPr>
          <w:b/>
          <w:sz w:val="20"/>
        </w:rPr>
        <w:t>2. Materials and methods</w:t>
      </w:r>
    </w:p>
    <w:p w14:paraId="294E9374" w14:textId="61A738E0" w:rsidR="005933F9" w:rsidRPr="005933F9" w:rsidRDefault="005933F9" w:rsidP="00272A4B">
      <w:pPr>
        <w:pStyle w:val="CETheadingx"/>
        <w:numPr>
          <w:ilvl w:val="0"/>
          <w:numId w:val="0"/>
        </w:numPr>
        <w:ind w:left="142"/>
      </w:pPr>
      <w:r w:rsidRPr="005933F9">
        <w:t>2.1 Materials</w:t>
      </w:r>
    </w:p>
    <w:p w14:paraId="467B7F9D" w14:textId="3A0A916C" w:rsidR="005933F9" w:rsidRPr="005933F9" w:rsidRDefault="00F775CF" w:rsidP="00272A4B">
      <w:pPr>
        <w:pStyle w:val="CETBodytext"/>
      </w:pPr>
      <w:r>
        <w:t xml:space="preserve">The materials used </w:t>
      </w:r>
      <w:r w:rsidR="00165FE5">
        <w:t>are</w:t>
      </w:r>
      <w:r w:rsidR="00C208AF">
        <w:t xml:space="preserve"> </w:t>
      </w:r>
      <w:r w:rsidR="00112493">
        <w:t>CO</w:t>
      </w:r>
      <w:r w:rsidR="00112493" w:rsidRPr="00341263">
        <w:rPr>
          <w:vertAlign w:val="subscript"/>
        </w:rPr>
        <w:t>2</w:t>
      </w:r>
      <w:r w:rsidR="00112493">
        <w:t xml:space="preserve"> </w:t>
      </w:r>
      <w:r>
        <w:t xml:space="preserve">(purity </w:t>
      </w:r>
      <w:r w:rsidR="00112493">
        <w:t xml:space="preserve">99 </w:t>
      </w:r>
      <w:r>
        <w:t xml:space="preserve">%) </w:t>
      </w:r>
      <w:r w:rsidR="00C208AF">
        <w:t>purchased</w:t>
      </w:r>
      <w:r>
        <w:t xml:space="preserve"> by Morlando Group S.p.A. (</w:t>
      </w:r>
      <w:proofErr w:type="spellStart"/>
      <w:r>
        <w:t>Sant</w:t>
      </w:r>
      <w:r w:rsidR="00112493">
        <w:t>’</w:t>
      </w:r>
      <w:r>
        <w:t>Antimo</w:t>
      </w:r>
      <w:proofErr w:type="spellEnd"/>
      <w:r>
        <w:t xml:space="preserve">, Italy); </w:t>
      </w:r>
      <w:proofErr w:type="spellStart"/>
      <w:r>
        <w:t>dimethylsulfoxide</w:t>
      </w:r>
      <w:proofErr w:type="spellEnd"/>
      <w:r>
        <w:t xml:space="preserve"> (DMSO, purity 99.</w:t>
      </w:r>
      <w:r w:rsidR="00112493">
        <w:t xml:space="preserve">5 </w:t>
      </w:r>
      <w:r>
        <w:t xml:space="preserve">%) </w:t>
      </w:r>
      <w:r w:rsidR="00C208AF">
        <w:t>purchased</w:t>
      </w:r>
      <w:r>
        <w:t xml:space="preserve"> by Carlo Erba (</w:t>
      </w:r>
      <w:proofErr w:type="spellStart"/>
      <w:r>
        <w:t>Cornaredo</w:t>
      </w:r>
      <w:proofErr w:type="spellEnd"/>
      <w:r>
        <w:t xml:space="preserve">, Italy); </w:t>
      </w:r>
      <w:proofErr w:type="spellStart"/>
      <w:r>
        <w:t>Nimesulide</w:t>
      </w:r>
      <w:proofErr w:type="spellEnd"/>
      <w:r>
        <w:t xml:space="preserve"> (NIM) supplied by Merck (Milan, Italy). </w:t>
      </w:r>
      <w:r w:rsidR="00DD58DF">
        <w:t>T</w:t>
      </w:r>
      <w:r>
        <w:t xml:space="preserve">he enzyme Fructosyltransferase 68S </w:t>
      </w:r>
      <w:r w:rsidR="00112493">
        <w:t xml:space="preserve">from </w:t>
      </w:r>
      <w:r w:rsidRPr="00272A4B">
        <w:rPr>
          <w:i/>
          <w:iCs/>
        </w:rPr>
        <w:t>Bacillus subtilis</w:t>
      </w:r>
      <w:r>
        <w:t>,</w:t>
      </w:r>
      <w:r w:rsidR="00DD58DF">
        <w:t xml:space="preserve"> essential for </w:t>
      </w:r>
      <w:proofErr w:type="spellStart"/>
      <w:r w:rsidR="00DD58DF">
        <w:t>levan</w:t>
      </w:r>
      <w:proofErr w:type="spellEnd"/>
      <w:r w:rsidR="00DD58DF">
        <w:t xml:space="preserve"> production, was supplied by Creative Enzymes (New York, USA)</w:t>
      </w:r>
      <w:r w:rsidR="005933F9" w:rsidRPr="005933F9">
        <w:t xml:space="preserve"> using AFORA reactors. </w:t>
      </w:r>
    </w:p>
    <w:p w14:paraId="0ADB85E7" w14:textId="1F7B9057" w:rsidR="005933F9" w:rsidRPr="006C707E" w:rsidRDefault="006C707E" w:rsidP="00272A4B">
      <w:pPr>
        <w:pStyle w:val="CETheadingx"/>
        <w:numPr>
          <w:ilvl w:val="0"/>
          <w:numId w:val="0"/>
        </w:numPr>
        <w:ind w:left="142"/>
      </w:pPr>
      <w:r w:rsidRPr="00DB36CC">
        <w:rPr>
          <w:bCs/>
        </w:rPr>
        <w:t>2.2</w:t>
      </w:r>
      <w:r w:rsidR="00165FE5" w:rsidRPr="006C707E">
        <w:t xml:space="preserve"> </w:t>
      </w:r>
      <w:r w:rsidR="005933F9" w:rsidRPr="006C707E">
        <w:t>Methods</w:t>
      </w:r>
    </w:p>
    <w:p w14:paraId="22AC968F" w14:textId="296A77ED" w:rsidR="005933F9" w:rsidRPr="005933F9" w:rsidRDefault="005933F9" w:rsidP="005933F9">
      <w:r w:rsidRPr="005933F9">
        <w:t xml:space="preserve">2.2.1 Levan </w:t>
      </w:r>
      <w:r w:rsidR="00453DC9">
        <w:t>synthesis</w:t>
      </w:r>
    </w:p>
    <w:p w14:paraId="162A4474" w14:textId="6A47BDDD" w:rsidR="005933F9" w:rsidRDefault="005933F9" w:rsidP="000145F9">
      <w:r w:rsidRPr="005933F9">
        <w:t xml:space="preserve">Levan </w:t>
      </w:r>
      <w:r w:rsidR="00453DC9">
        <w:t xml:space="preserve">was </w:t>
      </w:r>
      <w:r w:rsidR="00246B3C">
        <w:t>synthesized</w:t>
      </w:r>
      <w:r w:rsidR="00453DC9">
        <w:t xml:space="preserve"> using</w:t>
      </w:r>
      <w:r w:rsidRPr="005933F9">
        <w:t xml:space="preserve"> </w:t>
      </w:r>
      <w:r w:rsidR="000145F9">
        <w:t xml:space="preserve">a cell-free method. The detailed procedure is reported in </w:t>
      </w:r>
      <w:r w:rsidR="00B62C60">
        <w:t>previous work</w:t>
      </w:r>
      <w:r w:rsidR="000145F9">
        <w:t xml:space="preserve"> (</w:t>
      </w:r>
      <w:r w:rsidR="000145F9" w:rsidRPr="000145F9">
        <w:t>González-</w:t>
      </w:r>
      <w:proofErr w:type="spellStart"/>
      <w:r w:rsidR="000145F9" w:rsidRPr="000145F9">
        <w:t>Garcinuño</w:t>
      </w:r>
      <w:proofErr w:type="spellEnd"/>
      <w:r w:rsidR="000145F9">
        <w:t xml:space="preserve"> et al.,2019): </w:t>
      </w:r>
      <w:r w:rsidR="008967CB">
        <w:t xml:space="preserve"> </w:t>
      </w:r>
      <w:r w:rsidR="00453DC9" w:rsidRPr="005933F9">
        <w:t xml:space="preserve">the </w:t>
      </w:r>
      <w:r w:rsidR="008967CB">
        <w:t>synthesis</w:t>
      </w:r>
      <w:r w:rsidR="00453DC9" w:rsidRPr="005933F9">
        <w:t xml:space="preserve"> was performed in 100 mL of a solution with a </w:t>
      </w:r>
      <w:r w:rsidR="008967CB">
        <w:t xml:space="preserve">total </w:t>
      </w:r>
      <w:r w:rsidR="00453DC9" w:rsidRPr="005933F9">
        <w:t xml:space="preserve">concentration of sucrose </w:t>
      </w:r>
      <w:r w:rsidR="008967CB">
        <w:t>equal to</w:t>
      </w:r>
      <w:r w:rsidR="00453DC9" w:rsidRPr="005933F9">
        <w:t xml:space="preserve"> 90 g·L</w:t>
      </w:r>
      <w:r w:rsidR="00453DC9" w:rsidRPr="00272A4B">
        <w:rPr>
          <w:vertAlign w:val="superscript"/>
        </w:rPr>
        <w:t>−1</w:t>
      </w:r>
      <w:r w:rsidR="00453DC9" w:rsidRPr="005933F9">
        <w:t xml:space="preserve"> at 37 °C and a</w:t>
      </w:r>
      <w:r w:rsidR="007A684C">
        <w:t xml:space="preserve"> total</w:t>
      </w:r>
      <w:r w:rsidR="00453DC9" w:rsidRPr="005933F9">
        <w:t xml:space="preserve"> enzyme concentration (</w:t>
      </w:r>
      <w:proofErr w:type="spellStart"/>
      <w:r w:rsidR="00453DC9" w:rsidRPr="005933F9">
        <w:t>levansucrase</w:t>
      </w:r>
      <w:proofErr w:type="spellEnd"/>
      <w:r w:rsidR="00453DC9" w:rsidRPr="005933F9">
        <w:t>) of 0.2 mg·L</w:t>
      </w:r>
      <w:r w:rsidR="00453DC9" w:rsidRPr="005933F9">
        <w:rPr>
          <w:vertAlign w:val="superscript"/>
        </w:rPr>
        <w:t>−1</w:t>
      </w:r>
      <w:r w:rsidR="00453DC9" w:rsidRPr="005933F9">
        <w:t>. After 72 h</w:t>
      </w:r>
      <w:r w:rsidR="00453DC9">
        <w:t>ours</w:t>
      </w:r>
      <w:r w:rsidR="00453DC9" w:rsidRPr="005933F9">
        <w:t>, the polymer was isolated by adding 300 mL of ethanol to the reaction mixture</w:t>
      </w:r>
      <w:r w:rsidR="007A684C">
        <w:t xml:space="preserve"> and then</w:t>
      </w:r>
      <w:r w:rsidR="00AA06DA">
        <w:t xml:space="preserve"> stored at −20 °C for 24 h</w:t>
      </w:r>
      <w:r w:rsidR="00453DC9">
        <w:t>.</w:t>
      </w:r>
      <w:r w:rsidR="00453DC9" w:rsidRPr="005933F9">
        <w:t xml:space="preserve"> </w:t>
      </w:r>
      <w:r w:rsidR="00453DC9">
        <w:t>T</w:t>
      </w:r>
      <w:r w:rsidR="00453DC9" w:rsidRPr="005933F9">
        <w:t>he polymer was</w:t>
      </w:r>
      <w:r w:rsidR="00453DC9">
        <w:t xml:space="preserve"> then</w:t>
      </w:r>
      <w:r w:rsidR="00453DC9" w:rsidRPr="005933F9">
        <w:t xml:space="preserve"> recovered by centrifugation (10 min at 10,000 rpm) </w:t>
      </w:r>
      <w:r w:rsidR="00453DC9">
        <w:t xml:space="preserve">using </w:t>
      </w:r>
      <w:r w:rsidR="00453DC9" w:rsidRPr="005933F9">
        <w:t xml:space="preserve">Eppendorf Centrifuge 5804 </w:t>
      </w:r>
      <w:r w:rsidR="00453DC9">
        <w:t>(</w:t>
      </w:r>
      <w:r w:rsidR="00453DC9" w:rsidRPr="005933F9">
        <w:t xml:space="preserve">Germany) </w:t>
      </w:r>
      <w:r w:rsidR="007A684C">
        <w:t>to separate</w:t>
      </w:r>
      <w:r w:rsidR="00453DC9">
        <w:t xml:space="preserve"> the solvent</w:t>
      </w:r>
      <w:r w:rsidR="007A684C">
        <w:t>; the final step</w:t>
      </w:r>
      <w:r w:rsidR="00E241C6">
        <w:t xml:space="preserve"> </w:t>
      </w:r>
      <w:r w:rsidR="00453DC9">
        <w:t xml:space="preserve">was </w:t>
      </w:r>
      <w:r w:rsidR="00453DC9" w:rsidRPr="005933F9">
        <w:t>freeze-dried</w:t>
      </w:r>
      <w:r w:rsidR="007A684C">
        <w:t xml:space="preserve"> </w:t>
      </w:r>
      <w:r w:rsidR="007A684C" w:rsidRPr="005933F9">
        <w:t xml:space="preserve">(Telstar </w:t>
      </w:r>
      <w:proofErr w:type="spellStart"/>
      <w:r w:rsidR="007A684C" w:rsidRPr="005933F9">
        <w:t>lyophilizer</w:t>
      </w:r>
      <w:proofErr w:type="spellEnd"/>
      <w:r w:rsidR="007A684C" w:rsidRPr="005933F9">
        <w:t xml:space="preserve">, Spain) </w:t>
      </w:r>
      <w:r w:rsidR="00453DC9" w:rsidRPr="005933F9">
        <w:t>at −55 °C and 0.1 mbar</w:t>
      </w:r>
      <w:r w:rsidR="007A684C">
        <w:t xml:space="preserve"> until the obtainment of dry polymers.</w:t>
      </w:r>
    </w:p>
    <w:p w14:paraId="0C55FBCA" w14:textId="77777777" w:rsidR="00453DC9" w:rsidRPr="005933F9" w:rsidRDefault="00453DC9" w:rsidP="005933F9"/>
    <w:p w14:paraId="6E90CF88" w14:textId="3133522B" w:rsidR="005933F9" w:rsidRPr="005933F9" w:rsidRDefault="005933F9" w:rsidP="005933F9">
      <w:r w:rsidRPr="005933F9">
        <w:t xml:space="preserve">2.2.2 SAS </w:t>
      </w:r>
      <w:proofErr w:type="spellStart"/>
      <w:r w:rsidRPr="005933F9">
        <w:t>micronization</w:t>
      </w:r>
      <w:proofErr w:type="spellEnd"/>
      <w:r w:rsidRPr="005933F9">
        <w:t xml:space="preserve"> </w:t>
      </w:r>
      <w:r w:rsidR="00FE0C8E">
        <w:t>procedure</w:t>
      </w:r>
    </w:p>
    <w:p w14:paraId="447699DB" w14:textId="0E014B93" w:rsidR="005933F9" w:rsidRPr="005933F9" w:rsidRDefault="00A05F5A" w:rsidP="005933F9">
      <w:r>
        <w:t>SAS’s plant</w:t>
      </w:r>
      <w:r w:rsidR="005933F9" w:rsidRPr="005933F9">
        <w:t xml:space="preserve"> core component is a </w:t>
      </w:r>
      <w:r w:rsidR="007A684C">
        <w:t xml:space="preserve">stainless-steel </w:t>
      </w:r>
      <w:r w:rsidR="005933F9" w:rsidRPr="005933F9">
        <w:t>cylindrical vessel with a</w:t>
      </w:r>
      <w:r>
        <w:t xml:space="preserve"> </w:t>
      </w:r>
      <w:r w:rsidR="005933F9" w:rsidRPr="005933F9">
        <w:t>volume of 500 cm³</w:t>
      </w:r>
      <w:r>
        <w:t xml:space="preserve"> that is </w:t>
      </w:r>
      <w:r w:rsidR="007A684C">
        <w:t xml:space="preserve">the principal </w:t>
      </w:r>
      <w:r w:rsidR="00E16597">
        <w:t>unit</w:t>
      </w:r>
      <w:r w:rsidR="007A684C">
        <w:t xml:space="preserve"> of the process</w:t>
      </w:r>
      <w:r>
        <w:t xml:space="preserve"> </w:t>
      </w:r>
      <w:r w:rsidR="007A684C">
        <w:t xml:space="preserve">where </w:t>
      </w:r>
      <w:r>
        <w:t xml:space="preserve">the </w:t>
      </w:r>
      <w:r w:rsidR="007A684C">
        <w:t>precipitation occurs. Carbon dioxide</w:t>
      </w:r>
      <w:r>
        <w:t xml:space="preserve"> (the antisolvent) and the liquid solution (DMSO + solute) were injected by using two high-pressure pumps</w:t>
      </w:r>
      <w:r w:rsidR="005933F9" w:rsidRPr="005933F9">
        <w:t xml:space="preserve"> to achieve the desired pressure. CO</w:t>
      </w:r>
      <w:r w:rsidR="005933F9" w:rsidRPr="005933F9">
        <w:rPr>
          <w:vertAlign w:val="subscript"/>
        </w:rPr>
        <w:t>2</w:t>
      </w:r>
      <w:r w:rsidR="005933F9" w:rsidRPr="005933F9">
        <w:t xml:space="preserve"> was pre-cooled in a refrigerating bath</w:t>
      </w:r>
      <w:r w:rsidR="00C77CC8">
        <w:t xml:space="preserve"> </w:t>
      </w:r>
      <w:r>
        <w:t>b</w:t>
      </w:r>
      <w:r w:rsidRPr="005933F9">
        <w:t xml:space="preserve">efore entering the </w:t>
      </w:r>
      <w:r>
        <w:t>precipitation chamber</w:t>
      </w:r>
      <w:r w:rsidRPr="005933F9">
        <w:t xml:space="preserve">, </w:t>
      </w:r>
      <w:r w:rsidR="00C77CC8">
        <w:t>while the liquid solution was in</w:t>
      </w:r>
      <w:r>
        <w:t>troduced</w:t>
      </w:r>
      <w:r w:rsidR="00C77CC8">
        <w:t xml:space="preserve"> through a</w:t>
      </w:r>
      <w:r w:rsidR="005933F9" w:rsidRPr="005933F9">
        <w:t xml:space="preserve"> nozzle</w:t>
      </w:r>
      <w:r w:rsidR="00DD58DF">
        <w:t xml:space="preserve"> to ensure atomization</w:t>
      </w:r>
      <w:r w:rsidR="005933F9" w:rsidRPr="005933F9">
        <w:t xml:space="preserve">. The </w:t>
      </w:r>
      <w:r w:rsidR="00F13053">
        <w:t xml:space="preserve">Proportional Integral Derivative (PID) controller and heating bands controlled the inside temperature, while the pressure was </w:t>
      </w:r>
      <w:r w:rsidR="005933F9" w:rsidRPr="005933F9">
        <w:t>regulat</w:t>
      </w:r>
      <w:r w:rsidR="00F13053">
        <w:t>ed</w:t>
      </w:r>
      <w:r w:rsidR="005933F9" w:rsidRPr="005933F9">
        <w:t xml:space="preserve"> using a micrometric valve.</w:t>
      </w:r>
      <w:r w:rsidR="00F13053">
        <w:t xml:space="preserve"> For all the tests performed in this experimental work, the temperature was set at 40°C. Conversely, the pressure was one of the parameters modified to understand the effect </w:t>
      </w:r>
      <w:r w:rsidR="007A684C">
        <w:t>of</w:t>
      </w:r>
      <w:r w:rsidR="00F13053">
        <w:t xml:space="preserve"> the </w:t>
      </w:r>
      <w:proofErr w:type="spellStart"/>
      <w:r w:rsidR="00F13053">
        <w:t>micronization</w:t>
      </w:r>
      <w:proofErr w:type="spellEnd"/>
      <w:r w:rsidR="00F13053">
        <w:t>.</w:t>
      </w:r>
      <w:r w:rsidR="00F13053" w:rsidRPr="005933F9">
        <w:t xml:space="preserve"> </w:t>
      </w:r>
      <w:r w:rsidR="005933F9" w:rsidRPr="005933F9">
        <w:t xml:space="preserve">A porous filter with 0.1 </w:t>
      </w:r>
      <w:r w:rsidR="005933F9" w:rsidRPr="005933F9">
        <w:rPr>
          <w:lang w:val="it-IT"/>
        </w:rPr>
        <w:t>μ</w:t>
      </w:r>
      <w:r w:rsidR="005933F9" w:rsidRPr="005933F9">
        <w:t xml:space="preserve">m pores was </w:t>
      </w:r>
      <w:r w:rsidR="00F13053">
        <w:t xml:space="preserve">used to collect the precipitated powders and </w:t>
      </w:r>
      <w:r w:rsidR="005933F9" w:rsidRPr="005933F9">
        <w:t>allow</w:t>
      </w:r>
      <w:r w:rsidR="00F13053">
        <w:t xml:space="preserve"> </w:t>
      </w:r>
      <w:r w:rsidR="005933F9" w:rsidRPr="005933F9">
        <w:t>the CO</w:t>
      </w:r>
      <w:r w:rsidR="005933F9" w:rsidRPr="005933F9">
        <w:rPr>
          <w:vertAlign w:val="subscript"/>
        </w:rPr>
        <w:t>2</w:t>
      </w:r>
      <w:r w:rsidR="005933F9" w:rsidRPr="005933F9">
        <w:t>-solvent mixture to pass throug</w:t>
      </w:r>
      <w:r w:rsidR="00F13053">
        <w:t>h</w:t>
      </w:r>
      <w:r w:rsidR="005933F9" w:rsidRPr="005933F9">
        <w:t>. The CO</w:t>
      </w:r>
      <w:r w:rsidR="005933F9" w:rsidRPr="005933F9">
        <w:rPr>
          <w:vertAlign w:val="subscript"/>
        </w:rPr>
        <w:t>2</w:t>
      </w:r>
      <w:r w:rsidR="005933F9" w:rsidRPr="005933F9">
        <w:t xml:space="preserve"> flow rate was measured using a rotameter</w:t>
      </w:r>
      <w:r w:rsidR="003B3897">
        <w:t>, set to 30 g·min</w:t>
      </w:r>
      <w:r w:rsidR="003B3897" w:rsidRPr="003B3897">
        <w:rPr>
          <w:vertAlign w:val="superscript"/>
        </w:rPr>
        <w:t>−1</w:t>
      </w:r>
      <w:r w:rsidR="003B3897">
        <w:t xml:space="preserve"> for all </w:t>
      </w:r>
      <w:r w:rsidR="00F13053">
        <w:t>experimental tests.</w:t>
      </w:r>
    </w:p>
    <w:p w14:paraId="254305C1" w14:textId="4B1E203F" w:rsidR="0071170B" w:rsidRDefault="00F13053" w:rsidP="003B3897">
      <w:r>
        <w:t xml:space="preserve">Before each test, the solution containing the polymers alone or the mix of drug and polymer with different drug-to-polymer ratios was prepared. </w:t>
      </w:r>
      <w:r w:rsidR="00AA06DA">
        <w:t>The CO</w:t>
      </w:r>
      <w:r w:rsidR="00AA06DA" w:rsidRPr="00AA06DA">
        <w:rPr>
          <w:vertAlign w:val="subscript"/>
        </w:rPr>
        <w:t>2</w:t>
      </w:r>
      <w:r w:rsidR="00AA06DA">
        <w:t xml:space="preserve"> was pumped into the precipitation chamber during the experiment </w:t>
      </w:r>
      <w:r w:rsidR="005933F9" w:rsidRPr="005933F9">
        <w:t xml:space="preserve">until the desired </w:t>
      </w:r>
      <w:r w:rsidR="00E77B41">
        <w:t xml:space="preserve">conditions </w:t>
      </w:r>
      <w:r w:rsidR="005933F9" w:rsidRPr="005933F9">
        <w:t xml:space="preserve">were reached. </w:t>
      </w:r>
      <w:r w:rsidR="00E77B41">
        <w:t>Then</w:t>
      </w:r>
      <w:r w:rsidR="00AA06DA">
        <w:t xml:space="preserve">, the liquid solution was injected to initiate solute </w:t>
      </w:r>
      <w:proofErr w:type="spellStart"/>
      <w:r w:rsidR="002B2EA5">
        <w:t>m</w:t>
      </w:r>
      <w:r w:rsidR="00AA06DA">
        <w:t>icronization</w:t>
      </w:r>
      <w:proofErr w:type="spellEnd"/>
      <w:r w:rsidR="00AA06DA">
        <w:t>; in this work,</w:t>
      </w:r>
      <w:r w:rsidR="00E77B41">
        <w:t xml:space="preserve"> the </w:t>
      </w:r>
      <w:r w:rsidR="00E241C6">
        <w:t>fluid</w:t>
      </w:r>
      <w:r w:rsidR="00E77B41">
        <w:t xml:space="preserve"> flow rate was set </w:t>
      </w:r>
      <w:r w:rsidR="00E77B41" w:rsidRPr="005933F9">
        <w:t>at 1 mL·min</w:t>
      </w:r>
      <w:r w:rsidR="00E77B41" w:rsidRPr="005933F9">
        <w:rPr>
          <w:vertAlign w:val="superscript"/>
        </w:rPr>
        <w:t>−1</w:t>
      </w:r>
      <w:r w:rsidR="005933F9" w:rsidRPr="005933F9">
        <w:t>. CO</w:t>
      </w:r>
      <w:r w:rsidR="005933F9" w:rsidRPr="005933F9">
        <w:rPr>
          <w:vertAlign w:val="subscript"/>
        </w:rPr>
        <w:t>2</w:t>
      </w:r>
      <w:r w:rsidR="004B2A46">
        <w:rPr>
          <w:vertAlign w:val="subscript"/>
        </w:rPr>
        <w:t xml:space="preserve"> </w:t>
      </w:r>
      <w:r w:rsidR="004B2A46">
        <w:t>was pumped</w:t>
      </w:r>
      <w:r w:rsidR="005933F9" w:rsidRPr="005933F9">
        <w:rPr>
          <w:vertAlign w:val="subscript"/>
        </w:rPr>
        <w:t xml:space="preserve"> </w:t>
      </w:r>
      <w:r w:rsidR="005933F9" w:rsidRPr="005933F9">
        <w:t>for a calculated period</w:t>
      </w:r>
      <w:r w:rsidR="004B2A46">
        <w:t xml:space="preserve"> after injection </w:t>
      </w:r>
      <w:r w:rsidR="005933F9" w:rsidRPr="005933F9">
        <w:t xml:space="preserve">to </w:t>
      </w:r>
      <w:r w:rsidR="009B5928">
        <w:t>guarantee</w:t>
      </w:r>
      <w:r w:rsidR="005933F9" w:rsidRPr="005933F9">
        <w:t xml:space="preserve"> </w:t>
      </w:r>
      <w:r w:rsidR="00C77CC8">
        <w:t xml:space="preserve">the </w:t>
      </w:r>
      <w:r w:rsidR="005933F9" w:rsidRPr="005933F9">
        <w:t xml:space="preserve">complete removal of solvent residues. </w:t>
      </w:r>
      <w:r w:rsidR="004B2A46">
        <w:t>At the end of the experiment, CO</w:t>
      </w:r>
      <w:r w:rsidR="004B2A46" w:rsidRPr="002B2EA5">
        <w:rPr>
          <w:vertAlign w:val="subscript"/>
        </w:rPr>
        <w:t>2</w:t>
      </w:r>
      <w:r w:rsidR="004B2A46">
        <w:t xml:space="preserve"> was stopped, and the vessel was depressurized to atmospheric pressure</w:t>
      </w:r>
      <w:r w:rsidR="00DD58DF">
        <w:t xml:space="preserve"> to collect the dry powder</w:t>
      </w:r>
      <w:r w:rsidR="004B2A46">
        <w:t>.</w:t>
      </w:r>
      <w:r w:rsidR="005933F9" w:rsidRPr="005933F9">
        <w:t xml:space="preserve"> </w:t>
      </w:r>
      <w:r w:rsidR="004B2A46">
        <w:t xml:space="preserve">All the </w:t>
      </w:r>
      <w:r w:rsidR="005933F9" w:rsidRPr="005933F9">
        <w:t>conditions</w:t>
      </w:r>
      <w:r w:rsidR="00DD58DF">
        <w:t xml:space="preserve"> selected for the tests</w:t>
      </w:r>
      <w:r w:rsidR="005933F9" w:rsidRPr="005933F9">
        <w:t xml:space="preserve"> were selected to operate above the critical point (MCP) </w:t>
      </w:r>
      <w:r w:rsidR="00E241C6">
        <w:t>calculated for the mixture CO</w:t>
      </w:r>
      <w:r w:rsidR="00E241C6" w:rsidRPr="002B2EA5">
        <w:rPr>
          <w:vertAlign w:val="subscript"/>
        </w:rPr>
        <w:t>2</w:t>
      </w:r>
      <w:r w:rsidR="00E241C6">
        <w:t>+</w:t>
      </w:r>
      <w:r w:rsidR="009B5928">
        <w:t>DMSO</w:t>
      </w:r>
      <w:r w:rsidR="003B3897">
        <w:t xml:space="preserve"> by using an </w:t>
      </w:r>
      <w:proofErr w:type="spellStart"/>
      <w:r w:rsidR="003B3897">
        <w:t>isofugacity</w:t>
      </w:r>
      <w:proofErr w:type="spellEnd"/>
      <w:r w:rsidR="003B3897">
        <w:t xml:space="preserve"> approach with PR-EOS with Van der Waals mixing rule (one single interaction parameter). For this system, the calculated parameters are a pressure of around 80-85 bar at 313 K</w:t>
      </w:r>
      <w:r w:rsidR="009B5928">
        <w:t xml:space="preserve">. </w:t>
      </w:r>
      <w:r w:rsidR="004B2A46">
        <w:t xml:space="preserve">The study of the </w:t>
      </w:r>
      <w:r w:rsidR="003B3897">
        <w:t>critical point of the mixture allows for a better understanding of the effect of the operating</w:t>
      </w:r>
      <w:r w:rsidR="004B2A46">
        <w:t xml:space="preserve"> </w:t>
      </w:r>
      <w:r w:rsidR="005933F9" w:rsidRPr="005933F9">
        <w:t xml:space="preserve">variables on the </w:t>
      </w:r>
      <w:r w:rsidR="004B2A46">
        <w:t>final morphology</w:t>
      </w:r>
      <w:r w:rsidR="005933F9" w:rsidRPr="005933F9">
        <w:t>.</w:t>
      </w:r>
      <w:r w:rsidR="00A05F5A">
        <w:t xml:space="preserve"> More detailed information about the </w:t>
      </w:r>
      <w:r w:rsidR="00E77B41">
        <w:t>procedure</w:t>
      </w:r>
      <w:r w:rsidR="00753685">
        <w:t xml:space="preserve"> and the scheme</w:t>
      </w:r>
      <w:r w:rsidR="00A05F5A">
        <w:t xml:space="preserve"> of the SAS </w:t>
      </w:r>
      <w:r w:rsidR="00753685">
        <w:t>plant</w:t>
      </w:r>
      <w:r w:rsidR="00A05F5A">
        <w:t xml:space="preserve"> </w:t>
      </w:r>
      <w:r w:rsidR="00AA06DA">
        <w:t xml:space="preserve">has been reported in </w:t>
      </w:r>
      <w:r w:rsidR="00A05F5A">
        <w:t>previous work. (De Marco and Franco, 2020)</w:t>
      </w:r>
    </w:p>
    <w:p w14:paraId="49E8A561" w14:textId="693B04A8" w:rsidR="007A78FA" w:rsidRPr="005933F9" w:rsidRDefault="00E5074E" w:rsidP="005933F9">
      <w:r>
        <w:t>.</w:t>
      </w:r>
    </w:p>
    <w:p w14:paraId="364E3B94" w14:textId="77777777" w:rsidR="005933F9" w:rsidRPr="005933F9" w:rsidRDefault="005933F9" w:rsidP="005933F9"/>
    <w:p w14:paraId="72505ABB" w14:textId="77777777" w:rsidR="005933F9" w:rsidRPr="005933F9" w:rsidRDefault="005933F9" w:rsidP="005933F9">
      <w:r w:rsidRPr="005933F9">
        <w:t xml:space="preserve">2.2.3 Characterisation methods </w:t>
      </w:r>
    </w:p>
    <w:p w14:paraId="20FDEA2A" w14:textId="2E7181BB" w:rsidR="00981BD2" w:rsidRDefault="002B2EA5" w:rsidP="00EB3B58">
      <w:pPr>
        <w:spacing w:line="276" w:lineRule="auto"/>
      </w:pPr>
      <w:r w:rsidRPr="002B2EA5">
        <w:t xml:space="preserve">The morphology of the materials was </w:t>
      </w:r>
      <w:proofErr w:type="spellStart"/>
      <w:r w:rsidRPr="002B2EA5">
        <w:t>analyzed</w:t>
      </w:r>
      <w:proofErr w:type="spellEnd"/>
      <w:r w:rsidRPr="002B2EA5">
        <w:t xml:space="preserve"> using a LEO 1525 FESEM (Carl Zeiss SMT AG). </w:t>
      </w:r>
      <w:r>
        <w:t xml:space="preserve">All the samples </w:t>
      </w:r>
      <w:r w:rsidRPr="002B2EA5">
        <w:t>w</w:t>
      </w:r>
      <w:r>
        <w:t>ere</w:t>
      </w:r>
      <w:r w:rsidRPr="002B2EA5">
        <w:t xml:space="preserve"> dispersed onto a carbon tab affixed to an </w:t>
      </w:r>
      <w:r>
        <w:t>aluminium</w:t>
      </w:r>
      <w:r w:rsidRPr="002B2EA5">
        <w:t xml:space="preserve"> stub and subsequently </w:t>
      </w:r>
      <w:r w:rsidR="00FE0C8E">
        <w:t>laminated</w:t>
      </w:r>
      <w:r w:rsidRPr="002B2EA5">
        <w:t xml:space="preserve"> with gold </w:t>
      </w:r>
      <w:r>
        <w:t>for 12</w:t>
      </w:r>
      <w:r w:rsidRPr="002B2EA5">
        <w:t>0 seconds using a sputter coater</w:t>
      </w:r>
      <w:r w:rsidR="009B5928">
        <w:t xml:space="preserve">. </w:t>
      </w:r>
      <w:r w:rsidR="00B62C60">
        <w:t>Multiple FESEM images of each component were captured to ensure the uniformity of the sample</w:t>
      </w:r>
      <w:r w:rsidRPr="002B2EA5">
        <w:t>.</w:t>
      </w:r>
    </w:p>
    <w:p w14:paraId="0FB59A18" w14:textId="3D6DC1AA" w:rsidR="005933F9" w:rsidRPr="005933F9" w:rsidRDefault="005933F9" w:rsidP="00EB3B58">
      <w:pPr>
        <w:spacing w:line="276" w:lineRule="auto"/>
      </w:pPr>
      <w:r w:rsidRPr="005933F9">
        <w:t xml:space="preserve">The </w:t>
      </w:r>
      <w:r w:rsidR="00B62C60">
        <w:t>particle distribution and t</w:t>
      </w:r>
      <w:r w:rsidR="00CA30A8">
        <w:t>he</w:t>
      </w:r>
      <w:r w:rsidR="00B62C60">
        <w:t xml:space="preserve"> standard devi</w:t>
      </w:r>
      <w:r w:rsidR="00CA30A8">
        <w:t>ation</w:t>
      </w:r>
      <w:r w:rsidRPr="005933F9">
        <w:t xml:space="preserve"> were </w:t>
      </w:r>
      <w:r w:rsidR="00FE0C8E">
        <w:t>measured</w:t>
      </w:r>
      <w:r w:rsidR="00CA30A8">
        <w:t xml:space="preserve"> </w:t>
      </w:r>
      <w:r w:rsidRPr="005933F9">
        <w:t xml:space="preserve">from FE-SEM </w:t>
      </w:r>
      <w:r w:rsidR="00CA30A8">
        <w:t xml:space="preserve">images; the diameters of about 1000 particles were </w:t>
      </w:r>
      <w:r w:rsidR="00D30A9E">
        <w:t>collected</w:t>
      </w:r>
      <w:r w:rsidR="00CA30A8">
        <w:t xml:space="preserve"> by using </w:t>
      </w:r>
      <w:r w:rsidRPr="005933F9">
        <w:t>Sigma Scan Pro image</w:t>
      </w:r>
      <w:r w:rsidR="001372CC">
        <w:t xml:space="preserve"> version 5.0</w:t>
      </w:r>
      <w:r w:rsidRPr="005933F9">
        <w:t xml:space="preserve"> analysis software. Particle size distributions (PSDs) were e</w:t>
      </w:r>
      <w:r w:rsidR="00CA30A8">
        <w:t>valuated</w:t>
      </w:r>
      <w:r w:rsidRPr="005933F9">
        <w:t xml:space="preserve"> by </w:t>
      </w:r>
      <w:proofErr w:type="spellStart"/>
      <w:r w:rsidRPr="005933F9">
        <w:t>Microcal</w:t>
      </w:r>
      <w:proofErr w:type="spellEnd"/>
      <w:r w:rsidRPr="005933F9">
        <w:t xml:space="preserve"> Origin Software (version 2018</w:t>
      </w:r>
      <w:r w:rsidR="001372CC">
        <w:t xml:space="preserve">) </w:t>
      </w:r>
      <w:r w:rsidR="00CA30A8">
        <w:t>fitting the data with a log-normal function</w:t>
      </w:r>
      <w:r w:rsidRPr="005933F9">
        <w:t>.</w:t>
      </w:r>
    </w:p>
    <w:p w14:paraId="44E53C65" w14:textId="538AADA3" w:rsidR="005933F9" w:rsidRPr="005933F9" w:rsidRDefault="005933F9" w:rsidP="00EB3B58">
      <w:pPr>
        <w:spacing w:line="276" w:lineRule="auto"/>
      </w:pPr>
      <w:r w:rsidRPr="005933F9">
        <w:t xml:space="preserve">The dissolution </w:t>
      </w:r>
      <w:r w:rsidR="00D30A9E">
        <w:t>tests</w:t>
      </w:r>
      <w:r w:rsidRPr="005933F9">
        <w:t xml:space="preserve"> of NIM were </w:t>
      </w:r>
      <w:r w:rsidR="00FE0C8E">
        <w:t>performed</w:t>
      </w:r>
      <w:r w:rsidRPr="005933F9">
        <w:t xml:space="preserve"> with a</w:t>
      </w:r>
      <w:r w:rsidR="001372CC">
        <w:t xml:space="preserve"> Cary 60 </w:t>
      </w:r>
      <w:r w:rsidRPr="005933F9">
        <w:t>UV/vis spectrophotometer at a wavelength of 382 nm.</w:t>
      </w:r>
    </w:p>
    <w:p w14:paraId="294AD8F1" w14:textId="0A3423BB" w:rsidR="005933F9" w:rsidRPr="005933F9" w:rsidRDefault="00D30A9E" w:rsidP="00EB3B58">
      <w:pPr>
        <w:spacing w:line="276" w:lineRule="auto"/>
      </w:pPr>
      <w:r>
        <w:t xml:space="preserve"> To </w:t>
      </w:r>
      <w:r w:rsidR="00094A52">
        <w:t xml:space="preserve">compare the dissolution rates of unprocessed </w:t>
      </w:r>
      <w:r>
        <w:t xml:space="preserve">samples and </w:t>
      </w:r>
      <w:r w:rsidR="00094A52">
        <w:t>coprecipitates</w:t>
      </w:r>
      <w:r>
        <w:t>, 5 mg of the pure drug</w:t>
      </w:r>
      <w:r w:rsidR="00DD58DF">
        <w:t xml:space="preserve"> </w:t>
      </w:r>
      <w:r>
        <w:t>and a quantity of samples that theoretically contained the same amount</w:t>
      </w:r>
      <w:r w:rsidR="00DD58DF">
        <w:t xml:space="preserve"> were weighted</w:t>
      </w:r>
      <w:r w:rsidR="005933F9" w:rsidRPr="005933F9">
        <w:t>. The powders were</w:t>
      </w:r>
      <w:r w:rsidR="00DD58DF">
        <w:t xml:space="preserve"> put in a paper filter with adequate porosity and</w:t>
      </w:r>
      <w:r w:rsidR="005933F9" w:rsidRPr="005933F9">
        <w:t xml:space="preserve"> incubated in 200 mL of phosphate-buffered saline solution (PBS) at pH 7.4, continuously stirred at 200 rpm, and at </w:t>
      </w:r>
      <w:r w:rsidR="001372CC">
        <w:t xml:space="preserve">a temperature of </w:t>
      </w:r>
      <w:r w:rsidR="005933F9" w:rsidRPr="005933F9">
        <w:t>37 °C</w:t>
      </w:r>
      <w:r w:rsidR="001372CC">
        <w:t>.</w:t>
      </w:r>
    </w:p>
    <w:p w14:paraId="2BABE003" w14:textId="5C296423" w:rsidR="000162F0" w:rsidRDefault="005933F9" w:rsidP="00EB3B58">
      <w:pPr>
        <w:spacing w:line="276" w:lineRule="auto"/>
      </w:pPr>
      <w:r w:rsidRPr="005933F9">
        <w:t>The absorbance was measured</w:t>
      </w:r>
      <w:r w:rsidR="00DD58DF">
        <w:t xml:space="preserve"> continuously during </w:t>
      </w:r>
      <w:r w:rsidR="000162F0">
        <w:t xml:space="preserve">the </w:t>
      </w:r>
      <w:r w:rsidR="00DD58DF">
        <w:t>release</w:t>
      </w:r>
      <w:r w:rsidR="000162F0">
        <w:t xml:space="preserve"> using the software kinetics until </w:t>
      </w:r>
      <w:r w:rsidRPr="005933F9">
        <w:t xml:space="preserve">all the </w:t>
      </w:r>
      <w:proofErr w:type="spellStart"/>
      <w:r w:rsidRPr="005933F9">
        <w:t>nimesulide</w:t>
      </w:r>
      <w:proofErr w:type="spellEnd"/>
      <w:r w:rsidRPr="005933F9">
        <w:t xml:space="preserve"> had been released from the particles into the outer PBS </w:t>
      </w:r>
      <w:r w:rsidR="00E16597">
        <w:t>medium.</w:t>
      </w:r>
    </w:p>
    <w:p w14:paraId="37715EC2" w14:textId="3EB9CE30" w:rsidR="005933F9" w:rsidRPr="005933F9" w:rsidRDefault="005933F9" w:rsidP="00EB3B58">
      <w:pPr>
        <w:spacing w:line="276" w:lineRule="auto"/>
      </w:pPr>
      <w:r w:rsidRPr="005933F9">
        <w:t xml:space="preserve"> Following this</w:t>
      </w:r>
      <w:r w:rsidR="001372CC">
        <w:t xml:space="preserve">, to calculate </w:t>
      </w:r>
      <w:r w:rsidR="000162F0">
        <w:t>the final entrapment efficiency of the process</w:t>
      </w:r>
      <w:r w:rsidRPr="005933F9">
        <w:t xml:space="preserve">, the absorbance was related to the concentration of NIM by using a calibration curve. This calibration curve was </w:t>
      </w:r>
      <w:r w:rsidR="00D30A9E">
        <w:t>built</w:t>
      </w:r>
      <w:r w:rsidRPr="005933F9">
        <w:t xml:space="preserve"> using highly diluted standards at various NIM concentrations in PBS with a pH of 7.4.</w:t>
      </w:r>
    </w:p>
    <w:p w14:paraId="134CFDB7" w14:textId="77777777" w:rsidR="005933F9" w:rsidRPr="005933F9" w:rsidRDefault="005933F9" w:rsidP="00272A4B">
      <w:pPr>
        <w:pStyle w:val="CETHeading1"/>
        <w:numPr>
          <w:ilvl w:val="1"/>
          <w:numId w:val="27"/>
        </w:numPr>
      </w:pPr>
      <w:r w:rsidRPr="005933F9">
        <w:t>Results and discussion</w:t>
      </w:r>
    </w:p>
    <w:p w14:paraId="0BAE02AA" w14:textId="77777777" w:rsidR="005933F9" w:rsidRPr="005933F9" w:rsidRDefault="005933F9" w:rsidP="00272A4B">
      <w:pPr>
        <w:pStyle w:val="CETheadingx"/>
      </w:pPr>
      <w:r w:rsidRPr="005933F9">
        <w:t>Micronization of Levan</w:t>
      </w:r>
    </w:p>
    <w:p w14:paraId="15D3762E" w14:textId="5ECE1146" w:rsidR="00CD173A" w:rsidRDefault="005933F9" w:rsidP="00CD173A">
      <w:pPr>
        <w:tabs>
          <w:tab w:val="clear" w:pos="7100"/>
        </w:tabs>
        <w:spacing w:after="120" w:line="276" w:lineRule="auto"/>
        <w:textAlignment w:val="baseline"/>
        <w:rPr>
          <w:rFonts w:eastAsia="SimSun" w:cs="Arial"/>
          <w:color w:val="000000"/>
          <w:szCs w:val="18"/>
          <w:lang w:eastAsia="en-GB"/>
        </w:rPr>
      </w:pPr>
      <w:r w:rsidRPr="005933F9">
        <w:rPr>
          <w:rFonts w:eastAsia="SimSun" w:cs="Arial"/>
          <w:color w:val="000000"/>
          <w:szCs w:val="18"/>
          <w:lang w:val="en-US" w:eastAsia="en-GB"/>
        </w:rPr>
        <w:t xml:space="preserve">The initial phase of the experimentation focused on examining Levan </w:t>
      </w:r>
      <w:proofErr w:type="spellStart"/>
      <w:r w:rsidRPr="005933F9">
        <w:rPr>
          <w:rFonts w:eastAsia="SimSun" w:cs="Arial"/>
          <w:color w:val="000000"/>
          <w:szCs w:val="18"/>
          <w:lang w:val="en-US" w:eastAsia="en-GB"/>
        </w:rPr>
        <w:t>micronization</w:t>
      </w:r>
      <w:proofErr w:type="spellEnd"/>
      <w:r w:rsidRPr="005933F9">
        <w:rPr>
          <w:rFonts w:eastAsia="SimSun" w:cs="Arial"/>
          <w:color w:val="000000"/>
          <w:szCs w:val="18"/>
          <w:lang w:val="en-US" w:eastAsia="en-GB"/>
        </w:rPr>
        <w:t xml:space="preserve"> to explore its potential use as a polymeric carrier for SAS coprecipitation. </w:t>
      </w:r>
      <w:r w:rsidR="00094A52">
        <w:rPr>
          <w:rFonts w:eastAsia="SimSun" w:cs="Arial"/>
          <w:color w:val="000000"/>
          <w:szCs w:val="18"/>
          <w:lang w:val="en-US" w:eastAsia="en-GB"/>
        </w:rPr>
        <w:t xml:space="preserve">In </w:t>
      </w:r>
      <w:r w:rsidR="00112493">
        <w:rPr>
          <w:rFonts w:eastAsia="SimSun" w:cs="Arial"/>
          <w:color w:val="000000"/>
          <w:szCs w:val="18"/>
          <w:lang w:val="en-US" w:eastAsia="en-GB"/>
        </w:rPr>
        <w:t>previous</w:t>
      </w:r>
      <w:r w:rsidR="00094A52">
        <w:rPr>
          <w:rFonts w:eastAsia="SimSun" w:cs="Arial"/>
          <w:color w:val="000000"/>
          <w:szCs w:val="18"/>
          <w:lang w:val="en-US" w:eastAsia="en-GB"/>
        </w:rPr>
        <w:t xml:space="preserve"> work,</w:t>
      </w:r>
      <w:r w:rsidR="00E77B41">
        <w:rPr>
          <w:rFonts w:eastAsia="SimSun" w:cs="Arial"/>
          <w:color w:val="000000"/>
          <w:szCs w:val="18"/>
          <w:lang w:val="en-US" w:eastAsia="en-GB"/>
        </w:rPr>
        <w:t xml:space="preserve"> a preliminary study on </w:t>
      </w:r>
      <w:r w:rsidR="00094A52">
        <w:rPr>
          <w:rFonts w:eastAsia="SimSun" w:cs="Arial"/>
          <w:color w:val="000000"/>
          <w:szCs w:val="18"/>
          <w:lang w:val="en-US" w:eastAsia="en-GB"/>
        </w:rPr>
        <w:t xml:space="preserve">the </w:t>
      </w:r>
      <w:r w:rsidR="00FE0C8E">
        <w:rPr>
          <w:rFonts w:eastAsia="SimSun" w:cs="Arial"/>
          <w:color w:val="000000"/>
          <w:szCs w:val="18"/>
          <w:lang w:val="en-US" w:eastAsia="en-GB"/>
        </w:rPr>
        <w:t>role</w:t>
      </w:r>
      <w:r w:rsidR="00094A52">
        <w:rPr>
          <w:rFonts w:eastAsia="SimSun" w:cs="Arial"/>
          <w:color w:val="000000"/>
          <w:szCs w:val="18"/>
          <w:lang w:val="en-US" w:eastAsia="en-GB"/>
        </w:rPr>
        <w:t xml:space="preserve"> of operating pressure on the </w:t>
      </w:r>
      <w:r w:rsidR="00FE0C8E">
        <w:rPr>
          <w:rFonts w:eastAsia="SimSun" w:cs="Arial"/>
          <w:color w:val="000000"/>
          <w:szCs w:val="18"/>
          <w:lang w:val="en-US" w:eastAsia="en-GB"/>
        </w:rPr>
        <w:t>structure</w:t>
      </w:r>
      <w:r w:rsidR="00094A52">
        <w:rPr>
          <w:rFonts w:eastAsia="SimSun" w:cs="Arial"/>
          <w:color w:val="000000"/>
          <w:szCs w:val="18"/>
          <w:lang w:val="en-US" w:eastAsia="en-GB"/>
        </w:rPr>
        <w:t xml:space="preserve"> and dimensions was investigated to obtain </w:t>
      </w:r>
      <w:proofErr w:type="spellStart"/>
      <w:r w:rsidR="00094A52">
        <w:rPr>
          <w:rFonts w:eastAsia="SimSun" w:cs="Arial"/>
          <w:color w:val="000000"/>
          <w:szCs w:val="18"/>
          <w:lang w:val="en-US" w:eastAsia="en-GB"/>
        </w:rPr>
        <w:t>levan</w:t>
      </w:r>
      <w:proofErr w:type="spellEnd"/>
      <w:r w:rsidR="00094A52">
        <w:rPr>
          <w:rFonts w:eastAsia="SimSun" w:cs="Arial"/>
          <w:color w:val="000000"/>
          <w:szCs w:val="18"/>
          <w:lang w:val="en-US" w:eastAsia="en-GB"/>
        </w:rPr>
        <w:t xml:space="preserve"> in powdered form</w:t>
      </w:r>
      <w:r w:rsidRPr="005933F9">
        <w:rPr>
          <w:rFonts w:eastAsia="SimSun" w:cs="Arial"/>
          <w:color w:val="000000"/>
          <w:szCs w:val="18"/>
          <w:lang w:val="en-US" w:eastAsia="en-GB"/>
        </w:rPr>
        <w:t xml:space="preserve"> </w:t>
      </w:r>
      <w:r w:rsidR="00CD173A">
        <w:rPr>
          <w:rFonts w:eastAsia="SimSun" w:cs="Arial"/>
          <w:color w:val="000000"/>
          <w:szCs w:val="18"/>
          <w:lang w:val="en-US" w:eastAsia="en-GB"/>
        </w:rPr>
        <w:t>(</w:t>
      </w:r>
      <w:r w:rsidR="00CD173A" w:rsidRPr="00CD173A">
        <w:rPr>
          <w:rFonts w:eastAsia="SimSun" w:cs="Arial"/>
          <w:color w:val="000000"/>
          <w:szCs w:val="18"/>
          <w:lang w:eastAsia="en-GB"/>
        </w:rPr>
        <w:t>Mottola</w:t>
      </w:r>
      <w:r w:rsidR="003A6870">
        <w:rPr>
          <w:rFonts w:eastAsia="SimSun" w:cs="Arial"/>
          <w:color w:val="000000"/>
          <w:szCs w:val="18"/>
          <w:lang w:eastAsia="en-GB"/>
        </w:rPr>
        <w:t xml:space="preserve"> </w:t>
      </w:r>
      <w:r w:rsidR="00CD173A">
        <w:rPr>
          <w:rFonts w:eastAsia="SimSun" w:cs="Arial"/>
          <w:color w:val="000000"/>
          <w:szCs w:val="18"/>
          <w:lang w:eastAsia="en-GB"/>
        </w:rPr>
        <w:t>et al., 2024)</w:t>
      </w:r>
      <w:r w:rsidR="00112493">
        <w:rPr>
          <w:rFonts w:eastAsia="SimSun" w:cs="Arial"/>
          <w:color w:val="000000"/>
          <w:szCs w:val="18"/>
          <w:lang w:eastAsia="en-GB"/>
        </w:rPr>
        <w:t>.</w:t>
      </w:r>
    </w:p>
    <w:p w14:paraId="46C6B76C" w14:textId="722FFDB1" w:rsidR="005933F9" w:rsidRPr="005933F9" w:rsidRDefault="005933F9" w:rsidP="00CD173A">
      <w:pPr>
        <w:tabs>
          <w:tab w:val="clear" w:pos="7100"/>
        </w:tabs>
        <w:spacing w:after="120" w:line="276" w:lineRule="auto"/>
        <w:textAlignment w:val="baseline"/>
        <w:rPr>
          <w:rFonts w:eastAsia="SimSun" w:cs="Arial"/>
          <w:szCs w:val="18"/>
          <w:lang w:eastAsia="en-GB"/>
        </w:rPr>
      </w:pPr>
      <w:r w:rsidRPr="005933F9">
        <w:rPr>
          <w:rFonts w:eastAsia="SimSun" w:cs="Arial"/>
          <w:szCs w:val="18"/>
          <w:lang w:eastAsia="en-GB"/>
        </w:rPr>
        <w:t xml:space="preserve">To </w:t>
      </w:r>
      <w:r w:rsidR="00E77B41">
        <w:rPr>
          <w:rFonts w:eastAsia="SimSun" w:cs="Arial"/>
          <w:szCs w:val="18"/>
          <w:lang w:eastAsia="en-GB"/>
        </w:rPr>
        <w:t>understand</w:t>
      </w:r>
      <w:r w:rsidRPr="005933F9">
        <w:rPr>
          <w:rFonts w:eastAsia="SimSun" w:cs="Arial"/>
          <w:szCs w:val="18"/>
          <w:lang w:eastAsia="en-GB"/>
        </w:rPr>
        <w:t xml:space="preserve"> the </w:t>
      </w:r>
      <w:r w:rsidR="00E77B41">
        <w:rPr>
          <w:rFonts w:eastAsia="SimSun" w:cs="Arial"/>
          <w:szCs w:val="18"/>
          <w:lang w:eastAsia="en-GB"/>
        </w:rPr>
        <w:t>effect</w:t>
      </w:r>
      <w:r w:rsidRPr="005933F9">
        <w:rPr>
          <w:rFonts w:eastAsia="SimSun" w:cs="Arial"/>
          <w:szCs w:val="18"/>
          <w:lang w:eastAsia="en-GB"/>
        </w:rPr>
        <w:t xml:space="preserve"> of the SAS technique </w:t>
      </w:r>
      <w:r w:rsidR="00E77B41">
        <w:rPr>
          <w:rFonts w:eastAsia="SimSun" w:cs="Arial"/>
          <w:szCs w:val="18"/>
          <w:lang w:eastAsia="en-GB"/>
        </w:rPr>
        <w:t>in micronizing</w:t>
      </w:r>
      <w:r w:rsidRPr="005933F9">
        <w:rPr>
          <w:rFonts w:eastAsia="SimSun" w:cs="Arial"/>
          <w:szCs w:val="18"/>
          <w:lang w:eastAsia="en-GB"/>
        </w:rPr>
        <w:t xml:space="preserve"> </w:t>
      </w:r>
      <w:proofErr w:type="spellStart"/>
      <w:r w:rsidRPr="005933F9">
        <w:rPr>
          <w:rFonts w:eastAsia="SimSun" w:cs="Arial"/>
          <w:szCs w:val="18"/>
          <w:lang w:eastAsia="en-GB"/>
        </w:rPr>
        <w:t>levan</w:t>
      </w:r>
      <w:proofErr w:type="spellEnd"/>
      <w:r w:rsidRPr="005933F9">
        <w:rPr>
          <w:rFonts w:eastAsia="SimSun" w:cs="Arial"/>
          <w:szCs w:val="18"/>
          <w:lang w:eastAsia="en-GB"/>
        </w:rPr>
        <w:t xml:space="preserve">, </w:t>
      </w:r>
      <w:r w:rsidRPr="005933F9">
        <w:rPr>
          <w:rFonts w:eastAsia="SimSun" w:cs="Arial"/>
          <w:szCs w:val="18"/>
          <w:lang w:val="en-US" w:eastAsia="en-GB"/>
        </w:rPr>
        <w:t xml:space="preserve">Figure 1 illustrates the image of </w:t>
      </w:r>
      <w:proofErr w:type="spellStart"/>
      <w:r w:rsidRPr="005933F9">
        <w:rPr>
          <w:rFonts w:eastAsia="SimSun" w:cs="Arial"/>
          <w:szCs w:val="18"/>
          <w:lang w:val="en-US" w:eastAsia="en-GB"/>
        </w:rPr>
        <w:t>levan</w:t>
      </w:r>
      <w:proofErr w:type="spellEnd"/>
      <w:r w:rsidRPr="005933F9">
        <w:rPr>
          <w:rFonts w:eastAsia="SimSun" w:cs="Arial"/>
          <w:szCs w:val="18"/>
          <w:lang w:val="en-US" w:eastAsia="en-GB"/>
        </w:rPr>
        <w:t xml:space="preserve"> raw </w:t>
      </w:r>
      <w:r w:rsidR="00AA06DA" w:rsidRPr="005933F9">
        <w:rPr>
          <w:rFonts w:eastAsia="SimSun" w:cs="Arial"/>
          <w:szCs w:val="18"/>
          <w:lang w:val="en-US" w:eastAsia="en-GB"/>
        </w:rPr>
        <w:t>polymer,</w:t>
      </w:r>
      <w:r w:rsidR="00E77B41">
        <w:rPr>
          <w:rFonts w:eastAsia="SimSun" w:cs="Arial"/>
          <w:szCs w:val="18"/>
          <w:lang w:val="en-US" w:eastAsia="en-GB"/>
        </w:rPr>
        <w:t xml:space="preserve"> and the particles obtained after a </w:t>
      </w:r>
      <w:proofErr w:type="spellStart"/>
      <w:r w:rsidR="00E77B41">
        <w:rPr>
          <w:rFonts w:eastAsia="SimSun" w:cs="Arial"/>
          <w:szCs w:val="18"/>
          <w:lang w:val="en-US" w:eastAsia="en-GB"/>
        </w:rPr>
        <w:t>micronization</w:t>
      </w:r>
      <w:proofErr w:type="spellEnd"/>
      <w:r w:rsidR="00E77B41">
        <w:rPr>
          <w:rFonts w:eastAsia="SimSun" w:cs="Arial"/>
          <w:szCs w:val="18"/>
          <w:lang w:val="en-US" w:eastAsia="en-GB"/>
        </w:rPr>
        <w:t xml:space="preserve"> experiment.</w:t>
      </w:r>
    </w:p>
    <w:p w14:paraId="50777F5A" w14:textId="1197B0BC" w:rsidR="005933F9" w:rsidRPr="005933F9" w:rsidRDefault="005933F9" w:rsidP="005933F9">
      <w:pPr>
        <w:tabs>
          <w:tab w:val="clear" w:pos="7100"/>
        </w:tabs>
        <w:spacing w:after="120" w:line="360" w:lineRule="auto"/>
        <w:textAlignment w:val="baseline"/>
        <w:rPr>
          <w:rFonts w:ascii="Calibri" w:eastAsia="SimSun" w:hAnsi="Calibri" w:cs="Calibri"/>
          <w:sz w:val="20"/>
          <w:lang w:eastAsia="en-GB"/>
        </w:rPr>
      </w:pPr>
      <w:r w:rsidRPr="005933F9">
        <w:rPr>
          <w:rFonts w:ascii="Calibri" w:eastAsia="SimSun" w:hAnsi="Calibri" w:cs="Calibri"/>
          <w:noProof/>
          <w:sz w:val="20"/>
          <w:lang w:eastAsia="en-GB"/>
        </w:rPr>
        <w:drawing>
          <wp:inline distT="0" distB="0" distL="0" distR="0" wp14:anchorId="39C6AA73" wp14:editId="2ADA3E60">
            <wp:extent cx="2691130" cy="2037080"/>
            <wp:effectExtent l="0" t="0" r="0" b="1270"/>
            <wp:docPr id="1587761061" name="Immagine 20" descr="Immagine che contiene schermata, monocromatico, bianco e nero, natura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schermata, monocromatico, bianco e nero, natura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3F9">
        <w:rPr>
          <w:rFonts w:ascii="Calibri" w:eastAsia="SimSun" w:hAnsi="Calibri" w:cs="Calibri"/>
          <w:sz w:val="20"/>
          <w:lang w:eastAsia="en-GB"/>
        </w:rPr>
        <w:t xml:space="preserve"> </w:t>
      </w:r>
      <w:r w:rsidRPr="005933F9">
        <w:rPr>
          <w:rFonts w:ascii="Calibri" w:eastAsia="SimSun" w:hAnsi="Calibri" w:cs="Calibri"/>
          <w:noProof/>
          <w:sz w:val="20"/>
          <w:lang w:eastAsia="en-GB"/>
        </w:rPr>
        <w:drawing>
          <wp:inline distT="0" distB="0" distL="0" distR="0" wp14:anchorId="1585D2C0" wp14:editId="73153D76">
            <wp:extent cx="2720340" cy="2042795"/>
            <wp:effectExtent l="0" t="0" r="3810" b="0"/>
            <wp:docPr id="328873286" name="Immagine 19" descr="Immagine che contiene barriera corallina, bianco e ner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barriera corallina, bianco e ner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637AF" w14:textId="7C89E37C" w:rsidR="005933F9" w:rsidRDefault="005933F9" w:rsidP="00272A4B">
      <w:pPr>
        <w:pStyle w:val="CETCaption"/>
        <w:rPr>
          <w:rFonts w:eastAsia="SimSun" w:cs="Arial"/>
          <w:bCs/>
          <w:color w:val="000000"/>
          <w:szCs w:val="18"/>
          <w:lang w:val="en-US" w:eastAsia="en-GB"/>
        </w:rPr>
      </w:pPr>
      <w:r w:rsidRPr="00272A4B">
        <w:rPr>
          <w:rFonts w:eastAsia="SimSun" w:cs="Arial"/>
          <w:bCs/>
          <w:color w:val="000000"/>
          <w:szCs w:val="18"/>
          <w:lang w:val="en-US" w:eastAsia="en-GB"/>
        </w:rPr>
        <w:t xml:space="preserve">Figure 1. SEM image of unprocessed </w:t>
      </w:r>
      <w:proofErr w:type="spellStart"/>
      <w:r w:rsidRPr="00272A4B">
        <w:rPr>
          <w:rFonts w:eastAsia="SimSun" w:cs="Arial"/>
          <w:bCs/>
          <w:color w:val="000000"/>
          <w:szCs w:val="18"/>
          <w:lang w:val="en-US" w:eastAsia="en-GB"/>
        </w:rPr>
        <w:t>levan</w:t>
      </w:r>
      <w:proofErr w:type="spellEnd"/>
      <w:r w:rsidR="00EB3B58" w:rsidRPr="00272A4B">
        <w:rPr>
          <w:rFonts w:eastAsia="SimSun" w:cs="Arial"/>
          <w:bCs/>
          <w:color w:val="000000"/>
          <w:szCs w:val="18"/>
          <w:lang w:val="en-US" w:eastAsia="en-GB"/>
        </w:rPr>
        <w:t xml:space="preserve"> and SAS processed </w:t>
      </w:r>
      <w:proofErr w:type="spellStart"/>
      <w:r w:rsidR="00EB3B58" w:rsidRPr="00272A4B">
        <w:rPr>
          <w:rFonts w:eastAsia="SimSun" w:cs="Arial"/>
          <w:bCs/>
          <w:color w:val="000000"/>
          <w:szCs w:val="18"/>
          <w:lang w:val="en-US" w:eastAsia="en-GB"/>
        </w:rPr>
        <w:t>levan</w:t>
      </w:r>
      <w:proofErr w:type="spellEnd"/>
      <w:r w:rsidR="00EB3B58" w:rsidRPr="00272A4B">
        <w:rPr>
          <w:rFonts w:eastAsia="SimSun" w:cs="Arial"/>
          <w:bCs/>
          <w:color w:val="000000"/>
          <w:szCs w:val="18"/>
          <w:lang w:val="en-US" w:eastAsia="en-GB"/>
        </w:rPr>
        <w:t xml:space="preserve"> at 90 bar, 40°C and total concentration of 30mg/</w:t>
      </w:r>
      <w:proofErr w:type="spellStart"/>
      <w:r w:rsidR="00EB3B58" w:rsidRPr="00272A4B">
        <w:rPr>
          <w:rFonts w:eastAsia="SimSun" w:cs="Arial"/>
          <w:bCs/>
          <w:color w:val="000000"/>
          <w:szCs w:val="18"/>
          <w:lang w:val="en-US" w:eastAsia="en-GB"/>
        </w:rPr>
        <w:t>mL</w:t>
      </w:r>
      <w:r w:rsidR="00C53E3D">
        <w:rPr>
          <w:rFonts w:eastAsia="SimSun" w:cs="Arial"/>
          <w:bCs/>
          <w:color w:val="000000"/>
          <w:szCs w:val="18"/>
          <w:lang w:val="en-US" w:eastAsia="en-GB"/>
        </w:rPr>
        <w:t>.</w:t>
      </w:r>
      <w:proofErr w:type="spellEnd"/>
    </w:p>
    <w:p w14:paraId="6BBD0DF0" w14:textId="25AAF610" w:rsidR="00E77B41" w:rsidRPr="00E77B41" w:rsidRDefault="00E77B41" w:rsidP="00272A4B">
      <w:pPr>
        <w:pStyle w:val="CETCaption"/>
        <w:rPr>
          <w:rFonts w:eastAsia="SimSun" w:cs="Arial"/>
          <w:bCs/>
          <w:i w:val="0"/>
          <w:iCs/>
          <w:color w:val="000000"/>
          <w:szCs w:val="18"/>
          <w:lang w:val="en-US" w:eastAsia="en-GB"/>
        </w:rPr>
      </w:pPr>
      <w:r w:rsidRPr="00E77B41">
        <w:rPr>
          <w:rFonts w:eastAsia="SimSun" w:cs="Arial"/>
          <w:i w:val="0"/>
          <w:iCs/>
          <w:szCs w:val="18"/>
          <w:lang w:val="en-US" w:eastAsia="en-GB"/>
        </w:rPr>
        <w:t xml:space="preserve">It can be observed that, after its </w:t>
      </w:r>
      <w:r w:rsidR="00FE0C8E">
        <w:rPr>
          <w:rFonts w:eastAsia="SimSun" w:cs="Arial"/>
          <w:i w:val="0"/>
          <w:iCs/>
          <w:szCs w:val="18"/>
          <w:lang w:val="en-US" w:eastAsia="en-GB"/>
        </w:rPr>
        <w:t>cell-free production</w:t>
      </w:r>
      <w:r w:rsidRPr="00E77B41">
        <w:rPr>
          <w:rFonts w:eastAsia="SimSun" w:cs="Arial"/>
          <w:i w:val="0"/>
          <w:iCs/>
          <w:szCs w:val="18"/>
          <w:lang w:val="en-US" w:eastAsia="en-GB"/>
        </w:rPr>
        <w:t xml:space="preserve">, </w:t>
      </w:r>
      <w:proofErr w:type="spellStart"/>
      <w:r w:rsidRPr="00E77B41">
        <w:rPr>
          <w:rFonts w:eastAsia="SimSun" w:cs="Arial"/>
          <w:i w:val="0"/>
          <w:iCs/>
          <w:szCs w:val="18"/>
          <w:lang w:val="en-US" w:eastAsia="en-GB"/>
        </w:rPr>
        <w:t>levan</w:t>
      </w:r>
      <w:proofErr w:type="spellEnd"/>
      <w:r w:rsidRPr="00E77B41">
        <w:rPr>
          <w:rFonts w:eastAsia="SimSun" w:cs="Arial"/>
          <w:i w:val="0"/>
          <w:iCs/>
          <w:szCs w:val="18"/>
          <w:lang w:val="en-US" w:eastAsia="en-GB"/>
        </w:rPr>
        <w:t xml:space="preserve">  appears as a flakes-shaped</w:t>
      </w:r>
      <w:r w:rsidR="000162F0" w:rsidRPr="00E77B41">
        <w:rPr>
          <w:rFonts w:eastAsia="SimSun" w:cs="Arial"/>
          <w:i w:val="0"/>
          <w:iCs/>
          <w:szCs w:val="18"/>
          <w:lang w:val="en-US" w:eastAsia="en-GB"/>
        </w:rPr>
        <w:t xml:space="preserve"> material</w:t>
      </w:r>
      <w:r w:rsidR="000162F0">
        <w:rPr>
          <w:rFonts w:eastAsia="SimSun" w:cs="Arial"/>
          <w:i w:val="0"/>
          <w:iCs/>
          <w:szCs w:val="18"/>
          <w:lang w:val="en-US" w:eastAsia="en-GB"/>
        </w:rPr>
        <w:t xml:space="preserve"> with dimensions bigger than 100 µm and </w:t>
      </w:r>
      <w:r w:rsidRPr="00E77B41">
        <w:rPr>
          <w:rFonts w:eastAsia="SimSun" w:cs="Arial"/>
          <w:i w:val="0"/>
          <w:iCs/>
          <w:szCs w:val="18"/>
          <w:lang w:val="en-US" w:eastAsia="en-GB"/>
        </w:rPr>
        <w:t>with no homogenous distribution. Starting from the pre</w:t>
      </w:r>
      <w:r w:rsidR="000162F0">
        <w:rPr>
          <w:rFonts w:eastAsia="SimSun" w:cs="Arial"/>
          <w:i w:val="0"/>
          <w:iCs/>
          <w:szCs w:val="18"/>
          <w:lang w:val="en-US" w:eastAsia="en-GB"/>
        </w:rPr>
        <w:t>liminary</w:t>
      </w:r>
      <w:r w:rsidRPr="00E77B41">
        <w:rPr>
          <w:rFonts w:eastAsia="SimSun" w:cs="Arial"/>
          <w:i w:val="0"/>
          <w:iCs/>
          <w:szCs w:val="18"/>
          <w:lang w:val="en-US" w:eastAsia="en-GB"/>
        </w:rPr>
        <w:t xml:space="preserve"> work on the feasibility of the SAS process using the Levan polymers,</w:t>
      </w:r>
      <w:r w:rsidR="000162F0">
        <w:rPr>
          <w:rFonts w:eastAsia="SimSun" w:cs="Arial"/>
          <w:i w:val="0"/>
          <w:iCs/>
          <w:szCs w:val="18"/>
          <w:lang w:val="en-US" w:eastAsia="en-GB"/>
        </w:rPr>
        <w:t xml:space="preserve"> the Micronization test shows that</w:t>
      </w:r>
      <w:r w:rsidRPr="00E77B41">
        <w:rPr>
          <w:rFonts w:eastAsia="SimSun" w:cs="Arial"/>
          <w:i w:val="0"/>
          <w:iCs/>
          <w:szCs w:val="18"/>
          <w:lang w:val="en-US" w:eastAsia="en-GB"/>
        </w:rPr>
        <w:t xml:space="preserve"> the shape of the Levan is different after the process</w:t>
      </w:r>
      <w:r w:rsidR="00E241C6">
        <w:rPr>
          <w:rFonts w:eastAsia="SimSun" w:cs="Arial"/>
          <w:i w:val="0"/>
          <w:iCs/>
          <w:szCs w:val="18"/>
          <w:lang w:val="en-US" w:eastAsia="en-GB"/>
        </w:rPr>
        <w:t>. After</w:t>
      </w:r>
      <w:r w:rsidR="00DE2E8E">
        <w:rPr>
          <w:rFonts w:eastAsia="SimSun" w:cs="Arial"/>
          <w:i w:val="0"/>
          <w:iCs/>
          <w:szCs w:val="18"/>
          <w:lang w:val="en-US" w:eastAsia="en-GB"/>
        </w:rPr>
        <w:t xml:space="preserve"> the process, it obtained</w:t>
      </w:r>
      <w:r w:rsidR="000162F0">
        <w:rPr>
          <w:rFonts w:eastAsia="SimSun" w:cs="Arial"/>
          <w:i w:val="0"/>
          <w:iCs/>
          <w:szCs w:val="18"/>
          <w:lang w:val="en-US" w:eastAsia="en-GB"/>
        </w:rPr>
        <w:t xml:space="preserve"> particles with submicrometric dimensions</w:t>
      </w:r>
      <w:r w:rsidRPr="00E77B41">
        <w:rPr>
          <w:rFonts w:eastAsia="SimSun" w:cs="Arial"/>
          <w:i w:val="0"/>
          <w:iCs/>
          <w:szCs w:val="18"/>
          <w:lang w:val="en-US" w:eastAsia="en-GB"/>
        </w:rPr>
        <w:t>. From these earlier results,</w:t>
      </w:r>
      <w:r w:rsidR="00AA06DA">
        <w:rPr>
          <w:rFonts w:eastAsia="SimSun" w:cs="Arial"/>
          <w:i w:val="0"/>
          <w:iCs/>
          <w:szCs w:val="18"/>
          <w:lang w:val="en-US" w:eastAsia="en-GB"/>
        </w:rPr>
        <w:t xml:space="preserve"> where three different pressure </w:t>
      </w:r>
      <w:r w:rsidR="00DE2E8E">
        <w:rPr>
          <w:rFonts w:eastAsia="SimSun" w:cs="Arial"/>
          <w:i w:val="0"/>
          <w:iCs/>
          <w:szCs w:val="18"/>
          <w:lang w:val="en-US" w:eastAsia="en-GB"/>
        </w:rPr>
        <w:t>conditions were investigated, in particular, 90, 120 and 150 bar,</w:t>
      </w:r>
      <w:r w:rsidRPr="00E77B41">
        <w:rPr>
          <w:rFonts w:eastAsia="SimSun" w:cs="Arial"/>
          <w:i w:val="0"/>
          <w:iCs/>
          <w:szCs w:val="18"/>
          <w:lang w:val="en-US" w:eastAsia="en-GB"/>
        </w:rPr>
        <w:t xml:space="preserve"> the best conditions for micronizing Levan were set in correspondence of a pressure of 90 bar, a temperature of 40 °C, and a total concentration of 30 mg/</w:t>
      </w:r>
      <w:proofErr w:type="spellStart"/>
      <w:r w:rsidRPr="00E77B41">
        <w:rPr>
          <w:rFonts w:eastAsia="SimSun" w:cs="Arial"/>
          <w:i w:val="0"/>
          <w:iCs/>
          <w:szCs w:val="18"/>
          <w:lang w:val="en-US" w:eastAsia="en-GB"/>
        </w:rPr>
        <w:t>mL.</w:t>
      </w:r>
      <w:proofErr w:type="spellEnd"/>
    </w:p>
    <w:p w14:paraId="3792EB33" w14:textId="77777777" w:rsidR="005933F9" w:rsidRPr="005933F9" w:rsidRDefault="005933F9" w:rsidP="00272A4B">
      <w:pPr>
        <w:pStyle w:val="CETheadingx"/>
      </w:pPr>
      <w:r w:rsidRPr="005933F9">
        <w:lastRenderedPageBreak/>
        <w:t xml:space="preserve">Coprecipitation of </w:t>
      </w:r>
      <w:proofErr w:type="spellStart"/>
      <w:r w:rsidRPr="005933F9">
        <w:t>Nimesulide</w:t>
      </w:r>
      <w:proofErr w:type="spellEnd"/>
      <w:r w:rsidRPr="005933F9">
        <w:t xml:space="preserve"> and Levan</w:t>
      </w:r>
    </w:p>
    <w:p w14:paraId="2EC3BE0C" w14:textId="30044937" w:rsidR="003A6870" w:rsidRPr="003A6870" w:rsidRDefault="003A6870" w:rsidP="003A6870">
      <w:pPr>
        <w:tabs>
          <w:tab w:val="clear" w:pos="7100"/>
        </w:tabs>
        <w:spacing w:after="120" w:line="276" w:lineRule="auto"/>
        <w:textAlignment w:val="baseline"/>
        <w:rPr>
          <w:rFonts w:eastAsia="SimSun" w:cs="Arial"/>
          <w:szCs w:val="18"/>
          <w:lang w:eastAsia="en-GB"/>
        </w:rPr>
      </w:pPr>
      <w:r w:rsidRPr="003A6870">
        <w:rPr>
          <w:rFonts w:eastAsia="SimSun" w:cs="Arial"/>
          <w:szCs w:val="18"/>
          <w:lang w:eastAsia="en-GB"/>
        </w:rPr>
        <w:t xml:space="preserve">After the preliminary test to </w:t>
      </w:r>
      <w:r w:rsidR="00EB3B58" w:rsidRPr="003A6870">
        <w:rPr>
          <w:rFonts w:eastAsia="SimSun" w:cs="Arial"/>
          <w:szCs w:val="18"/>
          <w:lang w:eastAsia="en-GB"/>
        </w:rPr>
        <w:t>assess</w:t>
      </w:r>
      <w:r w:rsidRPr="003A6870">
        <w:rPr>
          <w:rFonts w:eastAsia="SimSun" w:cs="Arial"/>
          <w:szCs w:val="18"/>
          <w:lang w:eastAsia="en-GB"/>
        </w:rPr>
        <w:t xml:space="preserve"> the processability of </w:t>
      </w:r>
      <w:proofErr w:type="spellStart"/>
      <w:r w:rsidRPr="003A6870">
        <w:rPr>
          <w:rFonts w:eastAsia="SimSun" w:cs="Arial"/>
          <w:szCs w:val="18"/>
          <w:lang w:eastAsia="en-GB"/>
        </w:rPr>
        <w:t>levan</w:t>
      </w:r>
      <w:proofErr w:type="spellEnd"/>
      <w:r w:rsidR="00AA06DA">
        <w:rPr>
          <w:rFonts w:eastAsia="SimSun" w:cs="Arial"/>
          <w:szCs w:val="18"/>
          <w:lang w:eastAsia="en-GB"/>
        </w:rPr>
        <w:t xml:space="preserve"> </w:t>
      </w:r>
      <w:r w:rsidRPr="003A6870">
        <w:rPr>
          <w:rFonts w:eastAsia="SimSun" w:cs="Arial"/>
          <w:szCs w:val="18"/>
          <w:lang w:eastAsia="en-GB"/>
        </w:rPr>
        <w:t xml:space="preserve">by using </w:t>
      </w:r>
      <w:r>
        <w:rPr>
          <w:rFonts w:eastAsia="SimSun" w:cs="Arial"/>
          <w:szCs w:val="18"/>
          <w:lang w:eastAsia="en-GB"/>
        </w:rPr>
        <w:t xml:space="preserve">the SAS process, also the coprecipitation of </w:t>
      </w:r>
      <w:proofErr w:type="spellStart"/>
      <w:r>
        <w:rPr>
          <w:rFonts w:eastAsia="SimSun" w:cs="Arial"/>
          <w:szCs w:val="18"/>
          <w:lang w:eastAsia="en-GB"/>
        </w:rPr>
        <w:t>levan</w:t>
      </w:r>
      <w:proofErr w:type="spellEnd"/>
      <w:r>
        <w:rPr>
          <w:rFonts w:eastAsia="SimSun" w:cs="Arial"/>
          <w:szCs w:val="18"/>
          <w:lang w:eastAsia="en-GB"/>
        </w:rPr>
        <w:t xml:space="preserve"> with a hydrophobic drug was performed to understand how the </w:t>
      </w:r>
      <w:proofErr w:type="spellStart"/>
      <w:r>
        <w:rPr>
          <w:rFonts w:eastAsia="SimSun" w:cs="Arial"/>
          <w:szCs w:val="18"/>
          <w:lang w:eastAsia="en-GB"/>
        </w:rPr>
        <w:t>levan</w:t>
      </w:r>
      <w:proofErr w:type="spellEnd"/>
      <w:r>
        <w:rPr>
          <w:rFonts w:eastAsia="SimSun" w:cs="Arial"/>
          <w:szCs w:val="18"/>
          <w:lang w:eastAsia="en-GB"/>
        </w:rPr>
        <w:t xml:space="preserve"> can be used as a </w:t>
      </w:r>
      <w:r w:rsidRPr="003A6870">
        <w:rPr>
          <w:rFonts w:eastAsia="SimSun" w:cs="Arial"/>
          <w:szCs w:val="18"/>
          <w:lang w:eastAsia="en-GB"/>
        </w:rPr>
        <w:t>carrier for active compounds</w:t>
      </w:r>
      <w:r w:rsidR="00AA06DA">
        <w:rPr>
          <w:rFonts w:eastAsia="SimSun" w:cs="Arial"/>
          <w:szCs w:val="18"/>
          <w:lang w:eastAsia="en-GB"/>
        </w:rPr>
        <w:t xml:space="preserve"> and how this amphiphilic polymer can modulate the release in </w:t>
      </w:r>
      <w:r w:rsidR="003D6231">
        <w:rPr>
          <w:rFonts w:eastAsia="SimSun" w:cs="Arial"/>
          <w:szCs w:val="18"/>
          <w:lang w:eastAsia="en-GB"/>
        </w:rPr>
        <w:t>aqueous solution.</w:t>
      </w:r>
    </w:p>
    <w:p w14:paraId="1A55C6F7" w14:textId="4CBF4EBD" w:rsidR="005933F9" w:rsidRPr="003A6870" w:rsidRDefault="005933F9" w:rsidP="003A6870">
      <w:pPr>
        <w:tabs>
          <w:tab w:val="clear" w:pos="7100"/>
        </w:tabs>
        <w:spacing w:after="120" w:line="276" w:lineRule="auto"/>
        <w:textAlignment w:val="baseline"/>
        <w:rPr>
          <w:rFonts w:eastAsia="SimSun" w:cs="Arial"/>
          <w:szCs w:val="18"/>
          <w:lang w:eastAsia="en-GB"/>
        </w:rPr>
      </w:pPr>
      <w:r w:rsidRPr="003A6870">
        <w:rPr>
          <w:rFonts w:eastAsia="SimSun" w:cs="Arial"/>
          <w:color w:val="000000"/>
          <w:szCs w:val="18"/>
          <w:lang w:val="en-US" w:eastAsia="en-GB"/>
        </w:rPr>
        <w:t xml:space="preserve">As indicated in Table 1, the </w:t>
      </w:r>
      <w:r w:rsidR="003D6231">
        <w:rPr>
          <w:rFonts w:eastAsia="SimSun" w:cs="Arial"/>
          <w:color w:val="000000"/>
          <w:szCs w:val="18"/>
          <w:lang w:val="en-US" w:eastAsia="en-GB"/>
        </w:rPr>
        <w:t xml:space="preserve">pressure's effect on pure </w:t>
      </w:r>
      <w:proofErr w:type="spellStart"/>
      <w:r w:rsidR="003D6231">
        <w:rPr>
          <w:rFonts w:eastAsia="SimSun" w:cs="Arial"/>
          <w:color w:val="000000"/>
          <w:szCs w:val="18"/>
          <w:lang w:val="en-US" w:eastAsia="en-GB"/>
        </w:rPr>
        <w:t>levan's</w:t>
      </w:r>
      <w:proofErr w:type="spellEnd"/>
      <w:r w:rsidR="003D6231">
        <w:rPr>
          <w:rFonts w:eastAsia="SimSun" w:cs="Arial"/>
          <w:color w:val="000000"/>
          <w:szCs w:val="18"/>
          <w:lang w:val="en-US" w:eastAsia="en-GB"/>
        </w:rPr>
        <w:t xml:space="preserve"> final particle morphology was investigated; after that, a pressure equal to 90 bar was allowed for the particles with a mean diameter equal to 0.4 µm. Then, the best drug-to-polymer ratio was </w:t>
      </w:r>
      <w:r w:rsidR="00FE0C8E">
        <w:rPr>
          <w:rFonts w:eastAsia="SimSun" w:cs="Arial"/>
          <w:color w:val="000000"/>
          <w:szCs w:val="18"/>
          <w:lang w:val="en-US" w:eastAsia="en-GB"/>
        </w:rPr>
        <w:t>studied</w:t>
      </w:r>
      <w:r w:rsidR="003D6231">
        <w:rPr>
          <w:rFonts w:eastAsia="SimSun" w:cs="Arial"/>
          <w:color w:val="000000"/>
          <w:szCs w:val="18"/>
          <w:lang w:val="en-US" w:eastAsia="en-GB"/>
        </w:rPr>
        <w:t xml:space="preserve"> for the SAS coprecipitation </w:t>
      </w:r>
      <w:r w:rsidR="00FE0C8E">
        <w:rPr>
          <w:rFonts w:eastAsia="SimSun" w:cs="Arial"/>
          <w:color w:val="000000"/>
          <w:szCs w:val="18"/>
          <w:lang w:val="en-US" w:eastAsia="en-GB"/>
        </w:rPr>
        <w:t>tests</w:t>
      </w:r>
      <w:r w:rsidR="003D6231">
        <w:rPr>
          <w:rFonts w:eastAsia="SimSun" w:cs="Arial"/>
          <w:color w:val="000000"/>
          <w:szCs w:val="18"/>
          <w:lang w:val="en-US" w:eastAsia="en-GB"/>
        </w:rPr>
        <w:t xml:space="preserve"> by maintaining</w:t>
      </w:r>
      <w:r w:rsidR="00FE0C8E">
        <w:rPr>
          <w:rFonts w:eastAsia="SimSun" w:cs="Arial"/>
          <w:color w:val="000000"/>
          <w:szCs w:val="18"/>
          <w:lang w:val="en-US" w:eastAsia="en-GB"/>
        </w:rPr>
        <w:t xml:space="preserve"> constant</w:t>
      </w:r>
      <w:r w:rsidR="003D6231">
        <w:rPr>
          <w:rFonts w:eastAsia="SimSun" w:cs="Arial"/>
          <w:color w:val="000000"/>
          <w:szCs w:val="18"/>
          <w:lang w:val="en-US" w:eastAsia="en-GB"/>
        </w:rPr>
        <w:t xml:space="preserve"> the total concentration (</w:t>
      </w:r>
      <w:proofErr w:type="spellStart"/>
      <w:r w:rsidR="003D6231">
        <w:rPr>
          <w:rFonts w:eastAsia="SimSun" w:cs="Arial"/>
          <w:color w:val="000000"/>
          <w:szCs w:val="18"/>
          <w:lang w:val="en-US" w:eastAsia="en-GB"/>
        </w:rPr>
        <w:t>Ctot</w:t>
      </w:r>
      <w:proofErr w:type="spellEnd"/>
      <w:r w:rsidR="003D6231">
        <w:rPr>
          <w:rFonts w:eastAsia="SimSun" w:cs="Arial"/>
          <w:color w:val="000000"/>
          <w:szCs w:val="18"/>
          <w:lang w:val="en-US" w:eastAsia="en-GB"/>
        </w:rPr>
        <w:t xml:space="preserve">) of the polymer in the </w:t>
      </w:r>
      <w:r w:rsidR="00FE0C8E">
        <w:rPr>
          <w:rFonts w:eastAsia="SimSun" w:cs="Arial"/>
          <w:color w:val="000000"/>
          <w:szCs w:val="18"/>
          <w:lang w:val="en-US" w:eastAsia="en-GB"/>
        </w:rPr>
        <w:t>solution</w:t>
      </w:r>
      <w:r w:rsidRPr="003A6870">
        <w:rPr>
          <w:rFonts w:eastAsia="SimSun" w:cs="Arial"/>
          <w:color w:val="000000"/>
          <w:szCs w:val="18"/>
          <w:lang w:val="en-US" w:eastAsia="en-GB"/>
        </w:rPr>
        <w:t xml:space="preserve">. </w:t>
      </w:r>
    </w:p>
    <w:p w14:paraId="67BEB77D" w14:textId="66EE6CB5" w:rsidR="005933F9" w:rsidRPr="005933F9" w:rsidRDefault="005933F9" w:rsidP="00272A4B">
      <w:pPr>
        <w:tabs>
          <w:tab w:val="clear" w:pos="7100"/>
        </w:tabs>
        <w:spacing w:before="240" w:after="80" w:line="240" w:lineRule="exact"/>
        <w:textAlignment w:val="baseline"/>
        <w:rPr>
          <w:rFonts w:eastAsia="SimSun" w:cs="Arial"/>
          <w:bCs/>
          <w:i/>
          <w:iCs/>
          <w:color w:val="000000"/>
          <w:szCs w:val="18"/>
          <w:lang w:val="en-US" w:eastAsia="en-GB"/>
        </w:rPr>
      </w:pPr>
      <w:r w:rsidRPr="005933F9">
        <w:rPr>
          <w:rFonts w:eastAsia="SimSun" w:cs="Arial"/>
          <w:bCs/>
          <w:i/>
          <w:iCs/>
          <w:color w:val="000000"/>
          <w:szCs w:val="18"/>
          <w:lang w:val="en-US" w:eastAsia="en-GB"/>
        </w:rPr>
        <w:t xml:space="preserve">Table 1. </w:t>
      </w:r>
      <w:r w:rsidR="00F775CF">
        <w:rPr>
          <w:rFonts w:eastAsia="SimSun" w:cs="Arial"/>
          <w:bCs/>
          <w:i/>
          <w:iCs/>
          <w:color w:val="000000"/>
          <w:szCs w:val="18"/>
          <w:lang w:val="en-US" w:eastAsia="en-GB"/>
        </w:rPr>
        <w:t>P</w:t>
      </w:r>
      <w:r w:rsidRPr="005933F9">
        <w:rPr>
          <w:rFonts w:eastAsia="SimSun" w:cs="Arial"/>
          <w:bCs/>
          <w:i/>
          <w:iCs/>
          <w:color w:val="000000"/>
          <w:szCs w:val="18"/>
          <w:lang w:val="en-US" w:eastAsia="en-GB"/>
        </w:rPr>
        <w:t xml:space="preserve">erformed tests </w:t>
      </w:r>
      <w:r w:rsidR="00981BD2">
        <w:rPr>
          <w:rFonts w:eastAsia="SimSun" w:cs="Arial"/>
          <w:bCs/>
          <w:i/>
          <w:iCs/>
          <w:color w:val="000000"/>
          <w:szCs w:val="18"/>
          <w:lang w:val="en-US" w:eastAsia="en-GB"/>
        </w:rPr>
        <w:t xml:space="preserve">of the pure Levan and </w:t>
      </w:r>
      <w:proofErr w:type="spellStart"/>
      <w:r w:rsidR="00981BD2">
        <w:rPr>
          <w:rFonts w:eastAsia="SimSun" w:cs="Arial"/>
          <w:bCs/>
          <w:i/>
          <w:iCs/>
          <w:color w:val="000000"/>
          <w:szCs w:val="18"/>
          <w:lang w:val="en-US" w:eastAsia="en-GB"/>
        </w:rPr>
        <w:t>NIM:Levan</w:t>
      </w:r>
      <w:proofErr w:type="spellEnd"/>
      <w:r w:rsidR="00981BD2">
        <w:rPr>
          <w:rFonts w:eastAsia="SimSun" w:cs="Arial"/>
          <w:bCs/>
          <w:i/>
          <w:iCs/>
          <w:color w:val="000000"/>
          <w:szCs w:val="18"/>
          <w:lang w:val="en-US" w:eastAsia="en-GB"/>
        </w:rPr>
        <w:t xml:space="preserve"> at fixed </w:t>
      </w:r>
      <w:r w:rsidRPr="005933F9">
        <w:rPr>
          <w:rFonts w:eastAsia="SimSun" w:cs="Arial"/>
          <w:bCs/>
          <w:i/>
          <w:iCs/>
          <w:color w:val="000000"/>
          <w:szCs w:val="18"/>
          <w:lang w:val="en-US" w:eastAsia="en-GB"/>
        </w:rPr>
        <w:t xml:space="preserve"> temperature of 40°C, and total concentration of 30 mg/mL by</w:t>
      </w:r>
      <w:r w:rsidR="00981BD2">
        <w:rPr>
          <w:rFonts w:eastAsia="SimSun" w:cs="Arial"/>
          <w:bCs/>
          <w:i/>
          <w:iCs/>
          <w:color w:val="000000"/>
          <w:szCs w:val="18"/>
          <w:lang w:val="en-US" w:eastAsia="en-GB"/>
        </w:rPr>
        <w:t xml:space="preserve"> </w:t>
      </w:r>
      <w:r w:rsidRPr="005933F9">
        <w:rPr>
          <w:rFonts w:eastAsia="SimSun" w:cs="Arial"/>
          <w:bCs/>
          <w:i/>
          <w:iCs/>
          <w:color w:val="000000"/>
          <w:szCs w:val="18"/>
          <w:lang w:val="en-US" w:eastAsia="en-GB"/>
        </w:rPr>
        <w:t>varying</w:t>
      </w:r>
      <w:r w:rsidR="00981BD2">
        <w:rPr>
          <w:rFonts w:eastAsia="SimSun" w:cs="Arial"/>
          <w:bCs/>
          <w:i/>
          <w:iCs/>
          <w:color w:val="000000"/>
          <w:szCs w:val="18"/>
          <w:lang w:val="en-US" w:eastAsia="en-GB"/>
        </w:rPr>
        <w:t xml:space="preserve"> pressure and</w:t>
      </w:r>
      <w:r w:rsidRPr="005933F9">
        <w:rPr>
          <w:rFonts w:eastAsia="SimSun" w:cs="Arial"/>
          <w:bCs/>
          <w:i/>
          <w:iCs/>
          <w:color w:val="000000"/>
          <w:szCs w:val="18"/>
          <w:lang w:val="en-US" w:eastAsia="en-GB"/>
        </w:rPr>
        <w:t xml:space="preserve"> the </w:t>
      </w:r>
      <w:r w:rsidR="00DE2E8E">
        <w:rPr>
          <w:rFonts w:eastAsia="SimSun" w:cs="Arial"/>
          <w:bCs/>
          <w:i/>
          <w:iCs/>
          <w:color w:val="000000"/>
          <w:szCs w:val="18"/>
          <w:lang w:val="en-US" w:eastAsia="en-GB"/>
        </w:rPr>
        <w:t>drug-to-polymer</w:t>
      </w:r>
      <w:r w:rsidRPr="005933F9">
        <w:rPr>
          <w:rFonts w:eastAsia="SimSun" w:cs="Arial"/>
          <w:bCs/>
          <w:i/>
          <w:iCs/>
          <w:color w:val="000000"/>
          <w:szCs w:val="18"/>
          <w:lang w:val="en-US" w:eastAsia="en-GB"/>
        </w:rPr>
        <w:t xml:space="preserve"> ratio. (ASMP= Agglomerate </w:t>
      </w:r>
      <w:proofErr w:type="spellStart"/>
      <w:r w:rsidRPr="005933F9">
        <w:rPr>
          <w:rFonts w:eastAsia="SimSun" w:cs="Arial"/>
          <w:bCs/>
          <w:i/>
          <w:iCs/>
          <w:color w:val="000000"/>
          <w:szCs w:val="18"/>
          <w:lang w:val="en-US" w:eastAsia="en-GB"/>
        </w:rPr>
        <w:t>submicroparticles</w:t>
      </w:r>
      <w:proofErr w:type="spellEnd"/>
      <w:r w:rsidRPr="005933F9">
        <w:rPr>
          <w:rFonts w:eastAsia="SimSun" w:cs="Arial"/>
          <w:bCs/>
          <w:i/>
          <w:iCs/>
          <w:color w:val="000000"/>
          <w:szCs w:val="18"/>
          <w:lang w:val="en-US" w:eastAsia="en-GB"/>
        </w:rPr>
        <w:t xml:space="preserve">; SMP = </w:t>
      </w:r>
      <w:proofErr w:type="spellStart"/>
      <w:r w:rsidRPr="005933F9">
        <w:rPr>
          <w:rFonts w:eastAsia="SimSun" w:cs="Arial"/>
          <w:bCs/>
          <w:i/>
          <w:iCs/>
          <w:color w:val="000000"/>
          <w:szCs w:val="18"/>
          <w:lang w:val="en-US" w:eastAsia="en-GB"/>
        </w:rPr>
        <w:t>submicroparticles</w:t>
      </w:r>
      <w:proofErr w:type="spellEnd"/>
      <w:r w:rsidRPr="005933F9">
        <w:rPr>
          <w:rFonts w:eastAsia="SimSun" w:cs="Arial"/>
          <w:bCs/>
          <w:i/>
          <w:iCs/>
          <w:color w:val="000000"/>
          <w:szCs w:val="18"/>
          <w:lang w:val="en-US" w:eastAsia="en-GB"/>
        </w:rPr>
        <w:t>).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8"/>
        <w:gridCol w:w="1276"/>
        <w:gridCol w:w="1276"/>
        <w:gridCol w:w="1417"/>
        <w:gridCol w:w="1276"/>
      </w:tblGrid>
      <w:tr w:rsidR="00981BD2" w:rsidRPr="005933F9" w14:paraId="13FC601D" w14:textId="77777777" w:rsidTr="00C265F7">
        <w:tc>
          <w:tcPr>
            <w:tcW w:w="1418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1A92145F" w14:textId="77777777" w:rsidR="00981BD2" w:rsidRPr="005933F9" w:rsidRDefault="00981BD2" w:rsidP="005933F9">
            <w:pPr>
              <w:rPr>
                <w:rFonts w:cs="Arial"/>
                <w:bCs/>
                <w:szCs w:val="18"/>
              </w:rPr>
            </w:pPr>
            <w:r w:rsidRPr="005933F9">
              <w:rPr>
                <w:rFonts w:cs="Arial"/>
                <w:bCs/>
                <w:szCs w:val="18"/>
              </w:rPr>
              <w:t>Test number</w:t>
            </w:r>
          </w:p>
        </w:tc>
        <w:tc>
          <w:tcPr>
            <w:tcW w:w="1276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4B7FBF70" w14:textId="77777777" w:rsidR="00981BD2" w:rsidRDefault="00981BD2" w:rsidP="005933F9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Pressure</w:t>
            </w:r>
          </w:p>
          <w:p w14:paraId="518BDF82" w14:textId="38465C79" w:rsidR="00981BD2" w:rsidRPr="005933F9" w:rsidRDefault="00981BD2" w:rsidP="005933F9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(bar)</w:t>
            </w:r>
          </w:p>
        </w:tc>
        <w:tc>
          <w:tcPr>
            <w:tcW w:w="1276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0B1439F7" w14:textId="7CA7E17F" w:rsidR="00981BD2" w:rsidRDefault="00981BD2" w:rsidP="005933F9">
            <w:pPr>
              <w:rPr>
                <w:rFonts w:cs="Arial"/>
                <w:bCs/>
                <w:szCs w:val="18"/>
              </w:rPr>
            </w:pPr>
            <w:r w:rsidRPr="005933F9">
              <w:rPr>
                <w:rFonts w:cs="Arial"/>
                <w:bCs/>
                <w:szCs w:val="18"/>
              </w:rPr>
              <w:t>Drug-to-polymer ratio</w:t>
            </w:r>
          </w:p>
          <w:p w14:paraId="712451CE" w14:textId="669E2076" w:rsidR="00981BD2" w:rsidRPr="005933F9" w:rsidRDefault="00981BD2" w:rsidP="005933F9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w:w</w:t>
            </w:r>
          </w:p>
        </w:tc>
        <w:tc>
          <w:tcPr>
            <w:tcW w:w="1417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19634F1D" w14:textId="77777777" w:rsidR="00981BD2" w:rsidRPr="005933F9" w:rsidRDefault="00981BD2" w:rsidP="005933F9">
            <w:pPr>
              <w:rPr>
                <w:rFonts w:cs="Arial"/>
                <w:bCs/>
                <w:szCs w:val="18"/>
              </w:rPr>
            </w:pPr>
            <w:r w:rsidRPr="005933F9">
              <w:rPr>
                <w:rFonts w:cs="Arial"/>
                <w:bCs/>
                <w:szCs w:val="18"/>
              </w:rPr>
              <w:t xml:space="preserve"> Morphology</w:t>
            </w:r>
          </w:p>
        </w:tc>
        <w:tc>
          <w:tcPr>
            <w:tcW w:w="1276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11DEC801" w14:textId="77777777" w:rsidR="00981BD2" w:rsidRPr="005933F9" w:rsidRDefault="00981BD2" w:rsidP="005933F9">
            <w:pPr>
              <w:tabs>
                <w:tab w:val="clear" w:pos="7100"/>
              </w:tabs>
              <w:spacing w:after="120" w:line="360" w:lineRule="auto"/>
              <w:jc w:val="center"/>
              <w:textAlignment w:val="baseline"/>
              <w:rPr>
                <w:rFonts w:eastAsia="SimSun" w:cs="Arial"/>
                <w:bCs/>
                <w:color w:val="000000"/>
                <w:szCs w:val="18"/>
                <w:lang w:eastAsia="en-GB"/>
              </w:rPr>
            </w:pPr>
            <w:r w:rsidRPr="005933F9">
              <w:rPr>
                <w:rFonts w:eastAsia="SimSun" w:cs="Arial"/>
                <w:bCs/>
                <w:color w:val="000000"/>
                <w:szCs w:val="18"/>
                <w:lang w:val="it-IT" w:eastAsia="en-GB"/>
              </w:rPr>
              <w:t>m.d. ± s.d.</w:t>
            </w:r>
          </w:p>
          <w:p w14:paraId="2AAB983F" w14:textId="77777777" w:rsidR="00981BD2" w:rsidRPr="005933F9" w:rsidRDefault="00981BD2" w:rsidP="005933F9">
            <w:pPr>
              <w:ind w:right="-1"/>
              <w:jc w:val="center"/>
              <w:rPr>
                <w:rFonts w:cs="Arial"/>
                <w:bCs/>
                <w:szCs w:val="18"/>
              </w:rPr>
            </w:pPr>
            <w:r w:rsidRPr="005933F9">
              <w:rPr>
                <w:rFonts w:cs="Arial"/>
                <w:bCs/>
                <w:color w:val="000000"/>
                <w:szCs w:val="18"/>
                <w:lang w:val="it-IT" w:eastAsia="en-GB"/>
              </w:rPr>
              <w:t>(</w:t>
            </w:r>
            <w:r w:rsidRPr="005933F9">
              <w:rPr>
                <w:rFonts w:cs="Arial"/>
                <w:bCs/>
                <w:color w:val="000000"/>
                <w:szCs w:val="18"/>
                <w:lang w:val="en-US" w:eastAsia="en-GB"/>
              </w:rPr>
              <w:t>μ</w:t>
            </w:r>
            <w:r w:rsidRPr="005933F9">
              <w:rPr>
                <w:rFonts w:cs="Arial"/>
                <w:bCs/>
                <w:color w:val="000000"/>
                <w:szCs w:val="18"/>
                <w:lang w:val="it-IT" w:eastAsia="en-GB"/>
              </w:rPr>
              <w:t>m)</w:t>
            </w:r>
          </w:p>
        </w:tc>
      </w:tr>
      <w:tr w:rsidR="00981BD2" w:rsidRPr="005933F9" w14:paraId="3A00D46D" w14:textId="77777777" w:rsidTr="00DF30EC">
        <w:tc>
          <w:tcPr>
            <w:tcW w:w="1418" w:type="dxa"/>
            <w:shd w:val="clear" w:color="auto" w:fill="FFFFFF"/>
          </w:tcPr>
          <w:p w14:paraId="53FFE6FD" w14:textId="77777777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14:paraId="70DDF372" w14:textId="514F2C02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90</w:t>
            </w:r>
          </w:p>
        </w:tc>
        <w:tc>
          <w:tcPr>
            <w:tcW w:w="1276" w:type="dxa"/>
            <w:shd w:val="clear" w:color="auto" w:fill="FFFFFF"/>
          </w:tcPr>
          <w:p w14:paraId="1B4D696E" w14:textId="647DC782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0:1</w:t>
            </w:r>
          </w:p>
        </w:tc>
        <w:tc>
          <w:tcPr>
            <w:tcW w:w="1417" w:type="dxa"/>
            <w:shd w:val="clear" w:color="auto" w:fill="FFFFFF"/>
          </w:tcPr>
          <w:p w14:paraId="03D25B8F" w14:textId="77777777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SMP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0F3213" w14:textId="021EF8FA" w:rsidR="00981BD2" w:rsidRPr="006A5469" w:rsidRDefault="00981BD2" w:rsidP="00981BD2">
            <w:pPr>
              <w:ind w:right="-1"/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color w:val="000000"/>
                <w:szCs w:val="18"/>
                <w:lang w:val="en-US" w:eastAsia="en-GB"/>
              </w:rPr>
              <w:t>0.37±0.29</w:t>
            </w:r>
          </w:p>
        </w:tc>
      </w:tr>
      <w:tr w:rsidR="00981BD2" w:rsidRPr="005933F9" w14:paraId="5FB56E5B" w14:textId="77777777" w:rsidTr="00DF30EC">
        <w:tc>
          <w:tcPr>
            <w:tcW w:w="1418" w:type="dxa"/>
            <w:shd w:val="clear" w:color="auto" w:fill="FFFFFF"/>
          </w:tcPr>
          <w:p w14:paraId="4B212B2D" w14:textId="2318C863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307C91F2" w14:textId="2E23FEDA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120</w:t>
            </w:r>
          </w:p>
        </w:tc>
        <w:tc>
          <w:tcPr>
            <w:tcW w:w="1276" w:type="dxa"/>
            <w:shd w:val="clear" w:color="auto" w:fill="FFFFFF"/>
          </w:tcPr>
          <w:p w14:paraId="52824293" w14:textId="0248AD9D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0:1</w:t>
            </w:r>
          </w:p>
        </w:tc>
        <w:tc>
          <w:tcPr>
            <w:tcW w:w="1417" w:type="dxa"/>
            <w:shd w:val="clear" w:color="auto" w:fill="FFFFFF"/>
          </w:tcPr>
          <w:p w14:paraId="6A40EA73" w14:textId="2CF43C08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SMP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76F30F1" w14:textId="79423302" w:rsidR="00981BD2" w:rsidRPr="006A5469" w:rsidRDefault="00981BD2" w:rsidP="00981BD2">
            <w:pPr>
              <w:ind w:right="-1"/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color w:val="000000"/>
                <w:szCs w:val="18"/>
                <w:lang w:val="en-US" w:eastAsia="en-GB"/>
              </w:rPr>
              <w:t>0.31±0.23</w:t>
            </w:r>
          </w:p>
        </w:tc>
      </w:tr>
      <w:tr w:rsidR="00981BD2" w:rsidRPr="005933F9" w14:paraId="1FA7D972" w14:textId="77777777" w:rsidTr="00DF30EC">
        <w:tc>
          <w:tcPr>
            <w:tcW w:w="1418" w:type="dxa"/>
            <w:shd w:val="clear" w:color="auto" w:fill="FFFFFF"/>
          </w:tcPr>
          <w:p w14:paraId="2168C575" w14:textId="08CC3125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14:paraId="7AB1E7BE" w14:textId="32AA74D1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150</w:t>
            </w:r>
          </w:p>
        </w:tc>
        <w:tc>
          <w:tcPr>
            <w:tcW w:w="1276" w:type="dxa"/>
            <w:shd w:val="clear" w:color="auto" w:fill="FFFFFF"/>
          </w:tcPr>
          <w:p w14:paraId="4B6BE674" w14:textId="5D387F91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0:1</w:t>
            </w:r>
          </w:p>
        </w:tc>
        <w:tc>
          <w:tcPr>
            <w:tcW w:w="1417" w:type="dxa"/>
            <w:shd w:val="clear" w:color="auto" w:fill="FFFFFF"/>
          </w:tcPr>
          <w:p w14:paraId="0574DEE3" w14:textId="3CFD7B8A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SMP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F976FC5" w14:textId="7BABC9AA" w:rsidR="00981BD2" w:rsidRPr="006A5469" w:rsidRDefault="00981BD2" w:rsidP="00981BD2">
            <w:pPr>
              <w:ind w:right="-1"/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color w:val="000000"/>
                <w:szCs w:val="18"/>
                <w:lang w:val="en-US" w:eastAsia="en-GB"/>
              </w:rPr>
              <w:t>0.28±0.26</w:t>
            </w:r>
          </w:p>
        </w:tc>
      </w:tr>
      <w:tr w:rsidR="00981BD2" w:rsidRPr="005933F9" w14:paraId="1510D64B" w14:textId="77777777" w:rsidTr="00C265F7">
        <w:tc>
          <w:tcPr>
            <w:tcW w:w="1418" w:type="dxa"/>
            <w:shd w:val="clear" w:color="auto" w:fill="FFFFFF"/>
          </w:tcPr>
          <w:p w14:paraId="4CE2250D" w14:textId="5DDD2408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14:paraId="28612AB7" w14:textId="332DCE18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90</w:t>
            </w:r>
          </w:p>
        </w:tc>
        <w:tc>
          <w:tcPr>
            <w:tcW w:w="1276" w:type="dxa"/>
            <w:shd w:val="clear" w:color="auto" w:fill="FFFFFF"/>
          </w:tcPr>
          <w:p w14:paraId="1AB43A31" w14:textId="40BB9524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1:5</w:t>
            </w:r>
          </w:p>
        </w:tc>
        <w:tc>
          <w:tcPr>
            <w:tcW w:w="1417" w:type="dxa"/>
            <w:shd w:val="clear" w:color="auto" w:fill="FFFFFF"/>
          </w:tcPr>
          <w:p w14:paraId="0F2934CF" w14:textId="77777777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ASMP</w:t>
            </w:r>
          </w:p>
        </w:tc>
        <w:tc>
          <w:tcPr>
            <w:tcW w:w="1276" w:type="dxa"/>
            <w:shd w:val="clear" w:color="auto" w:fill="FFFFFF"/>
          </w:tcPr>
          <w:p w14:paraId="3ADB95DB" w14:textId="688DC6DA" w:rsidR="00981BD2" w:rsidRPr="006A5469" w:rsidRDefault="00981BD2" w:rsidP="00981BD2">
            <w:pPr>
              <w:ind w:right="-1"/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-</w:t>
            </w:r>
          </w:p>
        </w:tc>
      </w:tr>
      <w:tr w:rsidR="00981BD2" w:rsidRPr="005933F9" w14:paraId="5C129715" w14:textId="77777777" w:rsidTr="00C265F7">
        <w:tc>
          <w:tcPr>
            <w:tcW w:w="1418" w:type="dxa"/>
            <w:shd w:val="clear" w:color="auto" w:fill="FFFFFF"/>
          </w:tcPr>
          <w:p w14:paraId="41F9A5A8" w14:textId="5B09C579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14:paraId="3967A397" w14:textId="100F2A6A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90</w:t>
            </w:r>
          </w:p>
        </w:tc>
        <w:tc>
          <w:tcPr>
            <w:tcW w:w="1276" w:type="dxa"/>
            <w:shd w:val="clear" w:color="auto" w:fill="FFFFFF"/>
          </w:tcPr>
          <w:p w14:paraId="2154F088" w14:textId="23B4B05F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1:10</w:t>
            </w:r>
          </w:p>
        </w:tc>
        <w:tc>
          <w:tcPr>
            <w:tcW w:w="1417" w:type="dxa"/>
            <w:shd w:val="clear" w:color="auto" w:fill="FFFFFF"/>
          </w:tcPr>
          <w:p w14:paraId="529C445B" w14:textId="77777777" w:rsidR="00981BD2" w:rsidRPr="006A5469" w:rsidRDefault="00981BD2" w:rsidP="00981BD2">
            <w:pPr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SMP</w:t>
            </w:r>
          </w:p>
        </w:tc>
        <w:tc>
          <w:tcPr>
            <w:tcW w:w="1276" w:type="dxa"/>
            <w:shd w:val="clear" w:color="auto" w:fill="FFFFFF"/>
          </w:tcPr>
          <w:p w14:paraId="4FF744AE" w14:textId="30CAA0FF" w:rsidR="00981BD2" w:rsidRPr="006A5469" w:rsidRDefault="00981BD2" w:rsidP="00981BD2">
            <w:pPr>
              <w:ind w:right="-1"/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0.</w:t>
            </w:r>
            <w:r w:rsidR="002C1E33" w:rsidRPr="006A5469">
              <w:rPr>
                <w:rFonts w:cs="Arial"/>
                <w:bCs/>
                <w:szCs w:val="18"/>
              </w:rPr>
              <w:t>55</w:t>
            </w:r>
            <w:r w:rsidRPr="006A5469">
              <w:rPr>
                <w:rFonts w:eastAsia="SimSun" w:cs="Arial"/>
                <w:bCs/>
                <w:color w:val="000000"/>
                <w:szCs w:val="18"/>
                <w:lang w:val="it-IT" w:eastAsia="en-GB"/>
              </w:rPr>
              <w:t>± 0.</w:t>
            </w:r>
            <w:r w:rsidR="006A5469" w:rsidRPr="006A5469">
              <w:rPr>
                <w:rFonts w:eastAsia="SimSun" w:cs="Arial"/>
                <w:bCs/>
                <w:color w:val="000000"/>
                <w:szCs w:val="18"/>
                <w:lang w:val="it-IT" w:eastAsia="en-GB"/>
              </w:rPr>
              <w:t>3</w:t>
            </w:r>
          </w:p>
        </w:tc>
      </w:tr>
      <w:tr w:rsidR="00981BD2" w:rsidRPr="005933F9" w14:paraId="6F95E2F2" w14:textId="77777777" w:rsidTr="00C265F7">
        <w:tc>
          <w:tcPr>
            <w:tcW w:w="1418" w:type="dxa"/>
            <w:tcBorders>
              <w:bottom w:val="single" w:sz="12" w:space="0" w:color="008000"/>
            </w:tcBorders>
            <w:shd w:val="clear" w:color="auto" w:fill="FFFFFF"/>
          </w:tcPr>
          <w:p w14:paraId="503AF298" w14:textId="3F51ABAA" w:rsidR="00981BD2" w:rsidRPr="006A5469" w:rsidRDefault="00981BD2" w:rsidP="00981BD2">
            <w:pPr>
              <w:ind w:right="-1"/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12" w:space="0" w:color="008000"/>
            </w:tcBorders>
            <w:shd w:val="clear" w:color="auto" w:fill="FFFFFF"/>
          </w:tcPr>
          <w:p w14:paraId="6E69A4FF" w14:textId="55F5F7B8" w:rsidR="00981BD2" w:rsidRPr="006A5469" w:rsidRDefault="00981BD2" w:rsidP="00981BD2">
            <w:pPr>
              <w:ind w:right="-1"/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90</w:t>
            </w:r>
          </w:p>
        </w:tc>
        <w:tc>
          <w:tcPr>
            <w:tcW w:w="1276" w:type="dxa"/>
            <w:tcBorders>
              <w:bottom w:val="single" w:sz="12" w:space="0" w:color="008000"/>
            </w:tcBorders>
            <w:shd w:val="clear" w:color="auto" w:fill="FFFFFF"/>
          </w:tcPr>
          <w:p w14:paraId="007995A0" w14:textId="3243BE95" w:rsidR="00981BD2" w:rsidRPr="006A5469" w:rsidRDefault="00981BD2" w:rsidP="00981BD2">
            <w:pPr>
              <w:ind w:right="-1"/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1:20</w:t>
            </w:r>
          </w:p>
        </w:tc>
        <w:tc>
          <w:tcPr>
            <w:tcW w:w="1417" w:type="dxa"/>
            <w:tcBorders>
              <w:bottom w:val="single" w:sz="12" w:space="0" w:color="008000"/>
            </w:tcBorders>
            <w:shd w:val="clear" w:color="auto" w:fill="FFFFFF"/>
          </w:tcPr>
          <w:p w14:paraId="536DDDE3" w14:textId="77777777" w:rsidR="00981BD2" w:rsidRPr="006A5469" w:rsidRDefault="00981BD2" w:rsidP="00981BD2">
            <w:pPr>
              <w:ind w:right="-1"/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SMP</w:t>
            </w:r>
          </w:p>
        </w:tc>
        <w:tc>
          <w:tcPr>
            <w:tcW w:w="1276" w:type="dxa"/>
            <w:tcBorders>
              <w:bottom w:val="single" w:sz="12" w:space="0" w:color="008000"/>
            </w:tcBorders>
            <w:shd w:val="clear" w:color="auto" w:fill="FFFFFF"/>
          </w:tcPr>
          <w:p w14:paraId="38E6213D" w14:textId="7D617446" w:rsidR="00981BD2" w:rsidRPr="006A5469" w:rsidRDefault="00981BD2" w:rsidP="00981BD2">
            <w:pPr>
              <w:ind w:right="-1"/>
              <w:rPr>
                <w:rFonts w:cs="Arial"/>
                <w:bCs/>
                <w:szCs w:val="18"/>
              </w:rPr>
            </w:pPr>
            <w:r w:rsidRPr="006A5469">
              <w:rPr>
                <w:rFonts w:cs="Arial"/>
                <w:bCs/>
                <w:szCs w:val="18"/>
              </w:rPr>
              <w:t>0.</w:t>
            </w:r>
            <w:r w:rsidR="00DD3A36" w:rsidRPr="006A5469">
              <w:rPr>
                <w:rFonts w:cs="Arial"/>
                <w:bCs/>
                <w:szCs w:val="18"/>
              </w:rPr>
              <w:t>38</w:t>
            </w:r>
            <w:r w:rsidR="00DD3A36" w:rsidRPr="006A5469">
              <w:rPr>
                <w:rFonts w:eastAsia="SimSun" w:cs="Arial"/>
                <w:bCs/>
                <w:color w:val="000000"/>
                <w:szCs w:val="18"/>
                <w:lang w:val="it-IT" w:eastAsia="en-GB"/>
              </w:rPr>
              <w:t>± 0.15</w:t>
            </w:r>
          </w:p>
        </w:tc>
      </w:tr>
    </w:tbl>
    <w:p w14:paraId="64304A2F" w14:textId="77777777" w:rsidR="005933F9" w:rsidRPr="005933F9" w:rsidRDefault="005933F9" w:rsidP="005933F9">
      <w:pPr>
        <w:tabs>
          <w:tab w:val="clear" w:pos="7100"/>
        </w:tabs>
        <w:spacing w:after="120" w:line="360" w:lineRule="auto"/>
        <w:textAlignment w:val="baseline"/>
        <w:rPr>
          <w:rFonts w:eastAsia="SimSun" w:cs="Arial"/>
          <w:sz w:val="20"/>
          <w:lang w:eastAsia="en-GB"/>
        </w:rPr>
      </w:pPr>
    </w:p>
    <w:p w14:paraId="2B9AD90C" w14:textId="21FF8840" w:rsidR="005933F9" w:rsidRDefault="00C53E3D" w:rsidP="005933F9">
      <w:pPr>
        <w:tabs>
          <w:tab w:val="clear" w:pos="7100"/>
        </w:tabs>
        <w:spacing w:after="120" w:line="360" w:lineRule="auto"/>
        <w:textAlignment w:val="baseline"/>
        <w:rPr>
          <w:rFonts w:eastAsia="SimSun" w:cs="Arial"/>
          <w:szCs w:val="18"/>
          <w:lang w:eastAsia="en-GB"/>
        </w:rPr>
      </w:pPr>
      <w:r>
        <w:rPr>
          <w:rFonts w:eastAsia="SimSun" w:cs="Arial"/>
          <w:szCs w:val="18"/>
          <w:lang w:eastAsia="en-GB"/>
        </w:rPr>
        <w:t xml:space="preserve">The </w:t>
      </w:r>
      <w:r w:rsidR="005933F9" w:rsidRPr="00F775CF">
        <w:rPr>
          <w:rFonts w:eastAsia="SimSun" w:cs="Arial"/>
          <w:szCs w:val="18"/>
          <w:lang w:eastAsia="en-GB"/>
        </w:rPr>
        <w:t xml:space="preserve">SEM images of the particles </w:t>
      </w:r>
      <w:r>
        <w:rPr>
          <w:rFonts w:eastAsia="SimSun" w:cs="Arial"/>
          <w:szCs w:val="18"/>
          <w:lang w:eastAsia="en-GB"/>
        </w:rPr>
        <w:t xml:space="preserve">obtained from the different tests </w:t>
      </w:r>
      <w:r w:rsidR="005933F9" w:rsidRPr="00F775CF">
        <w:rPr>
          <w:rFonts w:eastAsia="SimSun" w:cs="Arial"/>
          <w:szCs w:val="18"/>
          <w:lang w:eastAsia="en-GB"/>
        </w:rPr>
        <w:t>are reported in Figure 2:</w:t>
      </w:r>
    </w:p>
    <w:p w14:paraId="513BA803" w14:textId="77777777" w:rsidR="00C53E3D" w:rsidRPr="00F775CF" w:rsidRDefault="00C53E3D" w:rsidP="005933F9">
      <w:pPr>
        <w:tabs>
          <w:tab w:val="clear" w:pos="7100"/>
        </w:tabs>
        <w:spacing w:after="120" w:line="360" w:lineRule="auto"/>
        <w:textAlignment w:val="baseline"/>
        <w:rPr>
          <w:rFonts w:eastAsia="SimSun" w:cs="Arial"/>
          <w:szCs w:val="18"/>
          <w:lang w:eastAsia="en-GB"/>
        </w:rPr>
      </w:pPr>
    </w:p>
    <w:tbl>
      <w:tblPr>
        <w:tblStyle w:val="Tabellasemplice4"/>
        <w:tblW w:w="8595" w:type="dxa"/>
        <w:tblLook w:val="04A0" w:firstRow="1" w:lastRow="0" w:firstColumn="1" w:lastColumn="0" w:noHBand="0" w:noVBand="1"/>
      </w:tblPr>
      <w:tblGrid>
        <w:gridCol w:w="4423"/>
        <w:gridCol w:w="4364"/>
      </w:tblGrid>
      <w:tr w:rsidR="005933F9" w:rsidRPr="005933F9" w14:paraId="5C0A8AAD" w14:textId="77777777" w:rsidTr="00484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0" w:type="dxa"/>
          </w:tcPr>
          <w:p w14:paraId="105B9625" w14:textId="57AA1B4A" w:rsidR="005933F9" w:rsidRPr="00EB3B58" w:rsidRDefault="005933F9" w:rsidP="005933F9">
            <w:pPr>
              <w:tabs>
                <w:tab w:val="clear" w:pos="7100"/>
              </w:tabs>
              <w:spacing w:after="120" w:line="360" w:lineRule="auto"/>
              <w:textAlignment w:val="baseline"/>
              <w:rPr>
                <w:rFonts w:ascii="Calibri" w:eastAsia="SimSun" w:hAnsi="Calibri" w:cs="Calibri"/>
                <w:color w:val="000000"/>
                <w:sz w:val="20"/>
                <w:lang w:val="it-IT" w:eastAsia="en-GB"/>
              </w:rPr>
            </w:pPr>
            <w:r w:rsidRPr="005933F9">
              <w:rPr>
                <w:rFonts w:ascii="Calibri" w:eastAsia="SimSun" w:hAnsi="Calibri" w:cs="Calibri"/>
                <w:noProof/>
                <w:color w:val="000000"/>
                <w:sz w:val="20"/>
                <w:lang w:val="it-IT" w:eastAsia="en-GB"/>
              </w:rPr>
              <w:drawing>
                <wp:inline distT="0" distB="0" distL="0" distR="0" wp14:anchorId="49F2C27A" wp14:editId="76CA9FE1">
                  <wp:extent cx="2700000" cy="2028044"/>
                  <wp:effectExtent l="0" t="0" r="5715" b="0"/>
                  <wp:docPr id="1412026930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2028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5" w:type="dxa"/>
          </w:tcPr>
          <w:p w14:paraId="61B79CE3" w14:textId="631ACC20" w:rsidR="005933F9" w:rsidRPr="005933F9" w:rsidRDefault="005933F9" w:rsidP="00C53E3D">
            <w:pPr>
              <w:tabs>
                <w:tab w:val="clear" w:pos="7100"/>
              </w:tabs>
              <w:spacing w:after="120" w:line="36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Calibri"/>
                <w:sz w:val="20"/>
              </w:rPr>
            </w:pPr>
            <w:r w:rsidRPr="005933F9">
              <w:rPr>
                <w:rFonts w:ascii="Calibri" w:eastAsia="SimSun" w:hAnsi="Calibri" w:cs="Calibri"/>
                <w:noProof/>
                <w:sz w:val="20"/>
                <w:lang w:val="it-IT"/>
              </w:rPr>
              <w:drawing>
                <wp:inline distT="0" distB="0" distL="0" distR="0" wp14:anchorId="011B9B0A" wp14:editId="21A8220D">
                  <wp:extent cx="2700000" cy="2023536"/>
                  <wp:effectExtent l="0" t="0" r="5715" b="0"/>
                  <wp:docPr id="380151981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202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3F9" w:rsidRPr="005933F9" w14:paraId="15367024" w14:textId="77777777" w:rsidTr="00484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0" w:type="dxa"/>
            <w:shd w:val="clear" w:color="auto" w:fill="FFFFFF" w:themeFill="background1"/>
          </w:tcPr>
          <w:p w14:paraId="1B77035D" w14:textId="77777777" w:rsidR="005933F9" w:rsidRPr="00EB3B58" w:rsidRDefault="005933F9" w:rsidP="00C53E3D">
            <w:pPr>
              <w:tabs>
                <w:tab w:val="clear" w:pos="7100"/>
              </w:tabs>
              <w:spacing w:after="120" w:line="360" w:lineRule="auto"/>
              <w:jc w:val="center"/>
              <w:textAlignment w:val="baseline"/>
              <w:rPr>
                <w:rFonts w:eastAsia="SimSun" w:cs="Arial"/>
                <w:color w:val="000000"/>
                <w:sz w:val="20"/>
                <w:lang w:eastAsia="en-GB"/>
              </w:rPr>
            </w:pPr>
            <w:r w:rsidRPr="00EB3B58">
              <w:rPr>
                <w:rFonts w:eastAsia="SimSun" w:cs="Arial"/>
                <w:color w:val="000000"/>
                <w:sz w:val="20"/>
                <w:lang w:eastAsia="en-GB"/>
              </w:rPr>
              <w:t>(</w:t>
            </w:r>
            <w:r w:rsidRPr="00EB3B58">
              <w:rPr>
                <w:rFonts w:eastAsia="SimSun" w:cs="Arial"/>
                <w:sz w:val="20"/>
                <w:lang w:eastAsia="en-GB"/>
              </w:rPr>
              <w:t>a)</w:t>
            </w:r>
          </w:p>
        </w:tc>
        <w:tc>
          <w:tcPr>
            <w:tcW w:w="4305" w:type="dxa"/>
            <w:shd w:val="clear" w:color="auto" w:fill="FFFFFF" w:themeFill="background1"/>
          </w:tcPr>
          <w:p w14:paraId="3FC8CB92" w14:textId="7E08DE15" w:rsidR="005933F9" w:rsidRPr="00EB3B58" w:rsidRDefault="005933F9" w:rsidP="00272A4B">
            <w:pPr>
              <w:tabs>
                <w:tab w:val="clear" w:pos="7100"/>
              </w:tabs>
              <w:spacing w:after="120"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b/>
                <w:bCs/>
                <w:color w:val="000000"/>
                <w:sz w:val="20"/>
                <w:lang w:eastAsia="en-GB"/>
              </w:rPr>
            </w:pPr>
            <w:r w:rsidRPr="00EB3B58">
              <w:rPr>
                <w:rFonts w:eastAsia="SimSun" w:cs="Arial"/>
                <w:b/>
                <w:bCs/>
                <w:color w:val="000000"/>
                <w:sz w:val="20"/>
                <w:lang w:eastAsia="en-GB"/>
              </w:rPr>
              <w:t>(</w:t>
            </w:r>
            <w:r w:rsidRPr="00EB3B58">
              <w:rPr>
                <w:rFonts w:eastAsia="SimSun" w:cs="Arial"/>
                <w:b/>
                <w:bCs/>
                <w:sz w:val="20"/>
                <w:lang w:eastAsia="en-GB"/>
              </w:rPr>
              <w:t>b)</w:t>
            </w:r>
          </w:p>
        </w:tc>
      </w:tr>
      <w:tr w:rsidR="005933F9" w:rsidRPr="005933F9" w14:paraId="43C9F86B" w14:textId="77777777" w:rsidTr="00484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0" w:type="dxa"/>
          </w:tcPr>
          <w:p w14:paraId="5D35D0E1" w14:textId="77777777" w:rsidR="000C0012" w:rsidRDefault="000C0012" w:rsidP="005933F9">
            <w:pPr>
              <w:tabs>
                <w:tab w:val="clear" w:pos="7100"/>
              </w:tabs>
              <w:spacing w:after="120" w:line="360" w:lineRule="auto"/>
              <w:textAlignment w:val="baseline"/>
              <w:rPr>
                <w:rFonts w:ascii="Calibri" w:eastAsia="SimSun" w:hAnsi="Calibri" w:cs="Calibri"/>
                <w:b w:val="0"/>
                <w:bCs w:val="0"/>
                <w:noProof/>
                <w:color w:val="000000"/>
                <w:sz w:val="20"/>
                <w:lang w:val="it-IT" w:eastAsia="en-GB"/>
              </w:rPr>
            </w:pPr>
          </w:p>
          <w:p w14:paraId="6478CF38" w14:textId="034DDD77" w:rsidR="005933F9" w:rsidRPr="005933F9" w:rsidRDefault="005933F9" w:rsidP="005933F9">
            <w:pPr>
              <w:tabs>
                <w:tab w:val="clear" w:pos="7100"/>
              </w:tabs>
              <w:spacing w:after="120" w:line="360" w:lineRule="auto"/>
              <w:textAlignment w:val="baseline"/>
              <w:rPr>
                <w:rFonts w:ascii="Calibri" w:eastAsia="SimSun" w:hAnsi="Calibri" w:cs="Calibri"/>
                <w:color w:val="000000"/>
                <w:sz w:val="20"/>
                <w:lang w:val="it-IT" w:eastAsia="en-GB"/>
              </w:rPr>
            </w:pPr>
            <w:r w:rsidRPr="005933F9">
              <w:rPr>
                <w:rFonts w:ascii="Calibri" w:eastAsia="SimSun" w:hAnsi="Calibri" w:cs="Calibri"/>
                <w:noProof/>
                <w:color w:val="000000"/>
                <w:sz w:val="20"/>
                <w:lang w:val="it-IT" w:eastAsia="en-GB"/>
              </w:rPr>
              <w:drawing>
                <wp:inline distT="0" distB="0" distL="0" distR="0" wp14:anchorId="1B178482" wp14:editId="4713ECD7">
                  <wp:extent cx="2736000" cy="2055502"/>
                  <wp:effectExtent l="0" t="0" r="7620" b="1905"/>
                  <wp:docPr id="1373813104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2055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295C0" w14:textId="77777777" w:rsidR="005933F9" w:rsidRPr="005933F9" w:rsidRDefault="005933F9" w:rsidP="005933F9">
            <w:pPr>
              <w:tabs>
                <w:tab w:val="clear" w:pos="7100"/>
              </w:tabs>
              <w:spacing w:after="120" w:line="360" w:lineRule="auto"/>
              <w:textAlignment w:val="baseline"/>
              <w:rPr>
                <w:rFonts w:ascii="Calibri" w:eastAsia="SimSun" w:hAnsi="Calibri" w:cs="Calibri"/>
                <w:color w:val="000000"/>
                <w:sz w:val="20"/>
                <w:lang w:eastAsia="en-GB"/>
              </w:rPr>
            </w:pPr>
          </w:p>
        </w:tc>
        <w:tc>
          <w:tcPr>
            <w:tcW w:w="4305" w:type="dxa"/>
          </w:tcPr>
          <w:p w14:paraId="2327AAA3" w14:textId="344399F8" w:rsidR="005933F9" w:rsidRPr="005933F9" w:rsidRDefault="006A5469" w:rsidP="005933F9">
            <w:pPr>
              <w:tabs>
                <w:tab w:val="clear" w:pos="7100"/>
              </w:tabs>
              <w:spacing w:after="12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Calibri"/>
                <w:sz w:val="20"/>
              </w:rPr>
            </w:pPr>
            <w:r>
              <w:rPr>
                <w:kern w:val="0"/>
              </w:rPr>
              <w:object w:dxaOrig="5909" w:dyaOrig="5933" w14:anchorId="518E59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.2pt;height:210.8pt" o:ole="">
                  <v:imagedata r:id="rId16" o:title=""/>
                </v:shape>
                <o:OLEObject Type="Embed" ProgID="Origin95.Graph" ShapeID="_x0000_i1025" DrawAspect="Content" ObjectID="_1814168645" r:id="rId17"/>
              </w:object>
            </w:r>
          </w:p>
        </w:tc>
      </w:tr>
      <w:tr w:rsidR="005933F9" w:rsidRPr="005933F9" w14:paraId="428ECBDC" w14:textId="77777777" w:rsidTr="00484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0" w:type="dxa"/>
            <w:shd w:val="clear" w:color="auto" w:fill="FFFFFF" w:themeFill="background1"/>
          </w:tcPr>
          <w:p w14:paraId="364C0C78" w14:textId="77777777" w:rsidR="005933F9" w:rsidRPr="00EB3B58" w:rsidRDefault="005933F9" w:rsidP="005933F9">
            <w:pPr>
              <w:tabs>
                <w:tab w:val="clear" w:pos="7100"/>
              </w:tabs>
              <w:spacing w:after="120" w:line="360" w:lineRule="auto"/>
              <w:jc w:val="center"/>
              <w:textAlignment w:val="baseline"/>
              <w:rPr>
                <w:rFonts w:eastAsia="SimSun" w:cs="Arial"/>
                <w:color w:val="000000"/>
                <w:sz w:val="20"/>
                <w:lang w:eastAsia="en-GB"/>
              </w:rPr>
            </w:pPr>
            <w:r w:rsidRPr="00EB3B58">
              <w:rPr>
                <w:rFonts w:eastAsia="SimSun" w:cs="Arial"/>
                <w:color w:val="000000"/>
                <w:sz w:val="20"/>
                <w:lang w:eastAsia="en-GB"/>
              </w:rPr>
              <w:t>(</w:t>
            </w:r>
            <w:r w:rsidRPr="00EB3B58">
              <w:rPr>
                <w:rFonts w:eastAsia="SimSun" w:cs="Arial"/>
                <w:sz w:val="20"/>
                <w:lang w:eastAsia="en-GB"/>
              </w:rPr>
              <w:t>c)</w:t>
            </w:r>
          </w:p>
        </w:tc>
        <w:tc>
          <w:tcPr>
            <w:tcW w:w="4305" w:type="dxa"/>
            <w:shd w:val="clear" w:color="auto" w:fill="FFFFFF" w:themeFill="background1"/>
          </w:tcPr>
          <w:p w14:paraId="1E872B24" w14:textId="77777777" w:rsidR="005933F9" w:rsidRPr="00EB3B58" w:rsidRDefault="005933F9" w:rsidP="005933F9">
            <w:pPr>
              <w:tabs>
                <w:tab w:val="clear" w:pos="7100"/>
              </w:tabs>
              <w:spacing w:after="120"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b/>
                <w:bCs/>
                <w:color w:val="000000"/>
                <w:sz w:val="20"/>
                <w:lang w:eastAsia="en-GB"/>
              </w:rPr>
            </w:pPr>
            <w:r w:rsidRPr="00EB3B58">
              <w:rPr>
                <w:rFonts w:eastAsia="SimSun" w:cs="Arial"/>
                <w:b/>
                <w:bCs/>
                <w:color w:val="000000"/>
                <w:sz w:val="20"/>
                <w:lang w:eastAsia="en-GB"/>
              </w:rPr>
              <w:t>(</w:t>
            </w:r>
            <w:r w:rsidRPr="00EB3B58">
              <w:rPr>
                <w:rFonts w:eastAsia="SimSun" w:cs="Arial"/>
                <w:b/>
                <w:bCs/>
                <w:sz w:val="20"/>
                <w:lang w:eastAsia="en-GB"/>
              </w:rPr>
              <w:t>d)</w:t>
            </w:r>
          </w:p>
        </w:tc>
      </w:tr>
    </w:tbl>
    <w:p w14:paraId="7B2F9135" w14:textId="420BA71A" w:rsidR="005933F9" w:rsidRPr="005933F9" w:rsidRDefault="005933F9" w:rsidP="00272A4B">
      <w:pPr>
        <w:tabs>
          <w:tab w:val="clear" w:pos="7100"/>
        </w:tabs>
        <w:spacing w:before="240" w:after="80" w:line="240" w:lineRule="exact"/>
        <w:jc w:val="left"/>
        <w:textAlignment w:val="baseline"/>
        <w:rPr>
          <w:rFonts w:eastAsia="SimSun" w:cs="Arial"/>
          <w:bCs/>
          <w:i/>
          <w:iCs/>
          <w:szCs w:val="18"/>
          <w:lang w:eastAsia="en-GB"/>
        </w:rPr>
      </w:pPr>
      <w:r w:rsidRPr="00272A4B">
        <w:rPr>
          <w:rFonts w:eastAsia="SimSun" w:cs="Arial"/>
          <w:bCs/>
          <w:i/>
          <w:iCs/>
          <w:color w:val="000000"/>
          <w:szCs w:val="18"/>
          <w:lang w:val="en-US" w:eastAsia="en-GB"/>
        </w:rPr>
        <w:t xml:space="preserve">Figure 2. FESEM images of SAS coprecipitated NIM: Levan at different </w:t>
      </w:r>
      <w:r w:rsidR="001372CC">
        <w:rPr>
          <w:rStyle w:val="CETCaptionCarattere"/>
          <w:rFonts w:eastAsia="SimSun"/>
        </w:rPr>
        <w:t>drug-to-polymers</w:t>
      </w:r>
      <w:r w:rsidRPr="00272A4B">
        <w:rPr>
          <w:rStyle w:val="CETCaptionCarattere"/>
          <w:rFonts w:eastAsia="SimSun"/>
        </w:rPr>
        <w:t xml:space="preserve"> </w:t>
      </w:r>
      <w:r w:rsidR="006A5469">
        <w:rPr>
          <w:rStyle w:val="CETCaptionCarattere"/>
          <w:rFonts w:eastAsia="SimSun"/>
        </w:rPr>
        <w:t>ratios</w:t>
      </w:r>
      <w:r w:rsidRPr="00272A4B">
        <w:rPr>
          <w:rStyle w:val="CETCaptionCarattere"/>
          <w:rFonts w:eastAsia="SimSun"/>
        </w:rPr>
        <w:t>: (a) 1:5 w</w:t>
      </w:r>
      <w:r w:rsidR="001372CC">
        <w:rPr>
          <w:rStyle w:val="CETCaptionCarattere"/>
          <w:rFonts w:eastAsia="SimSun"/>
        </w:rPr>
        <w:t>:</w:t>
      </w:r>
      <w:r w:rsidRPr="00272A4B">
        <w:rPr>
          <w:rStyle w:val="CETCaptionCarattere"/>
          <w:rFonts w:eastAsia="SimSun"/>
        </w:rPr>
        <w:t>w, (b) 1:10</w:t>
      </w:r>
      <w:r w:rsidR="00C53E3D">
        <w:rPr>
          <w:rStyle w:val="CETCaptionCarattere"/>
          <w:rFonts w:eastAsia="SimSun"/>
        </w:rPr>
        <w:t xml:space="preserve"> </w:t>
      </w:r>
      <w:r w:rsidR="001372CC">
        <w:rPr>
          <w:rStyle w:val="CETCaptionCarattere"/>
          <w:rFonts w:eastAsia="SimSun"/>
        </w:rPr>
        <w:t>w:</w:t>
      </w:r>
      <w:r w:rsidRPr="00272A4B">
        <w:rPr>
          <w:rStyle w:val="CETCaptionCarattere"/>
          <w:rFonts w:eastAsia="SimSun"/>
        </w:rPr>
        <w:t>w, (c) 1:20 w</w:t>
      </w:r>
      <w:r w:rsidR="001372CC">
        <w:rPr>
          <w:rStyle w:val="CETCaptionCarattere"/>
          <w:rFonts w:eastAsia="SimSun"/>
        </w:rPr>
        <w:t>:</w:t>
      </w:r>
      <w:r w:rsidRPr="00272A4B">
        <w:rPr>
          <w:rStyle w:val="CETCaptionCarattere"/>
          <w:rFonts w:eastAsia="SimSun"/>
        </w:rPr>
        <w:t>w, and (d) comparison between granulometric distributions.</w:t>
      </w:r>
    </w:p>
    <w:p w14:paraId="6AE299BC" w14:textId="787A20E6" w:rsidR="005933F9" w:rsidRDefault="005933F9" w:rsidP="00272A4B">
      <w:pPr>
        <w:tabs>
          <w:tab w:val="clear" w:pos="7100"/>
        </w:tabs>
        <w:textAlignment w:val="baseline"/>
        <w:rPr>
          <w:rFonts w:eastAsia="SimSun" w:cs="Arial"/>
          <w:bCs/>
          <w:szCs w:val="18"/>
          <w:lang w:eastAsia="en-GB"/>
        </w:rPr>
      </w:pPr>
      <w:r w:rsidRPr="00C77CC8">
        <w:rPr>
          <w:rFonts w:eastAsia="SimSun" w:cs="Arial"/>
          <w:bCs/>
          <w:szCs w:val="18"/>
          <w:lang w:eastAsia="en-GB"/>
        </w:rPr>
        <w:t xml:space="preserve">In </w:t>
      </w:r>
      <w:r w:rsidR="00F775CF" w:rsidRPr="00C77CC8">
        <w:rPr>
          <w:rFonts w:eastAsia="SimSun" w:cs="Arial"/>
          <w:bCs/>
          <w:szCs w:val="18"/>
          <w:lang w:eastAsia="en-GB"/>
        </w:rPr>
        <w:t xml:space="preserve">the </w:t>
      </w:r>
      <w:r w:rsidRPr="00C77CC8">
        <w:rPr>
          <w:rFonts w:eastAsia="SimSun" w:cs="Arial"/>
          <w:bCs/>
          <w:szCs w:val="18"/>
          <w:lang w:eastAsia="en-GB"/>
        </w:rPr>
        <w:t>case of</w:t>
      </w:r>
      <w:r w:rsidR="00F775CF" w:rsidRPr="00C77CC8">
        <w:rPr>
          <w:rFonts w:eastAsia="SimSun" w:cs="Arial"/>
          <w:bCs/>
          <w:szCs w:val="18"/>
          <w:lang w:eastAsia="en-GB"/>
        </w:rPr>
        <w:t xml:space="preserve"> the coprecipitate</w:t>
      </w:r>
      <w:r w:rsidR="00C53E3D">
        <w:rPr>
          <w:rFonts w:eastAsia="SimSun" w:cs="Arial"/>
          <w:bCs/>
          <w:szCs w:val="18"/>
          <w:lang w:eastAsia="en-GB"/>
        </w:rPr>
        <w:t>d powders</w:t>
      </w:r>
      <w:r w:rsidR="00F775CF" w:rsidRPr="00C77CC8">
        <w:rPr>
          <w:rFonts w:eastAsia="SimSun" w:cs="Arial"/>
          <w:bCs/>
          <w:szCs w:val="18"/>
          <w:lang w:eastAsia="en-GB"/>
        </w:rPr>
        <w:t xml:space="preserve"> obtained with </w:t>
      </w:r>
      <w:r w:rsidR="00C77CC8" w:rsidRPr="00C77CC8">
        <w:rPr>
          <w:rFonts w:eastAsia="SimSun" w:cs="Arial"/>
          <w:bCs/>
          <w:szCs w:val="18"/>
          <w:lang w:eastAsia="en-GB"/>
        </w:rPr>
        <w:t xml:space="preserve">a </w:t>
      </w:r>
      <w:r w:rsidR="00AA06DA">
        <w:rPr>
          <w:rFonts w:eastAsia="SimSun" w:cs="Arial"/>
          <w:bCs/>
          <w:szCs w:val="18"/>
          <w:lang w:eastAsia="en-GB"/>
        </w:rPr>
        <w:t>drug-to-polymer ratio equal to 1:5,</w:t>
      </w:r>
      <w:r w:rsidR="00F775CF" w:rsidRPr="00C77CC8">
        <w:rPr>
          <w:rFonts w:eastAsia="SimSun" w:cs="Arial"/>
          <w:bCs/>
          <w:szCs w:val="18"/>
          <w:lang w:eastAsia="en-GB"/>
        </w:rPr>
        <w:t xml:space="preserve"> the particles appear</w:t>
      </w:r>
      <w:r w:rsidR="00C53E3D">
        <w:rPr>
          <w:rFonts w:eastAsia="SimSun" w:cs="Arial"/>
          <w:bCs/>
          <w:szCs w:val="18"/>
          <w:lang w:eastAsia="en-GB"/>
        </w:rPr>
        <w:t>ed to be</w:t>
      </w:r>
      <w:r w:rsidR="00F775CF" w:rsidRPr="00C77CC8">
        <w:rPr>
          <w:rFonts w:eastAsia="SimSun" w:cs="Arial"/>
          <w:bCs/>
          <w:szCs w:val="18"/>
          <w:lang w:eastAsia="en-GB"/>
        </w:rPr>
        <w:t xml:space="preserve"> coalescent</w:t>
      </w:r>
      <w:r w:rsidR="00C77CC8" w:rsidRPr="00C77CC8">
        <w:rPr>
          <w:rFonts w:eastAsia="SimSun" w:cs="Arial"/>
          <w:bCs/>
          <w:szCs w:val="18"/>
          <w:lang w:eastAsia="en-GB"/>
        </w:rPr>
        <w:t xml:space="preserve">, </w:t>
      </w:r>
      <w:r w:rsidR="00C77CC8">
        <w:rPr>
          <w:rFonts w:eastAsia="SimSun" w:cs="Arial"/>
          <w:bCs/>
          <w:szCs w:val="18"/>
          <w:lang w:eastAsia="en-GB"/>
        </w:rPr>
        <w:t>so</w:t>
      </w:r>
      <w:r w:rsidR="00C77CC8" w:rsidRPr="00C77CC8">
        <w:rPr>
          <w:rFonts w:eastAsia="SimSun" w:cs="Arial"/>
          <w:bCs/>
          <w:szCs w:val="18"/>
          <w:lang w:eastAsia="en-GB"/>
        </w:rPr>
        <w:t xml:space="preserve"> the granulometric distribution cannot be evaluated. In the other </w:t>
      </w:r>
      <w:r w:rsidR="00C77CC8">
        <w:rPr>
          <w:rFonts w:eastAsia="SimSun" w:cs="Arial"/>
          <w:bCs/>
          <w:szCs w:val="18"/>
          <w:lang w:eastAsia="en-GB"/>
        </w:rPr>
        <w:t>two</w:t>
      </w:r>
      <w:r w:rsidR="00C77CC8" w:rsidRPr="00C77CC8">
        <w:rPr>
          <w:rFonts w:eastAsia="SimSun" w:cs="Arial"/>
          <w:bCs/>
          <w:szCs w:val="18"/>
          <w:lang w:eastAsia="en-GB"/>
        </w:rPr>
        <w:t xml:space="preserve"> cases</w:t>
      </w:r>
      <w:r w:rsidR="00C77CC8">
        <w:rPr>
          <w:rFonts w:eastAsia="SimSun" w:cs="Arial"/>
          <w:bCs/>
          <w:szCs w:val="18"/>
          <w:lang w:eastAsia="en-GB"/>
        </w:rPr>
        <w:t>,</w:t>
      </w:r>
      <w:r w:rsidR="00C77CC8" w:rsidRPr="00C77CC8">
        <w:rPr>
          <w:rFonts w:eastAsia="SimSun" w:cs="Arial"/>
          <w:bCs/>
          <w:szCs w:val="18"/>
          <w:lang w:eastAsia="en-GB"/>
        </w:rPr>
        <w:t xml:space="preserve"> it can</w:t>
      </w:r>
      <w:r w:rsidRPr="00C77CC8">
        <w:rPr>
          <w:rFonts w:eastAsia="SimSun" w:cs="Arial"/>
          <w:bCs/>
          <w:szCs w:val="18"/>
          <w:lang w:eastAsia="en-GB"/>
        </w:rPr>
        <w:t xml:space="preserve"> be observed that the coprecipitate NIM:</w:t>
      </w:r>
      <w:r w:rsidR="00C77CC8" w:rsidRPr="00C77CC8">
        <w:rPr>
          <w:rFonts w:eastAsia="SimSun" w:cs="Arial"/>
          <w:bCs/>
          <w:szCs w:val="18"/>
          <w:lang w:eastAsia="en-GB"/>
        </w:rPr>
        <w:t xml:space="preserve"> </w:t>
      </w:r>
      <w:proofErr w:type="spellStart"/>
      <w:r w:rsidRPr="00C77CC8">
        <w:rPr>
          <w:rFonts w:eastAsia="SimSun" w:cs="Arial"/>
          <w:bCs/>
          <w:szCs w:val="18"/>
          <w:lang w:eastAsia="en-GB"/>
        </w:rPr>
        <w:t>levan</w:t>
      </w:r>
      <w:proofErr w:type="spellEnd"/>
      <w:r w:rsidRPr="00C77CC8">
        <w:rPr>
          <w:rFonts w:eastAsia="SimSun" w:cs="Arial"/>
          <w:bCs/>
          <w:szCs w:val="18"/>
          <w:lang w:eastAsia="en-GB"/>
        </w:rPr>
        <w:t xml:space="preserve"> </w:t>
      </w:r>
      <w:r w:rsidR="00C77CC8">
        <w:rPr>
          <w:rFonts w:eastAsia="SimSun" w:cs="Arial"/>
          <w:bCs/>
          <w:szCs w:val="18"/>
          <w:lang w:eastAsia="en-GB"/>
        </w:rPr>
        <w:t>has</w:t>
      </w:r>
      <w:r w:rsidR="00C77CC8" w:rsidRPr="00C77CC8">
        <w:rPr>
          <w:rFonts w:eastAsia="SimSun" w:cs="Arial"/>
          <w:bCs/>
          <w:szCs w:val="18"/>
          <w:lang w:eastAsia="en-GB"/>
        </w:rPr>
        <w:t xml:space="preserve"> </w:t>
      </w:r>
      <w:r w:rsidR="00C77CC8">
        <w:rPr>
          <w:rFonts w:eastAsia="SimSun" w:cs="Arial"/>
          <w:bCs/>
          <w:szCs w:val="18"/>
          <w:lang w:eastAsia="en-GB"/>
        </w:rPr>
        <w:t>microparticle dimensions</w:t>
      </w:r>
      <w:r w:rsidRPr="00C77CC8">
        <w:rPr>
          <w:rFonts w:eastAsia="SimSun" w:cs="Arial"/>
          <w:bCs/>
          <w:szCs w:val="18"/>
          <w:lang w:eastAsia="en-GB"/>
        </w:rPr>
        <w:t xml:space="preserve"> ranging from 0</w:t>
      </w:r>
      <w:r w:rsidR="00C77CC8" w:rsidRPr="00C77CC8">
        <w:rPr>
          <w:rFonts w:eastAsia="SimSun" w:cs="Arial"/>
          <w:bCs/>
          <w:szCs w:val="18"/>
          <w:lang w:eastAsia="en-GB"/>
        </w:rPr>
        <w:t>.</w:t>
      </w:r>
      <w:r w:rsidR="006A5469">
        <w:rPr>
          <w:rFonts w:eastAsia="SimSun" w:cs="Arial"/>
          <w:bCs/>
          <w:szCs w:val="18"/>
          <w:lang w:eastAsia="en-GB"/>
        </w:rPr>
        <w:t>38</w:t>
      </w:r>
      <w:r w:rsidR="00981BD2">
        <w:rPr>
          <w:rFonts w:eastAsia="SimSun" w:cs="Arial"/>
          <w:bCs/>
          <w:szCs w:val="18"/>
          <w:lang w:eastAsia="en-GB"/>
        </w:rPr>
        <w:t xml:space="preserve"> </w:t>
      </w:r>
      <w:r w:rsidR="00C77CC8" w:rsidRPr="00C77CC8">
        <w:rPr>
          <w:rFonts w:eastAsia="SimSun" w:cs="Arial"/>
          <w:bCs/>
          <w:szCs w:val="18"/>
          <w:lang w:eastAsia="en-GB"/>
        </w:rPr>
        <w:t>to 0</w:t>
      </w:r>
      <w:r w:rsidR="00C53E3D">
        <w:rPr>
          <w:rFonts w:eastAsia="SimSun" w:cs="Arial"/>
          <w:bCs/>
          <w:szCs w:val="18"/>
          <w:lang w:eastAsia="en-GB"/>
        </w:rPr>
        <w:t>.</w:t>
      </w:r>
      <w:r w:rsidR="002C1E33">
        <w:rPr>
          <w:rFonts w:eastAsia="SimSun" w:cs="Arial"/>
          <w:bCs/>
          <w:szCs w:val="18"/>
          <w:lang w:eastAsia="en-GB"/>
        </w:rPr>
        <w:t>55</w:t>
      </w:r>
      <w:r w:rsidR="00C77CC8">
        <w:rPr>
          <w:rFonts w:eastAsia="SimSun" w:cs="Arial"/>
          <w:bCs/>
          <w:szCs w:val="18"/>
          <w:lang w:eastAsia="en-GB"/>
        </w:rPr>
        <w:t xml:space="preserve"> </w:t>
      </w:r>
      <w:r w:rsidR="00CD173A">
        <w:rPr>
          <w:rFonts w:eastAsia="SimSun" w:cs="Arial"/>
          <w:bCs/>
          <w:szCs w:val="18"/>
          <w:lang w:eastAsia="en-GB"/>
        </w:rPr>
        <w:t>µm</w:t>
      </w:r>
      <w:r w:rsidR="00981BD2">
        <w:rPr>
          <w:rFonts w:eastAsia="SimSun" w:cs="Arial"/>
          <w:bCs/>
          <w:szCs w:val="18"/>
          <w:lang w:eastAsia="en-GB"/>
        </w:rPr>
        <w:t xml:space="preserve">, so the </w:t>
      </w:r>
      <w:r w:rsidR="006A5469">
        <w:rPr>
          <w:rFonts w:eastAsia="SimSun" w:cs="Arial"/>
          <w:bCs/>
          <w:szCs w:val="18"/>
          <w:lang w:eastAsia="en-GB"/>
        </w:rPr>
        <w:t xml:space="preserve">drug-to-polymer ratio variation influences the particles' mean diameters </w:t>
      </w:r>
      <w:r w:rsidR="001372CC">
        <w:rPr>
          <w:rFonts w:eastAsia="SimSun" w:cs="Arial"/>
          <w:bCs/>
          <w:szCs w:val="18"/>
          <w:lang w:eastAsia="en-GB"/>
        </w:rPr>
        <w:t>and</w:t>
      </w:r>
      <w:r w:rsidR="006A5469">
        <w:rPr>
          <w:rFonts w:eastAsia="SimSun" w:cs="Arial"/>
          <w:bCs/>
          <w:szCs w:val="18"/>
          <w:lang w:eastAsia="en-GB"/>
        </w:rPr>
        <w:t xml:space="preserve"> as expected, a smaller drug to polymer ratio also allows to obtain a narrow granulometric distribution of the particles</w:t>
      </w:r>
      <w:r w:rsidR="00981BD2">
        <w:rPr>
          <w:rFonts w:eastAsia="SimSun" w:cs="Arial"/>
          <w:bCs/>
          <w:szCs w:val="18"/>
          <w:lang w:eastAsia="en-GB"/>
        </w:rPr>
        <w:t xml:space="preserve">. </w:t>
      </w:r>
    </w:p>
    <w:p w14:paraId="7E0B96B3" w14:textId="5AAE9D3B" w:rsidR="000C0012" w:rsidRPr="005933F9" w:rsidRDefault="000C0012" w:rsidP="00272A4B">
      <w:pPr>
        <w:tabs>
          <w:tab w:val="clear" w:pos="7100"/>
        </w:tabs>
        <w:textAlignment w:val="baseline"/>
        <w:rPr>
          <w:rFonts w:eastAsia="SimSun" w:cs="Arial"/>
          <w:bCs/>
          <w:szCs w:val="18"/>
          <w:lang w:eastAsia="en-GB"/>
        </w:rPr>
      </w:pPr>
      <w:r>
        <w:rPr>
          <w:rFonts w:eastAsia="SimSun" w:cs="Arial"/>
          <w:bCs/>
          <w:szCs w:val="18"/>
          <w:lang w:eastAsia="en-GB"/>
        </w:rPr>
        <w:t xml:space="preserve">The efficient coprecipitation of NIM and </w:t>
      </w:r>
      <w:proofErr w:type="spellStart"/>
      <w:r>
        <w:rPr>
          <w:rFonts w:eastAsia="SimSun" w:cs="Arial"/>
          <w:bCs/>
          <w:szCs w:val="18"/>
          <w:lang w:eastAsia="en-GB"/>
        </w:rPr>
        <w:t>levan</w:t>
      </w:r>
      <w:proofErr w:type="spellEnd"/>
      <w:r>
        <w:rPr>
          <w:rFonts w:eastAsia="SimSun" w:cs="Arial"/>
          <w:bCs/>
          <w:szCs w:val="18"/>
          <w:lang w:eastAsia="en-GB"/>
        </w:rPr>
        <w:t xml:space="preserve"> can be understood by exploring their molecular interactions. During the precipitation process, various types of interactions may occur between NIM and </w:t>
      </w:r>
      <w:proofErr w:type="spellStart"/>
      <w:r>
        <w:rPr>
          <w:rFonts w:eastAsia="SimSun" w:cs="Arial"/>
          <w:bCs/>
          <w:szCs w:val="18"/>
          <w:lang w:eastAsia="en-GB"/>
        </w:rPr>
        <w:t>levan</w:t>
      </w:r>
      <w:proofErr w:type="spellEnd"/>
      <w:r>
        <w:rPr>
          <w:rFonts w:eastAsia="SimSun" w:cs="Arial"/>
          <w:bCs/>
          <w:szCs w:val="18"/>
          <w:lang w:eastAsia="en-GB"/>
        </w:rPr>
        <w:t xml:space="preserve">. One primary interaction is hydrogen bonding between the -OH groups of the fructose chains in </w:t>
      </w:r>
      <w:proofErr w:type="spellStart"/>
      <w:r>
        <w:rPr>
          <w:rFonts w:eastAsia="SimSun" w:cs="Arial"/>
          <w:bCs/>
          <w:szCs w:val="18"/>
          <w:lang w:eastAsia="en-GB"/>
        </w:rPr>
        <w:t>levan</w:t>
      </w:r>
      <w:proofErr w:type="spellEnd"/>
      <w:r>
        <w:rPr>
          <w:rFonts w:eastAsia="SimSun" w:cs="Arial"/>
          <w:bCs/>
          <w:szCs w:val="18"/>
          <w:lang w:eastAsia="en-GB"/>
        </w:rPr>
        <w:t xml:space="preserve"> and the -OH or -SO</w:t>
      </w:r>
      <w:r>
        <w:rPr>
          <w:rFonts w:ascii="Cambria Math" w:eastAsia="SimSun" w:hAnsi="Cambria Math" w:cs="Cambria Math"/>
          <w:bCs/>
          <w:szCs w:val="18"/>
          <w:lang w:eastAsia="en-GB"/>
        </w:rPr>
        <w:t>₂</w:t>
      </w:r>
      <w:r>
        <w:rPr>
          <w:rFonts w:eastAsia="SimSun" w:cs="Arial"/>
          <w:bCs/>
          <w:szCs w:val="18"/>
          <w:lang w:eastAsia="en-GB"/>
        </w:rPr>
        <w:t>NH groups of NIM molecules. (</w:t>
      </w:r>
      <w:proofErr w:type="spellStart"/>
      <w:r w:rsidR="004233A3">
        <w:rPr>
          <w:rFonts w:eastAsia="SimSun" w:cs="Arial"/>
          <w:bCs/>
          <w:szCs w:val="18"/>
          <w:lang w:eastAsia="en-GB"/>
        </w:rPr>
        <w:t>Marinopoulou</w:t>
      </w:r>
      <w:proofErr w:type="spellEnd"/>
      <w:r w:rsidR="004233A3">
        <w:rPr>
          <w:rFonts w:eastAsia="SimSun" w:cs="Arial"/>
          <w:bCs/>
          <w:szCs w:val="18"/>
          <w:lang w:eastAsia="en-GB"/>
        </w:rPr>
        <w:t xml:space="preserve"> et al.,2020)</w:t>
      </w:r>
    </w:p>
    <w:p w14:paraId="1230A854" w14:textId="260B4B96" w:rsidR="005933F9" w:rsidRDefault="005933F9" w:rsidP="00272A4B">
      <w:pPr>
        <w:tabs>
          <w:tab w:val="clear" w:pos="7100"/>
        </w:tabs>
        <w:textAlignment w:val="baseline"/>
        <w:rPr>
          <w:rFonts w:eastAsia="SimSun" w:cs="Arial"/>
          <w:color w:val="000000"/>
          <w:szCs w:val="18"/>
          <w:lang w:eastAsia="en-GB"/>
        </w:rPr>
      </w:pPr>
      <w:r w:rsidRPr="005933F9">
        <w:rPr>
          <w:rFonts w:eastAsia="SimSun" w:cs="Arial"/>
          <w:color w:val="000000"/>
          <w:szCs w:val="18"/>
          <w:lang w:eastAsia="en-GB"/>
        </w:rPr>
        <w:t>The dissolution rates of pure NIM and SAS coprecipitates NIM:</w:t>
      </w:r>
      <w:r w:rsidR="00C77CC8">
        <w:rPr>
          <w:rFonts w:eastAsia="SimSun" w:cs="Arial"/>
          <w:color w:val="000000"/>
          <w:szCs w:val="18"/>
          <w:lang w:eastAsia="en-GB"/>
        </w:rPr>
        <w:t xml:space="preserve"> </w:t>
      </w:r>
      <w:r w:rsidRPr="005933F9">
        <w:rPr>
          <w:rFonts w:eastAsia="SimSun" w:cs="Arial"/>
          <w:color w:val="000000"/>
          <w:szCs w:val="18"/>
          <w:lang w:eastAsia="en-GB"/>
        </w:rPr>
        <w:t>Levan at ratios of 1:5, 1:10 and 1:20 (</w:t>
      </w:r>
      <w:proofErr w:type="spellStart"/>
      <w:proofErr w:type="gramStart"/>
      <w:r w:rsidRPr="005933F9">
        <w:rPr>
          <w:rFonts w:eastAsia="SimSun" w:cs="Arial"/>
          <w:color w:val="000000"/>
          <w:szCs w:val="18"/>
          <w:lang w:eastAsia="en-GB"/>
        </w:rPr>
        <w:t>w</w:t>
      </w:r>
      <w:r w:rsidR="00EB3B58">
        <w:rPr>
          <w:rFonts w:eastAsia="SimSun" w:cs="Arial"/>
          <w:color w:val="000000"/>
          <w:szCs w:val="18"/>
          <w:lang w:eastAsia="en-GB"/>
        </w:rPr>
        <w:t>:</w:t>
      </w:r>
      <w:r w:rsidRPr="005933F9">
        <w:rPr>
          <w:rFonts w:eastAsia="SimSun" w:cs="Arial"/>
          <w:color w:val="000000"/>
          <w:szCs w:val="18"/>
          <w:lang w:eastAsia="en-GB"/>
        </w:rPr>
        <w:t>w</w:t>
      </w:r>
      <w:proofErr w:type="spellEnd"/>
      <w:proofErr w:type="gramEnd"/>
      <w:r w:rsidRPr="005933F9">
        <w:rPr>
          <w:rFonts w:eastAsia="SimSun" w:cs="Arial"/>
          <w:color w:val="000000"/>
          <w:szCs w:val="18"/>
          <w:lang w:eastAsia="en-GB"/>
        </w:rPr>
        <w:t xml:space="preserve">) were evaluated using UV/vis spectroscopy. The drug dissolution profiles, shown in Figure 3, represent the percentage of NIM dissolved in PBS at pH 7.4 over time. </w:t>
      </w:r>
    </w:p>
    <w:p w14:paraId="08140373" w14:textId="77777777" w:rsidR="000C0012" w:rsidRPr="005933F9" w:rsidRDefault="000C0012" w:rsidP="00272A4B">
      <w:pPr>
        <w:tabs>
          <w:tab w:val="clear" w:pos="7100"/>
        </w:tabs>
        <w:textAlignment w:val="baseline"/>
        <w:rPr>
          <w:rFonts w:eastAsia="SimSun" w:cs="Arial"/>
          <w:bCs/>
          <w:szCs w:val="18"/>
          <w:lang w:eastAsia="en-GB"/>
        </w:rPr>
      </w:pPr>
    </w:p>
    <w:p w14:paraId="6FB648B3" w14:textId="2E2EE958" w:rsidR="005933F9" w:rsidRPr="005933F9" w:rsidRDefault="000C0012" w:rsidP="005933F9">
      <w:pPr>
        <w:jc w:val="center"/>
        <w:rPr>
          <w:lang w:val="en-US"/>
        </w:rPr>
      </w:pPr>
      <w:r w:rsidRPr="005933F9">
        <w:rPr>
          <w:lang w:val="en-US"/>
        </w:rPr>
        <w:object w:dxaOrig="5908" w:dyaOrig="5933" w14:anchorId="5E09A8DC">
          <v:shape id="_x0000_i1026" type="#_x0000_t75" style="width:221.2pt;height:212.35pt" o:ole="">
            <v:imagedata r:id="rId18" o:title="" croptop="5612f" cropbottom="4235f" cropleft="4330f" cropright="7244f"/>
          </v:shape>
          <o:OLEObject Type="Embed" ProgID="Origin95.Graph" ShapeID="_x0000_i1026" DrawAspect="Content" ObjectID="_1814168646" r:id="rId19"/>
        </w:object>
      </w:r>
    </w:p>
    <w:p w14:paraId="3F0FDEFB" w14:textId="77777777" w:rsidR="005933F9" w:rsidRDefault="005933F9" w:rsidP="00272A4B">
      <w:pPr>
        <w:pStyle w:val="CETCaption"/>
        <w:rPr>
          <w:rFonts w:eastAsia="SimSun"/>
          <w:lang w:val="en-US" w:eastAsia="en-GB"/>
        </w:rPr>
      </w:pPr>
      <w:r w:rsidRPr="00272A4B">
        <w:rPr>
          <w:rFonts w:eastAsia="SimSun"/>
          <w:lang w:val="en-US" w:eastAsia="en-GB"/>
        </w:rPr>
        <w:t>Figure 3. Dissolution curves of NIM: Levan coprecipitate and pure NIM.</w:t>
      </w:r>
    </w:p>
    <w:p w14:paraId="5B73C5CA" w14:textId="4BD424EF" w:rsidR="00F57564" w:rsidRPr="00C15183" w:rsidRDefault="00F57564" w:rsidP="00272A4B">
      <w:pPr>
        <w:pStyle w:val="CETCaption"/>
        <w:rPr>
          <w:rFonts w:eastAsia="SimSun" w:cs="Arial"/>
          <w:i w:val="0"/>
          <w:iCs/>
          <w:color w:val="000000"/>
          <w:szCs w:val="18"/>
          <w:lang w:eastAsia="en-GB"/>
        </w:rPr>
      </w:pPr>
      <w:r w:rsidRPr="00F57564">
        <w:rPr>
          <w:rFonts w:eastAsia="SimSun" w:cs="Arial"/>
          <w:i w:val="0"/>
          <w:iCs/>
          <w:color w:val="000000"/>
          <w:szCs w:val="18"/>
          <w:lang w:eastAsia="en-GB"/>
        </w:rPr>
        <w:lastRenderedPageBreak/>
        <w:t>Pure NIM dissolved completely within approximately 250 minutes, whereas the SAS-processed NIM: Levan formulations took around 130 minutes. This indicates that the dissolution rates of these coprecipitates are 2 times faster than that of the pure drug.</w:t>
      </w:r>
      <w:r w:rsidR="00430DFF">
        <w:rPr>
          <w:rFonts w:eastAsia="SimSun" w:cs="Arial"/>
          <w:i w:val="0"/>
          <w:iCs/>
          <w:color w:val="000000"/>
          <w:szCs w:val="18"/>
          <w:lang w:eastAsia="en-GB"/>
        </w:rPr>
        <w:t xml:space="preserve"> The increased release rate of the co-precipitate can be easily explained by examining the hydrophilicity of </w:t>
      </w:r>
      <w:proofErr w:type="spellStart"/>
      <w:r w:rsidR="00430DFF">
        <w:rPr>
          <w:rFonts w:eastAsia="SimSun" w:cs="Arial"/>
          <w:i w:val="0"/>
          <w:iCs/>
          <w:color w:val="000000"/>
          <w:szCs w:val="18"/>
          <w:lang w:eastAsia="en-GB"/>
        </w:rPr>
        <w:t>levan</w:t>
      </w:r>
      <w:proofErr w:type="spellEnd"/>
      <w:r w:rsidR="00430DFF">
        <w:rPr>
          <w:rFonts w:eastAsia="SimSun" w:cs="Arial"/>
          <w:i w:val="0"/>
          <w:iCs/>
          <w:color w:val="000000"/>
          <w:szCs w:val="18"/>
          <w:lang w:eastAsia="en-GB"/>
        </w:rPr>
        <w:t xml:space="preserve">. In fact, coprecipitation with a hydrophilic polysaccharide promotes the diffusion of water into the matrix by aiding the dissolution of the NIM. Additionally, during the coprecipitation process, </w:t>
      </w:r>
      <w:r w:rsidR="00A22887">
        <w:rPr>
          <w:rFonts w:eastAsia="SimSun" w:cs="Arial"/>
          <w:i w:val="0"/>
          <w:iCs/>
          <w:color w:val="000000"/>
          <w:szCs w:val="18"/>
          <w:lang w:eastAsia="en-GB"/>
        </w:rPr>
        <w:t xml:space="preserve">the crystallinity of </w:t>
      </w:r>
      <w:proofErr w:type="spellStart"/>
      <w:r w:rsidR="00A22887">
        <w:rPr>
          <w:rFonts w:eastAsia="SimSun" w:cs="Arial"/>
          <w:i w:val="0"/>
          <w:iCs/>
          <w:color w:val="000000"/>
          <w:szCs w:val="18"/>
          <w:lang w:eastAsia="en-GB"/>
        </w:rPr>
        <w:t>nimesulide</w:t>
      </w:r>
      <w:proofErr w:type="spellEnd"/>
      <w:r w:rsidR="00A22887">
        <w:rPr>
          <w:rFonts w:eastAsia="SimSun" w:cs="Arial"/>
          <w:i w:val="0"/>
          <w:iCs/>
          <w:color w:val="000000"/>
          <w:szCs w:val="18"/>
          <w:lang w:eastAsia="en-GB"/>
        </w:rPr>
        <w:t xml:space="preserve"> may be reduced</w:t>
      </w:r>
      <w:r w:rsidR="00562C9C">
        <w:rPr>
          <w:rFonts w:eastAsia="SimSun" w:cs="Arial"/>
          <w:i w:val="0"/>
          <w:iCs/>
          <w:color w:val="000000"/>
          <w:szCs w:val="18"/>
          <w:lang w:eastAsia="en-GB"/>
        </w:rPr>
        <w:t xml:space="preserve">, leading to </w:t>
      </w:r>
      <w:proofErr w:type="spellStart"/>
      <w:r w:rsidR="00562C9C">
        <w:rPr>
          <w:rFonts w:eastAsia="SimSun" w:cs="Arial"/>
          <w:i w:val="0"/>
          <w:iCs/>
          <w:color w:val="000000"/>
          <w:szCs w:val="18"/>
          <w:lang w:eastAsia="en-GB"/>
        </w:rPr>
        <w:t>amorphisation</w:t>
      </w:r>
      <w:proofErr w:type="spellEnd"/>
      <w:r w:rsidR="00562C9C">
        <w:rPr>
          <w:rFonts w:eastAsia="SimSun" w:cs="Arial"/>
          <w:i w:val="0"/>
          <w:iCs/>
          <w:color w:val="000000"/>
          <w:szCs w:val="18"/>
          <w:lang w:eastAsia="en-GB"/>
        </w:rPr>
        <w:t>. This decrease in crystallinity</w:t>
      </w:r>
      <w:r w:rsidR="00A22887">
        <w:rPr>
          <w:rFonts w:eastAsia="SimSun" w:cs="Arial"/>
          <w:i w:val="0"/>
          <w:iCs/>
          <w:color w:val="000000"/>
          <w:szCs w:val="18"/>
          <w:lang w:eastAsia="en-GB"/>
        </w:rPr>
        <w:t xml:space="preserve"> decreases the energy required for solubilization in water, resulting in a higher dissolution rate (</w:t>
      </w:r>
      <w:proofErr w:type="spellStart"/>
      <w:r w:rsidR="00A22887">
        <w:rPr>
          <w:rFonts w:eastAsia="SimSun" w:cs="Arial"/>
          <w:i w:val="0"/>
          <w:iCs/>
          <w:color w:val="000000"/>
          <w:szCs w:val="18"/>
          <w:lang w:eastAsia="en-GB"/>
        </w:rPr>
        <w:t>Guijin</w:t>
      </w:r>
      <w:proofErr w:type="spellEnd"/>
      <w:r w:rsidR="00A22887">
        <w:rPr>
          <w:rFonts w:eastAsia="SimSun" w:cs="Arial"/>
          <w:i w:val="0"/>
          <w:iCs/>
          <w:color w:val="000000"/>
          <w:szCs w:val="18"/>
          <w:lang w:eastAsia="en-GB"/>
        </w:rPr>
        <w:t xml:space="preserve"> Liu et al., </w:t>
      </w:r>
      <w:r w:rsidR="00C15183">
        <w:rPr>
          <w:rFonts w:eastAsia="SimSun" w:cs="Arial"/>
          <w:i w:val="0"/>
          <w:iCs/>
          <w:color w:val="000000"/>
          <w:szCs w:val="18"/>
          <w:lang w:eastAsia="en-GB"/>
        </w:rPr>
        <w:t>2020)</w:t>
      </w:r>
      <w:r w:rsidR="00430DFF">
        <w:rPr>
          <w:rFonts w:eastAsia="SimSun" w:cs="Arial"/>
          <w:i w:val="0"/>
          <w:iCs/>
          <w:color w:val="000000"/>
          <w:szCs w:val="18"/>
          <w:lang w:eastAsia="en-GB"/>
        </w:rPr>
        <w:t xml:space="preserve">. </w:t>
      </w:r>
      <w:r w:rsidRPr="00F57564">
        <w:rPr>
          <w:rFonts w:eastAsia="SimSun" w:cs="Arial"/>
          <w:i w:val="0"/>
          <w:iCs/>
          <w:color w:val="000000"/>
          <w:szCs w:val="18"/>
          <w:lang w:eastAsia="en-GB"/>
        </w:rPr>
        <w:t>Regarding NIM entrapment efficiency, all composite samples exhibited values between 80 and 90%.</w:t>
      </w:r>
      <w:r w:rsidR="000C0012">
        <w:rPr>
          <w:rFonts w:eastAsia="SimSun" w:cs="Arial"/>
          <w:i w:val="0"/>
          <w:iCs/>
          <w:color w:val="000000"/>
          <w:szCs w:val="18"/>
          <w:lang w:eastAsia="en-GB"/>
        </w:rPr>
        <w:t xml:space="preserve"> </w:t>
      </w:r>
    </w:p>
    <w:p w14:paraId="5EEA2902" w14:textId="77777777" w:rsidR="005933F9" w:rsidRPr="005933F9" w:rsidRDefault="005933F9" w:rsidP="005933F9">
      <w:pPr>
        <w:keepNext/>
        <w:numPr>
          <w:ilvl w:val="1"/>
          <w:numId w:val="23"/>
        </w:numPr>
        <w:suppressAutoHyphens/>
        <w:spacing w:before="240" w:after="120" w:line="240" w:lineRule="auto"/>
        <w:rPr>
          <w:b/>
          <w:sz w:val="20"/>
        </w:rPr>
      </w:pPr>
      <w:r w:rsidRPr="005933F9">
        <w:rPr>
          <w:b/>
          <w:sz w:val="20"/>
        </w:rPr>
        <w:t>Conclusions</w:t>
      </w:r>
    </w:p>
    <w:p w14:paraId="58342C29" w14:textId="29892C4F" w:rsidR="005933F9" w:rsidRPr="005933F9" w:rsidRDefault="005933F9" w:rsidP="00272A4B">
      <w:r w:rsidRPr="005933F9">
        <w:t>This study explores using Levan as a novel polymeric carrier for SAS coprecipitation</w:t>
      </w:r>
      <w:r w:rsidR="00F82367">
        <w:t>;</w:t>
      </w:r>
      <w:r w:rsidR="006A5469">
        <w:t xml:space="preserve"> starting from a preliminary study, it can be assessed that using a lower exercise pressure allows to obtain particles with a higher mean diameter that is essential for the encapsulation of the drug in the polymeric matrices. For this reason, the operative pressure</w:t>
      </w:r>
      <w:r w:rsidR="00F82367">
        <w:t xml:space="preserve"> for the coprecipitation test is selected as equal to 90 bar. The coprecipitation tests were performed by u</w:t>
      </w:r>
      <w:r w:rsidR="006A5469" w:rsidRPr="005933F9">
        <w:t>sing</w:t>
      </w:r>
      <w:r w:rsidRPr="005933F9">
        <w:t xml:space="preserve"> </w:t>
      </w:r>
      <w:proofErr w:type="spellStart"/>
      <w:r w:rsidRPr="005933F9">
        <w:t>Nimesulide</w:t>
      </w:r>
      <w:proofErr w:type="spellEnd"/>
      <w:r w:rsidRPr="005933F9">
        <w:t xml:space="preserve"> as </w:t>
      </w:r>
      <w:r w:rsidR="00F82367">
        <w:t xml:space="preserve">a </w:t>
      </w:r>
      <w:r w:rsidRPr="005933F9">
        <w:t xml:space="preserve">model drug. </w:t>
      </w:r>
    </w:p>
    <w:p w14:paraId="648EF317" w14:textId="15BFE1CB" w:rsidR="005933F9" w:rsidRPr="005933F9" w:rsidRDefault="005933F9" w:rsidP="005933F9">
      <w:r w:rsidRPr="005933F9">
        <w:t xml:space="preserve">SAS coprecipitation of NIM: Levan was investigated by varying drug to </w:t>
      </w:r>
      <w:r w:rsidR="00C77CC8">
        <w:t>polymer ratio,</w:t>
      </w:r>
      <w:r w:rsidRPr="005933F9">
        <w:t xml:space="preserve"> again identifying 90 bar and </w:t>
      </w:r>
      <w:r w:rsidR="00C77CC8">
        <w:t xml:space="preserve">30 mg/mL concentrations </w:t>
      </w:r>
      <w:r w:rsidRPr="005933F9">
        <w:t xml:space="preserve">as the best conditions. The </w:t>
      </w:r>
      <w:r w:rsidR="003A6870">
        <w:t>drug-to-polymer</w:t>
      </w:r>
      <w:r w:rsidRPr="005933F9">
        <w:t xml:space="preserve"> ratio was adjusted from </w:t>
      </w:r>
      <w:r w:rsidR="00B563A3">
        <w:t>1:5</w:t>
      </w:r>
      <w:r w:rsidRPr="005933F9">
        <w:t xml:space="preserve"> to </w:t>
      </w:r>
      <w:r w:rsidR="00B563A3">
        <w:t>1:20</w:t>
      </w:r>
      <w:r w:rsidRPr="005933F9">
        <w:t xml:space="preserve"> (</w:t>
      </w:r>
      <w:proofErr w:type="spellStart"/>
      <w:r w:rsidRPr="005933F9">
        <w:t>w</w:t>
      </w:r>
      <w:r w:rsidR="00B563A3">
        <w:t>:</w:t>
      </w:r>
      <w:r w:rsidRPr="005933F9">
        <w:t>w</w:t>
      </w:r>
      <w:proofErr w:type="spellEnd"/>
      <w:r w:rsidRPr="005933F9">
        <w:t xml:space="preserve">), producing </w:t>
      </w:r>
      <w:r w:rsidR="00B563A3">
        <w:t xml:space="preserve">agglomerate </w:t>
      </w:r>
      <w:r w:rsidRPr="005933F9">
        <w:t xml:space="preserve">coprecipitated </w:t>
      </w:r>
      <w:r w:rsidR="00B563A3">
        <w:t>sub</w:t>
      </w:r>
      <w:r w:rsidR="00C53E3D">
        <w:t>-</w:t>
      </w:r>
      <w:r w:rsidRPr="005933F9">
        <w:t>microparticles</w:t>
      </w:r>
      <w:r w:rsidR="00B563A3">
        <w:t xml:space="preserve"> in the case of 1:5 w:w and more spherical sub</w:t>
      </w:r>
      <w:r w:rsidR="00C53E3D">
        <w:t>-</w:t>
      </w:r>
      <w:r w:rsidR="00B563A3">
        <w:t>microparticles</w:t>
      </w:r>
      <w:r w:rsidRPr="005933F9">
        <w:t xml:space="preserve"> with average sizes of </w:t>
      </w:r>
      <w:r w:rsidR="00B563A3">
        <w:t>0.</w:t>
      </w:r>
      <w:r w:rsidR="00F82367">
        <w:t>38</w:t>
      </w:r>
      <w:r w:rsidRPr="005933F9">
        <w:t xml:space="preserve"> µm and </w:t>
      </w:r>
      <w:r w:rsidR="00B563A3">
        <w:t>0.</w:t>
      </w:r>
      <w:r w:rsidR="00F82367">
        <w:t>55</w:t>
      </w:r>
      <w:r w:rsidRPr="005933F9">
        <w:t xml:space="preserve"> µm,</w:t>
      </w:r>
      <w:r w:rsidR="00B563A3">
        <w:t xml:space="preserve"> for 1:20 and 1:10</w:t>
      </w:r>
      <w:r w:rsidRPr="005933F9">
        <w:t xml:space="preserve"> respectively.</w:t>
      </w:r>
    </w:p>
    <w:p w14:paraId="5B109D29" w14:textId="102475A7" w:rsidR="005933F9" w:rsidRPr="005933F9" w:rsidRDefault="001B5F4D" w:rsidP="005933F9">
      <w:r>
        <w:t xml:space="preserve">Dissolution tests indicated that employing Levan as a polymeric carrier in the coprecipitation process was effective, </w:t>
      </w:r>
      <w:r w:rsidR="00A22887">
        <w:t>as the SAS composite particles accelerated release of NIM; the release time of the coprecipitated sample was halved</w:t>
      </w:r>
      <w:r>
        <w:t xml:space="preserve"> compared to pure </w:t>
      </w:r>
      <w:proofErr w:type="spellStart"/>
      <w:r>
        <w:t>Nimesulide</w:t>
      </w:r>
      <w:proofErr w:type="spellEnd"/>
      <w:r>
        <w:t xml:space="preserve">. These findings are encouraging for </w:t>
      </w:r>
      <w:r w:rsidR="00A22887">
        <w:t>the development of</w:t>
      </w:r>
      <w:r>
        <w:t xml:space="preserve"> controlled-release formulations.</w:t>
      </w:r>
    </w:p>
    <w:p w14:paraId="276A05A3" w14:textId="77777777" w:rsidR="005933F9" w:rsidRPr="005933F9" w:rsidRDefault="005933F9" w:rsidP="005933F9"/>
    <w:p w14:paraId="4F1327F8" w14:textId="77777777" w:rsidR="00600535" w:rsidRDefault="00600535" w:rsidP="00600535">
      <w:pPr>
        <w:pStyle w:val="CETReference"/>
      </w:pPr>
      <w:r w:rsidRPr="00B57B36">
        <w:t>References</w:t>
      </w:r>
    </w:p>
    <w:p w14:paraId="1F8C186B" w14:textId="5F18C899" w:rsidR="00481B9F" w:rsidRDefault="00481B9F" w:rsidP="00481B9F">
      <w:pPr>
        <w:pStyle w:val="CETReferencetext"/>
      </w:pPr>
      <w:proofErr w:type="spellStart"/>
      <w:r>
        <w:t>Badens</w:t>
      </w:r>
      <w:proofErr w:type="spellEnd"/>
      <w:r>
        <w:t xml:space="preserve"> E., Masmoudi Y., </w:t>
      </w:r>
      <w:proofErr w:type="spellStart"/>
      <w:r>
        <w:t>Mouahid</w:t>
      </w:r>
      <w:proofErr w:type="spellEnd"/>
      <w:r>
        <w:t xml:space="preserve"> A., Crampon C., 2018, Current situation and perspectives in drug formulation by using supercritical fluid technology, The Journal of Supercritical Fluids,</w:t>
      </w:r>
      <w:r w:rsidR="00D14F20">
        <w:t xml:space="preserve"> </w:t>
      </w:r>
      <w:r>
        <w:t>Volume 134,</w:t>
      </w:r>
    </w:p>
    <w:p w14:paraId="01EBA8AC" w14:textId="20DA8191" w:rsidR="00B563A3" w:rsidRPr="00272A4B" w:rsidRDefault="00B563A3" w:rsidP="00481B9F">
      <w:pPr>
        <w:pStyle w:val="CETReferencetext"/>
      </w:pPr>
      <w:r w:rsidRPr="00272A4B">
        <w:t>De Marco I. and Franco P., 2020, Production of Eudragit/Ampicillin Microparticles by Supercritical Antisolvent Coprecipitation; Chemical Engineering transaction, vol.79.</w:t>
      </w:r>
    </w:p>
    <w:p w14:paraId="33674120" w14:textId="2DFC5B20" w:rsidR="00B563A3" w:rsidRPr="00272A4B" w:rsidRDefault="00B563A3" w:rsidP="00165FE5">
      <w:pPr>
        <w:pStyle w:val="CETReferencetext"/>
      </w:pPr>
      <w:proofErr w:type="spellStart"/>
      <w:r w:rsidRPr="00272A4B">
        <w:t>Domżał-Kędzia</w:t>
      </w:r>
      <w:proofErr w:type="spellEnd"/>
      <w:r w:rsidRPr="00272A4B">
        <w:t xml:space="preserve"> M., Ostrowska M., Lewińska A., Łukaszewicz M., 2023. Recent Developments and Applications of Microbial Levan, A Versatile Polysaccharide-Based Biopolymer Molecules 28, no. 14: 5407. </w:t>
      </w:r>
    </w:p>
    <w:p w14:paraId="1BFEEA4D" w14:textId="78A58CCE" w:rsidR="000145F9" w:rsidRPr="000145F9" w:rsidRDefault="000145F9" w:rsidP="000145F9">
      <w:pPr>
        <w:pStyle w:val="CETReferencetext"/>
      </w:pPr>
      <w:r>
        <w:t>G</w:t>
      </w:r>
      <w:r w:rsidRPr="000145F9">
        <w:t>onzález-</w:t>
      </w:r>
      <w:proofErr w:type="spellStart"/>
      <w:r w:rsidRPr="000145F9">
        <w:t>Garcinuño</w:t>
      </w:r>
      <w:proofErr w:type="spellEnd"/>
      <w:r>
        <w:t xml:space="preserve"> </w:t>
      </w:r>
      <w:r w:rsidRPr="000145F9">
        <w:t>A.</w:t>
      </w:r>
      <w:r>
        <w:t>,</w:t>
      </w:r>
      <w:r w:rsidRPr="000145F9">
        <w:t> Tabernero</w:t>
      </w:r>
      <w:r>
        <w:t xml:space="preserve"> A.</w:t>
      </w:r>
      <w:r w:rsidRPr="000145F9">
        <w:t>, Marcelo</w:t>
      </w:r>
      <w:r>
        <w:t xml:space="preserve"> G.</w:t>
      </w:r>
      <w:r w:rsidRPr="000145F9">
        <w:t>, Sebastián</w:t>
      </w:r>
      <w:r>
        <w:t xml:space="preserve"> V.</w:t>
      </w:r>
      <w:r w:rsidRPr="000145F9">
        <w:t>, </w:t>
      </w:r>
      <w:proofErr w:type="spellStart"/>
      <w:r w:rsidRPr="000145F9">
        <w:t>Arruebo</w:t>
      </w:r>
      <w:proofErr w:type="spellEnd"/>
      <w:r>
        <w:t xml:space="preserve"> M.</w:t>
      </w:r>
      <w:r w:rsidRPr="000145F9">
        <w:t>, Santamaría</w:t>
      </w:r>
      <w:r>
        <w:t xml:space="preserve"> J.</w:t>
      </w:r>
      <w:r w:rsidRPr="000145F9">
        <w:t>, Martín del Valle</w:t>
      </w:r>
      <w:r>
        <w:t xml:space="preserve"> E.</w:t>
      </w:r>
      <w:r w:rsidRPr="000145F9">
        <w:t>,</w:t>
      </w:r>
      <w:r>
        <w:t xml:space="preserve"> 2019, </w:t>
      </w:r>
      <w:r w:rsidRPr="000145F9">
        <w:t xml:space="preserve">Differences in </w:t>
      </w:r>
      <w:proofErr w:type="spellStart"/>
      <w:r w:rsidRPr="000145F9">
        <w:t>levan</w:t>
      </w:r>
      <w:proofErr w:type="spellEnd"/>
      <w:r w:rsidRPr="000145F9">
        <w:t xml:space="preserve"> nanoparticles depending on their synthesis route: microbial vs cell-free systems</w:t>
      </w:r>
      <w:r>
        <w:t xml:space="preserve">, </w:t>
      </w:r>
      <w:r w:rsidRPr="000145F9">
        <w:t>Int</w:t>
      </w:r>
      <w:r>
        <w:t>ernational</w:t>
      </w:r>
      <w:r w:rsidRPr="000145F9">
        <w:t xml:space="preserve"> J</w:t>
      </w:r>
      <w:r>
        <w:t>ournal</w:t>
      </w:r>
      <w:r w:rsidRPr="000145F9">
        <w:t xml:space="preserve"> </w:t>
      </w:r>
      <w:r w:rsidRPr="00272A4B">
        <w:t>of Biological Macromolecules</w:t>
      </w:r>
      <w:r w:rsidRPr="000145F9">
        <w:t>, 137, pp. 62-68,</w:t>
      </w:r>
    </w:p>
    <w:p w14:paraId="25E91301" w14:textId="77777777" w:rsidR="00D52E72" w:rsidRDefault="00D52E72" w:rsidP="00C24AF1">
      <w:pPr>
        <w:pStyle w:val="CETReferencetext"/>
      </w:pPr>
      <w:proofErr w:type="spellStart"/>
      <w:r w:rsidRPr="00272A4B">
        <w:rPr>
          <w:lang w:val="it-IT"/>
        </w:rPr>
        <w:t>Kırtel</w:t>
      </w:r>
      <w:proofErr w:type="spellEnd"/>
      <w:r w:rsidRPr="00272A4B">
        <w:rPr>
          <w:lang w:val="it-IT"/>
        </w:rPr>
        <w:t xml:space="preserve">, O., </w:t>
      </w:r>
      <w:proofErr w:type="spellStart"/>
      <w:r w:rsidRPr="00272A4B">
        <w:rPr>
          <w:lang w:val="it-IT"/>
        </w:rPr>
        <w:t>Combie</w:t>
      </w:r>
      <w:proofErr w:type="spellEnd"/>
      <w:r w:rsidRPr="00272A4B">
        <w:rPr>
          <w:lang w:val="it-IT"/>
        </w:rPr>
        <w:t xml:space="preserve">, J. 2022, Levan. </w:t>
      </w:r>
      <w:r w:rsidRPr="00272A4B">
        <w:t xml:space="preserve">In: Oliveira, J.M., </w:t>
      </w:r>
      <w:proofErr w:type="spellStart"/>
      <w:r w:rsidRPr="00272A4B">
        <w:t>Radhouani</w:t>
      </w:r>
      <w:proofErr w:type="spellEnd"/>
      <w:r w:rsidRPr="00272A4B">
        <w:t xml:space="preserve">, H., Reis, R.L. (eds) Polysaccharides of Microbial Origin. Springer, Cham. </w:t>
      </w:r>
    </w:p>
    <w:p w14:paraId="4361A8E4" w14:textId="010EA22C" w:rsidR="00C15183" w:rsidRDefault="00C15183" w:rsidP="00C15183">
      <w:pPr>
        <w:pStyle w:val="CETReferencetext"/>
      </w:pPr>
      <w:r>
        <w:t xml:space="preserve">Liu G., Gong L., Zhang J., Wu Z., Deng H., Deng S., Development of </w:t>
      </w:r>
      <w:proofErr w:type="spellStart"/>
      <w:r>
        <w:t>nimesulide</w:t>
      </w:r>
      <w:proofErr w:type="spellEnd"/>
      <w:r>
        <w:t xml:space="preserve"> amorphous solid dispersions via supercritical anti-solvent process for dissolution enhancement, 2020, European Journal of Pharmaceutical Sciences, Volume 152.</w:t>
      </w:r>
    </w:p>
    <w:p w14:paraId="6BF00DB3" w14:textId="6A1E0035" w:rsidR="004233A3" w:rsidRPr="00272A4B" w:rsidRDefault="004233A3" w:rsidP="00C24AF1">
      <w:pPr>
        <w:pStyle w:val="CETReferencetext"/>
      </w:pPr>
      <w:proofErr w:type="spellStart"/>
      <w:r w:rsidRPr="004233A3">
        <w:t>Marinopoulou</w:t>
      </w:r>
      <w:proofErr w:type="spellEnd"/>
      <w:r>
        <w:t xml:space="preserve"> A.,</w:t>
      </w:r>
      <w:r w:rsidRPr="004233A3">
        <w:t xml:space="preserve"> </w:t>
      </w:r>
      <w:proofErr w:type="spellStart"/>
      <w:r w:rsidRPr="004233A3">
        <w:t>Christoﬁlos</w:t>
      </w:r>
      <w:proofErr w:type="spellEnd"/>
      <w:r>
        <w:t xml:space="preserve"> D.</w:t>
      </w:r>
      <w:r w:rsidRPr="004233A3">
        <w:t>, Arvanitidis</w:t>
      </w:r>
      <w:r>
        <w:t xml:space="preserve"> J., </w:t>
      </w:r>
      <w:proofErr w:type="spellStart"/>
      <w:r w:rsidRPr="004233A3">
        <w:t>Raphaelides</w:t>
      </w:r>
      <w:proofErr w:type="spellEnd"/>
      <w:r>
        <w:t xml:space="preserve"> S.N., 2020, </w:t>
      </w:r>
      <w:r w:rsidRPr="004233A3">
        <w:t xml:space="preserve">Interaction of Tretinoin and </w:t>
      </w:r>
      <w:proofErr w:type="spellStart"/>
      <w:r>
        <w:t>Nimesulid</w:t>
      </w:r>
      <w:proofErr w:type="spellEnd"/>
      <w:r>
        <w:t xml:space="preserve"> with</w:t>
      </w:r>
      <w:r w:rsidRPr="004233A3">
        <w:t xml:space="preserve"> Amylose Matrices</w:t>
      </w:r>
      <w:r>
        <w:t>, Starch, Volume 73, Issues 1-2.</w:t>
      </w:r>
    </w:p>
    <w:p w14:paraId="171CD903" w14:textId="692DDB12" w:rsidR="00B563A3" w:rsidRPr="00272A4B" w:rsidRDefault="00B563A3" w:rsidP="00E35C49">
      <w:pPr>
        <w:pStyle w:val="CETReferencetext"/>
      </w:pPr>
      <w:proofErr w:type="spellStart"/>
      <w:r w:rsidRPr="00272A4B">
        <w:t>Młynek</w:t>
      </w:r>
      <w:proofErr w:type="spellEnd"/>
      <w:r w:rsidRPr="00272A4B">
        <w:t xml:space="preserve"> M., </w:t>
      </w:r>
      <w:proofErr w:type="spellStart"/>
      <w:r w:rsidRPr="00272A4B">
        <w:t>Trzciński</w:t>
      </w:r>
      <w:proofErr w:type="spellEnd"/>
      <w:r w:rsidRPr="00272A4B">
        <w:t xml:space="preserve"> J.W., </w:t>
      </w:r>
      <w:proofErr w:type="spellStart"/>
      <w:r w:rsidRPr="00272A4B">
        <w:t>Ciach</w:t>
      </w:r>
      <w:proofErr w:type="spellEnd"/>
      <w:r w:rsidRPr="00272A4B">
        <w:t xml:space="preserve"> T., 2023</w:t>
      </w:r>
      <w:r w:rsidR="002B2EA5">
        <w:t xml:space="preserve">, </w:t>
      </w:r>
      <w:r w:rsidRPr="00272A4B">
        <w:t>Recent Advances in the Polish Research on Polysaccharide-Based Nanoparticles in the Context of Various Administration Routes Biomedicines 11, no. 5: 1307.</w:t>
      </w:r>
    </w:p>
    <w:p w14:paraId="03507984" w14:textId="22DC7266" w:rsidR="00600535" w:rsidRPr="00272A4B" w:rsidRDefault="00CD173A" w:rsidP="00CD173A">
      <w:pPr>
        <w:pStyle w:val="CETBodytext"/>
        <w:rPr>
          <w:lang w:val="en-GB"/>
        </w:rPr>
      </w:pPr>
      <w:r w:rsidRPr="00272A4B">
        <w:rPr>
          <w:lang w:val="en-GB"/>
        </w:rPr>
        <w:t xml:space="preserve">Mottola S., Viscusi G., </w:t>
      </w:r>
      <w:proofErr w:type="spellStart"/>
      <w:r w:rsidRPr="00272A4B">
        <w:rPr>
          <w:lang w:val="en-GB"/>
        </w:rPr>
        <w:t>Garcinuño</w:t>
      </w:r>
      <w:proofErr w:type="spellEnd"/>
      <w:r w:rsidR="00D93C71" w:rsidRPr="00272A4B">
        <w:rPr>
          <w:lang w:val="en-GB"/>
        </w:rPr>
        <w:t xml:space="preserve"> A.G.</w:t>
      </w:r>
      <w:r w:rsidRPr="00272A4B">
        <w:rPr>
          <w:lang w:val="en-GB"/>
        </w:rPr>
        <w:t>,</w:t>
      </w:r>
      <w:r w:rsidR="00B563A3" w:rsidRPr="00272A4B">
        <w:rPr>
          <w:lang w:val="en-GB"/>
        </w:rPr>
        <w:t xml:space="preserve"> </w:t>
      </w:r>
      <w:r w:rsidRPr="00272A4B">
        <w:rPr>
          <w:lang w:val="en-GB"/>
        </w:rPr>
        <w:t>Tabernero</w:t>
      </w:r>
      <w:r w:rsidR="00D93C71" w:rsidRPr="00272A4B">
        <w:rPr>
          <w:lang w:val="en-GB"/>
        </w:rPr>
        <w:t xml:space="preserve"> A.</w:t>
      </w:r>
      <w:r w:rsidRPr="00272A4B">
        <w:rPr>
          <w:lang w:val="en-GB"/>
        </w:rPr>
        <w:t>,</w:t>
      </w:r>
      <w:r w:rsidR="00B563A3" w:rsidRPr="00272A4B">
        <w:rPr>
          <w:lang w:val="en-GB"/>
        </w:rPr>
        <w:t xml:space="preserve"> </w:t>
      </w:r>
      <w:r w:rsidRPr="00272A4B">
        <w:rPr>
          <w:lang w:val="en-GB"/>
        </w:rPr>
        <w:t>Cardea</w:t>
      </w:r>
      <w:r w:rsidR="00D93C71" w:rsidRPr="00272A4B">
        <w:rPr>
          <w:lang w:val="en-GB"/>
        </w:rPr>
        <w:t xml:space="preserve"> S.</w:t>
      </w:r>
      <w:r w:rsidRPr="00272A4B">
        <w:rPr>
          <w:lang w:val="en-GB"/>
        </w:rPr>
        <w:t>, Martín del Valle</w:t>
      </w:r>
      <w:r w:rsidR="00D93C71" w:rsidRPr="00272A4B">
        <w:rPr>
          <w:lang w:val="en-GB"/>
        </w:rPr>
        <w:t xml:space="preserve"> E.M.</w:t>
      </w:r>
      <w:r w:rsidRPr="00272A4B">
        <w:rPr>
          <w:lang w:val="en-GB"/>
        </w:rPr>
        <w:t xml:space="preserve">, </w:t>
      </w:r>
      <w:proofErr w:type="spellStart"/>
      <w:r w:rsidRPr="00272A4B">
        <w:rPr>
          <w:lang w:val="en-GB"/>
        </w:rPr>
        <w:t>Go</w:t>
      </w:r>
      <w:r w:rsidR="00D93C71" w:rsidRPr="00272A4B">
        <w:rPr>
          <w:lang w:val="en-GB"/>
        </w:rPr>
        <w:t>r</w:t>
      </w:r>
      <w:r w:rsidRPr="00272A4B">
        <w:rPr>
          <w:lang w:val="en-GB"/>
        </w:rPr>
        <w:t>rasi</w:t>
      </w:r>
      <w:proofErr w:type="spellEnd"/>
      <w:r w:rsidR="00D93C71" w:rsidRPr="00272A4B">
        <w:rPr>
          <w:lang w:val="en-GB"/>
        </w:rPr>
        <w:t xml:space="preserve"> G.</w:t>
      </w:r>
      <w:r w:rsidRPr="00272A4B">
        <w:rPr>
          <w:lang w:val="en-GB"/>
        </w:rPr>
        <w:t>, De Marco</w:t>
      </w:r>
      <w:r w:rsidR="00D93C71" w:rsidRPr="00272A4B">
        <w:rPr>
          <w:lang w:val="en-GB"/>
        </w:rPr>
        <w:t xml:space="preserve"> I.</w:t>
      </w:r>
      <w:r w:rsidRPr="00272A4B">
        <w:rPr>
          <w:lang w:val="en-GB"/>
        </w:rPr>
        <w:t>,</w:t>
      </w:r>
      <w:r w:rsidR="00D93C71" w:rsidRPr="00272A4B">
        <w:rPr>
          <w:lang w:val="en-GB"/>
        </w:rPr>
        <w:t xml:space="preserve"> 2024, </w:t>
      </w:r>
      <w:r w:rsidRPr="00272A4B">
        <w:rPr>
          <w:lang w:val="en-GB"/>
        </w:rPr>
        <w:t xml:space="preserve">Controlling particle size of </w:t>
      </w:r>
      <w:proofErr w:type="spellStart"/>
      <w:r w:rsidRPr="00272A4B">
        <w:rPr>
          <w:lang w:val="en-GB"/>
        </w:rPr>
        <w:t>levan</w:t>
      </w:r>
      <w:proofErr w:type="spellEnd"/>
      <w:r w:rsidRPr="00272A4B">
        <w:rPr>
          <w:lang w:val="en-GB"/>
        </w:rPr>
        <w:t xml:space="preserve"> in powder form with different technologies,</w:t>
      </w:r>
      <w:r w:rsidR="00D93C71" w:rsidRPr="00272A4B">
        <w:rPr>
          <w:lang w:val="en-GB"/>
        </w:rPr>
        <w:t xml:space="preserve"> </w:t>
      </w:r>
      <w:r w:rsidRPr="00272A4B">
        <w:rPr>
          <w:lang w:val="en-GB"/>
        </w:rPr>
        <w:t>International Journal of Biological Macromolecules,</w:t>
      </w:r>
      <w:r w:rsidR="00D93C71" w:rsidRPr="00272A4B">
        <w:rPr>
          <w:lang w:val="en-GB"/>
        </w:rPr>
        <w:t xml:space="preserve"> </w:t>
      </w:r>
      <w:r w:rsidRPr="00272A4B">
        <w:rPr>
          <w:lang w:val="en-GB"/>
        </w:rPr>
        <w:t>Volume 280, Part 1</w:t>
      </w:r>
      <w:r w:rsidR="00D93C71" w:rsidRPr="00272A4B">
        <w:rPr>
          <w:lang w:val="en-GB"/>
        </w:rPr>
        <w:t>.</w:t>
      </w:r>
    </w:p>
    <w:p w14:paraId="21A77717" w14:textId="42AFEA74" w:rsidR="00B563A3" w:rsidRPr="00272A4B" w:rsidRDefault="00B563A3" w:rsidP="00B563A3">
      <w:pPr>
        <w:pStyle w:val="CETReferencetext"/>
      </w:pPr>
      <w:r w:rsidRPr="00272A4B">
        <w:t>Mouro C., Gomes A.P., Gouveia I.C., 2024. Microbial Exopolysaccharides: Structure, Diversity, Applications, and Future Frontiers in Sustainable Functional Materials</w:t>
      </w:r>
      <w:r w:rsidR="002B2EA5">
        <w:t xml:space="preserve">, </w:t>
      </w:r>
      <w:r w:rsidRPr="00272A4B">
        <w:t xml:space="preserve">Polysaccharides 5, no. 3: 241-287. </w:t>
      </w:r>
    </w:p>
    <w:p w14:paraId="6A19785E" w14:textId="3480CD96" w:rsidR="00B563A3" w:rsidRPr="00272A4B" w:rsidRDefault="00B563A3" w:rsidP="00B563A3">
      <w:pPr>
        <w:pStyle w:val="CETReferencetext"/>
      </w:pPr>
      <w:proofErr w:type="spellStart"/>
      <w:r w:rsidRPr="00272A4B">
        <w:t>Mummaleti</w:t>
      </w:r>
      <w:proofErr w:type="spellEnd"/>
      <w:r w:rsidRPr="00272A4B">
        <w:t xml:space="preserve"> G., Sarma C., </w:t>
      </w:r>
      <w:proofErr w:type="spellStart"/>
      <w:r w:rsidRPr="00272A4B">
        <w:t>Yarrakula</w:t>
      </w:r>
      <w:proofErr w:type="spellEnd"/>
      <w:r w:rsidRPr="00272A4B">
        <w:t xml:space="preserve"> S., </w:t>
      </w:r>
      <w:proofErr w:type="spellStart"/>
      <w:r w:rsidRPr="00272A4B">
        <w:t>Urla</w:t>
      </w:r>
      <w:proofErr w:type="spellEnd"/>
      <w:r w:rsidRPr="00272A4B">
        <w:t xml:space="preserve"> R., </w:t>
      </w:r>
      <w:proofErr w:type="spellStart"/>
      <w:r w:rsidRPr="00272A4B">
        <w:t>GazulaH</w:t>
      </w:r>
      <w:proofErr w:type="spellEnd"/>
      <w:r w:rsidRPr="00272A4B">
        <w:t xml:space="preserve">., 2024, Production, properties and applications of </w:t>
      </w:r>
      <w:proofErr w:type="spellStart"/>
      <w:r w:rsidRPr="00272A4B">
        <w:t>levan</w:t>
      </w:r>
      <w:proofErr w:type="spellEnd"/>
      <w:r w:rsidRPr="00272A4B">
        <w:t xml:space="preserve"> polysaccharide, Food and Humanity, Volume 3.</w:t>
      </w:r>
    </w:p>
    <w:p w14:paraId="42E2CA4F" w14:textId="469A07BC" w:rsidR="00B563A3" w:rsidRPr="00272A4B" w:rsidRDefault="00B563A3" w:rsidP="00B563A3">
      <w:pPr>
        <w:pStyle w:val="CETReferencetext"/>
      </w:pPr>
      <w:r w:rsidRPr="00272A4B">
        <w:t xml:space="preserve">Paul P., Nair R., Mahajan S., Gupta U., </w:t>
      </w:r>
      <w:proofErr w:type="spellStart"/>
      <w:r w:rsidRPr="00272A4B">
        <w:t>Aalhate</w:t>
      </w:r>
      <w:proofErr w:type="spellEnd"/>
      <w:r w:rsidRPr="00272A4B">
        <w:t xml:space="preserve"> M., Maji I., Singh P.K., 2023, Traversing the diverse avenues of exopolysaccharides-based nanocarriers in the management of cancer, Carbohydrate Polymers, Volume 312.</w:t>
      </w:r>
    </w:p>
    <w:p w14:paraId="76F57DAA" w14:textId="77777777" w:rsidR="00B563A3" w:rsidRDefault="00B563A3" w:rsidP="00B563A3">
      <w:pPr>
        <w:pStyle w:val="CETReferencetext"/>
      </w:pPr>
    </w:p>
    <w:p w14:paraId="416C12C9" w14:textId="77777777" w:rsidR="00B563A3" w:rsidRDefault="00B563A3" w:rsidP="00B563A3">
      <w:pPr>
        <w:pStyle w:val="CETReferencetext"/>
      </w:pPr>
    </w:p>
    <w:p w14:paraId="19C4FC68" w14:textId="77777777" w:rsidR="004628D2" w:rsidRDefault="004628D2" w:rsidP="00FA5F5F">
      <w:pPr>
        <w:pStyle w:val="CETHeading1"/>
        <w:numPr>
          <w:ilvl w:val="0"/>
          <w:numId w:val="0"/>
        </w:numPr>
      </w:pPr>
    </w:p>
    <w:sectPr w:rsidR="004628D2" w:rsidSect="00A714EF">
      <w:type w:val="continuous"/>
      <w:pgSz w:w="11906" w:h="16838" w:code="9"/>
      <w:pgMar w:top="1701" w:right="1418" w:bottom="1701" w:left="1701" w:header="170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36BF6" w14:textId="77777777" w:rsidR="00706E56" w:rsidRDefault="00706E56" w:rsidP="004F5E36">
      <w:r>
        <w:separator/>
      </w:r>
    </w:p>
  </w:endnote>
  <w:endnote w:type="continuationSeparator" w:id="0">
    <w:p w14:paraId="08A5CEE6" w14:textId="77777777" w:rsidR="00706E56" w:rsidRDefault="00706E56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P6960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6CC89" w14:textId="77777777" w:rsidR="00706E56" w:rsidRDefault="00706E56" w:rsidP="004F5E36">
      <w:r>
        <w:separator/>
      </w:r>
    </w:p>
  </w:footnote>
  <w:footnote w:type="continuationSeparator" w:id="0">
    <w:p w14:paraId="5B32B21B" w14:textId="77777777" w:rsidR="00706E56" w:rsidRDefault="00706E56" w:rsidP="004F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38217E"/>
    <w:multiLevelType w:val="multilevel"/>
    <w:tmpl w:val="4DE48D4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142" w:firstLine="0"/>
      </w:pPr>
      <w:rPr>
        <w:rFonts w:hint="default"/>
      </w:rPr>
    </w:lvl>
    <w:lvl w:ilvl="3">
      <w:start w:val="1"/>
      <w:numFmt w:val="decimal"/>
      <w:pStyle w:val="Tabellasemplic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30B7370"/>
    <w:multiLevelType w:val="hybridMultilevel"/>
    <w:tmpl w:val="12E2A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E0394"/>
    <w:multiLevelType w:val="hybridMultilevel"/>
    <w:tmpl w:val="806658E2"/>
    <w:lvl w:ilvl="0" w:tplc="14B0F7A8">
      <w:start w:val="1"/>
      <w:numFmt w:val="bullet"/>
      <w:pStyle w:val="CETnumberingbullets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329B9"/>
    <w:multiLevelType w:val="hybridMultilevel"/>
    <w:tmpl w:val="A2E6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100E8"/>
    <w:multiLevelType w:val="hybridMultilevel"/>
    <w:tmpl w:val="6F34C07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87BA7"/>
    <w:multiLevelType w:val="hybridMultilevel"/>
    <w:tmpl w:val="1F6A8AD4"/>
    <w:lvl w:ilvl="0" w:tplc="14B0F7A8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17387"/>
    <w:multiLevelType w:val="hybridMultilevel"/>
    <w:tmpl w:val="C2AE185A"/>
    <w:lvl w:ilvl="0" w:tplc="14090011">
      <w:start w:val="1"/>
      <w:numFmt w:val="decimal"/>
      <w:lvlText w:val="%1)"/>
      <w:lvlJc w:val="left"/>
      <w:pPr>
        <w:ind w:left="340" w:hanging="22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015B5"/>
    <w:multiLevelType w:val="hybridMultilevel"/>
    <w:tmpl w:val="CCDE09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5266D"/>
    <w:multiLevelType w:val="hybridMultilevel"/>
    <w:tmpl w:val="F5BE3C4A"/>
    <w:lvl w:ilvl="0" w:tplc="9FC4D28C">
      <w:start w:val="1"/>
      <w:numFmt w:val="lowerLetter"/>
      <w:pStyle w:val="CETnumberinga"/>
      <w:lvlText w:val="%1."/>
      <w:lvlJc w:val="left"/>
      <w:pPr>
        <w:ind w:left="340" w:hanging="22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882765">
    <w:abstractNumId w:val="10"/>
  </w:num>
  <w:num w:numId="2" w16cid:durableId="1954094313">
    <w:abstractNumId w:val="8"/>
  </w:num>
  <w:num w:numId="3" w16cid:durableId="2001083081">
    <w:abstractNumId w:val="3"/>
  </w:num>
  <w:num w:numId="4" w16cid:durableId="665287687">
    <w:abstractNumId w:val="2"/>
  </w:num>
  <w:num w:numId="5" w16cid:durableId="1763211618">
    <w:abstractNumId w:val="1"/>
  </w:num>
  <w:num w:numId="6" w16cid:durableId="733351894">
    <w:abstractNumId w:val="0"/>
  </w:num>
  <w:num w:numId="7" w16cid:durableId="1265187038">
    <w:abstractNumId w:val="9"/>
  </w:num>
  <w:num w:numId="8" w16cid:durableId="458382672">
    <w:abstractNumId w:val="7"/>
  </w:num>
  <w:num w:numId="9" w16cid:durableId="652636510">
    <w:abstractNumId w:val="6"/>
  </w:num>
  <w:num w:numId="10" w16cid:durableId="1972591888">
    <w:abstractNumId w:val="5"/>
  </w:num>
  <w:num w:numId="11" w16cid:durableId="1179278139">
    <w:abstractNumId w:val="4"/>
  </w:num>
  <w:num w:numId="12" w16cid:durableId="1575509198">
    <w:abstractNumId w:val="17"/>
  </w:num>
  <w:num w:numId="13" w16cid:durableId="695733619">
    <w:abstractNumId w:val="12"/>
  </w:num>
  <w:num w:numId="14" w16cid:durableId="145903400">
    <w:abstractNumId w:val="18"/>
  </w:num>
  <w:num w:numId="15" w16cid:durableId="19162326">
    <w:abstractNumId w:val="20"/>
  </w:num>
  <w:num w:numId="16" w16cid:durableId="1977102699">
    <w:abstractNumId w:val="19"/>
  </w:num>
  <w:num w:numId="17" w16cid:durableId="860774865">
    <w:abstractNumId w:val="11"/>
  </w:num>
  <w:num w:numId="18" w16cid:durableId="313221457">
    <w:abstractNumId w:val="12"/>
    <w:lvlOverride w:ilvl="0">
      <w:startOverride w:val="1"/>
    </w:lvlOverride>
  </w:num>
  <w:num w:numId="19" w16cid:durableId="534971577">
    <w:abstractNumId w:val="16"/>
  </w:num>
  <w:num w:numId="20" w16cid:durableId="1150947773">
    <w:abstractNumId w:val="15"/>
  </w:num>
  <w:num w:numId="21" w16cid:durableId="124660497">
    <w:abstractNumId w:val="14"/>
  </w:num>
  <w:num w:numId="22" w16cid:durableId="2099861471">
    <w:abstractNumId w:val="13"/>
  </w:num>
  <w:num w:numId="23" w16cid:durableId="1125734493">
    <w:abstractNumId w:val="10"/>
    <w:lvlOverride w:ilvl="0">
      <w:startOverride w:val="1"/>
    </w:lvlOverride>
    <w:lvlOverride w:ilvl="1">
      <w:startOverride w:val="4"/>
    </w:lvlOverride>
  </w:num>
  <w:num w:numId="24" w16cid:durableId="620846771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0291403">
    <w:abstractNumId w:val="10"/>
    <w:lvlOverride w:ilvl="0">
      <w:startOverride w:val="1"/>
    </w:lvlOverride>
    <w:lvlOverride w:ilvl="1">
      <w:startOverride w:val="2"/>
    </w:lvlOverride>
    <w:lvlOverride w:ilvl="2">
      <w:startOverride w:val="2"/>
    </w:lvlOverride>
  </w:num>
  <w:num w:numId="26" w16cid:durableId="1859346907">
    <w:abstractNumId w:val="10"/>
    <w:lvlOverride w:ilvl="0">
      <w:startOverride w:val="1"/>
    </w:lvlOverride>
    <w:lvlOverride w:ilvl="1">
      <w:startOverride w:val="2"/>
    </w:lvlOverride>
    <w:lvlOverride w:ilvl="2">
      <w:startOverride w:val="2"/>
    </w:lvlOverride>
  </w:num>
  <w:num w:numId="27" w16cid:durableId="1875532295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autoFormatOverride/>
  <w:styleLockTheme/>
  <w:styleLockQFSet/>
  <w:defaultTabStop w:val="708"/>
  <w:hyphenationZone w:val="283"/>
  <w:clickAndTypeStyle w:val="CETBodytex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0NzezsDA3M7MwMTJW0lEKTi0uzszPAymwrAUAugS3IywAAAA="/>
  </w:docVars>
  <w:rsids>
    <w:rsidRoot w:val="000E414A"/>
    <w:rsid w:val="000027C0"/>
    <w:rsid w:val="000052FB"/>
    <w:rsid w:val="00005A19"/>
    <w:rsid w:val="000117CB"/>
    <w:rsid w:val="000145F9"/>
    <w:rsid w:val="000162F0"/>
    <w:rsid w:val="0003148D"/>
    <w:rsid w:val="00031EEC"/>
    <w:rsid w:val="00051566"/>
    <w:rsid w:val="00054288"/>
    <w:rsid w:val="000562A9"/>
    <w:rsid w:val="00062A9A"/>
    <w:rsid w:val="00065058"/>
    <w:rsid w:val="00086C39"/>
    <w:rsid w:val="000900E9"/>
    <w:rsid w:val="00094A52"/>
    <w:rsid w:val="000A03B2"/>
    <w:rsid w:val="000C0012"/>
    <w:rsid w:val="000D0268"/>
    <w:rsid w:val="000D34BE"/>
    <w:rsid w:val="000E102F"/>
    <w:rsid w:val="000E36F1"/>
    <w:rsid w:val="000E3A73"/>
    <w:rsid w:val="000E414A"/>
    <w:rsid w:val="000F093C"/>
    <w:rsid w:val="000F787B"/>
    <w:rsid w:val="00112493"/>
    <w:rsid w:val="0012091F"/>
    <w:rsid w:val="00126BC2"/>
    <w:rsid w:val="001308B6"/>
    <w:rsid w:val="0013121F"/>
    <w:rsid w:val="00131FE6"/>
    <w:rsid w:val="0013263F"/>
    <w:rsid w:val="001331DF"/>
    <w:rsid w:val="00134AB1"/>
    <w:rsid w:val="00134DE4"/>
    <w:rsid w:val="001372CC"/>
    <w:rsid w:val="0014034D"/>
    <w:rsid w:val="00144D16"/>
    <w:rsid w:val="00150E59"/>
    <w:rsid w:val="00152DE3"/>
    <w:rsid w:val="00163292"/>
    <w:rsid w:val="001633D2"/>
    <w:rsid w:val="00164CF9"/>
    <w:rsid w:val="00165FE5"/>
    <w:rsid w:val="001667A6"/>
    <w:rsid w:val="00184AD6"/>
    <w:rsid w:val="001A4AF7"/>
    <w:rsid w:val="001B0349"/>
    <w:rsid w:val="001B1E93"/>
    <w:rsid w:val="001B5F4D"/>
    <w:rsid w:val="001B65C1"/>
    <w:rsid w:val="001B6DB6"/>
    <w:rsid w:val="001C255F"/>
    <w:rsid w:val="001C684B"/>
    <w:rsid w:val="001D0CFB"/>
    <w:rsid w:val="001D21AF"/>
    <w:rsid w:val="001D53FC"/>
    <w:rsid w:val="001E2CE8"/>
    <w:rsid w:val="001F42A5"/>
    <w:rsid w:val="001F7B9D"/>
    <w:rsid w:val="001F7F35"/>
    <w:rsid w:val="00201C93"/>
    <w:rsid w:val="002224B4"/>
    <w:rsid w:val="00223E05"/>
    <w:rsid w:val="00224292"/>
    <w:rsid w:val="0023780C"/>
    <w:rsid w:val="002447EF"/>
    <w:rsid w:val="00246B3C"/>
    <w:rsid w:val="00251244"/>
    <w:rsid w:val="00251550"/>
    <w:rsid w:val="00263B05"/>
    <w:rsid w:val="00266B95"/>
    <w:rsid w:val="0027221A"/>
    <w:rsid w:val="00272A4B"/>
    <w:rsid w:val="00275B61"/>
    <w:rsid w:val="00280FAF"/>
    <w:rsid w:val="00282656"/>
    <w:rsid w:val="00292C29"/>
    <w:rsid w:val="00296B83"/>
    <w:rsid w:val="002A4189"/>
    <w:rsid w:val="002B2EA5"/>
    <w:rsid w:val="002B4015"/>
    <w:rsid w:val="002B78CE"/>
    <w:rsid w:val="002C1E33"/>
    <w:rsid w:val="002C2FB6"/>
    <w:rsid w:val="002E1BCD"/>
    <w:rsid w:val="002E3A87"/>
    <w:rsid w:val="002E5FA7"/>
    <w:rsid w:val="002E716C"/>
    <w:rsid w:val="002F3309"/>
    <w:rsid w:val="003008CE"/>
    <w:rsid w:val="003009B7"/>
    <w:rsid w:val="00300E56"/>
    <w:rsid w:val="0030152C"/>
    <w:rsid w:val="0030469C"/>
    <w:rsid w:val="00321CA6"/>
    <w:rsid w:val="00323763"/>
    <w:rsid w:val="00323C5F"/>
    <w:rsid w:val="00334C09"/>
    <w:rsid w:val="00341263"/>
    <w:rsid w:val="003723D4"/>
    <w:rsid w:val="00374F0E"/>
    <w:rsid w:val="00381905"/>
    <w:rsid w:val="00384CC8"/>
    <w:rsid w:val="003871FD"/>
    <w:rsid w:val="00387C9D"/>
    <w:rsid w:val="003A1E30"/>
    <w:rsid w:val="003A2829"/>
    <w:rsid w:val="003A6870"/>
    <w:rsid w:val="003A7D1C"/>
    <w:rsid w:val="003B304B"/>
    <w:rsid w:val="003B3146"/>
    <w:rsid w:val="003B3897"/>
    <w:rsid w:val="003D6231"/>
    <w:rsid w:val="003F015E"/>
    <w:rsid w:val="00400414"/>
    <w:rsid w:val="00405086"/>
    <w:rsid w:val="0041446B"/>
    <w:rsid w:val="0042148A"/>
    <w:rsid w:val="004233A3"/>
    <w:rsid w:val="00430DFF"/>
    <w:rsid w:val="00431D67"/>
    <w:rsid w:val="00435B8F"/>
    <w:rsid w:val="0044071E"/>
    <w:rsid w:val="0044329C"/>
    <w:rsid w:val="004437AA"/>
    <w:rsid w:val="00453DC9"/>
    <w:rsid w:val="00453E24"/>
    <w:rsid w:val="00454A99"/>
    <w:rsid w:val="00457456"/>
    <w:rsid w:val="004577FE"/>
    <w:rsid w:val="00457B9C"/>
    <w:rsid w:val="0046164A"/>
    <w:rsid w:val="004628D2"/>
    <w:rsid w:val="00462DCD"/>
    <w:rsid w:val="004648AD"/>
    <w:rsid w:val="00466324"/>
    <w:rsid w:val="004703A9"/>
    <w:rsid w:val="004760DE"/>
    <w:rsid w:val="004763D7"/>
    <w:rsid w:val="00481B9F"/>
    <w:rsid w:val="0048487D"/>
    <w:rsid w:val="004A004E"/>
    <w:rsid w:val="004A24CF"/>
    <w:rsid w:val="004B2A46"/>
    <w:rsid w:val="004C3D1D"/>
    <w:rsid w:val="004C3D84"/>
    <w:rsid w:val="004C7913"/>
    <w:rsid w:val="004D14E0"/>
    <w:rsid w:val="004D482F"/>
    <w:rsid w:val="004E4DD6"/>
    <w:rsid w:val="004F5E36"/>
    <w:rsid w:val="00507B47"/>
    <w:rsid w:val="00507BEF"/>
    <w:rsid w:val="00507CC9"/>
    <w:rsid w:val="005119A5"/>
    <w:rsid w:val="005278B7"/>
    <w:rsid w:val="0053111C"/>
    <w:rsid w:val="00531466"/>
    <w:rsid w:val="00532016"/>
    <w:rsid w:val="005346C8"/>
    <w:rsid w:val="00543E7D"/>
    <w:rsid w:val="00547A68"/>
    <w:rsid w:val="005531C9"/>
    <w:rsid w:val="00557E00"/>
    <w:rsid w:val="00562C9C"/>
    <w:rsid w:val="00570C43"/>
    <w:rsid w:val="005933F9"/>
    <w:rsid w:val="005B2110"/>
    <w:rsid w:val="005B61E6"/>
    <w:rsid w:val="005C77E1"/>
    <w:rsid w:val="005D0673"/>
    <w:rsid w:val="005D668A"/>
    <w:rsid w:val="005D6A2F"/>
    <w:rsid w:val="005E1A82"/>
    <w:rsid w:val="005E794C"/>
    <w:rsid w:val="005F0A28"/>
    <w:rsid w:val="005F0E5E"/>
    <w:rsid w:val="00600535"/>
    <w:rsid w:val="00610CD6"/>
    <w:rsid w:val="00620164"/>
    <w:rsid w:val="00620DEE"/>
    <w:rsid w:val="00621F92"/>
    <w:rsid w:val="0062280A"/>
    <w:rsid w:val="00625639"/>
    <w:rsid w:val="00631B33"/>
    <w:rsid w:val="0064184D"/>
    <w:rsid w:val="006422CC"/>
    <w:rsid w:val="00660E3E"/>
    <w:rsid w:val="00662E74"/>
    <w:rsid w:val="00680C23"/>
    <w:rsid w:val="00681460"/>
    <w:rsid w:val="006872F0"/>
    <w:rsid w:val="00693766"/>
    <w:rsid w:val="00695E1B"/>
    <w:rsid w:val="006A3281"/>
    <w:rsid w:val="006A5469"/>
    <w:rsid w:val="006B4888"/>
    <w:rsid w:val="006C2E45"/>
    <w:rsid w:val="006C359C"/>
    <w:rsid w:val="006C5579"/>
    <w:rsid w:val="006C6EF5"/>
    <w:rsid w:val="006C707E"/>
    <w:rsid w:val="006D6E8B"/>
    <w:rsid w:val="006E737D"/>
    <w:rsid w:val="00706E56"/>
    <w:rsid w:val="00707DD1"/>
    <w:rsid w:val="0071170B"/>
    <w:rsid w:val="00713973"/>
    <w:rsid w:val="00720A24"/>
    <w:rsid w:val="00724697"/>
    <w:rsid w:val="00732386"/>
    <w:rsid w:val="0073514D"/>
    <w:rsid w:val="00740F10"/>
    <w:rsid w:val="007447F3"/>
    <w:rsid w:val="00753685"/>
    <w:rsid w:val="0075499F"/>
    <w:rsid w:val="007661C8"/>
    <w:rsid w:val="0077098D"/>
    <w:rsid w:val="00786799"/>
    <w:rsid w:val="007931FA"/>
    <w:rsid w:val="007A4861"/>
    <w:rsid w:val="007A684C"/>
    <w:rsid w:val="007A70DB"/>
    <w:rsid w:val="007A78FA"/>
    <w:rsid w:val="007A7BBA"/>
    <w:rsid w:val="007B0C50"/>
    <w:rsid w:val="007B336C"/>
    <w:rsid w:val="007B48F9"/>
    <w:rsid w:val="007C1A43"/>
    <w:rsid w:val="007C5202"/>
    <w:rsid w:val="007C6702"/>
    <w:rsid w:val="007D0951"/>
    <w:rsid w:val="0080013E"/>
    <w:rsid w:val="00813288"/>
    <w:rsid w:val="008168FC"/>
    <w:rsid w:val="00821762"/>
    <w:rsid w:val="00830996"/>
    <w:rsid w:val="008345F1"/>
    <w:rsid w:val="00861E47"/>
    <w:rsid w:val="00865B07"/>
    <w:rsid w:val="008667EA"/>
    <w:rsid w:val="0086702E"/>
    <w:rsid w:val="0087637F"/>
    <w:rsid w:val="00892AD5"/>
    <w:rsid w:val="008967CB"/>
    <w:rsid w:val="008A1512"/>
    <w:rsid w:val="008A7B0E"/>
    <w:rsid w:val="008B547B"/>
    <w:rsid w:val="008C0EA2"/>
    <w:rsid w:val="008D32B9"/>
    <w:rsid w:val="008D433B"/>
    <w:rsid w:val="008D4A16"/>
    <w:rsid w:val="008D6174"/>
    <w:rsid w:val="008E566E"/>
    <w:rsid w:val="008E58F7"/>
    <w:rsid w:val="00900B3A"/>
    <w:rsid w:val="0090161A"/>
    <w:rsid w:val="00901EB6"/>
    <w:rsid w:val="00904C62"/>
    <w:rsid w:val="00922BA8"/>
    <w:rsid w:val="00924DAC"/>
    <w:rsid w:val="00927058"/>
    <w:rsid w:val="00942750"/>
    <w:rsid w:val="009450CE"/>
    <w:rsid w:val="009459BB"/>
    <w:rsid w:val="00945D05"/>
    <w:rsid w:val="00947179"/>
    <w:rsid w:val="0095164B"/>
    <w:rsid w:val="00954090"/>
    <w:rsid w:val="009573E7"/>
    <w:rsid w:val="00957B0A"/>
    <w:rsid w:val="00963E05"/>
    <w:rsid w:val="00964A45"/>
    <w:rsid w:val="00967843"/>
    <w:rsid w:val="00967D54"/>
    <w:rsid w:val="00971028"/>
    <w:rsid w:val="00981BD2"/>
    <w:rsid w:val="00993B84"/>
    <w:rsid w:val="00996483"/>
    <w:rsid w:val="00996F5A"/>
    <w:rsid w:val="009B041A"/>
    <w:rsid w:val="009B5928"/>
    <w:rsid w:val="009C37C3"/>
    <w:rsid w:val="009C7C86"/>
    <w:rsid w:val="009D25E5"/>
    <w:rsid w:val="009D2FF7"/>
    <w:rsid w:val="009D7F32"/>
    <w:rsid w:val="009E7884"/>
    <w:rsid w:val="009E788A"/>
    <w:rsid w:val="009F0E08"/>
    <w:rsid w:val="009F3768"/>
    <w:rsid w:val="00A05F5A"/>
    <w:rsid w:val="00A1763D"/>
    <w:rsid w:val="00A17CEC"/>
    <w:rsid w:val="00A22887"/>
    <w:rsid w:val="00A27EF0"/>
    <w:rsid w:val="00A42361"/>
    <w:rsid w:val="00A50B20"/>
    <w:rsid w:val="00A51390"/>
    <w:rsid w:val="00A60D13"/>
    <w:rsid w:val="00A714EF"/>
    <w:rsid w:val="00A7223D"/>
    <w:rsid w:val="00A72745"/>
    <w:rsid w:val="00A76EFC"/>
    <w:rsid w:val="00A87D50"/>
    <w:rsid w:val="00A91010"/>
    <w:rsid w:val="00A97F29"/>
    <w:rsid w:val="00AA06DA"/>
    <w:rsid w:val="00AA702E"/>
    <w:rsid w:val="00AA7D26"/>
    <w:rsid w:val="00AB0964"/>
    <w:rsid w:val="00AB1370"/>
    <w:rsid w:val="00AB5011"/>
    <w:rsid w:val="00AC2B20"/>
    <w:rsid w:val="00AC7368"/>
    <w:rsid w:val="00AD16B9"/>
    <w:rsid w:val="00AE035C"/>
    <w:rsid w:val="00AE377D"/>
    <w:rsid w:val="00AF0EBA"/>
    <w:rsid w:val="00AF46C8"/>
    <w:rsid w:val="00B02C8A"/>
    <w:rsid w:val="00B17FBD"/>
    <w:rsid w:val="00B24B89"/>
    <w:rsid w:val="00B315A6"/>
    <w:rsid w:val="00B31813"/>
    <w:rsid w:val="00B33365"/>
    <w:rsid w:val="00B34EAD"/>
    <w:rsid w:val="00B50185"/>
    <w:rsid w:val="00B54274"/>
    <w:rsid w:val="00B563A3"/>
    <w:rsid w:val="00B57B36"/>
    <w:rsid w:val="00B57E6F"/>
    <w:rsid w:val="00B62C60"/>
    <w:rsid w:val="00B6325E"/>
    <w:rsid w:val="00B8686D"/>
    <w:rsid w:val="00B93F69"/>
    <w:rsid w:val="00BB1DDC"/>
    <w:rsid w:val="00BC30C9"/>
    <w:rsid w:val="00BD077D"/>
    <w:rsid w:val="00BD5270"/>
    <w:rsid w:val="00BE3E58"/>
    <w:rsid w:val="00C01616"/>
    <w:rsid w:val="00C0162B"/>
    <w:rsid w:val="00C05302"/>
    <w:rsid w:val="00C068ED"/>
    <w:rsid w:val="00C15183"/>
    <w:rsid w:val="00C208AF"/>
    <w:rsid w:val="00C22E0C"/>
    <w:rsid w:val="00C24AF1"/>
    <w:rsid w:val="00C250F1"/>
    <w:rsid w:val="00C3451D"/>
    <w:rsid w:val="00C345B1"/>
    <w:rsid w:val="00C40142"/>
    <w:rsid w:val="00C477F3"/>
    <w:rsid w:val="00C52C3C"/>
    <w:rsid w:val="00C53E3D"/>
    <w:rsid w:val="00C57182"/>
    <w:rsid w:val="00C57863"/>
    <w:rsid w:val="00C61CB9"/>
    <w:rsid w:val="00C640AF"/>
    <w:rsid w:val="00C655FD"/>
    <w:rsid w:val="00C668FD"/>
    <w:rsid w:val="00C75407"/>
    <w:rsid w:val="00C77CC8"/>
    <w:rsid w:val="00C841C6"/>
    <w:rsid w:val="00C870A8"/>
    <w:rsid w:val="00C94434"/>
    <w:rsid w:val="00CA0D75"/>
    <w:rsid w:val="00CA1C95"/>
    <w:rsid w:val="00CA30A8"/>
    <w:rsid w:val="00CA5A9C"/>
    <w:rsid w:val="00CB1DCA"/>
    <w:rsid w:val="00CC4C20"/>
    <w:rsid w:val="00CD173A"/>
    <w:rsid w:val="00CD3517"/>
    <w:rsid w:val="00CD5FE2"/>
    <w:rsid w:val="00CE7C68"/>
    <w:rsid w:val="00CF5652"/>
    <w:rsid w:val="00D02B4C"/>
    <w:rsid w:val="00D040C4"/>
    <w:rsid w:val="00D14F20"/>
    <w:rsid w:val="00D20AD1"/>
    <w:rsid w:val="00D2582C"/>
    <w:rsid w:val="00D26497"/>
    <w:rsid w:val="00D30A9E"/>
    <w:rsid w:val="00D46B7E"/>
    <w:rsid w:val="00D52E72"/>
    <w:rsid w:val="00D57C84"/>
    <w:rsid w:val="00D6057D"/>
    <w:rsid w:val="00D71640"/>
    <w:rsid w:val="00D71C71"/>
    <w:rsid w:val="00D836C5"/>
    <w:rsid w:val="00D84576"/>
    <w:rsid w:val="00D93C71"/>
    <w:rsid w:val="00D94855"/>
    <w:rsid w:val="00DA1399"/>
    <w:rsid w:val="00DA24C6"/>
    <w:rsid w:val="00DA4D7B"/>
    <w:rsid w:val="00DB36CC"/>
    <w:rsid w:val="00DD271C"/>
    <w:rsid w:val="00DD3A36"/>
    <w:rsid w:val="00DD58DF"/>
    <w:rsid w:val="00DE264A"/>
    <w:rsid w:val="00DE2E8E"/>
    <w:rsid w:val="00DF5072"/>
    <w:rsid w:val="00E02D18"/>
    <w:rsid w:val="00E041E7"/>
    <w:rsid w:val="00E16597"/>
    <w:rsid w:val="00E2351E"/>
    <w:rsid w:val="00E23CA1"/>
    <w:rsid w:val="00E241C6"/>
    <w:rsid w:val="00E35C49"/>
    <w:rsid w:val="00E409A8"/>
    <w:rsid w:val="00E43038"/>
    <w:rsid w:val="00E5074E"/>
    <w:rsid w:val="00E50C12"/>
    <w:rsid w:val="00E52A6E"/>
    <w:rsid w:val="00E65B91"/>
    <w:rsid w:val="00E7209D"/>
    <w:rsid w:val="00E72EAD"/>
    <w:rsid w:val="00E77223"/>
    <w:rsid w:val="00E77B41"/>
    <w:rsid w:val="00E8528B"/>
    <w:rsid w:val="00E85B94"/>
    <w:rsid w:val="00E978D0"/>
    <w:rsid w:val="00EA4613"/>
    <w:rsid w:val="00EA5AFD"/>
    <w:rsid w:val="00EA7F91"/>
    <w:rsid w:val="00EB1523"/>
    <w:rsid w:val="00EB3B58"/>
    <w:rsid w:val="00EC0E49"/>
    <w:rsid w:val="00EC101F"/>
    <w:rsid w:val="00EC1D9F"/>
    <w:rsid w:val="00ED02A5"/>
    <w:rsid w:val="00ED33EF"/>
    <w:rsid w:val="00EE0131"/>
    <w:rsid w:val="00EE17B0"/>
    <w:rsid w:val="00EF06D9"/>
    <w:rsid w:val="00F00C04"/>
    <w:rsid w:val="00F0315D"/>
    <w:rsid w:val="00F13053"/>
    <w:rsid w:val="00F15AF7"/>
    <w:rsid w:val="00F20EFA"/>
    <w:rsid w:val="00F3049E"/>
    <w:rsid w:val="00F30C64"/>
    <w:rsid w:val="00F327A3"/>
    <w:rsid w:val="00F32BA2"/>
    <w:rsid w:val="00F32CDB"/>
    <w:rsid w:val="00F50F0C"/>
    <w:rsid w:val="00F55B4B"/>
    <w:rsid w:val="00F565FE"/>
    <w:rsid w:val="00F57564"/>
    <w:rsid w:val="00F62A6A"/>
    <w:rsid w:val="00F63A70"/>
    <w:rsid w:val="00F63D8C"/>
    <w:rsid w:val="00F66807"/>
    <w:rsid w:val="00F7534E"/>
    <w:rsid w:val="00F775CF"/>
    <w:rsid w:val="00F82367"/>
    <w:rsid w:val="00F93EDF"/>
    <w:rsid w:val="00FA1802"/>
    <w:rsid w:val="00FA21D0"/>
    <w:rsid w:val="00FA5195"/>
    <w:rsid w:val="00FA5F5F"/>
    <w:rsid w:val="00FB41CD"/>
    <w:rsid w:val="00FB730C"/>
    <w:rsid w:val="00FB777F"/>
    <w:rsid w:val="00FC2695"/>
    <w:rsid w:val="00FC3E03"/>
    <w:rsid w:val="00FC3FC1"/>
    <w:rsid w:val="00FD3F23"/>
    <w:rsid w:val="00FE0C8E"/>
    <w:rsid w:val="00FF094E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AE0CC22"/>
  <w14:defaultImageDpi w14:val="330"/>
  <w15:docId w15:val="{0B95FB59-9D38-42B5-B090-D2348EE1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itolo1">
    <w:name w:val="heading 1"/>
    <w:basedOn w:val="CETHeading1"/>
    <w:next w:val="Normale"/>
    <w:link w:val="Titolo1Carattere"/>
    <w:uiPriority w:val="9"/>
    <w:rsid w:val="004F5E36"/>
    <w:pPr>
      <w:tabs>
        <w:tab w:val="right" w:pos="7100"/>
      </w:tabs>
      <w:jc w:val="both"/>
      <w:outlineLvl w:val="0"/>
    </w:pPr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qFormat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qFormat/>
    <w:rsid w:val="009E788A"/>
    <w:pPr>
      <w:keepNext/>
      <w:numPr>
        <w:ilvl w:val="1"/>
        <w:numId w:val="1"/>
      </w:numPr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qFormat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autoRedefine/>
    <w:qFormat/>
    <w:rsid w:val="006C707E"/>
    <w:pPr>
      <w:keepNext/>
      <w:numPr>
        <w:ilvl w:val="2"/>
        <w:numId w:val="1"/>
      </w:numPr>
      <w:suppressAutoHyphens/>
      <w:spacing w:before="120" w:after="120" w:line="240" w:lineRule="auto"/>
      <w:ind w:left="0" w:firstLine="142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qFormat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ellasemplice1">
    <w:name w:val="Table Simple 1"/>
    <w:basedOn w:val="Tabellanormale"/>
    <w:semiHidden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qFormat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Caption">
    <w:name w:val="CET Caption"/>
    <w:link w:val="CETCaptionCarattere"/>
    <w:qFormat/>
    <w:rsid w:val="00F7534E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character" w:customStyle="1" w:styleId="CETheadingxCarattere">
    <w:name w:val="CET headingx Carattere"/>
    <w:link w:val="CETheadingx"/>
    <w:rsid w:val="006C707E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F7534E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4577FE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fia">
    <w:name w:val="Bibliography"/>
    <w:basedOn w:val="CETReferencetext"/>
    <w:uiPriority w:val="37"/>
    <w:unhideWhenUsed/>
    <w:rsid w:val="00631B33"/>
    <w:pPr>
      <w:spacing w:line="240" w:lineRule="auto"/>
      <w:ind w:left="720" w:hanging="720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14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148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3148D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314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3148D"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03148D"/>
  </w:style>
  <w:style w:type="character" w:customStyle="1" w:styleId="DataCarattere">
    <w:name w:val="Data Carattere"/>
    <w:basedOn w:val="Carpredefinitoparagrafo"/>
    <w:link w:val="Data"/>
    <w:uiPriority w:val="99"/>
    <w:semiHidden/>
    <w:rsid w:val="0003148D"/>
  </w:style>
  <w:style w:type="paragraph" w:styleId="Didascalia">
    <w:name w:val="caption"/>
    <w:basedOn w:val="Normale"/>
    <w:next w:val="Normale"/>
    <w:uiPriority w:val="35"/>
    <w:semiHidden/>
    <w:unhideWhenUsed/>
    <w:qFormat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Elenco">
    <w:name w:val="List"/>
    <w:basedOn w:val="Normale"/>
    <w:uiPriority w:val="99"/>
    <w:semiHidden/>
    <w:unhideWhenUsed/>
    <w:rsid w:val="0003148D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03148D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03148D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03148D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03148D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03148D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03148D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03148D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03148D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03148D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rsid w:val="0003148D"/>
    <w:pPr>
      <w:spacing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03148D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03148D"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03148D"/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03148D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03148D"/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03148D"/>
    <w:pPr>
      <w:spacing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03148D"/>
  </w:style>
  <w:style w:type="paragraph" w:styleId="Indice1">
    <w:name w:val="index 1"/>
    <w:basedOn w:val="Normale"/>
    <w:next w:val="Normale"/>
    <w:autoRedefine/>
    <w:uiPriority w:val="99"/>
    <w:semiHidden/>
    <w:unhideWhenUsed/>
    <w:rsid w:val="0003148D"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03148D"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03148D"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03148D"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03148D"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03148D"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03148D"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03148D"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03148D"/>
    <w:pPr>
      <w:spacing w:line="240" w:lineRule="auto"/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03148D"/>
  </w:style>
  <w:style w:type="paragraph" w:styleId="Indicefonti">
    <w:name w:val="table of authorities"/>
    <w:basedOn w:val="Normale"/>
    <w:next w:val="Normale"/>
    <w:uiPriority w:val="99"/>
    <w:semiHidden/>
    <w:unhideWhenUsed/>
    <w:rsid w:val="0003148D"/>
    <w:pPr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03148D"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3148D"/>
    <w:rPr>
      <w:i/>
      <w:iCs/>
    </w:rPr>
  </w:style>
  <w:style w:type="paragraph" w:styleId="Indirizzomittente">
    <w:name w:val="envelope return"/>
    <w:basedOn w:val="Normale"/>
    <w:uiPriority w:val="99"/>
    <w:semiHidden/>
    <w:unhideWhenUs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03148D"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03148D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3148D"/>
    <w:rPr>
      <w:sz w:val="24"/>
      <w:szCs w:val="24"/>
    </w:rPr>
  </w:style>
  <w:style w:type="paragraph" w:styleId="Numeroelenco">
    <w:name w:val="List Number"/>
    <w:basedOn w:val="Normale"/>
    <w:uiPriority w:val="99"/>
    <w:semiHidden/>
    <w:unhideWhenUsed/>
    <w:rsid w:val="0003148D"/>
    <w:pPr>
      <w:numPr>
        <w:numId w:val="2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03148D"/>
    <w:pPr>
      <w:numPr>
        <w:numId w:val="3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03148D"/>
    <w:pPr>
      <w:numPr>
        <w:numId w:val="4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03148D"/>
    <w:pPr>
      <w:numPr>
        <w:numId w:val="5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03148D"/>
    <w:pPr>
      <w:numPr>
        <w:numId w:val="6"/>
      </w:numPr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03148D"/>
    <w:pPr>
      <w:spacing w:after="2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03148D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3148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3148D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03148D"/>
    <w:pPr>
      <w:spacing w:after="20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03148D"/>
  </w:style>
  <w:style w:type="paragraph" w:styleId="Puntoelenco">
    <w:name w:val="List Bullet"/>
    <w:basedOn w:val="Normale"/>
    <w:uiPriority w:val="99"/>
    <w:semiHidden/>
    <w:unhideWhenUsed/>
    <w:rsid w:val="0003148D"/>
    <w:pPr>
      <w:numPr>
        <w:numId w:val="7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03148D"/>
    <w:pPr>
      <w:numPr>
        <w:numId w:val="8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03148D"/>
    <w:pPr>
      <w:numPr>
        <w:numId w:val="9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03148D"/>
    <w:pPr>
      <w:numPr>
        <w:numId w:val="10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03148D"/>
    <w:pPr>
      <w:numPr>
        <w:numId w:val="11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14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148D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314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3148D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rsid w:val="0003148D"/>
    <w:pPr>
      <w:ind w:left="720"/>
    </w:pPr>
  </w:style>
  <w:style w:type="paragraph" w:styleId="Testocommento">
    <w:name w:val="annotation text"/>
    <w:basedOn w:val="Normale"/>
    <w:link w:val="TestocommentoCarattere"/>
    <w:uiPriority w:val="99"/>
    <w:unhideWhenUsed/>
    <w:rsid w:val="0003148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314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14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148D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03148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03148D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03148D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03148D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03148D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03148D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03148D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03148D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03148D"/>
    <w:pPr>
      <w:spacing w:after="100"/>
      <w:ind w:left="1760"/>
    </w:pPr>
  </w:style>
  <w:style w:type="paragraph" w:styleId="Testodelblocco">
    <w:name w:val="Block Text"/>
    <w:basedOn w:val="Normale"/>
    <w:uiPriority w:val="99"/>
    <w:semiHidden/>
    <w:unhideWhenUs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stomacro">
    <w:name w:val="macro"/>
    <w:link w:val="TestomacroCarattere"/>
    <w:uiPriority w:val="99"/>
    <w:semiHidden/>
    <w:unhideWhenUs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3148D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148D"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3148D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3148D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indice">
    <w:name w:val="index heading"/>
    <w:basedOn w:val="Normale"/>
    <w:next w:val="Indice1"/>
    <w:uiPriority w:val="99"/>
    <w:semiHidden/>
    <w:unhideWhenUsed/>
    <w:rsid w:val="0003148D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Carpredefinitoparagrafo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rsid w:val="00901EB6"/>
    <w:rPr>
      <w:b/>
    </w:rPr>
  </w:style>
  <w:style w:type="paragraph" w:customStyle="1" w:styleId="CETnumberingbullets">
    <w:name w:val="CET numbering (bullets)"/>
    <w:rsid w:val="008D433B"/>
    <w:pPr>
      <w:numPr>
        <w:numId w:val="13"/>
      </w:numPr>
      <w:spacing w:after="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B57B36"/>
    <w:pPr>
      <w:numPr>
        <w:numId w:val="14"/>
      </w:numPr>
      <w:spacing w:after="0" w:line="264" w:lineRule="auto"/>
      <w:ind w:left="340" w:hanging="22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B57B36"/>
    <w:pPr>
      <w:numPr>
        <w:numId w:val="15"/>
      </w:numPr>
      <w:spacing w:after="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Grigliatabella">
    <w:name w:val="Table Grid"/>
    <w:basedOn w:val="Tabellanormale"/>
    <w:uiPriority w:val="59"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04C62"/>
    <w:rPr>
      <w:color w:val="0000FF" w:themeColor="hyperlink"/>
      <w:u w:val="single"/>
    </w:rPr>
  </w:style>
  <w:style w:type="character" w:customStyle="1" w:styleId="eudoraheader">
    <w:name w:val="eudoraheader"/>
    <w:basedOn w:val="Carpredefinitoparagrafo"/>
    <w:rsid w:val="00904C62"/>
  </w:style>
  <w:style w:type="paragraph" w:customStyle="1" w:styleId="CETListbullets">
    <w:name w:val="CET List bullets"/>
    <w:qFormat/>
    <w:rsid w:val="004577FE"/>
    <w:pPr>
      <w:spacing w:after="0" w:line="264" w:lineRule="auto"/>
      <w:ind w:left="340" w:hanging="227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Referencetext">
    <w:name w:val="CET Reference text"/>
    <w:qFormat/>
    <w:rsid w:val="00600535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Tabletitle">
    <w:name w:val="CET Table title"/>
    <w:qFormat/>
    <w:rsid w:val="00600535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Acknowledgementstitle">
    <w:name w:val="CET Acknowledgements title"/>
    <w:next w:val="CETBodytext"/>
    <w:qFormat/>
    <w:rsid w:val="0060053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Equation">
    <w:name w:val="CET Equation"/>
    <w:basedOn w:val="CETBodytext"/>
    <w:next w:val="CETBodytext"/>
    <w:qFormat/>
    <w:rsid w:val="00600535"/>
    <w:pPr>
      <w:spacing w:before="120" w:after="120"/>
      <w:jc w:val="left"/>
    </w:pPr>
    <w:rPr>
      <w:lang w:val="en-GB"/>
    </w:rPr>
  </w:style>
  <w:style w:type="paragraph" w:customStyle="1" w:styleId="CETHeadingxx">
    <w:name w:val="CET Headingxx"/>
    <w:basedOn w:val="CETheadingx"/>
    <w:link w:val="CETHeadingxxChar"/>
    <w:qFormat/>
    <w:rsid w:val="000F787B"/>
    <w:pPr>
      <w:numPr>
        <w:ilvl w:val="0"/>
        <w:numId w:val="0"/>
      </w:numPr>
    </w:pPr>
  </w:style>
  <w:style w:type="character" w:customStyle="1" w:styleId="CETHeadingxxChar">
    <w:name w:val="CET Headingxx Char"/>
    <w:basedOn w:val="CETheadingxCarattere"/>
    <w:link w:val="CETHeadingxx"/>
    <w:rsid w:val="000F787B"/>
    <w:rPr>
      <w:rFonts w:ascii="Arial" w:eastAsia="Times New Roman" w:hAnsi="Arial" w:cs="Times New Roman"/>
      <w:b/>
      <w:sz w:val="18"/>
      <w:szCs w:val="20"/>
      <w:lang w:val="en-US"/>
    </w:rPr>
  </w:style>
  <w:style w:type="paragraph" w:styleId="Paragrafoelenco">
    <w:name w:val="List Paragraph"/>
    <w:basedOn w:val="Normale"/>
    <w:uiPriority w:val="34"/>
    <w:rsid w:val="00280FAF"/>
    <w:pPr>
      <w:ind w:left="720"/>
      <w:contextualSpacing/>
    </w:pPr>
  </w:style>
  <w:style w:type="character" w:customStyle="1" w:styleId="gmail-apple-converted-space">
    <w:name w:val="gmail-apple-converted-space"/>
    <w:basedOn w:val="Carpredefinitoparagrafo"/>
    <w:rsid w:val="00005A19"/>
  </w:style>
  <w:style w:type="table" w:customStyle="1" w:styleId="Tabellasemplice11">
    <w:name w:val="Tabella semplice 11"/>
    <w:basedOn w:val="Tabellanormale"/>
    <w:next w:val="Tabellasemplice1"/>
    <w:semiHidden/>
    <w:rsid w:val="005933F9"/>
    <w:p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styleId="Tabellasemplice4">
    <w:name w:val="Plain Table 4"/>
    <w:basedOn w:val="Tabellanormale"/>
    <w:uiPriority w:val="44"/>
    <w:rsid w:val="005933F9"/>
    <w:pPr>
      <w:spacing w:after="0" w:line="240" w:lineRule="auto"/>
    </w:pPr>
    <w:rPr>
      <w:rFonts w:eastAsia="Times New Roman" w:cs="Times New Roman"/>
      <w:kern w:val="2"/>
      <w:lang w:val="es-ES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5933F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6C707E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0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9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mailto:*idemarco@unisa.it" TargetMode="Externa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83C9-6D0A-480C-BF79-A63BD3D9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6</Pages>
  <Words>2957</Words>
  <Characters>16758</Characters>
  <Application>Microsoft Office Word</Application>
  <DocSecurity>0</DocSecurity>
  <Lines>283</Lines>
  <Paragraphs>119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raffaella</dc:creator>
  <cp:lastModifiedBy>Stefania MOTTOLA</cp:lastModifiedBy>
  <cp:revision>54</cp:revision>
  <cp:lastPrinted>2015-05-12T18:31:00Z</cp:lastPrinted>
  <dcterms:created xsi:type="dcterms:W3CDTF">2022-09-21T08:52:00Z</dcterms:created>
  <dcterms:modified xsi:type="dcterms:W3CDTF">2025-07-16T08:58:00Z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zotero-version="4.0.29.17"&gt;&lt;session id="s8VwuD2U"/&gt;&lt;style id="http://www.zotero.org/styles/chemical-engineering-transactions" hasBibliography="1" bibliographyStyleHasBeenSet="1"/&gt;&lt;prefs&gt;&lt;pref name="fieldType" value="Field"/&gt;&lt;pref na</vt:lpwstr>
  </property>
  <property fmtid="{D5CDD505-2E9C-101B-9397-08002B2CF9AE}" pid="3" name="ZOTERO_PREF_2">
    <vt:lpwstr>me="storeReferences" value="true"/&gt;&lt;pref name="automaticJournalAbbreviations" value=""/&gt;&lt;pref name="noteType" value=""/&gt;&lt;/prefs&gt;&lt;/data&gt;</vt:lpwstr>
  </property>
  <property fmtid="{D5CDD505-2E9C-101B-9397-08002B2CF9AE}" pid="4" name="GrammarlyDocumentId">
    <vt:lpwstr>29f54520f539966ba3b5c323b6bd7d0b0bedc073f80c9d51d5bcffac14b96722</vt:lpwstr>
  </property>
</Properties>
</file>