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228E9" w14:paraId="2A131A54" w14:textId="77777777" w:rsidTr="002B3499">
        <w:trPr>
          <w:trHeight w:val="852"/>
          <w:jc w:val="center"/>
        </w:trPr>
        <w:tc>
          <w:tcPr>
            <w:tcW w:w="6940" w:type="dxa"/>
            <w:vMerge w:val="restart"/>
            <w:tcBorders>
              <w:right w:val="single" w:sz="4" w:space="0" w:color="auto"/>
            </w:tcBorders>
          </w:tcPr>
          <w:p w14:paraId="38C3D2BA" w14:textId="77777777" w:rsidR="000A03B2" w:rsidRPr="00D228E9" w:rsidRDefault="000A03B2" w:rsidP="00D228E9">
            <w:pPr>
              <w:tabs>
                <w:tab w:val="left" w:pos="-108"/>
              </w:tabs>
              <w:spacing w:line="240" w:lineRule="auto"/>
              <w:ind w:left="-108"/>
              <w:jc w:val="left"/>
              <w:rPr>
                <w:rFonts w:cs="Arial"/>
                <w:b/>
                <w:bCs/>
                <w:i/>
                <w:iCs/>
                <w:color w:val="000066"/>
                <w:szCs w:val="18"/>
                <w:lang w:eastAsia="it-IT"/>
              </w:rPr>
            </w:pPr>
            <w:bookmarkStart w:id="0" w:name="_Hlk145068772"/>
            <w:r w:rsidRPr="00D228E9">
              <w:rPr>
                <w:rFonts w:cs="Arial"/>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228E9">
              <w:rPr>
                <w:rFonts w:cs="Arial"/>
                <w:color w:val="241F20"/>
                <w:szCs w:val="18"/>
                <w:lang w:eastAsia="it-IT"/>
              </w:rPr>
              <w:t xml:space="preserve"> </w:t>
            </w:r>
            <w:r w:rsidRPr="00D228E9">
              <w:rPr>
                <w:rFonts w:cs="Arial"/>
                <w:b/>
                <w:bCs/>
                <w:i/>
                <w:iCs/>
                <w:color w:val="000066"/>
                <w:szCs w:val="18"/>
                <w:lang w:eastAsia="it-IT"/>
              </w:rPr>
              <w:t>CHEMICAL ENGINEERING</w:t>
            </w:r>
            <w:r w:rsidRPr="00D228E9">
              <w:rPr>
                <w:rFonts w:cs="Arial"/>
                <w:b/>
                <w:bCs/>
                <w:i/>
                <w:iCs/>
                <w:color w:val="0033FF"/>
                <w:szCs w:val="18"/>
                <w:lang w:eastAsia="it-IT"/>
              </w:rPr>
              <w:t xml:space="preserve"> </w:t>
            </w:r>
            <w:r w:rsidRPr="00D228E9">
              <w:rPr>
                <w:rFonts w:cs="Arial"/>
                <w:b/>
                <w:bCs/>
                <w:i/>
                <w:iCs/>
                <w:color w:val="666666"/>
                <w:szCs w:val="18"/>
                <w:lang w:eastAsia="it-IT"/>
              </w:rPr>
              <w:t>TRANSACTIONS</w:t>
            </w:r>
            <w:r w:rsidRPr="00D228E9">
              <w:rPr>
                <w:rFonts w:cs="Arial"/>
                <w:color w:val="333333"/>
                <w:szCs w:val="18"/>
                <w:lang w:eastAsia="it-IT"/>
              </w:rPr>
              <w:t xml:space="preserve"> </w:t>
            </w:r>
            <w:r w:rsidRPr="00D228E9">
              <w:rPr>
                <w:rFonts w:cs="Arial"/>
                <w:b/>
                <w:bCs/>
                <w:i/>
                <w:iCs/>
                <w:color w:val="000066"/>
                <w:szCs w:val="18"/>
                <w:lang w:eastAsia="it-IT"/>
              </w:rPr>
              <w:br/>
            </w:r>
          </w:p>
          <w:p w14:paraId="4B780582" w14:textId="47EF826C" w:rsidR="000A03B2" w:rsidRPr="00D228E9" w:rsidRDefault="00A76EFC" w:rsidP="00D228E9">
            <w:pPr>
              <w:tabs>
                <w:tab w:val="left" w:pos="-108"/>
              </w:tabs>
              <w:spacing w:line="240" w:lineRule="auto"/>
              <w:ind w:left="-108"/>
              <w:rPr>
                <w:rFonts w:cs="Arial"/>
                <w:b/>
                <w:bCs/>
                <w:i/>
                <w:iCs/>
                <w:color w:val="000066"/>
                <w:szCs w:val="18"/>
                <w:lang w:eastAsia="it-IT"/>
              </w:rPr>
            </w:pPr>
            <w:r w:rsidRPr="00D228E9">
              <w:rPr>
                <w:rFonts w:cs="Arial"/>
                <w:b/>
                <w:bCs/>
                <w:i/>
                <w:iCs/>
                <w:color w:val="000066"/>
                <w:szCs w:val="18"/>
                <w:lang w:eastAsia="it-IT"/>
              </w:rPr>
              <w:t>VOL.</w:t>
            </w:r>
            <w:r w:rsidR="00785BF9" w:rsidRPr="00D228E9">
              <w:rPr>
                <w:rFonts w:cs="Arial"/>
                <w:b/>
                <w:bCs/>
                <w:i/>
                <w:iCs/>
                <w:color w:val="000066"/>
                <w:szCs w:val="18"/>
                <w:lang w:eastAsia="it-IT"/>
              </w:rPr>
              <w:t xml:space="preserve"> </w:t>
            </w:r>
            <w:r w:rsidR="00994C6A" w:rsidRPr="00D228E9">
              <w:rPr>
                <w:rFonts w:cs="Arial"/>
                <w:b/>
                <w:bCs/>
                <w:i/>
                <w:iCs/>
                <w:color w:val="000066"/>
                <w:szCs w:val="18"/>
                <w:lang w:eastAsia="it-IT"/>
              </w:rPr>
              <w:t>xxx</w:t>
            </w:r>
            <w:r w:rsidR="007B48F9" w:rsidRPr="00D228E9">
              <w:rPr>
                <w:rFonts w:cs="Arial"/>
                <w:b/>
                <w:bCs/>
                <w:i/>
                <w:iCs/>
                <w:color w:val="000066"/>
                <w:szCs w:val="18"/>
                <w:lang w:eastAsia="it-IT"/>
              </w:rPr>
              <w:t>,</w:t>
            </w:r>
            <w:r w:rsidR="00FA5F5F" w:rsidRPr="00D228E9">
              <w:rPr>
                <w:rFonts w:cs="Arial"/>
                <w:b/>
                <w:bCs/>
                <w:i/>
                <w:iCs/>
                <w:color w:val="000066"/>
                <w:szCs w:val="18"/>
                <w:lang w:eastAsia="it-IT"/>
              </w:rPr>
              <w:t xml:space="preserve"> </w:t>
            </w:r>
            <w:r w:rsidR="0030152C" w:rsidRPr="00D228E9">
              <w:rPr>
                <w:rFonts w:cs="Arial"/>
                <w:b/>
                <w:bCs/>
                <w:i/>
                <w:iCs/>
                <w:color w:val="000066"/>
                <w:szCs w:val="18"/>
                <w:lang w:eastAsia="it-IT"/>
              </w:rPr>
              <w:t>202</w:t>
            </w:r>
            <w:r w:rsidR="00994C6A" w:rsidRPr="00D228E9">
              <w:rPr>
                <w:rFonts w:cs="Arial"/>
                <w:b/>
                <w:bCs/>
                <w:i/>
                <w:iCs/>
                <w:color w:val="000066"/>
                <w:szCs w:val="18"/>
                <w:lang w:eastAsia="it-IT"/>
              </w:rPr>
              <w:t>5</w:t>
            </w:r>
          </w:p>
        </w:tc>
        <w:tc>
          <w:tcPr>
            <w:tcW w:w="1842" w:type="dxa"/>
            <w:tcBorders>
              <w:left w:val="single" w:sz="4" w:space="0" w:color="auto"/>
              <w:bottom w:val="nil"/>
              <w:right w:val="single" w:sz="4" w:space="0" w:color="auto"/>
            </w:tcBorders>
          </w:tcPr>
          <w:p w14:paraId="56782132" w14:textId="77777777" w:rsidR="000A03B2" w:rsidRPr="00D228E9" w:rsidRDefault="000A03B2" w:rsidP="00D228E9">
            <w:pPr>
              <w:spacing w:line="240" w:lineRule="auto"/>
              <w:jc w:val="right"/>
              <w:rPr>
                <w:rFonts w:cs="Arial"/>
                <w:szCs w:val="18"/>
              </w:rPr>
            </w:pPr>
            <w:r w:rsidRPr="00D228E9">
              <w:rPr>
                <w:rFonts w:cs="Arial"/>
                <w:szCs w:val="18"/>
              </w:rPr>
              <w:t>A publication of</w:t>
            </w:r>
          </w:p>
          <w:p w14:paraId="599E5441" w14:textId="77777777" w:rsidR="000A03B2" w:rsidRPr="00D228E9" w:rsidRDefault="000A03B2" w:rsidP="00D228E9">
            <w:pPr>
              <w:spacing w:line="240" w:lineRule="auto"/>
              <w:jc w:val="right"/>
              <w:rPr>
                <w:rFonts w:cs="Arial"/>
                <w:szCs w:val="18"/>
              </w:rPr>
            </w:pPr>
            <w:r w:rsidRPr="00D228E9">
              <w:rPr>
                <w:rFonts w:cs="Arial"/>
                <w:noProof/>
                <w:szCs w:val="18"/>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D228E9" w14:paraId="380FA3CD" w14:textId="77777777" w:rsidTr="002B3499">
        <w:trPr>
          <w:trHeight w:val="567"/>
          <w:jc w:val="center"/>
        </w:trPr>
        <w:tc>
          <w:tcPr>
            <w:tcW w:w="6940" w:type="dxa"/>
            <w:vMerge/>
            <w:tcBorders>
              <w:right w:val="single" w:sz="4" w:space="0" w:color="auto"/>
            </w:tcBorders>
          </w:tcPr>
          <w:p w14:paraId="39E5E4C1" w14:textId="77777777" w:rsidR="000A03B2" w:rsidRPr="00D228E9" w:rsidRDefault="000A03B2" w:rsidP="00D228E9">
            <w:pPr>
              <w:tabs>
                <w:tab w:val="left" w:pos="-108"/>
              </w:tabs>
              <w:spacing w:line="240" w:lineRule="auto"/>
              <w:rPr>
                <w:rFonts w:cs="Arial"/>
                <w:szCs w:val="18"/>
              </w:rPr>
            </w:pPr>
          </w:p>
        </w:tc>
        <w:tc>
          <w:tcPr>
            <w:tcW w:w="1842" w:type="dxa"/>
            <w:tcBorders>
              <w:left w:val="single" w:sz="4" w:space="0" w:color="auto"/>
              <w:bottom w:val="nil"/>
              <w:right w:val="single" w:sz="4" w:space="0" w:color="auto"/>
            </w:tcBorders>
          </w:tcPr>
          <w:p w14:paraId="43858A98" w14:textId="77777777" w:rsidR="000A03B2" w:rsidRPr="00D228E9" w:rsidRDefault="000A03B2" w:rsidP="00D228E9">
            <w:pPr>
              <w:spacing w:line="240" w:lineRule="auto"/>
              <w:jc w:val="right"/>
              <w:rPr>
                <w:rFonts w:cs="Arial"/>
                <w:szCs w:val="18"/>
              </w:rPr>
            </w:pPr>
            <w:r w:rsidRPr="00D228E9">
              <w:rPr>
                <w:rFonts w:cs="Arial"/>
                <w:szCs w:val="18"/>
              </w:rPr>
              <w:t>The Italian Association</w:t>
            </w:r>
          </w:p>
          <w:p w14:paraId="7522B1D2" w14:textId="77777777" w:rsidR="000A03B2" w:rsidRPr="00D228E9" w:rsidRDefault="000A03B2" w:rsidP="00D228E9">
            <w:pPr>
              <w:spacing w:line="240" w:lineRule="auto"/>
              <w:jc w:val="right"/>
              <w:rPr>
                <w:rFonts w:cs="Arial"/>
                <w:szCs w:val="18"/>
              </w:rPr>
            </w:pPr>
            <w:r w:rsidRPr="00D228E9">
              <w:rPr>
                <w:rFonts w:cs="Arial"/>
                <w:szCs w:val="18"/>
              </w:rPr>
              <w:t>of Chemical Engineering</w:t>
            </w:r>
          </w:p>
          <w:p w14:paraId="4F0CC5DE" w14:textId="47FDB2FC" w:rsidR="000A03B2" w:rsidRPr="00D228E9" w:rsidRDefault="000D0268" w:rsidP="00D228E9">
            <w:pPr>
              <w:spacing w:line="240" w:lineRule="auto"/>
              <w:jc w:val="right"/>
              <w:rPr>
                <w:rFonts w:cs="Arial"/>
                <w:szCs w:val="18"/>
              </w:rPr>
            </w:pPr>
            <w:r w:rsidRPr="00D228E9">
              <w:rPr>
                <w:rFonts w:cs="Arial"/>
                <w:szCs w:val="18"/>
              </w:rPr>
              <w:t>Online at www.cetjournal.it</w:t>
            </w:r>
          </w:p>
        </w:tc>
      </w:tr>
      <w:tr w:rsidR="000A03B2" w:rsidRPr="00D228E9" w14:paraId="2D1B7169" w14:textId="77777777" w:rsidTr="002B3499">
        <w:trPr>
          <w:trHeight w:val="68"/>
          <w:jc w:val="center"/>
        </w:trPr>
        <w:tc>
          <w:tcPr>
            <w:tcW w:w="8782" w:type="dxa"/>
            <w:gridSpan w:val="2"/>
          </w:tcPr>
          <w:p w14:paraId="1D8DD3C9" w14:textId="025D7B18" w:rsidR="00AA7D26" w:rsidRPr="00D228E9" w:rsidRDefault="00AA7D26" w:rsidP="00D228E9">
            <w:pPr>
              <w:spacing w:line="240" w:lineRule="auto"/>
              <w:ind w:left="-107"/>
              <w:outlineLvl w:val="2"/>
              <w:rPr>
                <w:rFonts w:cs="Arial"/>
                <w:color w:val="000000"/>
                <w:szCs w:val="18"/>
                <w:shd w:val="clear" w:color="auto" w:fill="FFFFFF"/>
              </w:rPr>
            </w:pPr>
            <w:r w:rsidRPr="00D228E9">
              <w:rPr>
                <w:rFonts w:cs="Arial"/>
                <w:iCs/>
                <w:color w:val="333333"/>
                <w:szCs w:val="18"/>
                <w:lang w:eastAsia="it-IT"/>
              </w:rPr>
              <w:t>Guest Editors:</w:t>
            </w:r>
            <w:r w:rsidR="007D610D" w:rsidRPr="00D228E9">
              <w:rPr>
                <w:rFonts w:eastAsiaTheme="minorHAnsi" w:cs="Arial"/>
                <w:szCs w:val="18"/>
                <w14:ligatures w14:val="standardContextual"/>
              </w:rPr>
              <w:t xml:space="preserve"> </w:t>
            </w:r>
            <w:r w:rsidR="007D610D" w:rsidRPr="00D228E9">
              <w:rPr>
                <w:rFonts w:cs="Arial"/>
                <w:color w:val="000000"/>
                <w:szCs w:val="18"/>
                <w:shd w:val="clear" w:color="auto" w:fill="FFFFFF"/>
              </w:rPr>
              <w:t xml:space="preserve">Fabrizio Bezzo, </w:t>
            </w:r>
            <w:r w:rsidR="001D3D32" w:rsidRPr="00D228E9">
              <w:rPr>
                <w:rFonts w:cs="Arial"/>
                <w:color w:val="000000"/>
                <w:szCs w:val="18"/>
                <w:shd w:val="clear" w:color="auto" w:fill="FFFFFF"/>
              </w:rPr>
              <w:t>Flavio Manenti</w:t>
            </w:r>
            <w:r w:rsidR="00304CE8" w:rsidRPr="00D228E9">
              <w:rPr>
                <w:rFonts w:cs="Arial"/>
                <w:color w:val="000000"/>
                <w:szCs w:val="18"/>
                <w:shd w:val="clear" w:color="auto" w:fill="FFFFFF"/>
              </w:rPr>
              <w:t>,</w:t>
            </w:r>
            <w:r w:rsidR="001D3D32" w:rsidRPr="00D228E9">
              <w:rPr>
                <w:rFonts w:cs="Arial"/>
                <w:color w:val="000000"/>
                <w:szCs w:val="18"/>
                <w:shd w:val="clear" w:color="auto" w:fill="FFFFFF"/>
              </w:rPr>
              <w:t xml:space="preserve"> </w:t>
            </w:r>
            <w:r w:rsidR="007D610D" w:rsidRPr="00D228E9">
              <w:rPr>
                <w:rFonts w:cs="Arial"/>
                <w:color w:val="000000"/>
                <w:szCs w:val="18"/>
                <w:shd w:val="clear" w:color="auto" w:fill="FFFFFF"/>
              </w:rPr>
              <w:t xml:space="preserve">Gabriele </w:t>
            </w:r>
            <w:proofErr w:type="spellStart"/>
            <w:r w:rsidR="007D610D" w:rsidRPr="00D228E9">
              <w:rPr>
                <w:rFonts w:cs="Arial"/>
                <w:color w:val="000000"/>
                <w:szCs w:val="18"/>
                <w:shd w:val="clear" w:color="auto" w:fill="FFFFFF"/>
              </w:rPr>
              <w:t>Pannocchia</w:t>
            </w:r>
            <w:proofErr w:type="spellEnd"/>
            <w:r w:rsidR="007D610D" w:rsidRPr="00D228E9">
              <w:rPr>
                <w:rFonts w:cs="Arial"/>
                <w:color w:val="000000"/>
                <w:szCs w:val="18"/>
                <w:shd w:val="clear" w:color="auto" w:fill="FFFFFF"/>
              </w:rPr>
              <w:t>, Almerinda di Benedetto</w:t>
            </w:r>
          </w:p>
          <w:p w14:paraId="1B0F1814" w14:textId="7C54DC3A" w:rsidR="000A03B2" w:rsidRPr="00D228E9" w:rsidRDefault="00AA7D26" w:rsidP="00D228E9">
            <w:pPr>
              <w:tabs>
                <w:tab w:val="left" w:pos="-108"/>
              </w:tabs>
              <w:spacing w:line="240" w:lineRule="auto"/>
              <w:ind w:left="-107"/>
              <w:jc w:val="left"/>
              <w:rPr>
                <w:rFonts w:cs="Arial"/>
                <w:szCs w:val="18"/>
              </w:rPr>
            </w:pPr>
            <w:r w:rsidRPr="00D228E9">
              <w:rPr>
                <w:rFonts w:cs="Arial"/>
                <w:iCs/>
                <w:color w:val="333333"/>
                <w:szCs w:val="18"/>
                <w:lang w:eastAsia="it-IT"/>
              </w:rPr>
              <w:t>Copyright © 202</w:t>
            </w:r>
            <w:r w:rsidR="00994C6A" w:rsidRPr="00D228E9">
              <w:rPr>
                <w:rFonts w:cs="Arial"/>
                <w:iCs/>
                <w:color w:val="333333"/>
                <w:szCs w:val="18"/>
                <w:lang w:eastAsia="it-IT"/>
              </w:rPr>
              <w:t>5</w:t>
            </w:r>
            <w:r w:rsidRPr="00D228E9">
              <w:rPr>
                <w:rFonts w:cs="Arial"/>
                <w:iCs/>
                <w:color w:val="333333"/>
                <w:szCs w:val="18"/>
                <w:lang w:eastAsia="it-IT"/>
              </w:rPr>
              <w:t xml:space="preserve">, AIDIC </w:t>
            </w:r>
            <w:proofErr w:type="spellStart"/>
            <w:r w:rsidRPr="00D228E9">
              <w:rPr>
                <w:rFonts w:cs="Arial"/>
                <w:iCs/>
                <w:color w:val="333333"/>
                <w:szCs w:val="18"/>
                <w:lang w:eastAsia="it-IT"/>
              </w:rPr>
              <w:t>Servizi</w:t>
            </w:r>
            <w:proofErr w:type="spellEnd"/>
            <w:r w:rsidRPr="00D228E9">
              <w:rPr>
                <w:rFonts w:cs="Arial"/>
                <w:iCs/>
                <w:color w:val="333333"/>
                <w:szCs w:val="18"/>
                <w:lang w:eastAsia="it-IT"/>
              </w:rPr>
              <w:t xml:space="preserve"> </w:t>
            </w:r>
            <w:proofErr w:type="spellStart"/>
            <w:r w:rsidRPr="00D228E9">
              <w:rPr>
                <w:rFonts w:cs="Arial"/>
                <w:iCs/>
                <w:color w:val="333333"/>
                <w:szCs w:val="18"/>
                <w:lang w:eastAsia="it-IT"/>
              </w:rPr>
              <w:t>S.r.l</w:t>
            </w:r>
            <w:proofErr w:type="spellEnd"/>
            <w:r w:rsidRPr="00D228E9">
              <w:rPr>
                <w:rFonts w:cs="Arial"/>
                <w:iCs/>
                <w:color w:val="333333"/>
                <w:szCs w:val="18"/>
                <w:lang w:eastAsia="it-IT"/>
              </w:rPr>
              <w:t>.</w:t>
            </w:r>
            <w:r w:rsidRPr="00D228E9">
              <w:rPr>
                <w:rFonts w:cs="Arial"/>
                <w:iCs/>
                <w:color w:val="333333"/>
                <w:szCs w:val="18"/>
                <w:lang w:eastAsia="it-IT"/>
              </w:rPr>
              <w:br/>
            </w:r>
            <w:r w:rsidRPr="00D228E9">
              <w:rPr>
                <w:rFonts w:cs="Arial"/>
                <w:b/>
                <w:iCs/>
                <w:color w:val="000000"/>
                <w:szCs w:val="18"/>
                <w:lang w:eastAsia="it-IT"/>
              </w:rPr>
              <w:t>ISBN</w:t>
            </w:r>
            <w:r w:rsidRPr="00D228E9">
              <w:rPr>
                <w:rFonts w:cs="Arial"/>
                <w:iCs/>
                <w:color w:val="000000"/>
                <w:szCs w:val="18"/>
                <w:lang w:eastAsia="it-IT"/>
              </w:rPr>
              <w:t xml:space="preserve"> </w:t>
            </w:r>
            <w:r w:rsidR="003B49CD" w:rsidRPr="00D228E9">
              <w:rPr>
                <w:rFonts w:cs="Arial"/>
                <w:szCs w:val="18"/>
              </w:rPr>
              <w:t>979-12-81206-1</w:t>
            </w:r>
            <w:r w:rsidR="00994C6A" w:rsidRPr="00D228E9">
              <w:rPr>
                <w:rFonts w:cs="Arial"/>
                <w:szCs w:val="18"/>
              </w:rPr>
              <w:t>7</w:t>
            </w:r>
            <w:r w:rsidR="003B49CD" w:rsidRPr="00D228E9">
              <w:rPr>
                <w:rFonts w:cs="Arial"/>
                <w:szCs w:val="18"/>
              </w:rPr>
              <w:t>-</w:t>
            </w:r>
            <w:r w:rsidR="00994C6A" w:rsidRPr="00D228E9">
              <w:rPr>
                <w:rFonts w:cs="Arial"/>
                <w:szCs w:val="18"/>
              </w:rPr>
              <w:t>5</w:t>
            </w:r>
            <w:r w:rsidRPr="00D228E9">
              <w:rPr>
                <w:rFonts w:cs="Arial"/>
                <w:iCs/>
                <w:color w:val="333333"/>
                <w:szCs w:val="18"/>
                <w:lang w:eastAsia="it-IT"/>
              </w:rPr>
              <w:t xml:space="preserve">; </w:t>
            </w:r>
            <w:r w:rsidRPr="00D228E9">
              <w:rPr>
                <w:rFonts w:cs="Arial"/>
                <w:b/>
                <w:iCs/>
                <w:color w:val="333333"/>
                <w:szCs w:val="18"/>
                <w:lang w:eastAsia="it-IT"/>
              </w:rPr>
              <w:t>ISSN</w:t>
            </w:r>
            <w:r w:rsidRPr="00D228E9">
              <w:rPr>
                <w:rFonts w:cs="Arial"/>
                <w:iCs/>
                <w:color w:val="333333"/>
                <w:szCs w:val="18"/>
                <w:lang w:eastAsia="it-IT"/>
              </w:rPr>
              <w:t xml:space="preserve"> 2283-9216</w:t>
            </w:r>
          </w:p>
        </w:tc>
      </w:tr>
    </w:tbl>
    <w:bookmarkEnd w:id="0"/>
    <w:p w14:paraId="2E667253" w14:textId="56C5E1D9" w:rsidR="00E978D0" w:rsidRPr="002F673E" w:rsidRDefault="0039211E" w:rsidP="00D228E9">
      <w:pPr>
        <w:pStyle w:val="CETTitle"/>
        <w:spacing w:line="240" w:lineRule="auto"/>
        <w:rPr>
          <w:rFonts w:cs="Arial"/>
          <w:szCs w:val="32"/>
        </w:rPr>
      </w:pPr>
      <w:r w:rsidRPr="002F673E">
        <w:rPr>
          <w:rFonts w:cs="Arial"/>
          <w:szCs w:val="32"/>
        </w:rPr>
        <w:t>Green Nanotechnology: Efficacy of Iron Nanoparticles in the Remediation of Soils Contaminated with Lead</w:t>
      </w:r>
    </w:p>
    <w:p w14:paraId="72552A63" w14:textId="77777777" w:rsidR="00B54A8E" w:rsidRPr="00D228E9" w:rsidRDefault="00B54A8E" w:rsidP="00D228E9">
      <w:pPr>
        <w:pStyle w:val="CETAuthors"/>
        <w:spacing w:line="240" w:lineRule="auto"/>
        <w:rPr>
          <w:rFonts w:cs="Arial"/>
          <w:sz w:val="18"/>
          <w:szCs w:val="18"/>
          <w:lang w:val="en-US"/>
        </w:rPr>
      </w:pPr>
    </w:p>
    <w:p w14:paraId="5185EFB9" w14:textId="33DC312D" w:rsidR="00935AF7" w:rsidRPr="00935AF7" w:rsidRDefault="0039211E" w:rsidP="00D228E9">
      <w:pPr>
        <w:pStyle w:val="CETAuthors"/>
        <w:spacing w:line="240" w:lineRule="auto"/>
        <w:rPr>
          <w:rFonts w:cs="Arial"/>
          <w:szCs w:val="24"/>
          <w:vertAlign w:val="subscript"/>
          <w:lang w:val="es-PE"/>
        </w:rPr>
      </w:pPr>
      <w:r w:rsidRPr="002F673E">
        <w:rPr>
          <w:rFonts w:cs="Arial"/>
          <w:szCs w:val="24"/>
          <w:lang w:val="es-PE"/>
        </w:rPr>
        <w:t xml:space="preserve">Eliana Mullisaca Contreras </w:t>
      </w:r>
      <w:r w:rsidRPr="002F673E">
        <w:rPr>
          <w:rFonts w:cs="Arial"/>
          <w:szCs w:val="24"/>
          <w:vertAlign w:val="superscript"/>
          <w:lang w:val="es-PE"/>
        </w:rPr>
        <w:t>a</w:t>
      </w:r>
      <w:r w:rsidRPr="002F673E">
        <w:rPr>
          <w:rFonts w:cs="Arial"/>
          <w:szCs w:val="24"/>
          <w:lang w:val="es-PE"/>
        </w:rPr>
        <w:t xml:space="preserve">, Benito Hugo Fernandez Ochoa </w:t>
      </w:r>
      <w:r w:rsidRPr="002F673E">
        <w:rPr>
          <w:rFonts w:cs="Arial"/>
          <w:szCs w:val="24"/>
          <w:vertAlign w:val="superscript"/>
          <w:lang w:val="es-PE"/>
        </w:rPr>
        <w:t>b</w:t>
      </w:r>
      <w:r w:rsidRPr="002F673E">
        <w:rPr>
          <w:rFonts w:cs="Arial"/>
          <w:szCs w:val="24"/>
          <w:lang w:val="es-PE"/>
        </w:rPr>
        <w:t>, Máximo Cisnero</w:t>
      </w:r>
      <w:r w:rsidR="00DF7767" w:rsidRPr="002F673E">
        <w:rPr>
          <w:rFonts w:cs="Arial"/>
          <w:szCs w:val="24"/>
          <w:lang w:val="es-PE"/>
        </w:rPr>
        <w:t>s</w:t>
      </w:r>
      <w:r w:rsidRPr="002F673E">
        <w:rPr>
          <w:rFonts w:cs="Arial"/>
          <w:szCs w:val="24"/>
          <w:lang w:val="es-PE"/>
        </w:rPr>
        <w:t xml:space="preserve"> Tejeira </w:t>
      </w:r>
      <w:r w:rsidRPr="002F673E">
        <w:rPr>
          <w:rFonts w:cs="Arial"/>
          <w:szCs w:val="24"/>
          <w:vertAlign w:val="superscript"/>
          <w:lang w:val="es-PE"/>
        </w:rPr>
        <w:t>c,*</w:t>
      </w:r>
      <w:r w:rsidRPr="002F673E">
        <w:rPr>
          <w:rFonts w:cs="Arial"/>
          <w:szCs w:val="24"/>
          <w:lang w:val="es-PE"/>
        </w:rPr>
        <w:t xml:space="preserve">; </w:t>
      </w:r>
      <w:r w:rsidR="00CA52EA" w:rsidRPr="002F673E">
        <w:rPr>
          <w:rFonts w:cs="Arial"/>
          <w:szCs w:val="24"/>
          <w:lang w:val="es-PE"/>
        </w:rPr>
        <w:t>Delicias</w:t>
      </w:r>
      <w:r w:rsidR="00935AF7">
        <w:rPr>
          <w:rFonts w:cs="Arial"/>
          <w:szCs w:val="24"/>
          <w:lang w:val="es-PE"/>
        </w:rPr>
        <w:t xml:space="preserve"> E.</w:t>
      </w:r>
      <w:r w:rsidR="00CA52EA" w:rsidRPr="002F673E">
        <w:rPr>
          <w:rFonts w:cs="Arial"/>
          <w:szCs w:val="24"/>
          <w:lang w:val="es-PE"/>
        </w:rPr>
        <w:t xml:space="preserve">Natividad Huasupoma </w:t>
      </w:r>
      <w:r w:rsidR="00CA52EA" w:rsidRPr="002F673E">
        <w:rPr>
          <w:rFonts w:cs="Arial"/>
          <w:szCs w:val="24"/>
          <w:vertAlign w:val="superscript"/>
          <w:lang w:val="es-PE"/>
        </w:rPr>
        <w:t>c</w:t>
      </w:r>
      <w:r w:rsidR="00CA52EA" w:rsidRPr="002F673E">
        <w:rPr>
          <w:rFonts w:cs="Arial"/>
          <w:szCs w:val="24"/>
          <w:lang w:val="es-PE"/>
        </w:rPr>
        <w:t xml:space="preserve"> , </w:t>
      </w:r>
      <w:r w:rsidRPr="002F673E">
        <w:rPr>
          <w:rFonts w:cs="Arial"/>
          <w:szCs w:val="24"/>
          <w:lang w:val="es-PE"/>
        </w:rPr>
        <w:t>Fiorella Vanessa Guere Salazar</w:t>
      </w:r>
      <w:r w:rsidRPr="002F673E">
        <w:rPr>
          <w:rFonts w:cs="Arial"/>
          <w:szCs w:val="24"/>
          <w:vertAlign w:val="superscript"/>
          <w:lang w:val="es-PE"/>
        </w:rPr>
        <w:t>d</w:t>
      </w:r>
      <w:r w:rsidRPr="002F673E">
        <w:rPr>
          <w:rFonts w:cs="Arial"/>
          <w:szCs w:val="24"/>
          <w:lang w:val="es-PE"/>
        </w:rPr>
        <w:t xml:space="preserve">, Willam C. Santos  Tello </w:t>
      </w:r>
      <w:r w:rsidRPr="002F673E">
        <w:rPr>
          <w:rFonts w:cs="Arial"/>
          <w:szCs w:val="24"/>
          <w:vertAlign w:val="superscript"/>
          <w:lang w:val="es-PE"/>
        </w:rPr>
        <w:t>e</w:t>
      </w:r>
      <w:r w:rsidRPr="002F673E">
        <w:rPr>
          <w:rFonts w:cs="Arial"/>
          <w:szCs w:val="24"/>
          <w:lang w:val="es-PE"/>
        </w:rPr>
        <w:t xml:space="preserve">, </w:t>
      </w:r>
      <w:r w:rsidR="00935AF7">
        <w:rPr>
          <w:rFonts w:cs="Arial"/>
          <w:szCs w:val="24"/>
          <w:lang w:val="es-PE"/>
        </w:rPr>
        <w:t xml:space="preserve">Raul Minaya </w:t>
      </w:r>
      <w:r w:rsidR="00935AF7" w:rsidRPr="00935AF7">
        <w:rPr>
          <w:rFonts w:cs="Arial"/>
          <w:szCs w:val="24"/>
          <w:lang w:val="es-PE"/>
        </w:rPr>
        <w:t>Huaman</w:t>
      </w:r>
      <w:r w:rsidR="00935AF7" w:rsidRPr="00935AF7">
        <w:rPr>
          <w:rFonts w:cs="Arial"/>
          <w:szCs w:val="24"/>
          <w:vertAlign w:val="superscript"/>
          <w:lang w:val="es-PE"/>
        </w:rPr>
        <w:t>c</w:t>
      </w:r>
      <w:r w:rsidR="00935AF7" w:rsidRPr="00935AF7">
        <w:rPr>
          <w:rFonts w:cs="Arial"/>
          <w:szCs w:val="24"/>
          <w:vertAlign w:val="subscript"/>
          <w:lang w:val="es-PE"/>
        </w:rPr>
        <w:t>,</w:t>
      </w:r>
      <w:r w:rsidR="00935AF7" w:rsidRPr="00935AF7">
        <w:rPr>
          <w:rFonts w:cs="Arial"/>
          <w:szCs w:val="24"/>
          <w:lang w:val="es-PE"/>
        </w:rPr>
        <w:t>Nestor</w:t>
      </w:r>
      <w:r w:rsidR="00935AF7">
        <w:rPr>
          <w:rFonts w:cs="Arial"/>
          <w:szCs w:val="24"/>
          <w:vertAlign w:val="subscript"/>
          <w:lang w:val="es-PE"/>
        </w:rPr>
        <w:t xml:space="preserve"> </w:t>
      </w:r>
      <w:r w:rsidR="00935AF7">
        <w:rPr>
          <w:rFonts w:cs="Arial"/>
          <w:szCs w:val="24"/>
          <w:lang w:val="es-PE"/>
        </w:rPr>
        <w:t>O</w:t>
      </w:r>
      <w:r w:rsidR="00935AF7" w:rsidRPr="00935AF7">
        <w:rPr>
          <w:rFonts w:cs="Arial"/>
          <w:szCs w:val="24"/>
          <w:lang w:val="es-PE"/>
        </w:rPr>
        <w:t>. Mercado Ayamamani</w:t>
      </w:r>
      <w:r w:rsidR="00935AF7" w:rsidRPr="00935AF7">
        <w:rPr>
          <w:rFonts w:cs="Arial"/>
          <w:szCs w:val="24"/>
          <w:vertAlign w:val="superscript"/>
          <w:lang w:val="es-PE"/>
        </w:rPr>
        <w:t>b</w:t>
      </w:r>
      <w:r w:rsidR="00935AF7">
        <w:rPr>
          <w:rFonts w:cs="Arial"/>
          <w:szCs w:val="24"/>
          <w:lang w:val="es-PE"/>
        </w:rPr>
        <w:t>.</w:t>
      </w:r>
      <w:r w:rsidR="00935AF7" w:rsidRPr="00935AF7">
        <w:rPr>
          <w:rFonts w:cs="Arial"/>
          <w:szCs w:val="24"/>
          <w:vertAlign w:val="superscript"/>
          <w:lang w:val="es-PE"/>
        </w:rPr>
        <w:t xml:space="preserve"> </w:t>
      </w:r>
    </w:p>
    <w:p w14:paraId="720CBCD0" w14:textId="77777777" w:rsidR="0039211E" w:rsidRPr="00D228E9" w:rsidRDefault="0039211E" w:rsidP="00D228E9">
      <w:pPr>
        <w:pStyle w:val="CETAddress"/>
        <w:spacing w:line="240" w:lineRule="auto"/>
        <w:rPr>
          <w:rFonts w:cs="Arial"/>
          <w:sz w:val="18"/>
          <w:szCs w:val="18"/>
          <w:lang w:val="es-PE"/>
        </w:rPr>
      </w:pPr>
      <w:r w:rsidRPr="00D228E9">
        <w:rPr>
          <w:rFonts w:cs="Arial"/>
          <w:sz w:val="18"/>
          <w:szCs w:val="18"/>
          <w:vertAlign w:val="superscript"/>
          <w:lang w:val="es-PE"/>
        </w:rPr>
        <w:t>a</w:t>
      </w:r>
      <w:r w:rsidRPr="00D228E9">
        <w:rPr>
          <w:rFonts w:cs="Arial"/>
          <w:sz w:val="18"/>
          <w:szCs w:val="18"/>
          <w:lang w:val="es-PE"/>
        </w:rPr>
        <w:t xml:space="preserve"> Universidad Nacional de Juliaca, Puno Perú.</w:t>
      </w:r>
    </w:p>
    <w:p w14:paraId="6DB4596B" w14:textId="77777777" w:rsidR="0039211E" w:rsidRPr="00D228E9" w:rsidRDefault="0039211E" w:rsidP="00D228E9">
      <w:pPr>
        <w:pStyle w:val="CETAddress"/>
        <w:spacing w:line="240" w:lineRule="auto"/>
        <w:rPr>
          <w:rFonts w:cs="Arial"/>
          <w:sz w:val="18"/>
          <w:szCs w:val="18"/>
          <w:lang w:val="es-PE"/>
        </w:rPr>
      </w:pPr>
      <w:r w:rsidRPr="00D228E9">
        <w:rPr>
          <w:rFonts w:cs="Arial"/>
          <w:sz w:val="18"/>
          <w:szCs w:val="18"/>
          <w:vertAlign w:val="superscript"/>
          <w:lang w:val="es-PE"/>
        </w:rPr>
        <w:t>b</w:t>
      </w:r>
      <w:r w:rsidRPr="00D228E9">
        <w:rPr>
          <w:rFonts w:cs="Arial"/>
          <w:sz w:val="18"/>
          <w:szCs w:val="18"/>
          <w:lang w:val="es-PE"/>
        </w:rPr>
        <w:t xml:space="preserve"> Universidad Nacional del Altiplano, Puno, Perú</w:t>
      </w:r>
    </w:p>
    <w:p w14:paraId="3AD74067" w14:textId="77777777" w:rsidR="0039211E" w:rsidRPr="00D228E9" w:rsidRDefault="0039211E" w:rsidP="00D228E9">
      <w:pPr>
        <w:pStyle w:val="CETAddress"/>
        <w:spacing w:line="240" w:lineRule="auto"/>
        <w:rPr>
          <w:rFonts w:cs="Arial"/>
          <w:sz w:val="18"/>
          <w:szCs w:val="18"/>
          <w:lang w:val="es-PE"/>
        </w:rPr>
      </w:pPr>
      <w:r w:rsidRPr="00D228E9">
        <w:rPr>
          <w:rFonts w:cs="Arial"/>
          <w:sz w:val="18"/>
          <w:szCs w:val="18"/>
          <w:vertAlign w:val="superscript"/>
          <w:lang w:val="es-PE"/>
        </w:rPr>
        <w:t>c</w:t>
      </w:r>
      <w:r w:rsidRPr="00D228E9">
        <w:rPr>
          <w:rFonts w:cs="Arial"/>
          <w:sz w:val="18"/>
          <w:szCs w:val="18"/>
          <w:lang w:val="es-PE"/>
        </w:rPr>
        <w:t xml:space="preserve"> Universidad Nacional José Faustino Sánchez Carrión, Huacho, Perú.</w:t>
      </w:r>
    </w:p>
    <w:p w14:paraId="6ECE83DC" w14:textId="694D8A11" w:rsidR="0039211E" w:rsidRPr="00D228E9" w:rsidRDefault="0039211E" w:rsidP="00D228E9">
      <w:pPr>
        <w:pStyle w:val="CETAddress"/>
        <w:spacing w:line="240" w:lineRule="auto"/>
        <w:rPr>
          <w:rFonts w:cs="Arial"/>
          <w:sz w:val="18"/>
          <w:szCs w:val="18"/>
          <w:lang w:val="es-PE"/>
        </w:rPr>
      </w:pPr>
      <w:r w:rsidRPr="00D228E9">
        <w:rPr>
          <w:rFonts w:cs="Arial"/>
          <w:sz w:val="18"/>
          <w:szCs w:val="18"/>
          <w:vertAlign w:val="superscript"/>
          <w:lang w:val="es-PE"/>
        </w:rPr>
        <w:t>d</w:t>
      </w:r>
      <w:r w:rsidRPr="00D228E9">
        <w:rPr>
          <w:rFonts w:cs="Arial"/>
          <w:sz w:val="18"/>
          <w:szCs w:val="18"/>
          <w:lang w:val="es-PE"/>
        </w:rPr>
        <w:t xml:space="preserve"> Universidad Nacional Mayor de San Marcos, Facultad de Ingeniería Industrial, Lima Perú</w:t>
      </w:r>
    </w:p>
    <w:p w14:paraId="5EB69FFE" w14:textId="683C4C63" w:rsidR="0039211E" w:rsidRPr="00D228E9" w:rsidRDefault="0039211E" w:rsidP="00D228E9">
      <w:pPr>
        <w:pStyle w:val="CETAddress"/>
        <w:spacing w:line="240" w:lineRule="auto"/>
        <w:rPr>
          <w:rFonts w:cs="Arial"/>
          <w:sz w:val="18"/>
          <w:szCs w:val="18"/>
          <w:lang w:val="es-PE"/>
        </w:rPr>
      </w:pPr>
      <w:r w:rsidRPr="00D228E9">
        <w:rPr>
          <w:rFonts w:cs="Arial"/>
          <w:sz w:val="18"/>
          <w:szCs w:val="18"/>
          <w:vertAlign w:val="superscript"/>
          <w:lang w:val="es-PE"/>
        </w:rPr>
        <w:t>e</w:t>
      </w:r>
      <w:r w:rsidRPr="00D228E9">
        <w:rPr>
          <w:rFonts w:cs="Arial"/>
          <w:sz w:val="18"/>
          <w:szCs w:val="18"/>
          <w:lang w:val="es-PE"/>
        </w:rPr>
        <w:t xml:space="preserve"> Universidad </w:t>
      </w:r>
      <w:r w:rsidR="00CF41AC" w:rsidRPr="00D228E9">
        <w:rPr>
          <w:rFonts w:cs="Arial"/>
          <w:sz w:val="18"/>
          <w:szCs w:val="18"/>
          <w:lang w:val="es-PE"/>
        </w:rPr>
        <w:t>Continental, Av. Alfredo Mendiola 5210 Los Olivos, Lima, Perú</w:t>
      </w:r>
    </w:p>
    <w:p w14:paraId="03A583F7" w14:textId="1D7E5406" w:rsidR="0039211E" w:rsidRPr="00D228E9" w:rsidRDefault="00CF41AC" w:rsidP="00D228E9">
      <w:pPr>
        <w:pStyle w:val="CETAddress"/>
        <w:spacing w:line="240" w:lineRule="auto"/>
        <w:rPr>
          <w:rFonts w:cs="Arial"/>
          <w:sz w:val="18"/>
          <w:szCs w:val="18"/>
          <w:lang w:val="es-PE"/>
        </w:rPr>
      </w:pPr>
      <w:r w:rsidRPr="00D228E9">
        <w:rPr>
          <w:rFonts w:cs="Arial"/>
          <w:sz w:val="18"/>
          <w:szCs w:val="18"/>
          <w:vertAlign w:val="superscript"/>
          <w:lang w:val="es-PE"/>
        </w:rPr>
        <w:t>f</w:t>
      </w:r>
      <w:r w:rsidR="0039211E" w:rsidRPr="00D228E9">
        <w:rPr>
          <w:rFonts w:cs="Arial"/>
          <w:sz w:val="18"/>
          <w:szCs w:val="18"/>
          <w:lang w:val="es-PE"/>
        </w:rPr>
        <w:t xml:space="preserve"> Universidad César Vallejo, AV. Alfredo Mendiola 6232,</w:t>
      </w:r>
      <w:r w:rsidRPr="00D228E9">
        <w:rPr>
          <w:rFonts w:cs="Arial"/>
          <w:sz w:val="18"/>
          <w:szCs w:val="18"/>
          <w:lang w:val="es-PE"/>
        </w:rPr>
        <w:t xml:space="preserve"> Los Olivos,</w:t>
      </w:r>
      <w:r w:rsidR="0039211E" w:rsidRPr="00D228E9">
        <w:rPr>
          <w:rFonts w:cs="Arial"/>
          <w:sz w:val="18"/>
          <w:szCs w:val="18"/>
          <w:lang w:val="es-PE"/>
        </w:rPr>
        <w:t xml:space="preserve"> Lima, Perú</w:t>
      </w:r>
    </w:p>
    <w:p w14:paraId="6B2D21B3" w14:textId="6093FC72" w:rsidR="00B57E6F" w:rsidRPr="00935AF7" w:rsidRDefault="0039211E" w:rsidP="00D228E9">
      <w:pPr>
        <w:pStyle w:val="CETAddress"/>
        <w:spacing w:line="240" w:lineRule="auto"/>
        <w:rPr>
          <w:rFonts w:cs="Arial"/>
          <w:b/>
          <w:bCs/>
          <w:sz w:val="18"/>
          <w:szCs w:val="18"/>
          <w:lang w:val="es-PE"/>
        </w:rPr>
      </w:pPr>
      <w:r w:rsidRPr="00935AF7">
        <w:rPr>
          <w:rFonts w:cs="Arial"/>
          <w:b/>
          <w:bCs/>
          <w:sz w:val="18"/>
          <w:szCs w:val="18"/>
          <w:lang w:val="es-PE"/>
        </w:rPr>
        <w:t>*mcisneros@unjfsc.edu.pe</w:t>
      </w:r>
      <w:r w:rsidR="00B57E6F" w:rsidRPr="00935AF7">
        <w:rPr>
          <w:rFonts w:cs="Arial"/>
          <w:b/>
          <w:bCs/>
          <w:sz w:val="18"/>
          <w:szCs w:val="18"/>
          <w:lang w:val="es-PE"/>
        </w:rPr>
        <w:t xml:space="preserve"> </w:t>
      </w:r>
    </w:p>
    <w:p w14:paraId="3D72B0B0" w14:textId="14ADFA36" w:rsidR="00B57E6F" w:rsidRPr="00935AF7" w:rsidRDefault="00B57E6F" w:rsidP="00D228E9">
      <w:pPr>
        <w:pStyle w:val="CETAddress"/>
        <w:spacing w:line="240" w:lineRule="auto"/>
        <w:rPr>
          <w:rFonts w:cs="Arial"/>
          <w:b/>
          <w:bCs/>
          <w:sz w:val="18"/>
          <w:szCs w:val="18"/>
          <w:lang w:val="es-PE"/>
        </w:rPr>
      </w:pPr>
      <w:r w:rsidRPr="00935AF7">
        <w:rPr>
          <w:rFonts w:cs="Arial"/>
          <w:b/>
          <w:bCs/>
          <w:sz w:val="18"/>
          <w:szCs w:val="18"/>
          <w:lang w:val="es-PE"/>
        </w:rPr>
        <w:t xml:space="preserve"> </w:t>
      </w:r>
    </w:p>
    <w:p w14:paraId="2C8D99E3" w14:textId="73B470E0" w:rsidR="008D7464" w:rsidRDefault="005120ED" w:rsidP="00D228E9">
      <w:pPr>
        <w:pStyle w:val="HTMLconformatoprevio"/>
        <w:rPr>
          <w:rFonts w:ascii="Arial" w:hAnsi="Arial" w:cs="Arial"/>
          <w:szCs w:val="18"/>
          <w:lang w:val="en-US"/>
        </w:rPr>
      </w:pPr>
      <w:r w:rsidRPr="005120ED">
        <w:rPr>
          <w:rFonts w:ascii="Arial" w:hAnsi="Arial" w:cs="Arial"/>
          <w:szCs w:val="18"/>
          <w:lang w:val="en-US"/>
        </w:rPr>
        <w:t>Soil contamination by heavy metals, particularly lead (Pb), represents a critical environmental challenge that affects the quality of soils and agricultural ecosystems worldwide. This problem, caused mainly by human activities such as mining, the metallurgical industry, and inadequate waste management, has led to the accumulation of lead in the soil, reaching toxic levels that threaten human health and biodiversity. In response to this problem, nanotechnology has emerged as an innovative solution, highlighting the use of iron nanoparticles. The objective of the research was to evaluate the adsorption of Pb from soil (contaminated at a concentration of 10 mg/kg) using Fe nanoparticles obtained through green chemistry, analyzing the influence of pH (3, 4, and 6) and temperature (15, 30, and 45 °C) on the process. Fe nanoparticles were used according to a 3k factorial design. In this research, a 99.8% adsorption rate of Pb was achieved at a pH of 4 and temperatures between 15 and 45°C. Finally, it is established that the use of iron nanoparticles, obtained through green chemistry, is an alternative for the remediation of lead-contaminated soils, as it is an efficient, rapid, and environmentally friendly solution, representing a significant advance in the remediation of contaminated soils. Furthermore, nanoparticles have the advantage of being easily integrated with other bioremediation techniques.</w:t>
      </w:r>
    </w:p>
    <w:p w14:paraId="0C46FE86" w14:textId="77777777" w:rsidR="005120ED" w:rsidRPr="005120ED" w:rsidRDefault="005120ED" w:rsidP="00D228E9">
      <w:pPr>
        <w:pStyle w:val="HTMLconformatoprevio"/>
        <w:rPr>
          <w:rFonts w:ascii="Arial" w:hAnsi="Arial" w:cs="Arial"/>
          <w:color w:val="1F1F1F"/>
          <w:szCs w:val="18"/>
          <w:lang w:val="en-US" w:eastAsia="es-PE"/>
        </w:rPr>
      </w:pPr>
    </w:p>
    <w:p w14:paraId="48A87584" w14:textId="77777777" w:rsidR="005120ED" w:rsidRPr="005120ED" w:rsidRDefault="005120ED" w:rsidP="005120ED">
      <w:pPr>
        <w:pStyle w:val="HTMLconformatoprevio"/>
        <w:rPr>
          <w:rFonts w:ascii="Arial" w:hAnsi="Arial" w:cs="Arial"/>
          <w:b/>
          <w:bCs/>
          <w:color w:val="1F1F1F"/>
          <w:szCs w:val="18"/>
          <w:lang w:val="en-US" w:eastAsia="es-PE"/>
        </w:rPr>
      </w:pPr>
      <w:r w:rsidRPr="005120ED">
        <w:rPr>
          <w:rFonts w:ascii="Arial" w:hAnsi="Arial" w:cs="Arial"/>
          <w:b/>
          <w:bCs/>
          <w:color w:val="1F1F1F"/>
          <w:szCs w:val="18"/>
          <w:lang w:val="en-US" w:eastAsia="es-PE"/>
        </w:rPr>
        <w:t>Introduction</w:t>
      </w:r>
    </w:p>
    <w:p w14:paraId="01B1233F" w14:textId="77777777" w:rsidR="005120ED" w:rsidRPr="005120ED" w:rsidRDefault="005120ED" w:rsidP="005120ED">
      <w:pPr>
        <w:pStyle w:val="HTMLconformatoprevio"/>
        <w:rPr>
          <w:rFonts w:ascii="Arial" w:hAnsi="Arial" w:cs="Arial"/>
          <w:color w:val="1F1F1F"/>
          <w:szCs w:val="18"/>
          <w:lang w:val="en-US" w:eastAsia="es-PE"/>
        </w:rPr>
      </w:pPr>
      <w:r w:rsidRPr="005120ED">
        <w:rPr>
          <w:rFonts w:ascii="Arial" w:hAnsi="Arial" w:cs="Arial"/>
          <w:color w:val="1F1F1F"/>
          <w:szCs w:val="18"/>
          <w:lang w:val="en-US" w:eastAsia="es-PE"/>
        </w:rPr>
        <w:t>Soils contaminated with heavy metals, such as lead, cadmium, and arsenic, represent a global challenge due to their significant toxicity, persistence, and bioaccumulation in organisms. Therefore, various soil remediation methods have been established, each with operational, economic, and environmental advantages and disadvantages. Given this, nanotechnology is emerging as an innovative technology with highly efficient and environmentally friendly approaches for the remediation of contaminated soils (Dhanapal et al., 2024).</w:t>
      </w:r>
    </w:p>
    <w:p w14:paraId="03A1D6A5" w14:textId="77777777" w:rsidR="005120ED" w:rsidRPr="005120ED" w:rsidRDefault="005120ED" w:rsidP="005120ED">
      <w:pPr>
        <w:pStyle w:val="HTMLconformatoprevio"/>
        <w:rPr>
          <w:rFonts w:ascii="Arial" w:hAnsi="Arial" w:cs="Arial"/>
          <w:color w:val="1F1F1F"/>
          <w:szCs w:val="18"/>
          <w:lang w:val="en-US" w:eastAsia="es-PE"/>
        </w:rPr>
      </w:pPr>
      <w:proofErr w:type="spellStart"/>
      <w:r w:rsidRPr="005120ED">
        <w:rPr>
          <w:rFonts w:ascii="Arial" w:hAnsi="Arial" w:cs="Arial"/>
          <w:color w:val="1F1F1F"/>
          <w:szCs w:val="18"/>
          <w:lang w:val="en-US" w:eastAsia="es-PE"/>
        </w:rPr>
        <w:t>Nanoremediation</w:t>
      </w:r>
      <w:proofErr w:type="spellEnd"/>
      <w:r w:rsidRPr="005120ED">
        <w:rPr>
          <w:rFonts w:ascii="Arial" w:hAnsi="Arial" w:cs="Arial"/>
          <w:color w:val="1F1F1F"/>
          <w:szCs w:val="18"/>
          <w:lang w:val="en-US" w:eastAsia="es-PE"/>
        </w:rPr>
        <w:t xml:space="preserve"> has been demonstrated to be effective in the adsorption of metal compounds, with an efficiency of up to 82% in chromium-contaminated soils. Furthermore, this methodology has been found to increase phytoremediation efficiency by 30% to 40% when enzyme stimulation is used (Mathur et al., 2022). This technology, used alongside other traditional technologies, offers a sustainable approach to restoring contaminated soils, especially agricultural soils, but research is still needed to optimize dosages and assess the potential long-term effects of nanomaterials on ecosystems (Gong et al., 2018).</w:t>
      </w:r>
    </w:p>
    <w:p w14:paraId="39088C01" w14:textId="0464FB9A" w:rsidR="005120ED" w:rsidRPr="005120ED" w:rsidRDefault="005120ED" w:rsidP="005120ED">
      <w:pPr>
        <w:pStyle w:val="HTMLconformatoprevio"/>
        <w:rPr>
          <w:rFonts w:ascii="Arial" w:hAnsi="Arial" w:cs="Arial"/>
          <w:color w:val="1F1F1F"/>
          <w:szCs w:val="18"/>
          <w:lang w:val="en-US" w:eastAsia="es-PE"/>
        </w:rPr>
      </w:pPr>
      <w:r w:rsidRPr="005120ED">
        <w:rPr>
          <w:rFonts w:ascii="Arial" w:hAnsi="Arial" w:cs="Arial"/>
          <w:color w:val="1F1F1F"/>
          <w:szCs w:val="18"/>
          <w:lang w:val="en-US" w:eastAsia="es-PE"/>
        </w:rPr>
        <w:t xml:space="preserve">In the case of lead-contaminated soils, the use of Fe nanoparticles to reduce lead in soil and modify its toxicity in the environment has already been investigated (Arancibia-Miranda et al., 2014), but nanoparticles synthesized from plant extracts have other special characteristics. However, the production method and applications have not yet been studied or optimized; for example, the critical aspects requiring optimization are efficacy and stability, as </w:t>
      </w:r>
      <w:proofErr w:type="spellStart"/>
      <w:r w:rsidRPr="005120ED">
        <w:rPr>
          <w:rFonts w:ascii="Arial" w:hAnsi="Arial" w:cs="Arial"/>
          <w:color w:val="1F1F1F"/>
          <w:szCs w:val="18"/>
          <w:lang w:val="en-US" w:eastAsia="es-PE"/>
        </w:rPr>
        <w:t>bionanoparticles</w:t>
      </w:r>
      <w:proofErr w:type="spellEnd"/>
      <w:r w:rsidRPr="005120ED">
        <w:rPr>
          <w:rFonts w:ascii="Arial" w:hAnsi="Arial" w:cs="Arial"/>
          <w:color w:val="1F1F1F"/>
          <w:szCs w:val="18"/>
          <w:lang w:val="en-US" w:eastAsia="es-PE"/>
        </w:rPr>
        <w:t xml:space="preserve"> can be unstable under certain environmental conditions, rendering </w:t>
      </w:r>
      <w:r w:rsidRPr="005120ED">
        <w:rPr>
          <w:rFonts w:ascii="Arial" w:hAnsi="Arial" w:cs="Arial"/>
          <w:color w:val="1F1F1F"/>
          <w:szCs w:val="18"/>
          <w:lang w:val="en-US" w:eastAsia="es-PE"/>
        </w:rPr>
        <w:lastRenderedPageBreak/>
        <w:t xml:space="preserve">them ineffective in the long term. It is also necessary to optimize the distribution and uniform penetration of nanoparticles into the soil, which is important, considering the soil structure that can limit their mobility, as well as the presence of other contaminants that can hinder access to more contaminated areas (Mathur et al., 2022), without forgetting that </w:t>
      </w:r>
      <w:proofErr w:type="spellStart"/>
      <w:r w:rsidRPr="005120ED">
        <w:rPr>
          <w:rFonts w:ascii="Arial" w:hAnsi="Arial" w:cs="Arial"/>
          <w:color w:val="1F1F1F"/>
          <w:szCs w:val="18"/>
          <w:lang w:val="en-US" w:eastAsia="es-PE"/>
        </w:rPr>
        <w:t>bionanoparticles</w:t>
      </w:r>
      <w:proofErr w:type="spellEnd"/>
      <w:r w:rsidRPr="005120ED">
        <w:rPr>
          <w:rFonts w:ascii="Arial" w:hAnsi="Arial" w:cs="Arial"/>
          <w:color w:val="1F1F1F"/>
          <w:szCs w:val="18"/>
          <w:lang w:val="en-US" w:eastAsia="es-PE"/>
        </w:rPr>
        <w:t xml:space="preserve"> can react with clays and organic matter, decreasing their efficiency or generating unwanted products (Medina-Pérez et al., 2018; Medina M et al., 2015).</w:t>
      </w:r>
    </w:p>
    <w:p w14:paraId="08F715D7" w14:textId="58F976FA" w:rsidR="005120ED" w:rsidRDefault="005120ED" w:rsidP="005120ED">
      <w:pPr>
        <w:pStyle w:val="CETBodytext"/>
        <w:spacing w:line="240" w:lineRule="auto"/>
        <w:rPr>
          <w:rFonts w:cs="Arial"/>
          <w:szCs w:val="18"/>
        </w:rPr>
      </w:pPr>
      <w:r w:rsidRPr="005120ED">
        <w:rPr>
          <w:rFonts w:cs="Arial"/>
          <w:szCs w:val="18"/>
        </w:rPr>
        <w:t>Studies on the remediation of lead-contaminated soils have yielded promising results, such as: through the use of hydroxyapatite nanoparticles, Pb was immobilized in the soil, reducing its availability and mobility to promote plant growth and prevent its entry into the food chain (Lago-Vila et al., 2019); With iron nanoparticles, such as magnetite (</w:t>
      </w:r>
      <w:proofErr w:type="spellStart"/>
      <w:r w:rsidRPr="005120ED">
        <w:rPr>
          <w:rFonts w:cs="Arial"/>
          <w:szCs w:val="18"/>
        </w:rPr>
        <w:t>Fe</w:t>
      </w:r>
      <w:r w:rsidRPr="005120ED">
        <w:rPr>
          <w:rFonts w:ascii="Cambria Math" w:hAnsi="Cambria Math" w:cs="Cambria Math"/>
          <w:szCs w:val="18"/>
        </w:rPr>
        <w:t>₃</w:t>
      </w:r>
      <w:r w:rsidRPr="005120ED">
        <w:rPr>
          <w:rFonts w:cs="Arial"/>
          <w:szCs w:val="18"/>
        </w:rPr>
        <w:t>O</w:t>
      </w:r>
      <w:proofErr w:type="spellEnd"/>
      <w:r w:rsidRPr="005120ED">
        <w:rPr>
          <w:rFonts w:ascii="Cambria Math" w:hAnsi="Cambria Math" w:cs="Cambria Math"/>
          <w:szCs w:val="18"/>
        </w:rPr>
        <w:t>₄</w:t>
      </w:r>
      <w:r w:rsidRPr="005120ED">
        <w:rPr>
          <w:rFonts w:cs="Arial"/>
          <w:szCs w:val="18"/>
        </w:rPr>
        <w:t>) and hematite, soils and water containing lead were remediated with high removal efficiency at acidic pH (Singh et al., 2021); Furthermore, with iron nanoparticles synthesized through green chemistry, lead toxicity in rice and corn plants was mitigated, improving their growth and reducing oxidative stress (Maryam et al., 2024); Using zero-valent iron nanoparticles, good results were obtained in reducing Pb bioavailability in the soil, facilitating the planting of Persian maple and Tagetes erect species, improving their growth and efficiency in Pb uptake (Arora et al., 2023). Studies have also shown that nanoparticles synergize with cellulosic waste in reducing the bioavailability of heavy metals such as lead and cadmium (</w:t>
      </w:r>
      <w:proofErr w:type="spellStart"/>
      <w:r w:rsidRPr="005120ED">
        <w:rPr>
          <w:rFonts w:cs="Arial"/>
          <w:szCs w:val="18"/>
        </w:rPr>
        <w:t>Tafazoli</w:t>
      </w:r>
      <w:proofErr w:type="spellEnd"/>
      <w:r w:rsidRPr="005120ED">
        <w:rPr>
          <w:rFonts w:cs="Arial"/>
          <w:szCs w:val="18"/>
        </w:rPr>
        <w:t xml:space="preserve"> et al., 2017). The mechanism of action of Fe nanoparticles in this bioremediation process is based on the adsorption of Pb ions. Furthermore, antioxidant activity in plants can be enhanced by reducing the oxidative damage caused by Pb, which improves plant growth under Pb stress conditions (Salmen and Alharbi, 2024). The advantages of using nanoparticles to achieve high efficiency in soil and water treatment lie in their high surface area-to-volume ratio, which improves the adsorption capacity and removal efficiency of heavy metals such as Pb from the soil (Castañeda-Olivera et al., 2023; Ali et al., 2024). Another advantage is that, since the nanoparticles obtained are environmentally friendly, the treatment is sustainable and environmentally friendly, as no harmful chemicals are introduced into the soil (</w:t>
      </w:r>
      <w:proofErr w:type="spellStart"/>
      <w:r w:rsidRPr="005120ED">
        <w:rPr>
          <w:rFonts w:cs="Arial"/>
          <w:szCs w:val="18"/>
        </w:rPr>
        <w:t>Thilakan</w:t>
      </w:r>
      <w:proofErr w:type="spellEnd"/>
      <w:r w:rsidRPr="005120ED">
        <w:rPr>
          <w:rFonts w:cs="Arial"/>
          <w:szCs w:val="18"/>
        </w:rPr>
        <w:t xml:space="preserve"> et al., 2022). Soil remediation with </w:t>
      </w:r>
      <w:proofErr w:type="spellStart"/>
      <w:r w:rsidRPr="005120ED">
        <w:rPr>
          <w:rFonts w:cs="Arial"/>
          <w:szCs w:val="18"/>
        </w:rPr>
        <w:t>bionanoparticles</w:t>
      </w:r>
      <w:proofErr w:type="spellEnd"/>
      <w:r w:rsidRPr="005120ED">
        <w:rPr>
          <w:rFonts w:cs="Arial"/>
          <w:szCs w:val="18"/>
        </w:rPr>
        <w:t xml:space="preserve"> also offers a certain advantage in terms of cost-effectiveness, which in the long term translates into an effective reduction in lead toxicity and improved soil health (Ali et al., 2024). In this context, given the environmental problems of many soils used for agricultural activities, currently contaminated by the use of chemicals containing heavy metals, including lead (Pb), the research aimed to determine the percentage of lead adsorption efficiency in agricultural soil samples using </w:t>
      </w:r>
      <w:proofErr w:type="spellStart"/>
      <w:r w:rsidRPr="005120ED">
        <w:rPr>
          <w:rFonts w:cs="Arial"/>
          <w:szCs w:val="18"/>
        </w:rPr>
        <w:t>bionanoparticles</w:t>
      </w:r>
      <w:proofErr w:type="spellEnd"/>
      <w:r w:rsidRPr="005120ED">
        <w:rPr>
          <w:rFonts w:cs="Arial"/>
          <w:szCs w:val="18"/>
        </w:rPr>
        <w:t xml:space="preserve"> obtained through synthesis with plant extract (quinoa). This process included tests at three different pH levels and temperatures.</w:t>
      </w:r>
    </w:p>
    <w:p w14:paraId="4392306A" w14:textId="77777777" w:rsidR="005120ED" w:rsidRDefault="005120ED" w:rsidP="005120ED">
      <w:pPr>
        <w:pStyle w:val="CETBodytext"/>
        <w:spacing w:line="240" w:lineRule="auto"/>
        <w:rPr>
          <w:rFonts w:cs="Arial"/>
          <w:szCs w:val="18"/>
        </w:rPr>
      </w:pPr>
    </w:p>
    <w:p w14:paraId="441246F3" w14:textId="0A0D841E" w:rsidR="005120ED" w:rsidRPr="005120ED" w:rsidRDefault="005120ED" w:rsidP="005120ED">
      <w:pPr>
        <w:pStyle w:val="CETBodytext"/>
        <w:spacing w:line="240" w:lineRule="auto"/>
        <w:rPr>
          <w:rFonts w:cs="Arial"/>
          <w:b/>
          <w:bCs/>
          <w:szCs w:val="18"/>
        </w:rPr>
      </w:pPr>
      <w:r w:rsidRPr="005120ED">
        <w:rPr>
          <w:rFonts w:cs="Arial"/>
          <w:b/>
          <w:bCs/>
          <w:szCs w:val="18"/>
        </w:rPr>
        <w:t>1. Methodology</w:t>
      </w:r>
    </w:p>
    <w:p w14:paraId="4291E294" w14:textId="77777777" w:rsidR="005120ED" w:rsidRDefault="005120ED" w:rsidP="005120ED">
      <w:pPr>
        <w:pStyle w:val="CETBodytext"/>
        <w:spacing w:line="240" w:lineRule="auto"/>
        <w:rPr>
          <w:rFonts w:cs="Arial"/>
          <w:szCs w:val="18"/>
        </w:rPr>
      </w:pPr>
      <w:r w:rsidRPr="005120ED">
        <w:rPr>
          <w:rFonts w:cs="Arial"/>
          <w:szCs w:val="18"/>
        </w:rPr>
        <w:t>The biosynthesis of Fe nanoparticles was carried out with quinoa leaf extract. 100 mL of FeCl</w:t>
      </w:r>
      <w:r w:rsidRPr="005120ED">
        <w:rPr>
          <w:rFonts w:cs="Arial"/>
          <w:szCs w:val="18"/>
          <w:vertAlign w:val="subscript"/>
        </w:rPr>
        <w:t>3</w:t>
      </w:r>
      <w:r w:rsidRPr="005120ED">
        <w:rPr>
          <w:rFonts w:cs="Arial"/>
          <w:szCs w:val="18"/>
        </w:rPr>
        <w:t xml:space="preserve"> (0.1 M) was added to a 250 mL Erlenmeyer flask, followed by the addition of quinoa leaf extract dropwise in a 1:1 ratio until a color change from yellow to black was observed. The resulting solution was pH-corrected to 4 with NaOH solution (0.1 M). The formation of a black precipitate was indicative of the formation of Fe nanoparticles. The solution was centrifuged at 10,000 rpm for 10 minutes and washed with an acetone-alcohol mixture (50% v/v). The solid obtained was dried at 50°C for 24 hours, yielding shiny black nanoparticles. The Fe </w:t>
      </w:r>
      <w:proofErr w:type="spellStart"/>
      <w:r w:rsidRPr="005120ED">
        <w:rPr>
          <w:rFonts w:cs="Arial"/>
          <w:szCs w:val="18"/>
        </w:rPr>
        <w:t>bionanoparticles</w:t>
      </w:r>
      <w:proofErr w:type="spellEnd"/>
      <w:r w:rsidRPr="005120ED">
        <w:rPr>
          <w:rFonts w:cs="Arial"/>
          <w:szCs w:val="18"/>
        </w:rPr>
        <w:t xml:space="preserve"> were characterized in size by Transmission Electron Microscopy (TEM) and the functional groups present were evaluated by Fourier Transform Infrared (FTIR) spectra.</w:t>
      </w:r>
    </w:p>
    <w:p w14:paraId="40BF03CF" w14:textId="77777777" w:rsidR="005120ED" w:rsidRPr="005120ED" w:rsidRDefault="005120ED" w:rsidP="005120ED">
      <w:pPr>
        <w:pStyle w:val="CETBodytext"/>
        <w:spacing w:line="240" w:lineRule="auto"/>
        <w:rPr>
          <w:rFonts w:cs="Arial"/>
          <w:szCs w:val="18"/>
        </w:rPr>
      </w:pPr>
    </w:p>
    <w:p w14:paraId="4C5B3722" w14:textId="7438D009" w:rsidR="005120ED" w:rsidRPr="005120ED" w:rsidRDefault="005120ED" w:rsidP="005120ED">
      <w:pPr>
        <w:pStyle w:val="CETBodytext"/>
        <w:spacing w:line="240" w:lineRule="auto"/>
        <w:rPr>
          <w:rFonts w:cs="Arial"/>
          <w:b/>
          <w:bCs/>
          <w:szCs w:val="18"/>
        </w:rPr>
      </w:pPr>
      <w:r w:rsidRPr="005120ED">
        <w:rPr>
          <w:rFonts w:cs="Arial"/>
          <w:b/>
          <w:bCs/>
          <w:szCs w:val="18"/>
        </w:rPr>
        <w:t>2. Treatment Process</w:t>
      </w:r>
    </w:p>
    <w:p w14:paraId="625EF79B" w14:textId="77777777" w:rsidR="005120ED" w:rsidRPr="005120ED" w:rsidRDefault="005120ED" w:rsidP="005120ED">
      <w:pPr>
        <w:pStyle w:val="CETBodytext"/>
        <w:spacing w:line="240" w:lineRule="auto"/>
        <w:rPr>
          <w:rFonts w:cs="Arial"/>
          <w:szCs w:val="18"/>
        </w:rPr>
      </w:pPr>
      <w:r w:rsidRPr="005120ED">
        <w:rPr>
          <w:rFonts w:cs="Arial"/>
          <w:szCs w:val="18"/>
        </w:rPr>
        <w:t>The treatment followed the process indicated in Figure 1.</w:t>
      </w:r>
    </w:p>
    <w:p w14:paraId="704DD07E" w14:textId="77777777" w:rsidR="005120ED" w:rsidRPr="005120ED" w:rsidRDefault="005120ED" w:rsidP="005120ED">
      <w:pPr>
        <w:pStyle w:val="CETBodytext"/>
        <w:spacing w:line="240" w:lineRule="auto"/>
        <w:rPr>
          <w:rFonts w:cs="Arial"/>
          <w:szCs w:val="18"/>
        </w:rPr>
      </w:pPr>
      <w:r w:rsidRPr="005120ED">
        <w:rPr>
          <w:rFonts w:cs="Arial"/>
          <w:szCs w:val="18"/>
        </w:rPr>
        <w:t>The laboratory procedure consisted of taking nine 2-g samples of lead-contaminated soil (at a Pb concentration of 10 ppm), which were placed in nine beakers. Nanoparticles were then added to each sample at a dose of 0.2 g and 100 mL of distilled water.</w:t>
      </w:r>
    </w:p>
    <w:p w14:paraId="3345C054" w14:textId="74447425" w:rsidR="00DE572A" w:rsidRPr="00D228E9" w:rsidRDefault="005120ED" w:rsidP="005120ED">
      <w:pPr>
        <w:pStyle w:val="CETBodytext"/>
        <w:spacing w:line="240" w:lineRule="auto"/>
        <w:rPr>
          <w:rFonts w:cs="Arial"/>
          <w:szCs w:val="18"/>
          <w:lang w:val="es-PE"/>
        </w:rPr>
      </w:pPr>
      <w:r w:rsidRPr="005120ED">
        <w:rPr>
          <w:rFonts w:cs="Arial"/>
          <w:szCs w:val="18"/>
        </w:rPr>
        <w:t>For the study, the pH of the solution was adjusted to 2 in three beakers, to 4 in three others, and to 6 in the remaining three by adding nitric acid solution (0.1 M) and sodium hydroxide (0.1 M). In the same system, the temperature of each group of three beakers was controlled, maintaining it at 15, 30, and 45°C, respectively. Each sample was treated with stirring at 170 rpm for 30 minutes. It is worth noting that the research aimed to evaluate the optimal pH conditions (2, 4, 6) under which Fe nanoparticles could exhibit adsorption, since it is at acidic pH that greater mobility and bioavailability of lead in the soil is observed. Finally, the nine treated solutions were subjected to filtration to separate the treated soil from the solution water. The treated soil was subsequently analyzed for lead</w:t>
      </w:r>
      <w:r w:rsidRPr="005120ED">
        <w:rPr>
          <w:rFonts w:cs="Arial"/>
          <w:szCs w:val="18"/>
          <w:lang w:val="es-PE"/>
        </w:rPr>
        <w:t>.</w:t>
      </w:r>
    </w:p>
    <w:p w14:paraId="29581E9F" w14:textId="5696F19B" w:rsidR="00ED72FA" w:rsidRPr="00D228E9" w:rsidRDefault="00B40C5E" w:rsidP="00D228E9">
      <w:pPr>
        <w:pStyle w:val="CETBodytext"/>
        <w:spacing w:line="240" w:lineRule="auto"/>
        <w:jc w:val="center"/>
        <w:rPr>
          <w:rFonts w:cs="Arial"/>
          <w:szCs w:val="18"/>
          <w:lang w:val="es-PE"/>
        </w:rPr>
      </w:pPr>
      <w:r w:rsidRPr="00D228E9">
        <w:rPr>
          <w:rFonts w:cs="Arial"/>
          <w:noProof/>
          <w:szCs w:val="18"/>
          <w:lang w:val="en-GB"/>
        </w:rPr>
        <w:lastRenderedPageBreak/>
        <w:drawing>
          <wp:inline distT="0" distB="0" distL="0" distR="0" wp14:anchorId="6245952D" wp14:editId="234586B1">
            <wp:extent cx="3926840" cy="197724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4811" cy="2061818"/>
                    </a:xfrm>
                    <a:prstGeom prst="rect">
                      <a:avLst/>
                    </a:prstGeom>
                    <a:noFill/>
                    <a:ln>
                      <a:noFill/>
                    </a:ln>
                  </pic:spPr>
                </pic:pic>
              </a:graphicData>
            </a:graphic>
          </wp:inline>
        </w:drawing>
      </w:r>
    </w:p>
    <w:p w14:paraId="248C6715" w14:textId="3D880CC2" w:rsidR="008D56D3" w:rsidRPr="002F673E" w:rsidRDefault="00D228E9" w:rsidP="00D228E9">
      <w:pPr>
        <w:pStyle w:val="CETBodytext"/>
        <w:spacing w:line="240" w:lineRule="auto"/>
        <w:rPr>
          <w:rStyle w:val="CETCaptionCarattere"/>
          <w:rFonts w:cs="Arial"/>
          <w:szCs w:val="18"/>
          <w:lang w:val="en-US"/>
        </w:rPr>
      </w:pPr>
      <w:r w:rsidRPr="002F673E">
        <w:rPr>
          <w:rStyle w:val="CETCaptionCarattere"/>
          <w:rFonts w:cs="Arial"/>
          <w:szCs w:val="18"/>
          <w:lang w:val="en-US"/>
        </w:rPr>
        <w:t xml:space="preserve">                                    </w:t>
      </w:r>
      <w:r w:rsidR="00547466" w:rsidRPr="002F673E">
        <w:rPr>
          <w:rStyle w:val="CETCaptionCarattere"/>
          <w:rFonts w:cs="Arial"/>
          <w:szCs w:val="18"/>
          <w:lang w:val="en-US"/>
        </w:rPr>
        <w:t>Figure 1: Treatment process</w:t>
      </w:r>
    </w:p>
    <w:p w14:paraId="708FBD69" w14:textId="77777777" w:rsidR="002F673E" w:rsidRPr="002F673E" w:rsidRDefault="002F673E" w:rsidP="002F673E">
      <w:pPr>
        <w:pStyle w:val="CETTabletitle"/>
        <w:spacing w:line="240" w:lineRule="auto"/>
        <w:jc w:val="both"/>
        <w:rPr>
          <w:rFonts w:cs="Arial"/>
          <w:i w:val="0"/>
          <w:iCs/>
          <w:szCs w:val="18"/>
        </w:rPr>
      </w:pPr>
      <w:r w:rsidRPr="002F673E">
        <w:rPr>
          <w:rFonts w:cs="Arial"/>
          <w:i w:val="0"/>
          <w:iCs/>
          <w:szCs w:val="18"/>
        </w:rPr>
        <w:t>The treated soil was subjected to inductively coupled plasma mass spectrometry (ICP-MS) analysis to quantify lead concentrations (in triplicate).</w:t>
      </w:r>
    </w:p>
    <w:p w14:paraId="55625353" w14:textId="77777777" w:rsidR="002F673E" w:rsidRPr="005120ED" w:rsidRDefault="002F673E" w:rsidP="002F673E">
      <w:pPr>
        <w:pStyle w:val="CETTabletitle"/>
        <w:spacing w:line="240" w:lineRule="auto"/>
        <w:jc w:val="both"/>
        <w:rPr>
          <w:rFonts w:cs="Arial"/>
          <w:b/>
          <w:bCs/>
          <w:i w:val="0"/>
          <w:iCs/>
          <w:szCs w:val="18"/>
        </w:rPr>
      </w:pPr>
      <w:r w:rsidRPr="005120ED">
        <w:rPr>
          <w:rFonts w:cs="Arial"/>
          <w:b/>
          <w:bCs/>
          <w:i w:val="0"/>
          <w:iCs/>
          <w:szCs w:val="18"/>
        </w:rPr>
        <w:t>2. Results and Discussion</w:t>
      </w:r>
    </w:p>
    <w:p w14:paraId="38238838" w14:textId="77777777" w:rsidR="002F673E" w:rsidRPr="002F673E" w:rsidRDefault="002F673E" w:rsidP="002F673E">
      <w:pPr>
        <w:pStyle w:val="CETTabletitle"/>
        <w:spacing w:line="240" w:lineRule="auto"/>
        <w:jc w:val="both"/>
        <w:rPr>
          <w:rFonts w:cs="Arial"/>
          <w:i w:val="0"/>
          <w:iCs/>
          <w:szCs w:val="18"/>
        </w:rPr>
      </w:pPr>
      <w:r w:rsidRPr="002F673E">
        <w:rPr>
          <w:rFonts w:cs="Arial"/>
          <w:i w:val="0"/>
          <w:iCs/>
          <w:szCs w:val="18"/>
        </w:rPr>
        <w:t>After sample evaluation, the following were determined:</w:t>
      </w:r>
    </w:p>
    <w:p w14:paraId="462DA9DB" w14:textId="77777777" w:rsidR="002F673E" w:rsidRPr="005120ED" w:rsidRDefault="002F673E" w:rsidP="002F673E">
      <w:pPr>
        <w:pStyle w:val="CETTabletitle"/>
        <w:spacing w:line="240" w:lineRule="auto"/>
        <w:jc w:val="both"/>
        <w:rPr>
          <w:rFonts w:cs="Arial"/>
          <w:b/>
          <w:bCs/>
          <w:i w:val="0"/>
          <w:iCs/>
          <w:szCs w:val="18"/>
        </w:rPr>
      </w:pPr>
      <w:r w:rsidRPr="005120ED">
        <w:rPr>
          <w:rFonts w:cs="Arial"/>
          <w:b/>
          <w:bCs/>
          <w:i w:val="0"/>
          <w:iCs/>
          <w:szCs w:val="18"/>
        </w:rPr>
        <w:t xml:space="preserve">2.1 Initial lead concentration and concentration after treatment with Fe </w:t>
      </w:r>
      <w:proofErr w:type="spellStart"/>
      <w:r w:rsidRPr="005120ED">
        <w:rPr>
          <w:rFonts w:cs="Arial"/>
          <w:b/>
          <w:bCs/>
          <w:i w:val="0"/>
          <w:iCs/>
          <w:szCs w:val="18"/>
        </w:rPr>
        <w:t>bionanoparticles</w:t>
      </w:r>
      <w:proofErr w:type="spellEnd"/>
    </w:p>
    <w:p w14:paraId="60DA0468" w14:textId="77777777" w:rsidR="002F673E" w:rsidRPr="002F673E" w:rsidRDefault="002F673E" w:rsidP="002F673E">
      <w:pPr>
        <w:pStyle w:val="CETTabletitle"/>
        <w:spacing w:line="240" w:lineRule="auto"/>
        <w:jc w:val="both"/>
        <w:rPr>
          <w:rFonts w:cs="Arial"/>
          <w:i w:val="0"/>
          <w:iCs/>
          <w:szCs w:val="18"/>
        </w:rPr>
      </w:pPr>
      <w:r w:rsidRPr="002F673E">
        <w:rPr>
          <w:rFonts w:cs="Arial"/>
          <w:i w:val="0"/>
          <w:iCs/>
          <w:szCs w:val="18"/>
        </w:rPr>
        <w:t>Before and after treatments (T1, T2, T3, T4, T5, T6, T7, T8, and T9) of the lead-contaminated soil with iron nanoparticles, the soil had the lead concentration shown in Table 1. It was determined that, at pH 4, the percentage of lead adsorption is higher at temperatures of 15, 30, and 45°C.</w:t>
      </w:r>
    </w:p>
    <w:p w14:paraId="539F1D26" w14:textId="77777777" w:rsidR="002F673E" w:rsidRDefault="002F673E" w:rsidP="002F673E">
      <w:pPr>
        <w:pStyle w:val="CETTabletitle"/>
        <w:spacing w:line="240" w:lineRule="auto"/>
        <w:jc w:val="both"/>
        <w:rPr>
          <w:rFonts w:cs="Arial"/>
          <w:i w:val="0"/>
          <w:iCs/>
          <w:szCs w:val="18"/>
        </w:rPr>
      </w:pPr>
      <w:r w:rsidRPr="002F673E">
        <w:rPr>
          <w:rFonts w:cs="Arial"/>
          <w:i w:val="0"/>
          <w:iCs/>
          <w:szCs w:val="18"/>
        </w:rPr>
        <w:t>This result establishes that the biosynthesized iron nanoparticles present significant advantages due to their high reactivity thanks to their large surface area (1 nm to 50 nm) determined by TEM, their ability to act as reducing and adsorbent agents, and their improved biocompatibility thanks to their coating with natural phenolic compounds identified by FTIR which demonstrated the presence of hydroxyl radicals (OH</w:t>
      </w:r>
      <w:r w:rsidRPr="005120ED">
        <w:rPr>
          <w:rFonts w:cs="Arial"/>
          <w:i w:val="0"/>
          <w:iCs/>
          <w:szCs w:val="18"/>
          <w:vertAlign w:val="superscript"/>
        </w:rPr>
        <w:t>-</w:t>
      </w:r>
      <w:r w:rsidRPr="002F673E">
        <w:rPr>
          <w:rFonts w:cs="Arial"/>
          <w:i w:val="0"/>
          <w:iCs/>
          <w:szCs w:val="18"/>
        </w:rPr>
        <w:t>) due to the stretching band of 3227.46 nm</w:t>
      </w:r>
      <w:r w:rsidRPr="005120ED">
        <w:rPr>
          <w:rFonts w:cs="Arial"/>
          <w:i w:val="0"/>
          <w:iCs/>
          <w:szCs w:val="18"/>
          <w:vertAlign w:val="superscript"/>
        </w:rPr>
        <w:t>-1</w:t>
      </w:r>
      <w:r w:rsidRPr="002F673E">
        <w:rPr>
          <w:rFonts w:cs="Arial"/>
          <w:i w:val="0"/>
          <w:iCs/>
          <w:szCs w:val="18"/>
        </w:rPr>
        <w:t>. Given these results, Vasquez Guerrero, et al., (2021) states that the presence of OH</w:t>
      </w:r>
      <w:r w:rsidRPr="005120ED">
        <w:rPr>
          <w:rFonts w:cs="Arial"/>
          <w:i w:val="0"/>
          <w:iCs/>
          <w:szCs w:val="18"/>
          <w:vertAlign w:val="superscript"/>
        </w:rPr>
        <w:t xml:space="preserve">- </w:t>
      </w:r>
      <w:r w:rsidRPr="002F673E">
        <w:rPr>
          <w:rFonts w:cs="Arial"/>
          <w:i w:val="0"/>
          <w:iCs/>
          <w:szCs w:val="18"/>
        </w:rPr>
        <w:t>ions on the surface of the nanoparticles allows the adsorption of metals, which occurs due to weak Van der Waals interactions (physisorption) or the formation of chemical bonds (chemisorption) between two compounds present (adsorbate and adsorbent) (Méndez, et al., 2019).</w:t>
      </w:r>
    </w:p>
    <w:p w14:paraId="63A17A7D" w14:textId="2D3E8C75" w:rsidR="00401C5D" w:rsidRPr="00D228E9" w:rsidRDefault="00401C5D" w:rsidP="002F673E">
      <w:pPr>
        <w:pStyle w:val="CETTabletitle"/>
        <w:spacing w:line="240" w:lineRule="auto"/>
        <w:jc w:val="both"/>
        <w:rPr>
          <w:rFonts w:cs="Arial"/>
          <w:szCs w:val="18"/>
        </w:rPr>
      </w:pPr>
      <w:r w:rsidRPr="00D228E9">
        <w:rPr>
          <w:rFonts w:cs="Arial"/>
          <w:szCs w:val="18"/>
        </w:rPr>
        <w:t xml:space="preserve">Table 1: </w:t>
      </w:r>
      <w:r w:rsidR="002E5D9C" w:rsidRPr="00D228E9">
        <w:rPr>
          <w:rFonts w:cs="Arial"/>
          <w:szCs w:val="18"/>
        </w:rPr>
        <w:t>Initial and final Pb concentration of the treated soil</w:t>
      </w:r>
    </w:p>
    <w:tbl>
      <w:tblPr>
        <w:tblW w:w="6358" w:type="dxa"/>
        <w:jc w:val="center"/>
        <w:tblCellMar>
          <w:left w:w="70" w:type="dxa"/>
          <w:right w:w="70" w:type="dxa"/>
        </w:tblCellMar>
        <w:tblLook w:val="04A0" w:firstRow="1" w:lastRow="0" w:firstColumn="1" w:lastColumn="0" w:noHBand="0" w:noVBand="1"/>
      </w:tblPr>
      <w:tblGrid>
        <w:gridCol w:w="1207"/>
        <w:gridCol w:w="703"/>
        <w:gridCol w:w="1207"/>
        <w:gridCol w:w="1731"/>
        <w:gridCol w:w="1510"/>
      </w:tblGrid>
      <w:tr w:rsidR="003F0AF2" w:rsidRPr="00D228E9" w14:paraId="72608E0D" w14:textId="77777777" w:rsidTr="00D228E9">
        <w:trPr>
          <w:trHeight w:val="540"/>
          <w:jc w:val="center"/>
        </w:trPr>
        <w:tc>
          <w:tcPr>
            <w:tcW w:w="1207" w:type="dxa"/>
            <w:tcBorders>
              <w:top w:val="single" w:sz="12" w:space="0" w:color="008000"/>
              <w:left w:val="nil"/>
              <w:bottom w:val="single" w:sz="8" w:space="0" w:color="008000"/>
              <w:right w:val="nil"/>
            </w:tcBorders>
            <w:shd w:val="clear" w:color="000000" w:fill="FFFFFF"/>
            <w:vAlign w:val="center"/>
            <w:hideMark/>
          </w:tcPr>
          <w:p w14:paraId="19F1DDA5" w14:textId="730DB96E" w:rsidR="00DF13D5" w:rsidRPr="00D228E9" w:rsidRDefault="002E5D9C" w:rsidP="00D228E9">
            <w:pPr>
              <w:tabs>
                <w:tab w:val="clear" w:pos="7100"/>
              </w:tabs>
              <w:spacing w:line="240" w:lineRule="auto"/>
              <w:rPr>
                <w:rFonts w:cs="Arial"/>
                <w:color w:val="000000"/>
                <w:szCs w:val="18"/>
                <w:lang w:eastAsia="es-PE"/>
              </w:rPr>
            </w:pPr>
            <w:r w:rsidRPr="00D228E9">
              <w:rPr>
                <w:rFonts w:cs="Arial"/>
                <w:szCs w:val="18"/>
              </w:rPr>
              <w:t>Treatment</w:t>
            </w:r>
          </w:p>
        </w:tc>
        <w:tc>
          <w:tcPr>
            <w:tcW w:w="703" w:type="dxa"/>
            <w:tcBorders>
              <w:top w:val="single" w:sz="12" w:space="0" w:color="008000"/>
              <w:left w:val="nil"/>
              <w:bottom w:val="single" w:sz="8" w:space="0" w:color="008000"/>
              <w:right w:val="nil"/>
            </w:tcBorders>
            <w:shd w:val="clear" w:color="000000" w:fill="FFFFFF"/>
            <w:vAlign w:val="center"/>
            <w:hideMark/>
          </w:tcPr>
          <w:p w14:paraId="6ED0B058"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pH</w:t>
            </w:r>
          </w:p>
        </w:tc>
        <w:tc>
          <w:tcPr>
            <w:tcW w:w="1207" w:type="dxa"/>
            <w:tcBorders>
              <w:top w:val="single" w:sz="12" w:space="0" w:color="008000"/>
              <w:left w:val="nil"/>
              <w:bottom w:val="single" w:sz="8" w:space="0" w:color="008000"/>
              <w:right w:val="nil"/>
            </w:tcBorders>
            <w:shd w:val="clear" w:color="000000" w:fill="FFFFFF"/>
            <w:vAlign w:val="center"/>
            <w:hideMark/>
          </w:tcPr>
          <w:p w14:paraId="570A2304" w14:textId="765B01B8"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Temperatur</w:t>
            </w:r>
            <w:r w:rsidR="002E5D9C" w:rsidRPr="00D228E9">
              <w:rPr>
                <w:rFonts w:cs="Arial"/>
                <w:szCs w:val="18"/>
                <w:lang w:eastAsia="es-PE"/>
              </w:rPr>
              <w:t>e</w:t>
            </w:r>
            <w:r w:rsidRPr="00D228E9">
              <w:rPr>
                <w:rFonts w:cs="Arial"/>
                <w:szCs w:val="18"/>
                <w:lang w:eastAsia="es-PE"/>
              </w:rPr>
              <w:t xml:space="preserve"> (°C)</w:t>
            </w:r>
          </w:p>
        </w:tc>
        <w:tc>
          <w:tcPr>
            <w:tcW w:w="1731" w:type="dxa"/>
            <w:tcBorders>
              <w:top w:val="single" w:sz="12" w:space="0" w:color="008000"/>
              <w:left w:val="nil"/>
              <w:bottom w:val="single" w:sz="8" w:space="0" w:color="008000"/>
              <w:right w:val="nil"/>
            </w:tcBorders>
            <w:shd w:val="clear" w:color="000000" w:fill="FFFFFF"/>
            <w:vAlign w:val="center"/>
            <w:hideMark/>
          </w:tcPr>
          <w:p w14:paraId="3AEE44D1" w14:textId="5EE2DA6C" w:rsidR="00DF13D5" w:rsidRPr="00D228E9" w:rsidRDefault="004F7B96" w:rsidP="00D228E9">
            <w:pPr>
              <w:tabs>
                <w:tab w:val="clear" w:pos="7100"/>
              </w:tabs>
              <w:spacing w:line="240" w:lineRule="auto"/>
              <w:jc w:val="left"/>
              <w:rPr>
                <w:rFonts w:cs="Arial"/>
                <w:color w:val="000000"/>
                <w:szCs w:val="18"/>
                <w:lang w:eastAsia="es-PE"/>
              </w:rPr>
            </w:pPr>
            <w:r w:rsidRPr="00D228E9">
              <w:rPr>
                <w:rFonts w:cs="Arial"/>
                <w:color w:val="000000"/>
                <w:szCs w:val="18"/>
                <w:lang w:eastAsia="es-PE"/>
              </w:rPr>
              <w:t xml:space="preserve">Initial Pb concentration </w:t>
            </w:r>
            <w:r w:rsidR="00DF13D5" w:rsidRPr="00D228E9">
              <w:rPr>
                <w:rFonts w:cs="Arial"/>
                <w:color w:val="000000"/>
                <w:szCs w:val="18"/>
                <w:lang w:eastAsia="es-PE"/>
              </w:rPr>
              <w:t>(ppm)</w:t>
            </w:r>
          </w:p>
        </w:tc>
        <w:tc>
          <w:tcPr>
            <w:tcW w:w="1510" w:type="dxa"/>
            <w:tcBorders>
              <w:top w:val="single" w:sz="12" w:space="0" w:color="008000"/>
              <w:left w:val="nil"/>
              <w:bottom w:val="single" w:sz="8" w:space="0" w:color="008000"/>
              <w:right w:val="nil"/>
            </w:tcBorders>
            <w:shd w:val="clear" w:color="000000" w:fill="FFFFFF"/>
            <w:vAlign w:val="center"/>
            <w:hideMark/>
          </w:tcPr>
          <w:p w14:paraId="61D2E323" w14:textId="1C777C6D" w:rsidR="00DF13D5" w:rsidRPr="00D228E9" w:rsidRDefault="004F7B96" w:rsidP="00D228E9">
            <w:pPr>
              <w:tabs>
                <w:tab w:val="clear" w:pos="7100"/>
              </w:tabs>
              <w:spacing w:line="240" w:lineRule="auto"/>
              <w:jc w:val="left"/>
              <w:rPr>
                <w:rFonts w:cs="Arial"/>
                <w:color w:val="000000"/>
                <w:szCs w:val="18"/>
                <w:lang w:eastAsia="es-PE"/>
              </w:rPr>
            </w:pPr>
            <w:r w:rsidRPr="00D228E9">
              <w:rPr>
                <w:rFonts w:cs="Arial"/>
                <w:color w:val="000000"/>
                <w:szCs w:val="18"/>
                <w:lang w:eastAsia="es-PE"/>
              </w:rPr>
              <w:t xml:space="preserve">Final Pb concentration </w:t>
            </w:r>
            <w:r w:rsidR="00DF13D5" w:rsidRPr="00D228E9">
              <w:rPr>
                <w:rFonts w:cs="Arial"/>
                <w:color w:val="000000"/>
                <w:szCs w:val="18"/>
                <w:lang w:eastAsia="es-PE"/>
              </w:rPr>
              <w:t>(ppm)</w:t>
            </w:r>
          </w:p>
        </w:tc>
      </w:tr>
      <w:tr w:rsidR="003F0AF2" w:rsidRPr="00D228E9" w14:paraId="7B9968F6" w14:textId="77777777" w:rsidTr="00D228E9">
        <w:trPr>
          <w:trHeight w:val="216"/>
          <w:jc w:val="center"/>
        </w:trPr>
        <w:tc>
          <w:tcPr>
            <w:tcW w:w="1207" w:type="dxa"/>
            <w:tcBorders>
              <w:top w:val="nil"/>
              <w:left w:val="nil"/>
              <w:bottom w:val="nil"/>
              <w:right w:val="nil"/>
            </w:tcBorders>
            <w:shd w:val="clear" w:color="000000" w:fill="FFFFFF"/>
            <w:vAlign w:val="center"/>
            <w:hideMark/>
          </w:tcPr>
          <w:p w14:paraId="7D368ED7"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T1</w:t>
            </w:r>
          </w:p>
        </w:tc>
        <w:tc>
          <w:tcPr>
            <w:tcW w:w="703" w:type="dxa"/>
            <w:tcBorders>
              <w:top w:val="nil"/>
              <w:left w:val="nil"/>
              <w:bottom w:val="nil"/>
              <w:right w:val="nil"/>
            </w:tcBorders>
            <w:shd w:val="clear" w:color="000000" w:fill="FFFFFF"/>
            <w:vAlign w:val="center"/>
            <w:hideMark/>
          </w:tcPr>
          <w:p w14:paraId="3112D3B4"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2</w:t>
            </w:r>
          </w:p>
        </w:tc>
        <w:tc>
          <w:tcPr>
            <w:tcW w:w="1207" w:type="dxa"/>
            <w:tcBorders>
              <w:top w:val="nil"/>
              <w:left w:val="nil"/>
              <w:bottom w:val="nil"/>
              <w:right w:val="nil"/>
            </w:tcBorders>
            <w:shd w:val="clear" w:color="000000" w:fill="FFFFFF"/>
            <w:vAlign w:val="center"/>
            <w:hideMark/>
          </w:tcPr>
          <w:p w14:paraId="3A507523"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15</w:t>
            </w:r>
          </w:p>
        </w:tc>
        <w:tc>
          <w:tcPr>
            <w:tcW w:w="1731" w:type="dxa"/>
            <w:tcBorders>
              <w:top w:val="nil"/>
              <w:left w:val="nil"/>
              <w:bottom w:val="nil"/>
              <w:right w:val="nil"/>
            </w:tcBorders>
            <w:shd w:val="clear" w:color="000000" w:fill="FFFFFF"/>
            <w:vAlign w:val="center"/>
            <w:hideMark/>
          </w:tcPr>
          <w:p w14:paraId="3BAA83E6"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1792F3A3"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0.45</w:t>
            </w:r>
          </w:p>
        </w:tc>
      </w:tr>
      <w:tr w:rsidR="003F0AF2" w:rsidRPr="00D228E9" w14:paraId="00049288" w14:textId="77777777" w:rsidTr="00D228E9">
        <w:trPr>
          <w:trHeight w:val="216"/>
          <w:jc w:val="center"/>
        </w:trPr>
        <w:tc>
          <w:tcPr>
            <w:tcW w:w="1207" w:type="dxa"/>
            <w:tcBorders>
              <w:top w:val="nil"/>
              <w:left w:val="nil"/>
              <w:bottom w:val="nil"/>
              <w:right w:val="nil"/>
            </w:tcBorders>
            <w:shd w:val="clear" w:color="000000" w:fill="FFFFFF"/>
            <w:vAlign w:val="center"/>
            <w:hideMark/>
          </w:tcPr>
          <w:p w14:paraId="475CA0C6"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T2</w:t>
            </w:r>
          </w:p>
        </w:tc>
        <w:tc>
          <w:tcPr>
            <w:tcW w:w="703" w:type="dxa"/>
            <w:tcBorders>
              <w:top w:val="nil"/>
              <w:left w:val="nil"/>
              <w:bottom w:val="nil"/>
              <w:right w:val="nil"/>
            </w:tcBorders>
            <w:shd w:val="clear" w:color="000000" w:fill="FFFFFF"/>
            <w:vAlign w:val="center"/>
            <w:hideMark/>
          </w:tcPr>
          <w:p w14:paraId="4790AC10"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w:t>
            </w:r>
          </w:p>
        </w:tc>
        <w:tc>
          <w:tcPr>
            <w:tcW w:w="1207" w:type="dxa"/>
            <w:tcBorders>
              <w:top w:val="nil"/>
              <w:left w:val="nil"/>
              <w:bottom w:val="nil"/>
              <w:right w:val="nil"/>
            </w:tcBorders>
            <w:shd w:val="clear" w:color="000000" w:fill="FFFFFF"/>
            <w:vAlign w:val="center"/>
            <w:hideMark/>
          </w:tcPr>
          <w:p w14:paraId="1425BD61"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15</w:t>
            </w:r>
          </w:p>
        </w:tc>
        <w:tc>
          <w:tcPr>
            <w:tcW w:w="1731" w:type="dxa"/>
            <w:tcBorders>
              <w:top w:val="nil"/>
              <w:left w:val="nil"/>
              <w:bottom w:val="nil"/>
              <w:right w:val="nil"/>
            </w:tcBorders>
            <w:shd w:val="clear" w:color="000000" w:fill="FFFFFF"/>
            <w:vAlign w:val="center"/>
            <w:hideMark/>
          </w:tcPr>
          <w:p w14:paraId="06DEE45E"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2FEBB17B"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0.02</w:t>
            </w:r>
          </w:p>
        </w:tc>
      </w:tr>
      <w:tr w:rsidR="003F0AF2" w:rsidRPr="00D228E9" w14:paraId="034871BE" w14:textId="77777777" w:rsidTr="00D228E9">
        <w:trPr>
          <w:trHeight w:val="216"/>
          <w:jc w:val="center"/>
        </w:trPr>
        <w:tc>
          <w:tcPr>
            <w:tcW w:w="1207" w:type="dxa"/>
            <w:tcBorders>
              <w:top w:val="nil"/>
              <w:left w:val="nil"/>
              <w:bottom w:val="nil"/>
              <w:right w:val="nil"/>
            </w:tcBorders>
            <w:shd w:val="clear" w:color="000000" w:fill="FFFFFF"/>
            <w:vAlign w:val="center"/>
            <w:hideMark/>
          </w:tcPr>
          <w:p w14:paraId="4A760C86"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T3</w:t>
            </w:r>
          </w:p>
        </w:tc>
        <w:tc>
          <w:tcPr>
            <w:tcW w:w="703" w:type="dxa"/>
            <w:tcBorders>
              <w:top w:val="nil"/>
              <w:left w:val="nil"/>
              <w:bottom w:val="nil"/>
              <w:right w:val="nil"/>
            </w:tcBorders>
            <w:shd w:val="clear" w:color="000000" w:fill="FFFFFF"/>
            <w:vAlign w:val="center"/>
            <w:hideMark/>
          </w:tcPr>
          <w:p w14:paraId="2DCB5576"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6</w:t>
            </w:r>
          </w:p>
        </w:tc>
        <w:tc>
          <w:tcPr>
            <w:tcW w:w="1207" w:type="dxa"/>
            <w:tcBorders>
              <w:top w:val="nil"/>
              <w:left w:val="nil"/>
              <w:bottom w:val="nil"/>
              <w:right w:val="nil"/>
            </w:tcBorders>
            <w:shd w:val="clear" w:color="000000" w:fill="FFFFFF"/>
            <w:vAlign w:val="center"/>
            <w:hideMark/>
          </w:tcPr>
          <w:p w14:paraId="6C9A5CF7"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15</w:t>
            </w:r>
          </w:p>
        </w:tc>
        <w:tc>
          <w:tcPr>
            <w:tcW w:w="1731" w:type="dxa"/>
            <w:tcBorders>
              <w:top w:val="nil"/>
              <w:left w:val="nil"/>
              <w:bottom w:val="nil"/>
              <w:right w:val="nil"/>
            </w:tcBorders>
            <w:shd w:val="clear" w:color="000000" w:fill="FFFFFF"/>
            <w:vAlign w:val="center"/>
            <w:hideMark/>
          </w:tcPr>
          <w:p w14:paraId="78ED6C68"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4764DB93"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0.03</w:t>
            </w:r>
          </w:p>
        </w:tc>
      </w:tr>
      <w:tr w:rsidR="003F0AF2" w:rsidRPr="00D228E9" w14:paraId="17F407F3" w14:textId="77777777" w:rsidTr="00D228E9">
        <w:trPr>
          <w:trHeight w:val="216"/>
          <w:jc w:val="center"/>
        </w:trPr>
        <w:tc>
          <w:tcPr>
            <w:tcW w:w="1207" w:type="dxa"/>
            <w:tcBorders>
              <w:top w:val="nil"/>
              <w:left w:val="nil"/>
              <w:bottom w:val="nil"/>
              <w:right w:val="nil"/>
            </w:tcBorders>
            <w:shd w:val="clear" w:color="000000" w:fill="FFFFFF"/>
            <w:vAlign w:val="center"/>
            <w:hideMark/>
          </w:tcPr>
          <w:p w14:paraId="0D40499D"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T4</w:t>
            </w:r>
          </w:p>
        </w:tc>
        <w:tc>
          <w:tcPr>
            <w:tcW w:w="703" w:type="dxa"/>
            <w:tcBorders>
              <w:top w:val="nil"/>
              <w:left w:val="nil"/>
              <w:bottom w:val="nil"/>
              <w:right w:val="nil"/>
            </w:tcBorders>
            <w:shd w:val="clear" w:color="000000" w:fill="FFFFFF"/>
            <w:vAlign w:val="center"/>
            <w:hideMark/>
          </w:tcPr>
          <w:p w14:paraId="7654B95E"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2</w:t>
            </w:r>
          </w:p>
        </w:tc>
        <w:tc>
          <w:tcPr>
            <w:tcW w:w="1207" w:type="dxa"/>
            <w:tcBorders>
              <w:top w:val="nil"/>
              <w:left w:val="nil"/>
              <w:bottom w:val="nil"/>
              <w:right w:val="nil"/>
            </w:tcBorders>
            <w:shd w:val="clear" w:color="000000" w:fill="FFFFFF"/>
            <w:vAlign w:val="center"/>
            <w:hideMark/>
          </w:tcPr>
          <w:p w14:paraId="2B5837DD"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30</w:t>
            </w:r>
          </w:p>
        </w:tc>
        <w:tc>
          <w:tcPr>
            <w:tcW w:w="1731" w:type="dxa"/>
            <w:tcBorders>
              <w:top w:val="nil"/>
              <w:left w:val="nil"/>
              <w:bottom w:val="nil"/>
              <w:right w:val="nil"/>
            </w:tcBorders>
            <w:shd w:val="clear" w:color="000000" w:fill="FFFFFF"/>
            <w:vAlign w:val="center"/>
            <w:hideMark/>
          </w:tcPr>
          <w:p w14:paraId="7263D30D"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7AA49BA5"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0.47</w:t>
            </w:r>
          </w:p>
        </w:tc>
      </w:tr>
      <w:tr w:rsidR="003F0AF2" w:rsidRPr="00D228E9" w14:paraId="0BB2870F" w14:textId="77777777" w:rsidTr="00D228E9">
        <w:trPr>
          <w:trHeight w:val="216"/>
          <w:jc w:val="center"/>
        </w:trPr>
        <w:tc>
          <w:tcPr>
            <w:tcW w:w="1207" w:type="dxa"/>
            <w:tcBorders>
              <w:top w:val="nil"/>
              <w:left w:val="nil"/>
              <w:bottom w:val="nil"/>
              <w:right w:val="nil"/>
            </w:tcBorders>
            <w:shd w:val="clear" w:color="000000" w:fill="FFFFFF"/>
            <w:vAlign w:val="center"/>
            <w:hideMark/>
          </w:tcPr>
          <w:p w14:paraId="07E1A443"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T5</w:t>
            </w:r>
          </w:p>
        </w:tc>
        <w:tc>
          <w:tcPr>
            <w:tcW w:w="703" w:type="dxa"/>
            <w:tcBorders>
              <w:top w:val="nil"/>
              <w:left w:val="nil"/>
              <w:bottom w:val="nil"/>
              <w:right w:val="nil"/>
            </w:tcBorders>
            <w:shd w:val="clear" w:color="000000" w:fill="FFFFFF"/>
            <w:vAlign w:val="center"/>
            <w:hideMark/>
          </w:tcPr>
          <w:p w14:paraId="76674D8B"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w:t>
            </w:r>
          </w:p>
        </w:tc>
        <w:tc>
          <w:tcPr>
            <w:tcW w:w="1207" w:type="dxa"/>
            <w:tcBorders>
              <w:top w:val="nil"/>
              <w:left w:val="nil"/>
              <w:bottom w:val="nil"/>
              <w:right w:val="nil"/>
            </w:tcBorders>
            <w:shd w:val="clear" w:color="000000" w:fill="FFFFFF"/>
            <w:vAlign w:val="center"/>
            <w:hideMark/>
          </w:tcPr>
          <w:p w14:paraId="7416B7F7"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30</w:t>
            </w:r>
          </w:p>
        </w:tc>
        <w:tc>
          <w:tcPr>
            <w:tcW w:w="1731" w:type="dxa"/>
            <w:tcBorders>
              <w:top w:val="nil"/>
              <w:left w:val="nil"/>
              <w:bottom w:val="nil"/>
              <w:right w:val="nil"/>
            </w:tcBorders>
            <w:shd w:val="clear" w:color="000000" w:fill="FFFFFF"/>
            <w:vAlign w:val="center"/>
            <w:hideMark/>
          </w:tcPr>
          <w:p w14:paraId="269C8348"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5D652112"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0.26</w:t>
            </w:r>
          </w:p>
        </w:tc>
      </w:tr>
      <w:tr w:rsidR="003F0AF2" w:rsidRPr="00D228E9" w14:paraId="23C2FDEF" w14:textId="77777777" w:rsidTr="00D228E9">
        <w:trPr>
          <w:trHeight w:val="216"/>
          <w:jc w:val="center"/>
        </w:trPr>
        <w:tc>
          <w:tcPr>
            <w:tcW w:w="1207" w:type="dxa"/>
            <w:tcBorders>
              <w:top w:val="nil"/>
              <w:left w:val="nil"/>
              <w:bottom w:val="nil"/>
              <w:right w:val="nil"/>
            </w:tcBorders>
            <w:shd w:val="clear" w:color="000000" w:fill="FFFFFF"/>
            <w:vAlign w:val="center"/>
            <w:hideMark/>
          </w:tcPr>
          <w:p w14:paraId="5AF403EB"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T6</w:t>
            </w:r>
          </w:p>
        </w:tc>
        <w:tc>
          <w:tcPr>
            <w:tcW w:w="703" w:type="dxa"/>
            <w:tcBorders>
              <w:top w:val="nil"/>
              <w:left w:val="nil"/>
              <w:bottom w:val="nil"/>
              <w:right w:val="nil"/>
            </w:tcBorders>
            <w:shd w:val="clear" w:color="000000" w:fill="FFFFFF"/>
            <w:vAlign w:val="center"/>
            <w:hideMark/>
          </w:tcPr>
          <w:p w14:paraId="5E47346C"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6</w:t>
            </w:r>
          </w:p>
        </w:tc>
        <w:tc>
          <w:tcPr>
            <w:tcW w:w="1207" w:type="dxa"/>
            <w:tcBorders>
              <w:top w:val="nil"/>
              <w:left w:val="nil"/>
              <w:bottom w:val="nil"/>
              <w:right w:val="nil"/>
            </w:tcBorders>
            <w:shd w:val="clear" w:color="000000" w:fill="FFFFFF"/>
            <w:vAlign w:val="center"/>
            <w:hideMark/>
          </w:tcPr>
          <w:p w14:paraId="6CB2FC35"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30</w:t>
            </w:r>
          </w:p>
        </w:tc>
        <w:tc>
          <w:tcPr>
            <w:tcW w:w="1731" w:type="dxa"/>
            <w:tcBorders>
              <w:top w:val="nil"/>
              <w:left w:val="nil"/>
              <w:bottom w:val="nil"/>
              <w:right w:val="nil"/>
            </w:tcBorders>
            <w:shd w:val="clear" w:color="000000" w:fill="FFFFFF"/>
            <w:vAlign w:val="center"/>
            <w:hideMark/>
          </w:tcPr>
          <w:p w14:paraId="29826974"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0B1445B6"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0.04</w:t>
            </w:r>
          </w:p>
        </w:tc>
      </w:tr>
      <w:tr w:rsidR="003F0AF2" w:rsidRPr="00D228E9" w14:paraId="710620E0" w14:textId="77777777" w:rsidTr="00D228E9">
        <w:trPr>
          <w:trHeight w:val="216"/>
          <w:jc w:val="center"/>
        </w:trPr>
        <w:tc>
          <w:tcPr>
            <w:tcW w:w="1207" w:type="dxa"/>
            <w:tcBorders>
              <w:top w:val="nil"/>
              <w:left w:val="nil"/>
              <w:bottom w:val="nil"/>
              <w:right w:val="nil"/>
            </w:tcBorders>
            <w:shd w:val="clear" w:color="000000" w:fill="FFFFFF"/>
            <w:vAlign w:val="center"/>
            <w:hideMark/>
          </w:tcPr>
          <w:p w14:paraId="0A9470C0"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T7</w:t>
            </w:r>
          </w:p>
        </w:tc>
        <w:tc>
          <w:tcPr>
            <w:tcW w:w="703" w:type="dxa"/>
            <w:tcBorders>
              <w:top w:val="nil"/>
              <w:left w:val="nil"/>
              <w:bottom w:val="nil"/>
              <w:right w:val="nil"/>
            </w:tcBorders>
            <w:shd w:val="clear" w:color="000000" w:fill="FFFFFF"/>
            <w:vAlign w:val="center"/>
            <w:hideMark/>
          </w:tcPr>
          <w:p w14:paraId="7BB62EB1"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2</w:t>
            </w:r>
          </w:p>
        </w:tc>
        <w:tc>
          <w:tcPr>
            <w:tcW w:w="1207" w:type="dxa"/>
            <w:tcBorders>
              <w:top w:val="nil"/>
              <w:left w:val="nil"/>
              <w:bottom w:val="nil"/>
              <w:right w:val="nil"/>
            </w:tcBorders>
            <w:shd w:val="clear" w:color="000000" w:fill="FFFFFF"/>
            <w:vAlign w:val="center"/>
            <w:hideMark/>
          </w:tcPr>
          <w:p w14:paraId="172A3E4E"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45</w:t>
            </w:r>
          </w:p>
        </w:tc>
        <w:tc>
          <w:tcPr>
            <w:tcW w:w="1731" w:type="dxa"/>
            <w:tcBorders>
              <w:top w:val="nil"/>
              <w:left w:val="nil"/>
              <w:bottom w:val="nil"/>
              <w:right w:val="nil"/>
            </w:tcBorders>
            <w:shd w:val="clear" w:color="000000" w:fill="FFFFFF"/>
            <w:vAlign w:val="center"/>
            <w:hideMark/>
          </w:tcPr>
          <w:p w14:paraId="4AA4EF82"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34851868"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0.24</w:t>
            </w:r>
          </w:p>
        </w:tc>
      </w:tr>
      <w:tr w:rsidR="003F0AF2" w:rsidRPr="00D228E9" w14:paraId="39ED88DF" w14:textId="77777777" w:rsidTr="00D228E9">
        <w:trPr>
          <w:trHeight w:val="226"/>
          <w:jc w:val="center"/>
        </w:trPr>
        <w:tc>
          <w:tcPr>
            <w:tcW w:w="1207" w:type="dxa"/>
            <w:tcBorders>
              <w:top w:val="nil"/>
              <w:left w:val="nil"/>
              <w:bottom w:val="nil"/>
              <w:right w:val="nil"/>
            </w:tcBorders>
            <w:shd w:val="clear" w:color="000000" w:fill="FFFFFF"/>
            <w:vAlign w:val="center"/>
            <w:hideMark/>
          </w:tcPr>
          <w:p w14:paraId="13281C13"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T8</w:t>
            </w:r>
          </w:p>
        </w:tc>
        <w:tc>
          <w:tcPr>
            <w:tcW w:w="703" w:type="dxa"/>
            <w:tcBorders>
              <w:top w:val="nil"/>
              <w:left w:val="nil"/>
              <w:bottom w:val="nil"/>
              <w:right w:val="nil"/>
            </w:tcBorders>
            <w:shd w:val="clear" w:color="000000" w:fill="FFFFFF"/>
            <w:vAlign w:val="center"/>
            <w:hideMark/>
          </w:tcPr>
          <w:p w14:paraId="04C9D18F"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w:t>
            </w:r>
          </w:p>
        </w:tc>
        <w:tc>
          <w:tcPr>
            <w:tcW w:w="1207" w:type="dxa"/>
            <w:tcBorders>
              <w:top w:val="nil"/>
              <w:left w:val="nil"/>
              <w:bottom w:val="nil"/>
              <w:right w:val="nil"/>
            </w:tcBorders>
            <w:shd w:val="clear" w:color="000000" w:fill="FFFFFF"/>
            <w:vAlign w:val="center"/>
            <w:hideMark/>
          </w:tcPr>
          <w:p w14:paraId="4D790775"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45</w:t>
            </w:r>
          </w:p>
        </w:tc>
        <w:tc>
          <w:tcPr>
            <w:tcW w:w="1731" w:type="dxa"/>
            <w:tcBorders>
              <w:top w:val="nil"/>
              <w:left w:val="nil"/>
              <w:bottom w:val="nil"/>
              <w:right w:val="nil"/>
            </w:tcBorders>
            <w:shd w:val="clear" w:color="000000" w:fill="FFFFFF"/>
            <w:vAlign w:val="center"/>
            <w:hideMark/>
          </w:tcPr>
          <w:p w14:paraId="371FE94C"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nil"/>
              <w:right w:val="nil"/>
            </w:tcBorders>
            <w:shd w:val="clear" w:color="000000" w:fill="FFFFFF"/>
            <w:vAlign w:val="center"/>
            <w:hideMark/>
          </w:tcPr>
          <w:p w14:paraId="5E45E19F"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0.02</w:t>
            </w:r>
          </w:p>
        </w:tc>
      </w:tr>
      <w:tr w:rsidR="003F0AF2" w:rsidRPr="00D228E9" w14:paraId="1160CFD7" w14:textId="77777777" w:rsidTr="00D228E9">
        <w:trPr>
          <w:trHeight w:val="236"/>
          <w:jc w:val="center"/>
        </w:trPr>
        <w:tc>
          <w:tcPr>
            <w:tcW w:w="1207" w:type="dxa"/>
            <w:tcBorders>
              <w:top w:val="nil"/>
              <w:left w:val="nil"/>
              <w:bottom w:val="single" w:sz="12" w:space="0" w:color="008000"/>
              <w:right w:val="nil"/>
            </w:tcBorders>
            <w:shd w:val="clear" w:color="000000" w:fill="FFFFFF"/>
            <w:vAlign w:val="center"/>
            <w:hideMark/>
          </w:tcPr>
          <w:p w14:paraId="68A8B35E"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T9</w:t>
            </w:r>
          </w:p>
        </w:tc>
        <w:tc>
          <w:tcPr>
            <w:tcW w:w="703" w:type="dxa"/>
            <w:tcBorders>
              <w:top w:val="nil"/>
              <w:left w:val="nil"/>
              <w:bottom w:val="single" w:sz="12" w:space="0" w:color="008000"/>
              <w:right w:val="nil"/>
            </w:tcBorders>
            <w:shd w:val="clear" w:color="000000" w:fill="FFFFFF"/>
            <w:vAlign w:val="center"/>
            <w:hideMark/>
          </w:tcPr>
          <w:p w14:paraId="2AF60D9E"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6</w:t>
            </w:r>
          </w:p>
        </w:tc>
        <w:tc>
          <w:tcPr>
            <w:tcW w:w="1207" w:type="dxa"/>
            <w:tcBorders>
              <w:top w:val="nil"/>
              <w:left w:val="nil"/>
              <w:bottom w:val="single" w:sz="12" w:space="0" w:color="008000"/>
              <w:right w:val="nil"/>
            </w:tcBorders>
            <w:shd w:val="clear" w:color="000000" w:fill="FFFFFF"/>
            <w:vAlign w:val="center"/>
            <w:hideMark/>
          </w:tcPr>
          <w:p w14:paraId="3C753287"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szCs w:val="18"/>
                <w:lang w:eastAsia="es-PE"/>
              </w:rPr>
              <w:t>45</w:t>
            </w:r>
          </w:p>
        </w:tc>
        <w:tc>
          <w:tcPr>
            <w:tcW w:w="1731" w:type="dxa"/>
            <w:tcBorders>
              <w:top w:val="nil"/>
              <w:left w:val="nil"/>
              <w:bottom w:val="single" w:sz="12" w:space="0" w:color="008000"/>
              <w:right w:val="nil"/>
            </w:tcBorders>
            <w:shd w:val="clear" w:color="000000" w:fill="FFFFFF"/>
            <w:vAlign w:val="center"/>
            <w:hideMark/>
          </w:tcPr>
          <w:p w14:paraId="77202D7F"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10</w:t>
            </w:r>
          </w:p>
        </w:tc>
        <w:tc>
          <w:tcPr>
            <w:tcW w:w="1510" w:type="dxa"/>
            <w:tcBorders>
              <w:top w:val="nil"/>
              <w:left w:val="nil"/>
              <w:bottom w:val="single" w:sz="12" w:space="0" w:color="008000"/>
              <w:right w:val="nil"/>
            </w:tcBorders>
            <w:shd w:val="clear" w:color="000000" w:fill="FFFFFF"/>
            <w:vAlign w:val="center"/>
            <w:hideMark/>
          </w:tcPr>
          <w:p w14:paraId="287E53C7" w14:textId="77777777" w:rsidR="00DF13D5" w:rsidRPr="00D228E9" w:rsidRDefault="00DF13D5" w:rsidP="00D228E9">
            <w:pPr>
              <w:tabs>
                <w:tab w:val="clear" w:pos="7100"/>
              </w:tabs>
              <w:spacing w:line="240" w:lineRule="auto"/>
              <w:rPr>
                <w:rFonts w:cs="Arial"/>
                <w:color w:val="000000"/>
                <w:szCs w:val="18"/>
                <w:lang w:eastAsia="es-PE"/>
              </w:rPr>
            </w:pPr>
            <w:r w:rsidRPr="00D228E9">
              <w:rPr>
                <w:rFonts w:cs="Arial"/>
                <w:color w:val="000000"/>
                <w:szCs w:val="18"/>
                <w:lang w:eastAsia="es-PE"/>
              </w:rPr>
              <w:t>0.03</w:t>
            </w:r>
          </w:p>
        </w:tc>
      </w:tr>
    </w:tbl>
    <w:p w14:paraId="683E17A2" w14:textId="77777777" w:rsidR="00CA52EA" w:rsidRPr="00D228E9" w:rsidRDefault="00CA52EA" w:rsidP="00D228E9">
      <w:pPr>
        <w:pStyle w:val="CETheadingx"/>
        <w:numPr>
          <w:ilvl w:val="0"/>
          <w:numId w:val="0"/>
        </w:numPr>
        <w:rPr>
          <w:rFonts w:cs="Arial"/>
          <w:szCs w:val="18"/>
          <w:lang w:val="en-GB"/>
        </w:rPr>
      </w:pPr>
    </w:p>
    <w:p w14:paraId="498915D0" w14:textId="0449FAE1" w:rsidR="00401C5D" w:rsidRPr="00D228E9" w:rsidRDefault="004F7B96" w:rsidP="00D228E9">
      <w:pPr>
        <w:pStyle w:val="CETheadingx"/>
        <w:numPr>
          <w:ilvl w:val="1"/>
          <w:numId w:val="28"/>
        </w:numPr>
        <w:rPr>
          <w:rFonts w:cs="Arial"/>
          <w:szCs w:val="18"/>
          <w:lang w:val="en-GB"/>
        </w:rPr>
      </w:pPr>
      <w:r w:rsidRPr="00D228E9">
        <w:rPr>
          <w:rFonts w:cs="Arial"/>
          <w:szCs w:val="18"/>
          <w:lang w:val="en-GB"/>
        </w:rPr>
        <w:t xml:space="preserve">Percentage of Pb adsorption by </w:t>
      </w:r>
      <w:proofErr w:type="spellStart"/>
      <w:r w:rsidRPr="00D228E9">
        <w:rPr>
          <w:rFonts w:cs="Arial"/>
          <w:szCs w:val="18"/>
          <w:lang w:val="en-GB"/>
        </w:rPr>
        <w:t>NpFe</w:t>
      </w:r>
      <w:proofErr w:type="spellEnd"/>
    </w:p>
    <w:p w14:paraId="4A4D9BB8" w14:textId="77777777" w:rsidR="002F673E" w:rsidRPr="002F673E" w:rsidRDefault="002F673E" w:rsidP="002F673E">
      <w:pPr>
        <w:pStyle w:val="CETTabletitle"/>
        <w:spacing w:line="240" w:lineRule="auto"/>
        <w:jc w:val="both"/>
        <w:rPr>
          <w:rFonts w:cs="Arial"/>
          <w:i w:val="0"/>
          <w:iCs/>
          <w:szCs w:val="18"/>
        </w:rPr>
      </w:pPr>
      <w:bookmarkStart w:id="1" w:name="_Hlk193982785"/>
      <w:r w:rsidRPr="002F673E">
        <w:rPr>
          <w:rFonts w:cs="Arial"/>
          <w:i w:val="0"/>
          <w:iCs/>
          <w:szCs w:val="18"/>
        </w:rPr>
        <w:t xml:space="preserve">The values shown in Table 2 indicate a reduction range of 95.3 to 99.8% maximum in lead concentration in contaminated soils when using Fe </w:t>
      </w:r>
      <w:proofErr w:type="spellStart"/>
      <w:r w:rsidRPr="002F673E">
        <w:rPr>
          <w:rFonts w:cs="Arial"/>
          <w:i w:val="0"/>
          <w:iCs/>
          <w:szCs w:val="18"/>
        </w:rPr>
        <w:t>bionanoparticles</w:t>
      </w:r>
      <w:proofErr w:type="spellEnd"/>
      <w:r w:rsidRPr="002F673E">
        <w:rPr>
          <w:rFonts w:cs="Arial"/>
          <w:i w:val="0"/>
          <w:iCs/>
          <w:szCs w:val="18"/>
        </w:rPr>
        <w:t xml:space="preserve">. This leads to a lead adsorption mechanism by iron </w:t>
      </w:r>
      <w:r w:rsidRPr="002F673E">
        <w:rPr>
          <w:rFonts w:cs="Arial"/>
          <w:i w:val="0"/>
          <w:iCs/>
          <w:szCs w:val="18"/>
        </w:rPr>
        <w:lastRenderedPageBreak/>
        <w:t>nanoparticles (</w:t>
      </w:r>
      <w:proofErr w:type="spellStart"/>
      <w:r w:rsidRPr="002F673E">
        <w:rPr>
          <w:rFonts w:cs="Arial"/>
          <w:i w:val="0"/>
          <w:iCs/>
          <w:szCs w:val="18"/>
        </w:rPr>
        <w:t>FeNPs</w:t>
      </w:r>
      <w:proofErr w:type="spellEnd"/>
      <w:r w:rsidRPr="002F673E">
        <w:rPr>
          <w:rFonts w:cs="Arial"/>
          <w:i w:val="0"/>
          <w:iCs/>
          <w:szCs w:val="18"/>
        </w:rPr>
        <w:t>) due to the presence of electrostatic charges between these nanoparticles and the lead, resulting in a reduction in the concentration of this metal in the contaminated soil.</w:t>
      </w:r>
    </w:p>
    <w:p w14:paraId="379E1109" w14:textId="77777777" w:rsidR="002F673E" w:rsidRDefault="002F673E" w:rsidP="002F673E">
      <w:pPr>
        <w:pStyle w:val="CETTabletitle"/>
        <w:spacing w:line="240" w:lineRule="auto"/>
        <w:jc w:val="both"/>
        <w:rPr>
          <w:rFonts w:cs="Arial"/>
          <w:i w:val="0"/>
          <w:iCs/>
          <w:szCs w:val="18"/>
        </w:rPr>
      </w:pPr>
      <w:r w:rsidRPr="002F673E">
        <w:rPr>
          <w:rFonts w:cs="Arial"/>
          <w:i w:val="0"/>
          <w:iCs/>
          <w:szCs w:val="18"/>
        </w:rPr>
        <w:t>Research indicates that the nanoparticles achieved a lead removal efficiency greater than 80% and are the most studied for the remediation of soils contaminated with heavy metals, such as cadmium (Cd), which was 100% removed (Andrade-Zavaleta et al., 2022). Wang et al. (2014) also confirm that the adsorption capacity is due to the presence of organic functional groups on the plant extract nanoparticles. The other important feature is the surface area of the nanoparticles, which increases the reaction rate (</w:t>
      </w:r>
      <w:proofErr w:type="spellStart"/>
      <w:r w:rsidRPr="002F673E">
        <w:rPr>
          <w:rFonts w:cs="Arial"/>
          <w:i w:val="0"/>
          <w:iCs/>
          <w:szCs w:val="18"/>
        </w:rPr>
        <w:t>Mazarji</w:t>
      </w:r>
      <w:proofErr w:type="spellEnd"/>
      <w:r w:rsidRPr="002F673E">
        <w:rPr>
          <w:rFonts w:cs="Arial"/>
          <w:i w:val="0"/>
          <w:iCs/>
          <w:szCs w:val="18"/>
        </w:rPr>
        <w:t xml:space="preserve"> et al., 2021), as well as the adsorption efficiency of the nanoparticles (Essien et al., 2021).</w:t>
      </w:r>
    </w:p>
    <w:p w14:paraId="6BED21E7" w14:textId="427257C6" w:rsidR="00632502" w:rsidRPr="002F673E" w:rsidRDefault="00632502" w:rsidP="002F673E">
      <w:pPr>
        <w:pStyle w:val="CETTabletitle"/>
        <w:spacing w:line="240" w:lineRule="auto"/>
        <w:jc w:val="both"/>
        <w:rPr>
          <w:rFonts w:cs="Arial"/>
          <w:i w:val="0"/>
          <w:iCs/>
          <w:szCs w:val="18"/>
        </w:rPr>
      </w:pPr>
      <w:r w:rsidRPr="002F673E">
        <w:rPr>
          <w:rFonts w:cs="Arial"/>
          <w:i w:val="0"/>
          <w:iCs/>
          <w:szCs w:val="18"/>
        </w:rPr>
        <w:t xml:space="preserve">Table </w:t>
      </w:r>
      <w:r w:rsidR="003F0AF2" w:rsidRPr="002F673E">
        <w:rPr>
          <w:rFonts w:cs="Arial"/>
          <w:i w:val="0"/>
          <w:iCs/>
          <w:szCs w:val="18"/>
        </w:rPr>
        <w:t>2</w:t>
      </w:r>
      <w:r w:rsidRPr="002F673E">
        <w:rPr>
          <w:rFonts w:cs="Arial"/>
          <w:i w:val="0"/>
          <w:iCs/>
          <w:szCs w:val="18"/>
        </w:rPr>
        <w:t xml:space="preserve">: </w:t>
      </w:r>
      <w:r w:rsidR="004F7B96" w:rsidRPr="002F673E">
        <w:rPr>
          <w:rFonts w:cs="Arial"/>
          <w:i w:val="0"/>
          <w:iCs/>
          <w:szCs w:val="18"/>
        </w:rPr>
        <w:t xml:space="preserve">Percentage of Fe adsorption by </w:t>
      </w:r>
      <w:proofErr w:type="spellStart"/>
      <w:r w:rsidR="004F7B96" w:rsidRPr="002F673E">
        <w:rPr>
          <w:rFonts w:cs="Arial"/>
          <w:i w:val="0"/>
          <w:iCs/>
          <w:szCs w:val="18"/>
        </w:rPr>
        <w:t>NpFe</w:t>
      </w:r>
      <w:proofErr w:type="spellEnd"/>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08"/>
        <w:gridCol w:w="1429"/>
        <w:gridCol w:w="1429"/>
        <w:gridCol w:w="1429"/>
      </w:tblGrid>
      <w:tr w:rsidR="009D7C38" w:rsidRPr="00D228E9" w14:paraId="63928CB3" w14:textId="77777777" w:rsidTr="00D228E9">
        <w:trPr>
          <w:trHeight w:val="337"/>
          <w:jc w:val="center"/>
        </w:trPr>
        <w:tc>
          <w:tcPr>
            <w:tcW w:w="1608" w:type="dxa"/>
            <w:tcBorders>
              <w:top w:val="single" w:sz="12" w:space="0" w:color="008000"/>
              <w:bottom w:val="single" w:sz="6" w:space="0" w:color="008000"/>
            </w:tcBorders>
            <w:shd w:val="clear" w:color="auto" w:fill="FFFFFF"/>
          </w:tcPr>
          <w:p w14:paraId="033A97AD" w14:textId="43BA63DF" w:rsidR="009D7C38" w:rsidRPr="00D228E9" w:rsidRDefault="009D7C38" w:rsidP="00D228E9">
            <w:pPr>
              <w:pStyle w:val="CETBodytext"/>
              <w:spacing w:line="240" w:lineRule="auto"/>
              <w:rPr>
                <w:rFonts w:cs="Arial"/>
                <w:szCs w:val="18"/>
                <w:lang w:val="en-GB"/>
              </w:rPr>
            </w:pPr>
            <w:r w:rsidRPr="00D228E9">
              <w:rPr>
                <w:rFonts w:cs="Arial"/>
                <w:szCs w:val="18"/>
                <w:lang w:val="en-GB"/>
              </w:rPr>
              <w:t>Tr</w:t>
            </w:r>
            <w:r w:rsidR="004F7B96" w:rsidRPr="00D228E9">
              <w:rPr>
                <w:rFonts w:cs="Arial"/>
                <w:szCs w:val="18"/>
                <w:lang w:val="en-GB"/>
              </w:rPr>
              <w:t>eatment</w:t>
            </w:r>
          </w:p>
        </w:tc>
        <w:tc>
          <w:tcPr>
            <w:tcW w:w="1429" w:type="dxa"/>
            <w:tcBorders>
              <w:top w:val="single" w:sz="12" w:space="0" w:color="008000"/>
              <w:bottom w:val="single" w:sz="6" w:space="0" w:color="008000"/>
            </w:tcBorders>
            <w:shd w:val="clear" w:color="auto" w:fill="FFFFFF"/>
          </w:tcPr>
          <w:p w14:paraId="79D98BF4" w14:textId="2B88F8A9" w:rsidR="009D7C38" w:rsidRPr="00D228E9" w:rsidRDefault="009D7C38" w:rsidP="00D228E9">
            <w:pPr>
              <w:pStyle w:val="CETBodytext"/>
              <w:spacing w:line="240" w:lineRule="auto"/>
              <w:rPr>
                <w:rFonts w:cs="Arial"/>
                <w:szCs w:val="18"/>
                <w:lang w:val="en-GB"/>
              </w:rPr>
            </w:pPr>
            <w:r w:rsidRPr="00D228E9">
              <w:rPr>
                <w:rFonts w:cs="Arial"/>
                <w:szCs w:val="18"/>
                <w:lang w:val="en-GB"/>
              </w:rPr>
              <w:t>pH</w:t>
            </w:r>
          </w:p>
        </w:tc>
        <w:tc>
          <w:tcPr>
            <w:tcW w:w="1429" w:type="dxa"/>
            <w:tcBorders>
              <w:top w:val="single" w:sz="12" w:space="0" w:color="008000"/>
              <w:bottom w:val="single" w:sz="6" w:space="0" w:color="008000"/>
            </w:tcBorders>
            <w:shd w:val="clear" w:color="auto" w:fill="auto"/>
          </w:tcPr>
          <w:p w14:paraId="29DB141E" w14:textId="4FE9AF6F" w:rsidR="009D7C38" w:rsidRPr="00D228E9" w:rsidRDefault="009D7C38" w:rsidP="00D228E9">
            <w:pPr>
              <w:pStyle w:val="CETBodytext"/>
              <w:spacing w:line="240" w:lineRule="auto"/>
              <w:rPr>
                <w:rFonts w:cs="Arial"/>
                <w:szCs w:val="18"/>
                <w:lang w:val="en-GB"/>
              </w:rPr>
            </w:pPr>
            <w:r w:rsidRPr="00D228E9">
              <w:rPr>
                <w:rFonts w:cs="Arial"/>
                <w:szCs w:val="18"/>
                <w:lang w:val="en-GB"/>
              </w:rPr>
              <w:t>Temperatur</w:t>
            </w:r>
            <w:r w:rsidR="004F7B96" w:rsidRPr="00D228E9">
              <w:rPr>
                <w:rFonts w:cs="Arial"/>
                <w:szCs w:val="18"/>
                <w:lang w:val="en-GB"/>
              </w:rPr>
              <w:t>e</w:t>
            </w:r>
            <w:r w:rsidRPr="00D228E9">
              <w:rPr>
                <w:rFonts w:cs="Arial"/>
                <w:szCs w:val="18"/>
                <w:lang w:val="en-GB"/>
              </w:rPr>
              <w:t xml:space="preserve"> (°C)</w:t>
            </w:r>
          </w:p>
        </w:tc>
        <w:tc>
          <w:tcPr>
            <w:tcW w:w="1429" w:type="dxa"/>
            <w:tcBorders>
              <w:top w:val="single" w:sz="12" w:space="0" w:color="008000"/>
              <w:bottom w:val="single" w:sz="6" w:space="0" w:color="008000"/>
            </w:tcBorders>
            <w:shd w:val="clear" w:color="auto" w:fill="auto"/>
          </w:tcPr>
          <w:p w14:paraId="11AA8080" w14:textId="3BA3BA5F" w:rsidR="00D778A4" w:rsidRPr="00D228E9" w:rsidRDefault="009D7C38" w:rsidP="00D228E9">
            <w:pPr>
              <w:pStyle w:val="HTMLconformatoprevio"/>
              <w:rPr>
                <w:rFonts w:ascii="Arial" w:hAnsi="Arial" w:cs="Arial"/>
                <w:color w:val="1F1F1F"/>
                <w:szCs w:val="18"/>
                <w:lang w:val="es-PE" w:eastAsia="es-PE"/>
              </w:rPr>
            </w:pPr>
            <w:r w:rsidRPr="00D228E9">
              <w:rPr>
                <w:rFonts w:ascii="Arial" w:hAnsi="Arial" w:cs="Arial"/>
                <w:szCs w:val="18"/>
              </w:rPr>
              <w:t xml:space="preserve"> </w:t>
            </w:r>
            <w:r w:rsidR="00D778A4" w:rsidRPr="00D228E9">
              <w:rPr>
                <w:rFonts w:ascii="Arial" w:hAnsi="Arial" w:cs="Arial"/>
                <w:szCs w:val="18"/>
              </w:rPr>
              <w:t xml:space="preserve">% </w:t>
            </w:r>
            <w:r w:rsidR="00D778A4" w:rsidRPr="00D228E9">
              <w:rPr>
                <w:rFonts w:ascii="Arial" w:hAnsi="Arial" w:cs="Arial"/>
                <w:color w:val="1F1F1F"/>
                <w:szCs w:val="18"/>
                <w:lang w:val="en" w:eastAsia="es-PE"/>
              </w:rPr>
              <w:t>adsorption at equilibrium</w:t>
            </w:r>
          </w:p>
          <w:p w14:paraId="549F92D9" w14:textId="55107A8D" w:rsidR="009D7C38" w:rsidRPr="00D228E9" w:rsidRDefault="009D7C38" w:rsidP="00D228E9">
            <w:pPr>
              <w:pStyle w:val="CETBodytext"/>
              <w:spacing w:line="240" w:lineRule="auto"/>
              <w:ind w:right="-1"/>
              <w:rPr>
                <w:rFonts w:cs="Arial"/>
                <w:szCs w:val="18"/>
                <w:lang w:val="en-GB"/>
              </w:rPr>
            </w:pPr>
          </w:p>
        </w:tc>
      </w:tr>
      <w:tr w:rsidR="009D7C38" w:rsidRPr="00D228E9" w14:paraId="237A51FA" w14:textId="77777777" w:rsidTr="00D228E9">
        <w:trPr>
          <w:trHeight w:val="260"/>
          <w:jc w:val="center"/>
        </w:trPr>
        <w:tc>
          <w:tcPr>
            <w:tcW w:w="1608" w:type="dxa"/>
            <w:shd w:val="clear" w:color="auto" w:fill="FFFFFF"/>
          </w:tcPr>
          <w:p w14:paraId="082C9888" w14:textId="275E3789" w:rsidR="009D7C38" w:rsidRPr="00D228E9" w:rsidRDefault="00F547C6" w:rsidP="00D228E9">
            <w:pPr>
              <w:pStyle w:val="CETBodytext"/>
              <w:spacing w:line="240" w:lineRule="auto"/>
              <w:rPr>
                <w:rFonts w:cs="Arial"/>
                <w:szCs w:val="18"/>
                <w:lang w:val="en-GB"/>
              </w:rPr>
            </w:pPr>
            <w:r w:rsidRPr="00D228E9">
              <w:rPr>
                <w:rFonts w:cs="Arial"/>
                <w:szCs w:val="18"/>
                <w:lang w:val="en-GB"/>
              </w:rPr>
              <w:t>T</w:t>
            </w:r>
            <w:r w:rsidR="009D7C38" w:rsidRPr="00D228E9">
              <w:rPr>
                <w:rFonts w:cs="Arial"/>
                <w:szCs w:val="18"/>
                <w:lang w:val="en-GB"/>
              </w:rPr>
              <w:t>1</w:t>
            </w:r>
          </w:p>
        </w:tc>
        <w:tc>
          <w:tcPr>
            <w:tcW w:w="1429" w:type="dxa"/>
            <w:shd w:val="clear" w:color="auto" w:fill="FFFFFF"/>
          </w:tcPr>
          <w:p w14:paraId="31E4434B" w14:textId="1D85E6AF" w:rsidR="009D7C38" w:rsidRPr="00D228E9" w:rsidRDefault="009D7C38" w:rsidP="00D228E9">
            <w:pPr>
              <w:pStyle w:val="CETBodytext"/>
              <w:spacing w:line="240" w:lineRule="auto"/>
              <w:rPr>
                <w:rFonts w:cs="Arial"/>
                <w:szCs w:val="18"/>
                <w:lang w:val="en-GB"/>
              </w:rPr>
            </w:pPr>
            <w:r w:rsidRPr="00D228E9">
              <w:rPr>
                <w:rFonts w:cs="Arial"/>
                <w:szCs w:val="18"/>
                <w:lang w:val="en-GB"/>
              </w:rPr>
              <w:t>2</w:t>
            </w:r>
          </w:p>
        </w:tc>
        <w:tc>
          <w:tcPr>
            <w:tcW w:w="1429" w:type="dxa"/>
            <w:shd w:val="clear" w:color="auto" w:fill="FFFFFF"/>
          </w:tcPr>
          <w:p w14:paraId="1CF65C54" w14:textId="34EF7A9B" w:rsidR="009D7C38" w:rsidRPr="00D228E9" w:rsidRDefault="009D7C38" w:rsidP="00D228E9">
            <w:pPr>
              <w:pStyle w:val="CETBodytext"/>
              <w:spacing w:line="240" w:lineRule="auto"/>
              <w:rPr>
                <w:rFonts w:cs="Arial"/>
                <w:szCs w:val="18"/>
                <w:lang w:val="en-GB"/>
              </w:rPr>
            </w:pPr>
            <w:r w:rsidRPr="00D228E9">
              <w:rPr>
                <w:rFonts w:cs="Arial"/>
                <w:szCs w:val="18"/>
                <w:lang w:val="en-GB"/>
              </w:rPr>
              <w:t>15</w:t>
            </w:r>
          </w:p>
        </w:tc>
        <w:tc>
          <w:tcPr>
            <w:tcW w:w="1429" w:type="dxa"/>
            <w:shd w:val="clear" w:color="auto" w:fill="FFFFFF"/>
          </w:tcPr>
          <w:p w14:paraId="3240D251" w14:textId="623F4B2C"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95.5</w:t>
            </w:r>
          </w:p>
        </w:tc>
      </w:tr>
      <w:tr w:rsidR="009D7C38" w:rsidRPr="00D228E9" w14:paraId="6B2B1BA6" w14:textId="77777777" w:rsidTr="00D228E9">
        <w:trPr>
          <w:trHeight w:val="249"/>
          <w:jc w:val="center"/>
        </w:trPr>
        <w:tc>
          <w:tcPr>
            <w:tcW w:w="1608" w:type="dxa"/>
            <w:shd w:val="clear" w:color="auto" w:fill="FFFFFF"/>
          </w:tcPr>
          <w:p w14:paraId="26A7A649" w14:textId="012FFCF9"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2</w:t>
            </w:r>
          </w:p>
        </w:tc>
        <w:tc>
          <w:tcPr>
            <w:tcW w:w="1429" w:type="dxa"/>
            <w:shd w:val="clear" w:color="auto" w:fill="FFFFFF"/>
          </w:tcPr>
          <w:p w14:paraId="08A2F66B" w14:textId="295AE613"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w:t>
            </w:r>
          </w:p>
        </w:tc>
        <w:tc>
          <w:tcPr>
            <w:tcW w:w="1429" w:type="dxa"/>
            <w:shd w:val="clear" w:color="auto" w:fill="FFFFFF"/>
          </w:tcPr>
          <w:p w14:paraId="6ED42DAD" w14:textId="1F392159"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15</w:t>
            </w:r>
          </w:p>
        </w:tc>
        <w:tc>
          <w:tcPr>
            <w:tcW w:w="1429" w:type="dxa"/>
            <w:shd w:val="clear" w:color="auto" w:fill="FFFFFF"/>
          </w:tcPr>
          <w:p w14:paraId="5CE938A3" w14:textId="6DC120E1"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99.8</w:t>
            </w:r>
          </w:p>
        </w:tc>
      </w:tr>
      <w:tr w:rsidR="009D7C38" w:rsidRPr="00D228E9" w14:paraId="3F143A34" w14:textId="77777777" w:rsidTr="00D228E9">
        <w:trPr>
          <w:trHeight w:val="249"/>
          <w:jc w:val="center"/>
        </w:trPr>
        <w:tc>
          <w:tcPr>
            <w:tcW w:w="1608" w:type="dxa"/>
            <w:shd w:val="clear" w:color="auto" w:fill="FFFFFF"/>
          </w:tcPr>
          <w:p w14:paraId="10A8B211" w14:textId="290896C1"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3</w:t>
            </w:r>
          </w:p>
        </w:tc>
        <w:tc>
          <w:tcPr>
            <w:tcW w:w="1429" w:type="dxa"/>
            <w:shd w:val="clear" w:color="auto" w:fill="FFFFFF"/>
          </w:tcPr>
          <w:p w14:paraId="32C3FDBC" w14:textId="08A27CDC"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6</w:t>
            </w:r>
          </w:p>
        </w:tc>
        <w:tc>
          <w:tcPr>
            <w:tcW w:w="1429" w:type="dxa"/>
            <w:shd w:val="clear" w:color="auto" w:fill="FFFFFF"/>
          </w:tcPr>
          <w:p w14:paraId="23E9DAAF" w14:textId="5C9CB5BF"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15</w:t>
            </w:r>
          </w:p>
        </w:tc>
        <w:tc>
          <w:tcPr>
            <w:tcW w:w="1429" w:type="dxa"/>
            <w:shd w:val="clear" w:color="auto" w:fill="FFFFFF"/>
          </w:tcPr>
          <w:p w14:paraId="5D7726B1" w14:textId="02F55893"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99.7</w:t>
            </w:r>
          </w:p>
        </w:tc>
      </w:tr>
      <w:tr w:rsidR="009D7C38" w:rsidRPr="00D228E9" w14:paraId="1E25D4CC" w14:textId="77777777" w:rsidTr="00D228E9">
        <w:trPr>
          <w:trHeight w:val="249"/>
          <w:jc w:val="center"/>
        </w:trPr>
        <w:tc>
          <w:tcPr>
            <w:tcW w:w="1608" w:type="dxa"/>
            <w:shd w:val="clear" w:color="auto" w:fill="FFFFFF"/>
          </w:tcPr>
          <w:p w14:paraId="1DB53046" w14:textId="498C29BA"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4</w:t>
            </w:r>
          </w:p>
        </w:tc>
        <w:tc>
          <w:tcPr>
            <w:tcW w:w="1429" w:type="dxa"/>
            <w:shd w:val="clear" w:color="auto" w:fill="FFFFFF"/>
          </w:tcPr>
          <w:p w14:paraId="4B09A2A1" w14:textId="3D079C22"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2</w:t>
            </w:r>
          </w:p>
        </w:tc>
        <w:tc>
          <w:tcPr>
            <w:tcW w:w="1429" w:type="dxa"/>
            <w:shd w:val="clear" w:color="auto" w:fill="FFFFFF"/>
          </w:tcPr>
          <w:p w14:paraId="4BB0D2FA" w14:textId="67FDA7DB"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30</w:t>
            </w:r>
          </w:p>
        </w:tc>
        <w:tc>
          <w:tcPr>
            <w:tcW w:w="1429" w:type="dxa"/>
            <w:shd w:val="clear" w:color="auto" w:fill="FFFFFF"/>
          </w:tcPr>
          <w:p w14:paraId="599AAE84" w14:textId="091D5ECB"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95.3</w:t>
            </w:r>
          </w:p>
        </w:tc>
      </w:tr>
      <w:tr w:rsidR="009D7C38" w:rsidRPr="00D228E9" w14:paraId="03A0C8AE" w14:textId="77777777" w:rsidTr="00D228E9">
        <w:trPr>
          <w:trHeight w:val="249"/>
          <w:jc w:val="center"/>
        </w:trPr>
        <w:tc>
          <w:tcPr>
            <w:tcW w:w="1608" w:type="dxa"/>
            <w:shd w:val="clear" w:color="auto" w:fill="FFFFFF"/>
          </w:tcPr>
          <w:p w14:paraId="77DD5BAD" w14:textId="2129B215"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5</w:t>
            </w:r>
          </w:p>
        </w:tc>
        <w:tc>
          <w:tcPr>
            <w:tcW w:w="1429" w:type="dxa"/>
            <w:shd w:val="clear" w:color="auto" w:fill="FFFFFF"/>
          </w:tcPr>
          <w:p w14:paraId="021304E5" w14:textId="598F04B6"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w:t>
            </w:r>
          </w:p>
        </w:tc>
        <w:tc>
          <w:tcPr>
            <w:tcW w:w="1429" w:type="dxa"/>
            <w:shd w:val="clear" w:color="auto" w:fill="FFFFFF"/>
          </w:tcPr>
          <w:p w14:paraId="2EAF8136" w14:textId="5EB4B24D"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30</w:t>
            </w:r>
          </w:p>
        </w:tc>
        <w:tc>
          <w:tcPr>
            <w:tcW w:w="1429" w:type="dxa"/>
            <w:shd w:val="clear" w:color="auto" w:fill="FFFFFF"/>
          </w:tcPr>
          <w:p w14:paraId="1DFCBB0E" w14:textId="55291B4C"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97.4</w:t>
            </w:r>
          </w:p>
        </w:tc>
      </w:tr>
      <w:tr w:rsidR="009D7C38" w:rsidRPr="00D228E9" w14:paraId="79CE742A" w14:textId="77777777" w:rsidTr="00D228E9">
        <w:trPr>
          <w:trHeight w:val="260"/>
          <w:jc w:val="center"/>
        </w:trPr>
        <w:tc>
          <w:tcPr>
            <w:tcW w:w="1608" w:type="dxa"/>
            <w:shd w:val="clear" w:color="auto" w:fill="FFFFFF"/>
          </w:tcPr>
          <w:p w14:paraId="4CB1F5D1" w14:textId="57A181D4"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6</w:t>
            </w:r>
          </w:p>
        </w:tc>
        <w:tc>
          <w:tcPr>
            <w:tcW w:w="1429" w:type="dxa"/>
            <w:shd w:val="clear" w:color="auto" w:fill="FFFFFF"/>
          </w:tcPr>
          <w:p w14:paraId="62301E3A" w14:textId="69F56981"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6</w:t>
            </w:r>
          </w:p>
        </w:tc>
        <w:tc>
          <w:tcPr>
            <w:tcW w:w="1429" w:type="dxa"/>
            <w:shd w:val="clear" w:color="auto" w:fill="FFFFFF"/>
          </w:tcPr>
          <w:p w14:paraId="6B0485F6" w14:textId="06DD652A"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30</w:t>
            </w:r>
          </w:p>
        </w:tc>
        <w:tc>
          <w:tcPr>
            <w:tcW w:w="1429" w:type="dxa"/>
            <w:shd w:val="clear" w:color="auto" w:fill="FFFFFF"/>
          </w:tcPr>
          <w:p w14:paraId="279427FA" w14:textId="767EB3ED"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99.6</w:t>
            </w:r>
          </w:p>
        </w:tc>
      </w:tr>
      <w:tr w:rsidR="009D7C38" w:rsidRPr="00D228E9" w14:paraId="409F004C" w14:textId="77777777" w:rsidTr="00D228E9">
        <w:trPr>
          <w:trHeight w:val="249"/>
          <w:jc w:val="center"/>
        </w:trPr>
        <w:tc>
          <w:tcPr>
            <w:tcW w:w="1608" w:type="dxa"/>
            <w:shd w:val="clear" w:color="auto" w:fill="FFFFFF"/>
          </w:tcPr>
          <w:p w14:paraId="7B00F164" w14:textId="69FE96AD"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7</w:t>
            </w:r>
          </w:p>
        </w:tc>
        <w:tc>
          <w:tcPr>
            <w:tcW w:w="1429" w:type="dxa"/>
            <w:shd w:val="clear" w:color="auto" w:fill="FFFFFF"/>
          </w:tcPr>
          <w:p w14:paraId="6E39760C" w14:textId="4FB57D82"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2</w:t>
            </w:r>
          </w:p>
        </w:tc>
        <w:tc>
          <w:tcPr>
            <w:tcW w:w="1429" w:type="dxa"/>
            <w:shd w:val="clear" w:color="auto" w:fill="FFFFFF"/>
          </w:tcPr>
          <w:p w14:paraId="2D7299C7" w14:textId="009CD573"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45</w:t>
            </w:r>
          </w:p>
        </w:tc>
        <w:tc>
          <w:tcPr>
            <w:tcW w:w="1429" w:type="dxa"/>
            <w:shd w:val="clear" w:color="auto" w:fill="FFFFFF"/>
          </w:tcPr>
          <w:p w14:paraId="20824508" w14:textId="1BB53B80"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97.6</w:t>
            </w:r>
          </w:p>
        </w:tc>
      </w:tr>
      <w:tr w:rsidR="009D7C38" w:rsidRPr="00D228E9" w14:paraId="46843C0C" w14:textId="77777777" w:rsidTr="00D228E9">
        <w:trPr>
          <w:trHeight w:val="249"/>
          <w:jc w:val="center"/>
        </w:trPr>
        <w:tc>
          <w:tcPr>
            <w:tcW w:w="1608" w:type="dxa"/>
            <w:shd w:val="clear" w:color="auto" w:fill="FFFFFF"/>
          </w:tcPr>
          <w:p w14:paraId="1C580C9A" w14:textId="66E763EE"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8</w:t>
            </w:r>
          </w:p>
        </w:tc>
        <w:tc>
          <w:tcPr>
            <w:tcW w:w="1429" w:type="dxa"/>
            <w:shd w:val="clear" w:color="auto" w:fill="FFFFFF"/>
          </w:tcPr>
          <w:p w14:paraId="78E82331" w14:textId="46BF04B2"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w:t>
            </w:r>
          </w:p>
        </w:tc>
        <w:tc>
          <w:tcPr>
            <w:tcW w:w="1429" w:type="dxa"/>
            <w:shd w:val="clear" w:color="auto" w:fill="FFFFFF"/>
          </w:tcPr>
          <w:p w14:paraId="7C9B184A" w14:textId="292408DB"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45</w:t>
            </w:r>
          </w:p>
        </w:tc>
        <w:tc>
          <w:tcPr>
            <w:tcW w:w="1429" w:type="dxa"/>
            <w:shd w:val="clear" w:color="auto" w:fill="FFFFFF"/>
          </w:tcPr>
          <w:p w14:paraId="64FFDB12" w14:textId="66746FCE"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99.8</w:t>
            </w:r>
          </w:p>
        </w:tc>
      </w:tr>
      <w:tr w:rsidR="009D7C38" w:rsidRPr="00D228E9" w14:paraId="6E248A64" w14:textId="77777777" w:rsidTr="00D228E9">
        <w:trPr>
          <w:trHeight w:val="249"/>
          <w:jc w:val="center"/>
        </w:trPr>
        <w:tc>
          <w:tcPr>
            <w:tcW w:w="1608" w:type="dxa"/>
            <w:shd w:val="clear" w:color="auto" w:fill="FFFFFF"/>
          </w:tcPr>
          <w:p w14:paraId="34DC7D04" w14:textId="55F18FAE" w:rsidR="009D7C38" w:rsidRPr="00D228E9" w:rsidRDefault="00F547C6" w:rsidP="00D228E9">
            <w:pPr>
              <w:pStyle w:val="CETBodytext"/>
              <w:spacing w:line="240" w:lineRule="auto"/>
              <w:ind w:right="-1"/>
              <w:rPr>
                <w:rFonts w:cs="Arial"/>
                <w:szCs w:val="18"/>
                <w:lang w:val="en-GB"/>
              </w:rPr>
            </w:pPr>
            <w:r w:rsidRPr="00D228E9">
              <w:rPr>
                <w:rFonts w:cs="Arial"/>
                <w:szCs w:val="18"/>
                <w:lang w:val="en-GB"/>
              </w:rPr>
              <w:t>T</w:t>
            </w:r>
            <w:r w:rsidR="009D7C38" w:rsidRPr="00D228E9">
              <w:rPr>
                <w:rFonts w:cs="Arial"/>
                <w:szCs w:val="18"/>
                <w:lang w:val="en-GB"/>
              </w:rPr>
              <w:t>9</w:t>
            </w:r>
          </w:p>
        </w:tc>
        <w:tc>
          <w:tcPr>
            <w:tcW w:w="1429" w:type="dxa"/>
            <w:shd w:val="clear" w:color="auto" w:fill="FFFFFF"/>
          </w:tcPr>
          <w:p w14:paraId="09B4C811" w14:textId="32A21BE5"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6</w:t>
            </w:r>
          </w:p>
        </w:tc>
        <w:tc>
          <w:tcPr>
            <w:tcW w:w="1429" w:type="dxa"/>
            <w:shd w:val="clear" w:color="auto" w:fill="FFFFFF"/>
          </w:tcPr>
          <w:p w14:paraId="776BDDD5" w14:textId="1014FC48"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45</w:t>
            </w:r>
          </w:p>
        </w:tc>
        <w:tc>
          <w:tcPr>
            <w:tcW w:w="1429" w:type="dxa"/>
            <w:shd w:val="clear" w:color="auto" w:fill="FFFFFF"/>
          </w:tcPr>
          <w:p w14:paraId="002A3449" w14:textId="101F12B4" w:rsidR="009D7C38" w:rsidRPr="00D228E9" w:rsidRDefault="009D7C38" w:rsidP="00D228E9">
            <w:pPr>
              <w:pStyle w:val="CETBodytext"/>
              <w:spacing w:line="240" w:lineRule="auto"/>
              <w:ind w:right="-1"/>
              <w:rPr>
                <w:rFonts w:cs="Arial"/>
                <w:szCs w:val="18"/>
                <w:lang w:val="en-GB"/>
              </w:rPr>
            </w:pPr>
            <w:r w:rsidRPr="00D228E9">
              <w:rPr>
                <w:rFonts w:cs="Arial"/>
                <w:szCs w:val="18"/>
                <w:lang w:val="en-GB"/>
              </w:rPr>
              <w:t>99.7</w:t>
            </w:r>
          </w:p>
        </w:tc>
      </w:tr>
      <w:bookmarkEnd w:id="1"/>
    </w:tbl>
    <w:p w14:paraId="5C909CD3" w14:textId="32DD4250" w:rsidR="00632502" w:rsidRPr="00D228E9" w:rsidRDefault="00632502" w:rsidP="00D228E9">
      <w:pPr>
        <w:pStyle w:val="CETBodytext"/>
        <w:spacing w:line="240" w:lineRule="auto"/>
        <w:rPr>
          <w:rFonts w:cs="Arial"/>
          <w:szCs w:val="18"/>
          <w:lang w:val="en-GB"/>
        </w:rPr>
      </w:pPr>
    </w:p>
    <w:p w14:paraId="48F22EDC" w14:textId="77777777" w:rsidR="002F673E" w:rsidRDefault="002F673E" w:rsidP="002F673E">
      <w:pPr>
        <w:pStyle w:val="CETBodytext"/>
        <w:spacing w:line="240" w:lineRule="auto"/>
        <w:rPr>
          <w:rFonts w:cs="Arial"/>
          <w:szCs w:val="18"/>
          <w:lang w:val="en-GB"/>
        </w:rPr>
      </w:pPr>
      <w:r w:rsidRPr="002F673E">
        <w:rPr>
          <w:rFonts w:cs="Arial"/>
          <w:szCs w:val="18"/>
          <w:lang w:val="en-GB"/>
        </w:rPr>
        <w:t xml:space="preserve">When </w:t>
      </w:r>
      <w:proofErr w:type="spellStart"/>
      <w:r w:rsidRPr="002F673E">
        <w:rPr>
          <w:rFonts w:cs="Arial"/>
          <w:szCs w:val="18"/>
          <w:lang w:val="en-GB"/>
        </w:rPr>
        <w:t>analyzing</w:t>
      </w:r>
      <w:proofErr w:type="spellEnd"/>
      <w:r w:rsidRPr="002F673E">
        <w:rPr>
          <w:rFonts w:cs="Arial"/>
          <w:szCs w:val="18"/>
          <w:lang w:val="en-GB"/>
        </w:rPr>
        <w:t xml:space="preserve"> the pH of the treatments, it is observed that the highest Pb removal rate, up to 99.8%, was obtained at pH = 4 (Figure 2), therefore Shahwan et al. (2011) stated that pH is one of the most important factors in the adsorption processes, since it promotes the solubility of the metal and generates the formation of hydroxyl radicals in the nanoparticles. Both processes allow the metal to bind to the surface of the nanoparticle through electrostatic interaction (Yang et al., 2019).</w:t>
      </w:r>
    </w:p>
    <w:p w14:paraId="3CD0F581" w14:textId="2327CD0D" w:rsidR="00D4362E" w:rsidRPr="00D228E9" w:rsidRDefault="00D4362E" w:rsidP="002F673E">
      <w:pPr>
        <w:pStyle w:val="CETBodytext"/>
        <w:spacing w:line="240" w:lineRule="auto"/>
        <w:rPr>
          <w:rFonts w:cs="Arial"/>
          <w:szCs w:val="18"/>
          <w:lang w:val="en-GB"/>
        </w:rPr>
      </w:pPr>
      <w:r w:rsidRPr="00D228E9">
        <w:rPr>
          <w:rFonts w:cs="Arial"/>
          <w:noProof/>
          <w:szCs w:val="18"/>
        </w:rPr>
        <w:drawing>
          <wp:inline distT="0" distB="0" distL="0" distR="0" wp14:anchorId="0C83FF3B" wp14:editId="6B0AFA9A">
            <wp:extent cx="4572000" cy="2743200"/>
            <wp:effectExtent l="0" t="0" r="0" b="0"/>
            <wp:docPr id="31351210" name="Gráfico 1">
              <a:extLst xmlns:a="http://schemas.openxmlformats.org/drawingml/2006/main">
                <a:ext uri="{FF2B5EF4-FFF2-40B4-BE49-F238E27FC236}">
                  <a16:creationId xmlns:a16="http://schemas.microsoft.com/office/drawing/2014/main" id="{A906AD03-3A9A-9DF1-1966-60BBEEA81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E3437E" w14:textId="4C7640F8" w:rsidR="004C5027" w:rsidRPr="00D228E9" w:rsidRDefault="00D228E9" w:rsidP="00D228E9">
      <w:pPr>
        <w:pStyle w:val="HTMLconformatoprevio"/>
        <w:rPr>
          <w:rFonts w:ascii="Arial" w:hAnsi="Arial" w:cs="Arial"/>
          <w:i/>
          <w:iCs/>
          <w:color w:val="1F1F1F"/>
          <w:szCs w:val="18"/>
          <w:lang w:val="en-US" w:eastAsia="es-PE"/>
        </w:rPr>
      </w:pPr>
      <w:r>
        <w:rPr>
          <w:rFonts w:ascii="Arial" w:hAnsi="Arial" w:cs="Arial"/>
          <w:i/>
          <w:iCs/>
          <w:szCs w:val="18"/>
          <w:lang w:val="en-US"/>
        </w:rPr>
        <w:t xml:space="preserve">               </w:t>
      </w:r>
      <w:proofErr w:type="spellStart"/>
      <w:r w:rsidR="00785558" w:rsidRPr="00D228E9">
        <w:rPr>
          <w:rFonts w:ascii="Arial" w:hAnsi="Arial" w:cs="Arial"/>
          <w:i/>
          <w:iCs/>
          <w:szCs w:val="18"/>
          <w:lang w:val="en-US"/>
        </w:rPr>
        <w:t>Figura</w:t>
      </w:r>
      <w:proofErr w:type="spellEnd"/>
      <w:r w:rsidR="00785558" w:rsidRPr="00D228E9">
        <w:rPr>
          <w:rFonts w:ascii="Arial" w:hAnsi="Arial" w:cs="Arial"/>
          <w:i/>
          <w:iCs/>
          <w:szCs w:val="18"/>
          <w:lang w:val="en-US"/>
        </w:rPr>
        <w:t xml:space="preserve"> 2: </w:t>
      </w:r>
      <w:r w:rsidR="004C5027" w:rsidRPr="00D228E9">
        <w:rPr>
          <w:rFonts w:ascii="Arial" w:hAnsi="Arial" w:cs="Arial"/>
          <w:i/>
          <w:iCs/>
          <w:color w:val="1F1F1F"/>
          <w:szCs w:val="18"/>
          <w:lang w:val="en" w:eastAsia="es-PE"/>
        </w:rPr>
        <w:t>Graphs adsorption trends as a function of pH and temperature</w:t>
      </w:r>
    </w:p>
    <w:p w14:paraId="0EDEDA34" w14:textId="48A100B4" w:rsidR="00785558" w:rsidRPr="00D228E9" w:rsidRDefault="00785558" w:rsidP="00D228E9">
      <w:pPr>
        <w:pStyle w:val="CETBodytext"/>
        <w:spacing w:line="240" w:lineRule="auto"/>
        <w:rPr>
          <w:rFonts w:cs="Arial"/>
          <w:szCs w:val="18"/>
        </w:rPr>
      </w:pPr>
    </w:p>
    <w:p w14:paraId="2F202A9B" w14:textId="77777777" w:rsidR="002F673E" w:rsidRDefault="002F673E" w:rsidP="002F673E">
      <w:pPr>
        <w:pStyle w:val="CETTabletitle"/>
        <w:spacing w:line="240" w:lineRule="auto"/>
        <w:jc w:val="both"/>
        <w:rPr>
          <w:rFonts w:cs="Arial"/>
          <w:szCs w:val="18"/>
        </w:rPr>
      </w:pPr>
      <w:r w:rsidRPr="002F673E">
        <w:rPr>
          <w:rFonts w:cs="Arial"/>
          <w:i w:val="0"/>
          <w:iCs/>
          <w:szCs w:val="18"/>
        </w:rPr>
        <w:t>Statistical analysis of variance (ANOVA) showed that pH is a significant factor (p-value of 0.0138 &lt; 0.05), see Table 3. The adsorption mechanisms of lead on the surface of Fe nanoparticles biosynthesized with quinoa leaf extract are due to the presence of carboxyl (-COOH) and hydroxyl (-OH) functional groups from the phenolic compounds of quinoa (identified by FTIR). The functional groups present on the surface of the nanoparticles are negatively charged in acidic media, while lead undergoes protonation (</w:t>
      </w:r>
      <w:proofErr w:type="spellStart"/>
      <w:r w:rsidRPr="002F673E">
        <w:rPr>
          <w:rFonts w:cs="Arial"/>
          <w:i w:val="0"/>
          <w:iCs/>
          <w:szCs w:val="18"/>
        </w:rPr>
        <w:t>Dobrosz</w:t>
      </w:r>
      <w:proofErr w:type="spellEnd"/>
      <w:r w:rsidRPr="002F673E">
        <w:rPr>
          <w:rFonts w:cs="Arial"/>
          <w:i w:val="0"/>
          <w:iCs/>
          <w:szCs w:val="18"/>
        </w:rPr>
        <w:t xml:space="preserve">-Gómez et al., 2018), causing a union between them by means of electrostatic interactions (Arshadi et al., 2014), leading to the formation of chelating agents. This result is similar to that obtained by Pavan Kumar et al. (2020), in whose study he used </w:t>
      </w:r>
      <w:r w:rsidRPr="002F673E">
        <w:rPr>
          <w:rFonts w:cs="Arial"/>
          <w:i w:val="0"/>
          <w:iCs/>
          <w:szCs w:val="18"/>
        </w:rPr>
        <w:lastRenderedPageBreak/>
        <w:t xml:space="preserve">nanoparticles biosynthesized with M. </w:t>
      </w:r>
      <w:proofErr w:type="spellStart"/>
      <w:r w:rsidRPr="002F673E">
        <w:rPr>
          <w:rFonts w:cs="Arial"/>
          <w:i w:val="0"/>
          <w:iCs/>
          <w:szCs w:val="18"/>
        </w:rPr>
        <w:t>olifeira</w:t>
      </w:r>
      <w:proofErr w:type="spellEnd"/>
      <w:r w:rsidRPr="002F673E">
        <w:rPr>
          <w:rFonts w:cs="Arial"/>
          <w:i w:val="0"/>
          <w:iCs/>
          <w:szCs w:val="18"/>
        </w:rPr>
        <w:t xml:space="preserve"> at pH = 5 and was able to reduce the Pb concentration through adsorption processes</w:t>
      </w:r>
      <w:r w:rsidRPr="002F673E">
        <w:rPr>
          <w:rFonts w:cs="Arial"/>
          <w:szCs w:val="18"/>
        </w:rPr>
        <w:t>.</w:t>
      </w:r>
    </w:p>
    <w:p w14:paraId="40C47CD3" w14:textId="45537E46" w:rsidR="00F87019" w:rsidRPr="00D228E9" w:rsidRDefault="00F87019" w:rsidP="00D228E9">
      <w:pPr>
        <w:pStyle w:val="CETTabletitle"/>
        <w:spacing w:line="240" w:lineRule="auto"/>
        <w:rPr>
          <w:rFonts w:cs="Arial"/>
          <w:szCs w:val="18"/>
        </w:rPr>
      </w:pPr>
      <w:r w:rsidRPr="00D228E9">
        <w:rPr>
          <w:rFonts w:cs="Arial"/>
          <w:szCs w:val="18"/>
        </w:rPr>
        <w:t xml:space="preserve">Table </w:t>
      </w:r>
      <w:r w:rsidR="00D4362E" w:rsidRPr="00D228E9">
        <w:rPr>
          <w:rFonts w:cs="Arial"/>
          <w:szCs w:val="18"/>
        </w:rPr>
        <w:t>3</w:t>
      </w:r>
      <w:r w:rsidRPr="00D228E9">
        <w:rPr>
          <w:rFonts w:cs="Arial"/>
          <w:szCs w:val="18"/>
        </w:rPr>
        <w:t xml:space="preserve">: </w:t>
      </w:r>
      <w:r w:rsidR="00DE572A" w:rsidRPr="00D228E9">
        <w:rPr>
          <w:rFonts w:cs="Arial"/>
          <w:szCs w:val="18"/>
        </w:rPr>
        <w:t>Analysis of variance of pH and temperature of the Pb adsorption process</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53"/>
        <w:gridCol w:w="1201"/>
        <w:gridCol w:w="1201"/>
        <w:gridCol w:w="1201"/>
        <w:gridCol w:w="1201"/>
        <w:gridCol w:w="1201"/>
      </w:tblGrid>
      <w:tr w:rsidR="00F87019" w:rsidRPr="00D228E9" w14:paraId="76AA1F3D" w14:textId="77777777" w:rsidTr="00D228E9">
        <w:trPr>
          <w:trHeight w:val="476"/>
          <w:jc w:val="center"/>
        </w:trPr>
        <w:tc>
          <w:tcPr>
            <w:tcW w:w="1353" w:type="dxa"/>
            <w:tcBorders>
              <w:top w:val="single" w:sz="12" w:space="0" w:color="008000"/>
              <w:bottom w:val="single" w:sz="6" w:space="0" w:color="008000"/>
            </w:tcBorders>
            <w:shd w:val="clear" w:color="auto" w:fill="FFFFFF"/>
          </w:tcPr>
          <w:p w14:paraId="4CF571FC" w14:textId="658A2FA2" w:rsidR="00F87019" w:rsidRPr="00D228E9" w:rsidRDefault="004F7B96" w:rsidP="00D228E9">
            <w:pPr>
              <w:pStyle w:val="CETBodytext"/>
              <w:spacing w:line="240" w:lineRule="auto"/>
              <w:jc w:val="left"/>
              <w:rPr>
                <w:rFonts w:cs="Arial"/>
                <w:szCs w:val="18"/>
                <w:lang w:val="en-GB"/>
              </w:rPr>
            </w:pPr>
            <w:r w:rsidRPr="00D228E9">
              <w:rPr>
                <w:rFonts w:cs="Arial"/>
                <w:szCs w:val="18"/>
                <w:lang w:val="en-GB"/>
              </w:rPr>
              <w:t>Source of variation</w:t>
            </w:r>
          </w:p>
        </w:tc>
        <w:tc>
          <w:tcPr>
            <w:tcW w:w="1201" w:type="dxa"/>
            <w:tcBorders>
              <w:top w:val="single" w:sz="12" w:space="0" w:color="008000"/>
              <w:bottom w:val="single" w:sz="6" w:space="0" w:color="008000"/>
            </w:tcBorders>
            <w:shd w:val="clear" w:color="auto" w:fill="FFFFFF"/>
          </w:tcPr>
          <w:p w14:paraId="08888239" w14:textId="167C5174" w:rsidR="00F87019" w:rsidRPr="00D228E9" w:rsidRDefault="004F7B96" w:rsidP="00D228E9">
            <w:pPr>
              <w:pStyle w:val="CETBodytext"/>
              <w:spacing w:line="240" w:lineRule="auto"/>
              <w:jc w:val="left"/>
              <w:rPr>
                <w:rFonts w:cs="Arial"/>
                <w:szCs w:val="18"/>
                <w:lang w:val="en-GB"/>
              </w:rPr>
            </w:pPr>
            <w:r w:rsidRPr="00D228E9">
              <w:rPr>
                <w:rFonts w:cs="Arial"/>
                <w:szCs w:val="18"/>
                <w:lang w:val="en-GB"/>
              </w:rPr>
              <w:t>Degrees of Freedom</w:t>
            </w:r>
          </w:p>
        </w:tc>
        <w:tc>
          <w:tcPr>
            <w:tcW w:w="1201" w:type="dxa"/>
            <w:tcBorders>
              <w:top w:val="single" w:sz="12" w:space="0" w:color="008000"/>
              <w:bottom w:val="single" w:sz="6" w:space="0" w:color="008000"/>
            </w:tcBorders>
            <w:shd w:val="clear" w:color="auto" w:fill="FFFFFF"/>
          </w:tcPr>
          <w:p w14:paraId="2DD02AA6" w14:textId="1DB4EF97" w:rsidR="00F87019" w:rsidRPr="00D228E9" w:rsidRDefault="004F7B96" w:rsidP="00D228E9">
            <w:pPr>
              <w:pStyle w:val="CETBodytext"/>
              <w:spacing w:line="240" w:lineRule="auto"/>
              <w:jc w:val="left"/>
              <w:rPr>
                <w:rFonts w:cs="Arial"/>
                <w:szCs w:val="18"/>
                <w:lang w:val="en-GB"/>
              </w:rPr>
            </w:pPr>
            <w:r w:rsidRPr="00D228E9">
              <w:rPr>
                <w:rFonts w:cs="Arial"/>
                <w:szCs w:val="18"/>
                <w:lang w:val="en-GB"/>
              </w:rPr>
              <w:t>Sum of Squares</w:t>
            </w:r>
          </w:p>
        </w:tc>
        <w:tc>
          <w:tcPr>
            <w:tcW w:w="1201" w:type="dxa"/>
            <w:tcBorders>
              <w:top w:val="single" w:sz="12" w:space="0" w:color="008000"/>
              <w:bottom w:val="single" w:sz="6" w:space="0" w:color="008000"/>
            </w:tcBorders>
            <w:shd w:val="clear" w:color="auto" w:fill="FFFFFF"/>
          </w:tcPr>
          <w:p w14:paraId="7F22A763" w14:textId="216293F7" w:rsidR="00F87019" w:rsidRPr="00D228E9" w:rsidRDefault="004F7B96" w:rsidP="00D228E9">
            <w:pPr>
              <w:pStyle w:val="CETBodytext"/>
              <w:spacing w:line="240" w:lineRule="auto"/>
              <w:rPr>
                <w:rFonts w:cs="Arial"/>
                <w:szCs w:val="18"/>
                <w:lang w:val="en-GB"/>
              </w:rPr>
            </w:pPr>
            <w:r w:rsidRPr="00D228E9">
              <w:rPr>
                <w:rFonts w:cs="Arial"/>
                <w:szCs w:val="18"/>
                <w:lang w:val="en-GB"/>
              </w:rPr>
              <w:t>Mean Square</w:t>
            </w:r>
          </w:p>
        </w:tc>
        <w:tc>
          <w:tcPr>
            <w:tcW w:w="1201" w:type="dxa"/>
            <w:tcBorders>
              <w:top w:val="single" w:sz="12" w:space="0" w:color="008000"/>
              <w:bottom w:val="single" w:sz="6" w:space="0" w:color="008000"/>
            </w:tcBorders>
            <w:shd w:val="clear" w:color="auto" w:fill="FFFFFF"/>
          </w:tcPr>
          <w:p w14:paraId="6F7C6ECF" w14:textId="6400349C" w:rsidR="00F87019" w:rsidRPr="00D228E9" w:rsidRDefault="00DE572A" w:rsidP="00D228E9">
            <w:pPr>
              <w:pStyle w:val="CETBodytext"/>
              <w:spacing w:line="240" w:lineRule="auto"/>
              <w:rPr>
                <w:rFonts w:cs="Arial"/>
                <w:szCs w:val="18"/>
                <w:lang w:val="en-GB"/>
              </w:rPr>
            </w:pPr>
            <w:r w:rsidRPr="00D228E9">
              <w:rPr>
                <w:rFonts w:cs="Arial"/>
                <w:szCs w:val="18"/>
                <w:lang w:val="en-GB"/>
              </w:rPr>
              <w:t>Value</w:t>
            </w:r>
            <w:r w:rsidR="00F87019" w:rsidRPr="00D228E9">
              <w:rPr>
                <w:rFonts w:cs="Arial"/>
                <w:szCs w:val="18"/>
                <w:lang w:val="en-GB"/>
              </w:rPr>
              <w:t>-F</w:t>
            </w:r>
          </w:p>
        </w:tc>
        <w:tc>
          <w:tcPr>
            <w:tcW w:w="1201" w:type="dxa"/>
            <w:tcBorders>
              <w:top w:val="single" w:sz="12" w:space="0" w:color="008000"/>
              <w:bottom w:val="single" w:sz="6" w:space="0" w:color="008000"/>
            </w:tcBorders>
            <w:shd w:val="clear" w:color="auto" w:fill="FFFFFF"/>
          </w:tcPr>
          <w:p w14:paraId="13B3E021" w14:textId="044DBEA2"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p-val</w:t>
            </w:r>
            <w:r w:rsidR="00DE572A" w:rsidRPr="00D228E9">
              <w:rPr>
                <w:rFonts w:cs="Arial"/>
                <w:szCs w:val="18"/>
                <w:lang w:val="en-GB"/>
              </w:rPr>
              <w:t>ue</w:t>
            </w:r>
            <w:r w:rsidRPr="00D228E9">
              <w:rPr>
                <w:rFonts w:cs="Arial"/>
                <w:szCs w:val="18"/>
                <w:lang w:val="en-GB"/>
              </w:rPr>
              <w:t xml:space="preserve"> (PR(&gt;F))</w:t>
            </w:r>
          </w:p>
        </w:tc>
      </w:tr>
      <w:tr w:rsidR="00F87019" w:rsidRPr="00D228E9" w14:paraId="40F15A6F" w14:textId="77777777" w:rsidTr="00D228E9">
        <w:trPr>
          <w:trHeight w:val="248"/>
          <w:jc w:val="center"/>
        </w:trPr>
        <w:tc>
          <w:tcPr>
            <w:tcW w:w="1353" w:type="dxa"/>
            <w:shd w:val="clear" w:color="auto" w:fill="FFFFFF"/>
          </w:tcPr>
          <w:p w14:paraId="777D4B69" w14:textId="3CE3FBE3" w:rsidR="00F87019" w:rsidRPr="00D228E9" w:rsidRDefault="00F87019" w:rsidP="00D228E9">
            <w:pPr>
              <w:pStyle w:val="CETBodytext"/>
              <w:spacing w:line="240" w:lineRule="auto"/>
              <w:rPr>
                <w:rFonts w:cs="Arial"/>
                <w:szCs w:val="18"/>
                <w:lang w:val="en-GB"/>
              </w:rPr>
            </w:pPr>
            <w:r w:rsidRPr="00D228E9">
              <w:rPr>
                <w:rFonts w:cs="Arial"/>
                <w:szCs w:val="18"/>
                <w:lang w:val="en-GB"/>
              </w:rPr>
              <w:t>p H</w:t>
            </w:r>
          </w:p>
        </w:tc>
        <w:tc>
          <w:tcPr>
            <w:tcW w:w="1201" w:type="dxa"/>
            <w:shd w:val="clear" w:color="auto" w:fill="FFFFFF"/>
          </w:tcPr>
          <w:p w14:paraId="11867BFE" w14:textId="1142FC60" w:rsidR="00F87019" w:rsidRPr="00D228E9" w:rsidRDefault="00F87019" w:rsidP="00D228E9">
            <w:pPr>
              <w:pStyle w:val="CETBodytext"/>
              <w:spacing w:line="240" w:lineRule="auto"/>
              <w:rPr>
                <w:rFonts w:cs="Arial"/>
                <w:szCs w:val="18"/>
                <w:lang w:val="en-GB"/>
              </w:rPr>
            </w:pPr>
            <w:r w:rsidRPr="00D228E9">
              <w:rPr>
                <w:rFonts w:cs="Arial"/>
                <w:szCs w:val="18"/>
                <w:lang w:val="en-GB"/>
              </w:rPr>
              <w:t>1</w:t>
            </w:r>
          </w:p>
        </w:tc>
        <w:tc>
          <w:tcPr>
            <w:tcW w:w="1201" w:type="dxa"/>
            <w:shd w:val="clear" w:color="auto" w:fill="FFFFFF"/>
          </w:tcPr>
          <w:p w14:paraId="0F8DE0D7" w14:textId="51D8983C" w:rsidR="00F87019" w:rsidRPr="00D228E9" w:rsidRDefault="00F87019" w:rsidP="00D228E9">
            <w:pPr>
              <w:pStyle w:val="CETBodytext"/>
              <w:spacing w:line="240" w:lineRule="auto"/>
              <w:rPr>
                <w:rFonts w:cs="Arial"/>
                <w:szCs w:val="18"/>
                <w:lang w:val="en-GB"/>
              </w:rPr>
            </w:pPr>
            <w:r w:rsidRPr="00D228E9">
              <w:rPr>
                <w:rFonts w:cs="Arial"/>
                <w:szCs w:val="18"/>
                <w:lang w:val="en-GB"/>
              </w:rPr>
              <w:t>4.797204</w:t>
            </w:r>
          </w:p>
        </w:tc>
        <w:tc>
          <w:tcPr>
            <w:tcW w:w="1201" w:type="dxa"/>
            <w:shd w:val="clear" w:color="auto" w:fill="FFFFFF"/>
          </w:tcPr>
          <w:p w14:paraId="1CC2FCD9" w14:textId="44CCA04C" w:rsidR="00F87019" w:rsidRPr="00D228E9" w:rsidRDefault="00F87019" w:rsidP="00D228E9">
            <w:pPr>
              <w:pStyle w:val="CETBodytext"/>
              <w:spacing w:line="240" w:lineRule="auto"/>
              <w:rPr>
                <w:rFonts w:cs="Arial"/>
                <w:szCs w:val="18"/>
                <w:lang w:val="en-GB"/>
              </w:rPr>
            </w:pPr>
            <w:r w:rsidRPr="00D228E9">
              <w:rPr>
                <w:rFonts w:cs="Arial"/>
                <w:szCs w:val="18"/>
                <w:lang w:val="en-GB"/>
              </w:rPr>
              <w:t>4.797204</w:t>
            </w:r>
          </w:p>
        </w:tc>
        <w:tc>
          <w:tcPr>
            <w:tcW w:w="1201" w:type="dxa"/>
            <w:shd w:val="clear" w:color="auto" w:fill="FFFFFF"/>
          </w:tcPr>
          <w:p w14:paraId="7F6AD47D" w14:textId="04F73D1B" w:rsidR="00F87019" w:rsidRPr="00D228E9" w:rsidRDefault="00F87019" w:rsidP="00D228E9">
            <w:pPr>
              <w:pStyle w:val="CETBodytext"/>
              <w:spacing w:line="240" w:lineRule="auto"/>
              <w:rPr>
                <w:rFonts w:cs="Arial"/>
                <w:szCs w:val="18"/>
                <w:lang w:val="en-GB"/>
              </w:rPr>
            </w:pPr>
            <w:r w:rsidRPr="00D228E9">
              <w:rPr>
                <w:rFonts w:cs="Arial"/>
                <w:szCs w:val="18"/>
                <w:lang w:val="en-GB"/>
              </w:rPr>
              <w:t>27.06694</w:t>
            </w:r>
          </w:p>
        </w:tc>
        <w:tc>
          <w:tcPr>
            <w:tcW w:w="1201" w:type="dxa"/>
            <w:shd w:val="clear" w:color="auto" w:fill="FFFFFF"/>
          </w:tcPr>
          <w:p w14:paraId="4066C070" w14:textId="5D530E54"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0.0138</w:t>
            </w:r>
          </w:p>
        </w:tc>
      </w:tr>
      <w:tr w:rsidR="00F87019" w:rsidRPr="00D228E9" w14:paraId="74CD1616" w14:textId="77777777" w:rsidTr="00D228E9">
        <w:trPr>
          <w:trHeight w:val="238"/>
          <w:jc w:val="center"/>
        </w:trPr>
        <w:tc>
          <w:tcPr>
            <w:tcW w:w="1353" w:type="dxa"/>
            <w:shd w:val="clear" w:color="auto" w:fill="FFFFFF"/>
          </w:tcPr>
          <w:p w14:paraId="062734B0" w14:textId="7CC0AA83"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Temperatur</w:t>
            </w:r>
            <w:r w:rsidR="00DE572A" w:rsidRPr="00D228E9">
              <w:rPr>
                <w:rFonts w:cs="Arial"/>
                <w:szCs w:val="18"/>
                <w:lang w:val="en-GB"/>
              </w:rPr>
              <w:t>e</w:t>
            </w:r>
          </w:p>
        </w:tc>
        <w:tc>
          <w:tcPr>
            <w:tcW w:w="1201" w:type="dxa"/>
            <w:shd w:val="clear" w:color="auto" w:fill="FFFFFF"/>
          </w:tcPr>
          <w:p w14:paraId="55FD80E7" w14:textId="272B657D"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1</w:t>
            </w:r>
          </w:p>
        </w:tc>
        <w:tc>
          <w:tcPr>
            <w:tcW w:w="1201" w:type="dxa"/>
            <w:shd w:val="clear" w:color="auto" w:fill="FFFFFF"/>
          </w:tcPr>
          <w:p w14:paraId="3AC21D4D" w14:textId="46E13F95"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0.165668</w:t>
            </w:r>
          </w:p>
        </w:tc>
        <w:tc>
          <w:tcPr>
            <w:tcW w:w="1201" w:type="dxa"/>
            <w:shd w:val="clear" w:color="auto" w:fill="FFFFFF"/>
          </w:tcPr>
          <w:p w14:paraId="291CE7AE" w14:textId="20D724DB"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0.16566</w:t>
            </w:r>
          </w:p>
        </w:tc>
        <w:tc>
          <w:tcPr>
            <w:tcW w:w="1201" w:type="dxa"/>
            <w:shd w:val="clear" w:color="auto" w:fill="FFFFFF"/>
          </w:tcPr>
          <w:p w14:paraId="54F0CA56" w14:textId="3B97891C"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0.93473</w:t>
            </w:r>
          </w:p>
        </w:tc>
        <w:tc>
          <w:tcPr>
            <w:tcW w:w="1201" w:type="dxa"/>
            <w:shd w:val="clear" w:color="auto" w:fill="FFFFFF"/>
          </w:tcPr>
          <w:p w14:paraId="348F3410" w14:textId="55F5D67D"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0.404951</w:t>
            </w:r>
          </w:p>
        </w:tc>
      </w:tr>
      <w:tr w:rsidR="00F87019" w:rsidRPr="00D228E9" w14:paraId="093C06A4" w14:textId="77777777" w:rsidTr="00D228E9">
        <w:trPr>
          <w:trHeight w:val="238"/>
          <w:jc w:val="center"/>
        </w:trPr>
        <w:tc>
          <w:tcPr>
            <w:tcW w:w="1353" w:type="dxa"/>
            <w:shd w:val="clear" w:color="auto" w:fill="FFFFFF"/>
          </w:tcPr>
          <w:p w14:paraId="7AD546BF" w14:textId="3A792A06"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pH</w:t>
            </w:r>
            <w:r w:rsidR="007D5DD0" w:rsidRPr="00D228E9">
              <w:rPr>
                <w:rFonts w:cs="Arial"/>
                <w:szCs w:val="18"/>
                <w:vertAlign w:val="superscript"/>
                <w:lang w:val="en-GB"/>
              </w:rPr>
              <w:t>2</w:t>
            </w:r>
          </w:p>
        </w:tc>
        <w:tc>
          <w:tcPr>
            <w:tcW w:w="1201" w:type="dxa"/>
            <w:shd w:val="clear" w:color="auto" w:fill="FFFFFF"/>
          </w:tcPr>
          <w:p w14:paraId="35D779E7" w14:textId="166B3A5B"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1</w:t>
            </w:r>
          </w:p>
        </w:tc>
        <w:tc>
          <w:tcPr>
            <w:tcW w:w="1201" w:type="dxa"/>
            <w:shd w:val="clear" w:color="auto" w:fill="FFFFFF"/>
          </w:tcPr>
          <w:p w14:paraId="25274946" w14:textId="2AAA6F5B"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0.64942</w:t>
            </w:r>
          </w:p>
        </w:tc>
        <w:tc>
          <w:tcPr>
            <w:tcW w:w="1201" w:type="dxa"/>
            <w:shd w:val="clear" w:color="auto" w:fill="FFFFFF"/>
          </w:tcPr>
          <w:p w14:paraId="6307F7DC" w14:textId="030C697F"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0.64942</w:t>
            </w:r>
          </w:p>
        </w:tc>
        <w:tc>
          <w:tcPr>
            <w:tcW w:w="1201" w:type="dxa"/>
            <w:shd w:val="clear" w:color="auto" w:fill="FFFFFF"/>
          </w:tcPr>
          <w:p w14:paraId="43BC911B" w14:textId="0E4F5421"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3.664179</w:t>
            </w:r>
          </w:p>
        </w:tc>
        <w:tc>
          <w:tcPr>
            <w:tcW w:w="1201" w:type="dxa"/>
            <w:shd w:val="clear" w:color="auto" w:fill="FFFFFF"/>
          </w:tcPr>
          <w:p w14:paraId="34179F03" w14:textId="0A6653FB"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0.151498</w:t>
            </w:r>
          </w:p>
        </w:tc>
      </w:tr>
      <w:tr w:rsidR="00F87019" w:rsidRPr="00D228E9" w14:paraId="35E513F1" w14:textId="77777777" w:rsidTr="00D228E9">
        <w:trPr>
          <w:trHeight w:val="238"/>
          <w:jc w:val="center"/>
        </w:trPr>
        <w:tc>
          <w:tcPr>
            <w:tcW w:w="1353" w:type="dxa"/>
            <w:shd w:val="clear" w:color="auto" w:fill="FFFFFF"/>
          </w:tcPr>
          <w:p w14:paraId="5ED77F2B" w14:textId="544039AA"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Temperatur</w:t>
            </w:r>
            <w:r w:rsidR="00DE572A" w:rsidRPr="00D228E9">
              <w:rPr>
                <w:rFonts w:cs="Arial"/>
                <w:szCs w:val="18"/>
                <w:lang w:val="en-GB"/>
              </w:rPr>
              <w:t>e</w:t>
            </w:r>
            <w:r w:rsidR="007D5DD0" w:rsidRPr="00D228E9">
              <w:rPr>
                <w:rFonts w:cs="Arial"/>
                <w:szCs w:val="18"/>
                <w:vertAlign w:val="superscript"/>
                <w:lang w:val="en-GB"/>
              </w:rPr>
              <w:t>2</w:t>
            </w:r>
          </w:p>
        </w:tc>
        <w:tc>
          <w:tcPr>
            <w:tcW w:w="1201" w:type="dxa"/>
            <w:shd w:val="clear" w:color="auto" w:fill="FFFFFF"/>
          </w:tcPr>
          <w:p w14:paraId="28E59C87" w14:textId="490BAD1D"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1</w:t>
            </w:r>
          </w:p>
        </w:tc>
        <w:tc>
          <w:tcPr>
            <w:tcW w:w="1201" w:type="dxa"/>
            <w:shd w:val="clear" w:color="auto" w:fill="FFFFFF"/>
          </w:tcPr>
          <w:p w14:paraId="093F8286" w14:textId="5FFD15DD"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0.796743</w:t>
            </w:r>
          </w:p>
        </w:tc>
        <w:tc>
          <w:tcPr>
            <w:tcW w:w="1201" w:type="dxa"/>
            <w:shd w:val="clear" w:color="auto" w:fill="FFFFFF"/>
          </w:tcPr>
          <w:p w14:paraId="0C367A4D" w14:textId="300A43F1"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0.796743</w:t>
            </w:r>
          </w:p>
        </w:tc>
        <w:tc>
          <w:tcPr>
            <w:tcW w:w="1201" w:type="dxa"/>
            <w:shd w:val="clear" w:color="auto" w:fill="FFFFFF"/>
          </w:tcPr>
          <w:p w14:paraId="20FEA21C" w14:textId="0973FFBC"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4.495408</w:t>
            </w:r>
          </w:p>
        </w:tc>
        <w:tc>
          <w:tcPr>
            <w:tcW w:w="1201" w:type="dxa"/>
            <w:shd w:val="clear" w:color="auto" w:fill="FFFFFF"/>
          </w:tcPr>
          <w:p w14:paraId="639DC03F" w14:textId="5D003A3E"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0.124154</w:t>
            </w:r>
          </w:p>
        </w:tc>
      </w:tr>
      <w:tr w:rsidR="00F87019" w:rsidRPr="00D228E9" w14:paraId="43D5A0D8" w14:textId="77777777" w:rsidTr="00D228E9">
        <w:trPr>
          <w:trHeight w:val="238"/>
          <w:jc w:val="center"/>
        </w:trPr>
        <w:tc>
          <w:tcPr>
            <w:tcW w:w="1353" w:type="dxa"/>
            <w:shd w:val="clear" w:color="auto" w:fill="FFFFFF"/>
          </w:tcPr>
          <w:p w14:paraId="303AE356" w14:textId="0F511DE0"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pH:</w:t>
            </w:r>
            <w:r w:rsidR="00DE572A" w:rsidRPr="00D228E9">
              <w:rPr>
                <w:rFonts w:cs="Arial"/>
                <w:szCs w:val="18"/>
                <w:lang w:val="en-GB"/>
              </w:rPr>
              <w:t xml:space="preserve"> </w:t>
            </w:r>
            <w:r w:rsidRPr="00D228E9">
              <w:rPr>
                <w:rFonts w:cs="Arial"/>
                <w:szCs w:val="18"/>
                <w:lang w:val="en-GB"/>
              </w:rPr>
              <w:t>temperatur</w:t>
            </w:r>
            <w:r w:rsidR="00DE572A" w:rsidRPr="00D228E9">
              <w:rPr>
                <w:rFonts w:cs="Arial"/>
                <w:szCs w:val="18"/>
                <w:lang w:val="en-GB"/>
              </w:rPr>
              <w:t>e</w:t>
            </w:r>
          </w:p>
        </w:tc>
        <w:tc>
          <w:tcPr>
            <w:tcW w:w="1201" w:type="dxa"/>
            <w:shd w:val="clear" w:color="auto" w:fill="FFFFFF"/>
          </w:tcPr>
          <w:p w14:paraId="6381B111" w14:textId="4CC1B52F"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1</w:t>
            </w:r>
          </w:p>
        </w:tc>
        <w:tc>
          <w:tcPr>
            <w:tcW w:w="1201" w:type="dxa"/>
            <w:shd w:val="clear" w:color="auto" w:fill="FFFFFF"/>
          </w:tcPr>
          <w:p w14:paraId="7799892A" w14:textId="3E50A1F1"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0.25</w:t>
            </w:r>
          </w:p>
        </w:tc>
        <w:tc>
          <w:tcPr>
            <w:tcW w:w="1201" w:type="dxa"/>
            <w:shd w:val="clear" w:color="auto" w:fill="FFFFFF"/>
          </w:tcPr>
          <w:p w14:paraId="5E302B77" w14:textId="54A6A765"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0.25</w:t>
            </w:r>
          </w:p>
        </w:tc>
        <w:tc>
          <w:tcPr>
            <w:tcW w:w="1201" w:type="dxa"/>
            <w:shd w:val="clear" w:color="auto" w:fill="FFFFFF"/>
          </w:tcPr>
          <w:p w14:paraId="79004A2C" w14:textId="35E0522E"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1.410558</w:t>
            </w:r>
          </w:p>
        </w:tc>
        <w:tc>
          <w:tcPr>
            <w:tcW w:w="1201" w:type="dxa"/>
            <w:shd w:val="clear" w:color="auto" w:fill="FFFFFF"/>
          </w:tcPr>
          <w:p w14:paraId="1B2A60F0" w14:textId="77C793E8"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0.320428</w:t>
            </w:r>
          </w:p>
        </w:tc>
      </w:tr>
      <w:tr w:rsidR="00F87019" w:rsidRPr="00D228E9" w14:paraId="09F1F297" w14:textId="77777777" w:rsidTr="00D228E9">
        <w:trPr>
          <w:trHeight w:val="238"/>
          <w:jc w:val="center"/>
        </w:trPr>
        <w:tc>
          <w:tcPr>
            <w:tcW w:w="1353" w:type="dxa"/>
            <w:shd w:val="clear" w:color="auto" w:fill="FFFFFF"/>
          </w:tcPr>
          <w:p w14:paraId="75884725" w14:textId="23DEF961"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Residual</w:t>
            </w:r>
          </w:p>
        </w:tc>
        <w:tc>
          <w:tcPr>
            <w:tcW w:w="1201" w:type="dxa"/>
            <w:shd w:val="clear" w:color="auto" w:fill="FFFFFF"/>
          </w:tcPr>
          <w:p w14:paraId="28A66DFD" w14:textId="3C11D29C"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3</w:t>
            </w:r>
          </w:p>
        </w:tc>
        <w:tc>
          <w:tcPr>
            <w:tcW w:w="1201" w:type="dxa"/>
            <w:shd w:val="clear" w:color="auto" w:fill="FFFFFF"/>
          </w:tcPr>
          <w:p w14:paraId="47B20814" w14:textId="12C97262"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0.531704</w:t>
            </w:r>
          </w:p>
        </w:tc>
        <w:tc>
          <w:tcPr>
            <w:tcW w:w="1201" w:type="dxa"/>
            <w:shd w:val="clear" w:color="auto" w:fill="FFFFFF"/>
          </w:tcPr>
          <w:p w14:paraId="081E5DFE" w14:textId="0B0F3531"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0.177235</w:t>
            </w:r>
          </w:p>
        </w:tc>
        <w:tc>
          <w:tcPr>
            <w:tcW w:w="1201" w:type="dxa"/>
            <w:shd w:val="clear" w:color="auto" w:fill="FFFFFF"/>
          </w:tcPr>
          <w:p w14:paraId="10087D04" w14:textId="60FE9B59"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w:t>
            </w:r>
          </w:p>
        </w:tc>
        <w:tc>
          <w:tcPr>
            <w:tcW w:w="1201" w:type="dxa"/>
            <w:shd w:val="clear" w:color="auto" w:fill="FFFFFF"/>
          </w:tcPr>
          <w:p w14:paraId="30B0CE95" w14:textId="1F9CC3AA" w:rsidR="00F87019" w:rsidRPr="00D228E9" w:rsidRDefault="00F87019" w:rsidP="00D228E9">
            <w:pPr>
              <w:pStyle w:val="CETBodytext"/>
              <w:spacing w:line="240" w:lineRule="auto"/>
              <w:ind w:right="-1"/>
              <w:rPr>
                <w:rFonts w:cs="Arial"/>
                <w:szCs w:val="18"/>
                <w:lang w:val="en-GB"/>
              </w:rPr>
            </w:pPr>
            <w:r w:rsidRPr="00D228E9">
              <w:rPr>
                <w:rFonts w:cs="Arial"/>
                <w:szCs w:val="18"/>
                <w:lang w:val="en-GB"/>
              </w:rPr>
              <w:t>---</w:t>
            </w:r>
          </w:p>
        </w:tc>
      </w:tr>
    </w:tbl>
    <w:p w14:paraId="034207EB" w14:textId="77777777" w:rsidR="00071529" w:rsidRPr="00D228E9" w:rsidRDefault="00071529" w:rsidP="00D228E9">
      <w:pPr>
        <w:pStyle w:val="CETBodytext"/>
        <w:spacing w:line="240" w:lineRule="auto"/>
        <w:rPr>
          <w:rFonts w:cs="Arial"/>
          <w:szCs w:val="18"/>
          <w:lang w:val="en-GB"/>
        </w:rPr>
      </w:pPr>
    </w:p>
    <w:p w14:paraId="430D2C55" w14:textId="77777777" w:rsidR="002F673E" w:rsidRPr="002F673E" w:rsidRDefault="002F673E" w:rsidP="002F673E">
      <w:pPr>
        <w:pStyle w:val="CETHeading1"/>
        <w:numPr>
          <w:ilvl w:val="0"/>
          <w:numId w:val="0"/>
        </w:numPr>
        <w:jc w:val="both"/>
        <w:rPr>
          <w:rFonts w:cs="Arial"/>
          <w:b w:val="0"/>
          <w:bCs/>
          <w:sz w:val="18"/>
          <w:szCs w:val="18"/>
        </w:rPr>
      </w:pPr>
      <w:r w:rsidRPr="002F673E">
        <w:rPr>
          <w:rFonts w:cs="Arial"/>
          <w:b w:val="0"/>
          <w:bCs/>
          <w:sz w:val="18"/>
          <w:szCs w:val="18"/>
        </w:rPr>
        <w:t>Regarding temperature, variable results were obtained at the three controlled values (15, 30, and 45 °C), indicating that its influence was relative and without significant effects (see the statistical result in Table 3). This result is consistent with the research by Al-</w:t>
      </w:r>
      <w:proofErr w:type="spellStart"/>
      <w:r w:rsidRPr="002F673E">
        <w:rPr>
          <w:rFonts w:cs="Arial"/>
          <w:b w:val="0"/>
          <w:bCs/>
          <w:sz w:val="18"/>
          <w:szCs w:val="18"/>
        </w:rPr>
        <w:t>Senani</w:t>
      </w:r>
      <w:proofErr w:type="spellEnd"/>
      <w:r w:rsidRPr="002F673E">
        <w:rPr>
          <w:rFonts w:cs="Arial"/>
          <w:b w:val="0"/>
          <w:bCs/>
          <w:sz w:val="18"/>
          <w:szCs w:val="18"/>
        </w:rPr>
        <w:t xml:space="preserve"> and Al-Fawzan (2018), who found adsorption percentages between 25 and 60 °C, and indicate that adsorption is due to the nature of the adsorbent molecules and not to temperature. This indicates that temperature is likely to produce an increase in active sites with greater interaction strength between the adsorbent and the adsorbate, but that it may favor the diffusion of the adsorbate into the solution and decrease adsorption (Eduardo-Román, 2021). In an investigation on mercury adsorption with copper nanoparticles, it was reported that increasing the temperature resulted in lower adsorption, which infers that mercury diffusion for adsorption occurred at low temperature, the optimum temperature in this case being 20 °C (Fakhri, 2015).</w:t>
      </w:r>
    </w:p>
    <w:p w14:paraId="68D26B83" w14:textId="5C299A31" w:rsidR="00600535" w:rsidRPr="002F673E" w:rsidRDefault="00600535" w:rsidP="002F673E">
      <w:pPr>
        <w:pStyle w:val="CETHeading1"/>
        <w:numPr>
          <w:ilvl w:val="0"/>
          <w:numId w:val="0"/>
        </w:numPr>
        <w:jc w:val="both"/>
        <w:rPr>
          <w:rFonts w:cs="Arial"/>
          <w:sz w:val="18"/>
          <w:szCs w:val="18"/>
        </w:rPr>
      </w:pPr>
      <w:r w:rsidRPr="002F673E">
        <w:rPr>
          <w:rFonts w:cs="Arial"/>
          <w:sz w:val="18"/>
          <w:szCs w:val="18"/>
        </w:rPr>
        <w:t>Conclusions</w:t>
      </w:r>
    </w:p>
    <w:p w14:paraId="34A04468" w14:textId="1A9F0158" w:rsidR="002F673E" w:rsidRPr="002F673E" w:rsidRDefault="002F673E" w:rsidP="002F673E">
      <w:pPr>
        <w:pStyle w:val="CETBodytext"/>
      </w:pPr>
      <w:r w:rsidRPr="002F673E">
        <w:t xml:space="preserve">Calculations show that nanoparticles synthesized from plant extract increase the percentage of lead adsorption by up to 99.8% in agricultural soil contaminated with this heavy metal. This result was obtained at a pH of 4 and temperatures ranging from 15 to 45°C. pH is determined to be a fundamental and significant parameter in the lead adsorption process in soils. Furthermore, it was developed that the special characteristics of iron </w:t>
      </w:r>
      <w:proofErr w:type="spellStart"/>
      <w:r w:rsidRPr="002F673E">
        <w:t>bionanoparticles</w:t>
      </w:r>
      <w:proofErr w:type="spellEnd"/>
      <w:r w:rsidRPr="002F673E">
        <w:t xml:space="preserve">, which present organic functional groups, promote greater lead adsorption efficiency. Therefore, from an environmental perspective, </w:t>
      </w:r>
      <w:proofErr w:type="spellStart"/>
      <w:r w:rsidRPr="002F673E">
        <w:t>bionanoparticles</w:t>
      </w:r>
      <w:proofErr w:type="spellEnd"/>
      <w:r w:rsidRPr="002F673E">
        <w:t xml:space="preserve"> stand out for their low residual toxicity and ecological compatibility, unlike other chemical polluting methods. However, further research is required to determine whether they significantly alter some soil properties such as pH, as well as whether they promote plant growth. It was primarily determined that their use immobilizes metals in the soil matrix, limiting the side effects on ecosystems.</w:t>
      </w:r>
    </w:p>
    <w:p w14:paraId="459D05E6" w14:textId="2BC8F599" w:rsidR="00600535" w:rsidRPr="005120ED" w:rsidRDefault="00600535" w:rsidP="00D228E9">
      <w:pPr>
        <w:pStyle w:val="CETAcknowledgementstitle"/>
        <w:spacing w:line="240" w:lineRule="auto"/>
        <w:jc w:val="both"/>
        <w:rPr>
          <w:rFonts w:cs="Arial"/>
          <w:szCs w:val="18"/>
          <w:lang w:val="en-US"/>
        </w:rPr>
      </w:pPr>
      <w:r w:rsidRPr="005120ED">
        <w:rPr>
          <w:rFonts w:cs="Arial"/>
          <w:szCs w:val="18"/>
          <w:lang w:val="en-US"/>
        </w:rPr>
        <w:t>Acknowledgments</w:t>
      </w:r>
    </w:p>
    <w:p w14:paraId="33F8138F" w14:textId="32871DB8" w:rsidR="00600535" w:rsidRPr="00D228E9" w:rsidRDefault="00DE572A" w:rsidP="00D228E9">
      <w:pPr>
        <w:pStyle w:val="CETBodytext"/>
        <w:spacing w:line="240" w:lineRule="auto"/>
        <w:rPr>
          <w:rFonts w:cs="Arial"/>
          <w:szCs w:val="18"/>
          <w:lang w:val="en-GB"/>
        </w:rPr>
      </w:pPr>
      <w:r w:rsidRPr="00D228E9">
        <w:rPr>
          <w:rFonts w:cs="Arial"/>
          <w:szCs w:val="18"/>
          <w:lang w:val="en-GB"/>
        </w:rPr>
        <w:t>We express our gratitude to the University of Juliaca for the facilities provided for the use of laboratory equipment</w:t>
      </w:r>
      <w:r w:rsidR="00A06CB8" w:rsidRPr="00D228E9">
        <w:rPr>
          <w:rFonts w:cs="Arial"/>
          <w:szCs w:val="18"/>
          <w:lang w:val="en-GB"/>
        </w:rPr>
        <w:t>.</w:t>
      </w:r>
    </w:p>
    <w:p w14:paraId="4F1327F8" w14:textId="77777777" w:rsidR="00600535" w:rsidRPr="00D228E9" w:rsidRDefault="00600535" w:rsidP="00D228E9">
      <w:pPr>
        <w:pStyle w:val="CETReference"/>
        <w:rPr>
          <w:rFonts w:cs="Arial"/>
          <w:szCs w:val="18"/>
        </w:rPr>
      </w:pPr>
      <w:bookmarkStart w:id="2" w:name="_Hlk203819889"/>
      <w:r w:rsidRPr="00D228E9">
        <w:rPr>
          <w:rFonts w:cs="Arial"/>
          <w:szCs w:val="18"/>
        </w:rPr>
        <w:t>References</w:t>
      </w:r>
    </w:p>
    <w:p w14:paraId="30471BED" w14:textId="359C67FC" w:rsidR="0052173B" w:rsidRPr="00D228E9" w:rsidRDefault="00802780" w:rsidP="00D228E9">
      <w:pPr>
        <w:pStyle w:val="CETReferencetext"/>
        <w:spacing w:line="240" w:lineRule="auto"/>
        <w:rPr>
          <w:rStyle w:val="Hipervnculo"/>
          <w:rFonts w:cs="Arial"/>
          <w:szCs w:val="18"/>
          <w:u w:val="none"/>
        </w:rPr>
      </w:pPr>
      <w:r w:rsidRPr="00D228E9">
        <w:rPr>
          <w:rFonts w:cs="Arial"/>
          <w:szCs w:val="18"/>
        </w:rPr>
        <w:t>Al-</w:t>
      </w:r>
      <w:proofErr w:type="spellStart"/>
      <w:r w:rsidRPr="00D228E9">
        <w:rPr>
          <w:rFonts w:cs="Arial"/>
          <w:szCs w:val="18"/>
        </w:rPr>
        <w:t>Senani</w:t>
      </w:r>
      <w:proofErr w:type="spellEnd"/>
      <w:r w:rsidRPr="00D228E9">
        <w:rPr>
          <w:rFonts w:cs="Arial"/>
          <w:szCs w:val="18"/>
        </w:rPr>
        <w:t xml:space="preserve"> G. M.,</w:t>
      </w:r>
      <w:r w:rsidR="00813B21" w:rsidRPr="00D228E9">
        <w:rPr>
          <w:rFonts w:cs="Arial"/>
          <w:szCs w:val="18"/>
        </w:rPr>
        <w:t xml:space="preserve"> and</w:t>
      </w:r>
      <w:r w:rsidRPr="00D228E9">
        <w:rPr>
          <w:rFonts w:cs="Arial"/>
          <w:szCs w:val="18"/>
        </w:rPr>
        <w:t xml:space="preserve"> Al-Fawzan F. F.</w:t>
      </w:r>
      <w:r w:rsidR="00813B21" w:rsidRPr="00D228E9">
        <w:rPr>
          <w:rFonts w:cs="Arial"/>
          <w:szCs w:val="18"/>
        </w:rPr>
        <w:t xml:space="preserve">, </w:t>
      </w:r>
      <w:r w:rsidRPr="00D228E9">
        <w:rPr>
          <w:rFonts w:cs="Arial"/>
          <w:szCs w:val="18"/>
        </w:rPr>
        <w:t>2018</w:t>
      </w:r>
      <w:r w:rsidR="00813B21" w:rsidRPr="00D228E9">
        <w:rPr>
          <w:rFonts w:cs="Arial"/>
          <w:szCs w:val="18"/>
        </w:rPr>
        <w:t xml:space="preserve">, </w:t>
      </w:r>
      <w:r w:rsidRPr="00D228E9">
        <w:rPr>
          <w:rFonts w:cs="Arial"/>
          <w:szCs w:val="18"/>
        </w:rPr>
        <w:t>Adsorption study of heavy metal ions from aqueous solution by nanoparticle of wild herbs</w:t>
      </w:r>
      <w:r w:rsidR="00813B21" w:rsidRPr="00D228E9">
        <w:rPr>
          <w:rFonts w:cs="Arial"/>
          <w:szCs w:val="18"/>
        </w:rPr>
        <w:t xml:space="preserve">, </w:t>
      </w:r>
      <w:r w:rsidRPr="00D228E9">
        <w:rPr>
          <w:rFonts w:cs="Arial"/>
          <w:szCs w:val="18"/>
        </w:rPr>
        <w:t xml:space="preserve">Egyptian Journal of Aquatic Research, 44(3), 187–194. </w:t>
      </w:r>
      <w:r w:rsidR="00813B21" w:rsidRPr="00D228E9">
        <w:rPr>
          <w:rFonts w:cs="Arial"/>
          <w:szCs w:val="18"/>
        </w:rPr>
        <w:t>&lt;</w:t>
      </w:r>
      <w:r w:rsidRPr="00D228E9">
        <w:rPr>
          <w:rFonts w:cs="Arial"/>
          <w:szCs w:val="18"/>
        </w:rPr>
        <w:t>doi.org/10.1016/j.ejar.2018.07.006</w:t>
      </w:r>
      <w:r w:rsidR="00813B21" w:rsidRPr="00D228E9">
        <w:rPr>
          <w:rStyle w:val="Hipervnculo"/>
          <w:rFonts w:cs="Arial"/>
          <w:szCs w:val="18"/>
          <w:u w:val="none"/>
        </w:rPr>
        <w:t>&gt;</w:t>
      </w:r>
    </w:p>
    <w:p w14:paraId="07F7F08C" w14:textId="350AEF9D" w:rsidR="00355ECE" w:rsidRPr="00D228E9" w:rsidRDefault="0052173B" w:rsidP="00D228E9">
      <w:pPr>
        <w:pStyle w:val="CETReferencetext"/>
        <w:spacing w:line="240" w:lineRule="auto"/>
        <w:rPr>
          <w:rFonts w:cs="Arial"/>
          <w:szCs w:val="18"/>
        </w:rPr>
      </w:pPr>
      <w:r w:rsidRPr="00D228E9">
        <w:rPr>
          <w:rStyle w:val="Hipervnculo"/>
          <w:rFonts w:cs="Arial"/>
          <w:color w:val="auto"/>
          <w:szCs w:val="18"/>
          <w:u w:val="none"/>
        </w:rPr>
        <w:t xml:space="preserve">Andrade-Zavaleta </w:t>
      </w:r>
      <w:r w:rsidRPr="00D228E9">
        <w:rPr>
          <w:rStyle w:val="Hipervnculo"/>
          <w:rFonts w:cs="Arial"/>
          <w:color w:val="000000" w:themeColor="text1"/>
          <w:szCs w:val="18"/>
          <w:u w:val="none"/>
        </w:rPr>
        <w:t xml:space="preserve">K., Chacon-Laiza Y., Asmat-Campos D., </w:t>
      </w:r>
      <w:r w:rsidR="00813B21" w:rsidRPr="00D228E9">
        <w:rPr>
          <w:rStyle w:val="Hipervnculo"/>
          <w:rFonts w:cs="Arial"/>
          <w:color w:val="000000" w:themeColor="text1"/>
          <w:szCs w:val="18"/>
          <w:u w:val="none"/>
        </w:rPr>
        <w:t>and</w:t>
      </w:r>
      <w:r w:rsidRPr="00D228E9">
        <w:rPr>
          <w:rStyle w:val="Hipervnculo"/>
          <w:rFonts w:cs="Arial"/>
          <w:color w:val="000000" w:themeColor="text1"/>
          <w:szCs w:val="18"/>
          <w:u w:val="none"/>
        </w:rPr>
        <w:t xml:space="preserve"> Raquel-Checca N.</w:t>
      </w:r>
      <w:r w:rsidR="00813B21" w:rsidRPr="00D228E9">
        <w:rPr>
          <w:rStyle w:val="Hipervnculo"/>
          <w:rFonts w:cs="Arial"/>
          <w:color w:val="000000" w:themeColor="text1"/>
          <w:szCs w:val="18"/>
          <w:u w:val="none"/>
        </w:rPr>
        <w:t xml:space="preserve">, </w:t>
      </w:r>
      <w:r w:rsidRPr="00D228E9">
        <w:rPr>
          <w:rStyle w:val="Hipervnculo"/>
          <w:rFonts w:cs="Arial"/>
          <w:color w:val="000000" w:themeColor="text1"/>
          <w:szCs w:val="18"/>
          <w:u w:val="none"/>
        </w:rPr>
        <w:t>2022</w:t>
      </w:r>
      <w:r w:rsidR="00813B21" w:rsidRPr="00D228E9">
        <w:rPr>
          <w:rStyle w:val="Hipervnculo"/>
          <w:rFonts w:cs="Arial"/>
          <w:color w:val="000000" w:themeColor="text1"/>
          <w:szCs w:val="18"/>
          <w:u w:val="none"/>
        </w:rPr>
        <w:t xml:space="preserve">, </w:t>
      </w:r>
      <w:r w:rsidRPr="00D228E9">
        <w:rPr>
          <w:rStyle w:val="Hipervnculo"/>
          <w:rFonts w:cs="Arial"/>
          <w:color w:val="000000" w:themeColor="text1"/>
          <w:szCs w:val="18"/>
          <w:u w:val="none"/>
        </w:rPr>
        <w:t>Green Synthesis of Superparamagnetic Iron Oxide Nanoparticles with Eucalyptus globulus Extract and Their Application in the Removal of Heavy Metals from Agricultural Soil</w:t>
      </w:r>
      <w:r w:rsidR="00813B21" w:rsidRPr="00D228E9">
        <w:rPr>
          <w:rStyle w:val="Hipervnculo"/>
          <w:rFonts w:cs="Arial"/>
          <w:color w:val="000000" w:themeColor="text1"/>
          <w:szCs w:val="18"/>
          <w:u w:val="none"/>
        </w:rPr>
        <w:t xml:space="preserve">, </w:t>
      </w:r>
      <w:r w:rsidRPr="00D228E9">
        <w:rPr>
          <w:rStyle w:val="Hipervnculo"/>
          <w:rFonts w:cs="Arial"/>
          <w:color w:val="000000" w:themeColor="text1"/>
          <w:szCs w:val="18"/>
          <w:u w:val="none"/>
        </w:rPr>
        <w:t xml:space="preserve">Molecules, 27(4), 1–25. </w:t>
      </w:r>
      <w:r w:rsidR="00813B21" w:rsidRPr="00D228E9">
        <w:rPr>
          <w:rStyle w:val="Hipervnculo"/>
          <w:rFonts w:cs="Arial"/>
          <w:color w:val="000000" w:themeColor="text1"/>
          <w:szCs w:val="18"/>
          <w:u w:val="none"/>
        </w:rPr>
        <w:t>&lt;doi.org/10.3390/molecules27041367&gt;</w:t>
      </w:r>
    </w:p>
    <w:p w14:paraId="520B71AD" w14:textId="6D797C26" w:rsidR="00355ECE" w:rsidRPr="00D228E9" w:rsidRDefault="00355ECE" w:rsidP="00D228E9">
      <w:pPr>
        <w:pStyle w:val="CETReferencetext"/>
        <w:spacing w:line="240" w:lineRule="auto"/>
        <w:rPr>
          <w:rFonts w:cs="Arial"/>
          <w:szCs w:val="18"/>
        </w:rPr>
      </w:pPr>
      <w:r w:rsidRPr="00D228E9">
        <w:rPr>
          <w:rFonts w:cs="Arial"/>
          <w:szCs w:val="18"/>
        </w:rPr>
        <w:t>Arancibia-Miranda N., Baltazar S. E., García A., Romero A. H., Rubio M. A.</w:t>
      </w:r>
      <w:r w:rsidR="00813B21" w:rsidRPr="00D228E9">
        <w:rPr>
          <w:rFonts w:cs="Arial"/>
          <w:szCs w:val="18"/>
        </w:rPr>
        <w:t xml:space="preserve"> and</w:t>
      </w:r>
      <w:r w:rsidRPr="00D228E9">
        <w:rPr>
          <w:rFonts w:cs="Arial"/>
          <w:szCs w:val="18"/>
        </w:rPr>
        <w:t xml:space="preserve"> </w:t>
      </w:r>
      <w:proofErr w:type="spellStart"/>
      <w:r w:rsidRPr="00D228E9">
        <w:rPr>
          <w:rFonts w:cs="Arial"/>
          <w:szCs w:val="18"/>
        </w:rPr>
        <w:t>Altbir</w:t>
      </w:r>
      <w:proofErr w:type="spellEnd"/>
      <w:r w:rsidRPr="00D228E9">
        <w:rPr>
          <w:rFonts w:cs="Arial"/>
          <w:szCs w:val="18"/>
        </w:rPr>
        <w:t xml:space="preserve"> D.</w:t>
      </w:r>
      <w:r w:rsidR="00813B21" w:rsidRPr="00D228E9">
        <w:rPr>
          <w:rFonts w:cs="Arial"/>
          <w:szCs w:val="18"/>
        </w:rPr>
        <w:t xml:space="preserve">, </w:t>
      </w:r>
      <w:r w:rsidRPr="00D228E9">
        <w:rPr>
          <w:rFonts w:cs="Arial"/>
          <w:szCs w:val="18"/>
        </w:rPr>
        <w:t>2014</w:t>
      </w:r>
      <w:r w:rsidR="00813B21" w:rsidRPr="00D228E9">
        <w:rPr>
          <w:rFonts w:cs="Arial"/>
          <w:szCs w:val="18"/>
        </w:rPr>
        <w:t xml:space="preserve">, </w:t>
      </w:r>
      <w:r w:rsidRPr="00D228E9">
        <w:rPr>
          <w:rFonts w:cs="Arial"/>
          <w:szCs w:val="18"/>
        </w:rPr>
        <w:t>Lead removal by nano-scale zero valent iron: Surface analysis and pH effect</w:t>
      </w:r>
      <w:r w:rsidR="00813B21" w:rsidRPr="00D228E9">
        <w:rPr>
          <w:rFonts w:cs="Arial"/>
          <w:szCs w:val="18"/>
        </w:rPr>
        <w:t xml:space="preserve">, </w:t>
      </w:r>
      <w:r w:rsidRPr="00D228E9">
        <w:rPr>
          <w:rFonts w:cs="Arial"/>
          <w:szCs w:val="18"/>
        </w:rPr>
        <w:t xml:space="preserve">Materials Research Bulletin, 59, 341–348. </w:t>
      </w:r>
      <w:r w:rsidR="00813B21" w:rsidRPr="00D228E9">
        <w:rPr>
          <w:rFonts w:cs="Arial"/>
          <w:szCs w:val="18"/>
        </w:rPr>
        <w:t>&lt;doi.org/10.1016/j.materresbull.2014.07.045&gt;</w:t>
      </w:r>
    </w:p>
    <w:p w14:paraId="5C3CE87A" w14:textId="45CC6005" w:rsidR="00A4140F" w:rsidRPr="00D228E9" w:rsidRDefault="00E079D9" w:rsidP="00D228E9">
      <w:pPr>
        <w:pStyle w:val="CETReferencetext"/>
        <w:spacing w:line="240" w:lineRule="auto"/>
        <w:rPr>
          <w:rFonts w:cs="Arial"/>
          <w:szCs w:val="18"/>
        </w:rPr>
      </w:pPr>
      <w:r w:rsidRPr="00D228E9">
        <w:rPr>
          <w:rFonts w:cs="Arial"/>
          <w:szCs w:val="18"/>
        </w:rPr>
        <w:fldChar w:fldCharType="begin"/>
      </w:r>
      <w:r w:rsidRPr="00D228E9">
        <w:rPr>
          <w:rFonts w:cs="Arial"/>
          <w:szCs w:val="18"/>
        </w:rPr>
        <w:instrText xml:space="preserve"> ADDIN ZOTERO_BIBL {"uncited":[],"omitted":[],"custom":[]} CSL_BIBLIOGRAPHY </w:instrText>
      </w:r>
      <w:r w:rsidRPr="00D228E9">
        <w:rPr>
          <w:rFonts w:cs="Arial"/>
          <w:szCs w:val="18"/>
        </w:rPr>
        <w:fldChar w:fldCharType="separate"/>
      </w:r>
      <w:r w:rsidR="00B80249" w:rsidRPr="00D228E9">
        <w:rPr>
          <w:rFonts w:cs="Arial"/>
          <w:szCs w:val="18"/>
        </w:rPr>
        <w:t>Ali S., Naseer S., Rehman M., Wei Z., 2024</w:t>
      </w:r>
      <w:r w:rsidR="00A4140F" w:rsidRPr="00D228E9">
        <w:rPr>
          <w:rFonts w:cs="Arial"/>
          <w:szCs w:val="18"/>
        </w:rPr>
        <w:t>,</w:t>
      </w:r>
      <w:r w:rsidR="00B80249" w:rsidRPr="00D228E9">
        <w:rPr>
          <w:rFonts w:cs="Arial"/>
          <w:szCs w:val="18"/>
        </w:rPr>
        <w:t xml:space="preserve"> Recent trends and sources of lead toxicity: a review of state-of-the-art nano-remediation strategies</w:t>
      </w:r>
      <w:r w:rsidR="00A4140F" w:rsidRPr="00D228E9">
        <w:rPr>
          <w:rFonts w:cs="Arial"/>
          <w:szCs w:val="18"/>
        </w:rPr>
        <w:t>,</w:t>
      </w:r>
      <w:r w:rsidR="00B80249" w:rsidRPr="00D228E9">
        <w:rPr>
          <w:rFonts w:cs="Arial"/>
          <w:szCs w:val="18"/>
        </w:rPr>
        <w:t xml:space="preserve"> Journal of Nanoparticle Research 26</w:t>
      </w:r>
      <w:r w:rsidR="00A4140F" w:rsidRPr="00D228E9">
        <w:rPr>
          <w:rFonts w:cs="Arial"/>
          <w:szCs w:val="18"/>
        </w:rPr>
        <w:t xml:space="preserve">, </w:t>
      </w:r>
    </w:p>
    <w:p w14:paraId="36175CDC" w14:textId="77777777" w:rsidR="00A4140F" w:rsidRPr="00D228E9" w:rsidRDefault="00B80249" w:rsidP="00D228E9">
      <w:pPr>
        <w:pStyle w:val="CETReferencetext"/>
        <w:spacing w:line="240" w:lineRule="auto"/>
        <w:rPr>
          <w:rFonts w:cs="Arial"/>
          <w:szCs w:val="18"/>
        </w:rPr>
      </w:pPr>
      <w:r w:rsidRPr="00D228E9">
        <w:rPr>
          <w:rFonts w:cs="Arial"/>
          <w:szCs w:val="18"/>
        </w:rPr>
        <w:t>Arora D., Arora A., Bala R., Panghal V., Kumar S., 2023</w:t>
      </w:r>
      <w:r w:rsidR="00A4140F" w:rsidRPr="00D228E9">
        <w:rPr>
          <w:rFonts w:cs="Arial"/>
          <w:szCs w:val="18"/>
        </w:rPr>
        <w:t>,</w:t>
      </w:r>
      <w:r w:rsidRPr="00D228E9">
        <w:rPr>
          <w:rFonts w:cs="Arial"/>
          <w:szCs w:val="18"/>
        </w:rPr>
        <w:t xml:space="preserve"> Enhancement in Phytoremediation Efficiency of Tagetus erecta with the Application of Nano-scale Zero Valent Iron (nZVI) for the Restoration of Lead Contaminated Soil: </w:t>
      </w:r>
      <w:r w:rsidR="00A4140F" w:rsidRPr="00D228E9">
        <w:rPr>
          <w:rFonts w:cs="Arial"/>
          <w:szCs w:val="18"/>
        </w:rPr>
        <w:t>An</w:t>
      </w:r>
      <w:r w:rsidRPr="00D228E9">
        <w:rPr>
          <w:rFonts w:cs="Arial"/>
          <w:szCs w:val="18"/>
        </w:rPr>
        <w:t xml:space="preserve"> Approach Toward Sustainability</w:t>
      </w:r>
      <w:r w:rsidR="00A4140F" w:rsidRPr="00D228E9">
        <w:rPr>
          <w:rFonts w:cs="Arial"/>
          <w:szCs w:val="18"/>
        </w:rPr>
        <w:t>,</w:t>
      </w:r>
      <w:r w:rsidRPr="00D228E9">
        <w:rPr>
          <w:rFonts w:cs="Arial"/>
          <w:szCs w:val="18"/>
        </w:rPr>
        <w:t xml:space="preserve"> Water, Air, and Soil Pollution</w:t>
      </w:r>
      <w:r w:rsidR="00A4140F" w:rsidRPr="00D228E9">
        <w:rPr>
          <w:rFonts w:cs="Arial"/>
          <w:szCs w:val="18"/>
        </w:rPr>
        <w:t>,</w:t>
      </w:r>
      <w:r w:rsidRPr="00D228E9">
        <w:rPr>
          <w:rFonts w:cs="Arial"/>
          <w:szCs w:val="18"/>
        </w:rPr>
        <w:t xml:space="preserve"> 234. </w:t>
      </w:r>
      <w:r w:rsidR="00A4140F" w:rsidRPr="00D228E9">
        <w:rPr>
          <w:rFonts w:cs="Arial"/>
          <w:szCs w:val="18"/>
        </w:rPr>
        <w:t>&lt;</w:t>
      </w:r>
      <w:r w:rsidRPr="00D228E9">
        <w:rPr>
          <w:rFonts w:cs="Arial"/>
          <w:szCs w:val="18"/>
        </w:rPr>
        <w:t>doi.org/10.1007/s11270-023-06540-0</w:t>
      </w:r>
      <w:r w:rsidR="00A4140F" w:rsidRPr="00D228E9">
        <w:rPr>
          <w:rFonts w:cs="Arial"/>
          <w:szCs w:val="18"/>
        </w:rPr>
        <w:t>&gt;</w:t>
      </w:r>
    </w:p>
    <w:p w14:paraId="0E3580D7" w14:textId="77777777" w:rsidR="00A4140F" w:rsidRPr="00D228E9" w:rsidRDefault="00B80249" w:rsidP="00D228E9">
      <w:pPr>
        <w:pStyle w:val="CETReferencetext"/>
        <w:spacing w:line="240" w:lineRule="auto"/>
        <w:rPr>
          <w:rFonts w:cs="Arial"/>
          <w:szCs w:val="18"/>
        </w:rPr>
      </w:pPr>
      <w:r w:rsidRPr="00D228E9">
        <w:rPr>
          <w:rFonts w:cs="Arial"/>
          <w:szCs w:val="18"/>
        </w:rPr>
        <w:lastRenderedPageBreak/>
        <w:t>Castañeda-Olivera C.A., Guadalupe Sandoval G.K., Cabello Torres R.J., Acosta Suasnabar E.H., Lzarzaburu Aguinaga D.A., Merma, A.G., 2023</w:t>
      </w:r>
      <w:r w:rsidR="00A4140F" w:rsidRPr="00D228E9">
        <w:rPr>
          <w:rFonts w:cs="Arial"/>
          <w:szCs w:val="18"/>
        </w:rPr>
        <w:t>,</w:t>
      </w:r>
      <w:r w:rsidRPr="00D228E9">
        <w:rPr>
          <w:rFonts w:cs="Arial"/>
          <w:szCs w:val="18"/>
        </w:rPr>
        <w:t xml:space="preserve"> Systematic Review and Meta-analysis on the Use of Metal Nanoparticles in the Remediation of As and Pb Contaminated Soils</w:t>
      </w:r>
      <w:r w:rsidR="00A4140F" w:rsidRPr="00D228E9">
        <w:rPr>
          <w:rFonts w:cs="Arial"/>
          <w:szCs w:val="18"/>
        </w:rPr>
        <w:t>,</w:t>
      </w:r>
      <w:r w:rsidRPr="00D228E9">
        <w:rPr>
          <w:rFonts w:cs="Arial"/>
          <w:szCs w:val="18"/>
        </w:rPr>
        <w:t xml:space="preserve"> Chemical Engineering Transactions 101, 91–96</w:t>
      </w:r>
      <w:r w:rsidR="00A4140F" w:rsidRPr="00D228E9">
        <w:rPr>
          <w:rFonts w:cs="Arial"/>
          <w:szCs w:val="18"/>
        </w:rPr>
        <w:t>, &lt;</w:t>
      </w:r>
      <w:r w:rsidRPr="00D228E9">
        <w:rPr>
          <w:rFonts w:cs="Arial"/>
          <w:szCs w:val="18"/>
        </w:rPr>
        <w:t>doi.org/10.3303/CET23101016</w:t>
      </w:r>
      <w:r w:rsidR="00A4140F" w:rsidRPr="00D228E9">
        <w:rPr>
          <w:rFonts w:cs="Arial"/>
          <w:szCs w:val="18"/>
        </w:rPr>
        <w:t>&gt;</w:t>
      </w:r>
    </w:p>
    <w:p w14:paraId="4B48B4A1" w14:textId="73CE9482" w:rsidR="00A4140F" w:rsidRPr="00D228E9" w:rsidRDefault="00B80249" w:rsidP="00D228E9">
      <w:pPr>
        <w:pStyle w:val="CETReferencetext"/>
        <w:spacing w:line="240" w:lineRule="auto"/>
        <w:rPr>
          <w:rFonts w:cs="Arial"/>
          <w:szCs w:val="18"/>
          <w:lang w:val="es-PE"/>
        </w:rPr>
      </w:pPr>
      <w:r w:rsidRPr="00D228E9">
        <w:rPr>
          <w:rFonts w:cs="Arial"/>
          <w:szCs w:val="18"/>
        </w:rPr>
        <w:t>Dhanapal A.R., Thiruvengadam M., Vairavanathan J., Venkidasam B., Easwaran M., Ghorbanpour M., 2024</w:t>
      </w:r>
      <w:r w:rsidR="00A4140F" w:rsidRPr="00D228E9">
        <w:rPr>
          <w:rFonts w:cs="Arial"/>
          <w:szCs w:val="18"/>
        </w:rPr>
        <w:t>,</w:t>
      </w:r>
      <w:r w:rsidRPr="00D228E9">
        <w:rPr>
          <w:rFonts w:cs="Arial"/>
          <w:szCs w:val="18"/>
        </w:rPr>
        <w:t xml:space="preserve"> Nanotechnology Approaches for the Remediation of Agricultural Polluted Soils</w:t>
      </w:r>
      <w:r w:rsidR="00A4140F" w:rsidRPr="00D228E9">
        <w:rPr>
          <w:rFonts w:cs="Arial"/>
          <w:szCs w:val="18"/>
        </w:rPr>
        <w:t>,</w:t>
      </w:r>
      <w:r w:rsidRPr="00D228E9">
        <w:rPr>
          <w:rFonts w:cs="Arial"/>
          <w:szCs w:val="18"/>
        </w:rPr>
        <w:t xml:space="preserve"> ACS Omega 9, 13522–13533. </w:t>
      </w:r>
      <w:r w:rsidR="00EF6731" w:rsidRPr="00D228E9">
        <w:rPr>
          <w:rFonts w:cs="Arial"/>
          <w:szCs w:val="18"/>
          <w:lang w:val="es-PE"/>
        </w:rPr>
        <w:t>&lt;</w:t>
      </w:r>
      <w:r w:rsidRPr="00D228E9">
        <w:rPr>
          <w:rFonts w:cs="Arial"/>
          <w:szCs w:val="18"/>
          <w:lang w:val="es-PE"/>
        </w:rPr>
        <w:t>doi.org/10.1021/acsomega.3c09776</w:t>
      </w:r>
      <w:r w:rsidR="00EF6731" w:rsidRPr="00D228E9">
        <w:rPr>
          <w:rFonts w:cs="Arial"/>
          <w:szCs w:val="18"/>
          <w:lang w:val="es-PE"/>
        </w:rPr>
        <w:t>&gt;</w:t>
      </w:r>
    </w:p>
    <w:p w14:paraId="232021A1" w14:textId="77777777" w:rsidR="00596D6C" w:rsidRPr="00D228E9" w:rsidRDefault="00813B21" w:rsidP="00D228E9">
      <w:pPr>
        <w:pStyle w:val="CETReferencetext"/>
        <w:spacing w:line="240" w:lineRule="auto"/>
        <w:rPr>
          <w:rFonts w:cs="Arial"/>
          <w:szCs w:val="18"/>
          <w:lang w:val="es-PE"/>
        </w:rPr>
      </w:pPr>
      <w:r w:rsidRPr="00D228E9">
        <w:rPr>
          <w:rFonts w:cs="Arial"/>
          <w:szCs w:val="18"/>
          <w:lang w:val="es-PE"/>
        </w:rPr>
        <w:t>Eduardo Román G.</w:t>
      </w:r>
      <w:r w:rsidR="002E1FA1" w:rsidRPr="00D228E9">
        <w:rPr>
          <w:rFonts w:cs="Arial"/>
          <w:szCs w:val="18"/>
          <w:lang w:val="es-PE"/>
        </w:rPr>
        <w:t>,</w:t>
      </w:r>
      <w:r w:rsidRPr="00D228E9">
        <w:rPr>
          <w:rFonts w:cs="Arial"/>
          <w:szCs w:val="18"/>
          <w:lang w:val="es-PE"/>
        </w:rPr>
        <w:t xml:space="preserve"> 2021</w:t>
      </w:r>
      <w:r w:rsidR="00596D6C" w:rsidRPr="00D228E9">
        <w:rPr>
          <w:rFonts w:cs="Arial"/>
          <w:szCs w:val="18"/>
          <w:lang w:val="es-PE"/>
        </w:rPr>
        <w:t>,</w:t>
      </w:r>
      <w:r w:rsidRPr="00D228E9">
        <w:rPr>
          <w:rFonts w:cs="Arial"/>
          <w:szCs w:val="18"/>
          <w:lang w:val="es-PE"/>
        </w:rPr>
        <w:t xml:space="preserve"> Estudio computacional de la estructura y reactividad de materiales porosos y su interacción con moléculas de interés farmacéutico.</w:t>
      </w:r>
    </w:p>
    <w:p w14:paraId="2C82B75B" w14:textId="77777777" w:rsidR="00046C1E" w:rsidRPr="00D228E9" w:rsidRDefault="0052173B" w:rsidP="00D228E9">
      <w:pPr>
        <w:pStyle w:val="CETReferencetext"/>
        <w:spacing w:line="240" w:lineRule="auto"/>
        <w:rPr>
          <w:rFonts w:cs="Arial"/>
          <w:szCs w:val="18"/>
        </w:rPr>
      </w:pPr>
      <w:r w:rsidRPr="00D228E9">
        <w:rPr>
          <w:rFonts w:cs="Arial"/>
          <w:szCs w:val="18"/>
        </w:rPr>
        <w:t xml:space="preserve">Essien E. A., Kavaz D., </w:t>
      </w:r>
      <w:r w:rsidR="00596D6C" w:rsidRPr="00D228E9">
        <w:rPr>
          <w:rFonts w:cs="Arial"/>
          <w:szCs w:val="18"/>
        </w:rPr>
        <w:t>and</w:t>
      </w:r>
      <w:r w:rsidRPr="00D228E9">
        <w:rPr>
          <w:rFonts w:cs="Arial"/>
          <w:szCs w:val="18"/>
        </w:rPr>
        <w:t xml:space="preserve"> Solomon M. M.</w:t>
      </w:r>
      <w:r w:rsidR="00596D6C" w:rsidRPr="00D228E9">
        <w:rPr>
          <w:rFonts w:cs="Arial"/>
          <w:szCs w:val="18"/>
        </w:rPr>
        <w:t xml:space="preserve">, </w:t>
      </w:r>
      <w:r w:rsidRPr="00D228E9">
        <w:rPr>
          <w:rFonts w:cs="Arial"/>
          <w:szCs w:val="18"/>
        </w:rPr>
        <w:t>2018</w:t>
      </w:r>
      <w:r w:rsidR="00596D6C" w:rsidRPr="00D228E9">
        <w:rPr>
          <w:rFonts w:cs="Arial"/>
          <w:szCs w:val="18"/>
        </w:rPr>
        <w:t>,</w:t>
      </w:r>
      <w:r w:rsidRPr="00D228E9">
        <w:rPr>
          <w:rFonts w:cs="Arial"/>
          <w:szCs w:val="18"/>
        </w:rPr>
        <w:t xml:space="preserve"> Olive leaves extract mediated zero-valent iron nanoparticles: synthesis, characterization, and assessment as adsorbent for nickel (II) ions in aqueous medium</w:t>
      </w:r>
      <w:r w:rsidR="00596D6C" w:rsidRPr="00D228E9">
        <w:rPr>
          <w:rFonts w:cs="Arial"/>
          <w:szCs w:val="18"/>
        </w:rPr>
        <w:t>,</w:t>
      </w:r>
      <w:r w:rsidRPr="00D228E9">
        <w:rPr>
          <w:rFonts w:cs="Arial"/>
          <w:szCs w:val="18"/>
        </w:rPr>
        <w:t xml:space="preserve"> Chemical Engineering Communications, 205(11), 1568–1582</w:t>
      </w:r>
      <w:r w:rsidR="00596D6C" w:rsidRPr="00D228E9">
        <w:rPr>
          <w:rFonts w:cs="Arial"/>
          <w:szCs w:val="18"/>
        </w:rPr>
        <w:t>, &lt;</w:t>
      </w:r>
      <w:r w:rsidRPr="00D228E9">
        <w:rPr>
          <w:rFonts w:cs="Arial"/>
          <w:szCs w:val="18"/>
        </w:rPr>
        <w:t>doi.org/10.1080/00986445.2018.1461089</w:t>
      </w:r>
      <w:r w:rsidR="00596D6C" w:rsidRPr="00D228E9">
        <w:rPr>
          <w:rFonts w:cs="Arial"/>
          <w:szCs w:val="18"/>
        </w:rPr>
        <w:t>&gt;</w:t>
      </w:r>
    </w:p>
    <w:p w14:paraId="43A27AFA" w14:textId="77777777" w:rsidR="00046C1E" w:rsidRPr="00D228E9" w:rsidRDefault="00813B21" w:rsidP="00D228E9">
      <w:pPr>
        <w:pStyle w:val="CETReferencetext"/>
        <w:spacing w:line="240" w:lineRule="auto"/>
        <w:rPr>
          <w:rFonts w:cs="Arial"/>
          <w:szCs w:val="18"/>
        </w:rPr>
      </w:pPr>
      <w:r w:rsidRPr="00D228E9">
        <w:rPr>
          <w:rFonts w:cs="Arial"/>
          <w:szCs w:val="18"/>
        </w:rPr>
        <w:t>Fakhri A.</w:t>
      </w:r>
      <w:r w:rsidR="00596D6C" w:rsidRPr="00D228E9">
        <w:rPr>
          <w:rFonts w:cs="Arial"/>
          <w:szCs w:val="18"/>
        </w:rPr>
        <w:t xml:space="preserve">, </w:t>
      </w:r>
      <w:r w:rsidRPr="00D228E9">
        <w:rPr>
          <w:rFonts w:cs="Arial"/>
          <w:szCs w:val="18"/>
        </w:rPr>
        <w:t>2015</w:t>
      </w:r>
      <w:r w:rsidR="00596D6C" w:rsidRPr="00D228E9">
        <w:rPr>
          <w:rFonts w:cs="Arial"/>
          <w:szCs w:val="18"/>
        </w:rPr>
        <w:t>,</w:t>
      </w:r>
      <w:r w:rsidRPr="00D228E9">
        <w:rPr>
          <w:rFonts w:cs="Arial"/>
          <w:szCs w:val="18"/>
        </w:rPr>
        <w:t xml:space="preserve"> Investigation of mercury (II) adsorption from aqueous solution onto copper oxide nanoparticles: Optimization using response surface methodology</w:t>
      </w:r>
      <w:r w:rsidR="00596D6C" w:rsidRPr="00D228E9">
        <w:rPr>
          <w:rFonts w:cs="Arial"/>
          <w:szCs w:val="18"/>
        </w:rPr>
        <w:t xml:space="preserve">, </w:t>
      </w:r>
      <w:r w:rsidRPr="00D228E9">
        <w:rPr>
          <w:rFonts w:cs="Arial"/>
          <w:szCs w:val="18"/>
        </w:rPr>
        <w:t>Process Safety and Environmental Protection, 93(Ii), 1–8</w:t>
      </w:r>
      <w:r w:rsidR="00596D6C" w:rsidRPr="00D228E9">
        <w:rPr>
          <w:rFonts w:cs="Arial"/>
          <w:szCs w:val="18"/>
        </w:rPr>
        <w:t>, &lt;</w:t>
      </w:r>
      <w:r w:rsidRPr="00D228E9">
        <w:rPr>
          <w:rFonts w:cs="Arial"/>
          <w:szCs w:val="18"/>
        </w:rPr>
        <w:t>doi.org/10.1016/j.psep.2014.06.003</w:t>
      </w:r>
      <w:r w:rsidR="00046C1E" w:rsidRPr="00D228E9">
        <w:rPr>
          <w:rFonts w:cs="Arial"/>
          <w:szCs w:val="18"/>
        </w:rPr>
        <w:t>&gt;</w:t>
      </w:r>
    </w:p>
    <w:p w14:paraId="15017300" w14:textId="77777777" w:rsidR="001D7A3C" w:rsidRPr="00D228E9" w:rsidRDefault="00B80249" w:rsidP="00D228E9">
      <w:pPr>
        <w:pStyle w:val="CETReferencetext"/>
        <w:spacing w:line="240" w:lineRule="auto"/>
        <w:rPr>
          <w:rFonts w:cs="Arial"/>
          <w:szCs w:val="18"/>
        </w:rPr>
      </w:pPr>
      <w:r w:rsidRPr="00D228E9">
        <w:rPr>
          <w:rFonts w:cs="Arial"/>
          <w:szCs w:val="18"/>
        </w:rPr>
        <w:t>Gong X., Huang D., Liu Y., Peng Z., Zeng G., Xu P., Cheng M., Wang R., Wan J., 2018</w:t>
      </w:r>
      <w:r w:rsidR="00F203BB" w:rsidRPr="00D228E9">
        <w:rPr>
          <w:rFonts w:cs="Arial"/>
          <w:szCs w:val="18"/>
        </w:rPr>
        <w:t>,</w:t>
      </w:r>
      <w:r w:rsidRPr="00D228E9">
        <w:rPr>
          <w:rFonts w:cs="Arial"/>
          <w:szCs w:val="18"/>
        </w:rPr>
        <w:t xml:space="preserve"> Remediation of contaminated soils by biotechnology with nanomaterials: bio-behavior, applications, and perspectives</w:t>
      </w:r>
      <w:r w:rsidR="00F203BB" w:rsidRPr="00D228E9">
        <w:rPr>
          <w:rFonts w:cs="Arial"/>
          <w:szCs w:val="18"/>
        </w:rPr>
        <w:t>,</w:t>
      </w:r>
      <w:r w:rsidRPr="00D228E9">
        <w:rPr>
          <w:rFonts w:cs="Arial"/>
          <w:szCs w:val="18"/>
        </w:rPr>
        <w:t xml:space="preserve"> Crit Rev Biotechnol 38, 455–468</w:t>
      </w:r>
      <w:r w:rsidR="00F203BB" w:rsidRPr="00D228E9">
        <w:rPr>
          <w:rFonts w:cs="Arial"/>
          <w:szCs w:val="18"/>
        </w:rPr>
        <w:t>, &lt;</w:t>
      </w:r>
      <w:r w:rsidRPr="00D228E9">
        <w:rPr>
          <w:rFonts w:cs="Arial"/>
          <w:szCs w:val="18"/>
        </w:rPr>
        <w:t>doi.org/10.1080/07388551.2017.1368446</w:t>
      </w:r>
      <w:r w:rsidR="00F203BB" w:rsidRPr="00D228E9">
        <w:rPr>
          <w:rFonts w:cs="Arial"/>
          <w:szCs w:val="18"/>
        </w:rPr>
        <w:t>&gt;</w:t>
      </w:r>
    </w:p>
    <w:p w14:paraId="62904495" w14:textId="77777777" w:rsidR="0076075E" w:rsidRPr="00D228E9" w:rsidRDefault="00B80249" w:rsidP="00D228E9">
      <w:pPr>
        <w:pStyle w:val="CETReferencetext"/>
        <w:spacing w:line="240" w:lineRule="auto"/>
        <w:rPr>
          <w:rFonts w:cs="Arial"/>
          <w:szCs w:val="18"/>
        </w:rPr>
      </w:pPr>
      <w:r w:rsidRPr="00D228E9">
        <w:rPr>
          <w:rFonts w:cs="Arial"/>
          <w:szCs w:val="18"/>
        </w:rPr>
        <w:t>Lago-Vila M., Rodríguez-Seijo A., Vega F.A., Arenas-Lago D., 2019</w:t>
      </w:r>
      <w:r w:rsidR="0076075E" w:rsidRPr="00D228E9">
        <w:rPr>
          <w:rFonts w:cs="Arial"/>
          <w:szCs w:val="18"/>
        </w:rPr>
        <w:t>,</w:t>
      </w:r>
      <w:r w:rsidRPr="00D228E9">
        <w:rPr>
          <w:rFonts w:cs="Arial"/>
          <w:szCs w:val="18"/>
        </w:rPr>
        <w:t xml:space="preserve"> Phytotoxicity assays with hydroxyapatite nanoparticles lead the way to recover firing range soils</w:t>
      </w:r>
      <w:r w:rsidR="0076075E" w:rsidRPr="00D228E9">
        <w:rPr>
          <w:rFonts w:cs="Arial"/>
          <w:szCs w:val="18"/>
        </w:rPr>
        <w:t>,</w:t>
      </w:r>
      <w:r w:rsidRPr="00D228E9">
        <w:rPr>
          <w:rFonts w:cs="Arial"/>
          <w:szCs w:val="18"/>
        </w:rPr>
        <w:t xml:space="preserve"> Science of the Total Environment 690, 1151–1161. </w:t>
      </w:r>
      <w:r w:rsidR="0076075E" w:rsidRPr="00D228E9">
        <w:rPr>
          <w:rFonts w:cs="Arial"/>
          <w:szCs w:val="18"/>
        </w:rPr>
        <w:t>&lt;</w:t>
      </w:r>
      <w:r w:rsidRPr="00D228E9">
        <w:rPr>
          <w:rFonts w:cs="Arial"/>
          <w:szCs w:val="18"/>
        </w:rPr>
        <w:t>doi.org/10.1016/j.scitotenv.2019.06.496</w:t>
      </w:r>
      <w:r w:rsidR="0076075E" w:rsidRPr="00D228E9">
        <w:rPr>
          <w:rFonts w:cs="Arial"/>
          <w:szCs w:val="18"/>
        </w:rPr>
        <w:t>&gt;</w:t>
      </w:r>
    </w:p>
    <w:p w14:paraId="7A6911A7" w14:textId="77777777" w:rsidR="0076075E" w:rsidRPr="00D228E9" w:rsidRDefault="00B80249" w:rsidP="00D228E9">
      <w:pPr>
        <w:pStyle w:val="CETReferencetext"/>
        <w:spacing w:line="240" w:lineRule="auto"/>
        <w:rPr>
          <w:rFonts w:cs="Arial"/>
          <w:szCs w:val="18"/>
        </w:rPr>
      </w:pPr>
      <w:r w:rsidRPr="00D228E9">
        <w:rPr>
          <w:rFonts w:cs="Arial"/>
          <w:szCs w:val="18"/>
        </w:rPr>
        <w:t>Maryam H., Rizwan M., Masood N., Waseem M., Ahmed T., Qayyum M.F., Zia-ur-Rehman M., Aziz H., 2024. Mitigating lead (Pb) toxicity in Zea mays (L.) plants using green synthesized iron oxide nanoparticles</w:t>
      </w:r>
      <w:r w:rsidR="0076075E" w:rsidRPr="00D228E9">
        <w:rPr>
          <w:rFonts w:cs="Arial"/>
          <w:szCs w:val="18"/>
        </w:rPr>
        <w:t>,</w:t>
      </w:r>
      <w:r w:rsidRPr="00D228E9">
        <w:rPr>
          <w:rFonts w:cs="Arial"/>
          <w:szCs w:val="18"/>
        </w:rPr>
        <w:t xml:space="preserve"> South African Journal of Botany 175, 657–668</w:t>
      </w:r>
      <w:r w:rsidR="0076075E" w:rsidRPr="00D228E9">
        <w:rPr>
          <w:rFonts w:cs="Arial"/>
          <w:szCs w:val="18"/>
        </w:rPr>
        <w:t>, &lt;</w:t>
      </w:r>
      <w:r w:rsidRPr="00D228E9">
        <w:rPr>
          <w:rFonts w:cs="Arial"/>
          <w:szCs w:val="18"/>
        </w:rPr>
        <w:t>doi.org/10.1016/j.sajb.2024.10.047</w:t>
      </w:r>
      <w:r w:rsidR="0076075E" w:rsidRPr="00D228E9">
        <w:rPr>
          <w:rFonts w:cs="Arial"/>
          <w:szCs w:val="18"/>
        </w:rPr>
        <w:t>&gt;</w:t>
      </w:r>
    </w:p>
    <w:p w14:paraId="106C0B73" w14:textId="1011E7AD" w:rsidR="0076075E" w:rsidRPr="00D228E9" w:rsidRDefault="00B80249" w:rsidP="00D228E9">
      <w:pPr>
        <w:pStyle w:val="CETReferencetext"/>
        <w:spacing w:line="240" w:lineRule="auto"/>
        <w:rPr>
          <w:rFonts w:cs="Arial"/>
          <w:szCs w:val="18"/>
          <w:lang w:val="es-PE"/>
        </w:rPr>
      </w:pPr>
      <w:r w:rsidRPr="00D228E9">
        <w:rPr>
          <w:rFonts w:cs="Arial"/>
          <w:szCs w:val="18"/>
        </w:rPr>
        <w:t xml:space="preserve">Mathur S., Singh, D., Ranjan, R., 2022. Remediation of heavy metal(loid) contaminated soil through green nanotechnology. </w:t>
      </w:r>
      <w:r w:rsidRPr="00D228E9">
        <w:rPr>
          <w:rFonts w:cs="Arial"/>
          <w:szCs w:val="18"/>
          <w:lang w:val="es-PE"/>
        </w:rPr>
        <w:t>Front. Sustain. Food Syst. 6</w:t>
      </w:r>
      <w:r w:rsidR="0076075E" w:rsidRPr="00D228E9">
        <w:rPr>
          <w:rFonts w:cs="Arial"/>
          <w:szCs w:val="18"/>
          <w:lang w:val="es-PE"/>
        </w:rPr>
        <w:t>, &lt;</w:t>
      </w:r>
      <w:r w:rsidRPr="00D228E9">
        <w:rPr>
          <w:rFonts w:cs="Arial"/>
          <w:szCs w:val="18"/>
          <w:lang w:val="es-PE"/>
        </w:rPr>
        <w:t>doi.org/10.3389/fsufs.2022.932424</w:t>
      </w:r>
      <w:r w:rsidR="0076075E" w:rsidRPr="00D228E9">
        <w:rPr>
          <w:rFonts w:cs="Arial"/>
          <w:szCs w:val="18"/>
          <w:lang w:val="es-PE"/>
        </w:rPr>
        <w:t>&gt;</w:t>
      </w:r>
    </w:p>
    <w:p w14:paraId="5B62BB6B" w14:textId="77777777" w:rsidR="0076075E" w:rsidRPr="00D228E9" w:rsidRDefault="00B80249" w:rsidP="00D228E9">
      <w:pPr>
        <w:pStyle w:val="CETReferencetext"/>
        <w:spacing w:line="240" w:lineRule="auto"/>
        <w:rPr>
          <w:rFonts w:cs="Arial"/>
          <w:szCs w:val="18"/>
          <w:lang w:val="es-PE"/>
        </w:rPr>
      </w:pPr>
      <w:r w:rsidRPr="00D228E9">
        <w:rPr>
          <w:rFonts w:cs="Arial"/>
          <w:szCs w:val="18"/>
          <w:lang w:val="es-PE"/>
        </w:rPr>
        <w:t>Medina M, M.E., Galván R, L.E., Reyes G, R.E., 2015</w:t>
      </w:r>
      <w:r w:rsidR="0076075E" w:rsidRPr="00D228E9">
        <w:rPr>
          <w:rFonts w:cs="Arial"/>
          <w:szCs w:val="18"/>
          <w:lang w:val="es-PE"/>
        </w:rPr>
        <w:t>,</w:t>
      </w:r>
      <w:r w:rsidRPr="00D228E9">
        <w:rPr>
          <w:rFonts w:cs="Arial"/>
          <w:szCs w:val="18"/>
          <w:lang w:val="es-PE"/>
        </w:rPr>
        <w:t xml:space="preserve"> Las nanopartículas y el medio ambiente</w:t>
      </w:r>
      <w:r w:rsidR="0076075E" w:rsidRPr="00D228E9">
        <w:rPr>
          <w:rFonts w:cs="Arial"/>
          <w:szCs w:val="18"/>
          <w:lang w:val="es-PE"/>
        </w:rPr>
        <w:t>,</w:t>
      </w:r>
      <w:r w:rsidRPr="00D228E9">
        <w:rPr>
          <w:rFonts w:cs="Arial"/>
          <w:szCs w:val="18"/>
          <w:lang w:val="es-PE"/>
        </w:rPr>
        <w:t xml:space="preserve"> Universidad, Ciencia y Tecnología</w:t>
      </w:r>
      <w:r w:rsidR="0076075E" w:rsidRPr="00D228E9">
        <w:rPr>
          <w:rFonts w:cs="Arial"/>
          <w:szCs w:val="18"/>
          <w:lang w:val="es-PE"/>
        </w:rPr>
        <w:t>,</w:t>
      </w:r>
      <w:r w:rsidRPr="00D228E9">
        <w:rPr>
          <w:rFonts w:cs="Arial"/>
          <w:szCs w:val="18"/>
          <w:lang w:val="es-PE"/>
        </w:rPr>
        <w:t xml:space="preserve"> 19, 49–58.</w:t>
      </w:r>
    </w:p>
    <w:p w14:paraId="102B4E1D" w14:textId="5B3A7FA9" w:rsidR="0076075E" w:rsidRPr="00D228E9" w:rsidRDefault="00B80249" w:rsidP="00D228E9">
      <w:pPr>
        <w:pStyle w:val="CETReferencetext"/>
        <w:spacing w:line="240" w:lineRule="auto"/>
        <w:rPr>
          <w:rFonts w:cs="Arial"/>
          <w:szCs w:val="18"/>
          <w:lang w:val="es-PE"/>
        </w:rPr>
      </w:pPr>
      <w:r w:rsidRPr="00D228E9">
        <w:rPr>
          <w:rFonts w:cs="Arial"/>
          <w:szCs w:val="18"/>
          <w:lang w:val="es-PE"/>
        </w:rPr>
        <w:t>Medina-Pérez G., Fernández-Luqueño F., Medina-Pérez G., Fernández-Luqueño F., 2018. Nanotoxicidad: retos y oportunidades. Mundo nano</w:t>
      </w:r>
      <w:r w:rsidR="0076075E" w:rsidRPr="00D228E9">
        <w:rPr>
          <w:rFonts w:cs="Arial"/>
          <w:szCs w:val="18"/>
          <w:lang w:val="es-PE"/>
        </w:rPr>
        <w:t>,</w:t>
      </w:r>
      <w:r w:rsidRPr="00D228E9">
        <w:rPr>
          <w:rFonts w:cs="Arial"/>
          <w:szCs w:val="18"/>
          <w:lang w:val="es-PE"/>
        </w:rPr>
        <w:t xml:space="preserve"> Revista interdisciplinaria en nanociencias y nanotecnología 11, 7–16</w:t>
      </w:r>
      <w:r w:rsidR="0076075E" w:rsidRPr="00D228E9">
        <w:rPr>
          <w:rFonts w:cs="Arial"/>
          <w:szCs w:val="18"/>
          <w:lang w:val="es-PE"/>
        </w:rPr>
        <w:t xml:space="preserve">, </w:t>
      </w:r>
    </w:p>
    <w:p w14:paraId="422A8BF5" w14:textId="77777777" w:rsidR="0076075E" w:rsidRPr="00D228E9" w:rsidRDefault="00B80249" w:rsidP="00D228E9">
      <w:pPr>
        <w:pStyle w:val="CETReferencetext"/>
        <w:spacing w:line="240" w:lineRule="auto"/>
        <w:rPr>
          <w:rFonts w:cs="Arial"/>
          <w:szCs w:val="18"/>
        </w:rPr>
      </w:pPr>
      <w:r w:rsidRPr="00D228E9">
        <w:rPr>
          <w:rFonts w:cs="Arial"/>
          <w:szCs w:val="18"/>
        </w:rPr>
        <w:t>Salmen S.H., Alharbi S.A., 2024</w:t>
      </w:r>
      <w:r w:rsidR="0076075E" w:rsidRPr="00D228E9">
        <w:rPr>
          <w:rFonts w:cs="Arial"/>
          <w:szCs w:val="18"/>
        </w:rPr>
        <w:t>,</w:t>
      </w:r>
      <w:r w:rsidRPr="00D228E9">
        <w:rPr>
          <w:rFonts w:cs="Arial"/>
          <w:szCs w:val="18"/>
        </w:rPr>
        <w:t xml:space="preserve"> Mitigating Pb-induced oxidative stress in rice plants by cerium oxide and iron oxide nanoparticles. South African Journal of Botany 172, 544–555</w:t>
      </w:r>
      <w:r w:rsidR="0076075E" w:rsidRPr="00D228E9">
        <w:rPr>
          <w:rFonts w:cs="Arial"/>
          <w:szCs w:val="18"/>
        </w:rPr>
        <w:t>, &lt;</w:t>
      </w:r>
      <w:r w:rsidRPr="00D228E9">
        <w:rPr>
          <w:rFonts w:cs="Arial"/>
          <w:szCs w:val="18"/>
        </w:rPr>
        <w:t>doi.org/10.1016/j.sajb.2024.07.039</w:t>
      </w:r>
      <w:r w:rsidR="0076075E" w:rsidRPr="00D228E9">
        <w:rPr>
          <w:rFonts w:cs="Arial"/>
          <w:szCs w:val="18"/>
        </w:rPr>
        <w:t>&gt;</w:t>
      </w:r>
    </w:p>
    <w:p w14:paraId="7048EB16" w14:textId="773A2A03" w:rsidR="0076075E" w:rsidRPr="00D228E9" w:rsidRDefault="00B80249" w:rsidP="00D228E9">
      <w:pPr>
        <w:pStyle w:val="CETReferencetext"/>
        <w:spacing w:line="240" w:lineRule="auto"/>
        <w:rPr>
          <w:rFonts w:cs="Arial"/>
          <w:szCs w:val="18"/>
        </w:rPr>
      </w:pPr>
      <w:r w:rsidRPr="00D228E9">
        <w:rPr>
          <w:rFonts w:cs="Arial"/>
          <w:szCs w:val="18"/>
        </w:rPr>
        <w:t>Singh A., Chaudhary S., Dehiya B.S., 2021</w:t>
      </w:r>
      <w:r w:rsidR="0076075E" w:rsidRPr="00D228E9">
        <w:rPr>
          <w:rFonts w:cs="Arial"/>
          <w:szCs w:val="18"/>
        </w:rPr>
        <w:t>,</w:t>
      </w:r>
      <w:r w:rsidRPr="00D228E9">
        <w:rPr>
          <w:rFonts w:cs="Arial"/>
          <w:szCs w:val="18"/>
        </w:rPr>
        <w:t xml:space="preserve"> Fast removal of heavy metals from water and soil samples using magnetic Fe3O4 nanoparticles</w:t>
      </w:r>
      <w:r w:rsidR="0076075E" w:rsidRPr="00D228E9">
        <w:rPr>
          <w:rFonts w:cs="Arial"/>
          <w:szCs w:val="18"/>
        </w:rPr>
        <w:t>,</w:t>
      </w:r>
      <w:r w:rsidRPr="00D228E9">
        <w:rPr>
          <w:rFonts w:cs="Arial"/>
          <w:szCs w:val="18"/>
        </w:rPr>
        <w:t xml:space="preserve"> Environmental Science and Pollution Research 28, 3942–3952. </w:t>
      </w:r>
    </w:p>
    <w:p w14:paraId="656BC0E1" w14:textId="77777777" w:rsidR="0076075E" w:rsidRPr="00D228E9" w:rsidRDefault="00B80249" w:rsidP="00D228E9">
      <w:pPr>
        <w:pStyle w:val="CETReferencetext"/>
        <w:spacing w:line="240" w:lineRule="auto"/>
        <w:rPr>
          <w:rFonts w:cs="Arial"/>
          <w:szCs w:val="18"/>
        </w:rPr>
      </w:pPr>
      <w:r w:rsidRPr="00D228E9">
        <w:rPr>
          <w:rFonts w:cs="Arial"/>
          <w:szCs w:val="18"/>
        </w:rPr>
        <w:t>Tafazoli M., Hojjati S.M., Biparva P., Kooch Y., Lamersdorf N., 201</w:t>
      </w:r>
      <w:r w:rsidR="0076075E" w:rsidRPr="00D228E9">
        <w:rPr>
          <w:rFonts w:cs="Arial"/>
          <w:szCs w:val="18"/>
        </w:rPr>
        <w:t>7,</w:t>
      </w:r>
      <w:r w:rsidRPr="00D228E9">
        <w:rPr>
          <w:rFonts w:cs="Arial"/>
          <w:szCs w:val="18"/>
        </w:rPr>
        <w:t xml:space="preserve"> Reduction of soil heavy metal bioavailability by nanoparticles and cellulosic wastes improved the biomass of tree seedlings</w:t>
      </w:r>
      <w:r w:rsidR="0076075E" w:rsidRPr="00D228E9">
        <w:rPr>
          <w:rFonts w:cs="Arial"/>
          <w:szCs w:val="18"/>
        </w:rPr>
        <w:t>,</w:t>
      </w:r>
      <w:r w:rsidRPr="00D228E9">
        <w:rPr>
          <w:rFonts w:cs="Arial"/>
          <w:szCs w:val="18"/>
        </w:rPr>
        <w:t xml:space="preserve"> Journal of Plant Nutrition and Soil Science 180, 683–693</w:t>
      </w:r>
      <w:r w:rsidR="0076075E" w:rsidRPr="00D228E9">
        <w:rPr>
          <w:rFonts w:cs="Arial"/>
          <w:szCs w:val="18"/>
        </w:rPr>
        <w:t>,</w:t>
      </w:r>
      <w:r w:rsidRPr="00D228E9">
        <w:rPr>
          <w:rFonts w:cs="Arial"/>
          <w:szCs w:val="18"/>
        </w:rPr>
        <w:t xml:space="preserve"> </w:t>
      </w:r>
      <w:r w:rsidR="0076075E" w:rsidRPr="00D228E9">
        <w:rPr>
          <w:rFonts w:cs="Arial"/>
          <w:szCs w:val="18"/>
        </w:rPr>
        <w:t>&lt;</w:t>
      </w:r>
      <w:r w:rsidRPr="00D228E9">
        <w:rPr>
          <w:rFonts w:cs="Arial"/>
          <w:szCs w:val="18"/>
        </w:rPr>
        <w:t>doi.org/10.1002/jpln.201700204</w:t>
      </w:r>
      <w:r w:rsidR="0076075E" w:rsidRPr="00D228E9">
        <w:rPr>
          <w:rFonts w:cs="Arial"/>
          <w:szCs w:val="18"/>
        </w:rPr>
        <w:t>&gt;</w:t>
      </w:r>
    </w:p>
    <w:p w14:paraId="6906F83F" w14:textId="272453AC" w:rsidR="00802780" w:rsidRPr="00D228E9" w:rsidRDefault="00B80249" w:rsidP="00D228E9">
      <w:pPr>
        <w:pStyle w:val="CETReferencetext"/>
        <w:spacing w:line="240" w:lineRule="auto"/>
        <w:rPr>
          <w:rFonts w:cs="Arial"/>
          <w:szCs w:val="18"/>
        </w:rPr>
      </w:pPr>
      <w:r w:rsidRPr="00D228E9">
        <w:rPr>
          <w:rFonts w:cs="Arial"/>
          <w:szCs w:val="18"/>
        </w:rPr>
        <w:t>Thilakan D., Patankar J., Khadtare S., Wagh N.S., Lakkakula J., El-Hady K.M., Islam S., Islam M.R., Khan M.S., Alafaleq N.O., Tarique M., 2022</w:t>
      </w:r>
      <w:r w:rsidR="0076075E" w:rsidRPr="00D228E9">
        <w:rPr>
          <w:rFonts w:cs="Arial"/>
          <w:szCs w:val="18"/>
        </w:rPr>
        <w:t>,</w:t>
      </w:r>
      <w:r w:rsidRPr="00D228E9">
        <w:rPr>
          <w:rFonts w:cs="Arial"/>
          <w:szCs w:val="18"/>
        </w:rPr>
        <w:t xml:space="preserve"> Plant-Derived Iron Nanoparticles for Removal of Heavy Metals. International Journal of Chemical Engineering 2022</w:t>
      </w:r>
      <w:r w:rsidR="0076075E" w:rsidRPr="00D228E9">
        <w:rPr>
          <w:rFonts w:cs="Arial"/>
          <w:szCs w:val="18"/>
        </w:rPr>
        <w:t>,</w:t>
      </w:r>
      <w:r w:rsidRPr="00D228E9">
        <w:rPr>
          <w:rFonts w:cs="Arial"/>
          <w:szCs w:val="18"/>
        </w:rPr>
        <w:t xml:space="preserve"> </w:t>
      </w:r>
      <w:r w:rsidR="0076075E" w:rsidRPr="00D228E9">
        <w:rPr>
          <w:rFonts w:cs="Arial"/>
          <w:szCs w:val="18"/>
        </w:rPr>
        <w:t>&lt;</w:t>
      </w:r>
      <w:r w:rsidRPr="00D228E9">
        <w:rPr>
          <w:rFonts w:cs="Arial"/>
          <w:szCs w:val="18"/>
        </w:rPr>
        <w:t>doi.org/10.1155/2022/1517849</w:t>
      </w:r>
      <w:r w:rsidR="0076075E" w:rsidRPr="00D228E9">
        <w:rPr>
          <w:rFonts w:cs="Arial"/>
          <w:szCs w:val="18"/>
        </w:rPr>
        <w:t>&gt;</w:t>
      </w:r>
      <w:r w:rsidR="00E079D9" w:rsidRPr="00D228E9">
        <w:rPr>
          <w:rFonts w:cs="Arial"/>
          <w:szCs w:val="18"/>
        </w:rPr>
        <w:fldChar w:fldCharType="end"/>
      </w:r>
    </w:p>
    <w:p w14:paraId="3CA15946" w14:textId="133260F6" w:rsidR="00307C6F" w:rsidRPr="00D228E9" w:rsidRDefault="00802780" w:rsidP="00D228E9">
      <w:pPr>
        <w:pStyle w:val="CETReferencetext"/>
        <w:spacing w:line="240" w:lineRule="auto"/>
        <w:rPr>
          <w:rFonts w:cs="Arial"/>
          <w:szCs w:val="18"/>
        </w:rPr>
      </w:pPr>
      <w:proofErr w:type="spellStart"/>
      <w:r w:rsidRPr="00D228E9">
        <w:rPr>
          <w:rFonts w:cs="Arial"/>
          <w:szCs w:val="18"/>
        </w:rPr>
        <w:t>Mazarji</w:t>
      </w:r>
      <w:proofErr w:type="spellEnd"/>
      <w:r w:rsidRPr="00D228E9">
        <w:rPr>
          <w:rFonts w:cs="Arial"/>
          <w:szCs w:val="18"/>
        </w:rPr>
        <w:t xml:space="preserve"> M., </w:t>
      </w:r>
      <w:proofErr w:type="spellStart"/>
      <w:r w:rsidRPr="00D228E9">
        <w:rPr>
          <w:rFonts w:cs="Arial"/>
          <w:szCs w:val="18"/>
        </w:rPr>
        <w:t>Minkina</w:t>
      </w:r>
      <w:proofErr w:type="spellEnd"/>
      <w:r w:rsidRPr="00D228E9">
        <w:rPr>
          <w:rFonts w:cs="Arial"/>
          <w:szCs w:val="18"/>
        </w:rPr>
        <w:t xml:space="preserve">, T., </w:t>
      </w:r>
      <w:proofErr w:type="spellStart"/>
      <w:r w:rsidRPr="00D228E9">
        <w:rPr>
          <w:rFonts w:cs="Arial"/>
          <w:szCs w:val="18"/>
        </w:rPr>
        <w:t>Sushkova</w:t>
      </w:r>
      <w:proofErr w:type="spellEnd"/>
      <w:r w:rsidRPr="00D228E9">
        <w:rPr>
          <w:rFonts w:cs="Arial"/>
          <w:szCs w:val="18"/>
        </w:rPr>
        <w:t xml:space="preserve"> S., </w:t>
      </w:r>
      <w:proofErr w:type="spellStart"/>
      <w:r w:rsidRPr="00D228E9">
        <w:rPr>
          <w:rFonts w:cs="Arial"/>
          <w:szCs w:val="18"/>
        </w:rPr>
        <w:t>Mandzhieva</w:t>
      </w:r>
      <w:proofErr w:type="spellEnd"/>
      <w:r w:rsidRPr="00D228E9">
        <w:rPr>
          <w:rFonts w:cs="Arial"/>
          <w:szCs w:val="18"/>
        </w:rPr>
        <w:t xml:space="preserve"> S., Bidhendi G. N., </w:t>
      </w:r>
      <w:proofErr w:type="spellStart"/>
      <w:r w:rsidRPr="00D228E9">
        <w:rPr>
          <w:rFonts w:cs="Arial"/>
          <w:szCs w:val="18"/>
        </w:rPr>
        <w:t>Barakhov</w:t>
      </w:r>
      <w:proofErr w:type="spellEnd"/>
      <w:r w:rsidRPr="00D228E9">
        <w:rPr>
          <w:rFonts w:cs="Arial"/>
          <w:szCs w:val="18"/>
        </w:rPr>
        <w:t xml:space="preserve"> A., &amp; Bhatnagar A. (2021)</w:t>
      </w:r>
      <w:r w:rsidR="0076075E" w:rsidRPr="00D228E9">
        <w:rPr>
          <w:rFonts w:cs="Arial"/>
          <w:szCs w:val="18"/>
        </w:rPr>
        <w:t>,</w:t>
      </w:r>
      <w:r w:rsidRPr="00D228E9">
        <w:rPr>
          <w:rFonts w:cs="Arial"/>
          <w:szCs w:val="18"/>
        </w:rPr>
        <w:t xml:space="preserve"> Effect of nanomaterials on remediation of polycyclic aromatic hydrocarbons-contaminated soils: A review. Journal of Environmental Management, 284(January)</w:t>
      </w:r>
      <w:r w:rsidR="0076075E" w:rsidRPr="00D228E9">
        <w:rPr>
          <w:rFonts w:cs="Arial"/>
          <w:szCs w:val="18"/>
        </w:rPr>
        <w:t>,</w:t>
      </w:r>
      <w:r w:rsidR="00307C6F" w:rsidRPr="00D228E9">
        <w:rPr>
          <w:rFonts w:cs="Arial"/>
          <w:szCs w:val="18"/>
        </w:rPr>
        <w:t xml:space="preserve"> </w:t>
      </w:r>
      <w:r w:rsidR="0076075E" w:rsidRPr="00D228E9">
        <w:rPr>
          <w:rFonts w:cs="Arial"/>
          <w:szCs w:val="18"/>
        </w:rPr>
        <w:t>&lt;</w:t>
      </w:r>
      <w:r w:rsidRPr="00D228E9">
        <w:rPr>
          <w:rFonts w:cs="Arial"/>
          <w:szCs w:val="18"/>
        </w:rPr>
        <w:t>doi.org/10.1016/j.jenvman.2021.112023</w:t>
      </w:r>
      <w:r w:rsidR="00307C6F" w:rsidRPr="00D228E9">
        <w:rPr>
          <w:rFonts w:cs="Arial"/>
          <w:szCs w:val="18"/>
        </w:rPr>
        <w:t>&gt;.</w:t>
      </w:r>
    </w:p>
    <w:p w14:paraId="0EBE7365" w14:textId="11530517" w:rsidR="003F0AF2" w:rsidRPr="00D228E9" w:rsidRDefault="003F0AF2" w:rsidP="00D228E9">
      <w:pPr>
        <w:pStyle w:val="CETReferencetext"/>
        <w:spacing w:line="240" w:lineRule="auto"/>
        <w:rPr>
          <w:rFonts w:cs="Arial"/>
          <w:szCs w:val="18"/>
        </w:rPr>
      </w:pPr>
    </w:p>
    <w:p w14:paraId="2A4F082A" w14:textId="34F90634" w:rsidR="00307C6F" w:rsidRPr="00D228E9" w:rsidRDefault="00071529" w:rsidP="00D228E9">
      <w:pPr>
        <w:pStyle w:val="CETReferencetext"/>
        <w:spacing w:line="240" w:lineRule="auto"/>
        <w:rPr>
          <w:rFonts w:cs="Arial"/>
          <w:szCs w:val="18"/>
        </w:rPr>
      </w:pPr>
      <w:r w:rsidRPr="00D228E9">
        <w:rPr>
          <w:rFonts w:cs="Arial"/>
          <w:szCs w:val="18"/>
        </w:rPr>
        <w:t xml:space="preserve">Pavan Kumar G., Shivalkar S., </w:t>
      </w:r>
      <w:r w:rsidR="00307C6F" w:rsidRPr="00D228E9">
        <w:rPr>
          <w:rFonts w:cs="Arial"/>
          <w:szCs w:val="18"/>
        </w:rPr>
        <w:t>and</w:t>
      </w:r>
      <w:r w:rsidRPr="00D228E9">
        <w:rPr>
          <w:rFonts w:cs="Arial"/>
          <w:szCs w:val="18"/>
        </w:rPr>
        <w:t xml:space="preserve"> Banerjee S.</w:t>
      </w:r>
      <w:r w:rsidR="00307C6F" w:rsidRPr="00D228E9">
        <w:rPr>
          <w:rFonts w:cs="Arial"/>
          <w:szCs w:val="18"/>
        </w:rPr>
        <w:t xml:space="preserve">, </w:t>
      </w:r>
      <w:r w:rsidRPr="00D228E9">
        <w:rPr>
          <w:rFonts w:cs="Arial"/>
          <w:szCs w:val="18"/>
        </w:rPr>
        <w:t>2020</w:t>
      </w:r>
      <w:r w:rsidR="00307C6F" w:rsidRPr="00D228E9">
        <w:rPr>
          <w:rFonts w:cs="Arial"/>
          <w:szCs w:val="18"/>
        </w:rPr>
        <w:t>,</w:t>
      </w:r>
      <w:r w:rsidRPr="00D228E9">
        <w:rPr>
          <w:rFonts w:cs="Arial"/>
          <w:szCs w:val="18"/>
        </w:rPr>
        <w:t xml:space="preserve"> Synthesis of M. oleifera leaf extract capped magnetic nanoparticles for effective lead [Pb (II)] removal from solution: Kinetics, isotherm and reusability study</w:t>
      </w:r>
      <w:r w:rsidR="00307C6F" w:rsidRPr="00D228E9">
        <w:rPr>
          <w:rFonts w:cs="Arial"/>
          <w:szCs w:val="18"/>
        </w:rPr>
        <w:t>,</w:t>
      </w:r>
      <w:r w:rsidRPr="00D228E9">
        <w:rPr>
          <w:rFonts w:cs="Arial"/>
          <w:szCs w:val="18"/>
        </w:rPr>
        <w:t xml:space="preserve"> Journal of Molecular Liquids, 305</w:t>
      </w:r>
      <w:r w:rsidR="00307C6F" w:rsidRPr="00D228E9">
        <w:rPr>
          <w:rFonts w:cs="Arial"/>
          <w:szCs w:val="18"/>
        </w:rPr>
        <w:t>, &lt;</w:t>
      </w:r>
      <w:r w:rsidRPr="00D228E9">
        <w:rPr>
          <w:rFonts w:cs="Arial"/>
          <w:szCs w:val="18"/>
        </w:rPr>
        <w:t>doi.org/10.1016/j.molliq.2020.112811</w:t>
      </w:r>
      <w:r w:rsidR="00307C6F" w:rsidRPr="00D228E9">
        <w:rPr>
          <w:rFonts w:cs="Arial"/>
          <w:szCs w:val="18"/>
        </w:rPr>
        <w:t>&gt;</w:t>
      </w:r>
    </w:p>
    <w:p w14:paraId="415D7878" w14:textId="02DDCAA9" w:rsidR="00802780" w:rsidRPr="00D228E9" w:rsidRDefault="00802780" w:rsidP="00D228E9">
      <w:pPr>
        <w:pStyle w:val="CETReferencetext"/>
        <w:spacing w:line="240" w:lineRule="auto"/>
        <w:rPr>
          <w:rFonts w:cs="Arial"/>
          <w:szCs w:val="18"/>
        </w:rPr>
      </w:pPr>
      <w:r w:rsidRPr="00D228E9">
        <w:rPr>
          <w:rFonts w:cs="Arial"/>
          <w:szCs w:val="18"/>
        </w:rPr>
        <w:t xml:space="preserve">Shahwan T., Abu </w:t>
      </w:r>
      <w:proofErr w:type="spellStart"/>
      <w:r w:rsidRPr="00D228E9">
        <w:rPr>
          <w:rFonts w:cs="Arial"/>
          <w:szCs w:val="18"/>
        </w:rPr>
        <w:t>Sirriah</w:t>
      </w:r>
      <w:proofErr w:type="spellEnd"/>
      <w:r w:rsidRPr="00D228E9">
        <w:rPr>
          <w:rFonts w:cs="Arial"/>
          <w:szCs w:val="18"/>
        </w:rPr>
        <w:t xml:space="preserve"> S., </w:t>
      </w:r>
      <w:proofErr w:type="spellStart"/>
      <w:r w:rsidRPr="00D228E9">
        <w:rPr>
          <w:rFonts w:cs="Arial"/>
          <w:szCs w:val="18"/>
        </w:rPr>
        <w:t>Nairat</w:t>
      </w:r>
      <w:proofErr w:type="spellEnd"/>
      <w:r w:rsidRPr="00D228E9">
        <w:rPr>
          <w:rFonts w:cs="Arial"/>
          <w:szCs w:val="18"/>
        </w:rPr>
        <w:t xml:space="preserve"> M., Boyaci E., </w:t>
      </w:r>
      <w:proofErr w:type="spellStart"/>
      <w:r w:rsidRPr="00D228E9">
        <w:rPr>
          <w:rFonts w:cs="Arial"/>
          <w:szCs w:val="18"/>
        </w:rPr>
        <w:t>Eroĝlu</w:t>
      </w:r>
      <w:proofErr w:type="spellEnd"/>
      <w:r w:rsidRPr="00D228E9">
        <w:rPr>
          <w:rFonts w:cs="Arial"/>
          <w:szCs w:val="18"/>
        </w:rPr>
        <w:t xml:space="preserve"> A. E., Scott T. B., </w:t>
      </w:r>
      <w:r w:rsidR="00307C6F" w:rsidRPr="00D228E9">
        <w:rPr>
          <w:rFonts w:cs="Arial"/>
          <w:szCs w:val="18"/>
        </w:rPr>
        <w:t>and</w:t>
      </w:r>
      <w:r w:rsidRPr="00D228E9">
        <w:rPr>
          <w:rFonts w:cs="Arial"/>
          <w:szCs w:val="18"/>
        </w:rPr>
        <w:t xml:space="preserve"> Hallam K. R.</w:t>
      </w:r>
      <w:r w:rsidR="00307C6F" w:rsidRPr="00D228E9">
        <w:rPr>
          <w:rFonts w:cs="Arial"/>
          <w:szCs w:val="18"/>
        </w:rPr>
        <w:t xml:space="preserve">, </w:t>
      </w:r>
      <w:r w:rsidRPr="00D228E9">
        <w:rPr>
          <w:rFonts w:cs="Arial"/>
          <w:szCs w:val="18"/>
        </w:rPr>
        <w:t>2011</w:t>
      </w:r>
      <w:r w:rsidR="00307C6F" w:rsidRPr="00D228E9">
        <w:rPr>
          <w:rFonts w:cs="Arial"/>
          <w:szCs w:val="18"/>
        </w:rPr>
        <w:t>,</w:t>
      </w:r>
      <w:r w:rsidRPr="00D228E9">
        <w:rPr>
          <w:rFonts w:cs="Arial"/>
          <w:szCs w:val="18"/>
        </w:rPr>
        <w:t xml:space="preserve"> Green synthesis of iron nanoparticles and their application as a Fenton-like catalyst for the degradation of aqueous cationic and anionic dyes. Chemical Engineering Journal, 172(1), 258–266</w:t>
      </w:r>
      <w:r w:rsidR="00307C6F" w:rsidRPr="00D228E9">
        <w:rPr>
          <w:rFonts w:cs="Arial"/>
          <w:szCs w:val="18"/>
        </w:rPr>
        <w:t xml:space="preserve">, </w:t>
      </w:r>
    </w:p>
    <w:p w14:paraId="0715997B" w14:textId="36E521DB" w:rsidR="00071529" w:rsidRPr="00D228E9" w:rsidRDefault="00071529" w:rsidP="00D228E9">
      <w:pPr>
        <w:pStyle w:val="CETReferencetext"/>
        <w:spacing w:line="240" w:lineRule="auto"/>
        <w:rPr>
          <w:rFonts w:cs="Arial"/>
          <w:szCs w:val="18"/>
        </w:rPr>
      </w:pPr>
      <w:r w:rsidRPr="00D228E9">
        <w:rPr>
          <w:rFonts w:cs="Arial"/>
          <w:szCs w:val="18"/>
        </w:rPr>
        <w:t>Vázquez-Guerrero A., Cortés-Martínez R., Alfaro-Cuevas-</w:t>
      </w:r>
      <w:proofErr w:type="spellStart"/>
      <w:r w:rsidRPr="00D228E9">
        <w:rPr>
          <w:rFonts w:cs="Arial"/>
          <w:szCs w:val="18"/>
        </w:rPr>
        <w:t>villanueva</w:t>
      </w:r>
      <w:proofErr w:type="spellEnd"/>
      <w:r w:rsidRPr="00D228E9">
        <w:rPr>
          <w:rFonts w:cs="Arial"/>
          <w:szCs w:val="18"/>
        </w:rPr>
        <w:t xml:space="preserve"> R., Rivera-Muñoz E. M., </w:t>
      </w:r>
      <w:r w:rsidR="00307C6F" w:rsidRPr="00D228E9">
        <w:rPr>
          <w:rFonts w:cs="Arial"/>
          <w:szCs w:val="18"/>
        </w:rPr>
        <w:t>and</w:t>
      </w:r>
      <w:r w:rsidRPr="00D228E9">
        <w:rPr>
          <w:rFonts w:cs="Arial"/>
          <w:szCs w:val="18"/>
        </w:rPr>
        <w:t xml:space="preserve"> </w:t>
      </w:r>
      <w:proofErr w:type="spellStart"/>
      <w:r w:rsidRPr="00D228E9">
        <w:rPr>
          <w:rFonts w:cs="Arial"/>
          <w:szCs w:val="18"/>
        </w:rPr>
        <w:t>Huirache</w:t>
      </w:r>
      <w:proofErr w:type="spellEnd"/>
      <w:r w:rsidRPr="00D228E9">
        <w:rPr>
          <w:rFonts w:cs="Arial"/>
          <w:szCs w:val="18"/>
        </w:rPr>
        <w:t>-Acuña R.</w:t>
      </w:r>
      <w:r w:rsidR="00307C6F" w:rsidRPr="00D228E9">
        <w:rPr>
          <w:rFonts w:cs="Arial"/>
          <w:szCs w:val="18"/>
        </w:rPr>
        <w:t xml:space="preserve">, </w:t>
      </w:r>
      <w:r w:rsidRPr="00D228E9">
        <w:rPr>
          <w:rFonts w:cs="Arial"/>
          <w:szCs w:val="18"/>
        </w:rPr>
        <w:t>2021</w:t>
      </w:r>
      <w:r w:rsidR="00307C6F" w:rsidRPr="00D228E9">
        <w:rPr>
          <w:rFonts w:cs="Arial"/>
          <w:szCs w:val="18"/>
        </w:rPr>
        <w:t xml:space="preserve">, </w:t>
      </w:r>
      <w:r w:rsidRPr="00D228E9">
        <w:rPr>
          <w:rFonts w:cs="Arial"/>
          <w:szCs w:val="18"/>
        </w:rPr>
        <w:t>CD(II) and PB(II) adsorption using a composite obtained from moringa oleifera lam. cellulose nanofibrils impregnated with iron nanoparticles</w:t>
      </w:r>
      <w:r w:rsidR="00307C6F" w:rsidRPr="00D228E9">
        <w:rPr>
          <w:rFonts w:cs="Arial"/>
          <w:szCs w:val="18"/>
        </w:rPr>
        <w:t xml:space="preserve">, </w:t>
      </w:r>
      <w:r w:rsidRPr="00D228E9">
        <w:rPr>
          <w:rFonts w:cs="Arial"/>
          <w:szCs w:val="18"/>
        </w:rPr>
        <w:t xml:space="preserve">Water (Switzerland), 13(1). </w:t>
      </w:r>
    </w:p>
    <w:p w14:paraId="16D967DB" w14:textId="77777777" w:rsidR="003C3CF1" w:rsidRPr="00D228E9" w:rsidRDefault="00071529" w:rsidP="00D228E9">
      <w:pPr>
        <w:pStyle w:val="CETReferencetext"/>
        <w:spacing w:line="240" w:lineRule="auto"/>
        <w:rPr>
          <w:rFonts w:cs="Arial"/>
          <w:szCs w:val="18"/>
        </w:rPr>
      </w:pPr>
      <w:r w:rsidRPr="00D228E9">
        <w:rPr>
          <w:rFonts w:cs="Arial"/>
          <w:szCs w:val="18"/>
        </w:rPr>
        <w:t xml:space="preserve">Yan W., Herzing A. A., Kiely C. J., </w:t>
      </w:r>
      <w:r w:rsidR="003C3CF1" w:rsidRPr="00D228E9">
        <w:rPr>
          <w:rFonts w:cs="Arial"/>
          <w:szCs w:val="18"/>
        </w:rPr>
        <w:t>and</w:t>
      </w:r>
      <w:r w:rsidRPr="00D228E9">
        <w:rPr>
          <w:rFonts w:cs="Arial"/>
          <w:szCs w:val="18"/>
        </w:rPr>
        <w:t xml:space="preserve"> Zhang W. X.</w:t>
      </w:r>
      <w:r w:rsidR="003C3CF1" w:rsidRPr="00D228E9">
        <w:rPr>
          <w:rFonts w:cs="Arial"/>
          <w:szCs w:val="18"/>
        </w:rPr>
        <w:t xml:space="preserve">, </w:t>
      </w:r>
      <w:r w:rsidRPr="00D228E9">
        <w:rPr>
          <w:rFonts w:cs="Arial"/>
          <w:szCs w:val="18"/>
        </w:rPr>
        <w:t>2010</w:t>
      </w:r>
      <w:r w:rsidR="003C3CF1" w:rsidRPr="00D228E9">
        <w:rPr>
          <w:rFonts w:cs="Arial"/>
          <w:szCs w:val="18"/>
        </w:rPr>
        <w:t>,</w:t>
      </w:r>
      <w:r w:rsidRPr="00D228E9">
        <w:rPr>
          <w:rFonts w:cs="Arial"/>
          <w:szCs w:val="18"/>
        </w:rPr>
        <w:t xml:space="preserve"> Nanoscale zero-valent iron (</w:t>
      </w:r>
      <w:proofErr w:type="spellStart"/>
      <w:r w:rsidRPr="00D228E9">
        <w:rPr>
          <w:rFonts w:cs="Arial"/>
          <w:szCs w:val="18"/>
        </w:rPr>
        <w:t>nZVI</w:t>
      </w:r>
      <w:proofErr w:type="spellEnd"/>
      <w:r w:rsidRPr="00D228E9">
        <w:rPr>
          <w:rFonts w:cs="Arial"/>
          <w:szCs w:val="18"/>
        </w:rPr>
        <w:t>): Aspects of the core-shell structure and reactions with inorganic species in water</w:t>
      </w:r>
      <w:r w:rsidR="003C3CF1" w:rsidRPr="00D228E9">
        <w:rPr>
          <w:rFonts w:cs="Arial"/>
          <w:szCs w:val="18"/>
        </w:rPr>
        <w:t>,</w:t>
      </w:r>
      <w:r w:rsidRPr="00D228E9">
        <w:rPr>
          <w:rFonts w:cs="Arial"/>
          <w:szCs w:val="18"/>
        </w:rPr>
        <w:t xml:space="preserve"> Journal of Contaminant Hydrology, 118(3–4), 96–104</w:t>
      </w:r>
      <w:r w:rsidR="003C3CF1" w:rsidRPr="00D228E9">
        <w:rPr>
          <w:rFonts w:cs="Arial"/>
          <w:szCs w:val="18"/>
        </w:rPr>
        <w:t>, &lt;</w:t>
      </w:r>
      <w:r w:rsidR="00DE41C4" w:rsidRPr="00D228E9">
        <w:rPr>
          <w:rFonts w:cs="Arial"/>
          <w:szCs w:val="18"/>
        </w:rPr>
        <w:t>doi.org/10.1016/j.jconhyd.2010.09.003</w:t>
      </w:r>
      <w:r w:rsidR="003C3CF1" w:rsidRPr="00D228E9">
        <w:rPr>
          <w:rFonts w:cs="Arial"/>
          <w:szCs w:val="18"/>
        </w:rPr>
        <w:t>&gt;</w:t>
      </w:r>
    </w:p>
    <w:p w14:paraId="79A37142" w14:textId="03D70BDD" w:rsidR="00071529" w:rsidRPr="00D228E9" w:rsidRDefault="00AB4284" w:rsidP="00D228E9">
      <w:pPr>
        <w:pStyle w:val="CETReferencetext"/>
        <w:spacing w:line="240" w:lineRule="auto"/>
        <w:rPr>
          <w:rFonts w:cs="Arial"/>
          <w:szCs w:val="18"/>
        </w:rPr>
      </w:pPr>
      <w:r w:rsidRPr="00D228E9">
        <w:rPr>
          <w:rFonts w:cs="Arial"/>
          <w:szCs w:val="18"/>
        </w:rPr>
        <w:t xml:space="preserve">Wang T., </w:t>
      </w:r>
      <w:proofErr w:type="spellStart"/>
      <w:r w:rsidRPr="00D228E9">
        <w:rPr>
          <w:rFonts w:cs="Arial"/>
          <w:szCs w:val="18"/>
        </w:rPr>
        <w:t>Jin</w:t>
      </w:r>
      <w:proofErr w:type="spellEnd"/>
      <w:r w:rsidRPr="00D228E9">
        <w:rPr>
          <w:rFonts w:cs="Arial"/>
          <w:szCs w:val="18"/>
        </w:rPr>
        <w:t xml:space="preserve"> X., Chen Z., </w:t>
      </w:r>
      <w:proofErr w:type="spellStart"/>
      <w:r w:rsidRPr="00D228E9">
        <w:rPr>
          <w:rFonts w:cs="Arial"/>
          <w:szCs w:val="18"/>
        </w:rPr>
        <w:t>Megharaj</w:t>
      </w:r>
      <w:proofErr w:type="spellEnd"/>
      <w:r w:rsidRPr="00D228E9">
        <w:rPr>
          <w:rFonts w:cs="Arial"/>
          <w:szCs w:val="18"/>
        </w:rPr>
        <w:t xml:space="preserve"> M., </w:t>
      </w:r>
      <w:r w:rsidR="003C3CF1" w:rsidRPr="00D228E9">
        <w:rPr>
          <w:rFonts w:cs="Arial"/>
          <w:szCs w:val="18"/>
        </w:rPr>
        <w:t>and</w:t>
      </w:r>
      <w:r w:rsidRPr="00D228E9">
        <w:rPr>
          <w:rFonts w:cs="Arial"/>
          <w:szCs w:val="18"/>
        </w:rPr>
        <w:t xml:space="preserve"> Naidu R.</w:t>
      </w:r>
      <w:r w:rsidR="003C3CF1" w:rsidRPr="00D228E9">
        <w:rPr>
          <w:rFonts w:cs="Arial"/>
          <w:szCs w:val="18"/>
        </w:rPr>
        <w:t xml:space="preserve">, </w:t>
      </w:r>
      <w:r w:rsidRPr="00D228E9">
        <w:rPr>
          <w:rFonts w:cs="Arial"/>
          <w:szCs w:val="18"/>
        </w:rPr>
        <w:t>2014</w:t>
      </w:r>
      <w:r w:rsidR="003C3CF1" w:rsidRPr="00D228E9">
        <w:rPr>
          <w:rFonts w:cs="Arial"/>
          <w:szCs w:val="18"/>
        </w:rPr>
        <w:t>,</w:t>
      </w:r>
      <w:r w:rsidRPr="00D228E9">
        <w:rPr>
          <w:rFonts w:cs="Arial"/>
          <w:szCs w:val="18"/>
        </w:rPr>
        <w:t xml:space="preserve"> Green synthesis of Fe nanoparticles using eucalyptus leaf extracts for treatment of eutrophic wastewater</w:t>
      </w:r>
      <w:r w:rsidR="003C3CF1" w:rsidRPr="00D228E9">
        <w:rPr>
          <w:rFonts w:cs="Arial"/>
          <w:szCs w:val="18"/>
        </w:rPr>
        <w:t>,</w:t>
      </w:r>
      <w:r w:rsidRPr="00D228E9">
        <w:rPr>
          <w:rFonts w:cs="Arial"/>
          <w:szCs w:val="18"/>
        </w:rPr>
        <w:t xml:space="preserve"> Science of the Total Environment, 466–467, 210–213</w:t>
      </w:r>
      <w:r w:rsidR="003C3CF1" w:rsidRPr="00D228E9">
        <w:rPr>
          <w:rFonts w:cs="Arial"/>
          <w:szCs w:val="18"/>
        </w:rPr>
        <w:t>, &lt;</w:t>
      </w:r>
      <w:r w:rsidRPr="00D228E9">
        <w:rPr>
          <w:rFonts w:cs="Arial"/>
          <w:szCs w:val="18"/>
        </w:rPr>
        <w:t>doi.org/10.1016/j.scitotenv.2013.07.022</w:t>
      </w:r>
      <w:r w:rsidR="003C3CF1" w:rsidRPr="00D228E9">
        <w:rPr>
          <w:rFonts w:cs="Arial"/>
          <w:szCs w:val="18"/>
        </w:rPr>
        <w:t>&gt;.</w:t>
      </w:r>
      <w:bookmarkEnd w:id="2"/>
    </w:p>
    <w:p w14:paraId="0BDE371D" w14:textId="77777777" w:rsidR="00D778A4" w:rsidRPr="00D228E9" w:rsidRDefault="00D778A4" w:rsidP="00D228E9">
      <w:pPr>
        <w:pStyle w:val="CETReferencetext"/>
        <w:spacing w:line="240" w:lineRule="auto"/>
        <w:rPr>
          <w:rFonts w:cs="Arial"/>
          <w:szCs w:val="18"/>
        </w:rPr>
      </w:pPr>
    </w:p>
    <w:p w14:paraId="66F5A5DB" w14:textId="3196681D" w:rsidR="00D778A4" w:rsidRPr="00D228E9" w:rsidRDefault="00D778A4" w:rsidP="00D228E9">
      <w:pPr>
        <w:pStyle w:val="CETReferencetext"/>
        <w:spacing w:line="240" w:lineRule="auto"/>
        <w:rPr>
          <w:rFonts w:cs="Arial"/>
          <w:szCs w:val="18"/>
        </w:rPr>
      </w:pPr>
    </w:p>
    <w:sectPr w:rsidR="00D778A4" w:rsidRPr="00D228E9"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31E9" w14:textId="77777777" w:rsidR="00477FF7" w:rsidRDefault="00477FF7" w:rsidP="004F5E36">
      <w:r>
        <w:separator/>
      </w:r>
    </w:p>
  </w:endnote>
  <w:endnote w:type="continuationSeparator" w:id="0">
    <w:p w14:paraId="31F00E61" w14:textId="77777777" w:rsidR="00477FF7" w:rsidRDefault="00477FF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1A9F" w14:textId="77777777" w:rsidR="00477FF7" w:rsidRDefault="00477FF7" w:rsidP="004F5E36">
      <w:r>
        <w:separator/>
      </w:r>
    </w:p>
  </w:footnote>
  <w:footnote w:type="continuationSeparator" w:id="0">
    <w:p w14:paraId="7EFBA624" w14:textId="77777777" w:rsidR="00477FF7" w:rsidRDefault="00477FF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B350BA0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76D2FA6"/>
    <w:multiLevelType w:val="multilevel"/>
    <w:tmpl w:val="66901A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678EA"/>
    <w:multiLevelType w:val="multilevel"/>
    <w:tmpl w:val="01243E80"/>
    <w:lvl w:ilvl="0">
      <w:start w:val="1"/>
      <w:numFmt w:val="decimal"/>
      <w:lvlText w:val="Chapter %1"/>
      <w:lvlJc w:val="left"/>
      <w:pPr>
        <w:ind w:left="0" w:firstLine="0"/>
      </w:pPr>
    </w:lvl>
    <w:lvl w:ilvl="1">
      <w:start w:val="1"/>
      <w:numFmt w:val="decimal"/>
      <w:lvlText w:val="%2."/>
      <w:lvlJc w:val="left"/>
      <w:pPr>
        <w:ind w:left="0" w:firstLine="0"/>
      </w:pPr>
    </w:lvl>
    <w:lvl w:ilvl="2">
      <w:start w:val="1"/>
      <w:numFmt w:val="decimal"/>
      <w:lvlText w:val="%2.%3"/>
      <w:lvlJc w:val="left"/>
      <w:pPr>
        <w:ind w:left="0" w:firstLine="0"/>
      </w:pPr>
    </w:lvl>
    <w:lvl w:ilvl="3">
      <w:start w:val="1"/>
      <w:numFmt w:val="decimal"/>
      <w:lvlText w:val="%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CB2FFA"/>
    <w:multiLevelType w:val="multilevel"/>
    <w:tmpl w:val="9E64CDF4"/>
    <w:lvl w:ilvl="0">
      <w:start w:val="2"/>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7327631">
    <w:abstractNumId w:val="11"/>
  </w:num>
  <w:num w:numId="2" w16cid:durableId="1473907672">
    <w:abstractNumId w:val="8"/>
  </w:num>
  <w:num w:numId="3" w16cid:durableId="422184992">
    <w:abstractNumId w:val="3"/>
  </w:num>
  <w:num w:numId="4" w16cid:durableId="116721866">
    <w:abstractNumId w:val="2"/>
  </w:num>
  <w:num w:numId="5" w16cid:durableId="1376199085">
    <w:abstractNumId w:val="1"/>
  </w:num>
  <w:num w:numId="6" w16cid:durableId="1425765771">
    <w:abstractNumId w:val="0"/>
  </w:num>
  <w:num w:numId="7" w16cid:durableId="1704091944">
    <w:abstractNumId w:val="9"/>
  </w:num>
  <w:num w:numId="8" w16cid:durableId="1371343838">
    <w:abstractNumId w:val="7"/>
  </w:num>
  <w:num w:numId="9" w16cid:durableId="504445991">
    <w:abstractNumId w:val="6"/>
  </w:num>
  <w:num w:numId="10" w16cid:durableId="58864139">
    <w:abstractNumId w:val="5"/>
  </w:num>
  <w:num w:numId="11" w16cid:durableId="885797696">
    <w:abstractNumId w:val="4"/>
  </w:num>
  <w:num w:numId="12" w16cid:durableId="1192454485">
    <w:abstractNumId w:val="20"/>
  </w:num>
  <w:num w:numId="13" w16cid:durableId="665519989">
    <w:abstractNumId w:val="14"/>
  </w:num>
  <w:num w:numId="14" w16cid:durableId="1357583984">
    <w:abstractNumId w:val="21"/>
  </w:num>
  <w:num w:numId="15" w16cid:durableId="595093995">
    <w:abstractNumId w:val="24"/>
  </w:num>
  <w:num w:numId="16" w16cid:durableId="1661159065">
    <w:abstractNumId w:val="23"/>
  </w:num>
  <w:num w:numId="17" w16cid:durableId="1365985557">
    <w:abstractNumId w:val="13"/>
  </w:num>
  <w:num w:numId="18" w16cid:durableId="133300610">
    <w:abstractNumId w:val="14"/>
    <w:lvlOverride w:ilvl="0">
      <w:startOverride w:val="1"/>
    </w:lvlOverride>
  </w:num>
  <w:num w:numId="19" w16cid:durableId="1716467500">
    <w:abstractNumId w:val="19"/>
  </w:num>
  <w:num w:numId="20" w16cid:durableId="334655914">
    <w:abstractNumId w:val="18"/>
  </w:num>
  <w:num w:numId="21" w16cid:durableId="421028914">
    <w:abstractNumId w:val="17"/>
  </w:num>
  <w:num w:numId="22" w16cid:durableId="1269006317">
    <w:abstractNumId w:val="16"/>
  </w:num>
  <w:num w:numId="23" w16cid:durableId="6712842">
    <w:abstractNumId w:val="10"/>
  </w:num>
  <w:num w:numId="24" w16cid:durableId="1008211452">
    <w:abstractNumId w:val="15"/>
  </w:num>
  <w:num w:numId="25" w16cid:durableId="2101757606">
    <w:abstractNumId w:val="11"/>
    <w:lvlOverride w:ilvl="0">
      <w:startOverride w:val="1"/>
    </w:lvlOverride>
    <w:lvlOverride w:ilvl="1">
      <w:startOverride w:val="2"/>
    </w:lvlOverride>
    <w:lvlOverride w:ilvl="2">
      <w:startOverride w:val="2"/>
    </w:lvlOverride>
  </w:num>
  <w:num w:numId="26" w16cid:durableId="180437194">
    <w:abstractNumId w:val="11"/>
    <w:lvlOverride w:ilvl="0">
      <w:startOverride w:val="1"/>
    </w:lvlOverride>
    <w:lvlOverride w:ilvl="1">
      <w:startOverride w:val="2"/>
    </w:lvlOverride>
    <w:lvlOverride w:ilvl="2">
      <w:startOverride w:val="2"/>
    </w:lvlOverride>
  </w:num>
  <w:num w:numId="27" w16cid:durableId="211498510">
    <w:abstractNumId w:val="22"/>
  </w:num>
  <w:num w:numId="28" w16cid:durableId="930360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23C"/>
    <w:rsid w:val="000027C0"/>
    <w:rsid w:val="000052FB"/>
    <w:rsid w:val="00005A19"/>
    <w:rsid w:val="000117CB"/>
    <w:rsid w:val="000269C1"/>
    <w:rsid w:val="0003148D"/>
    <w:rsid w:val="00031EEC"/>
    <w:rsid w:val="00046C1E"/>
    <w:rsid w:val="00051566"/>
    <w:rsid w:val="000562A9"/>
    <w:rsid w:val="00062A9A"/>
    <w:rsid w:val="000634E4"/>
    <w:rsid w:val="00065058"/>
    <w:rsid w:val="00071529"/>
    <w:rsid w:val="00086C39"/>
    <w:rsid w:val="000A03B2"/>
    <w:rsid w:val="000D0268"/>
    <w:rsid w:val="000D34BE"/>
    <w:rsid w:val="000E0B3C"/>
    <w:rsid w:val="000E102F"/>
    <w:rsid w:val="000E36F1"/>
    <w:rsid w:val="000E3A73"/>
    <w:rsid w:val="000E414A"/>
    <w:rsid w:val="000E75FD"/>
    <w:rsid w:val="000F093C"/>
    <w:rsid w:val="000F787B"/>
    <w:rsid w:val="00116B96"/>
    <w:rsid w:val="0012091F"/>
    <w:rsid w:val="00125CDF"/>
    <w:rsid w:val="00126BC2"/>
    <w:rsid w:val="001308B6"/>
    <w:rsid w:val="0013121F"/>
    <w:rsid w:val="00131FE6"/>
    <w:rsid w:val="0013263F"/>
    <w:rsid w:val="001331DF"/>
    <w:rsid w:val="00134984"/>
    <w:rsid w:val="00134DE4"/>
    <w:rsid w:val="0014034D"/>
    <w:rsid w:val="00140FE3"/>
    <w:rsid w:val="00144D16"/>
    <w:rsid w:val="00150E59"/>
    <w:rsid w:val="00152DE3"/>
    <w:rsid w:val="00164CF9"/>
    <w:rsid w:val="0016668E"/>
    <w:rsid w:val="001667A6"/>
    <w:rsid w:val="0017036F"/>
    <w:rsid w:val="0017611C"/>
    <w:rsid w:val="0018171E"/>
    <w:rsid w:val="00184AD6"/>
    <w:rsid w:val="001A4AF7"/>
    <w:rsid w:val="001B0349"/>
    <w:rsid w:val="001B1E93"/>
    <w:rsid w:val="001B65C1"/>
    <w:rsid w:val="001C260F"/>
    <w:rsid w:val="001C5C3A"/>
    <w:rsid w:val="001C684B"/>
    <w:rsid w:val="001D0CFB"/>
    <w:rsid w:val="001D21AF"/>
    <w:rsid w:val="001D3D32"/>
    <w:rsid w:val="001D53FC"/>
    <w:rsid w:val="001D7A3C"/>
    <w:rsid w:val="001E4A34"/>
    <w:rsid w:val="001F42A5"/>
    <w:rsid w:val="001F7B9D"/>
    <w:rsid w:val="00201C93"/>
    <w:rsid w:val="002063E7"/>
    <w:rsid w:val="00220ADD"/>
    <w:rsid w:val="002224B4"/>
    <w:rsid w:val="002447EF"/>
    <w:rsid w:val="00251550"/>
    <w:rsid w:val="00256744"/>
    <w:rsid w:val="00263B05"/>
    <w:rsid w:val="00270D83"/>
    <w:rsid w:val="0027221A"/>
    <w:rsid w:val="00275B61"/>
    <w:rsid w:val="00280EF9"/>
    <w:rsid w:val="00280FAF"/>
    <w:rsid w:val="00282656"/>
    <w:rsid w:val="00296B83"/>
    <w:rsid w:val="002B1429"/>
    <w:rsid w:val="002B3499"/>
    <w:rsid w:val="002B4015"/>
    <w:rsid w:val="002B78CE"/>
    <w:rsid w:val="002C2FB6"/>
    <w:rsid w:val="002E1FA1"/>
    <w:rsid w:val="002E5D9C"/>
    <w:rsid w:val="002E5FA7"/>
    <w:rsid w:val="002F16A5"/>
    <w:rsid w:val="002F3309"/>
    <w:rsid w:val="002F673E"/>
    <w:rsid w:val="003008CE"/>
    <w:rsid w:val="003009B7"/>
    <w:rsid w:val="00300E56"/>
    <w:rsid w:val="0030152C"/>
    <w:rsid w:val="0030469C"/>
    <w:rsid w:val="00304CE8"/>
    <w:rsid w:val="00307C6F"/>
    <w:rsid w:val="00321CA6"/>
    <w:rsid w:val="00323763"/>
    <w:rsid w:val="00323C5F"/>
    <w:rsid w:val="00330991"/>
    <w:rsid w:val="00334C09"/>
    <w:rsid w:val="00334C9F"/>
    <w:rsid w:val="00355ECE"/>
    <w:rsid w:val="003723D4"/>
    <w:rsid w:val="00381905"/>
    <w:rsid w:val="00384CC8"/>
    <w:rsid w:val="003871FD"/>
    <w:rsid w:val="0039211E"/>
    <w:rsid w:val="00397C84"/>
    <w:rsid w:val="003A1E30"/>
    <w:rsid w:val="003A2829"/>
    <w:rsid w:val="003A3B6F"/>
    <w:rsid w:val="003A7D1C"/>
    <w:rsid w:val="003B304B"/>
    <w:rsid w:val="003B3146"/>
    <w:rsid w:val="003B49CD"/>
    <w:rsid w:val="003C3CF1"/>
    <w:rsid w:val="003D1E02"/>
    <w:rsid w:val="003F015E"/>
    <w:rsid w:val="003F0AF2"/>
    <w:rsid w:val="00400414"/>
    <w:rsid w:val="00401C5D"/>
    <w:rsid w:val="0041446B"/>
    <w:rsid w:val="00436961"/>
    <w:rsid w:val="0044071E"/>
    <w:rsid w:val="0044329C"/>
    <w:rsid w:val="0045335F"/>
    <w:rsid w:val="00453E24"/>
    <w:rsid w:val="00457456"/>
    <w:rsid w:val="004577FE"/>
    <w:rsid w:val="00457B9C"/>
    <w:rsid w:val="0046164A"/>
    <w:rsid w:val="004628D2"/>
    <w:rsid w:val="00462DCD"/>
    <w:rsid w:val="004648AD"/>
    <w:rsid w:val="004703A9"/>
    <w:rsid w:val="004760DE"/>
    <w:rsid w:val="004763D7"/>
    <w:rsid w:val="00477FF7"/>
    <w:rsid w:val="0049788D"/>
    <w:rsid w:val="004A004E"/>
    <w:rsid w:val="004A24CF"/>
    <w:rsid w:val="004B3D22"/>
    <w:rsid w:val="004C3D1D"/>
    <w:rsid w:val="004C3D84"/>
    <w:rsid w:val="004C5027"/>
    <w:rsid w:val="004C7913"/>
    <w:rsid w:val="004E4DD6"/>
    <w:rsid w:val="004F5095"/>
    <w:rsid w:val="004F5E36"/>
    <w:rsid w:val="004F7B96"/>
    <w:rsid w:val="005066F4"/>
    <w:rsid w:val="00507B47"/>
    <w:rsid w:val="00507BEF"/>
    <w:rsid w:val="00507CC9"/>
    <w:rsid w:val="005119A5"/>
    <w:rsid w:val="005120ED"/>
    <w:rsid w:val="0052173B"/>
    <w:rsid w:val="005278B7"/>
    <w:rsid w:val="00532016"/>
    <w:rsid w:val="005346C8"/>
    <w:rsid w:val="005427A1"/>
    <w:rsid w:val="00543E7D"/>
    <w:rsid w:val="00547466"/>
    <w:rsid w:val="00547A68"/>
    <w:rsid w:val="005531C9"/>
    <w:rsid w:val="00554879"/>
    <w:rsid w:val="00570C43"/>
    <w:rsid w:val="005828A3"/>
    <w:rsid w:val="005915A6"/>
    <w:rsid w:val="00592274"/>
    <w:rsid w:val="00596D6C"/>
    <w:rsid w:val="005B2110"/>
    <w:rsid w:val="005B350B"/>
    <w:rsid w:val="005B61E6"/>
    <w:rsid w:val="005C77E1"/>
    <w:rsid w:val="005D5E3B"/>
    <w:rsid w:val="005D668A"/>
    <w:rsid w:val="005D6A2F"/>
    <w:rsid w:val="005E0592"/>
    <w:rsid w:val="005E1A82"/>
    <w:rsid w:val="005E794C"/>
    <w:rsid w:val="005F0A28"/>
    <w:rsid w:val="005F0E5E"/>
    <w:rsid w:val="00600535"/>
    <w:rsid w:val="00601689"/>
    <w:rsid w:val="00605081"/>
    <w:rsid w:val="00610CD6"/>
    <w:rsid w:val="00620DEE"/>
    <w:rsid w:val="00621F92"/>
    <w:rsid w:val="0062280A"/>
    <w:rsid w:val="006231E1"/>
    <w:rsid w:val="00625639"/>
    <w:rsid w:val="00626342"/>
    <w:rsid w:val="0063182C"/>
    <w:rsid w:val="00631B33"/>
    <w:rsid w:val="00632502"/>
    <w:rsid w:val="0064184D"/>
    <w:rsid w:val="006422CC"/>
    <w:rsid w:val="00645F7F"/>
    <w:rsid w:val="00651D18"/>
    <w:rsid w:val="00660E3E"/>
    <w:rsid w:val="00662E74"/>
    <w:rsid w:val="00680C23"/>
    <w:rsid w:val="00683E23"/>
    <w:rsid w:val="00693766"/>
    <w:rsid w:val="006A3281"/>
    <w:rsid w:val="006A6DE5"/>
    <w:rsid w:val="006B4888"/>
    <w:rsid w:val="006C2C3C"/>
    <w:rsid w:val="006C2E45"/>
    <w:rsid w:val="006C359C"/>
    <w:rsid w:val="006C5579"/>
    <w:rsid w:val="006D6A9D"/>
    <w:rsid w:val="006D6E8B"/>
    <w:rsid w:val="006D7209"/>
    <w:rsid w:val="006E737D"/>
    <w:rsid w:val="00707DD1"/>
    <w:rsid w:val="00713973"/>
    <w:rsid w:val="00720A24"/>
    <w:rsid w:val="0072755E"/>
    <w:rsid w:val="00732386"/>
    <w:rsid w:val="0073514D"/>
    <w:rsid w:val="007369BA"/>
    <w:rsid w:val="00737AB9"/>
    <w:rsid w:val="0074258E"/>
    <w:rsid w:val="007447F3"/>
    <w:rsid w:val="0075241F"/>
    <w:rsid w:val="0075499F"/>
    <w:rsid w:val="007578C9"/>
    <w:rsid w:val="0076075E"/>
    <w:rsid w:val="007661C8"/>
    <w:rsid w:val="0077098D"/>
    <w:rsid w:val="00785558"/>
    <w:rsid w:val="00785BF9"/>
    <w:rsid w:val="007931FA"/>
    <w:rsid w:val="007A4861"/>
    <w:rsid w:val="007A7BBA"/>
    <w:rsid w:val="007B0C50"/>
    <w:rsid w:val="007B48F9"/>
    <w:rsid w:val="007C1A43"/>
    <w:rsid w:val="007D0951"/>
    <w:rsid w:val="007D5DD0"/>
    <w:rsid w:val="007D610D"/>
    <w:rsid w:val="007F6BE5"/>
    <w:rsid w:val="0080013E"/>
    <w:rsid w:val="00801759"/>
    <w:rsid w:val="00802780"/>
    <w:rsid w:val="008115CA"/>
    <w:rsid w:val="00813288"/>
    <w:rsid w:val="00813B21"/>
    <w:rsid w:val="008168FC"/>
    <w:rsid w:val="00830996"/>
    <w:rsid w:val="008345F1"/>
    <w:rsid w:val="00865B07"/>
    <w:rsid w:val="008667EA"/>
    <w:rsid w:val="0087637F"/>
    <w:rsid w:val="008873DA"/>
    <w:rsid w:val="00892AD5"/>
    <w:rsid w:val="008A1512"/>
    <w:rsid w:val="008B5122"/>
    <w:rsid w:val="008D32B9"/>
    <w:rsid w:val="008D433B"/>
    <w:rsid w:val="008D4A16"/>
    <w:rsid w:val="008D56D3"/>
    <w:rsid w:val="008D7464"/>
    <w:rsid w:val="008E5401"/>
    <w:rsid w:val="008E566E"/>
    <w:rsid w:val="008E7062"/>
    <w:rsid w:val="0090161A"/>
    <w:rsid w:val="00901EB6"/>
    <w:rsid w:val="009041F8"/>
    <w:rsid w:val="00904C62"/>
    <w:rsid w:val="00920DE1"/>
    <w:rsid w:val="00922BA8"/>
    <w:rsid w:val="00924DAC"/>
    <w:rsid w:val="00927058"/>
    <w:rsid w:val="00935AF7"/>
    <w:rsid w:val="00942750"/>
    <w:rsid w:val="009450CE"/>
    <w:rsid w:val="009459BB"/>
    <w:rsid w:val="00947179"/>
    <w:rsid w:val="0095164B"/>
    <w:rsid w:val="00954090"/>
    <w:rsid w:val="009573E7"/>
    <w:rsid w:val="00963E05"/>
    <w:rsid w:val="00964A45"/>
    <w:rsid w:val="00967843"/>
    <w:rsid w:val="00967D54"/>
    <w:rsid w:val="00971028"/>
    <w:rsid w:val="0099079D"/>
    <w:rsid w:val="009928F2"/>
    <w:rsid w:val="00993B84"/>
    <w:rsid w:val="00994C6A"/>
    <w:rsid w:val="00996483"/>
    <w:rsid w:val="00996F5A"/>
    <w:rsid w:val="00997209"/>
    <w:rsid w:val="009A6314"/>
    <w:rsid w:val="009B041A"/>
    <w:rsid w:val="009B151C"/>
    <w:rsid w:val="009B6E57"/>
    <w:rsid w:val="009C37C3"/>
    <w:rsid w:val="009C7C86"/>
    <w:rsid w:val="009D2FF7"/>
    <w:rsid w:val="009D7C38"/>
    <w:rsid w:val="009E1D0A"/>
    <w:rsid w:val="009E7884"/>
    <w:rsid w:val="009E788A"/>
    <w:rsid w:val="009F0E08"/>
    <w:rsid w:val="00A06CB8"/>
    <w:rsid w:val="00A079AE"/>
    <w:rsid w:val="00A161F4"/>
    <w:rsid w:val="00A1763D"/>
    <w:rsid w:val="00A17CEC"/>
    <w:rsid w:val="00A258FA"/>
    <w:rsid w:val="00A27EF0"/>
    <w:rsid w:val="00A35466"/>
    <w:rsid w:val="00A4140F"/>
    <w:rsid w:val="00A42361"/>
    <w:rsid w:val="00A456A2"/>
    <w:rsid w:val="00A50B20"/>
    <w:rsid w:val="00A51390"/>
    <w:rsid w:val="00A60D13"/>
    <w:rsid w:val="00A7223D"/>
    <w:rsid w:val="00A72745"/>
    <w:rsid w:val="00A76EFC"/>
    <w:rsid w:val="00A87D50"/>
    <w:rsid w:val="00A91010"/>
    <w:rsid w:val="00A97F29"/>
    <w:rsid w:val="00AA702E"/>
    <w:rsid w:val="00AA7D26"/>
    <w:rsid w:val="00AB0964"/>
    <w:rsid w:val="00AB4284"/>
    <w:rsid w:val="00AB5011"/>
    <w:rsid w:val="00AC7368"/>
    <w:rsid w:val="00AD16B9"/>
    <w:rsid w:val="00AE377D"/>
    <w:rsid w:val="00AF0EBA"/>
    <w:rsid w:val="00AF2463"/>
    <w:rsid w:val="00AF7FAD"/>
    <w:rsid w:val="00B02C8A"/>
    <w:rsid w:val="00B17FBD"/>
    <w:rsid w:val="00B315A6"/>
    <w:rsid w:val="00B31813"/>
    <w:rsid w:val="00B33365"/>
    <w:rsid w:val="00B402A0"/>
    <w:rsid w:val="00B40C5E"/>
    <w:rsid w:val="00B53D90"/>
    <w:rsid w:val="00B54A8E"/>
    <w:rsid w:val="00B57B36"/>
    <w:rsid w:val="00B57E6F"/>
    <w:rsid w:val="00B7101B"/>
    <w:rsid w:val="00B80249"/>
    <w:rsid w:val="00B8686D"/>
    <w:rsid w:val="00B901B0"/>
    <w:rsid w:val="00B93F69"/>
    <w:rsid w:val="00BB1DDC"/>
    <w:rsid w:val="00BB3366"/>
    <w:rsid w:val="00BC30C9"/>
    <w:rsid w:val="00BD077D"/>
    <w:rsid w:val="00BE2521"/>
    <w:rsid w:val="00BE3E58"/>
    <w:rsid w:val="00BF13CE"/>
    <w:rsid w:val="00BF5E70"/>
    <w:rsid w:val="00C01616"/>
    <w:rsid w:val="00C0162B"/>
    <w:rsid w:val="00C068ED"/>
    <w:rsid w:val="00C14F9C"/>
    <w:rsid w:val="00C22E0C"/>
    <w:rsid w:val="00C345B1"/>
    <w:rsid w:val="00C40142"/>
    <w:rsid w:val="00C52C3C"/>
    <w:rsid w:val="00C57182"/>
    <w:rsid w:val="00C57863"/>
    <w:rsid w:val="00C640AF"/>
    <w:rsid w:val="00C655FD"/>
    <w:rsid w:val="00C65E26"/>
    <w:rsid w:val="00C66B08"/>
    <w:rsid w:val="00C75407"/>
    <w:rsid w:val="00C841C6"/>
    <w:rsid w:val="00C86CEE"/>
    <w:rsid w:val="00C870A8"/>
    <w:rsid w:val="00C94434"/>
    <w:rsid w:val="00CA0D75"/>
    <w:rsid w:val="00CA1C95"/>
    <w:rsid w:val="00CA52EA"/>
    <w:rsid w:val="00CA5A9C"/>
    <w:rsid w:val="00CC4C20"/>
    <w:rsid w:val="00CD3517"/>
    <w:rsid w:val="00CD5FE2"/>
    <w:rsid w:val="00CE0147"/>
    <w:rsid w:val="00CE7C68"/>
    <w:rsid w:val="00CF41AC"/>
    <w:rsid w:val="00CF6D76"/>
    <w:rsid w:val="00D02B4C"/>
    <w:rsid w:val="00D040C4"/>
    <w:rsid w:val="00D20AD1"/>
    <w:rsid w:val="00D228E9"/>
    <w:rsid w:val="00D2582C"/>
    <w:rsid w:val="00D4362E"/>
    <w:rsid w:val="00D46B7E"/>
    <w:rsid w:val="00D57C84"/>
    <w:rsid w:val="00D60475"/>
    <w:rsid w:val="00D6057D"/>
    <w:rsid w:val="00D71640"/>
    <w:rsid w:val="00D778A4"/>
    <w:rsid w:val="00D836C5"/>
    <w:rsid w:val="00D84576"/>
    <w:rsid w:val="00DA1399"/>
    <w:rsid w:val="00DA24C6"/>
    <w:rsid w:val="00DA4D7B"/>
    <w:rsid w:val="00DC2840"/>
    <w:rsid w:val="00DC73EE"/>
    <w:rsid w:val="00DD271C"/>
    <w:rsid w:val="00DE264A"/>
    <w:rsid w:val="00DE41C4"/>
    <w:rsid w:val="00DE572A"/>
    <w:rsid w:val="00DF13D5"/>
    <w:rsid w:val="00DF5072"/>
    <w:rsid w:val="00DF7767"/>
    <w:rsid w:val="00E02D18"/>
    <w:rsid w:val="00E041E7"/>
    <w:rsid w:val="00E079D9"/>
    <w:rsid w:val="00E23CA1"/>
    <w:rsid w:val="00E409A8"/>
    <w:rsid w:val="00E50C12"/>
    <w:rsid w:val="00E56C33"/>
    <w:rsid w:val="00E606D9"/>
    <w:rsid w:val="00E61E8D"/>
    <w:rsid w:val="00E65B91"/>
    <w:rsid w:val="00E7209D"/>
    <w:rsid w:val="00E72EAD"/>
    <w:rsid w:val="00E7515A"/>
    <w:rsid w:val="00E77223"/>
    <w:rsid w:val="00E8528B"/>
    <w:rsid w:val="00E85B94"/>
    <w:rsid w:val="00E9457E"/>
    <w:rsid w:val="00E978D0"/>
    <w:rsid w:val="00EA4613"/>
    <w:rsid w:val="00EA7F91"/>
    <w:rsid w:val="00EB1262"/>
    <w:rsid w:val="00EB1523"/>
    <w:rsid w:val="00EC0E49"/>
    <w:rsid w:val="00EC101F"/>
    <w:rsid w:val="00EC1D9F"/>
    <w:rsid w:val="00ED2F09"/>
    <w:rsid w:val="00ED72FA"/>
    <w:rsid w:val="00EE0131"/>
    <w:rsid w:val="00EE17B0"/>
    <w:rsid w:val="00EF06D9"/>
    <w:rsid w:val="00EF1149"/>
    <w:rsid w:val="00EF6731"/>
    <w:rsid w:val="00F203BB"/>
    <w:rsid w:val="00F3049E"/>
    <w:rsid w:val="00F30C64"/>
    <w:rsid w:val="00F32BA2"/>
    <w:rsid w:val="00F32CDB"/>
    <w:rsid w:val="00F41EE4"/>
    <w:rsid w:val="00F53A57"/>
    <w:rsid w:val="00F547C6"/>
    <w:rsid w:val="00F565FE"/>
    <w:rsid w:val="00F61B10"/>
    <w:rsid w:val="00F63A70"/>
    <w:rsid w:val="00F63D8C"/>
    <w:rsid w:val="00F7534E"/>
    <w:rsid w:val="00F87019"/>
    <w:rsid w:val="00F92B0B"/>
    <w:rsid w:val="00F9337D"/>
    <w:rsid w:val="00F93EDF"/>
    <w:rsid w:val="00FA1802"/>
    <w:rsid w:val="00FA21D0"/>
    <w:rsid w:val="00FA5F1B"/>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F87019"/>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EB1262"/>
    <w:pPr>
      <w:keepNext/>
      <w:numPr>
        <w:ilvl w:val="2"/>
        <w:numId w:val="1"/>
      </w:numPr>
      <w:suppressAutoHyphens/>
      <w:spacing w:before="120" w:after="120" w:line="240" w:lineRule="auto"/>
    </w:pPr>
    <w:rPr>
      <w:rFonts w:ascii="Arial" w:eastAsia="Times New Roman" w:hAnsi="Arial" w:cs="Times New Roman"/>
      <w:b/>
      <w:sz w:val="18"/>
      <w:szCs w:val="20"/>
      <w:lang w:val="es-PE"/>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EB1262"/>
    <w:rPr>
      <w:rFonts w:ascii="Arial" w:eastAsia="Times New Roman" w:hAnsi="Arial" w:cs="Times New Roman"/>
      <w:b/>
      <w:sz w:val="18"/>
      <w:szCs w:val="20"/>
      <w:lang w:val="es-PE"/>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qFormat/>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071529"/>
    <w:rPr>
      <w:color w:val="605E5C"/>
      <w:shd w:val="clear" w:color="auto" w:fill="E1DFDD"/>
    </w:rPr>
  </w:style>
  <w:style w:type="character" w:customStyle="1" w:styleId="y2iqfc">
    <w:name w:val="y2iqfc"/>
    <w:basedOn w:val="Fuentedeprrafopredeter"/>
    <w:rsid w:val="00C1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795">
      <w:bodyDiv w:val="1"/>
      <w:marLeft w:val="0"/>
      <w:marRight w:val="0"/>
      <w:marTop w:val="0"/>
      <w:marBottom w:val="0"/>
      <w:divBdr>
        <w:top w:val="none" w:sz="0" w:space="0" w:color="auto"/>
        <w:left w:val="none" w:sz="0" w:space="0" w:color="auto"/>
        <w:bottom w:val="none" w:sz="0" w:space="0" w:color="auto"/>
        <w:right w:val="none" w:sz="0" w:space="0" w:color="auto"/>
      </w:divBdr>
      <w:divsChild>
        <w:div w:id="1867517932">
          <w:marLeft w:val="0"/>
          <w:marRight w:val="0"/>
          <w:marTop w:val="0"/>
          <w:marBottom w:val="0"/>
          <w:divBdr>
            <w:top w:val="none" w:sz="0" w:space="0" w:color="auto"/>
            <w:left w:val="none" w:sz="0" w:space="0" w:color="auto"/>
            <w:bottom w:val="none" w:sz="0" w:space="0" w:color="auto"/>
            <w:right w:val="none" w:sz="0" w:space="0" w:color="auto"/>
          </w:divBdr>
          <w:divsChild>
            <w:div w:id="1190602891">
              <w:marLeft w:val="0"/>
              <w:marRight w:val="0"/>
              <w:marTop w:val="0"/>
              <w:marBottom w:val="0"/>
              <w:divBdr>
                <w:top w:val="none" w:sz="0" w:space="0" w:color="auto"/>
                <w:left w:val="none" w:sz="0" w:space="0" w:color="auto"/>
                <w:bottom w:val="none" w:sz="0" w:space="0" w:color="auto"/>
                <w:right w:val="none" w:sz="0" w:space="0" w:color="auto"/>
              </w:divBdr>
              <w:divsChild>
                <w:div w:id="1244221260">
                  <w:marLeft w:val="0"/>
                  <w:marRight w:val="0"/>
                  <w:marTop w:val="0"/>
                  <w:marBottom w:val="0"/>
                  <w:divBdr>
                    <w:top w:val="none" w:sz="0" w:space="0" w:color="auto"/>
                    <w:left w:val="none" w:sz="0" w:space="0" w:color="auto"/>
                    <w:bottom w:val="none" w:sz="0" w:space="0" w:color="auto"/>
                    <w:right w:val="none" w:sz="0" w:space="0" w:color="auto"/>
                  </w:divBdr>
                  <w:divsChild>
                    <w:div w:id="1039015366">
                      <w:marLeft w:val="0"/>
                      <w:marRight w:val="0"/>
                      <w:marTop w:val="0"/>
                      <w:marBottom w:val="0"/>
                      <w:divBdr>
                        <w:top w:val="none" w:sz="0" w:space="0" w:color="auto"/>
                        <w:left w:val="none" w:sz="0" w:space="0" w:color="auto"/>
                        <w:bottom w:val="none" w:sz="0" w:space="0" w:color="auto"/>
                        <w:right w:val="none" w:sz="0" w:space="0" w:color="auto"/>
                      </w:divBdr>
                      <w:divsChild>
                        <w:div w:id="2074234513">
                          <w:marLeft w:val="0"/>
                          <w:marRight w:val="0"/>
                          <w:marTop w:val="0"/>
                          <w:marBottom w:val="0"/>
                          <w:divBdr>
                            <w:top w:val="none" w:sz="0" w:space="0" w:color="auto"/>
                            <w:left w:val="none" w:sz="0" w:space="0" w:color="auto"/>
                            <w:bottom w:val="none" w:sz="0" w:space="0" w:color="auto"/>
                            <w:right w:val="none" w:sz="0" w:space="0" w:color="auto"/>
                          </w:divBdr>
                          <w:divsChild>
                            <w:div w:id="560753468">
                              <w:marLeft w:val="0"/>
                              <w:marRight w:val="0"/>
                              <w:marTop w:val="0"/>
                              <w:marBottom w:val="0"/>
                              <w:divBdr>
                                <w:top w:val="none" w:sz="0" w:space="0" w:color="auto"/>
                                <w:left w:val="none" w:sz="0" w:space="0" w:color="auto"/>
                                <w:bottom w:val="none" w:sz="0" w:space="0" w:color="auto"/>
                                <w:right w:val="none" w:sz="0" w:space="0" w:color="auto"/>
                              </w:divBdr>
                              <w:divsChild>
                                <w:div w:id="430272971">
                                  <w:marLeft w:val="0"/>
                                  <w:marRight w:val="0"/>
                                  <w:marTop w:val="0"/>
                                  <w:marBottom w:val="0"/>
                                  <w:divBdr>
                                    <w:top w:val="none" w:sz="0" w:space="0" w:color="auto"/>
                                    <w:left w:val="none" w:sz="0" w:space="0" w:color="auto"/>
                                    <w:bottom w:val="none" w:sz="0" w:space="0" w:color="auto"/>
                                    <w:right w:val="none" w:sz="0" w:space="0" w:color="auto"/>
                                  </w:divBdr>
                                  <w:divsChild>
                                    <w:div w:id="11725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290594">
      <w:bodyDiv w:val="1"/>
      <w:marLeft w:val="0"/>
      <w:marRight w:val="0"/>
      <w:marTop w:val="0"/>
      <w:marBottom w:val="0"/>
      <w:divBdr>
        <w:top w:val="none" w:sz="0" w:space="0" w:color="auto"/>
        <w:left w:val="none" w:sz="0" w:space="0" w:color="auto"/>
        <w:bottom w:val="none" w:sz="0" w:space="0" w:color="auto"/>
        <w:right w:val="none" w:sz="0" w:space="0" w:color="auto"/>
      </w:divBdr>
    </w:div>
    <w:div w:id="742410061">
      <w:bodyDiv w:val="1"/>
      <w:marLeft w:val="0"/>
      <w:marRight w:val="0"/>
      <w:marTop w:val="0"/>
      <w:marBottom w:val="0"/>
      <w:divBdr>
        <w:top w:val="none" w:sz="0" w:space="0" w:color="auto"/>
        <w:left w:val="none" w:sz="0" w:space="0" w:color="auto"/>
        <w:bottom w:val="none" w:sz="0" w:space="0" w:color="auto"/>
        <w:right w:val="none" w:sz="0" w:space="0" w:color="auto"/>
      </w:divBdr>
    </w:div>
    <w:div w:id="77722075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4051">
      <w:bodyDiv w:val="1"/>
      <w:marLeft w:val="0"/>
      <w:marRight w:val="0"/>
      <w:marTop w:val="0"/>
      <w:marBottom w:val="0"/>
      <w:divBdr>
        <w:top w:val="none" w:sz="0" w:space="0" w:color="auto"/>
        <w:left w:val="none" w:sz="0" w:space="0" w:color="auto"/>
        <w:bottom w:val="none" w:sz="0" w:space="0" w:color="auto"/>
        <w:right w:val="none" w:sz="0" w:space="0" w:color="auto"/>
      </w:divBdr>
    </w:div>
    <w:div w:id="1224022084">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3099332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surface3DChart>
        <c:wireframe val="0"/>
        <c:ser>
          <c:idx val="0"/>
          <c:order val="0"/>
          <c:tx>
            <c:strRef>
              <c:f>Hoja1!$G$2</c:f>
              <c:strCache>
                <c:ptCount val="1"/>
                <c:pt idx="0">
                  <c:v>pH</c:v>
                </c:pt>
              </c:strCache>
            </c:strRef>
          </c:tx>
          <c:spPr>
            <a:solidFill>
              <a:schemeClr val="accent1"/>
            </a:solidFill>
            <a:ln/>
            <a:effectLst/>
            <a:sp3d/>
          </c:spPr>
          <c:val>
            <c:numRef>
              <c:f>Hoja1!$G$3:$G$11</c:f>
              <c:numCache>
                <c:formatCode>General</c:formatCode>
                <c:ptCount val="9"/>
                <c:pt idx="0">
                  <c:v>2</c:v>
                </c:pt>
                <c:pt idx="1">
                  <c:v>4</c:v>
                </c:pt>
                <c:pt idx="2">
                  <c:v>6</c:v>
                </c:pt>
                <c:pt idx="3">
                  <c:v>2</c:v>
                </c:pt>
                <c:pt idx="4">
                  <c:v>4</c:v>
                </c:pt>
                <c:pt idx="5">
                  <c:v>6</c:v>
                </c:pt>
                <c:pt idx="6">
                  <c:v>2</c:v>
                </c:pt>
                <c:pt idx="7">
                  <c:v>4</c:v>
                </c:pt>
                <c:pt idx="8">
                  <c:v>6</c:v>
                </c:pt>
              </c:numCache>
            </c:numRef>
          </c:val>
          <c:extLst>
            <c:ext xmlns:c16="http://schemas.microsoft.com/office/drawing/2014/chart" uri="{C3380CC4-5D6E-409C-BE32-E72D297353CC}">
              <c16:uniqueId val="{00000000-55CB-4ABF-9DBE-EF6DA8491C34}"/>
            </c:ext>
          </c:extLst>
        </c:ser>
        <c:ser>
          <c:idx val="1"/>
          <c:order val="1"/>
          <c:tx>
            <c:strRef>
              <c:f>Hoja1!$H$2</c:f>
              <c:strCache>
                <c:ptCount val="1"/>
                <c:pt idx="0">
                  <c:v>T°</c:v>
                </c:pt>
              </c:strCache>
            </c:strRef>
          </c:tx>
          <c:spPr>
            <a:solidFill>
              <a:schemeClr val="accent2"/>
            </a:solidFill>
            <a:ln/>
            <a:effectLst/>
            <a:sp3d/>
          </c:spPr>
          <c:val>
            <c:numRef>
              <c:f>Hoja1!$H$3:$H$11</c:f>
              <c:numCache>
                <c:formatCode>General</c:formatCode>
                <c:ptCount val="9"/>
                <c:pt idx="0">
                  <c:v>15</c:v>
                </c:pt>
                <c:pt idx="1">
                  <c:v>15</c:v>
                </c:pt>
                <c:pt idx="2">
                  <c:v>15</c:v>
                </c:pt>
                <c:pt idx="3">
                  <c:v>30</c:v>
                </c:pt>
                <c:pt idx="4">
                  <c:v>30</c:v>
                </c:pt>
                <c:pt idx="5">
                  <c:v>30</c:v>
                </c:pt>
                <c:pt idx="6">
                  <c:v>45</c:v>
                </c:pt>
                <c:pt idx="7">
                  <c:v>45</c:v>
                </c:pt>
                <c:pt idx="8">
                  <c:v>45</c:v>
                </c:pt>
              </c:numCache>
            </c:numRef>
          </c:val>
          <c:extLst>
            <c:ext xmlns:c16="http://schemas.microsoft.com/office/drawing/2014/chart" uri="{C3380CC4-5D6E-409C-BE32-E72D297353CC}">
              <c16:uniqueId val="{00000001-55CB-4ABF-9DBE-EF6DA8491C34}"/>
            </c:ext>
          </c:extLst>
        </c:ser>
        <c:ser>
          <c:idx val="2"/>
          <c:order val="2"/>
          <c:tx>
            <c:strRef>
              <c:f>Hoja1!$I$2</c:f>
              <c:strCache>
                <c:ptCount val="1"/>
                <c:pt idx="0">
                  <c:v>% Adsorción</c:v>
                </c:pt>
              </c:strCache>
            </c:strRef>
          </c:tx>
          <c:spPr>
            <a:solidFill>
              <a:schemeClr val="accent3"/>
            </a:solidFill>
            <a:ln/>
            <a:effectLst/>
            <a:sp3d/>
          </c:spPr>
          <c:val>
            <c:numRef>
              <c:f>Hoja1!$I$3:$I$11</c:f>
              <c:numCache>
                <c:formatCode>General</c:formatCode>
                <c:ptCount val="9"/>
                <c:pt idx="0">
                  <c:v>95.5</c:v>
                </c:pt>
                <c:pt idx="1">
                  <c:v>99.8</c:v>
                </c:pt>
                <c:pt idx="2">
                  <c:v>99.7</c:v>
                </c:pt>
                <c:pt idx="3">
                  <c:v>95.3</c:v>
                </c:pt>
                <c:pt idx="4">
                  <c:v>97.4</c:v>
                </c:pt>
                <c:pt idx="5">
                  <c:v>99.6</c:v>
                </c:pt>
                <c:pt idx="6">
                  <c:v>97.6</c:v>
                </c:pt>
                <c:pt idx="7">
                  <c:v>99.8</c:v>
                </c:pt>
                <c:pt idx="8">
                  <c:v>99.7</c:v>
                </c:pt>
              </c:numCache>
            </c:numRef>
          </c:val>
          <c:extLst>
            <c:ext xmlns:c16="http://schemas.microsoft.com/office/drawing/2014/chart" uri="{C3380CC4-5D6E-409C-BE32-E72D297353CC}">
              <c16:uniqueId val="{00000002-55CB-4ABF-9DBE-EF6DA8491C34}"/>
            </c:ext>
          </c:extLst>
        </c:ser>
        <c:bandFmts>
          <c:bandFmt>
            <c:idx val="0"/>
            <c:spPr>
              <a:solidFill>
                <a:schemeClr val="accent1"/>
              </a:solidFill>
              <a:ln/>
              <a:effectLst/>
              <a:sp3d/>
            </c:spPr>
          </c:bandFmt>
          <c:bandFmt>
            <c:idx val="1"/>
            <c:spPr>
              <a:solidFill>
                <a:schemeClr val="accent2"/>
              </a:solidFill>
              <a:ln/>
              <a:effectLst/>
              <a:sp3d/>
            </c:spPr>
          </c:bandFmt>
          <c:bandFmt>
            <c:idx val="2"/>
            <c:spPr>
              <a:solidFill>
                <a:schemeClr val="accent3"/>
              </a:solidFill>
              <a:ln/>
              <a:effectLst/>
              <a:sp3d/>
            </c:spPr>
          </c:bandFmt>
          <c:bandFmt>
            <c:idx val="3"/>
            <c:spPr>
              <a:solidFill>
                <a:schemeClr val="accent4"/>
              </a:solidFill>
              <a:ln/>
              <a:effectLst/>
              <a:sp3d/>
            </c:spPr>
          </c:bandFmt>
          <c:bandFmt>
            <c:idx val="4"/>
            <c:spPr>
              <a:solidFill>
                <a:schemeClr val="accent5"/>
              </a:solidFill>
              <a:ln/>
              <a:effectLst/>
              <a:sp3d/>
            </c:spPr>
          </c:bandFmt>
          <c:bandFmt>
            <c:idx val="5"/>
            <c:spPr>
              <a:solidFill>
                <a:schemeClr val="accent6"/>
              </a:solidFill>
              <a:ln/>
              <a:effectLst/>
              <a:sp3d/>
            </c:spPr>
          </c:bandFmt>
          <c:bandFmt>
            <c:idx val="6"/>
            <c:spPr>
              <a:solidFill>
                <a:schemeClr val="accent1">
                  <a:lumMod val="60000"/>
                </a:schemeClr>
              </a:solidFill>
              <a:ln/>
              <a:effectLst/>
              <a:sp3d/>
            </c:spPr>
          </c:bandFmt>
          <c:bandFmt>
            <c:idx val="7"/>
            <c:spPr>
              <a:solidFill>
                <a:schemeClr val="accent2">
                  <a:lumMod val="60000"/>
                </a:schemeClr>
              </a:solidFill>
              <a:ln/>
              <a:effectLst/>
              <a:sp3d/>
            </c:spPr>
          </c:bandFmt>
          <c:bandFmt>
            <c:idx val="8"/>
            <c:spPr>
              <a:solidFill>
                <a:schemeClr val="accent3">
                  <a:lumMod val="60000"/>
                </a:schemeClr>
              </a:solidFill>
              <a:ln/>
              <a:effectLst/>
              <a:sp3d/>
            </c:spPr>
          </c:bandFmt>
          <c:bandFmt>
            <c:idx val="9"/>
            <c:spPr>
              <a:solidFill>
                <a:schemeClr val="accent4">
                  <a:lumMod val="60000"/>
                </a:schemeClr>
              </a:solidFill>
              <a:ln/>
              <a:effectLst/>
              <a:sp3d/>
            </c:spPr>
          </c:bandFmt>
          <c:bandFmt>
            <c:idx val="10"/>
            <c:spPr>
              <a:solidFill>
                <a:schemeClr val="accent5">
                  <a:lumMod val="60000"/>
                </a:schemeClr>
              </a:solidFill>
              <a:ln/>
              <a:effectLst/>
              <a:sp3d/>
            </c:spPr>
          </c:bandFmt>
          <c:bandFmt>
            <c:idx val="11"/>
            <c:spPr>
              <a:solidFill>
                <a:schemeClr val="accent6">
                  <a:lumMod val="60000"/>
                </a:schemeClr>
              </a:solidFill>
              <a:ln/>
              <a:effectLst/>
              <a:sp3d/>
            </c:spPr>
          </c:bandFmt>
          <c:bandFmt>
            <c:idx val="12"/>
            <c:spPr>
              <a:solidFill>
                <a:schemeClr val="accent1">
                  <a:lumMod val="80000"/>
                  <a:lumOff val="20000"/>
                </a:schemeClr>
              </a:solidFill>
              <a:ln/>
              <a:effectLst/>
              <a:sp3d/>
            </c:spPr>
          </c:bandFmt>
          <c:bandFmt>
            <c:idx val="13"/>
            <c:spPr>
              <a:solidFill>
                <a:schemeClr val="accent2">
                  <a:lumMod val="80000"/>
                  <a:lumOff val="20000"/>
                </a:schemeClr>
              </a:solidFill>
              <a:ln/>
              <a:effectLst/>
              <a:sp3d/>
            </c:spPr>
          </c:bandFmt>
          <c:bandFmt>
            <c:idx val="14"/>
            <c:spPr>
              <a:solidFill>
                <a:schemeClr val="accent3">
                  <a:lumMod val="80000"/>
                  <a:lumOff val="20000"/>
                </a:schemeClr>
              </a:solidFill>
              <a:ln/>
              <a:effectLst/>
              <a:sp3d/>
            </c:spPr>
          </c:bandFmt>
        </c:bandFmts>
        <c:axId val="112450863"/>
        <c:axId val="112447983"/>
        <c:axId val="107577183"/>
      </c:surface3DChart>
      <c:catAx>
        <c:axId val="112450863"/>
        <c:scaling>
          <c:orientation val="minMax"/>
        </c:scaling>
        <c:delete val="0"/>
        <c:axPos val="b"/>
        <c:title>
          <c:tx>
            <c:rich>
              <a:bodyPr/>
              <a:lstStyle/>
              <a:p>
                <a:pPr>
                  <a:defRPr/>
                </a:pPr>
                <a:r>
                  <a:rPr lang="es-PE"/>
                  <a:t>pH</a:t>
                </a:r>
              </a:p>
            </c:rich>
          </c:tx>
          <c:overlay val="0"/>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12447983"/>
        <c:crosses val="autoZero"/>
        <c:auto val="1"/>
        <c:lblAlgn val="ctr"/>
        <c:lblOffset val="100"/>
        <c:noMultiLvlLbl val="0"/>
      </c:catAx>
      <c:valAx>
        <c:axId val="11244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s-PE"/>
                  <a:t>%Adsotion</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12450863"/>
        <c:crosses val="autoZero"/>
        <c:crossBetween val="midCat"/>
      </c:valAx>
      <c:serAx>
        <c:axId val="107577183"/>
        <c:scaling>
          <c:orientation val="minMax"/>
        </c:scaling>
        <c:delete val="1"/>
        <c:axPos val="b"/>
        <c:title>
          <c:tx>
            <c:rich>
              <a:bodyPr rot="-5400000" vert="horz"/>
              <a:lstStyle/>
              <a:p>
                <a:pPr>
                  <a:defRPr/>
                </a:pPr>
                <a:r>
                  <a:rPr lang="es-PE"/>
                  <a:t>Temperature</a:t>
                </a:r>
              </a:p>
            </c:rich>
          </c:tx>
          <c:overlay val="0"/>
        </c:title>
        <c:majorTickMark val="out"/>
        <c:minorTickMark val="none"/>
        <c:tickLblPos val="nextTo"/>
        <c:crossAx val="112447983"/>
        <c:crosses val="autoZero"/>
      </c:serAx>
    </c:plotArea>
    <c:plotVisOnly val="1"/>
    <c:dispBlanksAs val="zero"/>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s-PE"/>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FE05-54FC-46E2-997C-E38E3648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3391</Words>
  <Characters>19731</Characters>
  <Application>Microsoft Office Word</Application>
  <DocSecurity>0</DocSecurity>
  <Lines>409</Lines>
  <Paragraphs>209</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MAXIMO CISNEROS TEJEIRA</cp:lastModifiedBy>
  <cp:revision>2</cp:revision>
  <cp:lastPrinted>2025-07-20T13:24:00Z</cp:lastPrinted>
  <dcterms:created xsi:type="dcterms:W3CDTF">2025-07-20T14:33:00Z</dcterms:created>
  <dcterms:modified xsi:type="dcterms:W3CDTF">2025-07-20T14:33:00Z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id="V7lmCWDW"/&gt;&lt;style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GrammarlyDocumentId">
    <vt:lpwstr>dbb28b92-69ac-4255-a4b9-70437d32903b</vt:lpwstr>
  </property>
</Properties>
</file>