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B771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B771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B7714">
        <w:trPr>
          <w:trHeight w:val="68"/>
          <w:jc w:val="center"/>
        </w:trPr>
        <w:tc>
          <w:tcPr>
            <w:tcW w:w="8782" w:type="dxa"/>
            <w:gridSpan w:val="2"/>
          </w:tcPr>
          <w:p w14:paraId="1D8DD3C9" w14:textId="26FE8003" w:rsidR="00AA7D26" w:rsidRPr="002B3FFF" w:rsidRDefault="00AA7D26" w:rsidP="00AA7D26">
            <w:pPr>
              <w:ind w:left="-107"/>
              <w:outlineLvl w:val="2"/>
              <w:rPr>
                <w:rFonts w:ascii="Tahoma" w:hAnsi="Tahoma" w:cs="Tahoma"/>
                <w:bCs/>
                <w:color w:val="000000"/>
                <w:sz w:val="14"/>
                <w:szCs w:val="14"/>
                <w:lang w:val="it-IT" w:eastAsia="it-IT"/>
              </w:rPr>
            </w:pPr>
            <w:r w:rsidRPr="002B3FFF">
              <w:rPr>
                <w:rFonts w:ascii="Tahoma" w:hAnsi="Tahoma" w:cs="Tahoma"/>
                <w:iCs/>
                <w:color w:val="333333"/>
                <w:sz w:val="14"/>
                <w:szCs w:val="14"/>
                <w:lang w:val="it-IT" w:eastAsia="it-IT"/>
              </w:rPr>
              <w:t>Guest Editors:</w:t>
            </w:r>
            <w:r w:rsidRPr="002B3FFF">
              <w:rPr>
                <w:rFonts w:ascii="Tahoma" w:hAnsi="Tahoma" w:cs="Tahoma"/>
                <w:color w:val="000000"/>
                <w:sz w:val="14"/>
                <w:szCs w:val="14"/>
                <w:shd w:val="clear" w:color="auto" w:fill="FFFFFF"/>
                <w:lang w:val="it-IT"/>
              </w:rPr>
              <w:t xml:space="preserve"> </w:t>
            </w:r>
            <w:r w:rsidR="002B3FFF" w:rsidRPr="002B3FFF">
              <w:rPr>
                <w:rFonts w:ascii="Tahoma" w:hAnsi="Tahoma" w:cs="Tahoma"/>
                <w:color w:val="000000"/>
                <w:sz w:val="14"/>
                <w:szCs w:val="14"/>
                <w:shd w:val="clear" w:color="auto" w:fill="FFFFFF"/>
                <w:lang w:val="it-IT"/>
              </w:rPr>
              <w:t xml:space="preserve">Paolo </w:t>
            </w:r>
            <w:proofErr w:type="spellStart"/>
            <w:r w:rsidR="002B3FFF" w:rsidRPr="002B3FFF">
              <w:rPr>
                <w:rFonts w:ascii="Tahoma" w:hAnsi="Tahoma" w:cs="Tahoma"/>
                <w:color w:val="000000"/>
                <w:sz w:val="14"/>
                <w:szCs w:val="14"/>
                <w:shd w:val="clear" w:color="auto" w:fill="FFFFFF"/>
                <w:lang w:val="it-IT"/>
              </w:rPr>
              <w:t>Ciambelli</w:t>
            </w:r>
            <w:proofErr w:type="spellEnd"/>
            <w:r w:rsidR="002B3FFF" w:rsidRPr="002B3FFF">
              <w:rPr>
                <w:rFonts w:ascii="Tahoma" w:hAnsi="Tahoma" w:cs="Tahoma"/>
                <w:color w:val="000000"/>
                <w:sz w:val="14"/>
                <w:szCs w:val="14"/>
                <w:shd w:val="clear" w:color="auto" w:fill="FFFFFF"/>
                <w:lang w:val="it-IT"/>
              </w:rPr>
              <w:t>, L</w:t>
            </w:r>
            <w:r w:rsidR="002B3FFF">
              <w:rPr>
                <w:rFonts w:ascii="Tahoma" w:hAnsi="Tahoma" w:cs="Tahoma"/>
                <w:color w:val="000000"/>
                <w:sz w:val="14"/>
                <w:szCs w:val="14"/>
                <w:shd w:val="clear" w:color="auto" w:fill="FFFFFF"/>
                <w:lang w:val="it-IT"/>
              </w:rPr>
              <w:t>uca Di Palma</w:t>
            </w:r>
          </w:p>
          <w:p w14:paraId="1B0F1814" w14:textId="1F7D2C4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sidR="00372E71">
              <w:rPr>
                <w:rFonts w:ascii="Tahoma" w:hAnsi="Tahoma" w:cs="Tahoma"/>
                <w:sz w:val="14"/>
                <w:szCs w:val="14"/>
              </w:rPr>
              <w:t>9</w:t>
            </w:r>
            <w:r w:rsidRPr="000562A9">
              <w:rPr>
                <w:rFonts w:ascii="Tahoma" w:hAnsi="Tahoma" w:cs="Tahoma"/>
                <w:sz w:val="14"/>
                <w:szCs w:val="14"/>
              </w:rPr>
              <w:t>-</w:t>
            </w:r>
            <w:r w:rsidR="00372E71">
              <w:rPr>
                <w:rFonts w:ascii="Tahoma" w:hAnsi="Tahoma" w:cs="Tahoma"/>
                <w:sz w:val="14"/>
                <w:szCs w:val="14"/>
              </w:rPr>
              <w:t>12</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22273F0" w:rsidR="00E978D0" w:rsidRPr="00B57B36" w:rsidRDefault="004B7714" w:rsidP="00E978D0">
      <w:pPr>
        <w:pStyle w:val="CETTitle"/>
      </w:pPr>
      <w:r w:rsidRPr="004B7714">
        <w:t>Nanocellulose-based aerogels for dyes removal</w:t>
      </w:r>
    </w:p>
    <w:p w14:paraId="0488FED2" w14:textId="4F34A02F" w:rsidR="00B57E6F" w:rsidRPr="004B7714" w:rsidRDefault="004B7714" w:rsidP="00B57E6F">
      <w:pPr>
        <w:pStyle w:val="CETAuthors"/>
        <w:rPr>
          <w:lang w:val="it-IT"/>
        </w:rPr>
      </w:pPr>
      <w:r w:rsidRPr="004B7714">
        <w:rPr>
          <w:lang w:val="it-IT"/>
        </w:rPr>
        <w:t>Annachiara Pirozzi</w:t>
      </w:r>
      <w:r w:rsidR="00B57E6F" w:rsidRPr="004B7714">
        <w:rPr>
          <w:vertAlign w:val="superscript"/>
          <w:lang w:val="it-IT"/>
        </w:rPr>
        <w:t>a</w:t>
      </w:r>
      <w:r w:rsidR="00297B6D">
        <w:rPr>
          <w:vertAlign w:val="superscript"/>
          <w:lang w:val="it-IT"/>
        </w:rPr>
        <w:t>,</w:t>
      </w:r>
      <w:r w:rsidR="00257463" w:rsidRPr="004B7714">
        <w:rPr>
          <w:vertAlign w:val="superscript"/>
          <w:lang w:val="it-IT"/>
        </w:rPr>
        <w:t>b</w:t>
      </w:r>
      <w:r w:rsidR="00257463">
        <w:rPr>
          <w:vertAlign w:val="superscript"/>
          <w:lang w:val="it-IT"/>
        </w:rPr>
        <w:t>,</w:t>
      </w:r>
      <w:r w:rsidR="00297B6D">
        <w:rPr>
          <w:vertAlign w:val="superscript"/>
          <w:lang w:val="it-IT"/>
        </w:rPr>
        <w:t>*</w:t>
      </w:r>
      <w:r w:rsidR="00B57E6F" w:rsidRPr="004B7714">
        <w:rPr>
          <w:lang w:val="it-IT"/>
        </w:rPr>
        <w:t xml:space="preserve">, </w:t>
      </w:r>
      <w:r w:rsidRPr="004B7714">
        <w:rPr>
          <w:lang w:val="it-IT"/>
        </w:rPr>
        <w:t>Esther Rincón</w:t>
      </w:r>
      <w:r w:rsidR="00B57E6F" w:rsidRPr="004B7714">
        <w:rPr>
          <w:vertAlign w:val="superscript"/>
          <w:lang w:val="it-IT"/>
        </w:rPr>
        <w:t>b</w:t>
      </w:r>
      <w:r w:rsidR="00B57E6F" w:rsidRPr="004B7714">
        <w:rPr>
          <w:lang w:val="it-IT"/>
        </w:rPr>
        <w:t xml:space="preserve">, </w:t>
      </w:r>
      <w:r w:rsidRPr="004B7714">
        <w:rPr>
          <w:lang w:val="it-IT"/>
        </w:rPr>
        <w:t>Eduardo Espinosa</w:t>
      </w:r>
      <w:r w:rsidRPr="004B7714">
        <w:rPr>
          <w:vertAlign w:val="superscript"/>
          <w:lang w:val="it-IT"/>
        </w:rPr>
        <w:t>b</w:t>
      </w:r>
      <w:r>
        <w:rPr>
          <w:lang w:val="it-IT"/>
        </w:rPr>
        <w:t xml:space="preserve">, </w:t>
      </w:r>
      <w:r w:rsidRPr="004B7714">
        <w:rPr>
          <w:lang w:val="it-IT"/>
        </w:rPr>
        <w:t>Francesco Donsì</w:t>
      </w:r>
      <w:r w:rsidR="00143E21" w:rsidRPr="004B7714">
        <w:rPr>
          <w:vertAlign w:val="superscript"/>
          <w:lang w:val="it-IT"/>
        </w:rPr>
        <w:t>a</w:t>
      </w:r>
      <w:r w:rsidRPr="004B7714">
        <w:rPr>
          <w:lang w:val="it-IT"/>
        </w:rPr>
        <w:t>, Luis Serrano</w:t>
      </w:r>
      <w:r w:rsidRPr="004B7714">
        <w:rPr>
          <w:vertAlign w:val="superscript"/>
          <w:lang w:val="it-IT"/>
        </w:rPr>
        <w:t>b</w:t>
      </w:r>
    </w:p>
    <w:p w14:paraId="6B2D21B3" w14:textId="58917BBB" w:rsidR="00B57E6F" w:rsidRPr="00B57B36" w:rsidRDefault="00B57E6F" w:rsidP="00B57E6F">
      <w:pPr>
        <w:pStyle w:val="CETAddress"/>
      </w:pPr>
      <w:r w:rsidRPr="00B57B36">
        <w:rPr>
          <w:vertAlign w:val="superscript"/>
        </w:rPr>
        <w:t>a</w:t>
      </w:r>
      <w:r w:rsidR="004B7714" w:rsidRPr="004B7714">
        <w:t>Department of Industrial Engineering, University of Salerno, via Giovanni Paolo II, 132, 84084 - Fisciano, Italy</w:t>
      </w:r>
    </w:p>
    <w:p w14:paraId="3D72B0B0" w14:textId="5457C23B" w:rsidR="00B57E6F" w:rsidRPr="00B57B36" w:rsidRDefault="00B57E6F" w:rsidP="00B57E6F">
      <w:pPr>
        <w:pStyle w:val="CETAddress"/>
      </w:pPr>
      <w:r w:rsidRPr="00B57B36">
        <w:rPr>
          <w:vertAlign w:val="superscript"/>
        </w:rPr>
        <w:t>b</w:t>
      </w:r>
      <w:r w:rsidR="004B7714" w:rsidRPr="004B7714">
        <w:t>BioPrEn Group (RNM 940), Chemical Engineering Department, Instituto Químico para la Energía y el Medioambiente (IQUEMA), Faculty of Science, Universidad de Córdoba, 14014, Córdoba, Spain</w:t>
      </w:r>
    </w:p>
    <w:p w14:paraId="73F1267A" w14:textId="0D2AE941" w:rsidR="00B57E6F" w:rsidRPr="00B57B36" w:rsidRDefault="004B7714" w:rsidP="00B57E6F">
      <w:pPr>
        <w:pStyle w:val="CETemail"/>
      </w:pPr>
      <w:r>
        <w:t>*</w:t>
      </w:r>
      <w:r w:rsidR="00B57E6F">
        <w:t xml:space="preserve"> </w:t>
      </w:r>
      <w:hyperlink r:id="rId10" w:history="1">
        <w:r w:rsidR="005E34F8" w:rsidRPr="000546E5">
          <w:rPr>
            <w:rStyle w:val="Collegamentoipertestuale"/>
          </w:rPr>
          <w:t>apirozzi@unisa.it</w:t>
        </w:r>
      </w:hyperlink>
    </w:p>
    <w:p w14:paraId="710E533C" w14:textId="61775C1F" w:rsidR="00B25508" w:rsidRDefault="00B25508" w:rsidP="00600535">
      <w:pPr>
        <w:pStyle w:val="CETBodytext"/>
        <w:rPr>
          <w:lang w:val="en-GB"/>
        </w:rPr>
      </w:pPr>
      <w:r>
        <w:rPr>
          <w:lang w:val="en-GB"/>
        </w:rPr>
        <w:t>N</w:t>
      </w:r>
      <w:r w:rsidRPr="00B25508">
        <w:rPr>
          <w:lang w:val="en-GB"/>
        </w:rPr>
        <w:t xml:space="preserve">anocellulose (NC) </w:t>
      </w:r>
      <w:r w:rsidR="00257463">
        <w:rPr>
          <w:lang w:val="en-GB"/>
        </w:rPr>
        <w:t xml:space="preserve">has recently </w:t>
      </w:r>
      <w:r w:rsidRPr="00B25508">
        <w:rPr>
          <w:lang w:val="en-GB"/>
        </w:rPr>
        <w:t xml:space="preserve">emerged as of high interest in water purification because of its high surface area, aspect ratio, and versatile surface chemistry. In the present study, </w:t>
      </w:r>
      <w:r w:rsidR="009E43DF" w:rsidRPr="00B25508">
        <w:rPr>
          <w:lang w:val="en-GB"/>
        </w:rPr>
        <w:t xml:space="preserve">nanocellulose </w:t>
      </w:r>
      <w:r w:rsidR="009E43DF">
        <w:rPr>
          <w:lang w:val="en-GB"/>
        </w:rPr>
        <w:t>has been isolated</w:t>
      </w:r>
      <w:r w:rsidR="009E43DF" w:rsidRPr="00B25508">
        <w:rPr>
          <w:lang w:val="en-GB"/>
        </w:rPr>
        <w:t xml:space="preserve"> </w:t>
      </w:r>
      <w:r w:rsidR="009E43DF">
        <w:rPr>
          <w:lang w:val="en-GB"/>
        </w:rPr>
        <w:t xml:space="preserve">from </w:t>
      </w:r>
      <w:r w:rsidRPr="00B25508">
        <w:rPr>
          <w:lang w:val="en-GB"/>
        </w:rPr>
        <w:t>cellulose</w:t>
      </w:r>
      <w:r>
        <w:rPr>
          <w:lang w:val="en-GB"/>
        </w:rPr>
        <w:t xml:space="preserve"> pulp</w:t>
      </w:r>
      <w:r w:rsidR="009E43DF">
        <w:rPr>
          <w:lang w:val="en-GB"/>
        </w:rPr>
        <w:t>,</w:t>
      </w:r>
      <w:r>
        <w:rPr>
          <w:lang w:val="en-GB"/>
        </w:rPr>
        <w:t xml:space="preserve"> </w:t>
      </w:r>
      <w:r w:rsidRPr="00B25508">
        <w:rPr>
          <w:lang w:val="en-GB"/>
        </w:rPr>
        <w:t xml:space="preserve">extracted from barley straw residues </w:t>
      </w:r>
      <w:r>
        <w:rPr>
          <w:lang w:val="en-GB"/>
        </w:rPr>
        <w:t>via</w:t>
      </w:r>
      <w:r w:rsidRPr="00B25508">
        <w:rPr>
          <w:lang w:val="en-GB"/>
        </w:rPr>
        <w:t xml:space="preserve"> </w:t>
      </w:r>
      <w:r w:rsidR="009E43DF">
        <w:rPr>
          <w:lang w:val="en-GB"/>
        </w:rPr>
        <w:t xml:space="preserve">a </w:t>
      </w:r>
      <w:r w:rsidR="00562771">
        <w:rPr>
          <w:lang w:val="en-GB"/>
        </w:rPr>
        <w:t xml:space="preserve">mechanical </w:t>
      </w:r>
      <w:r w:rsidR="009E43DF">
        <w:rPr>
          <w:lang w:val="en-GB"/>
        </w:rPr>
        <w:t xml:space="preserve">pulping </w:t>
      </w:r>
      <w:r w:rsidR="00562771">
        <w:rPr>
          <w:lang w:val="en-GB"/>
        </w:rPr>
        <w:t>treatment</w:t>
      </w:r>
      <w:r w:rsidR="009B1948">
        <w:rPr>
          <w:lang w:val="en-GB"/>
        </w:rPr>
        <w:t>,</w:t>
      </w:r>
      <w:r w:rsidR="00562771">
        <w:rPr>
          <w:lang w:val="en-GB"/>
        </w:rPr>
        <w:t xml:space="preserve"> </w:t>
      </w:r>
      <w:r w:rsidR="009B1948">
        <w:rPr>
          <w:lang w:val="en-GB"/>
        </w:rPr>
        <w:t>through</w:t>
      </w:r>
      <w:r w:rsidR="00562771">
        <w:rPr>
          <w:lang w:val="en-GB"/>
        </w:rPr>
        <w:t xml:space="preserve"> a combination of chemical</w:t>
      </w:r>
      <w:r w:rsidRPr="00B25508">
        <w:rPr>
          <w:lang w:val="en-GB"/>
        </w:rPr>
        <w:t xml:space="preserve"> </w:t>
      </w:r>
      <w:r w:rsidR="00562771">
        <w:rPr>
          <w:lang w:val="en-GB"/>
        </w:rPr>
        <w:t>and</w:t>
      </w:r>
      <w:r w:rsidRPr="00B25508">
        <w:rPr>
          <w:lang w:val="en-GB"/>
        </w:rPr>
        <w:t xml:space="preserve"> mechanical </w:t>
      </w:r>
      <w:r w:rsidR="009E43DF">
        <w:rPr>
          <w:lang w:val="en-GB"/>
        </w:rPr>
        <w:t xml:space="preserve">refining </w:t>
      </w:r>
      <w:r>
        <w:rPr>
          <w:lang w:val="en-GB"/>
        </w:rPr>
        <w:t>treatment</w:t>
      </w:r>
      <w:r w:rsidR="009E43DF">
        <w:rPr>
          <w:lang w:val="en-GB"/>
        </w:rPr>
        <w:t>s</w:t>
      </w:r>
      <w:r w:rsidRPr="00B25508">
        <w:rPr>
          <w:lang w:val="en-GB"/>
        </w:rPr>
        <w:t xml:space="preserve">. The </w:t>
      </w:r>
      <w:r w:rsidR="00562771">
        <w:rPr>
          <w:lang w:val="en-GB"/>
        </w:rPr>
        <w:t>obtained</w:t>
      </w:r>
      <w:r w:rsidR="004F704B">
        <w:rPr>
          <w:lang w:val="en-GB"/>
        </w:rPr>
        <w:t xml:space="preserve"> cellulose pulp and </w:t>
      </w:r>
      <w:r w:rsidR="006915C4">
        <w:rPr>
          <w:lang w:val="en-GB"/>
        </w:rPr>
        <w:t>(</w:t>
      </w:r>
      <w:proofErr w:type="spellStart"/>
      <w:r w:rsidR="006915C4">
        <w:rPr>
          <w:lang w:val="en-GB"/>
        </w:rPr>
        <w:t>ligno</w:t>
      </w:r>
      <w:proofErr w:type="spellEnd"/>
      <w:r w:rsidR="006915C4">
        <w:rPr>
          <w:lang w:val="en-GB"/>
        </w:rPr>
        <w:t xml:space="preserve">)cellulose </w:t>
      </w:r>
      <w:r w:rsidR="00562771" w:rsidRPr="00B25508">
        <w:rPr>
          <w:lang w:val="en-GB"/>
        </w:rPr>
        <w:t xml:space="preserve">nanofibrils </w:t>
      </w:r>
      <w:r w:rsidR="006915C4">
        <w:rPr>
          <w:lang w:val="en-GB"/>
        </w:rPr>
        <w:t>(L)</w:t>
      </w:r>
      <w:r w:rsidR="00562771" w:rsidRPr="00B25508">
        <w:rPr>
          <w:lang w:val="en-GB"/>
        </w:rPr>
        <w:t>CNF</w:t>
      </w:r>
      <w:r w:rsidR="00562771">
        <w:rPr>
          <w:lang w:val="en-GB"/>
        </w:rPr>
        <w:t>s</w:t>
      </w:r>
      <w:r w:rsidR="00437206">
        <w:rPr>
          <w:lang w:val="en-GB"/>
        </w:rPr>
        <w:t>, in the form of</w:t>
      </w:r>
      <w:r w:rsidR="004F704B">
        <w:rPr>
          <w:lang w:val="en-GB"/>
        </w:rPr>
        <w:t xml:space="preserve"> papers and</w:t>
      </w:r>
      <w:r>
        <w:rPr>
          <w:lang w:val="en-GB"/>
        </w:rPr>
        <w:t xml:space="preserve"> </w:t>
      </w:r>
      <w:proofErr w:type="spellStart"/>
      <w:r>
        <w:rPr>
          <w:lang w:val="en-GB"/>
        </w:rPr>
        <w:t>nanopapers</w:t>
      </w:r>
      <w:proofErr w:type="spellEnd"/>
      <w:r w:rsidR="004F704B">
        <w:rPr>
          <w:lang w:val="en-GB"/>
        </w:rPr>
        <w:t>, respectively</w:t>
      </w:r>
      <w:r w:rsidR="009B1948">
        <w:rPr>
          <w:lang w:val="en-GB"/>
        </w:rPr>
        <w:t xml:space="preserve">, </w:t>
      </w:r>
      <w:r w:rsidRPr="00B25508">
        <w:rPr>
          <w:lang w:val="en-GB"/>
        </w:rPr>
        <w:t xml:space="preserve">were characterized in terms of mechanical properties. </w:t>
      </w:r>
      <w:r w:rsidR="004F704B">
        <w:rPr>
          <w:lang w:val="en-GB"/>
        </w:rPr>
        <w:t xml:space="preserve">Finally, </w:t>
      </w:r>
      <w:r w:rsidR="00BF1A2E">
        <w:rPr>
          <w:lang w:val="en-GB"/>
        </w:rPr>
        <w:t>(L)</w:t>
      </w:r>
      <w:r w:rsidR="003F36D4">
        <w:rPr>
          <w:lang w:val="en-GB"/>
        </w:rPr>
        <w:t>CNF</w:t>
      </w:r>
      <w:r w:rsidR="002503A7">
        <w:rPr>
          <w:lang w:val="en-GB"/>
        </w:rPr>
        <w:t>s</w:t>
      </w:r>
      <w:r w:rsidR="003F36D4">
        <w:rPr>
          <w:lang w:val="en-GB"/>
        </w:rPr>
        <w:t xml:space="preserve">-based aerogels </w:t>
      </w:r>
      <w:r w:rsidR="009E43DF">
        <w:rPr>
          <w:lang w:val="en-GB"/>
        </w:rPr>
        <w:t xml:space="preserve">were </w:t>
      </w:r>
      <w:r w:rsidR="00562771">
        <w:rPr>
          <w:lang w:val="en-GB"/>
        </w:rPr>
        <w:t>developed,</w:t>
      </w:r>
      <w:r w:rsidR="003F36D4">
        <w:rPr>
          <w:lang w:val="en-GB"/>
        </w:rPr>
        <w:t xml:space="preserve"> and </w:t>
      </w:r>
      <w:r w:rsidRPr="00B25508">
        <w:rPr>
          <w:lang w:val="en-GB"/>
        </w:rPr>
        <w:t>adsorption tests at 25 °C</w:t>
      </w:r>
      <w:r w:rsidR="004F704B">
        <w:rPr>
          <w:lang w:val="en-GB"/>
        </w:rPr>
        <w:t xml:space="preserve"> using</w:t>
      </w:r>
      <w:r w:rsidR="004F704B" w:rsidRPr="00B25508">
        <w:rPr>
          <w:lang w:val="en-GB"/>
        </w:rPr>
        <w:t xml:space="preserve"> 0.1 g </w:t>
      </w:r>
      <w:r w:rsidR="004F704B">
        <w:rPr>
          <w:lang w:val="en-GB"/>
        </w:rPr>
        <w:t xml:space="preserve">of </w:t>
      </w:r>
      <w:r w:rsidR="004F704B" w:rsidRPr="00B25508">
        <w:rPr>
          <w:lang w:val="en-GB"/>
        </w:rPr>
        <w:t xml:space="preserve">aerogels </w:t>
      </w:r>
      <w:r w:rsidRPr="00B25508">
        <w:rPr>
          <w:lang w:val="en-GB"/>
        </w:rPr>
        <w:t xml:space="preserve">in 50 mL of </w:t>
      </w:r>
      <w:r w:rsidR="005E34F8" w:rsidRPr="00B25508">
        <w:rPr>
          <w:lang w:val="en-GB"/>
        </w:rPr>
        <w:t xml:space="preserve">methylene blue </w:t>
      </w:r>
      <w:r w:rsidR="005E34F8">
        <w:rPr>
          <w:lang w:val="en-GB"/>
        </w:rPr>
        <w:t>(</w:t>
      </w:r>
      <w:r w:rsidRPr="00B25508">
        <w:rPr>
          <w:lang w:val="en-GB"/>
        </w:rPr>
        <w:t>MB</w:t>
      </w:r>
      <w:r w:rsidR="005E34F8">
        <w:rPr>
          <w:lang w:val="en-GB"/>
        </w:rPr>
        <w:t>)</w:t>
      </w:r>
      <w:r w:rsidRPr="00B25508">
        <w:rPr>
          <w:lang w:val="en-GB"/>
        </w:rPr>
        <w:t xml:space="preserve"> dye solution at 10 mg/L</w:t>
      </w:r>
      <w:r w:rsidR="005E34F8">
        <w:rPr>
          <w:lang w:val="en-GB"/>
        </w:rPr>
        <w:t xml:space="preserve"> were studied</w:t>
      </w:r>
      <w:r w:rsidRPr="00B25508">
        <w:rPr>
          <w:lang w:val="en-GB"/>
        </w:rPr>
        <w:t>. The</w:t>
      </w:r>
      <w:r w:rsidR="003F36D4">
        <w:rPr>
          <w:lang w:val="en-GB"/>
        </w:rPr>
        <w:t xml:space="preserve"> </w:t>
      </w:r>
      <w:r w:rsidRPr="00B25508">
        <w:rPr>
          <w:lang w:val="en-GB"/>
        </w:rPr>
        <w:t>results revealed that CNF-based aerogel</w:t>
      </w:r>
      <w:r w:rsidR="009E43DF">
        <w:rPr>
          <w:lang w:val="en-GB"/>
        </w:rPr>
        <w:t>s</w:t>
      </w:r>
      <w:r w:rsidRPr="00B25508">
        <w:rPr>
          <w:lang w:val="en-GB"/>
        </w:rPr>
        <w:t xml:space="preserve"> </w:t>
      </w:r>
      <w:r w:rsidR="009E43DF">
        <w:rPr>
          <w:lang w:val="en-GB"/>
        </w:rPr>
        <w:t xml:space="preserve">can be exploited as </w:t>
      </w:r>
      <w:r w:rsidRPr="00B25508">
        <w:rPr>
          <w:lang w:val="en-GB"/>
        </w:rPr>
        <w:t>an effective eco-adsorbent for the removal of methylene blue dye and provide a new platform for dye removal.</w:t>
      </w:r>
    </w:p>
    <w:p w14:paraId="476B2F2E" w14:textId="77777777" w:rsidR="00600535" w:rsidRPr="00B57B36" w:rsidRDefault="00600535" w:rsidP="00600535">
      <w:pPr>
        <w:pStyle w:val="CETHeading1"/>
        <w:rPr>
          <w:lang w:val="en-GB"/>
        </w:rPr>
      </w:pPr>
      <w:r w:rsidRPr="00B57B36">
        <w:rPr>
          <w:lang w:val="en-GB"/>
        </w:rPr>
        <w:t>Introduction</w:t>
      </w:r>
    </w:p>
    <w:p w14:paraId="17397A0A" w14:textId="60CF424C" w:rsidR="000F4A27" w:rsidRPr="00523B8A" w:rsidRDefault="00523B8A" w:rsidP="00523B8A">
      <w:pPr>
        <w:pStyle w:val="CETBodytext"/>
        <w:rPr>
          <w:lang w:val="en-GB"/>
        </w:rPr>
      </w:pPr>
      <w:bookmarkStart w:id="0" w:name="_Hlk130224113"/>
      <w:r w:rsidRPr="00523B8A">
        <w:rPr>
          <w:lang w:val="en-GB"/>
        </w:rPr>
        <w:t>In recent years, cellulose has received increasing interest as a renewable raw material for producing biodegradable polymeric products and contributing to replacing fossil resources, considering their depletion, fluctuation in oil prices, and negative environmental impacts (Araújo et al., 2019). In the global scenario, the use of the vastly available by-products and residues along the whole food supply chain, also known as AFRs, is currently limited to livestock feed, providing a limited added value, or landfill or energy production by combustion, causing potential environmental issues (Collazo-</w:t>
      </w:r>
      <w:proofErr w:type="spellStart"/>
      <w:r w:rsidRPr="00523B8A">
        <w:rPr>
          <w:lang w:val="en-GB"/>
        </w:rPr>
        <w:t>Bigliardi</w:t>
      </w:r>
      <w:proofErr w:type="spellEnd"/>
      <w:r w:rsidRPr="00523B8A">
        <w:rPr>
          <w:lang w:val="en-GB"/>
        </w:rPr>
        <w:t xml:space="preserve"> et al., 2018). By virtue of their abundance and very low cost, AFRs possess a high chemical, material, and energy potential (Tuck et al., 2012). In industrial processing, vast amounts of AFRs are produced each year, which are mainly used as feed for livestock or agricultural supplements. The lignocellulosic matrix of plant cell walls, especially in agricultural residues, could also be used as a source of cellulose or nanocellulose. Cellulose, the most abundant organic compound on earth, is an unbranched polymer of D-glucose linked by β-1,4-glycosidic bonds. Compared with the α-1,4-glycosidic bonds, the β configuration allows cellulose to form very long and sturdy straight chains that could interact with each other via hydrogen bonds to form strong and degradation-resistant microfibrils (</w:t>
      </w:r>
      <w:proofErr w:type="spellStart"/>
      <w:r w:rsidRPr="00523B8A">
        <w:rPr>
          <w:lang w:val="en-GB"/>
        </w:rPr>
        <w:t>Poletto</w:t>
      </w:r>
      <w:proofErr w:type="spellEnd"/>
      <w:r w:rsidRPr="00523B8A">
        <w:rPr>
          <w:lang w:val="en-GB"/>
        </w:rPr>
        <w:t xml:space="preserve"> et al., 2014). Moreover, nanosized cellulosic (NC) materials possess several advantages deriving from their nanometric sizes, such as high tensile strength, stiffness, and surface functional groups (Pirozzi et al., 2021). The cellulosic materials having at least one dimension in the nanometric range, based on structure and particle diameters, can be extracted through a top-down process to obtain cellulose nanocrystals (CNCs) or cellulose nanofibers (CNFs); whereas bacterial cellulose (BC) is synthesized through a bottom-up approach (Rana et al., 2021).</w:t>
      </w:r>
      <w:r w:rsidRPr="00523B8A">
        <w:rPr>
          <w:lang w:val="en-GB"/>
        </w:rPr>
        <w:t xml:space="preserve"> </w:t>
      </w:r>
      <w:r w:rsidRPr="00523B8A">
        <w:rPr>
          <w:lang w:val="en-GB"/>
        </w:rPr>
        <w:t>Owing to their excellent properties, NC recently gathered a relevant interest as an innovative platform for the production of aerogels with ultra-low density, high porosity, and large surface area, which can be exploited to remove organic dye from industrial wastewater by adsorption treatment in alternative to the commonly used polymeric and ceramic membranes, which have been shown to have less favourable effects on the environment. Therefore, this strategy is effective and eco-friendly because of its low cost and high efficiency, as well as because no harmful substances are generated. In this work, CNFs isolated from barley straw AFRs through a combination of chemical and mechanical treatments were used to produce aerogels and exploited to remove organic dye from industrial wastewater by adsorption treatment, using methylene blue as a model pollutant.</w:t>
      </w:r>
    </w:p>
    <w:bookmarkEnd w:id="0"/>
    <w:p w14:paraId="5741900F" w14:textId="41E175FD" w:rsidR="00453E24" w:rsidRDefault="00562771" w:rsidP="00453E24">
      <w:pPr>
        <w:pStyle w:val="CETHeading1"/>
      </w:pPr>
      <w:r>
        <w:lastRenderedPageBreak/>
        <w:t>Materials and Methods</w:t>
      </w:r>
    </w:p>
    <w:p w14:paraId="0636B784" w14:textId="69DD3860" w:rsidR="00453E24" w:rsidRDefault="00562771" w:rsidP="00453E24">
      <w:pPr>
        <w:pStyle w:val="CETheadingx"/>
      </w:pPr>
      <w:r w:rsidRPr="00562771">
        <w:t>Materials</w:t>
      </w:r>
    </w:p>
    <w:p w14:paraId="7C2B0064" w14:textId="3587001E" w:rsidR="00453E24" w:rsidRDefault="00562771" w:rsidP="00562771">
      <w:pPr>
        <w:pStyle w:val="CETBodytext"/>
      </w:pPr>
      <w:r>
        <w:t xml:space="preserve">The </w:t>
      </w:r>
      <w:r w:rsidR="002503A7">
        <w:t>AFRs</w:t>
      </w:r>
      <w:r w:rsidR="007069C0">
        <w:t xml:space="preserve"> </w:t>
      </w:r>
      <w:r w:rsidR="00BF1A2E">
        <w:t>tested w</w:t>
      </w:r>
      <w:r w:rsidR="002503A7">
        <w:t xml:space="preserve">as </w:t>
      </w:r>
      <w:r>
        <w:t>barley straw (BS)</w:t>
      </w:r>
      <w:r w:rsidR="00BF1A2E">
        <w:t>,</w:t>
      </w:r>
      <w:r>
        <w:t xml:space="preserve"> provided by an industry </w:t>
      </w:r>
      <w:r w:rsidR="00BF1A2E">
        <w:t xml:space="preserve">in </w:t>
      </w:r>
      <w:r>
        <w:t>Córdoba (Spain). The barley straw</w:t>
      </w:r>
      <w:r w:rsidR="009E43DF">
        <w:t>,</w:t>
      </w:r>
      <w:r>
        <w:t xml:space="preserve"> with 8.95 ± 0.23% of relative humidity, was stored in plastic bag</w:t>
      </w:r>
      <w:r w:rsidR="005C07CF">
        <w:t>s</w:t>
      </w:r>
      <w:r>
        <w:t xml:space="preserve"> until usage.</w:t>
      </w:r>
      <w:r w:rsidR="00611A24">
        <w:t xml:space="preserve"> </w:t>
      </w:r>
      <w:r>
        <w:t>Reagents used in this work consisted of sodium hydroxide (NaOH, ≥ 99%, Sigma Aldrich, St. Louis, MO, USA), hydrochloric acid (HCl, 37%, Sigma Aldrich, St. Louis, MO, USA), sodium chlorite (NaClO</w:t>
      </w:r>
      <w:r w:rsidRPr="00562771">
        <w:rPr>
          <w:vertAlign w:val="subscript"/>
        </w:rPr>
        <w:t>2</w:t>
      </w:r>
      <w:r>
        <w:t>, ≥ 99%, Sigma Aldrich, St. Louis, MO, USA), sodium hypochlorite (</w:t>
      </w:r>
      <w:proofErr w:type="spellStart"/>
      <w:r>
        <w:t>NaClO</w:t>
      </w:r>
      <w:proofErr w:type="spellEnd"/>
      <w:r>
        <w:t xml:space="preserve">, 10% w/v technical grade, </w:t>
      </w:r>
      <w:proofErr w:type="spellStart"/>
      <w:r>
        <w:t>PanReac</w:t>
      </w:r>
      <w:proofErr w:type="spellEnd"/>
      <w:r>
        <w:t>, Barcelona, Spain), acetic acid (CH</w:t>
      </w:r>
      <w:r w:rsidRPr="00562771">
        <w:rPr>
          <w:vertAlign w:val="subscript"/>
        </w:rPr>
        <w:t>3</w:t>
      </w:r>
      <w:r>
        <w:t>COOH, ACS reagent, Sigma Aldrich, St. Louis, MO, USA), sodium bromide (</w:t>
      </w:r>
      <w:proofErr w:type="spellStart"/>
      <w:r>
        <w:t>NaBr</w:t>
      </w:r>
      <w:proofErr w:type="spellEnd"/>
      <w:r>
        <w:t xml:space="preserve">, </w:t>
      </w:r>
      <w:proofErr w:type="spellStart"/>
      <w:r>
        <w:t>Hoynewell</w:t>
      </w:r>
      <w:proofErr w:type="spellEnd"/>
      <w:r>
        <w:t>, Muskegon, NC, USA), TEMPO, 2,2,6,6-tetramethyl-piperidin-1-oxyle (C</w:t>
      </w:r>
      <w:r w:rsidRPr="00562771">
        <w:rPr>
          <w:vertAlign w:val="subscript"/>
        </w:rPr>
        <w:t>9</w:t>
      </w:r>
      <w:r>
        <w:t>H</w:t>
      </w:r>
      <w:r w:rsidRPr="00562771">
        <w:rPr>
          <w:vertAlign w:val="subscript"/>
        </w:rPr>
        <w:t>18</w:t>
      </w:r>
      <w:r>
        <w:t>NO, 98%, Sigma Aldrich, St. Louis, MO, USA), ethanol (C</w:t>
      </w:r>
      <w:r w:rsidRPr="00734ECC">
        <w:rPr>
          <w:vertAlign w:val="subscript"/>
        </w:rPr>
        <w:t>2</w:t>
      </w:r>
      <w:r>
        <w:t>H</w:t>
      </w:r>
      <w:r w:rsidRPr="00734ECC">
        <w:rPr>
          <w:vertAlign w:val="subscript"/>
        </w:rPr>
        <w:t>5</w:t>
      </w:r>
      <w:r>
        <w:t xml:space="preserve">OH, Sigma Aldrich, St. Louis, MO, USA), </w:t>
      </w:r>
      <w:proofErr w:type="spellStart"/>
      <w:r>
        <w:t>sulphuric</w:t>
      </w:r>
      <w:proofErr w:type="spellEnd"/>
      <w:r>
        <w:t xml:space="preserve"> acid (H</w:t>
      </w:r>
      <w:r w:rsidRPr="00734ECC">
        <w:rPr>
          <w:vertAlign w:val="subscript"/>
        </w:rPr>
        <w:t>2</w:t>
      </w:r>
      <w:r>
        <w:t>SO</w:t>
      </w:r>
      <w:r w:rsidRPr="00734ECC">
        <w:rPr>
          <w:vertAlign w:val="subscript"/>
        </w:rPr>
        <w:t>4</w:t>
      </w:r>
      <w:r>
        <w:t xml:space="preserve">, 95-98%, </w:t>
      </w:r>
      <w:proofErr w:type="spellStart"/>
      <w:r>
        <w:t>labbox</w:t>
      </w:r>
      <w:proofErr w:type="spellEnd"/>
      <w:r>
        <w:t>, Barcelona, Spain)</w:t>
      </w:r>
      <w:r w:rsidR="00BF1A2E">
        <w:t>,</w:t>
      </w:r>
      <w:r>
        <w:t xml:space="preserve"> methylene blue (</w:t>
      </w:r>
      <w:proofErr w:type="spellStart"/>
      <w:r>
        <w:t>labbox</w:t>
      </w:r>
      <w:proofErr w:type="spellEnd"/>
      <w:r>
        <w:t>, Barcelona, Spain). All the reagents were used as received without further purification.</w:t>
      </w:r>
    </w:p>
    <w:p w14:paraId="18BAFA6F" w14:textId="20921555" w:rsidR="00453E24" w:rsidRPr="00B57B36" w:rsidRDefault="00562771" w:rsidP="00453E24">
      <w:pPr>
        <w:pStyle w:val="CETheadingx"/>
      </w:pPr>
      <w:r w:rsidRPr="00562771">
        <w:t xml:space="preserve">Cellulose </w:t>
      </w:r>
      <w:r>
        <w:t>pulp</w:t>
      </w:r>
      <w:r w:rsidRPr="00562771">
        <w:t xml:space="preserve"> isolation</w:t>
      </w:r>
      <w:r>
        <w:t xml:space="preserve"> process</w:t>
      </w:r>
    </w:p>
    <w:p w14:paraId="5436D977" w14:textId="12CD413C" w:rsidR="00453E24" w:rsidRPr="009B1948" w:rsidRDefault="00562771" w:rsidP="00453E24">
      <w:pPr>
        <w:pStyle w:val="CETBodytext"/>
      </w:pPr>
      <w:r w:rsidRPr="00562771">
        <w:rPr>
          <w:lang w:val="en-GB"/>
        </w:rPr>
        <w:t xml:space="preserve">Cellulose </w:t>
      </w:r>
      <w:r>
        <w:rPr>
          <w:lang w:val="en-GB"/>
        </w:rPr>
        <w:t>pulp was</w:t>
      </w:r>
      <w:r w:rsidRPr="00562771">
        <w:rPr>
          <w:lang w:val="en-GB"/>
        </w:rPr>
        <w:t xml:space="preserve"> isolated from barley straw by alkaline hydrolysis in a 15 L batch reactor equipped with an external jacket and a motor to achieve the stirring of pulp suspension rotating the reaction vessel. The BS was subjected to a soda pulping process </w:t>
      </w:r>
      <w:r w:rsidRPr="00562771">
        <w:rPr>
          <w:lang w:val="en-GB"/>
        </w:rPr>
        <w:tab/>
        <w:t xml:space="preserve">(NaOH at 7 </w:t>
      </w:r>
      <w:proofErr w:type="spellStart"/>
      <w:r w:rsidRPr="00562771">
        <w:rPr>
          <w:lang w:val="en-GB"/>
        </w:rPr>
        <w:t>wt</w:t>
      </w:r>
      <w:proofErr w:type="spellEnd"/>
      <w:r w:rsidRPr="00562771">
        <w:rPr>
          <w:lang w:val="en-GB"/>
        </w:rPr>
        <w:t xml:space="preserve">% </w:t>
      </w:r>
      <w:r>
        <w:rPr>
          <w:lang w:val="en-GB"/>
        </w:rPr>
        <w:t>on dry basis</w:t>
      </w:r>
      <w:r w:rsidR="005C07CF">
        <w:rPr>
          <w:lang w:val="en-GB"/>
        </w:rPr>
        <w:t>, DM</w:t>
      </w:r>
      <w:r w:rsidRPr="00562771">
        <w:rPr>
          <w:lang w:val="en-GB"/>
        </w:rPr>
        <w:t>) for 150 min at 100 °C with a liquid/solid ratio of 10:1</w:t>
      </w:r>
      <w:r w:rsidR="006753C7">
        <w:rPr>
          <w:lang w:val="en-GB"/>
        </w:rPr>
        <w:t xml:space="preserve"> </w:t>
      </w:r>
      <w:r w:rsidR="006753C7">
        <w:rPr>
          <w:lang w:val="en-GB"/>
        </w:rPr>
        <w:fldChar w:fldCharType="begin" w:fldLock="1"/>
      </w:r>
      <w:r w:rsidR="006753C7">
        <w:rPr>
          <w:lang w:val="en-GB"/>
        </w:rPr>
        <w:instrText>ADDIN CSL_CITATION {"citationItems":[{"id":"ITEM-1","itemData":{"DOI":"10.3390/biom12020232","ISSN":"2218273X","PMID":"35204733","abstract":"Water pollution is one of the most serious problems worldwide. Nanocellulose-based aero-gels usually show excellent adsorption capacities due to their high aspect ratio, specific surface area and surface charge, making them ideal for water purification. In this work, (ligno)cellulose nanofibers (LCNFs/CNFs) from wheat straw residues were obtained using two types of pre-treatments: mechanical (Mec) and TEMPO-mediated oxidization (TO), to obtain different consistency (0.2, 0.4, 0.6 and 0.8) bioaerogels, and their adsorption capacities as dye removers were further studied. The materials were characterized in terms of density, porosity and mechanical properties. An inversely proportional relationship was observed between the consistencies of the aerogels and their achieved densities. Despite the increase in density, all samples showed porosities above 99%. In terms of mechanical properties, the best results were obtained for the 0.8% consistency LCNF and CNF-Mec aerogels, reaching 67.87 kPa and 64.6 kPa for tensile strength and Young’s modulus, respectively. In contrast, the adsorption capacity of the aerogels was better for TEMPO-oxidized aerogels, reaching removal rates of almost 100% for the CNF-TO5 samples. Furthermore, the residual lignin content in LCNF-Mec aerogels showed a great improvement in the removal capacity, reaching rates higher than 80%, further improving the cost efficiency of the samples due to the reduction in chemical treatments.","author":[{"dropping-particle":"","family":"Morcillo-Martín","given":"Ramón","non-dropping-particle":"","parse-names":false,"suffix":""},{"dropping-particle":"","family":"Espinosa","given":"Eduardo","non-dropping-particle":"","parse-names":false,"suffix":""},{"dropping-particle":"","family":"Rabasco-Vílchez","given":"Laura","non-dropping-particle":"","parse-names":false,"suffix":""},{"dropping-particle":"","family":"Sanchez","given":"Laura M.","non-dropping-particle":"","parse-names":false,"suffix":""},{"dropping-particle":"","family":"Haro","given":"Jorge","non-dropping-particle":"de","parse-names":false,"suffix":""},{"dropping-particle":"","family":"Rodríguez","given":"Alejandro","non-dropping-particle":"","parse-names":false,"suffix":""}],"container-title":"Biomolecules","id":"ITEM-1","issued":{"date-parts":[["2022"]]},"title":"Cellulose Nanofiber-Based Aerogels from Wheat Straw: Influence of Surface Load and Lignin Content on Their Properties and Dye Removal Capacity","type":"article-journal"},"uris":["http://www.mendeley.com/documents/?uuid=bab78801-c2e5-4c15-94c9-f6908af716fb"]},{"id":"ITEM-2","itemData":{"DOI":"10.1007/s10570-015-0807-8","ISSN":"1572882X","abstract":"The present work studies the feasibility of wheat soda pulp as a raw material for the fabrication of cellulose nanofibres and their application as an additive in papermaking. Wheat straws were cooked under alkaline conditions and the resulting pulp was used as a raw material for the production of lignocellulosic nanofibres (LCNF). Nanofibres were fabricated by intense mechanical beating followed by high-pressure homogenization. The produced LCNF were characterized and applied to papermaking slurry based also on wheat straw soda pulp. Paper sheets made thereof were analysed for their physical and mechanical properties. The results indicated that paper strength was improved after addition of LCNF, whereas density increased and porosity was reduced. These improvements in properties (except the Tear Index) are significant because they were achieved using LCNF with lower fibrillation degree compared to previous works where chemically pre-treated LCNF were used as reinforcement.","author":[{"dropping-particle":"","family":"Espinosa","given":"E.","non-dropping-particle":"","parse-names":false,"suffix":""},{"dropping-particle":"","family":"Tarrés","given":"Q.","non-dropping-particle":"","parse-names":false,"suffix":""},{"dropping-particle":"","family":"Delgado-Aguilar","given":"M.","non-dropping-particle":"","parse-names":false,"suffix":""},{"dropping-particle":"","family":"González","given":"I.","non-dropping-particle":"","parse-names":false,"suffix":""},{"dropping-particle":"","family":"Mutjé","given":"P.","non-dropping-particle":"","parse-names":false,"suffix":""},{"dropping-particle":"","family":"Rodríguez","given":"A.","non-dropping-particle":"","parse-names":false,"suffix":""}],"container-title":"Cellulose","id":"ITEM-2","issued":{"date-parts":[["2016"]]},"page":"837–852","title":"Suitability of wheat straw semichemical pulp for the fabrication of lignocellulosic nanofibres and their application to papermaking slurries","type":"article-journal","volume":"23"},"uris":["http://www.mendeley.com/documents/?uuid=1e1690f5-e5ca-450d-9209-4ab631ef30b4"]},{"id":"ITEM-3","itemData":{"DOI":"10.1016/j.jclepro.2019.118083","ISSN":"09596526","abstract":"The primary aim of this work was to evaluate various methods of nanocellulose production from wheat straw soda pulp. Wheat straw was cooked in 7% NaOH (over dried material.) at a liquid/solid ratio of 10/1 at 100 °C for 150 min to obtain unbleached semichemical pulp. Lignocellulose nanofibers were produced by fibrillation in a high pressure homogenizer, ultrafine friction grinder or twin-screw extruder of cellulose fiber previously extracted from the pulp. Optimizing lignocellulose nanofibers production with the twin-screw extruder required using an enzymatic pretreatment. The three fibrillation methods were assessed for energy use and the resulting lignocellulose nanofibers were characterized in terms of morphology, crystallinity, thermal stability, chemical structure and mechanical properties. Adding lignocellulose nanofibers in proportions from 1.5 to 4.5% to recycled cardboard pulp was found to considerably improve the mechanical properties of recycled fluting even in relation to pulp refining. Thus, the addition of lignocellulose nanofibers doubled Young's modulus and burst index. The technical and energy feasibility of both processes was examined in order to evaluate the suitability of the different nanocellulose production methods for producing cardboard reinforcing agents as compared to conventional mechanical refining methods. This technology provides an economically more viable and competitive production process than industrial mechanical refining, presenting this technology as a candidate to improve the cardboard recycling process, at a lower cost, and increase the maximum recycling cycles that the product can support.","author":[{"dropping-particle":"","family":"Espinosa","given":"Eduardo","non-dropping-particle":"","parse-names":false,"suffix":""},{"dropping-particle":"","family":"Rol","given":"Fleur","non-dropping-particle":"","parse-names":false,"suffix":""},{"dropping-particle":"","family":"Bras","given":"Julien","non-dropping-particle":"","parse-names":false,"suffix":""},{"dropping-particle":"","family":"Rodríguez","given":"Alejandro","non-dropping-particle":"","parse-names":false,"suffix":""}],"container-title":"Journal of Cleaner Production","id":"ITEM-3","issued":{"date-parts":[["2019"]]},"title":"Production of lignocellulose nanofibers from wheat straw by different fibrillation methods. Comparison of its viability in cardboard recycling process","type":"article-journal"},"uris":["http://www.mendeley.com/documents/?uuid=90fe64dc-ec42-451d-aa62-df1c962ed620"]},{"id":"ITEM-4","itemData":{"ISSN":"19302126","abstract":"The aim of this work was to study the potential application of four types of cereal straws: oats, maize, rapeseed, and barley, in order to obtain cellulose pulp through the Specel® process for use in the manufacture of 100% biodegradable and ecological packaging. Raw materials were chemically characterized to determine alcohol-extractives, ash, lignin, holocellulose, and α-cellulose. Cellulosic pulps obtained from raw materials were characterized to determine yield, Kappa number, and viscosity. Paper sheets made from cellulosic pulps were characterized to determine beating degree, tensile index, stretch, burst index, tear index, and brightness. Finally, the results were compared to the raw material used in the industrial manufacturing of packaging (wheat). The four studied raw materials (oats, maize, rapeseed, and barley) were judged to be suitable for use in the Specel® process to obtain cellulosic pulp suitable for production of ecological containers.","author":[{"dropping-particle":"","family":"Vargas","given":"Fátima","non-dropping-particle":"","parse-names":false,"suffix":""},{"dropping-particle":"","family":"González","given":"Zoilo","non-dropping-particle":"","parse-names":false,"suffix":""},{"dropping-particle":"","family":"Sánchez","given":"Rafael","non-dropping-particle":"","parse-names":false,"suffix":""},{"dropping-particle":"","family":"Jiménez","given":"Luis","non-dropping-particle":"","parse-names":false,"suffix":""},{"dropping-particle":"","family":"Rodríguez","given":"Alejandro","non-dropping-particle":"","parse-names":false,"suffix":""}],"container-title":"BioResources","id":"ITEM-4","issued":{"date-parts":[["2012"]]},"title":"Cellulosic pulps of cereal straws as raw material for the manufacture of ecological packaging","type":"article-journal"},"uris":["http://www.mendeley.com/documents/?uuid=9c606169-7ef5-49df-b035-226f4ee42564"]},{"id":"ITEM-5","itemData":{"DOI":"10.1016/j.ijbiomac.2016.08.019","ISSN":"18790003","PMID":"27514440","abstract":"Wheat straw was cooked under different pulping processes: Soda (100 °C, 7% NaOH, 150 min), Kraft (170 °C, 16% alkalinity, 25% sulfidity, 40 min) and Organosolv (210 °C, 60% ethanol, 60 min). Once the pulps were obtained, lignocellulose nanofibers (LCNF) were isolated by mechanical process and TEMPO-mediated oxidation followed by a high pressure homogenization. After pulping process, the different pulps were characterized and its chemical composition was determined. The pulps characterization indicates that the Soda process is the process that, despite producing less delignification, retains much of the hemicelluloses in the pulp, being this content a key factor in the nanofibrillation process. Regarding the LCNF obtained by mechanical process, those nanofibers isolated from Organosolv wheat pulp (OWP) and Kraft wheat pulp (KWP) show low values for nanofibrillation yield, specific surface area and greater diameter. However, those nanofibers isolated from Soda wheat pulp (SWP) reach much higher values for these parameters and presents a diameter of 14 nm, smaller than those obtained by TEMPO-mediated oxidation from OWP. Smaller diameters are generally obtained in TEMPO-oxidized LCNF. This work concludes that the lignin content does not affect greatly to obtain LCNF as does the hemicellulose content, so it is accurate to use a soft pulping process.","author":[{"dropping-particle":"","family":"Sánchez","given":"Rafael","non-dropping</w:instrText>
      </w:r>
      <w:r w:rsidR="006753C7" w:rsidRPr="009B1948">
        <w:rPr>
          <w:lang w:val="it-IT"/>
        </w:rPr>
        <w:instrText>-particle":"","parse-names":false,"suffix":""},{"dropping-particle":"","family":"Espinosa","given":"Eduardo","non-dropping-particle":"","parse-names":false,"suffix":""},{"dropping-particle":"","family":"Domínguez-Robles","given":"Juan","non-dropping-particle":"","parse-names":false,"suffix":""},{"dropping-particle":"","family":"Loaiza","given":"Javier Mauricio","non-dropping-particle":"","parse-names":false,"suffix":""},{"dropping-particle":"","family":"Rodríguez","given":"Alejandro","non-dropping-particle":"","parse-names":false,"suffix":""}],"container-title":"International Journal of Biological Macromolecules","id":"ITEM-5","issued":{"date-parts":[["2016"]]},"title":"Isolation and characterization of lignocellulose nanofibers from different wheat straw pulps","type":"article-journal"},"uris":["http://www.mendeley.com/documents/?uuid=f55de199-d9c6-4665-9698-f3ee13322e91"]}],"mendeley":{"formattedCitation":"(E. Espinosa et al., 2016; Eduardo Espinosa et al., 2019; Morcillo-Martín et al., 2022; Sánchez et al., 2016; Vargas et al., 2012)","plainTextFormattedCitation":"(E. Espinosa et al., 2016; Eduardo Espinosa et al., 2019; Morcillo-Martín et al., 2022; Sánchez et al., 2016; Vargas et al., 2012)","previouslyFormattedCitation":"(E. Espinosa et al., 2016; Eduardo Espinosa et al., 2019; Morcillo-Martín et al., 2022; Sánchez et al., 2016; Vargas et al., 2012)"},"properties":{"noteIndex":0},"schema":"https://github.com/citation-style-language/schema/raw/master/csl-citation.json"}</w:instrText>
      </w:r>
      <w:r w:rsidR="006753C7">
        <w:rPr>
          <w:lang w:val="en-GB"/>
        </w:rPr>
        <w:fldChar w:fldCharType="separate"/>
      </w:r>
      <w:r w:rsidR="006753C7" w:rsidRPr="006753C7">
        <w:rPr>
          <w:noProof/>
          <w:lang w:val="it-IT"/>
        </w:rPr>
        <w:t>(Eduardo Espinosa et al., 2019; Morcillo-Martín et al., 2022; Sánchez et al., 2016; Vargas et al., 2012)</w:t>
      </w:r>
      <w:r w:rsidR="006753C7">
        <w:rPr>
          <w:lang w:val="en-GB"/>
        </w:rPr>
        <w:fldChar w:fldCharType="end"/>
      </w:r>
      <w:r w:rsidRPr="006753C7">
        <w:rPr>
          <w:lang w:val="it-IT"/>
        </w:rPr>
        <w:t>.</w:t>
      </w:r>
      <w:r w:rsidR="006753C7">
        <w:rPr>
          <w:lang w:val="it-IT"/>
        </w:rPr>
        <w:t xml:space="preserve"> </w:t>
      </w:r>
      <w:r w:rsidRPr="00562771">
        <w:rPr>
          <w:lang w:val="en-GB"/>
        </w:rPr>
        <w:t xml:space="preserve">After the pulping process, the cellulosic pulp was washed, dispersed in a pulp disintegrator </w:t>
      </w:r>
      <w:r w:rsidR="009B1948">
        <w:rPr>
          <w:lang w:val="en-GB"/>
        </w:rPr>
        <w:t>(</w:t>
      </w:r>
      <w:r w:rsidR="00D235C1" w:rsidRPr="00D235C1">
        <w:rPr>
          <w:lang w:val="en-GB"/>
        </w:rPr>
        <w:t>Tendring Physical Testing Limited, UK</w:t>
      </w:r>
      <w:r w:rsidR="009B1948">
        <w:rPr>
          <w:lang w:val="en-GB"/>
        </w:rPr>
        <w:t xml:space="preserve">) </w:t>
      </w:r>
      <w:r w:rsidRPr="00562771">
        <w:rPr>
          <w:lang w:val="en-GB"/>
        </w:rPr>
        <w:t xml:space="preserve">for 30 min at 1,200 rpm, and then fed to a refiner mechanical pulping Sprout-Bauer for facilitating the generation of shorter </w:t>
      </w:r>
      <w:proofErr w:type="spellStart"/>
      <w:r w:rsidRPr="00562771">
        <w:rPr>
          <w:lang w:val="en-GB"/>
        </w:rPr>
        <w:t>fibers</w:t>
      </w:r>
      <w:proofErr w:type="spellEnd"/>
      <w:r w:rsidRPr="00562771">
        <w:rPr>
          <w:lang w:val="en-GB"/>
        </w:rPr>
        <w:t>. Finally, the pulp was filtered by sieving through a 0.14 mm mesh size and, after centrifugat</w:t>
      </w:r>
      <w:r w:rsidR="00BF1A2E">
        <w:rPr>
          <w:lang w:val="en-GB"/>
        </w:rPr>
        <w:t>ion</w:t>
      </w:r>
      <w:r w:rsidRPr="00562771">
        <w:rPr>
          <w:lang w:val="en-GB"/>
        </w:rPr>
        <w:t xml:space="preserve"> to remove the excess water, dried at 60 °C for 24 h. Afterward, the obtained cellulose pulp was subjected to a bleaching process to eliminate the lignin content. Briefly, 0.3 </w:t>
      </w:r>
      <w:proofErr w:type="spellStart"/>
      <w:r w:rsidRPr="00562771">
        <w:rPr>
          <w:lang w:val="en-GB"/>
        </w:rPr>
        <w:t>wt%</w:t>
      </w:r>
      <w:r w:rsidRPr="005E34F8">
        <w:rPr>
          <w:vertAlign w:val="subscript"/>
          <w:lang w:val="en-GB"/>
        </w:rPr>
        <w:t>DM</w:t>
      </w:r>
      <w:proofErr w:type="spellEnd"/>
      <w:r w:rsidRPr="00562771">
        <w:rPr>
          <w:lang w:val="en-GB"/>
        </w:rPr>
        <w:t xml:space="preserve"> of NaClO</w:t>
      </w:r>
      <w:r w:rsidRPr="00562771">
        <w:rPr>
          <w:vertAlign w:val="subscript"/>
          <w:lang w:val="en-GB"/>
        </w:rPr>
        <w:t>2</w:t>
      </w:r>
      <w:r w:rsidRPr="00562771">
        <w:rPr>
          <w:lang w:val="en-GB"/>
        </w:rPr>
        <w:t xml:space="preserve"> was added in acidified conditions (2 v</w:t>
      </w:r>
      <w:r w:rsidR="00BF1A2E">
        <w:rPr>
          <w:lang w:val="en-GB"/>
        </w:rPr>
        <w:t>ol</w:t>
      </w:r>
      <w:r w:rsidRPr="00562771">
        <w:rPr>
          <w:lang w:val="en-GB"/>
        </w:rPr>
        <w:t xml:space="preserve">% of acetic acid) to a 3 </w:t>
      </w:r>
      <w:proofErr w:type="spellStart"/>
      <w:r w:rsidRPr="00562771">
        <w:rPr>
          <w:lang w:val="en-GB"/>
        </w:rPr>
        <w:t>wt%</w:t>
      </w:r>
      <w:r w:rsidRPr="005E34F8">
        <w:rPr>
          <w:vertAlign w:val="subscript"/>
          <w:lang w:val="en-GB"/>
        </w:rPr>
        <w:t>DM</w:t>
      </w:r>
      <w:proofErr w:type="spellEnd"/>
      <w:r w:rsidRPr="00562771">
        <w:rPr>
          <w:lang w:val="en-GB"/>
        </w:rPr>
        <w:t xml:space="preserve"> cellulose pulp suspension at 80 °C for 1 h. This treatment was repeated three times to achieve the final bleached </w:t>
      </w:r>
      <w:r w:rsidR="0061191C">
        <w:rPr>
          <w:lang w:val="en-GB"/>
        </w:rPr>
        <w:t>and p</w:t>
      </w:r>
      <w:r w:rsidR="0061191C" w:rsidRPr="00562771">
        <w:rPr>
          <w:lang w:val="en-GB"/>
        </w:rPr>
        <w:t xml:space="preserve">urified </w:t>
      </w:r>
      <w:r w:rsidRPr="00562771">
        <w:rPr>
          <w:lang w:val="en-GB"/>
        </w:rPr>
        <w:t xml:space="preserve">cellulose </w:t>
      </w:r>
      <w:proofErr w:type="spellStart"/>
      <w:r w:rsidRPr="00562771">
        <w:rPr>
          <w:lang w:val="en-GB"/>
        </w:rPr>
        <w:t>fibers</w:t>
      </w:r>
      <w:proofErr w:type="spellEnd"/>
      <w:r w:rsidR="0061191C">
        <w:rPr>
          <w:lang w:val="en-GB"/>
        </w:rPr>
        <w:t xml:space="preserve"> </w:t>
      </w:r>
      <w:r w:rsidRPr="00562771">
        <w:rPr>
          <w:lang w:val="en-GB"/>
        </w:rPr>
        <w:t>(BS-B)</w:t>
      </w:r>
      <w:r w:rsidR="0061191C">
        <w:rPr>
          <w:lang w:val="en-GB"/>
        </w:rPr>
        <w:t>;</w:t>
      </w:r>
      <w:r w:rsidR="00BF1A2E" w:rsidRPr="00562771">
        <w:rPr>
          <w:lang w:val="en-GB"/>
        </w:rPr>
        <w:t xml:space="preserve"> </w:t>
      </w:r>
      <w:r w:rsidR="0061191C">
        <w:rPr>
          <w:lang w:val="en-GB"/>
        </w:rPr>
        <w:t>u</w:t>
      </w:r>
      <w:r w:rsidRPr="00562771">
        <w:rPr>
          <w:lang w:val="en-GB"/>
        </w:rPr>
        <w:t>nbleached pulp (BS-UB</w:t>
      </w:r>
      <w:r w:rsidR="00BF1A2E" w:rsidRPr="00562771">
        <w:rPr>
          <w:lang w:val="en-GB"/>
        </w:rPr>
        <w:t>)</w:t>
      </w:r>
      <w:r w:rsidR="00BF1A2E">
        <w:rPr>
          <w:lang w:val="en-GB"/>
        </w:rPr>
        <w:t xml:space="preserve"> was, instead, characterized by a </w:t>
      </w:r>
      <w:r w:rsidRPr="00562771">
        <w:rPr>
          <w:lang w:val="en-GB"/>
        </w:rPr>
        <w:t>residual lignin content in the final product.</w:t>
      </w:r>
    </w:p>
    <w:p w14:paraId="369A4CFF" w14:textId="21B2FE73" w:rsidR="00562771" w:rsidRPr="00B57B36" w:rsidRDefault="00562771" w:rsidP="00562771">
      <w:pPr>
        <w:pStyle w:val="CETheadingx"/>
      </w:pPr>
      <w:r w:rsidRPr="00562771">
        <w:t xml:space="preserve">Cellulose </w:t>
      </w:r>
      <w:r>
        <w:t>pulp</w:t>
      </w:r>
      <w:r w:rsidRPr="00562771">
        <w:t xml:space="preserve"> </w:t>
      </w:r>
      <w:r>
        <w:t>characterization</w:t>
      </w:r>
    </w:p>
    <w:p w14:paraId="6658AAFC" w14:textId="2ACCCE33" w:rsidR="00562771" w:rsidRDefault="00562771" w:rsidP="00453E24">
      <w:pPr>
        <w:pStyle w:val="CETBodytext"/>
      </w:pPr>
      <w:r w:rsidRPr="00562771">
        <w:t xml:space="preserve">Fourier-transform infrared (FT-IR) spectroscopy was used to identify the main functional groups and chemical structure of BS-UB and BS-B, with an FT-IR Spectrum Two series spectrophotometer (PerkinElmer, Waltham, Massachusetts, United States) at ambient conditions. The infrared spectra were collected in </w:t>
      </w:r>
      <w:r w:rsidR="00BF1A2E" w:rsidRPr="00562771">
        <w:t>transmittance</w:t>
      </w:r>
      <w:r w:rsidRPr="00562771">
        <w:t xml:space="preserve"> mode from an accumulation of 40 scans over the wavenumber regions of 4000 - 400 cm</w:t>
      </w:r>
      <w:r w:rsidRPr="00562771">
        <w:rPr>
          <w:vertAlign w:val="superscript"/>
        </w:rPr>
        <w:t>-1</w:t>
      </w:r>
      <w:r w:rsidRPr="00562771">
        <w:t xml:space="preserve"> at a resolution of 4 cm</w:t>
      </w:r>
      <w:r w:rsidRPr="00562771">
        <w:rPr>
          <w:vertAlign w:val="superscript"/>
        </w:rPr>
        <w:t>-1</w:t>
      </w:r>
      <w:r w:rsidRPr="00562771">
        <w:t xml:space="preserve">. The resulting spectra were smoothed with </w:t>
      </w:r>
      <w:r w:rsidR="005C07CF">
        <w:t xml:space="preserve">a </w:t>
      </w:r>
      <w:r w:rsidRPr="00562771">
        <w:t>five-point under adaptive-smoothing function to remove the eventual noises, and then baseline modification was applied.</w:t>
      </w:r>
    </w:p>
    <w:p w14:paraId="33A7B460" w14:textId="5B7997AF" w:rsidR="00562771" w:rsidRDefault="00562771" w:rsidP="0021424B">
      <w:pPr>
        <w:pStyle w:val="CETheadingx"/>
      </w:pPr>
      <w:r>
        <w:t>Nanocellulose isolation</w:t>
      </w:r>
    </w:p>
    <w:p w14:paraId="2E80A8BF" w14:textId="386A5107" w:rsidR="00562771" w:rsidRDefault="00562771" w:rsidP="00562771">
      <w:pPr>
        <w:pStyle w:val="CETBodytext"/>
      </w:pPr>
      <w:r>
        <w:t>To obtain (</w:t>
      </w:r>
      <w:proofErr w:type="spellStart"/>
      <w:r>
        <w:t>ligno</w:t>
      </w:r>
      <w:proofErr w:type="spellEnd"/>
      <w:r>
        <w:t xml:space="preserve">)cellulose nanofibers ((L)CNFs), two </w:t>
      </w:r>
      <w:r w:rsidR="009E43DF">
        <w:t xml:space="preserve">different </w:t>
      </w:r>
      <w:r>
        <w:t>pre-treatments were used on BS-UB and BS-B: (</w:t>
      </w:r>
      <w:proofErr w:type="spellStart"/>
      <w:r>
        <w:t>i</w:t>
      </w:r>
      <w:proofErr w:type="spellEnd"/>
      <w:r>
        <w:t>) chemical process by TEMPO-mediated oxidation and (ii) mechanical beating by mechanical refining.</w:t>
      </w:r>
      <w:r w:rsidR="00611A24">
        <w:t xml:space="preserve"> </w:t>
      </w:r>
      <w:r>
        <w:t xml:space="preserve">The TEMPO-mediated oxidation pre-treatment was carried out </w:t>
      </w:r>
      <w:r w:rsidR="005C07CF">
        <w:t xml:space="preserve">by </w:t>
      </w:r>
      <w:r>
        <w:t xml:space="preserve">suspending cellulose fibers at </w:t>
      </w:r>
      <w:r w:rsidR="005C07CF">
        <w:t xml:space="preserve">a </w:t>
      </w:r>
      <w:r>
        <w:t xml:space="preserve">final concentration of 1 </w:t>
      </w:r>
      <w:proofErr w:type="spellStart"/>
      <w:r>
        <w:t>wt</w:t>
      </w:r>
      <w:r w:rsidRPr="0061191C">
        <w:rPr>
          <w:vertAlign w:val="subscript"/>
        </w:rPr>
        <w:t>DM</w:t>
      </w:r>
      <w:proofErr w:type="spellEnd"/>
      <w:r>
        <w:t xml:space="preserve"> in distilled water containing TEMPO catalyst (0.016 </w:t>
      </w:r>
      <w:proofErr w:type="spellStart"/>
      <w:r>
        <w:t>wt</w:t>
      </w:r>
      <w:proofErr w:type="spellEnd"/>
      <w:r w:rsidR="0061191C">
        <w:t>%</w:t>
      </w:r>
      <w:r w:rsidR="005C07CF" w:rsidRPr="0061191C">
        <w:rPr>
          <w:vertAlign w:val="subscript"/>
          <w:lang w:val="en-GB"/>
        </w:rPr>
        <w:t>DM</w:t>
      </w:r>
      <w:r>
        <w:t xml:space="preserve">) and sodium bromide (0.1 </w:t>
      </w:r>
      <w:proofErr w:type="spellStart"/>
      <w:r>
        <w:t>wt</w:t>
      </w:r>
      <w:proofErr w:type="spellEnd"/>
      <w:r>
        <w:t>%</w:t>
      </w:r>
      <w:r w:rsidR="009E43DF" w:rsidRPr="0061191C">
        <w:rPr>
          <w:vertAlign w:val="subscript"/>
          <w:lang w:val="en-GB"/>
        </w:rPr>
        <w:t>DM</w:t>
      </w:r>
      <w:r>
        <w:t xml:space="preserve">). The TEMPO-mediated oxidation was started by adding a specific amount of </w:t>
      </w:r>
      <w:proofErr w:type="spellStart"/>
      <w:r>
        <w:t>NaClO</w:t>
      </w:r>
      <w:proofErr w:type="spellEnd"/>
      <w:r>
        <w:t xml:space="preserve"> solution to obtain an oxidative power of 5 mmol/</w:t>
      </w:r>
      <w:proofErr w:type="spellStart"/>
      <w:r>
        <w:t>g</w:t>
      </w:r>
      <w:r w:rsidRPr="0061191C">
        <w:rPr>
          <w:vertAlign w:val="subscript"/>
        </w:rPr>
        <w:t>DM</w:t>
      </w:r>
      <w:proofErr w:type="spellEnd"/>
      <w:r>
        <w:t xml:space="preserve"> with continuous stirring at </w:t>
      </w:r>
      <w:r w:rsidR="0061191C">
        <w:t>25 °C</w:t>
      </w:r>
      <w:r>
        <w:t xml:space="preserve">. The pH of </w:t>
      </w:r>
      <w:r w:rsidR="005C07CF">
        <w:t xml:space="preserve">the </w:t>
      </w:r>
      <w:r>
        <w:t>suspension was maintained at 10 by adding NaOH solution (0.5 M) until no NaOH consumption was observed. After about 2 h of reaction time, 100 mL of ethanol was added to stop the oxidation reaction, and the oxidized fibers were filtered and washed several times with distilled water</w:t>
      </w:r>
      <w:r w:rsidR="006753C7">
        <w:t xml:space="preserve"> </w:t>
      </w:r>
      <w:r w:rsidR="006753C7">
        <w:fldChar w:fldCharType="begin" w:fldLock="1"/>
      </w:r>
      <w:r w:rsidR="006753C7">
        <w:instrText>ADDIN CSL_CITATION {"citationItems":[{"id":"ITEM-1","itemData":{"DOI":"10.1016/j.carbpol.2010.12.052","ISSN":"01448617","abstract":"In the present work the effect of the carboxyl content on the high pressure defibrillation of oxidized eucalyptus from micro to nanoscale size was investigated. It has been shown that TEMPO-mediated oxidation of dried softwood pulp not only facilitates the defibrillation process, but also reduces the number of passes necessary to get the gel, as well as preventing the clogging of the homogenizer. In fact, these effects became apparent up to a carboxyl content about 300 μmol/g, and over 500 μmol/g, the yield in the nanofibrillated cellulose exceeded 90%, at a defibrillation pressure of 600 bar. The morphology of the ensuing nanofibrillated cellulose (NFC) and its crystalline degree were characterised by FE-SEM and DRX measurement, respectively. The evolution of the transparency degree and the viscosity according to the oxidation degree and defibrillation pressure were also analysed by UV-vis transmittance and rheological measurement. The reinforcing potential of the ensuing NFC was explored by means of dynamic mechanical analysis (DMA) carried on nanocomposite film prepared from a suspension of NFC as the reinforcing phase and an acrylic latex dispersion as the matrix. © 2010 Elsevier Ltd. All rights reserved.","author":[{"dropping-particle":"","family":"Besbes","given":"Iskander","non-dropping-particle":"","parse-names":false,"suffix":""},{"dropping-particle":"","family":"Alila","given":"Sabrine","non-dropping-particle":"","parse-names":false,"suffix":""},{"dropping-particle":"","family":"Boufi","given":"Sami","non-dropping-particle":"","parse-names":false,"suffix":""}],"container-title":"Carbohydrate Polymers","id":"ITEM-1","issued":{"date-parts":[["2011"]]},"title":"Nanofibrillated cellulose from TEMPO-oxidized eucalyptus fibres: Effect of the carboxyl content","type":"article-journal"},"uris":["http://www.mendeley.com/documents/?uuid=53996fc2-ade5-4334-95d8-78b61088ad10"]}],"mendeley":{"formattedCitation":"(Besbes et al., 2011)","plainTextFormattedCitation":"(Besbes et al., 2011)","previouslyFormattedCitation":"(Besbes et al., 2011)"},"properties":{"noteIndex":0},"schema":"https://github.com/citation-style-language/schema/raw/master/csl-citation.json"}</w:instrText>
      </w:r>
      <w:r w:rsidR="006753C7">
        <w:fldChar w:fldCharType="separate"/>
      </w:r>
      <w:r w:rsidR="006753C7" w:rsidRPr="006753C7">
        <w:rPr>
          <w:noProof/>
        </w:rPr>
        <w:t>(Besbes et al., 2011)</w:t>
      </w:r>
      <w:r w:rsidR="006753C7">
        <w:fldChar w:fldCharType="end"/>
      </w:r>
      <w:r>
        <w:t>.</w:t>
      </w:r>
      <w:r w:rsidR="00611A24">
        <w:t xml:space="preserve"> </w:t>
      </w:r>
      <w:r>
        <w:t xml:space="preserve">The mechanical pre-treatment was carried out by refining the cellulose fibers suspension </w:t>
      </w:r>
      <w:r w:rsidR="005C07CF">
        <w:t>(</w:t>
      </w:r>
      <w:r>
        <w:t xml:space="preserve">10 </w:t>
      </w:r>
      <w:proofErr w:type="spellStart"/>
      <w:r>
        <w:t>wt</w:t>
      </w:r>
      <w:proofErr w:type="spellEnd"/>
      <w:r>
        <w:t>%</w:t>
      </w:r>
      <w:r w:rsidR="005C07CF" w:rsidRPr="0061191C">
        <w:rPr>
          <w:vertAlign w:val="subscript"/>
          <w:lang w:val="en-GB"/>
        </w:rPr>
        <w:t>DM</w:t>
      </w:r>
      <w:r w:rsidR="005C07CF">
        <w:rPr>
          <w:lang w:val="en-GB"/>
        </w:rPr>
        <w:t xml:space="preserve">) at </w:t>
      </w:r>
      <w:r>
        <w:t xml:space="preserve">20,000 rpm in a PFI beater (Mill PFI type, </w:t>
      </w:r>
      <w:proofErr w:type="spellStart"/>
      <w:r>
        <w:t>Metrotec</w:t>
      </w:r>
      <w:proofErr w:type="spellEnd"/>
      <w:r>
        <w:t xml:space="preserve">, </w:t>
      </w:r>
      <w:proofErr w:type="spellStart"/>
      <w:r>
        <w:t>Kirchheim</w:t>
      </w:r>
      <w:proofErr w:type="spellEnd"/>
      <w:r>
        <w:t xml:space="preserve">, Germany) to reach a </w:t>
      </w:r>
      <w:proofErr w:type="spellStart"/>
      <w:r>
        <w:t>Schopper</w:t>
      </w:r>
      <w:proofErr w:type="spellEnd"/>
      <w:r>
        <w:t>–</w:t>
      </w:r>
      <w:proofErr w:type="spellStart"/>
      <w:r>
        <w:t>Riegler</w:t>
      </w:r>
      <w:proofErr w:type="spellEnd"/>
      <w:r>
        <w:t xml:space="preserve"> Degree (ºSR) of 90, according to ISO 5264-2:2002. A 1 </w:t>
      </w:r>
      <w:proofErr w:type="spellStart"/>
      <w:r>
        <w:t>wt</w:t>
      </w:r>
      <w:proofErr w:type="spellEnd"/>
      <w:r>
        <w:t>%</w:t>
      </w:r>
      <w:r w:rsidR="009E43DF" w:rsidRPr="0061191C">
        <w:rPr>
          <w:vertAlign w:val="subscript"/>
          <w:lang w:val="en-GB"/>
        </w:rPr>
        <w:t>DM</w:t>
      </w:r>
      <w:r w:rsidR="009E43DF">
        <w:rPr>
          <w:lang w:val="en-GB"/>
        </w:rPr>
        <w:t xml:space="preserve"> </w:t>
      </w:r>
      <w:r>
        <w:t xml:space="preserve">suspension of pre-treated fibers was subjected to a </w:t>
      </w:r>
      <w:proofErr w:type="spellStart"/>
      <w:r>
        <w:t>nanofibrillation</w:t>
      </w:r>
      <w:proofErr w:type="spellEnd"/>
      <w:r>
        <w:t xml:space="preserve"> process in a high-pressure homogenizer (</w:t>
      </w:r>
      <w:proofErr w:type="spellStart"/>
      <w:r>
        <w:t>PandaPlus</w:t>
      </w:r>
      <w:proofErr w:type="spellEnd"/>
      <w:r>
        <w:t xml:space="preserve"> 2000, GEA Niro, Düsseldorf, Germany) following 4 passes at 300 bars, 3 passes at 600 bars</w:t>
      </w:r>
      <w:r w:rsidR="005C07CF">
        <w:t>,</w:t>
      </w:r>
      <w:r>
        <w:t xml:space="preserve"> and 3 passes at 900 bars</w:t>
      </w:r>
      <w:r w:rsidR="006753C7">
        <w:t xml:space="preserve"> </w:t>
      </w:r>
      <w:r w:rsidR="006753C7">
        <w:fldChar w:fldCharType="begin" w:fldLock="1"/>
      </w:r>
      <w:r w:rsidR="00517BE8">
        <w:instrText>ADDIN CSL_CITATION {"citationItems":[{"id":"ITEM-1","itemData":{"DOI":"10.1007/s10570-015-0807-8","ISSN":"1572882X","abstract":"The present work studies the feasibility of wheat soda pulp as a raw material for the fabrication of cellulose nanofibres and their application as an additive in papermaking. Wheat straws were cooked under alkaline conditions and the resulting pulp was used as a raw material for the production of lignocellulosic nanofibres (LCNF). Nanofibres were fabricated by intense mechanical beating followed by high-pressure homogenization. The produced LCNF were characterized and applied to papermaking slurry based also on wheat straw soda pulp. Paper sheets made thereof were analysed for their physical and mechanical properties. The results indicated that paper strength was improved after addition of LCNF, whereas density increased and porosity was reduced. These improvements in properties (except the Tear Index) are significant because they were achieved using LCNF with lower fibrillation degree compared to previous works where chemically pre-treated LCNF were used as reinforcement.","author":[{"dropping-particle":"","family":"Espinosa","given":"E.","non-dropping-particle":"","parse-names":false,"suffix":""},{"dropping-particle":"","family":"Tarrés","given":"Q.","non-dropping-particle":"","parse-names":false,"suffix":""},{"dropping-particle":"","family":"Delgado-Aguilar","given":"M.","non-dropping-particle":"","parse-names":false,"suffix":""},{"dropping-particle":"","family":"González","given":"I.","non-dropping-particle":"","parse-names":false,"suffix":""},{"dropping-particle":"","family":"Mutjé","given":"P.","non-dropping-particle":"","parse-names":false,"suffix":""},{"dropping-particle":"","family":"Rodríguez","given":"A.","non-dropping-particle":"","parse-names":false,"suffix":""}],"container-title":"Cellulose","id":"ITEM-1","issued":{"date-parts":[["2016"]]},"page":"837–852","title":"Suitability of wheat straw semichemical pulp for the fabrication of lignocellulosic nanofibres and their application to papermaking slurries","type":"article-journal","volume":"23"},"uris":["http://www.mendeley.com/documents/?uuid=1e1690f5-e5ca-450d-9209-4ab631ef30b4"]},{"id":"ITEM-2","itemData":{"DOI":"10.1016/j.carbpol.2017.07.055","ISSN":"01448617","PMID":"28917866","abstract":"Rapidly growing vegetables could be an abundant and cheap sources of lignocellulose biomass for lignocellulose nanofibre (LCNF) production. The aim of this work is to study the feasibility of using Chamaecytisus proliferus and Leucaena leucocephala for LCNF isolation by mechanical, enzymatic and TEMPO-mediated oxidation pre-treatments. Characterisation of the nanofibres shows that there are significant differences in the production of LCNF depending on the raw material and pre-treatment used. XRD and FTIR analysis show that homogenisation has a strong negative effect on the crystallinity index; however, the higher lignin content of tagasaste (10%) protects the fibre, causing a smaller decrease in crystallinity. The thermal stability of LCNF is also affected by the high lignin content in the case of tagasaste, which exhibited maximum degradation temperatures of 340–315 °C, that were higher than those for leucaena (330–310 °C). A strong shear thinning behaviour was observed in most of the LCNF, which revealed a great degree of interconnectivity in the gel like-network.","author":[{"dropping-particle":"","family":"Espinosa","given":"Eduardo","non-dropping-particle":"","parse-names":false,"suffix":""},{"dropping-particle":"","family":"Sánchez","given":"Rafael","non-dropping-particle":"","parse-names":false,"suffix":""},{"dropping-particle":"","family":"González","given":"Zoilo","non-dropping-particle":"","parse-names":false,"suffix":""},{"dropping-particle":"","family":"Domínguez-Robles","given":"Juan","non-dropping-particle":"","parse-names":false,"suffix":""},{"dropping-particle":"","family":"Ferrari","given":"Begoña","non-dropping-particle":"","parse-names":false,"suffix":""},{"dropping-particle":"","family":"Rodríguez","given":"Alejandro","non-dropping-particle":"","parse-names":false,"suffix":""}],"container-title":"Carbohydrate Polymers","id":"ITEM-2","issued":{"date-parts":[["2017"]]},"title":"Rapidly growing vegetables as new sources for lignocellulose nanofibre isolation: Physicochemical, thermal and rheological characterisation","type":"article-journal"},"uris":["http://www.mendeley.com/documents/?uuid=bb821f2d-d677-4755-a2c7-c28dfc4b8ac8"]}],"mendeley":{"formattedCitation":"(E. Espinosa et al., 2016; Eduardo Espinosa et al., 2017)","plainTextFormattedCitation":"(E. Espinosa et al., 2016; Eduardo Espinosa et al., 2017)","previouslyFormattedCitation":"(E. Espinosa et al., 2016; Eduardo Espinosa et al., 2017)"},"properties":{"noteIndex":0},"schema":"https://github.com/citation-style-language/schema/raw/master/csl-citation.json"}</w:instrText>
      </w:r>
      <w:r w:rsidR="006753C7">
        <w:fldChar w:fldCharType="separate"/>
      </w:r>
      <w:r w:rsidR="006753C7" w:rsidRPr="006753C7">
        <w:rPr>
          <w:noProof/>
        </w:rPr>
        <w:t>(Eduardo Espinosa et al., 2017)</w:t>
      </w:r>
      <w:r w:rsidR="006753C7">
        <w:fldChar w:fldCharType="end"/>
      </w:r>
      <w:r>
        <w:t>.</w:t>
      </w:r>
      <w:r w:rsidR="00CB622D">
        <w:t xml:space="preserve"> </w:t>
      </w:r>
      <w:r w:rsidRPr="00562771">
        <w:t xml:space="preserve">Nanocellulose obtained from unbleached cellulose pulp (BS-UB) were designed as LCNF (cellulose nanofibers with residual lignin content in the final product); meanwhile, nanocellulose obtained from bleached cellulose pulp (BS-B) were designed as CNF. Moreover, LCNF and CNF were obtained </w:t>
      </w:r>
      <w:r w:rsidR="00BF1A2E">
        <w:t xml:space="preserve">either </w:t>
      </w:r>
      <w:r w:rsidRPr="00562771">
        <w:t>by TEMPO-mediated oxidation pre-treatment (designed as LCNF-TO and CNF-TO</w:t>
      </w:r>
      <w:r w:rsidR="009E43DF">
        <w:t>, respectively</w:t>
      </w:r>
      <w:r w:rsidRPr="00562771">
        <w:t>) or PFI beater mechanical pre-treatment (designed as LCNF-</w:t>
      </w:r>
      <w:proofErr w:type="spellStart"/>
      <w:r>
        <w:t>Mec</w:t>
      </w:r>
      <w:proofErr w:type="spellEnd"/>
      <w:r w:rsidRPr="00562771">
        <w:t xml:space="preserve"> and CNF-</w:t>
      </w:r>
      <w:proofErr w:type="spellStart"/>
      <w:r>
        <w:t>Mec</w:t>
      </w:r>
      <w:proofErr w:type="spellEnd"/>
      <w:r w:rsidR="009E43DF">
        <w:t>, respectively</w:t>
      </w:r>
      <w:r w:rsidRPr="00562771">
        <w:t>).</w:t>
      </w:r>
    </w:p>
    <w:p w14:paraId="5F21B6A8" w14:textId="287B514F" w:rsidR="00562771" w:rsidRDefault="00562771" w:rsidP="00562771">
      <w:pPr>
        <w:pStyle w:val="CETheadingx"/>
      </w:pPr>
      <w:r w:rsidRPr="00562771">
        <w:t>Cellulose and nanocellulose papers preparation</w:t>
      </w:r>
      <w:r w:rsidR="00411821">
        <w:t xml:space="preserve"> and characterization</w:t>
      </w:r>
    </w:p>
    <w:p w14:paraId="5249F5F1" w14:textId="61B33F00" w:rsidR="00562771" w:rsidRDefault="00562771" w:rsidP="00562771">
      <w:pPr>
        <w:pStyle w:val="CETBodytext"/>
      </w:pPr>
      <w:r w:rsidRPr="00562771">
        <w:t>The cellulosic pulp (BS-UB and BS-B) and nanocellulose (LCNF-TO, CNF-TO, LCNF-</w:t>
      </w:r>
      <w:proofErr w:type="spellStart"/>
      <w:r>
        <w:t>Mec</w:t>
      </w:r>
      <w:proofErr w:type="spellEnd"/>
      <w:r w:rsidR="005C07CF">
        <w:t>,</w:t>
      </w:r>
      <w:r w:rsidRPr="00562771">
        <w:t xml:space="preserve"> and CNF-</w:t>
      </w:r>
      <w:proofErr w:type="spellStart"/>
      <w:r>
        <w:t>Mec</w:t>
      </w:r>
      <w:proofErr w:type="spellEnd"/>
      <w:r w:rsidRPr="00562771">
        <w:t xml:space="preserve">) were dispersed in a pulp disintegrator at a final concentration </w:t>
      </w:r>
      <w:r w:rsidR="005C07CF">
        <w:t xml:space="preserve">of </w:t>
      </w:r>
      <w:r w:rsidRPr="00562771">
        <w:t xml:space="preserve">0.5 </w:t>
      </w:r>
      <w:proofErr w:type="spellStart"/>
      <w:r w:rsidRPr="00562771">
        <w:t>wt</w:t>
      </w:r>
      <w:proofErr w:type="spellEnd"/>
      <w:r w:rsidRPr="00562771">
        <w:t>%</w:t>
      </w:r>
      <w:r w:rsidR="005C07CF" w:rsidRPr="0061191C">
        <w:rPr>
          <w:vertAlign w:val="subscript"/>
          <w:lang w:val="en-GB"/>
        </w:rPr>
        <w:t>DM</w:t>
      </w:r>
      <w:r w:rsidRPr="00562771">
        <w:t xml:space="preserve">. The suspension was filtered under vacuum at -600 mbar until </w:t>
      </w:r>
      <w:r w:rsidR="005C07CF">
        <w:t xml:space="preserve">the </w:t>
      </w:r>
      <w:r w:rsidRPr="00562771">
        <w:t xml:space="preserve">removal of supernatant water in a sheet former (Rapid </w:t>
      </w:r>
      <w:proofErr w:type="spellStart"/>
      <w:r w:rsidRPr="00562771">
        <w:t>Kothen</w:t>
      </w:r>
      <w:proofErr w:type="spellEnd"/>
      <w:r w:rsidRPr="00562771">
        <w:t xml:space="preserve">, ISO 5269-2). Afterward, sheets were dried at 85 °C between two nylon sieves to prevent adherence and two cardboards until the papers and </w:t>
      </w:r>
      <w:proofErr w:type="spellStart"/>
      <w:r w:rsidRPr="00562771">
        <w:t>nanopapers</w:t>
      </w:r>
      <w:proofErr w:type="spellEnd"/>
      <w:r w:rsidRPr="00562771">
        <w:t xml:space="preserve"> were completely dried. All papers were stored for 48 h in a conditioned room at 24 °C and 50% RH before characterization</w:t>
      </w:r>
      <w:r>
        <w:t>.</w:t>
      </w:r>
      <w:r w:rsidR="005E34F8">
        <w:t xml:space="preserve"> </w:t>
      </w:r>
    </w:p>
    <w:p w14:paraId="64EF07ED" w14:textId="25439E64" w:rsidR="00562771" w:rsidRDefault="00562771" w:rsidP="00562771">
      <w:pPr>
        <w:pStyle w:val="CETBodytext"/>
      </w:pPr>
      <w:r w:rsidRPr="00562771">
        <w:t xml:space="preserve">The tensile properties were measured with Lloyd LF Plus Tensile Test Machine (Lloyd Instruments Ltd, </w:t>
      </w:r>
      <w:proofErr w:type="spellStart"/>
      <w:r w:rsidRPr="00562771">
        <w:t>Bognor</w:t>
      </w:r>
      <w:proofErr w:type="spellEnd"/>
      <w:r w:rsidRPr="00562771">
        <w:t xml:space="preserve"> Regis, United </w:t>
      </w:r>
      <w:proofErr w:type="spellStart"/>
      <w:r w:rsidRPr="00562771">
        <w:t>Kindom</w:t>
      </w:r>
      <w:proofErr w:type="spellEnd"/>
      <w:r w:rsidRPr="00562771">
        <w:t>) equipped with a 1 </w:t>
      </w:r>
      <w:proofErr w:type="spellStart"/>
      <w:r w:rsidRPr="00562771">
        <w:t>kN</w:t>
      </w:r>
      <w:proofErr w:type="spellEnd"/>
      <w:r w:rsidRPr="00562771">
        <w:t xml:space="preserve"> load cell, following the standard NF Q03-004. The mechanical properties of the papers were evaluated by tensile tests, performed on rectangular samples (10 cm length and 15 mm width) with an initial gauge length of 10 cm and </w:t>
      </w:r>
      <w:r w:rsidR="005C07CF">
        <w:t xml:space="preserve">a </w:t>
      </w:r>
      <w:r w:rsidRPr="00562771">
        <w:t xml:space="preserve">crosshead speed of 10 mm/min. The thickness was measured using a high accuracy Digital Micrometer (Mitutoyo Europe GmbH, </w:t>
      </w:r>
      <w:proofErr w:type="spellStart"/>
      <w:r w:rsidRPr="00562771">
        <w:t>Elgoibar</w:t>
      </w:r>
      <w:proofErr w:type="spellEnd"/>
      <w:r w:rsidRPr="00562771">
        <w:t>, Spain).</w:t>
      </w:r>
    </w:p>
    <w:p w14:paraId="1DAE26D5" w14:textId="1CA78F9A" w:rsidR="00562771" w:rsidRDefault="00BF1A2E" w:rsidP="00562771">
      <w:pPr>
        <w:pStyle w:val="CETheadingx"/>
      </w:pPr>
      <w:r>
        <w:t>(L)</w:t>
      </w:r>
      <w:r w:rsidR="00541855">
        <w:t>CNFs-based aerogels</w:t>
      </w:r>
    </w:p>
    <w:p w14:paraId="101BE0D8" w14:textId="635B0F5C" w:rsidR="00562771" w:rsidRDefault="0061191C" w:rsidP="00562771">
      <w:pPr>
        <w:pStyle w:val="CETBodytext"/>
      </w:pPr>
      <w:r>
        <w:t>(</w:t>
      </w:r>
      <w:r w:rsidR="009E43DF">
        <w:t>L</w:t>
      </w:r>
      <w:r>
        <w:t>)</w:t>
      </w:r>
      <w:r w:rsidR="009E43DF">
        <w:t xml:space="preserve">CNF </w:t>
      </w:r>
      <w:r w:rsidR="00562771">
        <w:t xml:space="preserve">at 0.5 </w:t>
      </w:r>
      <w:proofErr w:type="spellStart"/>
      <w:r w:rsidR="00562771">
        <w:t>wt</w:t>
      </w:r>
      <w:proofErr w:type="spellEnd"/>
      <w:r w:rsidR="00562771">
        <w:t>%</w:t>
      </w:r>
      <w:r w:rsidR="005C07CF" w:rsidRPr="0061191C">
        <w:rPr>
          <w:vertAlign w:val="subscript"/>
          <w:lang w:val="en-GB"/>
        </w:rPr>
        <w:t>DM</w:t>
      </w:r>
      <w:r w:rsidR="00562771">
        <w:t xml:space="preserve"> were prepared </w:t>
      </w:r>
      <w:r w:rsidR="005C07CF">
        <w:t xml:space="preserve">by </w:t>
      </w:r>
      <w:r w:rsidR="00562771">
        <w:t xml:space="preserve">diluting the samples with distilled water and homogenizing at 20,000 rpm for 5 min with an </w:t>
      </w:r>
      <w:proofErr w:type="spellStart"/>
      <w:r w:rsidR="00562771">
        <w:t>Ultraturrax</w:t>
      </w:r>
      <w:proofErr w:type="spellEnd"/>
      <w:r w:rsidR="00562771">
        <w:t xml:space="preserve"> T18 (IKA-Werke GmbH &amp; Co. KG, </w:t>
      </w:r>
      <w:proofErr w:type="spellStart"/>
      <w:r w:rsidR="00562771">
        <w:t>Staufen</w:t>
      </w:r>
      <w:proofErr w:type="spellEnd"/>
      <w:r w:rsidR="00562771">
        <w:t>, Germany). Each suspension was frozen prior to freeze</w:t>
      </w:r>
      <w:r w:rsidR="005C07CF">
        <w:t>-</w:t>
      </w:r>
      <w:r w:rsidR="00562771">
        <w:t xml:space="preserve">drying under 0.5 </w:t>
      </w:r>
      <w:proofErr w:type="spellStart"/>
      <w:r w:rsidR="00562771">
        <w:t>mBar</w:t>
      </w:r>
      <w:proofErr w:type="spellEnd"/>
      <w:r w:rsidR="00562771">
        <w:t xml:space="preserve"> for 72 h </w:t>
      </w:r>
      <w:r>
        <w:t>(</w:t>
      </w:r>
      <w:proofErr w:type="spellStart"/>
      <w:r w:rsidR="00562771">
        <w:t>Lyoquest</w:t>
      </w:r>
      <w:proofErr w:type="spellEnd"/>
      <w:r w:rsidR="00562771">
        <w:t xml:space="preserve"> -85 </w:t>
      </w:r>
      <w:proofErr w:type="spellStart"/>
      <w:r w:rsidR="00562771">
        <w:t>lyophilizer</w:t>
      </w:r>
      <w:proofErr w:type="spellEnd"/>
      <w:r>
        <w:t xml:space="preserve">, </w:t>
      </w:r>
      <w:r w:rsidR="00562771">
        <w:t>Telstar, Terrassa, Spain).</w:t>
      </w:r>
    </w:p>
    <w:p w14:paraId="79425B38" w14:textId="595C88E7" w:rsidR="00562771" w:rsidRDefault="00562771" w:rsidP="00562771">
      <w:pPr>
        <w:pStyle w:val="CETheadingx"/>
      </w:pPr>
      <w:r>
        <w:t>Methylene blue adsorption</w:t>
      </w:r>
    </w:p>
    <w:p w14:paraId="494F7EC6" w14:textId="3F973AF8" w:rsidR="00562771" w:rsidRDefault="00562771" w:rsidP="00562771">
      <w:pPr>
        <w:pStyle w:val="CETBodytext"/>
      </w:pPr>
      <w:r>
        <w:t>A</w:t>
      </w:r>
      <w:r w:rsidRPr="00562771">
        <w:t xml:space="preserve">dsorption experiments were performed by immersing the aerogel samples in 50 mL </w:t>
      </w:r>
      <w:r w:rsidR="00541855">
        <w:t xml:space="preserve">methylene blue (MB) </w:t>
      </w:r>
      <w:r w:rsidRPr="00562771">
        <w:t>dye aqueous solution at 10 mg/L. The concentration of the dye solution during 24 h of adsorption was analyzed by UV</w:t>
      </w:r>
      <w:r w:rsidR="005E34F8">
        <w:t>-</w:t>
      </w:r>
      <w:r w:rsidRPr="00562771">
        <w:t>vis spectrophotometer (Lambda 25, Perkin Elmer Inc, Waltham, USA), using a calibration curve, obtained from the linear fitting of the measured absorbance (A664 nm) as a function of methylene blue concentration (ranging from 0 to 10 mg/L).</w:t>
      </w:r>
    </w:p>
    <w:p w14:paraId="0A0C8A7B" w14:textId="5C877567" w:rsidR="00D235C1" w:rsidRDefault="00D235C1" w:rsidP="00D235C1">
      <w:pPr>
        <w:pStyle w:val="CETheadingx"/>
        <w:numPr>
          <w:ilvl w:val="0"/>
          <w:numId w:val="0"/>
        </w:numPr>
      </w:pPr>
      <w:r>
        <w:t>2.9 Statistical analysis</w:t>
      </w:r>
    </w:p>
    <w:p w14:paraId="2C6FF1AD" w14:textId="473BE0E6" w:rsidR="00D235C1" w:rsidRPr="00B57B36" w:rsidRDefault="009C63C4" w:rsidP="00D235C1">
      <w:pPr>
        <w:pStyle w:val="CETBodytext"/>
      </w:pPr>
      <w:r>
        <w:t>A</w:t>
      </w:r>
      <w:r w:rsidRPr="009C63C4">
        <w:t>nalyses were performed in triplicate unless differently specified and the results were reported as means ± standard deviations. Differences among mean values were analyzed by one-way variance (ANOVA), performed with SPSS 20 (SPSS IBM., Chicago, USA) statistical package, and Tukey test was performed to determine statistically significant differences (</w:t>
      </w:r>
      <w:r w:rsidRPr="009C63C4">
        <w:rPr>
          <w:i/>
          <w:iCs/>
        </w:rPr>
        <w:t>p &lt; 0.05</w:t>
      </w:r>
      <w:r w:rsidRPr="009C63C4">
        <w:t>).</w:t>
      </w:r>
    </w:p>
    <w:p w14:paraId="677EBFF0" w14:textId="3F2FF4A8" w:rsidR="00600535" w:rsidRPr="00B57B36" w:rsidRDefault="00562771" w:rsidP="00600535">
      <w:pPr>
        <w:pStyle w:val="CETHeading1"/>
        <w:tabs>
          <w:tab w:val="clear" w:pos="360"/>
          <w:tab w:val="right" w:pos="7100"/>
        </w:tabs>
        <w:jc w:val="both"/>
        <w:rPr>
          <w:lang w:val="en-GB"/>
        </w:rPr>
      </w:pPr>
      <w:r>
        <w:rPr>
          <w:lang w:val="en-GB"/>
        </w:rPr>
        <w:t>Results and discussions</w:t>
      </w:r>
    </w:p>
    <w:p w14:paraId="04963A06" w14:textId="1124DB5B" w:rsidR="00600535" w:rsidRPr="00B57B36" w:rsidRDefault="00562771" w:rsidP="00FA5F5F">
      <w:pPr>
        <w:pStyle w:val="CETheadingx"/>
      </w:pPr>
      <w:r>
        <w:t>Cellulose pulp characterization</w:t>
      </w:r>
    </w:p>
    <w:p w14:paraId="08CC27C6" w14:textId="5F2FC506" w:rsidR="00562771" w:rsidRDefault="00562771" w:rsidP="00600535">
      <w:pPr>
        <w:pStyle w:val="CETBodytext"/>
        <w:rPr>
          <w:lang w:val="en-GB"/>
        </w:rPr>
      </w:pPr>
      <w:r w:rsidRPr="00562771">
        <w:rPr>
          <w:lang w:val="en-GB"/>
        </w:rPr>
        <w:t xml:space="preserve">FT-IR spectra of extracted celluloses (Figure </w:t>
      </w:r>
      <w:r>
        <w:rPr>
          <w:lang w:val="en-GB"/>
        </w:rPr>
        <w:t>1</w:t>
      </w:r>
      <w:r w:rsidRPr="00562771">
        <w:rPr>
          <w:lang w:val="en-GB"/>
        </w:rPr>
        <w:t xml:space="preserve">) were measured to evaluate the structural changes that occurred during the applied treatments </w:t>
      </w:r>
      <w:r w:rsidR="00517BE8">
        <w:rPr>
          <w:lang w:val="en-GB"/>
        </w:rPr>
        <w:fldChar w:fldCharType="begin" w:fldLock="1"/>
      </w:r>
      <w:r w:rsidR="00517BE8">
        <w:rPr>
          <w:lang w:val="en-GB"/>
        </w:rPr>
        <w:instrText>ADDIN CSL_CITATION {"citationItems":[{"id":"ITEM-1","itemData":{"DOI":"doi.org/10.3390/foods11030266","abstract":"This work proposes a biorefinery approach for the utilization of agri-food residues, such as tomato pomace (TP), through combining chemical hydrolysis with high-pressure homogenization (HPH), aiming to achieve the isolation of cellulose with tailored morphological properties from underused lignocellulose feedstocks, along with the valorization of the value-added compounds contained in the biomass. Cellulose was isolated from TP using sequential chemical hydrolysis in combination with mechanical pretreatment through HPH. The chemical and structural features of cellulose isolated from TP pretreated by HPH were compared with cellulose isolated from untreated TP through light scattering for particle size distribution, optical and scanning electron microscopy, and Fourier-transform infrared spectroscopy (FT-IR) analysis. HPH pretreatment (80 MPa, 10 passes) not only promoted a slight increase in the yield of cellulose extraction (+9%) but contributed to directly obtaining defibrillated cellulose particles, characterized by smaller irregular domains containing elongated needle-like fibers. Moreover, the selected mild chemical process produced side streams rich in bioactive molecules, evaluated in terms of total phenols and reducing activity. The liquors recovered from acid hydrolysis of TP exhibited a higher biological activity than those obtained through a conventional extraction (80% v/v acetone, 25 °C, 24 h at 180 rpm).","author":[{"dropping-particle":"","family":"Pirozzi","given":"Annachiara","non-dropping-particle":"","parse-names":false,"suffix":""},{"dropping-particle":"","family":"Ferrari","given":"Giovanna","non-dropping-particle":"","parse-names":false,"suffix":""},{"dropping-particle":"","family":"Donsì","given":"Francesco","non-dropping-particle":"","parse-names":false,"suffix":""}],"container-title":"Foods","id":"ITEM-1","issue":"3","issued":{"date-parts":[["2022"]]},"page":"266","title":"Cellulose Isolation from Tomato Pomace Pretreated by High-Pressure Homogenization","type":"article-journal","volume":"11"},"uris":["http://www.mendeley.com/documents/?uuid=028365cf-6f92-4f10-be7b-715c91a3799d"]}],"mendeley":{"formattedCitation":"(Pirozzi et al., 2022)","plainTextFormattedCitation":"(Pirozzi et al., 2022)","previouslyFormattedCitation":"(Pirozzi et al., 2022)"},"properties":{"noteIndex":0},"schema":"https://github.com/citation-style-language/schema/raw/master/csl-citation.json"}</w:instrText>
      </w:r>
      <w:r w:rsidR="00517BE8">
        <w:rPr>
          <w:lang w:val="en-GB"/>
        </w:rPr>
        <w:fldChar w:fldCharType="separate"/>
      </w:r>
      <w:r w:rsidR="00517BE8" w:rsidRPr="00517BE8">
        <w:rPr>
          <w:noProof/>
          <w:lang w:val="en-GB"/>
        </w:rPr>
        <w:t>(Pirozzi et al., 2022)</w:t>
      </w:r>
      <w:r w:rsidR="00517BE8">
        <w:rPr>
          <w:lang w:val="en-GB"/>
        </w:rPr>
        <w:fldChar w:fldCharType="end"/>
      </w:r>
      <w:r w:rsidR="00517BE8">
        <w:rPr>
          <w:lang w:val="en-GB"/>
        </w:rPr>
        <w:t xml:space="preserve"> </w:t>
      </w:r>
      <w:r w:rsidRPr="00562771">
        <w:rPr>
          <w:lang w:val="en-GB"/>
        </w:rPr>
        <w:t xml:space="preserve">and investigate the effect of bleaching conditions on </w:t>
      </w:r>
      <w:r w:rsidR="005C07CF">
        <w:rPr>
          <w:lang w:val="en-GB"/>
        </w:rPr>
        <w:t xml:space="preserve">the </w:t>
      </w:r>
      <w:r w:rsidRPr="00562771">
        <w:rPr>
          <w:lang w:val="en-GB"/>
        </w:rPr>
        <w:t>quality of the celluloses.</w:t>
      </w:r>
    </w:p>
    <w:p w14:paraId="7C2684A2" w14:textId="1A153250" w:rsidR="00562771" w:rsidRDefault="0085407A" w:rsidP="00600535">
      <w:pPr>
        <w:pStyle w:val="CETBodytext"/>
        <w:rPr>
          <w:lang w:val="en-GB"/>
        </w:rPr>
      </w:pPr>
      <w:r>
        <w:rPr>
          <w:noProof/>
          <w:lang w:val="en-GB"/>
        </w:rPr>
        <w:drawing>
          <wp:inline distT="0" distB="0" distL="0" distR="0" wp14:anchorId="5767B78E" wp14:editId="439AA65D">
            <wp:extent cx="3024000" cy="1944794"/>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22"/>
                    <a:stretch/>
                  </pic:blipFill>
                  <pic:spPr bwMode="auto">
                    <a:xfrm>
                      <a:off x="0" y="0"/>
                      <a:ext cx="3024000" cy="1944794"/>
                    </a:xfrm>
                    <a:prstGeom prst="rect">
                      <a:avLst/>
                    </a:prstGeom>
                    <a:noFill/>
                    <a:ln>
                      <a:noFill/>
                    </a:ln>
                    <a:extLst>
                      <a:ext uri="{53640926-AAD7-44D8-BBD7-CCE9431645EC}">
                        <a14:shadowObscured xmlns:a14="http://schemas.microsoft.com/office/drawing/2010/main"/>
                      </a:ext>
                    </a:extLst>
                  </pic:spPr>
                </pic:pic>
              </a:graphicData>
            </a:graphic>
          </wp:inline>
        </w:drawing>
      </w:r>
    </w:p>
    <w:p w14:paraId="7F9E0587" w14:textId="5B5EBD32" w:rsidR="00562771" w:rsidRDefault="00562771" w:rsidP="00562771">
      <w:pPr>
        <w:pStyle w:val="CETCaption"/>
        <w:rPr>
          <w:rStyle w:val="CETCaptionCarattere"/>
          <w:i/>
        </w:rPr>
      </w:pPr>
      <w:r w:rsidRPr="00BD077D">
        <w:rPr>
          <w:rStyle w:val="CETCaptionCarattere"/>
          <w:i/>
        </w:rPr>
        <w:t xml:space="preserve">Figure 1: </w:t>
      </w:r>
      <w:r w:rsidR="00476E20" w:rsidRPr="00476E20">
        <w:rPr>
          <w:rStyle w:val="CETCaptionCarattere"/>
          <w:i/>
        </w:rPr>
        <w:t>FT-IR spectra of unbleached (BS-UB) and bleached (BS-B) cellulose pulp</w:t>
      </w:r>
    </w:p>
    <w:p w14:paraId="389BC139" w14:textId="755E1665" w:rsidR="00CB622D" w:rsidRPr="009E43DF" w:rsidRDefault="00CB622D" w:rsidP="00D235C1">
      <w:pPr>
        <w:pStyle w:val="CETBodytext"/>
      </w:pPr>
      <w:r w:rsidRPr="00562771">
        <w:rPr>
          <w:lang w:val="en-GB"/>
        </w:rPr>
        <w:t>All spectr</w:t>
      </w:r>
      <w:r>
        <w:rPr>
          <w:lang w:val="en-GB"/>
        </w:rPr>
        <w:t>a</w:t>
      </w:r>
      <w:r w:rsidRPr="00562771">
        <w:rPr>
          <w:lang w:val="en-GB"/>
        </w:rPr>
        <w:t xml:space="preserve"> showed some signature characteristic bands of celluloses, including absorption peaks at 3300 and 2902 cm</w:t>
      </w:r>
      <w:r w:rsidRPr="00562771">
        <w:rPr>
          <w:vertAlign w:val="superscript"/>
          <w:lang w:val="en-GB"/>
        </w:rPr>
        <w:t>-1</w:t>
      </w:r>
      <w:r w:rsidRPr="00562771">
        <w:rPr>
          <w:lang w:val="en-GB"/>
        </w:rPr>
        <w:t xml:space="preserve"> because </w:t>
      </w:r>
      <w:r w:rsidR="005C07CF">
        <w:rPr>
          <w:lang w:val="en-GB"/>
        </w:rPr>
        <w:t xml:space="preserve">of </w:t>
      </w:r>
      <w:r w:rsidRPr="00562771">
        <w:rPr>
          <w:lang w:val="en-GB"/>
        </w:rPr>
        <w:t>the presence of H–bounded OH group stretching and C</w:t>
      </w:r>
      <w:r w:rsidR="005E34F8">
        <w:rPr>
          <w:lang w:val="en-GB"/>
        </w:rPr>
        <w:t>-</w:t>
      </w:r>
      <w:r w:rsidRPr="00562771">
        <w:rPr>
          <w:lang w:val="en-GB"/>
        </w:rPr>
        <w:t>H stretching vibration groups</w:t>
      </w:r>
      <w:r>
        <w:rPr>
          <w:lang w:val="en-GB"/>
        </w:rPr>
        <w:t xml:space="preserve"> </w:t>
      </w:r>
      <w:r>
        <w:rPr>
          <w:b/>
          <w:bCs/>
          <w:u w:val="single"/>
          <w:lang w:val="en-GB"/>
        </w:rPr>
        <w:fldChar w:fldCharType="begin" w:fldLock="1"/>
      </w:r>
      <w:r>
        <w:rPr>
          <w:b/>
          <w:bCs/>
          <w:u w:val="single"/>
          <w:lang w:val="en-GB"/>
        </w:rPr>
        <w:instrText>ADDIN CSL_CITATION {"citationItems":[{"id":"ITEM-1","itemData":{"DOI":"10.1016/j.biortech.2021.125122","ISSN":"0960-8524","abstract":"Deep eutectic solvents (DESs) have received considerable interests as pretreatment solvents for biorefinery. In the present work, five kinds of dicarboxylic acids based DESs were introduced to pretreatments on moso bamboo (MB) with microwave irradiation assistance. Factors influencing the enzymatic conversion of MB cellulose to glucose were determined. With the fast heating, pretreated samples all present significant delignification and hemicelluloses matrix removal, thus improving the enzymatic conversion yield from 15% of MB to ~60%. For the DESs, hydrogen donors with less carbon atoms (oxalic acid) and more hydroxyl groups (tartaric acid) displayed higher efficiency due to separation of aggregated cellulose microfibrils. The microwave assisted DESs (MW-DESs) pretreatments also contributed to cellulose crystal variations including decrystallization and more exposure of hydrophobic surfaces, which are beneficial for followed cellulase adsorption and hydrolysis. The exploration of fast MW-DESs pretreatments may expand the potentials of lignocellulose biomass on effective and applicable biorefinery.","author":[{"dropping-particle":"","family":"Ling","given":"Zhe","non-dropping-particle":"","parse-names":false,"suffix":""},{"dropping-particle":"","family":"Tang","given":"Wei","non-dropping-particle":"","parse-names":false,"suffix":""},{"dropping-particle":"","family":"Su","given":"Yan","non-dropping-particle":"","parse-names":false,"suffix":""},{"dropping-particle":"","family":"Shao","given":"Lupeng","non-dropping-particle":"","parse-names":false,"suffix":""},{"dropping-particle":"","family":"Wang","given":"Peng","non-dropping-particle":"","parse-names":false,"suffix":""},{"dropping-particle":"","family":"Ren","given":"Yuxuan","non-dropping-particle":"","parse-names":false,"suffix":""},{"dropping-particle":"","family":"Huang","given":"Caoxing","non-dropping-particle":"","parse-names":false,"suffix":""}],"container-title":"Bioresource Technology","id":"ITEM-1","issued":{"date-parts":[["2021"]]},"page":"125122","publisher":"Elsevier Ltd","title":"Promoting enzymatic hydrolysis of aggregated bamboo crystalline cellulose by fast microwave-assisted dicarboxylic acid deep eutectic solvents pretreatments","type":"article-journal","volume":"333"},"uris":["http://www.mendeley.com/documents/?uuid=30296194-043f-4265-8fe0-8568cd8b0b58"]}],"mendeley":{"formattedCitation":"(Ling et al., 2021)","plainTextFormattedCitation":"(Ling et al., 2021)","previouslyFormattedCitation":"(Ling et al., 2021)"},"properties":{"noteIndex":0},"schema":"https://github.com/citation-style-language/schema/raw/master/csl-citation.json"}</w:instrText>
      </w:r>
      <w:r>
        <w:rPr>
          <w:b/>
          <w:bCs/>
          <w:u w:val="single"/>
          <w:lang w:val="en-GB"/>
        </w:rPr>
        <w:fldChar w:fldCharType="separate"/>
      </w:r>
      <w:r w:rsidRPr="00517BE8">
        <w:rPr>
          <w:bCs/>
          <w:noProof/>
          <w:lang w:val="en-GB"/>
        </w:rPr>
        <w:t>(Ling et al., 2021)</w:t>
      </w:r>
      <w:r>
        <w:rPr>
          <w:b/>
          <w:bCs/>
          <w:u w:val="single"/>
          <w:lang w:val="en-GB"/>
        </w:rPr>
        <w:fldChar w:fldCharType="end"/>
      </w:r>
      <w:r>
        <w:rPr>
          <w:lang w:val="en-GB"/>
        </w:rPr>
        <w:t>,</w:t>
      </w:r>
      <w:r w:rsidRPr="00562771">
        <w:rPr>
          <w:lang w:val="en-GB"/>
        </w:rPr>
        <w:t xml:space="preserve"> respectively. In addition, the peak at 1028 cm</w:t>
      </w:r>
      <w:r w:rsidRPr="00C446D2">
        <w:rPr>
          <w:vertAlign w:val="superscript"/>
          <w:lang w:val="en-GB"/>
        </w:rPr>
        <w:t>-1</w:t>
      </w:r>
      <w:r w:rsidRPr="00562771">
        <w:rPr>
          <w:lang w:val="en-GB"/>
        </w:rPr>
        <w:t xml:space="preserve"> </w:t>
      </w:r>
      <w:r w:rsidR="005C07CF">
        <w:rPr>
          <w:lang w:val="en-GB"/>
        </w:rPr>
        <w:t>belongs</w:t>
      </w:r>
      <w:r w:rsidRPr="00562771">
        <w:rPr>
          <w:lang w:val="en-GB"/>
        </w:rPr>
        <w:t xml:space="preserve"> to the C</w:t>
      </w:r>
      <w:r w:rsidR="005E34F8">
        <w:rPr>
          <w:lang w:val="en-GB"/>
        </w:rPr>
        <w:t>-</w:t>
      </w:r>
      <w:r w:rsidRPr="00562771">
        <w:rPr>
          <w:lang w:val="en-GB"/>
        </w:rPr>
        <w:t>O</w:t>
      </w:r>
      <w:r w:rsidR="005E34F8">
        <w:rPr>
          <w:lang w:val="en-GB"/>
        </w:rPr>
        <w:t>-</w:t>
      </w:r>
      <w:r w:rsidRPr="00562771">
        <w:rPr>
          <w:lang w:val="en-GB"/>
        </w:rPr>
        <w:t xml:space="preserve">C pyranose ring stretching vibration </w:t>
      </w:r>
      <w:r>
        <w:rPr>
          <w:b/>
          <w:bCs/>
          <w:u w:val="single"/>
          <w:lang w:val="en-GB"/>
        </w:rPr>
        <w:fldChar w:fldCharType="begin" w:fldLock="1"/>
      </w:r>
      <w:r>
        <w:rPr>
          <w:b/>
          <w:bCs/>
          <w:u w:val="single"/>
          <w:lang w:val="en-GB"/>
        </w:rPr>
        <w:instrText>ADDIN CSL_CITATION {"citationItems":[{"id":"ITEM-1","itemData":{"DOI":"10.1016/j.biortech.2021.125122","ISSN":"0960-8524","abstract":"Deep eutectic solvents (DESs) have received considerable interests as pretreatment solvents for biorefinery. In the present work, five kinds of dicarboxylic acids based DESs were introduced to pretreatments on moso bamboo (MB) with microwave irradiation assistance. Factors influencing the enzymatic conversion of MB cellulose to glucose were determined. With the fast heating, pretreated samples all present significant delignification and hemicelluloses matrix removal, thus improving the enzymatic conversion yield from 15% of MB to ~60%. For the DESs, hydrogen donors with less carbon atoms (oxalic acid) and more hydroxyl groups (tartaric acid) displayed higher efficiency due to separation of aggregated cellulose microfibrils. The microwave assisted DESs (MW-DESs) pretreatments also contributed to cellulose crystal variations including decrystallization and more exposure of hydrophobic surfaces, which are beneficial for followed cellulase adsorption and hydrolysis. The exploration of fast MW-DESs pretreatments may expand the potentials of lignocellulose biomass on effective and applicable biorefinery.","author":[{"dropping-particle":"","family":"Ling","given":"Zhe","non-dropping-particle":"","parse-names":false,"suffix":""},{"dropping-particle":"","family":"Tang","given":"Wei","non-dropping-particle":"","parse-names":false,"suffix":""},{"dropping-particle":"","family":"Su","given":"Yan","non-dropping-particle":"","parse-names":false,"suffix":""},{"dropping-particle":"","family":"Shao","given":"Lupeng","non-dropping-particle":"","parse-names":false,"suffix":""},{"dropping-particle":"","family":"Wang","given":"Peng","non-dropping-particle":"","parse-names":false,"suffix":""},{"dropping-particle":"","family":"Ren","given":"Yuxuan","non-dropping-particle":"","parse-names":false,"suffix":""},{"dropping-particle":"","family":"Huang","given":"Caoxing","non-dropping-particle":"","parse-names":false,"suffix":""}],"container-title":"Bioresource Technology","id":"ITEM-1","issued":{"date-parts":[["2021"]]},"page":"125122","publisher":"Elsevier Ltd","title":"Promoting enzymatic hydrolysis of aggregated bamboo crystalline cellulose by fast microwave-assisted dicarboxylic acid deep eutectic solvents pretreatments","type":"article-journal","volume":"333"},"uris":["http://www.mendeley.com/documents/?uuid=30296194-043f-4265-8fe0-8568cd8b0b58"]},{"id":"ITEM-2","itemData":{"DOI":"10.3390/polym12020485","abstract":"Thermal modification of wood causes chemical changes that significantly affect the physical, mechanical and biological properties of wood; thus, it is essential to investigate these changes for better utilization of products. Fourier transform infrared spectroscopy and size exclusion chromatography were used for evaluation of chemical changes at thermal treatment of oak wood. Thermal modification was applied according to Thermowood process at the temperatures of 160, 180 and 210 °C, respectively. The results showed that hemicelluloses are less thermally stable than cellulose. Chains of polysaccharides split to shorter ones leading to a decrease of the degree of polymerization and an increase of polydispersity. At the highest temperature of the treatment (210 °C), also crosslinking reactions take place. At lower temperatures degradation reactions of lignin predominate, higher temperatures cause mainly condensation reactions and a molecular weight increase. Chemical changes in main components of thermally modified wood mainly affect its mechanical properties, which should be considered into account especially when designing various timber constructions.","author":[{"dropping-particle":"","family":"Kubovský","given":"Ivan","non-dropping-particle":"","parse-names":false,"suffix":""},{"dropping-particle":"","family":"Kačíková","given":"Danica","non-dropping-particle":"","parse-names":false,"suffix":""},{"dropping-particle":"","family":"Kačík","given":"František","non-dropping-particle":"","parse-names":false,"suffix":""}],"container-title":"Polymers","id":"ITEM-2","issued":{"date-parts":[["2020"]]},"page":"485","title":"Structural Changes of Oak Wood Main Components Caused by Thermal Modification","type":"article-journal","volume":"12"},"uris":["http://www.mendeley.com/documents/?uuid=f289a05e-3ca1-4421-a77a-c80e88ee9232"]}],"mendeley":{"formattedCitation":"(Kubovský et al., 2020; Ling et al., 2021)","plainTextFormattedCitation":"(Kubovský et al., 2020; Ling et al., 2021)","previouslyFormattedCitation":"(Kubovský et al., 2020; Ling et al., 2021)"},"properties":{"noteIndex":0},"schema":"https://github.com/citation-style-language/schema/raw/master/csl-citation.json"}</w:instrText>
      </w:r>
      <w:r>
        <w:rPr>
          <w:b/>
          <w:bCs/>
          <w:u w:val="single"/>
          <w:lang w:val="en-GB"/>
        </w:rPr>
        <w:fldChar w:fldCharType="separate"/>
      </w:r>
      <w:r w:rsidRPr="00517BE8">
        <w:rPr>
          <w:bCs/>
          <w:noProof/>
          <w:lang w:val="en-GB"/>
        </w:rPr>
        <w:t>(Kubovský et al., 2020; Ling et al., 2021)</w:t>
      </w:r>
      <w:r>
        <w:rPr>
          <w:b/>
          <w:bCs/>
          <w:u w:val="single"/>
          <w:lang w:val="en-GB"/>
        </w:rPr>
        <w:fldChar w:fldCharType="end"/>
      </w:r>
      <w:r w:rsidRPr="00517BE8">
        <w:rPr>
          <w:lang w:val="en-GB"/>
        </w:rPr>
        <w:t xml:space="preserve"> </w:t>
      </w:r>
      <w:r w:rsidRPr="00562771">
        <w:rPr>
          <w:lang w:val="en-GB"/>
        </w:rPr>
        <w:t>and 897 cm</w:t>
      </w:r>
      <w:r w:rsidRPr="00562771">
        <w:rPr>
          <w:vertAlign w:val="superscript"/>
          <w:lang w:val="en-GB"/>
        </w:rPr>
        <w:t>-1</w:t>
      </w:r>
      <w:r w:rsidRPr="00562771">
        <w:rPr>
          <w:lang w:val="en-GB"/>
        </w:rPr>
        <w:t xml:space="preserve"> at C</w:t>
      </w:r>
      <w:r w:rsidR="005E34F8">
        <w:rPr>
          <w:lang w:val="en-GB"/>
        </w:rPr>
        <w:t>-</w:t>
      </w:r>
      <w:r w:rsidRPr="00562771">
        <w:rPr>
          <w:lang w:val="en-GB"/>
        </w:rPr>
        <w:t>O</w:t>
      </w:r>
      <w:r w:rsidR="005E34F8">
        <w:rPr>
          <w:lang w:val="en-GB"/>
        </w:rPr>
        <w:t>-</w:t>
      </w:r>
      <w:r w:rsidRPr="00562771">
        <w:rPr>
          <w:lang w:val="en-GB"/>
        </w:rPr>
        <w:t>C stretching at the β-(1-4)glycosidic linkages between sugar unit</w:t>
      </w:r>
      <w:r>
        <w:rPr>
          <w:lang w:val="en-GB"/>
        </w:rPr>
        <w:t xml:space="preserve">s </w:t>
      </w:r>
      <w:r>
        <w:rPr>
          <w:lang w:val="en-GB"/>
        </w:rPr>
        <w:fldChar w:fldCharType="begin" w:fldLock="1"/>
      </w:r>
      <w:r>
        <w:rPr>
          <w:lang w:val="en-GB"/>
        </w:rPr>
        <w:instrText>ADDIN CSL_CITATION {"citationItems":[{"id":"ITEM-1","itemData":{"DOI":"10.3390/app10124345","abstract":"With rapidly increased interests in biomass, diverse chemical and biological processes have been applied for biomass utilization. Fourier transform infrared (FTIR) analysis has been used for characterizing different types of biomass and their products, including natural and processed biomass. During biomass treatments, some solvents and/or catalysts can be retained and contaminate biomass. In addition, contaminants can be generated by the decomposition of biomass components. Herein, we report FTIR analyses of a series of contaminants, such as various solvents, chemicals, enzymes, and possibly formed degradation by-products in the biomass conversion process along with poplar biomass. This information helps to prevent misunderstanding the FTIR analysis results of the processed biomass.","author":[{"dropping-particle":"","family":"Zhuang","given":"Jingshun","non-dropping-particle":"","parse-names":false,"suffix":""},{"dropping-particle":"","family":"Li","given":"Mi","non-dropping-particle":"","parse-names":false,"suffix":""},{"dropping-particle":"","family":"Pu","given":"Yunqiao","non-dropping-particle":"","parse-names":false,"suffix":""},{"dropping-particle":"","family":"Ragauskas","given":"Arthur Jonas","non-dropping-particle":"","parse-names":false,"suffix":""},{"dropping-particle":"","family":"Yoo","given":"Chang Geun","non-dropping-particle":"","parse-names":false,"suffix":""}],"container-title":"Applied sciences","id":"ITEM-1","issued":{"date-parts":[["2020"]]},"page":"4345","title":"Observation of Potential Contaminants in Processed Biomass Using Fourier Transform Infrared Spectroscopy","type":"article-journal","volume":"10"},"uris":["http://www.mendeley.com/documents/?uuid=b72d601b-255d-4c83-aaa7-483f5175d009"]}],"mendeley":{"formattedCitation":"(Zhuang et al., 2020)","plainTextFormattedCitation":"(Zhuang et al., 2020)","previouslyFormattedCitation":"(Zhuang et al., 2020)"},"properties":{"noteIndex":0},"schema":"https://github.com/citation-style-language/schema/raw/master/csl-citation.json"}</w:instrText>
      </w:r>
      <w:r>
        <w:rPr>
          <w:lang w:val="en-GB"/>
        </w:rPr>
        <w:fldChar w:fldCharType="separate"/>
      </w:r>
      <w:r w:rsidRPr="00517BE8">
        <w:rPr>
          <w:noProof/>
          <w:lang w:val="en-GB"/>
        </w:rPr>
        <w:t>(Zhuang et al., 2020)</w:t>
      </w:r>
      <w:r>
        <w:rPr>
          <w:lang w:val="en-GB"/>
        </w:rPr>
        <w:fldChar w:fldCharType="end"/>
      </w:r>
      <w:r w:rsidRPr="00562771">
        <w:rPr>
          <w:lang w:val="en-GB"/>
        </w:rPr>
        <w:t>. The next peak detected in the spectra of unbleached cellulose pulp is around 1500 cm</w:t>
      </w:r>
      <w:r w:rsidRPr="00562771">
        <w:rPr>
          <w:vertAlign w:val="superscript"/>
          <w:lang w:val="en-GB"/>
        </w:rPr>
        <w:t>-1</w:t>
      </w:r>
      <w:r w:rsidRPr="00562771">
        <w:rPr>
          <w:lang w:val="en-GB"/>
        </w:rPr>
        <w:t xml:space="preserve"> (C=C aromatic skeletal vibrations stretching of the benzene ring), corresponding to the aromatic ring of ligni</w:t>
      </w:r>
      <w:r>
        <w:rPr>
          <w:lang w:val="en-GB"/>
        </w:rPr>
        <w:t xml:space="preserve">n </w:t>
      </w:r>
      <w:r>
        <w:rPr>
          <w:lang w:val="en-GB"/>
        </w:rPr>
        <w:fldChar w:fldCharType="begin" w:fldLock="1"/>
      </w:r>
      <w:r>
        <w:rPr>
          <w:lang w:val="en-GB"/>
        </w:rPr>
        <w:instrText>ADDIN CSL_CITATION {"citationItems":[{"id":"ITEM-1","itemData":{"DOI":"10.3390/polym12020485","abstract":"Thermal modification of wood causes chemical changes that significantly affect the physical, mechanical and biological properties of wood; thus, it is essential to investigate these changes for better utilization of products. Fourier transform infrared spectroscopy and size exclusion chromatography were used for evaluation of chemical changes at thermal treatment of oak wood. Thermal modification was applied according to Thermowood process at the temperatures of 160, 180 and 210 °C, respectively. The results showed that hemicelluloses are less thermally stable than cellulose. Chains of polysaccharides split to shorter ones leading to a decrease of the degree of polymerization and an increase of polydispersity. At the highest temperature of the treatment (210 °C), also crosslinking reactions take place. At lower temperatures degradation reactions of lignin predominate, higher temperatures cause mainly condensation reactions and a molecular weight increase. Chemical changes in main components of thermally modified wood mainly affect its mechanical properties, which should be considered into account especially when designing various timber constructions.","author":[{"dropping-particle":"","family":"Kubovský","given":"Ivan","non-dropping-particle":"","parse-names":false,"suffix":""},{"dropping-particle":"","family":"Kačíková","given":"Danica","non-dropping-particle":"","parse-names":false,"suffix":""},{"dropping-particle":"","family":"Kačík","given":"František","non-dropping-particle":"","parse-names":false,"suffix":""}],"container-title":"Polymers","id":"ITEM-1","issued":{"date-parts":[["2020"]]},"page":"485","title":"Structural Changes of Oak Wood Main Components Caused by Thermal Modification","type":"article-journal","volume":"12"},"uris":["http://www.mendeley.com/documents/?uuid=f289a05e-3ca1-4421-a77a-c80e88ee9232"]}],"mendeley":{"formattedCitation":"(Kubovský et al., 2020)","plainTextFormattedCitation":"(Kubovský et al., 2020)","previouslyFormattedCitation":"(Kubovský et al., 2020)"},"properties":{"noteIndex":0},"schema":"https://github.com/citation-style-language/schema/raw/master/csl-citation.json"}</w:instrText>
      </w:r>
      <w:r>
        <w:rPr>
          <w:lang w:val="en-GB"/>
        </w:rPr>
        <w:fldChar w:fldCharType="separate"/>
      </w:r>
      <w:r w:rsidRPr="00517BE8">
        <w:rPr>
          <w:noProof/>
          <w:lang w:val="en-GB"/>
        </w:rPr>
        <w:t>(Kubovský et al., 2020)</w:t>
      </w:r>
      <w:r>
        <w:rPr>
          <w:lang w:val="en-GB"/>
        </w:rPr>
        <w:fldChar w:fldCharType="end"/>
      </w:r>
      <w:r>
        <w:rPr>
          <w:lang w:val="en-GB"/>
        </w:rPr>
        <w:t>.</w:t>
      </w:r>
      <w:r w:rsidRPr="00562771">
        <w:rPr>
          <w:lang w:val="en-GB"/>
        </w:rPr>
        <w:t xml:space="preserve"> The absence </w:t>
      </w:r>
      <w:r w:rsidR="005C07CF">
        <w:rPr>
          <w:lang w:val="en-GB"/>
        </w:rPr>
        <w:t>of</w:t>
      </w:r>
      <w:r w:rsidRPr="00562771">
        <w:rPr>
          <w:lang w:val="en-GB"/>
        </w:rPr>
        <w:t xml:space="preserve"> this band from the spectrum of bleached cellulose pulp attested </w:t>
      </w:r>
      <w:r w:rsidR="005C07CF">
        <w:rPr>
          <w:lang w:val="en-GB"/>
        </w:rPr>
        <w:t xml:space="preserve">to </w:t>
      </w:r>
      <w:r w:rsidRPr="00562771">
        <w:rPr>
          <w:lang w:val="en-GB"/>
        </w:rPr>
        <w:t>the efficien</w:t>
      </w:r>
      <w:r w:rsidR="005C07CF">
        <w:rPr>
          <w:lang w:val="en-GB"/>
        </w:rPr>
        <w:t>cy of</w:t>
      </w:r>
      <w:r w:rsidRPr="00562771">
        <w:rPr>
          <w:lang w:val="en-GB"/>
        </w:rPr>
        <w:t xml:space="preserve"> lignin removal during the bleaching process. Thus, the accessibility of functional groups is facilitated, making the </w:t>
      </w:r>
      <w:proofErr w:type="spellStart"/>
      <w:r w:rsidRPr="00562771">
        <w:rPr>
          <w:lang w:val="en-GB"/>
        </w:rPr>
        <w:t>fibers</w:t>
      </w:r>
      <w:proofErr w:type="spellEnd"/>
      <w:r w:rsidRPr="00562771">
        <w:rPr>
          <w:lang w:val="en-GB"/>
        </w:rPr>
        <w:t xml:space="preserve"> more amenable to functionalization by chemical or physical pre-treatments and </w:t>
      </w:r>
      <w:proofErr w:type="spellStart"/>
      <w:r w:rsidRPr="00562771">
        <w:rPr>
          <w:lang w:val="en-GB"/>
        </w:rPr>
        <w:t>favoring</w:t>
      </w:r>
      <w:proofErr w:type="spellEnd"/>
      <w:r w:rsidRPr="00562771">
        <w:rPr>
          <w:lang w:val="en-GB"/>
        </w:rPr>
        <w:t xml:space="preserve"> their subsequent defibrillation.</w:t>
      </w:r>
    </w:p>
    <w:p w14:paraId="1A35DB87" w14:textId="0E3B6170" w:rsidR="00562771" w:rsidRPr="00B57B36" w:rsidRDefault="00562771" w:rsidP="00562771">
      <w:pPr>
        <w:pStyle w:val="CETheadingx"/>
      </w:pPr>
      <w:r w:rsidRPr="00562771">
        <w:t xml:space="preserve">Papers and </w:t>
      </w:r>
      <w:proofErr w:type="spellStart"/>
      <w:r w:rsidRPr="00562771">
        <w:t>nanopapers</w:t>
      </w:r>
      <w:proofErr w:type="spellEnd"/>
      <w:r w:rsidRPr="00562771">
        <w:t xml:space="preserve"> </w:t>
      </w:r>
      <w:r>
        <w:t>characterization</w:t>
      </w:r>
    </w:p>
    <w:p w14:paraId="7B5AA459" w14:textId="6963586C" w:rsidR="00562771" w:rsidRDefault="00562771" w:rsidP="00600535">
      <w:pPr>
        <w:pStyle w:val="CETBodytext"/>
        <w:rPr>
          <w:lang w:val="en-GB"/>
        </w:rPr>
      </w:pPr>
      <w:r w:rsidRPr="00562771">
        <w:rPr>
          <w:lang w:val="en-GB"/>
        </w:rPr>
        <w:t>Papers from BS-UB and BS-B cellulose pulp</w:t>
      </w:r>
      <w:r w:rsidR="00BF1A2E">
        <w:rPr>
          <w:lang w:val="en-GB"/>
        </w:rPr>
        <w:t xml:space="preserve"> (data not shown)</w:t>
      </w:r>
      <w:r w:rsidRPr="00562771">
        <w:rPr>
          <w:lang w:val="en-GB"/>
        </w:rPr>
        <w:t xml:space="preserve"> exhibited a homogenous surface </w:t>
      </w:r>
      <w:r w:rsidR="00BF1A2E">
        <w:rPr>
          <w:lang w:val="en-GB"/>
        </w:rPr>
        <w:t xml:space="preserve">characterized by </w:t>
      </w:r>
      <w:r w:rsidRPr="00562771">
        <w:rPr>
          <w:lang w:val="en-GB"/>
        </w:rPr>
        <w:t xml:space="preserve">large and macroscopically heterogeneous spots and visible white agglomerates. </w:t>
      </w:r>
      <w:r w:rsidR="00BF1A2E">
        <w:rPr>
          <w:lang w:val="en-GB"/>
        </w:rPr>
        <w:t xml:space="preserve">In contrast, </w:t>
      </w:r>
      <w:proofErr w:type="spellStart"/>
      <w:r w:rsidRPr="00562771">
        <w:rPr>
          <w:lang w:val="en-GB"/>
        </w:rPr>
        <w:t>nanopapers</w:t>
      </w:r>
      <w:proofErr w:type="spellEnd"/>
      <w:r w:rsidRPr="00562771">
        <w:rPr>
          <w:lang w:val="en-GB"/>
        </w:rPr>
        <w:t xml:space="preserve"> prepared from CNFs suspension generally showed </w:t>
      </w:r>
      <w:r w:rsidR="005C07CF">
        <w:rPr>
          <w:lang w:val="en-GB"/>
        </w:rPr>
        <w:t xml:space="preserve">a </w:t>
      </w:r>
      <w:r w:rsidRPr="00562771">
        <w:rPr>
          <w:lang w:val="en-GB"/>
        </w:rPr>
        <w:t xml:space="preserve">semi-transparent and smooth appearance without any holes. Mechanical properties and porosity of the derived papers and </w:t>
      </w:r>
      <w:proofErr w:type="spellStart"/>
      <w:r w:rsidRPr="00562771">
        <w:rPr>
          <w:lang w:val="en-GB"/>
        </w:rPr>
        <w:t>nanopapers</w:t>
      </w:r>
      <w:proofErr w:type="spellEnd"/>
      <w:r w:rsidRPr="00562771">
        <w:rPr>
          <w:lang w:val="en-GB"/>
        </w:rPr>
        <w:t xml:space="preserve"> using extracted cellulose pulp and isolated cellulose nanofibers are reported in Table </w:t>
      </w:r>
      <w:r>
        <w:rPr>
          <w:lang w:val="en-GB"/>
        </w:rPr>
        <w:t>1</w:t>
      </w:r>
      <w:r w:rsidRPr="00562771">
        <w:rPr>
          <w:lang w:val="en-GB"/>
        </w:rPr>
        <w:t xml:space="preserve">. </w:t>
      </w:r>
      <w:proofErr w:type="spellStart"/>
      <w:r w:rsidRPr="00562771">
        <w:rPr>
          <w:lang w:val="en-GB"/>
        </w:rPr>
        <w:t>Nanopapers</w:t>
      </w:r>
      <w:proofErr w:type="spellEnd"/>
      <w:r w:rsidRPr="00562771">
        <w:rPr>
          <w:lang w:val="en-GB"/>
        </w:rPr>
        <w:t xml:space="preserve"> containing NCs isolated </w:t>
      </w:r>
      <w:r w:rsidR="005C07CF">
        <w:rPr>
          <w:lang w:val="en-GB"/>
        </w:rPr>
        <w:t xml:space="preserve">through </w:t>
      </w:r>
      <w:r w:rsidRPr="00562771">
        <w:rPr>
          <w:lang w:val="en-GB"/>
        </w:rPr>
        <w:t>mechanical treat</w:t>
      </w:r>
      <w:r w:rsidR="00BF1A2E">
        <w:rPr>
          <w:lang w:val="en-GB"/>
        </w:rPr>
        <w:t>ments</w:t>
      </w:r>
      <w:r w:rsidRPr="00562771">
        <w:rPr>
          <w:lang w:val="en-GB"/>
        </w:rPr>
        <w:t xml:space="preserve"> exhibited the highest tensile strength and load at break among all the papers. Due to the number of links among </w:t>
      </w:r>
      <w:proofErr w:type="spellStart"/>
      <w:r w:rsidR="005C07CF" w:rsidRPr="00562771">
        <w:rPr>
          <w:lang w:val="en-GB"/>
        </w:rPr>
        <w:t>fib</w:t>
      </w:r>
      <w:r w:rsidR="005C07CF">
        <w:rPr>
          <w:lang w:val="en-GB"/>
        </w:rPr>
        <w:t>er</w:t>
      </w:r>
      <w:r w:rsidR="005C07CF" w:rsidRPr="00562771">
        <w:rPr>
          <w:lang w:val="en-GB"/>
        </w:rPr>
        <w:t>s</w:t>
      </w:r>
      <w:proofErr w:type="spellEnd"/>
      <w:r w:rsidRPr="00562771">
        <w:rPr>
          <w:lang w:val="en-GB"/>
        </w:rPr>
        <w:t>, the type of links</w:t>
      </w:r>
      <w:r w:rsidR="005C07CF">
        <w:rPr>
          <w:lang w:val="en-GB"/>
        </w:rPr>
        <w:t>,</w:t>
      </w:r>
      <w:r w:rsidRPr="00562771">
        <w:rPr>
          <w:lang w:val="en-GB"/>
        </w:rPr>
        <w:t xml:space="preserve"> and the intrinsic resistance of the </w:t>
      </w:r>
      <w:proofErr w:type="spellStart"/>
      <w:r w:rsidR="005C07CF" w:rsidRPr="00562771">
        <w:rPr>
          <w:lang w:val="en-GB"/>
        </w:rPr>
        <w:t>fib</w:t>
      </w:r>
      <w:r w:rsidR="005C07CF">
        <w:rPr>
          <w:lang w:val="en-GB"/>
        </w:rPr>
        <w:t>er</w:t>
      </w:r>
      <w:proofErr w:type="spellEnd"/>
      <w:r w:rsidRPr="00562771">
        <w:rPr>
          <w:lang w:val="en-GB"/>
        </w:rPr>
        <w:t>, LCNF-</w:t>
      </w:r>
      <w:proofErr w:type="spellStart"/>
      <w:r>
        <w:rPr>
          <w:lang w:val="en-GB"/>
        </w:rPr>
        <w:t>Mec</w:t>
      </w:r>
      <w:proofErr w:type="spellEnd"/>
      <w:r w:rsidRPr="00562771">
        <w:rPr>
          <w:lang w:val="en-GB"/>
        </w:rPr>
        <w:t xml:space="preserve"> and CNF-</w:t>
      </w:r>
      <w:proofErr w:type="spellStart"/>
      <w:r>
        <w:rPr>
          <w:lang w:val="en-GB"/>
        </w:rPr>
        <w:t>Mec</w:t>
      </w:r>
      <w:proofErr w:type="spellEnd"/>
      <w:r w:rsidRPr="00562771">
        <w:rPr>
          <w:lang w:val="en-GB"/>
        </w:rPr>
        <w:t xml:space="preserve"> </w:t>
      </w:r>
      <w:r w:rsidR="00BF1A2E">
        <w:rPr>
          <w:lang w:val="en-GB"/>
        </w:rPr>
        <w:t xml:space="preserve">demonstrated to </w:t>
      </w:r>
      <w:r w:rsidRPr="00562771">
        <w:rPr>
          <w:lang w:val="en-GB"/>
        </w:rPr>
        <w:t xml:space="preserve">possess a better adhesion between the cellulose </w:t>
      </w:r>
      <w:proofErr w:type="spellStart"/>
      <w:r w:rsidRPr="00562771">
        <w:rPr>
          <w:lang w:val="en-GB"/>
        </w:rPr>
        <w:t>fibers</w:t>
      </w:r>
      <w:proofErr w:type="spellEnd"/>
      <w:r w:rsidRPr="00562771">
        <w:rPr>
          <w:lang w:val="en-GB"/>
        </w:rPr>
        <w:t xml:space="preserve">, resulting in superior mechanical strength of </w:t>
      </w:r>
      <w:r w:rsidR="00BF1A2E">
        <w:rPr>
          <w:lang w:val="en-GB"/>
        </w:rPr>
        <w:t>paper sheets</w:t>
      </w:r>
      <w:r w:rsidRPr="00562771">
        <w:rPr>
          <w:lang w:val="en-GB"/>
        </w:rPr>
        <w:t xml:space="preserve">. </w:t>
      </w:r>
      <w:r w:rsidR="00BF1A2E">
        <w:rPr>
          <w:lang w:val="en-GB"/>
        </w:rPr>
        <w:t>More specifically,</w:t>
      </w:r>
      <w:r w:rsidRPr="00562771">
        <w:rPr>
          <w:lang w:val="en-GB"/>
        </w:rPr>
        <w:t xml:space="preserve"> </w:t>
      </w:r>
      <w:proofErr w:type="spellStart"/>
      <w:r w:rsidRPr="00562771">
        <w:rPr>
          <w:lang w:val="en-GB"/>
        </w:rPr>
        <w:t>nanopaper</w:t>
      </w:r>
      <w:proofErr w:type="spellEnd"/>
      <w:r w:rsidRPr="00562771">
        <w:rPr>
          <w:lang w:val="en-GB"/>
        </w:rPr>
        <w:t xml:space="preserve"> from LCNF-</w:t>
      </w:r>
      <w:proofErr w:type="spellStart"/>
      <w:r>
        <w:rPr>
          <w:lang w:val="en-GB"/>
        </w:rPr>
        <w:t>Mec</w:t>
      </w:r>
      <w:proofErr w:type="spellEnd"/>
      <w:r w:rsidRPr="00562771">
        <w:rPr>
          <w:lang w:val="en-GB"/>
        </w:rPr>
        <w:t xml:space="preserve"> and CNF-</w:t>
      </w:r>
      <w:proofErr w:type="spellStart"/>
      <w:r>
        <w:rPr>
          <w:lang w:val="en-GB"/>
        </w:rPr>
        <w:t>Mec</w:t>
      </w:r>
      <w:proofErr w:type="spellEnd"/>
      <w:r w:rsidRPr="00562771">
        <w:rPr>
          <w:lang w:val="en-GB"/>
        </w:rPr>
        <w:t xml:space="preserve"> suspensions exhibited the highest tensile strength value</w:t>
      </w:r>
      <w:r w:rsidR="00BF1A2E">
        <w:rPr>
          <w:lang w:val="en-GB"/>
        </w:rPr>
        <w:t>s</w:t>
      </w:r>
      <w:r w:rsidRPr="00562771">
        <w:rPr>
          <w:lang w:val="en-GB"/>
        </w:rPr>
        <w:t xml:space="preserve"> (28.62 ± 2.13 and 28.92 ± 3.50 MPa, respectively), </w:t>
      </w:r>
      <w:r w:rsidR="009E43DF">
        <w:rPr>
          <w:lang w:val="en-GB"/>
        </w:rPr>
        <w:t xml:space="preserve">which was </w:t>
      </w:r>
      <w:r w:rsidR="00BF1A2E">
        <w:rPr>
          <w:lang w:val="en-GB"/>
        </w:rPr>
        <w:t>significantly (</w:t>
      </w:r>
      <w:r w:rsidR="00BF1A2E" w:rsidRPr="00D235C1">
        <w:rPr>
          <w:i/>
          <w:iCs/>
          <w:lang w:val="en-GB"/>
        </w:rPr>
        <w:t>p</w:t>
      </w:r>
      <w:r w:rsidR="00D235C1" w:rsidRPr="00D235C1">
        <w:rPr>
          <w:i/>
          <w:iCs/>
          <w:lang w:val="en-GB"/>
        </w:rPr>
        <w:t xml:space="preserve"> </w:t>
      </w:r>
      <w:r w:rsidR="00BF1A2E" w:rsidRPr="00D235C1">
        <w:rPr>
          <w:i/>
          <w:iCs/>
          <w:lang w:val="en-GB"/>
        </w:rPr>
        <w:t>&lt;</w:t>
      </w:r>
      <w:r w:rsidR="00D235C1" w:rsidRPr="00D235C1">
        <w:rPr>
          <w:i/>
          <w:iCs/>
          <w:lang w:val="en-GB"/>
        </w:rPr>
        <w:t xml:space="preserve"> </w:t>
      </w:r>
      <w:r w:rsidR="00BF1A2E" w:rsidRPr="00D235C1">
        <w:rPr>
          <w:i/>
          <w:iCs/>
          <w:lang w:val="en-GB"/>
        </w:rPr>
        <w:t>0.05</w:t>
      </w:r>
      <w:r w:rsidR="00BF1A2E">
        <w:rPr>
          <w:lang w:val="en-GB"/>
        </w:rPr>
        <w:t xml:space="preserve">) </w:t>
      </w:r>
      <w:r w:rsidRPr="00562771">
        <w:rPr>
          <w:lang w:val="en-GB"/>
        </w:rPr>
        <w:t xml:space="preserve">higher than </w:t>
      </w:r>
      <w:r w:rsidR="00BF1A2E">
        <w:rPr>
          <w:lang w:val="en-GB"/>
        </w:rPr>
        <w:t xml:space="preserve">for </w:t>
      </w:r>
      <w:r w:rsidRPr="00562771">
        <w:rPr>
          <w:lang w:val="en-GB"/>
        </w:rPr>
        <w:t>CNF-TO (65 and 68% increase, respectively). A lower tensile strength cause</w:t>
      </w:r>
      <w:r w:rsidR="009E43DF">
        <w:rPr>
          <w:lang w:val="en-GB"/>
        </w:rPr>
        <w:t>d</w:t>
      </w:r>
      <w:r w:rsidRPr="00562771">
        <w:rPr>
          <w:lang w:val="en-GB"/>
        </w:rPr>
        <w:t xml:space="preserve"> a reduction in flexibility. Furthermore, the crosslinking among mechanical pre-treated complexed NC network</w:t>
      </w:r>
      <w:r w:rsidR="005C07CF">
        <w:rPr>
          <w:lang w:val="en-GB"/>
        </w:rPr>
        <w:t>s</w:t>
      </w:r>
      <w:r w:rsidRPr="00562771">
        <w:rPr>
          <w:lang w:val="en-GB"/>
        </w:rPr>
        <w:t xml:space="preserve"> enabled the enhancement of the strain at break of the </w:t>
      </w:r>
      <w:proofErr w:type="spellStart"/>
      <w:r w:rsidRPr="00562771">
        <w:rPr>
          <w:lang w:val="en-GB"/>
        </w:rPr>
        <w:t>nanopaper</w:t>
      </w:r>
      <w:proofErr w:type="spellEnd"/>
      <w:r w:rsidRPr="00562771">
        <w:rPr>
          <w:lang w:val="en-GB"/>
        </w:rPr>
        <w:t xml:space="preserve">, with an increase </w:t>
      </w:r>
      <w:r w:rsidR="005C07CF">
        <w:rPr>
          <w:lang w:val="en-GB"/>
        </w:rPr>
        <w:t xml:space="preserve">in comparison with </w:t>
      </w:r>
      <w:r w:rsidRPr="00562771">
        <w:rPr>
          <w:lang w:val="en-GB"/>
        </w:rPr>
        <w:t>CNF-TO of 105 and 207% for LCNF-</w:t>
      </w:r>
      <w:proofErr w:type="spellStart"/>
      <w:r>
        <w:rPr>
          <w:lang w:val="en-GB"/>
        </w:rPr>
        <w:t>Mec</w:t>
      </w:r>
      <w:proofErr w:type="spellEnd"/>
      <w:r w:rsidRPr="00562771">
        <w:rPr>
          <w:lang w:val="en-GB"/>
        </w:rPr>
        <w:t xml:space="preserve"> and CNF-</w:t>
      </w:r>
      <w:proofErr w:type="spellStart"/>
      <w:r>
        <w:rPr>
          <w:lang w:val="en-GB"/>
        </w:rPr>
        <w:t>Mec</w:t>
      </w:r>
      <w:proofErr w:type="spellEnd"/>
      <w:r w:rsidRPr="00562771">
        <w:rPr>
          <w:lang w:val="en-GB"/>
        </w:rPr>
        <w:t xml:space="preserve">, respectively. This improvement was likely due to the enhanced interactions </w:t>
      </w:r>
      <w:r w:rsidR="005C07CF">
        <w:rPr>
          <w:lang w:val="en-GB"/>
        </w:rPr>
        <w:t xml:space="preserve">of the </w:t>
      </w:r>
      <w:r w:rsidRPr="00562771">
        <w:rPr>
          <w:lang w:val="en-GB"/>
        </w:rPr>
        <w:t xml:space="preserve">NCs constituents of the </w:t>
      </w:r>
      <w:proofErr w:type="spellStart"/>
      <w:r w:rsidRPr="00562771">
        <w:rPr>
          <w:lang w:val="en-GB"/>
        </w:rPr>
        <w:t>nanopaper</w:t>
      </w:r>
      <w:proofErr w:type="spellEnd"/>
      <w:r w:rsidRPr="00562771">
        <w:rPr>
          <w:lang w:val="en-GB"/>
        </w:rPr>
        <w:t>, promoted by the electrostatic force</w:t>
      </w:r>
      <w:r w:rsidR="00517BE8">
        <w:rPr>
          <w:lang w:val="en-GB"/>
        </w:rPr>
        <w:t xml:space="preserve">s </w:t>
      </w:r>
      <w:r w:rsidR="00517BE8">
        <w:rPr>
          <w:lang w:val="en-GB"/>
        </w:rPr>
        <w:fldChar w:fldCharType="begin" w:fldLock="1"/>
      </w:r>
      <w:r w:rsidR="00517BE8">
        <w:rPr>
          <w:lang w:val="en-GB"/>
        </w:rPr>
        <w:instrText>ADDIN CSL_CITATION {"citationItems":[{"id":"ITEM-1","itemData":{"DOI":"10.1016/j.foodhyd.2021.106983","ISSN":"0268-005X","abstract":"Owing to the intrinsic hydrophilicity of nanocellulose, films and nanopapers prepared from cellulosic nano- materials exhibit weak mechanical strength when exposed to high-moisture conditions. In this study, an approach for designing a water resistant, assembled nanopaper through controlled and irreversible aqueous complexation of oppositely charged cellulose nanoconstituents, i.e., cationic cellulose nanocrystals (AH-CNC) and anionic cellulose nanofibers (TO-CNF), is proposed. The fabrication process and features of the nanopaper can be adjusted by altering of the AH-CNC/TO-CNF ratio. For example, the draining time during the filtration of a nanopaper decreased dramatically (480–10 min) when the dosage of nanocelluloses resulted in charge compensation. This dosage also reduced the swelling of the nanopaper. After all charged groups were neutral- ized, a nanopaper with a wet strength of 11 ± 3 MPa was obtained when immersed in water for 24 h. Furthermore, the electrostatic interaction between the charged nano-entities enhanced the mechanical properties of the nanopaper in dry state (the maximum of tensile strength was 174 ± 3 MPa) and resulted in improved water barrier properties (water vapor transmission rate of 1683 g μm m","author":[{"dropping-particle":"","family":"Zhang","given":"Kaitao","non-dropping-particle":"","parse-names":false,"suffix":""},{"dropping-particle":"","family":"Ismail","given":"Mostafa Y","non-dropping-particle":"","parse-names":false,"suffix":""},{"dropping-particle":"","family":"Liimatainen","given":"Henrikki","non-dropping-particle":"","parse-names":false,"suffix":""}],"container-title":"Food Hydrocolloids","id":"ITEM-1","issued":{"date-parts":[["2021"]]},"page":"106983","publisher":"Elsevier Ltd","title":"Water-resistant nanopaper with tunable water barrier and mechanical properties from assembled complexes of oppositely charged cellulosic nanomaterials","type":"article-journal","volume":"120"},"uris":["http://www.mendeley.com/documents/?uuid=ea38d81e-1b3d-4653-83f8-43bdac254f84"]}],"mendeley":{"formattedCitation":"(Zhang et al., 2021)","plainTextFormattedCitation":"(Zhang et al., 2021)","previouslyFormattedCitation":"(Zhang et al., 2021)"},"properties":{"noteIndex":0},"schema":"https://github.com/citation-style-language/schema/raw/master/csl-citation.json"}</w:instrText>
      </w:r>
      <w:r w:rsidR="00517BE8">
        <w:rPr>
          <w:lang w:val="en-GB"/>
        </w:rPr>
        <w:fldChar w:fldCharType="separate"/>
      </w:r>
      <w:r w:rsidR="00517BE8" w:rsidRPr="00517BE8">
        <w:rPr>
          <w:noProof/>
          <w:lang w:val="en-GB"/>
        </w:rPr>
        <w:t>(Zhang et al., 2021)</w:t>
      </w:r>
      <w:r w:rsidR="00517BE8">
        <w:rPr>
          <w:lang w:val="en-GB"/>
        </w:rPr>
        <w:fldChar w:fldCharType="end"/>
      </w:r>
      <w:r w:rsidR="00517BE8">
        <w:rPr>
          <w:lang w:val="en-GB"/>
        </w:rPr>
        <w:t>.</w:t>
      </w:r>
    </w:p>
    <w:p w14:paraId="32844835" w14:textId="597EB8E0" w:rsidR="00562771" w:rsidRPr="00B57B36" w:rsidRDefault="00562771" w:rsidP="00562771">
      <w:pPr>
        <w:pStyle w:val="CETTabletitle"/>
      </w:pPr>
      <w:r w:rsidRPr="00B57B36">
        <w:t xml:space="preserve">Table 1: </w:t>
      </w:r>
      <w:r w:rsidR="00476E20" w:rsidRPr="00476E20">
        <w:t xml:space="preserve">Mechanical properties from the elongation analysis of papers and </w:t>
      </w:r>
      <w:proofErr w:type="spellStart"/>
      <w:r w:rsidR="00476E20" w:rsidRPr="00476E20">
        <w:t>nanopapers</w:t>
      </w:r>
      <w:proofErr w:type="spell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701"/>
        <w:gridCol w:w="1701"/>
        <w:gridCol w:w="1701"/>
      </w:tblGrid>
      <w:tr w:rsidR="00D235C1" w:rsidRPr="00562771" w14:paraId="228C93FC" w14:textId="77777777" w:rsidTr="00D235C1">
        <w:tc>
          <w:tcPr>
            <w:tcW w:w="1701" w:type="dxa"/>
            <w:tcBorders>
              <w:top w:val="single" w:sz="12" w:space="0" w:color="008000"/>
              <w:bottom w:val="single" w:sz="6" w:space="0" w:color="008000"/>
            </w:tcBorders>
            <w:shd w:val="clear" w:color="auto" w:fill="FFFFFF"/>
          </w:tcPr>
          <w:p w14:paraId="17D2EA7B" w14:textId="3D79BF7D" w:rsidR="00562771" w:rsidRPr="00562771" w:rsidRDefault="00562771" w:rsidP="003B4713">
            <w:pPr>
              <w:pStyle w:val="CETBodytext"/>
              <w:rPr>
                <w:rFonts w:cs="Arial"/>
                <w:lang w:val="en-GB"/>
              </w:rPr>
            </w:pPr>
          </w:p>
        </w:tc>
        <w:tc>
          <w:tcPr>
            <w:tcW w:w="1701" w:type="dxa"/>
            <w:tcBorders>
              <w:top w:val="single" w:sz="12" w:space="0" w:color="008000"/>
              <w:bottom w:val="single" w:sz="6" w:space="0" w:color="008000"/>
            </w:tcBorders>
            <w:shd w:val="clear" w:color="auto" w:fill="FFFFFF"/>
          </w:tcPr>
          <w:p w14:paraId="14B33CF0" w14:textId="5BEA9BA0" w:rsidR="00562771" w:rsidRPr="00562771" w:rsidRDefault="00562771" w:rsidP="00562771">
            <w:pPr>
              <w:pStyle w:val="CETBodytext"/>
              <w:rPr>
                <w:rFonts w:cs="Arial"/>
                <w:lang w:val="en-GB"/>
              </w:rPr>
            </w:pPr>
            <w:r w:rsidRPr="00562771">
              <w:rPr>
                <w:rFonts w:cs="Arial"/>
                <w:lang w:val="en-GB"/>
              </w:rPr>
              <w:t xml:space="preserve">Tensile </w:t>
            </w:r>
            <w:r w:rsidR="00BF1A2E" w:rsidRPr="00562771">
              <w:rPr>
                <w:rFonts w:cs="Arial"/>
                <w:lang w:val="en-GB"/>
              </w:rPr>
              <w:t>strength</w:t>
            </w:r>
          </w:p>
          <w:p w14:paraId="117A2044" w14:textId="3B358593" w:rsidR="00562771" w:rsidRPr="00562771" w:rsidRDefault="00562771" w:rsidP="00562771">
            <w:pPr>
              <w:pStyle w:val="CETBodytext"/>
              <w:rPr>
                <w:rFonts w:cs="Arial"/>
                <w:lang w:val="en-GB"/>
              </w:rPr>
            </w:pPr>
            <w:r w:rsidRPr="00562771">
              <w:rPr>
                <w:rFonts w:cs="Arial"/>
                <w:lang w:val="en-GB"/>
              </w:rPr>
              <w:t>(MPa)</w:t>
            </w:r>
          </w:p>
        </w:tc>
        <w:tc>
          <w:tcPr>
            <w:tcW w:w="1701" w:type="dxa"/>
            <w:tcBorders>
              <w:top w:val="single" w:sz="12" w:space="0" w:color="008000"/>
              <w:bottom w:val="single" w:sz="6" w:space="0" w:color="008000"/>
            </w:tcBorders>
            <w:shd w:val="clear" w:color="auto" w:fill="FFFFFF"/>
          </w:tcPr>
          <w:p w14:paraId="1E7EBF38" w14:textId="77777777" w:rsidR="00562771" w:rsidRPr="00562771" w:rsidRDefault="00562771" w:rsidP="00562771">
            <w:pPr>
              <w:pStyle w:val="CETBodytext"/>
              <w:rPr>
                <w:rFonts w:cs="Arial"/>
                <w:lang w:val="en-GB"/>
              </w:rPr>
            </w:pPr>
            <w:r w:rsidRPr="00562771">
              <w:rPr>
                <w:rFonts w:cs="Arial"/>
                <w:lang w:val="en-GB"/>
              </w:rPr>
              <w:t>Load at break</w:t>
            </w:r>
          </w:p>
          <w:p w14:paraId="1534914B" w14:textId="7F7A8814" w:rsidR="00562771" w:rsidRPr="00562771" w:rsidRDefault="00562771" w:rsidP="00562771">
            <w:pPr>
              <w:pStyle w:val="CETBodytext"/>
              <w:rPr>
                <w:rFonts w:cs="Arial"/>
                <w:lang w:val="en-GB"/>
              </w:rPr>
            </w:pPr>
            <w:r w:rsidRPr="00562771">
              <w:rPr>
                <w:rFonts w:cs="Arial"/>
                <w:lang w:val="en-GB"/>
              </w:rPr>
              <w:t>(N)</w:t>
            </w:r>
          </w:p>
        </w:tc>
        <w:tc>
          <w:tcPr>
            <w:tcW w:w="1701" w:type="dxa"/>
            <w:tcBorders>
              <w:top w:val="single" w:sz="12" w:space="0" w:color="008000"/>
              <w:bottom w:val="single" w:sz="6" w:space="0" w:color="008000"/>
            </w:tcBorders>
            <w:shd w:val="clear" w:color="auto" w:fill="FFFFFF"/>
          </w:tcPr>
          <w:p w14:paraId="7321FF18" w14:textId="77777777" w:rsidR="00562771" w:rsidRPr="00562771" w:rsidRDefault="00562771" w:rsidP="00562771">
            <w:pPr>
              <w:pStyle w:val="CETBodytext"/>
              <w:ind w:right="-1"/>
              <w:rPr>
                <w:rFonts w:cs="Arial"/>
                <w:szCs w:val="18"/>
                <w:lang w:val="en-GB"/>
              </w:rPr>
            </w:pPr>
            <w:r w:rsidRPr="00562771">
              <w:rPr>
                <w:rFonts w:cs="Arial"/>
                <w:szCs w:val="18"/>
                <w:lang w:val="en-GB"/>
              </w:rPr>
              <w:t>Strain at Break</w:t>
            </w:r>
          </w:p>
          <w:p w14:paraId="1CB6B3C1" w14:textId="7A44248A" w:rsidR="00562771" w:rsidRPr="00562771" w:rsidRDefault="00562771" w:rsidP="00562771">
            <w:pPr>
              <w:pStyle w:val="CETBodytext"/>
              <w:ind w:right="-1"/>
              <w:rPr>
                <w:rFonts w:cs="Arial"/>
                <w:szCs w:val="18"/>
                <w:lang w:val="en-GB"/>
              </w:rPr>
            </w:pPr>
            <w:r w:rsidRPr="00562771">
              <w:rPr>
                <w:rFonts w:cs="Arial"/>
                <w:szCs w:val="18"/>
                <w:lang w:val="en-GB"/>
              </w:rPr>
              <w:t>(%)</w:t>
            </w:r>
          </w:p>
        </w:tc>
      </w:tr>
      <w:tr w:rsidR="00562771" w:rsidRPr="00562771" w14:paraId="48F8F655" w14:textId="77777777" w:rsidTr="00D235C1">
        <w:tc>
          <w:tcPr>
            <w:tcW w:w="1701" w:type="dxa"/>
            <w:tcBorders>
              <w:top w:val="single" w:sz="4" w:space="0" w:color="auto"/>
              <w:left w:val="nil"/>
              <w:bottom w:val="nil"/>
              <w:right w:val="nil"/>
            </w:tcBorders>
            <w:shd w:val="clear" w:color="auto" w:fill="auto"/>
            <w:vAlign w:val="center"/>
          </w:tcPr>
          <w:p w14:paraId="0615F3D5" w14:textId="79457DB2" w:rsidR="00562771" w:rsidRPr="00562771" w:rsidRDefault="00562771" w:rsidP="00562771">
            <w:pPr>
              <w:pStyle w:val="CETBodytext"/>
              <w:rPr>
                <w:rFonts w:cs="Arial"/>
                <w:lang w:val="en-GB"/>
              </w:rPr>
            </w:pPr>
            <w:r w:rsidRPr="00517BE8">
              <w:rPr>
                <w:rFonts w:cs="Arial"/>
                <w:lang w:val="en-GB"/>
              </w:rPr>
              <w:t>BS-UB</w:t>
            </w:r>
          </w:p>
        </w:tc>
        <w:tc>
          <w:tcPr>
            <w:tcW w:w="1701" w:type="dxa"/>
            <w:tcBorders>
              <w:top w:val="nil"/>
              <w:left w:val="nil"/>
              <w:bottom w:val="nil"/>
              <w:right w:val="nil"/>
            </w:tcBorders>
            <w:shd w:val="clear" w:color="auto" w:fill="auto"/>
            <w:vAlign w:val="center"/>
          </w:tcPr>
          <w:p w14:paraId="1337D839" w14:textId="5FF87B99" w:rsidR="00562771" w:rsidRPr="00562771" w:rsidRDefault="00562771" w:rsidP="00562771">
            <w:pPr>
              <w:pStyle w:val="CETBodytext"/>
              <w:rPr>
                <w:rFonts w:cs="Arial"/>
                <w:lang w:val="en-GB"/>
              </w:rPr>
            </w:pPr>
            <w:r w:rsidRPr="00517BE8">
              <w:rPr>
                <w:rFonts w:cs="Arial"/>
                <w:lang w:val="en-GB"/>
              </w:rPr>
              <w:t>3.98 ± 0.91</w:t>
            </w:r>
            <w:r w:rsidRPr="00517BE8">
              <w:rPr>
                <w:rFonts w:cs="Arial"/>
                <w:vertAlign w:val="superscript"/>
                <w:lang w:val="en-GB"/>
              </w:rPr>
              <w:t>a</w:t>
            </w:r>
          </w:p>
        </w:tc>
        <w:tc>
          <w:tcPr>
            <w:tcW w:w="1701" w:type="dxa"/>
            <w:tcBorders>
              <w:top w:val="nil"/>
              <w:left w:val="nil"/>
              <w:bottom w:val="nil"/>
              <w:right w:val="nil"/>
            </w:tcBorders>
            <w:shd w:val="clear" w:color="auto" w:fill="auto"/>
            <w:vAlign w:val="center"/>
          </w:tcPr>
          <w:p w14:paraId="606EABC4" w14:textId="5AAA8BA0" w:rsidR="00562771" w:rsidRPr="00562771" w:rsidRDefault="00562771" w:rsidP="00562771">
            <w:pPr>
              <w:pStyle w:val="CETBodytext"/>
              <w:rPr>
                <w:rFonts w:cs="Arial"/>
                <w:lang w:val="en-GB"/>
              </w:rPr>
            </w:pPr>
            <w:r w:rsidRPr="00517BE8">
              <w:rPr>
                <w:rFonts w:cs="Arial"/>
                <w:lang w:val="en-GB"/>
              </w:rPr>
              <w:t>12.06 ± 1.87</w:t>
            </w:r>
            <w:r w:rsidRPr="00517BE8">
              <w:rPr>
                <w:rFonts w:cs="Arial"/>
                <w:vertAlign w:val="superscript"/>
                <w:lang w:val="en-GB"/>
              </w:rPr>
              <w:t>a</w:t>
            </w:r>
          </w:p>
        </w:tc>
        <w:tc>
          <w:tcPr>
            <w:tcW w:w="1701" w:type="dxa"/>
            <w:tcBorders>
              <w:top w:val="nil"/>
              <w:left w:val="nil"/>
              <w:bottom w:val="nil"/>
              <w:right w:val="nil"/>
            </w:tcBorders>
          </w:tcPr>
          <w:p w14:paraId="10C06CBA" w14:textId="5BBB5A4E" w:rsidR="00562771" w:rsidRPr="00562771" w:rsidRDefault="00562771" w:rsidP="00562771">
            <w:pPr>
              <w:pStyle w:val="CETBodytext"/>
              <w:ind w:right="-1"/>
              <w:rPr>
                <w:rFonts w:cs="Arial"/>
                <w:szCs w:val="18"/>
                <w:lang w:val="en-GB"/>
              </w:rPr>
            </w:pPr>
            <w:r w:rsidRPr="00517BE8">
              <w:rPr>
                <w:rFonts w:cs="Arial"/>
                <w:lang w:val="en-GB"/>
              </w:rPr>
              <w:t>1.10 ± 0.20</w:t>
            </w:r>
            <w:r w:rsidRPr="00517BE8">
              <w:rPr>
                <w:rFonts w:cs="Arial"/>
                <w:vertAlign w:val="superscript"/>
                <w:lang w:val="en-GB"/>
              </w:rPr>
              <w:t>a</w:t>
            </w:r>
          </w:p>
        </w:tc>
      </w:tr>
      <w:tr w:rsidR="00562771" w:rsidRPr="00562771" w14:paraId="6973AC40" w14:textId="77777777" w:rsidTr="00D235C1">
        <w:tc>
          <w:tcPr>
            <w:tcW w:w="1701" w:type="dxa"/>
            <w:tcBorders>
              <w:top w:val="nil"/>
              <w:left w:val="nil"/>
              <w:bottom w:val="nil"/>
              <w:right w:val="nil"/>
            </w:tcBorders>
            <w:shd w:val="clear" w:color="auto" w:fill="auto"/>
            <w:vAlign w:val="center"/>
          </w:tcPr>
          <w:p w14:paraId="41C04740" w14:textId="79F408E7" w:rsidR="00562771" w:rsidRPr="00562771" w:rsidRDefault="00562771" w:rsidP="00562771">
            <w:pPr>
              <w:pStyle w:val="CETBodytext"/>
              <w:rPr>
                <w:rFonts w:cs="Arial"/>
                <w:lang w:val="en-GB"/>
              </w:rPr>
            </w:pPr>
            <w:r w:rsidRPr="00517BE8">
              <w:rPr>
                <w:rFonts w:cs="Arial"/>
                <w:lang w:val="en-GB"/>
              </w:rPr>
              <w:t>BS-B</w:t>
            </w:r>
          </w:p>
        </w:tc>
        <w:tc>
          <w:tcPr>
            <w:tcW w:w="1701" w:type="dxa"/>
            <w:tcBorders>
              <w:top w:val="nil"/>
              <w:left w:val="nil"/>
              <w:bottom w:val="nil"/>
              <w:right w:val="nil"/>
            </w:tcBorders>
            <w:shd w:val="clear" w:color="auto" w:fill="auto"/>
            <w:vAlign w:val="center"/>
          </w:tcPr>
          <w:p w14:paraId="087A4C6D" w14:textId="3D8452BB" w:rsidR="00562771" w:rsidRPr="00562771" w:rsidRDefault="00562771" w:rsidP="00562771">
            <w:pPr>
              <w:pStyle w:val="CETBodytext"/>
              <w:rPr>
                <w:rFonts w:cs="Arial"/>
                <w:lang w:val="en-GB"/>
              </w:rPr>
            </w:pPr>
            <w:r w:rsidRPr="00517BE8">
              <w:rPr>
                <w:rFonts w:cs="Arial"/>
                <w:lang w:val="en-GB"/>
              </w:rPr>
              <w:t>11.44 ± 1.27</w:t>
            </w:r>
            <w:r w:rsidRPr="00517BE8">
              <w:rPr>
                <w:rFonts w:cs="Arial"/>
                <w:vertAlign w:val="superscript"/>
                <w:lang w:val="en-GB"/>
              </w:rPr>
              <w:t>b</w:t>
            </w:r>
          </w:p>
        </w:tc>
        <w:tc>
          <w:tcPr>
            <w:tcW w:w="1701" w:type="dxa"/>
            <w:tcBorders>
              <w:top w:val="nil"/>
              <w:left w:val="nil"/>
              <w:bottom w:val="nil"/>
              <w:right w:val="nil"/>
            </w:tcBorders>
            <w:shd w:val="clear" w:color="auto" w:fill="auto"/>
            <w:vAlign w:val="center"/>
          </w:tcPr>
          <w:p w14:paraId="56D2B3D5" w14:textId="18669518" w:rsidR="00562771" w:rsidRPr="00562771" w:rsidRDefault="00562771" w:rsidP="00562771">
            <w:pPr>
              <w:pStyle w:val="CETBodytext"/>
              <w:rPr>
                <w:rFonts w:cs="Arial"/>
                <w:lang w:val="en-GB"/>
              </w:rPr>
            </w:pPr>
            <w:r w:rsidRPr="00517BE8">
              <w:rPr>
                <w:rFonts w:cs="Arial"/>
                <w:lang w:val="en-GB"/>
              </w:rPr>
              <w:t>25.85 ± 0.40</w:t>
            </w:r>
            <w:r w:rsidRPr="00517BE8">
              <w:rPr>
                <w:rFonts w:cs="Arial"/>
                <w:vertAlign w:val="superscript"/>
                <w:lang w:val="en-GB"/>
              </w:rPr>
              <w:t>b</w:t>
            </w:r>
          </w:p>
        </w:tc>
        <w:tc>
          <w:tcPr>
            <w:tcW w:w="1701" w:type="dxa"/>
            <w:tcBorders>
              <w:top w:val="nil"/>
              <w:left w:val="nil"/>
              <w:bottom w:val="nil"/>
              <w:right w:val="nil"/>
            </w:tcBorders>
          </w:tcPr>
          <w:p w14:paraId="6C49E218" w14:textId="3272864C" w:rsidR="00562771" w:rsidRPr="00562771" w:rsidRDefault="00562771" w:rsidP="00562771">
            <w:pPr>
              <w:pStyle w:val="CETBodytext"/>
              <w:ind w:right="-1"/>
              <w:rPr>
                <w:rFonts w:cs="Arial"/>
                <w:szCs w:val="18"/>
                <w:lang w:val="en-GB"/>
              </w:rPr>
            </w:pPr>
            <w:r w:rsidRPr="00517BE8">
              <w:rPr>
                <w:rFonts w:cs="Arial"/>
                <w:lang w:val="en-GB"/>
              </w:rPr>
              <w:t>1.72 ± 0.38</w:t>
            </w:r>
            <w:r w:rsidRPr="00517BE8">
              <w:rPr>
                <w:rFonts w:cs="Arial"/>
                <w:vertAlign w:val="superscript"/>
                <w:lang w:val="en-GB"/>
              </w:rPr>
              <w:t>b</w:t>
            </w:r>
          </w:p>
        </w:tc>
      </w:tr>
      <w:tr w:rsidR="00562771" w:rsidRPr="00562771" w14:paraId="530AFE12" w14:textId="77777777" w:rsidTr="00D235C1">
        <w:tc>
          <w:tcPr>
            <w:tcW w:w="1701" w:type="dxa"/>
            <w:tcBorders>
              <w:top w:val="nil"/>
              <w:left w:val="nil"/>
              <w:bottom w:val="nil"/>
              <w:right w:val="nil"/>
            </w:tcBorders>
            <w:shd w:val="clear" w:color="auto" w:fill="auto"/>
            <w:vAlign w:val="center"/>
          </w:tcPr>
          <w:p w14:paraId="04D81C63" w14:textId="5DE59F4B" w:rsidR="00562771" w:rsidRPr="00562771" w:rsidRDefault="00562771" w:rsidP="00562771">
            <w:pPr>
              <w:pStyle w:val="CETBodytext"/>
              <w:rPr>
                <w:rFonts w:cs="Arial"/>
                <w:lang w:val="en-GB"/>
              </w:rPr>
            </w:pPr>
            <w:r w:rsidRPr="00517BE8">
              <w:rPr>
                <w:rFonts w:cs="Arial"/>
                <w:lang w:val="en-GB"/>
              </w:rPr>
              <w:t>LCNF-TO</w:t>
            </w:r>
          </w:p>
        </w:tc>
        <w:tc>
          <w:tcPr>
            <w:tcW w:w="1701" w:type="dxa"/>
            <w:tcBorders>
              <w:top w:val="nil"/>
              <w:left w:val="nil"/>
              <w:bottom w:val="nil"/>
              <w:right w:val="nil"/>
            </w:tcBorders>
            <w:shd w:val="clear" w:color="auto" w:fill="auto"/>
            <w:vAlign w:val="center"/>
          </w:tcPr>
          <w:p w14:paraId="71C5B537" w14:textId="6E96DD82" w:rsidR="00562771" w:rsidRPr="00562771" w:rsidRDefault="00562771" w:rsidP="00562771">
            <w:pPr>
              <w:pStyle w:val="CETBodytext"/>
              <w:rPr>
                <w:rFonts w:cs="Arial"/>
                <w:lang w:val="en-GB"/>
              </w:rPr>
            </w:pPr>
            <w:r w:rsidRPr="00517BE8">
              <w:rPr>
                <w:rFonts w:cs="Arial"/>
                <w:lang w:val="en-GB"/>
              </w:rPr>
              <w:t>7.63 ± 1.04</w:t>
            </w:r>
            <w:r w:rsidRPr="00517BE8">
              <w:rPr>
                <w:rFonts w:cs="Arial"/>
                <w:vertAlign w:val="superscript"/>
                <w:lang w:val="en-GB"/>
              </w:rPr>
              <w:t>ab</w:t>
            </w:r>
          </w:p>
        </w:tc>
        <w:tc>
          <w:tcPr>
            <w:tcW w:w="1701" w:type="dxa"/>
            <w:tcBorders>
              <w:top w:val="nil"/>
              <w:left w:val="nil"/>
              <w:bottom w:val="nil"/>
              <w:right w:val="nil"/>
            </w:tcBorders>
            <w:shd w:val="clear" w:color="auto" w:fill="auto"/>
            <w:vAlign w:val="center"/>
          </w:tcPr>
          <w:p w14:paraId="48C5E21C" w14:textId="2CBCC481" w:rsidR="00562771" w:rsidRPr="00562771" w:rsidRDefault="00562771" w:rsidP="00562771">
            <w:pPr>
              <w:pStyle w:val="CETBodytext"/>
              <w:rPr>
                <w:rFonts w:cs="Arial"/>
                <w:lang w:val="en-GB"/>
              </w:rPr>
            </w:pPr>
            <w:r w:rsidRPr="00517BE8">
              <w:rPr>
                <w:rFonts w:cs="Arial"/>
                <w:lang w:val="en-GB"/>
              </w:rPr>
              <w:t>9.49 ± 0.98</w:t>
            </w:r>
            <w:r w:rsidRPr="00517BE8">
              <w:rPr>
                <w:rFonts w:cs="Arial"/>
                <w:vertAlign w:val="superscript"/>
                <w:lang w:val="en-GB"/>
              </w:rPr>
              <w:t>a</w:t>
            </w:r>
          </w:p>
        </w:tc>
        <w:tc>
          <w:tcPr>
            <w:tcW w:w="1701" w:type="dxa"/>
            <w:tcBorders>
              <w:top w:val="nil"/>
              <w:left w:val="nil"/>
              <w:bottom w:val="nil"/>
              <w:right w:val="nil"/>
            </w:tcBorders>
          </w:tcPr>
          <w:p w14:paraId="6A8031FF" w14:textId="60CB6180" w:rsidR="00562771" w:rsidRPr="00562771" w:rsidRDefault="00562771" w:rsidP="00562771">
            <w:pPr>
              <w:pStyle w:val="CETBodytext"/>
              <w:ind w:right="-1"/>
              <w:rPr>
                <w:rFonts w:cs="Arial"/>
                <w:szCs w:val="18"/>
                <w:lang w:val="en-GB"/>
              </w:rPr>
            </w:pPr>
            <w:r w:rsidRPr="00517BE8">
              <w:rPr>
                <w:rFonts w:cs="Arial"/>
                <w:lang w:val="en-GB"/>
              </w:rPr>
              <w:t>1.02 ± 0.06</w:t>
            </w:r>
            <w:r w:rsidRPr="00517BE8">
              <w:rPr>
                <w:rFonts w:cs="Arial"/>
                <w:vertAlign w:val="superscript"/>
                <w:lang w:val="en-GB"/>
              </w:rPr>
              <w:t>a</w:t>
            </w:r>
          </w:p>
        </w:tc>
      </w:tr>
      <w:tr w:rsidR="00562771" w:rsidRPr="00562771" w14:paraId="4C79F39D" w14:textId="77777777" w:rsidTr="00D235C1">
        <w:tc>
          <w:tcPr>
            <w:tcW w:w="1701" w:type="dxa"/>
            <w:tcBorders>
              <w:top w:val="nil"/>
              <w:left w:val="nil"/>
              <w:right w:val="nil"/>
            </w:tcBorders>
            <w:shd w:val="clear" w:color="auto" w:fill="auto"/>
            <w:vAlign w:val="center"/>
          </w:tcPr>
          <w:p w14:paraId="2617CBDF" w14:textId="4D1CDA16" w:rsidR="00562771" w:rsidRPr="00562771" w:rsidRDefault="00562771" w:rsidP="00562771">
            <w:pPr>
              <w:pStyle w:val="CETBodytext"/>
              <w:rPr>
                <w:rFonts w:cs="Arial"/>
                <w:lang w:val="en-GB"/>
              </w:rPr>
            </w:pPr>
            <w:r w:rsidRPr="00517BE8">
              <w:rPr>
                <w:rFonts w:cs="Arial"/>
                <w:lang w:val="en-GB"/>
              </w:rPr>
              <w:t>CNF-TO</w:t>
            </w:r>
          </w:p>
        </w:tc>
        <w:tc>
          <w:tcPr>
            <w:tcW w:w="1701" w:type="dxa"/>
            <w:tcBorders>
              <w:top w:val="nil"/>
              <w:left w:val="nil"/>
              <w:right w:val="nil"/>
            </w:tcBorders>
            <w:shd w:val="clear" w:color="auto" w:fill="auto"/>
            <w:vAlign w:val="center"/>
          </w:tcPr>
          <w:p w14:paraId="79F4F3F6" w14:textId="75686721" w:rsidR="00562771" w:rsidRPr="00562771" w:rsidRDefault="00562771" w:rsidP="00562771">
            <w:pPr>
              <w:pStyle w:val="CETBodytext"/>
              <w:rPr>
                <w:rFonts w:cs="Arial"/>
                <w:lang w:val="en-GB"/>
              </w:rPr>
            </w:pPr>
            <w:r w:rsidRPr="00517BE8">
              <w:rPr>
                <w:rFonts w:cs="Arial"/>
                <w:lang w:val="en-GB"/>
              </w:rPr>
              <w:t>17.33 ± 0.15</w:t>
            </w:r>
            <w:r w:rsidRPr="00517BE8">
              <w:rPr>
                <w:rFonts w:cs="Arial"/>
                <w:vertAlign w:val="superscript"/>
                <w:lang w:val="en-GB"/>
              </w:rPr>
              <w:t>c</w:t>
            </w:r>
          </w:p>
        </w:tc>
        <w:tc>
          <w:tcPr>
            <w:tcW w:w="1701" w:type="dxa"/>
            <w:tcBorders>
              <w:top w:val="nil"/>
              <w:left w:val="nil"/>
              <w:right w:val="nil"/>
            </w:tcBorders>
            <w:shd w:val="clear" w:color="auto" w:fill="auto"/>
            <w:vAlign w:val="center"/>
          </w:tcPr>
          <w:p w14:paraId="45402F49" w14:textId="414951F4" w:rsidR="00562771" w:rsidRPr="00562771" w:rsidRDefault="00562771" w:rsidP="00562771">
            <w:pPr>
              <w:pStyle w:val="CETBodytext"/>
              <w:rPr>
                <w:rFonts w:cs="Arial"/>
                <w:lang w:val="en-GB"/>
              </w:rPr>
            </w:pPr>
            <w:r w:rsidRPr="00517BE8">
              <w:rPr>
                <w:rFonts w:cs="Arial"/>
                <w:lang w:val="en-GB"/>
              </w:rPr>
              <w:t>9.02 ± 0.35</w:t>
            </w:r>
            <w:r w:rsidRPr="00517BE8">
              <w:rPr>
                <w:rFonts w:cs="Arial"/>
                <w:vertAlign w:val="superscript"/>
                <w:lang w:val="en-GB"/>
              </w:rPr>
              <w:t>a</w:t>
            </w:r>
          </w:p>
        </w:tc>
        <w:tc>
          <w:tcPr>
            <w:tcW w:w="1701" w:type="dxa"/>
            <w:tcBorders>
              <w:top w:val="nil"/>
              <w:left w:val="nil"/>
              <w:right w:val="nil"/>
            </w:tcBorders>
          </w:tcPr>
          <w:p w14:paraId="4A62D45E" w14:textId="34D9C5F3" w:rsidR="00562771" w:rsidRPr="00562771" w:rsidRDefault="00562771" w:rsidP="00562771">
            <w:pPr>
              <w:pStyle w:val="CETBodytext"/>
              <w:ind w:right="-1"/>
              <w:rPr>
                <w:rFonts w:cs="Arial"/>
                <w:szCs w:val="18"/>
                <w:lang w:val="en-GB"/>
              </w:rPr>
            </w:pPr>
            <w:r w:rsidRPr="00517BE8">
              <w:rPr>
                <w:rFonts w:cs="Arial"/>
                <w:lang w:val="en-GB"/>
              </w:rPr>
              <w:t>0.86 ± 0.28</w:t>
            </w:r>
            <w:r w:rsidRPr="00517BE8">
              <w:rPr>
                <w:rFonts w:cs="Arial"/>
                <w:vertAlign w:val="superscript"/>
                <w:lang w:val="en-GB"/>
              </w:rPr>
              <w:t>a</w:t>
            </w:r>
          </w:p>
        </w:tc>
      </w:tr>
      <w:tr w:rsidR="00562771" w:rsidRPr="00562771" w14:paraId="6A96670C" w14:textId="77777777" w:rsidTr="00D235C1">
        <w:tc>
          <w:tcPr>
            <w:tcW w:w="1701" w:type="dxa"/>
            <w:tcBorders>
              <w:top w:val="nil"/>
              <w:left w:val="nil"/>
              <w:right w:val="nil"/>
            </w:tcBorders>
            <w:shd w:val="clear" w:color="auto" w:fill="auto"/>
            <w:vAlign w:val="center"/>
          </w:tcPr>
          <w:p w14:paraId="24B31561" w14:textId="3734D8D2" w:rsidR="00562771" w:rsidRPr="00562771" w:rsidRDefault="00562771" w:rsidP="00562771">
            <w:pPr>
              <w:pStyle w:val="CETBodytext"/>
              <w:rPr>
                <w:rFonts w:cs="Arial"/>
                <w:lang w:val="en-GB"/>
              </w:rPr>
            </w:pPr>
            <w:r w:rsidRPr="00517BE8">
              <w:rPr>
                <w:rFonts w:cs="Arial"/>
                <w:lang w:val="en-GB"/>
              </w:rPr>
              <w:t>LCNF-</w:t>
            </w:r>
            <w:proofErr w:type="spellStart"/>
            <w:r w:rsidR="00476E20" w:rsidRPr="00517BE8">
              <w:rPr>
                <w:rFonts w:cs="Arial"/>
                <w:lang w:val="en-GB"/>
              </w:rPr>
              <w:t>Mec</w:t>
            </w:r>
            <w:proofErr w:type="spellEnd"/>
          </w:p>
        </w:tc>
        <w:tc>
          <w:tcPr>
            <w:tcW w:w="1701" w:type="dxa"/>
            <w:tcBorders>
              <w:top w:val="nil"/>
              <w:left w:val="nil"/>
              <w:right w:val="nil"/>
            </w:tcBorders>
            <w:shd w:val="clear" w:color="auto" w:fill="auto"/>
            <w:vAlign w:val="center"/>
          </w:tcPr>
          <w:p w14:paraId="0547FADD" w14:textId="218BB99F" w:rsidR="00562771" w:rsidRPr="00562771" w:rsidRDefault="00562771" w:rsidP="00562771">
            <w:pPr>
              <w:pStyle w:val="CETBodytext"/>
              <w:rPr>
                <w:rFonts w:cs="Arial"/>
                <w:lang w:val="en-GB"/>
              </w:rPr>
            </w:pPr>
            <w:r w:rsidRPr="00517BE8">
              <w:rPr>
                <w:rFonts w:cs="Arial"/>
                <w:lang w:val="en-GB"/>
              </w:rPr>
              <w:t>28.62 ± 2.13</w:t>
            </w:r>
            <w:r w:rsidRPr="00517BE8">
              <w:rPr>
                <w:rFonts w:cs="Arial"/>
                <w:vertAlign w:val="superscript"/>
                <w:lang w:val="en-GB"/>
              </w:rPr>
              <w:t>d</w:t>
            </w:r>
          </w:p>
        </w:tc>
        <w:tc>
          <w:tcPr>
            <w:tcW w:w="1701" w:type="dxa"/>
            <w:tcBorders>
              <w:top w:val="nil"/>
              <w:left w:val="nil"/>
              <w:right w:val="nil"/>
            </w:tcBorders>
            <w:shd w:val="clear" w:color="auto" w:fill="auto"/>
            <w:vAlign w:val="center"/>
          </w:tcPr>
          <w:p w14:paraId="356FB4D8" w14:textId="085CC109" w:rsidR="00562771" w:rsidRPr="00562771" w:rsidRDefault="00562771" w:rsidP="00562771">
            <w:pPr>
              <w:pStyle w:val="CETBodytext"/>
              <w:rPr>
                <w:rFonts w:cs="Arial"/>
                <w:lang w:val="en-GB"/>
              </w:rPr>
            </w:pPr>
            <w:r w:rsidRPr="00517BE8">
              <w:rPr>
                <w:rFonts w:cs="Arial"/>
                <w:lang w:val="en-GB"/>
              </w:rPr>
              <w:t>31.48 ± 2.28</w:t>
            </w:r>
            <w:r w:rsidRPr="00517BE8">
              <w:rPr>
                <w:rFonts w:cs="Arial"/>
                <w:vertAlign w:val="superscript"/>
                <w:lang w:val="en-GB"/>
              </w:rPr>
              <w:t>c</w:t>
            </w:r>
          </w:p>
        </w:tc>
        <w:tc>
          <w:tcPr>
            <w:tcW w:w="1701" w:type="dxa"/>
            <w:tcBorders>
              <w:top w:val="nil"/>
              <w:left w:val="nil"/>
              <w:right w:val="nil"/>
            </w:tcBorders>
          </w:tcPr>
          <w:p w14:paraId="1979A407" w14:textId="6966398E" w:rsidR="00562771" w:rsidRPr="00562771" w:rsidRDefault="00562771" w:rsidP="00562771">
            <w:pPr>
              <w:pStyle w:val="CETBodytext"/>
              <w:ind w:right="-1"/>
              <w:rPr>
                <w:rFonts w:cs="Arial"/>
                <w:szCs w:val="18"/>
                <w:lang w:val="en-GB"/>
              </w:rPr>
            </w:pPr>
            <w:r w:rsidRPr="00517BE8">
              <w:rPr>
                <w:rFonts w:cs="Arial"/>
                <w:lang w:val="en-GB"/>
              </w:rPr>
              <w:t>1.76 ± 0.17</w:t>
            </w:r>
            <w:r w:rsidRPr="00517BE8">
              <w:rPr>
                <w:rFonts w:cs="Arial"/>
                <w:vertAlign w:val="superscript"/>
                <w:lang w:val="en-GB"/>
              </w:rPr>
              <w:t>b</w:t>
            </w:r>
          </w:p>
        </w:tc>
      </w:tr>
      <w:tr w:rsidR="00562771" w:rsidRPr="00562771" w14:paraId="76462B8A" w14:textId="77777777" w:rsidTr="00D235C1">
        <w:tc>
          <w:tcPr>
            <w:tcW w:w="1701" w:type="dxa"/>
            <w:tcBorders>
              <w:left w:val="nil"/>
              <w:bottom w:val="single" w:sz="4" w:space="0" w:color="auto"/>
              <w:right w:val="nil"/>
            </w:tcBorders>
            <w:shd w:val="clear" w:color="auto" w:fill="auto"/>
            <w:vAlign w:val="center"/>
          </w:tcPr>
          <w:p w14:paraId="120F03C8" w14:textId="4DDD85C8" w:rsidR="00562771" w:rsidRPr="00562771" w:rsidRDefault="00562771" w:rsidP="00562771">
            <w:pPr>
              <w:pStyle w:val="CETBodytext"/>
              <w:ind w:right="-1"/>
              <w:rPr>
                <w:rFonts w:cs="Arial"/>
                <w:szCs w:val="18"/>
                <w:lang w:val="en-GB"/>
              </w:rPr>
            </w:pPr>
            <w:r w:rsidRPr="00517BE8">
              <w:rPr>
                <w:rFonts w:cs="Arial"/>
                <w:lang w:val="en-GB"/>
              </w:rPr>
              <w:t>CNF-</w:t>
            </w:r>
            <w:proofErr w:type="spellStart"/>
            <w:r w:rsidR="00476E20" w:rsidRPr="00517BE8">
              <w:rPr>
                <w:rFonts w:cs="Arial"/>
                <w:lang w:val="en-GB"/>
              </w:rPr>
              <w:t>Mec</w:t>
            </w:r>
            <w:proofErr w:type="spellEnd"/>
          </w:p>
        </w:tc>
        <w:tc>
          <w:tcPr>
            <w:tcW w:w="1701" w:type="dxa"/>
            <w:tcBorders>
              <w:left w:val="nil"/>
              <w:bottom w:val="single" w:sz="4" w:space="0" w:color="auto"/>
              <w:right w:val="nil"/>
            </w:tcBorders>
            <w:shd w:val="clear" w:color="auto" w:fill="auto"/>
            <w:vAlign w:val="center"/>
          </w:tcPr>
          <w:p w14:paraId="6510CE85" w14:textId="11BADAC6" w:rsidR="00562771" w:rsidRPr="00562771" w:rsidRDefault="00562771" w:rsidP="00562771">
            <w:pPr>
              <w:pStyle w:val="CETBodytext"/>
              <w:ind w:right="-1"/>
              <w:rPr>
                <w:rFonts w:cs="Arial"/>
                <w:szCs w:val="18"/>
                <w:lang w:val="en-GB"/>
              </w:rPr>
            </w:pPr>
            <w:r w:rsidRPr="00517BE8">
              <w:rPr>
                <w:rFonts w:cs="Arial"/>
                <w:lang w:val="en-GB"/>
              </w:rPr>
              <w:t>28.92 ± 3.50</w:t>
            </w:r>
            <w:r w:rsidRPr="00517BE8">
              <w:rPr>
                <w:rFonts w:cs="Arial"/>
                <w:vertAlign w:val="superscript"/>
                <w:lang w:val="en-GB"/>
              </w:rPr>
              <w:t>d</w:t>
            </w:r>
          </w:p>
        </w:tc>
        <w:tc>
          <w:tcPr>
            <w:tcW w:w="1701" w:type="dxa"/>
            <w:tcBorders>
              <w:left w:val="nil"/>
              <w:bottom w:val="single" w:sz="4" w:space="0" w:color="auto"/>
              <w:right w:val="nil"/>
            </w:tcBorders>
            <w:shd w:val="clear" w:color="auto" w:fill="auto"/>
            <w:vAlign w:val="center"/>
          </w:tcPr>
          <w:p w14:paraId="50CFAD5D" w14:textId="48679DC5" w:rsidR="00562771" w:rsidRPr="00562771" w:rsidRDefault="00562771" w:rsidP="00562771">
            <w:pPr>
              <w:pStyle w:val="CETBodytext"/>
              <w:ind w:right="-1"/>
              <w:rPr>
                <w:rFonts w:cs="Arial"/>
                <w:szCs w:val="18"/>
                <w:lang w:val="en-GB"/>
              </w:rPr>
            </w:pPr>
            <w:r w:rsidRPr="00517BE8">
              <w:rPr>
                <w:rFonts w:cs="Arial"/>
                <w:lang w:val="en-GB"/>
              </w:rPr>
              <w:t>28.99 ± 0.73</w:t>
            </w:r>
            <w:r w:rsidRPr="00517BE8">
              <w:rPr>
                <w:rFonts w:cs="Arial"/>
                <w:vertAlign w:val="superscript"/>
                <w:lang w:val="en-GB"/>
              </w:rPr>
              <w:t>c</w:t>
            </w:r>
          </w:p>
        </w:tc>
        <w:tc>
          <w:tcPr>
            <w:tcW w:w="1701" w:type="dxa"/>
            <w:tcBorders>
              <w:left w:val="nil"/>
              <w:bottom w:val="single" w:sz="4" w:space="0" w:color="auto"/>
              <w:right w:val="nil"/>
            </w:tcBorders>
          </w:tcPr>
          <w:p w14:paraId="4A3ABBF3" w14:textId="4A1C5F1D" w:rsidR="00562771" w:rsidRPr="00562771" w:rsidRDefault="00562771" w:rsidP="00562771">
            <w:pPr>
              <w:pStyle w:val="CETBodytext"/>
              <w:ind w:right="-1"/>
              <w:rPr>
                <w:rFonts w:cs="Arial"/>
                <w:szCs w:val="18"/>
                <w:lang w:val="en-GB"/>
              </w:rPr>
            </w:pPr>
            <w:r w:rsidRPr="00517BE8">
              <w:rPr>
                <w:rFonts w:cs="Arial"/>
                <w:lang w:val="en-GB"/>
              </w:rPr>
              <w:t>1.79 ± 0.19</w:t>
            </w:r>
            <w:r w:rsidRPr="00517BE8">
              <w:rPr>
                <w:rFonts w:cs="Arial"/>
                <w:vertAlign w:val="superscript"/>
                <w:lang w:val="en-GB"/>
              </w:rPr>
              <w:t>b</w:t>
            </w:r>
          </w:p>
        </w:tc>
      </w:tr>
    </w:tbl>
    <w:p w14:paraId="5D8396D1" w14:textId="75A4F2D5" w:rsidR="00476E20" w:rsidRPr="00611A24" w:rsidRDefault="00476E20" w:rsidP="00600535">
      <w:pPr>
        <w:pStyle w:val="CETBodytext"/>
        <w:rPr>
          <w:sz w:val="16"/>
          <w:szCs w:val="18"/>
          <w:lang w:val="en-GB"/>
        </w:rPr>
      </w:pPr>
      <w:r w:rsidRPr="003D32FB">
        <w:rPr>
          <w:sz w:val="16"/>
          <w:szCs w:val="18"/>
          <w:lang w:val="en-GB"/>
        </w:rPr>
        <w:t>Different letters denote significant differences (</w:t>
      </w:r>
      <w:r w:rsidRPr="00611A24">
        <w:rPr>
          <w:i/>
          <w:iCs/>
          <w:sz w:val="16"/>
          <w:szCs w:val="18"/>
          <w:lang w:val="en-GB"/>
        </w:rPr>
        <w:t>p &lt; 0.05</w:t>
      </w:r>
      <w:r w:rsidRPr="003D32FB">
        <w:rPr>
          <w:sz w:val="16"/>
          <w:szCs w:val="18"/>
          <w:lang w:val="en-GB"/>
        </w:rPr>
        <w:t>) among the different samples within each column (n = 3)</w:t>
      </w:r>
    </w:p>
    <w:p w14:paraId="4A5544B1" w14:textId="2EF155DC" w:rsidR="00476E20" w:rsidRPr="00B57B36" w:rsidRDefault="00476E20" w:rsidP="00476E20">
      <w:pPr>
        <w:pStyle w:val="CETheadingx"/>
      </w:pPr>
      <w:r w:rsidRPr="00476E20">
        <w:t xml:space="preserve">Adsorption </w:t>
      </w:r>
      <w:r>
        <w:t>capacity</w:t>
      </w:r>
      <w:r w:rsidRPr="00476E20">
        <w:t xml:space="preserve"> of </w:t>
      </w:r>
      <w:r w:rsidR="003D32FB" w:rsidRPr="003D32FB">
        <w:t>(</w:t>
      </w:r>
      <w:r w:rsidR="003D32FB">
        <w:t>L</w:t>
      </w:r>
      <w:r w:rsidR="003D32FB" w:rsidRPr="003D32FB">
        <w:t>)</w:t>
      </w:r>
      <w:r w:rsidRPr="00476E20">
        <w:t>CNF aerogels</w:t>
      </w:r>
    </w:p>
    <w:p w14:paraId="03A574A3" w14:textId="4C72AD64" w:rsidR="00CB622D" w:rsidRPr="00541855" w:rsidRDefault="00541855" w:rsidP="00CB622D">
      <w:pPr>
        <w:pStyle w:val="CETBodytext"/>
        <w:rPr>
          <w:lang w:val="en-GB"/>
        </w:rPr>
      </w:pPr>
      <w:r>
        <w:t xml:space="preserve">The </w:t>
      </w:r>
      <w:r w:rsidRPr="00541855">
        <w:t>methylene blue</w:t>
      </w:r>
      <w:r>
        <w:t xml:space="preserve"> (MB)</w:t>
      </w:r>
      <w:r w:rsidRPr="00541855">
        <w:t xml:space="preserve"> concentration </w:t>
      </w:r>
      <w:r>
        <w:t>was evaluated during 24 h of adsorption test using the calibration curve (Figure 2) prepared by reading the absorbance of the MB, at a wavelength of 664 nm, when mixed with serial dilutions starting from the stock solution of 10 mg/L.</w:t>
      </w:r>
      <w:r w:rsidR="00611A24">
        <w:t xml:space="preserve"> </w:t>
      </w:r>
      <w:r w:rsidR="00CB622D" w:rsidRPr="006E5D2E">
        <w:rPr>
          <w:lang w:val="en-GB"/>
        </w:rPr>
        <w:t xml:space="preserve">The linear correlation between the UV-VIS absorbance and the </w:t>
      </w:r>
      <w:r w:rsidR="00CB622D">
        <w:rPr>
          <w:lang w:val="en-GB"/>
        </w:rPr>
        <w:t>MB</w:t>
      </w:r>
      <w:r w:rsidR="00CB622D" w:rsidRPr="006E5D2E">
        <w:rPr>
          <w:lang w:val="en-GB"/>
        </w:rPr>
        <w:t xml:space="preserve"> concentration</w:t>
      </w:r>
      <w:r w:rsidR="009E43DF">
        <w:rPr>
          <w:lang w:val="en-GB"/>
        </w:rPr>
        <w:t xml:space="preserve">, </w:t>
      </w:r>
      <w:r w:rsidR="009E43DF" w:rsidRPr="006E5D2E">
        <w:rPr>
          <w:lang w:val="en-GB"/>
        </w:rPr>
        <w:t xml:space="preserve">expressed through </w:t>
      </w:r>
      <w:r w:rsidR="009E43DF">
        <w:rPr>
          <w:lang w:val="en-GB"/>
        </w:rPr>
        <w:t>E</w:t>
      </w:r>
      <w:r w:rsidR="009E43DF" w:rsidRPr="006E5D2E">
        <w:rPr>
          <w:lang w:val="en-GB"/>
        </w:rPr>
        <w:t>quation 1</w:t>
      </w:r>
      <w:r w:rsidR="009E43DF">
        <w:rPr>
          <w:lang w:val="en-GB"/>
        </w:rPr>
        <w:t>,</w:t>
      </w:r>
      <w:r w:rsidR="00CB622D" w:rsidRPr="006E5D2E">
        <w:rPr>
          <w:lang w:val="en-GB"/>
        </w:rPr>
        <w:t xml:space="preserve"> was very high</w:t>
      </w:r>
      <w:r w:rsidR="00CB622D">
        <w:rPr>
          <w:lang w:val="en-GB"/>
        </w:rPr>
        <w:t xml:space="preserve"> </w:t>
      </w:r>
      <w:r w:rsidR="00CB622D" w:rsidRPr="006E5D2E">
        <w:rPr>
          <w:lang w:val="en-GB"/>
        </w:rPr>
        <w:t>(R</w:t>
      </w:r>
      <w:r w:rsidR="00CB622D" w:rsidRPr="006E5D2E">
        <w:rPr>
          <w:vertAlign w:val="superscript"/>
          <w:lang w:val="en-GB"/>
        </w:rPr>
        <w:t>2</w:t>
      </w:r>
      <w:r w:rsidR="00CB622D" w:rsidRPr="006E5D2E">
        <w:rPr>
          <w:lang w:val="en-GB"/>
        </w:rPr>
        <w:t>= 0.999).</w:t>
      </w:r>
    </w:p>
    <w:tbl>
      <w:tblPr>
        <w:tblW w:w="5000" w:type="pct"/>
        <w:tblLook w:val="04A0" w:firstRow="1" w:lastRow="0" w:firstColumn="1" w:lastColumn="0" w:noHBand="0" w:noVBand="1"/>
      </w:tblPr>
      <w:tblGrid>
        <w:gridCol w:w="7984"/>
        <w:gridCol w:w="803"/>
      </w:tblGrid>
      <w:tr w:rsidR="00CB622D" w:rsidRPr="00B57B36" w14:paraId="3D6EC73F" w14:textId="77777777" w:rsidTr="00C446D2">
        <w:tc>
          <w:tcPr>
            <w:tcW w:w="7984" w:type="dxa"/>
            <w:shd w:val="clear" w:color="auto" w:fill="auto"/>
            <w:vAlign w:val="center"/>
          </w:tcPr>
          <w:p w14:paraId="7D7845E3" w14:textId="77777777" w:rsidR="00CB622D" w:rsidRPr="00B57B36" w:rsidRDefault="00000000" w:rsidP="00C446D2">
            <w:pPr>
              <w:pStyle w:val="CETEquation"/>
            </w:pPr>
            <m:oMathPara>
              <m:oMath>
                <m:sSub>
                  <m:sSubPr>
                    <m:ctrlPr>
                      <w:rPr>
                        <w:rFonts w:ascii="Cambria Math" w:hAnsi="Cambria Math"/>
                        <w:i/>
                      </w:rPr>
                    </m:ctrlPr>
                  </m:sSubPr>
                  <m:e>
                    <m:r>
                      <w:rPr>
                        <w:rFonts w:ascii="Cambria Math" w:hAnsi="Cambria Math"/>
                      </w:rPr>
                      <m:t>Abs|</m:t>
                    </m:r>
                  </m:e>
                  <m:sub>
                    <m:r>
                      <w:rPr>
                        <w:rFonts w:ascii="Cambria Math" w:hAnsi="Cambria Math"/>
                      </w:rPr>
                      <m:t>664 nm</m:t>
                    </m:r>
                  </m:sub>
                </m:sSub>
                <m:r>
                  <w:rPr>
                    <w:rFonts w:ascii="Cambria Math" w:hAnsi="Cambria Math"/>
                  </w:rPr>
                  <m:t>=0.207∙M</m:t>
                </m:r>
                <m:sSub>
                  <m:sSubPr>
                    <m:ctrlPr>
                      <w:rPr>
                        <w:rFonts w:ascii="Cambria Math" w:hAnsi="Cambria Math"/>
                        <w:i/>
                      </w:rPr>
                    </m:ctrlPr>
                  </m:sSubPr>
                  <m:e>
                    <m:r>
                      <w:rPr>
                        <w:rFonts w:ascii="Cambria Math" w:hAnsi="Cambria Math"/>
                      </w:rPr>
                      <m:t>B</m:t>
                    </m:r>
                  </m:e>
                  <m:sub>
                    <m:r>
                      <w:rPr>
                        <w:rFonts w:ascii="Cambria Math" w:hAnsi="Cambria Math"/>
                      </w:rPr>
                      <m:t>concentration</m:t>
                    </m:r>
                  </m:sub>
                </m:sSub>
              </m:oMath>
            </m:oMathPara>
          </w:p>
        </w:tc>
        <w:tc>
          <w:tcPr>
            <w:tcW w:w="803" w:type="dxa"/>
            <w:shd w:val="clear" w:color="auto" w:fill="auto"/>
            <w:vAlign w:val="center"/>
          </w:tcPr>
          <w:p w14:paraId="0A1E09E8" w14:textId="77777777" w:rsidR="00CB622D" w:rsidRPr="00B57B36" w:rsidRDefault="00CB622D" w:rsidP="00C446D2">
            <w:pPr>
              <w:pStyle w:val="CETEquation"/>
              <w:jc w:val="right"/>
            </w:pPr>
            <w:r w:rsidRPr="00B57B36">
              <w:t>(1)</w:t>
            </w:r>
          </w:p>
        </w:tc>
      </w:tr>
    </w:tbl>
    <w:p w14:paraId="3029C2B4" w14:textId="5864D822" w:rsidR="00611A24" w:rsidRDefault="00611A24" w:rsidP="00611A24">
      <w:pPr>
        <w:jc w:val="left"/>
      </w:pPr>
      <w:r w:rsidRPr="00611A24">
        <w:rPr>
          <w:noProof/>
        </w:rPr>
        <w:drawing>
          <wp:inline distT="0" distB="0" distL="0" distR="0" wp14:anchorId="0DFE67C6" wp14:editId="79ABB249">
            <wp:extent cx="2304000" cy="1625803"/>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t="9327"/>
                    <a:stretch/>
                  </pic:blipFill>
                  <pic:spPr bwMode="auto">
                    <a:xfrm>
                      <a:off x="0" y="0"/>
                      <a:ext cx="2304000" cy="1625803"/>
                    </a:xfrm>
                    <a:prstGeom prst="rect">
                      <a:avLst/>
                    </a:prstGeom>
                    <a:noFill/>
                    <a:ln>
                      <a:noFill/>
                    </a:ln>
                    <a:extLst>
                      <a:ext uri="{53640926-AAD7-44D8-BBD7-CCE9431645EC}">
                        <a14:shadowObscured xmlns:a14="http://schemas.microsoft.com/office/drawing/2010/main"/>
                      </a:ext>
                    </a:extLst>
                  </pic:spPr>
                </pic:pic>
              </a:graphicData>
            </a:graphic>
          </wp:inline>
        </w:drawing>
      </w:r>
    </w:p>
    <w:p w14:paraId="4D1F38D9" w14:textId="77777777" w:rsidR="00611A24" w:rsidRPr="00BD077D" w:rsidRDefault="00611A24" w:rsidP="00611A24">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Pr="006E5D2E">
        <w:rPr>
          <w:rStyle w:val="CETCaptionCarattere"/>
          <w:i/>
        </w:rPr>
        <w:t xml:space="preserve">Calibration curve for UV-Vis absorbance of </w:t>
      </w:r>
      <w:r>
        <w:rPr>
          <w:rStyle w:val="CETCaptionCarattere"/>
          <w:i/>
        </w:rPr>
        <w:t>methylene blue</w:t>
      </w:r>
    </w:p>
    <w:p w14:paraId="72741062" w14:textId="77777777" w:rsidR="00611A24" w:rsidRDefault="00611A24" w:rsidP="00611A24">
      <w:pPr>
        <w:pStyle w:val="CETBodytext"/>
      </w:pPr>
      <w:r>
        <w:t>Moreover, from the calibration curve, according to Lambert Beer’s law, it was possible to determine the molar absorptivity of MB at 664 nm, which is about ε = A/(C∙L) = 0.174 L/(</w:t>
      </w:r>
      <w:proofErr w:type="spellStart"/>
      <w:r>
        <w:t>mg∙cm</w:t>
      </w:r>
      <w:proofErr w:type="spellEnd"/>
      <w:r>
        <w:t>).</w:t>
      </w:r>
    </w:p>
    <w:p w14:paraId="137DCDA8" w14:textId="55F04BFD" w:rsidR="00523B8A" w:rsidRDefault="00CB622D" w:rsidP="00541855">
      <w:pPr>
        <w:pStyle w:val="CETBodytext"/>
      </w:pPr>
      <w:r w:rsidRPr="001775DF">
        <w:t>The a</w:t>
      </w:r>
      <w:r w:rsidR="00A83F7F">
        <w:t>d</w:t>
      </w:r>
      <w:r w:rsidRPr="001775DF">
        <w:t>sorption capacit</w:t>
      </w:r>
      <w:r w:rsidR="009E43DF">
        <w:t>ies</w:t>
      </w:r>
      <w:r w:rsidRPr="001775DF">
        <w:t xml:space="preserve"> of </w:t>
      </w:r>
      <w:r>
        <w:t>(L)</w:t>
      </w:r>
      <w:r w:rsidRPr="001775DF">
        <w:t>C</w:t>
      </w:r>
      <w:r>
        <w:t xml:space="preserve">NFs-based aerogels </w:t>
      </w:r>
      <w:r w:rsidRPr="001775DF">
        <w:t xml:space="preserve">for </w:t>
      </w:r>
      <w:r>
        <w:t xml:space="preserve">MB cationic dye </w:t>
      </w:r>
      <w:r w:rsidR="009E43DF">
        <w:t xml:space="preserve">are </w:t>
      </w:r>
      <w:r w:rsidRPr="001775DF">
        <w:t xml:space="preserve">shown </w:t>
      </w:r>
      <w:r w:rsidR="005C07CF">
        <w:t xml:space="preserve">in </w:t>
      </w:r>
      <w:r>
        <w:t>Table 2</w:t>
      </w:r>
      <w:r w:rsidRPr="001775DF">
        <w:t>.</w:t>
      </w:r>
      <w:r w:rsidR="00A83F7F">
        <w:t xml:space="preserve"> </w:t>
      </w:r>
      <w:r w:rsidR="00A83F7F" w:rsidRPr="00A83F7F">
        <w:t xml:space="preserve">These </w:t>
      </w:r>
      <w:r w:rsidR="00A83F7F">
        <w:t>findings</w:t>
      </w:r>
      <w:r w:rsidR="00A83F7F" w:rsidRPr="00A83F7F">
        <w:t xml:space="preserve"> show that the adsorption capacities for MB increased with increasing contact time and that the adsorption processes reached equilibrium within about 1</w:t>
      </w:r>
      <w:r w:rsidR="00A83F7F">
        <w:t>20 min</w:t>
      </w:r>
      <w:r w:rsidR="00A83F7F" w:rsidRPr="00A83F7F">
        <w:t xml:space="preserve">. </w:t>
      </w:r>
      <w:r w:rsidR="00A83F7F">
        <w:t>Moreover,</w:t>
      </w:r>
      <w:r w:rsidR="00A83F7F" w:rsidRPr="00A83F7F">
        <w:t xml:space="preserve"> a rapid increase in the capacities for the dyes occurred during the first </w:t>
      </w:r>
      <w:r w:rsidR="00A83F7F">
        <w:t>30 min</w:t>
      </w:r>
      <w:r w:rsidR="00A83F7F" w:rsidRPr="00A83F7F">
        <w:t>. The fast adsorption at the initial stage might be due to the availability of the uncovered surface area and the remaining active sites on the adsorbent.</w:t>
      </w:r>
      <w:r w:rsidR="00A83F7F">
        <w:t xml:space="preserve"> Therefore,</w:t>
      </w:r>
      <w:r w:rsidRPr="001775DF">
        <w:t xml:space="preserve"> </w:t>
      </w:r>
      <w:r>
        <w:t xml:space="preserve">all samples </w:t>
      </w:r>
      <w:r w:rsidRPr="001775DF">
        <w:t>exhibited a very high a</w:t>
      </w:r>
      <w:r w:rsidR="00A83F7F">
        <w:t>d</w:t>
      </w:r>
      <w:r w:rsidRPr="001775DF">
        <w:t>sorption capacity for th</w:t>
      </w:r>
      <w:r w:rsidR="009E43DF">
        <w:t>e</w:t>
      </w:r>
      <w:r>
        <w:t xml:space="preserve"> dye, allowing </w:t>
      </w:r>
      <w:r w:rsidR="005C07CF">
        <w:t xml:space="preserve">them </w:t>
      </w:r>
      <w:r>
        <w:t>to obtain a final MB solution concentration ranging between 0.72 and 4.24 mg/L</w:t>
      </w:r>
      <w:r w:rsidRPr="001775DF">
        <w:t>. In addition, the a</w:t>
      </w:r>
      <w:r w:rsidR="00A83F7F">
        <w:t>d</w:t>
      </w:r>
      <w:r w:rsidRPr="001775DF">
        <w:t xml:space="preserve">sorption capacity of </w:t>
      </w:r>
      <w:r>
        <w:t xml:space="preserve">CNF-TO aerogel </w:t>
      </w:r>
      <w:r w:rsidR="009E43DF">
        <w:t>wa</w:t>
      </w:r>
      <w:r>
        <w:t>s</w:t>
      </w:r>
      <w:r w:rsidRPr="001775DF">
        <w:t xml:space="preserve"> larger than </w:t>
      </w:r>
      <w:r w:rsidR="009E43DF">
        <w:t xml:space="preserve">for </w:t>
      </w:r>
      <w:r>
        <w:t>CNF-</w:t>
      </w:r>
      <w:proofErr w:type="spellStart"/>
      <w:r>
        <w:t>Mec</w:t>
      </w:r>
      <w:proofErr w:type="spellEnd"/>
      <w:r>
        <w:t xml:space="preserve"> aerogel, </w:t>
      </w:r>
      <w:r w:rsidRPr="001775DF">
        <w:t>which indicated that</w:t>
      </w:r>
      <w:r>
        <w:t xml:space="preserve"> </w:t>
      </w:r>
      <w:r w:rsidRPr="001775DF">
        <w:t>TEMPO-oxid</w:t>
      </w:r>
      <w:r>
        <w:t xml:space="preserve">ation treatment allowed to obtain </w:t>
      </w:r>
      <w:r w:rsidRPr="001775DF">
        <w:t xml:space="preserve">cellulose nanofibers </w:t>
      </w:r>
      <w:r>
        <w:t>with</w:t>
      </w:r>
      <w:r w:rsidRPr="001775DF">
        <w:t xml:space="preserve"> higher specific surface area</w:t>
      </w:r>
      <w:r>
        <w:t xml:space="preserve"> and therefore</w:t>
      </w:r>
      <w:r w:rsidRPr="001775DF">
        <w:t xml:space="preserve"> higher affinity and interaction of carboxyl groups with methylene blue</w:t>
      </w:r>
      <w:r w:rsidR="00523B8A" w:rsidRPr="000F4A27">
        <w:rPr>
          <w:lang w:val="en-GB"/>
        </w:rPr>
        <w:t xml:space="preserve">. </w:t>
      </w:r>
      <w:r w:rsidR="00523B8A">
        <w:rPr>
          <w:lang w:val="en-GB"/>
        </w:rPr>
        <w:t>Moreover</w:t>
      </w:r>
      <w:r w:rsidR="00523B8A" w:rsidRPr="000F4A27">
        <w:rPr>
          <w:lang w:val="en-GB"/>
        </w:rPr>
        <w:t xml:space="preserve">, </w:t>
      </w:r>
      <w:r w:rsidR="00523B8A">
        <w:rPr>
          <w:lang w:val="en-GB"/>
        </w:rPr>
        <w:t xml:space="preserve">it is likely that </w:t>
      </w:r>
      <w:r w:rsidR="00523B8A" w:rsidRPr="000F4A27">
        <w:rPr>
          <w:lang w:val="en-GB"/>
        </w:rPr>
        <w:t xml:space="preserve">the residual lignin content in LCNF-based aerogels </w:t>
      </w:r>
      <w:r w:rsidR="00523B8A">
        <w:rPr>
          <w:lang w:val="en-GB"/>
        </w:rPr>
        <w:t xml:space="preserve">efficiently </w:t>
      </w:r>
      <w:r w:rsidR="00523B8A" w:rsidRPr="000F4A27">
        <w:rPr>
          <w:lang w:val="en-GB"/>
        </w:rPr>
        <w:t>interact</w:t>
      </w:r>
      <w:r w:rsidR="00523B8A">
        <w:rPr>
          <w:lang w:val="en-GB"/>
        </w:rPr>
        <w:t>ed</w:t>
      </w:r>
      <w:r w:rsidR="00523B8A" w:rsidRPr="000F4A27">
        <w:rPr>
          <w:lang w:val="en-GB"/>
        </w:rPr>
        <w:t xml:space="preserve"> with </w:t>
      </w:r>
      <w:r w:rsidR="00523B8A">
        <w:rPr>
          <w:lang w:val="en-GB"/>
        </w:rPr>
        <w:t>the cationic organic dye:</w:t>
      </w:r>
      <w:r w:rsidR="00523B8A" w:rsidRPr="000F4A27">
        <w:rPr>
          <w:lang w:val="en-GB"/>
        </w:rPr>
        <w:t xml:space="preserve"> together with the high adsorption capacity of cellulose nanofibers, demonstrated a synergistic effect in their use as materials with a high adsorption capacity.</w:t>
      </w:r>
    </w:p>
    <w:p w14:paraId="5FBF371C" w14:textId="02C943E3" w:rsidR="00753A5E" w:rsidRPr="00B57B36" w:rsidRDefault="00753A5E" w:rsidP="00753A5E">
      <w:pPr>
        <w:pStyle w:val="CETTabletitle"/>
      </w:pPr>
      <w:r w:rsidRPr="00B57B36">
        <w:t xml:space="preserve">Table </w:t>
      </w:r>
      <w:r>
        <w:t>2</w:t>
      </w:r>
      <w:r w:rsidRPr="00B57B36">
        <w:t>:</w:t>
      </w:r>
      <w:r w:rsidR="002037B5">
        <w:t xml:space="preserve"> Concentration variation of MB solution during 24 h of adsorption test with (L)CNFs-based aerogels</w:t>
      </w:r>
    </w:p>
    <w:tbl>
      <w:tblPr>
        <w:tblW w:w="708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7"/>
        <w:gridCol w:w="1417"/>
        <w:gridCol w:w="1417"/>
        <w:gridCol w:w="1417"/>
        <w:gridCol w:w="1417"/>
      </w:tblGrid>
      <w:tr w:rsidR="006275C3" w:rsidRPr="00753A5E" w14:paraId="0867B855" w14:textId="77777777" w:rsidTr="006275C3">
        <w:tc>
          <w:tcPr>
            <w:tcW w:w="1417" w:type="dxa"/>
            <w:tcBorders>
              <w:top w:val="single" w:sz="12" w:space="0" w:color="008000"/>
              <w:bottom w:val="single" w:sz="6" w:space="0" w:color="008000"/>
            </w:tcBorders>
            <w:shd w:val="clear" w:color="auto" w:fill="FFFFFF"/>
          </w:tcPr>
          <w:p w14:paraId="1B2CFEBA" w14:textId="10FD0AEB" w:rsidR="006275C3" w:rsidRPr="00753A5E" w:rsidRDefault="00A83F7F" w:rsidP="006275C3">
            <w:pPr>
              <w:pStyle w:val="CETBodytext"/>
              <w:rPr>
                <w:rFonts w:cs="Arial"/>
                <w:szCs w:val="18"/>
                <w:lang w:val="en-GB"/>
              </w:rPr>
            </w:pPr>
            <w:r>
              <w:rPr>
                <w:rFonts w:cs="Arial"/>
                <w:szCs w:val="18"/>
                <w:lang w:val="en-GB"/>
              </w:rPr>
              <w:t>Time (min)</w:t>
            </w:r>
          </w:p>
        </w:tc>
        <w:tc>
          <w:tcPr>
            <w:tcW w:w="1417" w:type="dxa"/>
            <w:tcBorders>
              <w:top w:val="single" w:sz="12" w:space="0" w:color="008000"/>
              <w:bottom w:val="single" w:sz="6" w:space="0" w:color="008000"/>
            </w:tcBorders>
            <w:shd w:val="clear" w:color="auto" w:fill="FFFFFF"/>
          </w:tcPr>
          <w:p w14:paraId="7E5F3CFA" w14:textId="062C8607" w:rsidR="006275C3" w:rsidRPr="00753A5E" w:rsidRDefault="006275C3" w:rsidP="006275C3">
            <w:pPr>
              <w:pStyle w:val="CETBodytext"/>
              <w:rPr>
                <w:rFonts w:cs="Arial"/>
                <w:szCs w:val="18"/>
                <w:lang w:val="en-GB"/>
              </w:rPr>
            </w:pPr>
            <w:r w:rsidRPr="00753A5E">
              <w:rPr>
                <w:rFonts w:cs="Arial"/>
                <w:szCs w:val="18"/>
                <w:lang w:val="en-GB"/>
              </w:rPr>
              <w:t>LCNF-TO</w:t>
            </w:r>
          </w:p>
        </w:tc>
        <w:tc>
          <w:tcPr>
            <w:tcW w:w="1417" w:type="dxa"/>
            <w:tcBorders>
              <w:top w:val="single" w:sz="12" w:space="0" w:color="008000"/>
              <w:bottom w:val="single" w:sz="6" w:space="0" w:color="008000"/>
            </w:tcBorders>
            <w:shd w:val="clear" w:color="auto" w:fill="FFFFFF"/>
          </w:tcPr>
          <w:p w14:paraId="45221A4F" w14:textId="68D65426" w:rsidR="006275C3" w:rsidRPr="00753A5E" w:rsidRDefault="006275C3" w:rsidP="006275C3">
            <w:pPr>
              <w:pStyle w:val="CETBodytext"/>
              <w:rPr>
                <w:rFonts w:cs="Arial"/>
                <w:szCs w:val="18"/>
                <w:lang w:val="en-GB"/>
              </w:rPr>
            </w:pPr>
            <w:r w:rsidRPr="00753A5E">
              <w:rPr>
                <w:rFonts w:cs="Arial"/>
                <w:szCs w:val="18"/>
                <w:lang w:val="en-GB"/>
              </w:rPr>
              <w:t>CNF-TO</w:t>
            </w:r>
          </w:p>
        </w:tc>
        <w:tc>
          <w:tcPr>
            <w:tcW w:w="1417" w:type="dxa"/>
            <w:tcBorders>
              <w:top w:val="single" w:sz="12" w:space="0" w:color="008000"/>
              <w:bottom w:val="single" w:sz="6" w:space="0" w:color="008000"/>
            </w:tcBorders>
            <w:shd w:val="clear" w:color="auto" w:fill="FFFFFF"/>
          </w:tcPr>
          <w:p w14:paraId="15FE9593" w14:textId="6C4B4208" w:rsidR="006275C3" w:rsidRPr="00753A5E" w:rsidRDefault="006275C3" w:rsidP="006275C3">
            <w:pPr>
              <w:pStyle w:val="CETBodytext"/>
              <w:ind w:right="-1"/>
              <w:rPr>
                <w:rFonts w:cs="Arial"/>
                <w:szCs w:val="18"/>
                <w:lang w:val="en-GB"/>
              </w:rPr>
            </w:pPr>
            <w:r w:rsidRPr="00753A5E">
              <w:rPr>
                <w:rFonts w:cs="Arial"/>
                <w:szCs w:val="18"/>
                <w:lang w:val="en-GB"/>
              </w:rPr>
              <w:t>LCNF-</w:t>
            </w:r>
            <w:proofErr w:type="spellStart"/>
            <w:r w:rsidRPr="00753A5E">
              <w:rPr>
                <w:rFonts w:cs="Arial"/>
                <w:szCs w:val="18"/>
                <w:lang w:val="en-GB"/>
              </w:rPr>
              <w:t>Mec</w:t>
            </w:r>
            <w:proofErr w:type="spellEnd"/>
          </w:p>
        </w:tc>
        <w:tc>
          <w:tcPr>
            <w:tcW w:w="1417" w:type="dxa"/>
            <w:tcBorders>
              <w:top w:val="single" w:sz="12" w:space="0" w:color="008000"/>
              <w:bottom w:val="single" w:sz="6" w:space="0" w:color="008000"/>
            </w:tcBorders>
            <w:shd w:val="clear" w:color="auto" w:fill="FFFFFF"/>
          </w:tcPr>
          <w:p w14:paraId="760712C3" w14:textId="50E7D4AA" w:rsidR="006275C3" w:rsidRPr="00753A5E" w:rsidRDefault="006275C3" w:rsidP="006275C3">
            <w:pPr>
              <w:pStyle w:val="CETBodytext"/>
              <w:ind w:right="-1"/>
              <w:rPr>
                <w:rFonts w:cs="Arial"/>
                <w:szCs w:val="18"/>
                <w:lang w:val="en-GB"/>
              </w:rPr>
            </w:pPr>
            <w:r w:rsidRPr="00753A5E">
              <w:rPr>
                <w:rFonts w:cs="Arial"/>
                <w:szCs w:val="18"/>
                <w:lang w:val="en-GB"/>
              </w:rPr>
              <w:t>CNF-</w:t>
            </w:r>
            <w:proofErr w:type="spellStart"/>
            <w:r w:rsidRPr="00753A5E">
              <w:rPr>
                <w:rFonts w:cs="Arial"/>
                <w:szCs w:val="18"/>
                <w:lang w:val="en-GB"/>
              </w:rPr>
              <w:t>Mec</w:t>
            </w:r>
            <w:proofErr w:type="spellEnd"/>
          </w:p>
        </w:tc>
      </w:tr>
      <w:tr w:rsidR="006275C3" w:rsidRPr="00753A5E" w14:paraId="44023A91" w14:textId="77777777" w:rsidTr="006275C3">
        <w:tc>
          <w:tcPr>
            <w:tcW w:w="1417" w:type="dxa"/>
            <w:vAlign w:val="center"/>
          </w:tcPr>
          <w:p w14:paraId="0FEA425A" w14:textId="0BF23970" w:rsidR="006275C3" w:rsidRPr="0078193B" w:rsidRDefault="006275C3" w:rsidP="006275C3">
            <w:pPr>
              <w:pStyle w:val="CETBodytext"/>
              <w:rPr>
                <w:rFonts w:cs="Arial"/>
                <w:color w:val="000000"/>
                <w:szCs w:val="18"/>
                <w:lang w:val="it-IT" w:eastAsia="it-IT"/>
              </w:rPr>
            </w:pPr>
            <w:r w:rsidRPr="00753A5E">
              <w:rPr>
                <w:rFonts w:cs="Arial"/>
                <w:szCs w:val="18"/>
                <w:lang w:val="en-GB"/>
              </w:rPr>
              <w:t>0</w:t>
            </w:r>
          </w:p>
        </w:tc>
        <w:tc>
          <w:tcPr>
            <w:tcW w:w="1417" w:type="dxa"/>
          </w:tcPr>
          <w:p w14:paraId="2D2BA926" w14:textId="2CEAF66B" w:rsidR="006275C3" w:rsidRPr="00753A5E" w:rsidRDefault="006275C3" w:rsidP="006275C3">
            <w:pPr>
              <w:pStyle w:val="CETBodytext"/>
              <w:rPr>
                <w:rFonts w:cs="Arial"/>
                <w:szCs w:val="18"/>
                <w:lang w:val="en-GB"/>
              </w:rPr>
            </w:pPr>
            <w:r w:rsidRPr="0078193B">
              <w:rPr>
                <w:rFonts w:cs="Arial"/>
                <w:color w:val="000000"/>
                <w:szCs w:val="18"/>
                <w:lang w:val="it-IT" w:eastAsia="it-IT"/>
              </w:rPr>
              <w:t>10</w:t>
            </w:r>
            <w:r>
              <w:rPr>
                <w:rFonts w:cs="Arial"/>
                <w:color w:val="000000"/>
                <w:szCs w:val="18"/>
                <w:lang w:val="it-IT" w:eastAsia="it-IT"/>
              </w:rPr>
              <w:t>.</w:t>
            </w:r>
            <w:r w:rsidRPr="0078193B">
              <w:rPr>
                <w:rFonts w:cs="Arial"/>
                <w:color w:val="000000"/>
                <w:szCs w:val="18"/>
                <w:lang w:val="it-IT" w:eastAsia="it-IT"/>
              </w:rPr>
              <w:t>29</w:t>
            </w:r>
            <w:r>
              <w:rPr>
                <w:rFonts w:cs="Arial"/>
                <w:color w:val="000000"/>
                <w:szCs w:val="18"/>
                <w:lang w:val="it-IT" w:eastAsia="it-IT"/>
              </w:rPr>
              <w:t xml:space="preserve"> </w:t>
            </w:r>
            <w:r w:rsidRPr="00562771">
              <w:rPr>
                <w:rFonts w:cs="Arial"/>
                <w:lang w:val="it-IT"/>
              </w:rPr>
              <w:t>±</w:t>
            </w:r>
            <w:r>
              <w:rPr>
                <w:rFonts w:cs="Arial"/>
                <w:lang w:val="it-IT"/>
              </w:rPr>
              <w:t xml:space="preserve"> 0.46</w:t>
            </w:r>
          </w:p>
        </w:tc>
        <w:tc>
          <w:tcPr>
            <w:tcW w:w="1417" w:type="dxa"/>
          </w:tcPr>
          <w:p w14:paraId="7F04D5D1" w14:textId="760D1F2A" w:rsidR="006275C3" w:rsidRPr="00753A5E" w:rsidRDefault="006275C3" w:rsidP="006275C3">
            <w:pPr>
              <w:pStyle w:val="CETBodytext"/>
              <w:rPr>
                <w:rFonts w:cs="Arial"/>
                <w:szCs w:val="18"/>
                <w:lang w:val="en-GB"/>
              </w:rPr>
            </w:pPr>
            <w:r w:rsidRPr="0078193B">
              <w:rPr>
                <w:rFonts w:cs="Arial"/>
                <w:color w:val="000000"/>
                <w:szCs w:val="18"/>
                <w:lang w:val="it-IT" w:eastAsia="it-IT"/>
              </w:rPr>
              <w:t>10</w:t>
            </w:r>
            <w:r>
              <w:rPr>
                <w:rFonts w:cs="Arial"/>
                <w:color w:val="000000"/>
                <w:szCs w:val="18"/>
                <w:lang w:val="it-IT" w:eastAsia="it-IT"/>
              </w:rPr>
              <w:t>.</w:t>
            </w:r>
            <w:r w:rsidRPr="0078193B">
              <w:rPr>
                <w:rFonts w:cs="Arial"/>
                <w:color w:val="000000"/>
                <w:szCs w:val="18"/>
                <w:lang w:val="it-IT" w:eastAsia="it-IT"/>
              </w:rPr>
              <w:t>29</w:t>
            </w:r>
            <w:r>
              <w:rPr>
                <w:rFonts w:cs="Arial"/>
                <w:color w:val="000000"/>
                <w:szCs w:val="18"/>
                <w:lang w:val="it-IT" w:eastAsia="it-IT"/>
              </w:rPr>
              <w:t xml:space="preserve"> </w:t>
            </w:r>
            <w:r w:rsidRPr="00562771">
              <w:rPr>
                <w:rFonts w:cs="Arial"/>
                <w:lang w:val="it-IT"/>
              </w:rPr>
              <w:t>±</w:t>
            </w:r>
            <w:r>
              <w:rPr>
                <w:rFonts w:cs="Arial"/>
                <w:lang w:val="it-IT"/>
              </w:rPr>
              <w:t xml:space="preserve"> 0.46</w:t>
            </w:r>
          </w:p>
        </w:tc>
        <w:tc>
          <w:tcPr>
            <w:tcW w:w="1417" w:type="dxa"/>
            <w:vAlign w:val="bottom"/>
          </w:tcPr>
          <w:p w14:paraId="0545D625" w14:textId="46C7FCE0"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9</w:t>
            </w:r>
            <w:r>
              <w:rPr>
                <w:rFonts w:cs="Arial"/>
                <w:color w:val="000000"/>
                <w:szCs w:val="18"/>
                <w:lang w:val="it-IT" w:eastAsia="it-IT"/>
              </w:rPr>
              <w:t xml:space="preserve">.99 </w:t>
            </w:r>
            <w:r w:rsidRPr="00562771">
              <w:rPr>
                <w:rFonts w:cs="Arial"/>
                <w:lang w:val="it-IT"/>
              </w:rPr>
              <w:t>±</w:t>
            </w:r>
            <w:r>
              <w:rPr>
                <w:rFonts w:cs="Arial"/>
                <w:lang w:val="it-IT"/>
              </w:rPr>
              <w:t xml:space="preserve"> 0.42</w:t>
            </w:r>
          </w:p>
        </w:tc>
        <w:tc>
          <w:tcPr>
            <w:tcW w:w="1417" w:type="dxa"/>
            <w:vAlign w:val="bottom"/>
          </w:tcPr>
          <w:p w14:paraId="778BA9E9" w14:textId="2AA46871" w:rsidR="006275C3" w:rsidRPr="00753A5E" w:rsidRDefault="006275C3" w:rsidP="006275C3">
            <w:pPr>
              <w:pStyle w:val="CETBodytext"/>
              <w:ind w:right="-1"/>
              <w:rPr>
                <w:rFonts w:cs="Arial"/>
                <w:szCs w:val="18"/>
                <w:lang w:val="en-GB"/>
              </w:rPr>
            </w:pPr>
            <w:r w:rsidRPr="00753A5E">
              <w:rPr>
                <w:rFonts w:cs="Arial"/>
                <w:color w:val="000000"/>
                <w:szCs w:val="18"/>
                <w:lang w:val="it-IT" w:eastAsia="it-IT"/>
              </w:rPr>
              <w:t>9</w:t>
            </w:r>
            <w:r>
              <w:rPr>
                <w:rFonts w:cs="Arial"/>
                <w:color w:val="000000"/>
                <w:szCs w:val="18"/>
                <w:lang w:val="it-IT" w:eastAsia="it-IT"/>
              </w:rPr>
              <w:t>.</w:t>
            </w:r>
            <w:r w:rsidRPr="00753A5E">
              <w:rPr>
                <w:rFonts w:cs="Arial"/>
                <w:color w:val="000000"/>
                <w:szCs w:val="18"/>
                <w:lang w:val="it-IT" w:eastAsia="it-IT"/>
              </w:rPr>
              <w:t>99</w:t>
            </w:r>
            <w:r>
              <w:rPr>
                <w:rFonts w:cs="Arial"/>
                <w:color w:val="000000"/>
                <w:szCs w:val="18"/>
                <w:lang w:val="it-IT" w:eastAsia="it-IT"/>
              </w:rPr>
              <w:t xml:space="preserve"> </w:t>
            </w:r>
            <w:r w:rsidRPr="00562771">
              <w:rPr>
                <w:rFonts w:cs="Arial"/>
                <w:lang w:val="it-IT"/>
              </w:rPr>
              <w:t>±</w:t>
            </w:r>
            <w:r>
              <w:rPr>
                <w:rFonts w:cs="Arial"/>
                <w:lang w:val="it-IT"/>
              </w:rPr>
              <w:t xml:space="preserve"> 0.42</w:t>
            </w:r>
          </w:p>
        </w:tc>
      </w:tr>
      <w:tr w:rsidR="006275C3" w:rsidRPr="00753A5E" w14:paraId="19CFDAD7" w14:textId="77777777" w:rsidTr="006275C3">
        <w:tc>
          <w:tcPr>
            <w:tcW w:w="1417" w:type="dxa"/>
            <w:vAlign w:val="center"/>
          </w:tcPr>
          <w:p w14:paraId="071F42FF" w14:textId="669233DC" w:rsidR="006275C3" w:rsidRPr="0078193B" w:rsidRDefault="006275C3" w:rsidP="006275C3">
            <w:pPr>
              <w:pStyle w:val="CETBodytext"/>
              <w:rPr>
                <w:rFonts w:cs="Arial"/>
                <w:color w:val="000000"/>
                <w:szCs w:val="18"/>
                <w:lang w:val="it-IT" w:eastAsia="it-IT"/>
              </w:rPr>
            </w:pPr>
            <w:r w:rsidRPr="00753A5E">
              <w:rPr>
                <w:rFonts w:cs="Arial"/>
                <w:szCs w:val="18"/>
                <w:lang w:val="en-GB"/>
              </w:rPr>
              <w:t>5</w:t>
            </w:r>
          </w:p>
        </w:tc>
        <w:tc>
          <w:tcPr>
            <w:tcW w:w="1417" w:type="dxa"/>
          </w:tcPr>
          <w:p w14:paraId="6A64DA2C" w14:textId="03376435" w:rsidR="006275C3" w:rsidRPr="00753A5E" w:rsidRDefault="006275C3" w:rsidP="006275C3">
            <w:pPr>
              <w:pStyle w:val="CETBodytext"/>
              <w:rPr>
                <w:rFonts w:cs="Arial"/>
                <w:szCs w:val="18"/>
                <w:lang w:val="en-GB"/>
              </w:rPr>
            </w:pPr>
            <w:r w:rsidRPr="0078193B">
              <w:rPr>
                <w:rFonts w:cs="Arial"/>
                <w:color w:val="000000"/>
                <w:szCs w:val="18"/>
                <w:lang w:val="it-IT" w:eastAsia="it-IT"/>
              </w:rPr>
              <w:t>2</w:t>
            </w:r>
            <w:r>
              <w:rPr>
                <w:rFonts w:cs="Arial"/>
                <w:color w:val="000000"/>
                <w:szCs w:val="18"/>
                <w:lang w:val="it-IT" w:eastAsia="it-IT"/>
              </w:rPr>
              <w:t>.</w:t>
            </w:r>
            <w:r w:rsidRPr="0078193B">
              <w:rPr>
                <w:rFonts w:cs="Arial"/>
                <w:color w:val="000000"/>
                <w:szCs w:val="18"/>
                <w:lang w:val="it-IT" w:eastAsia="it-IT"/>
              </w:rPr>
              <w:t>68</w:t>
            </w:r>
            <w:r>
              <w:rPr>
                <w:rFonts w:cs="Arial"/>
                <w:color w:val="000000"/>
                <w:szCs w:val="18"/>
                <w:lang w:val="it-IT" w:eastAsia="it-IT"/>
              </w:rPr>
              <w:t xml:space="preserve"> </w:t>
            </w:r>
            <w:r w:rsidRPr="00562771">
              <w:rPr>
                <w:rFonts w:cs="Arial"/>
                <w:lang w:val="it-IT"/>
              </w:rPr>
              <w:t>±</w:t>
            </w:r>
            <w:r>
              <w:rPr>
                <w:rFonts w:cs="Arial"/>
                <w:lang w:val="it-IT"/>
              </w:rPr>
              <w:t xml:space="preserve"> 0.09</w:t>
            </w:r>
          </w:p>
        </w:tc>
        <w:tc>
          <w:tcPr>
            <w:tcW w:w="1417" w:type="dxa"/>
          </w:tcPr>
          <w:p w14:paraId="3A12C325" w14:textId="4B42E6ED" w:rsidR="006275C3" w:rsidRPr="00753A5E" w:rsidRDefault="006275C3" w:rsidP="006275C3">
            <w:pPr>
              <w:pStyle w:val="CETBodytext"/>
              <w:rPr>
                <w:rFonts w:cs="Arial"/>
                <w:szCs w:val="18"/>
                <w:lang w:val="en-GB"/>
              </w:rPr>
            </w:pPr>
            <w:r w:rsidRPr="0078193B">
              <w:rPr>
                <w:rFonts w:cs="Arial"/>
                <w:color w:val="000000"/>
                <w:szCs w:val="18"/>
                <w:lang w:val="it-IT" w:eastAsia="it-IT"/>
              </w:rPr>
              <w:t>7</w:t>
            </w:r>
            <w:r>
              <w:rPr>
                <w:rFonts w:cs="Arial"/>
                <w:color w:val="000000"/>
                <w:szCs w:val="18"/>
                <w:lang w:val="it-IT" w:eastAsia="it-IT"/>
              </w:rPr>
              <w:t>.</w:t>
            </w:r>
            <w:r w:rsidRPr="0078193B">
              <w:rPr>
                <w:rFonts w:cs="Arial"/>
                <w:color w:val="000000"/>
                <w:szCs w:val="18"/>
                <w:lang w:val="it-IT" w:eastAsia="it-IT"/>
              </w:rPr>
              <w:t>78</w:t>
            </w:r>
            <w:r>
              <w:rPr>
                <w:rFonts w:cs="Arial"/>
                <w:color w:val="000000"/>
                <w:szCs w:val="18"/>
                <w:lang w:val="it-IT" w:eastAsia="it-IT"/>
              </w:rPr>
              <w:t xml:space="preserve"> </w:t>
            </w:r>
            <w:r w:rsidRPr="00562771">
              <w:rPr>
                <w:rFonts w:cs="Arial"/>
                <w:lang w:val="it-IT"/>
              </w:rPr>
              <w:t>±</w:t>
            </w:r>
            <w:r>
              <w:rPr>
                <w:rFonts w:cs="Arial"/>
                <w:lang w:val="it-IT"/>
              </w:rPr>
              <w:t xml:space="preserve"> 0.06</w:t>
            </w:r>
          </w:p>
        </w:tc>
        <w:tc>
          <w:tcPr>
            <w:tcW w:w="1417" w:type="dxa"/>
            <w:vAlign w:val="bottom"/>
          </w:tcPr>
          <w:p w14:paraId="001754BB" w14:textId="0C879E89"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9</w:t>
            </w:r>
            <w:r>
              <w:rPr>
                <w:rFonts w:cs="Arial"/>
                <w:color w:val="000000"/>
                <w:szCs w:val="18"/>
                <w:lang w:val="it-IT" w:eastAsia="it-IT"/>
              </w:rPr>
              <w:t>.</w:t>
            </w:r>
            <w:r w:rsidRPr="0078193B">
              <w:rPr>
                <w:rFonts w:cs="Arial"/>
                <w:color w:val="000000"/>
                <w:szCs w:val="18"/>
                <w:lang w:val="it-IT" w:eastAsia="it-IT"/>
              </w:rPr>
              <w:t>7</w:t>
            </w:r>
            <w:r>
              <w:rPr>
                <w:rFonts w:cs="Arial"/>
                <w:color w:val="000000"/>
                <w:szCs w:val="18"/>
                <w:lang w:val="it-IT" w:eastAsia="it-IT"/>
              </w:rPr>
              <w:t xml:space="preserve">4 </w:t>
            </w:r>
            <w:r w:rsidRPr="00562771">
              <w:rPr>
                <w:rFonts w:cs="Arial"/>
                <w:lang w:val="it-IT"/>
              </w:rPr>
              <w:t>±</w:t>
            </w:r>
            <w:r>
              <w:rPr>
                <w:rFonts w:cs="Arial"/>
                <w:lang w:val="it-IT"/>
              </w:rPr>
              <w:t xml:space="preserve"> 0.11</w:t>
            </w:r>
          </w:p>
        </w:tc>
        <w:tc>
          <w:tcPr>
            <w:tcW w:w="1417" w:type="dxa"/>
            <w:vAlign w:val="bottom"/>
          </w:tcPr>
          <w:p w14:paraId="7CD53143" w14:textId="51C28CB4" w:rsidR="006275C3" w:rsidRPr="00753A5E" w:rsidRDefault="006275C3" w:rsidP="006275C3">
            <w:pPr>
              <w:pStyle w:val="CETBodytext"/>
              <w:ind w:right="-1"/>
              <w:rPr>
                <w:rFonts w:cs="Arial"/>
                <w:szCs w:val="18"/>
                <w:lang w:val="en-GB"/>
              </w:rPr>
            </w:pPr>
            <w:r w:rsidRPr="0078193B">
              <w:rPr>
                <w:rFonts w:cs="Arial"/>
                <w:color w:val="000000"/>
                <w:szCs w:val="18"/>
                <w:lang w:val="it-IT" w:eastAsia="it-IT"/>
              </w:rPr>
              <w:t>5</w:t>
            </w:r>
            <w:r>
              <w:rPr>
                <w:rFonts w:cs="Arial"/>
                <w:color w:val="000000"/>
                <w:szCs w:val="18"/>
                <w:lang w:val="it-IT" w:eastAsia="it-IT"/>
              </w:rPr>
              <w:t>.</w:t>
            </w:r>
            <w:r w:rsidRPr="0078193B">
              <w:rPr>
                <w:rFonts w:cs="Arial"/>
                <w:color w:val="000000"/>
                <w:szCs w:val="18"/>
                <w:lang w:val="it-IT" w:eastAsia="it-IT"/>
              </w:rPr>
              <w:t>5</w:t>
            </w:r>
            <w:r>
              <w:rPr>
                <w:rFonts w:cs="Arial"/>
                <w:color w:val="000000"/>
                <w:szCs w:val="18"/>
                <w:lang w:val="it-IT" w:eastAsia="it-IT"/>
              </w:rPr>
              <w:t xml:space="preserve">6 </w:t>
            </w:r>
            <w:r w:rsidRPr="00562771">
              <w:rPr>
                <w:rFonts w:cs="Arial"/>
                <w:lang w:val="it-IT"/>
              </w:rPr>
              <w:t>±</w:t>
            </w:r>
            <w:r>
              <w:rPr>
                <w:rFonts w:cs="Arial"/>
                <w:lang w:val="it-IT"/>
              </w:rPr>
              <w:t xml:space="preserve"> 0.77</w:t>
            </w:r>
          </w:p>
        </w:tc>
      </w:tr>
      <w:tr w:rsidR="006275C3" w:rsidRPr="00753A5E" w14:paraId="28BEEBF1" w14:textId="77777777" w:rsidTr="006275C3">
        <w:tc>
          <w:tcPr>
            <w:tcW w:w="1417" w:type="dxa"/>
            <w:vAlign w:val="center"/>
          </w:tcPr>
          <w:p w14:paraId="735D6C0B" w14:textId="11DC6547" w:rsidR="006275C3" w:rsidRPr="0078193B" w:rsidRDefault="006275C3" w:rsidP="006275C3">
            <w:pPr>
              <w:pStyle w:val="CETBodytext"/>
              <w:rPr>
                <w:rFonts w:cs="Arial"/>
                <w:color w:val="000000"/>
                <w:szCs w:val="18"/>
                <w:lang w:val="it-IT" w:eastAsia="it-IT"/>
              </w:rPr>
            </w:pPr>
            <w:r w:rsidRPr="00753A5E">
              <w:rPr>
                <w:rFonts w:cs="Arial"/>
                <w:szCs w:val="18"/>
                <w:lang w:val="en-GB"/>
              </w:rPr>
              <w:t>30</w:t>
            </w:r>
          </w:p>
        </w:tc>
        <w:tc>
          <w:tcPr>
            <w:tcW w:w="1417" w:type="dxa"/>
          </w:tcPr>
          <w:p w14:paraId="07F87B13" w14:textId="0B0C9BB2" w:rsidR="006275C3" w:rsidRPr="00753A5E" w:rsidRDefault="006275C3" w:rsidP="006275C3">
            <w:pPr>
              <w:pStyle w:val="CETBodytext"/>
              <w:rPr>
                <w:rFonts w:cs="Arial"/>
                <w:szCs w:val="18"/>
                <w:lang w:val="en-GB"/>
              </w:rPr>
            </w:pPr>
            <w:r w:rsidRPr="0078193B">
              <w:rPr>
                <w:rFonts w:cs="Arial"/>
                <w:color w:val="000000"/>
                <w:szCs w:val="18"/>
                <w:lang w:val="it-IT" w:eastAsia="it-IT"/>
              </w:rPr>
              <w:t>1</w:t>
            </w:r>
            <w:r>
              <w:rPr>
                <w:rFonts w:cs="Arial"/>
                <w:color w:val="000000"/>
                <w:szCs w:val="18"/>
                <w:lang w:val="it-IT" w:eastAsia="it-IT"/>
              </w:rPr>
              <w:t>.</w:t>
            </w:r>
            <w:r w:rsidRPr="0078193B">
              <w:rPr>
                <w:rFonts w:cs="Arial"/>
                <w:color w:val="000000"/>
                <w:szCs w:val="18"/>
                <w:lang w:val="it-IT" w:eastAsia="it-IT"/>
              </w:rPr>
              <w:t>1</w:t>
            </w:r>
            <w:r>
              <w:rPr>
                <w:rFonts w:cs="Arial"/>
                <w:color w:val="000000"/>
                <w:szCs w:val="18"/>
                <w:lang w:val="it-IT" w:eastAsia="it-IT"/>
              </w:rPr>
              <w:t xml:space="preserve">2 </w:t>
            </w:r>
            <w:r w:rsidRPr="00562771">
              <w:rPr>
                <w:rFonts w:cs="Arial"/>
                <w:lang w:val="it-IT"/>
              </w:rPr>
              <w:t>±</w:t>
            </w:r>
            <w:r>
              <w:rPr>
                <w:rFonts w:cs="Arial"/>
                <w:lang w:val="it-IT"/>
              </w:rPr>
              <w:t xml:space="preserve"> 0.04</w:t>
            </w:r>
          </w:p>
        </w:tc>
        <w:tc>
          <w:tcPr>
            <w:tcW w:w="1417" w:type="dxa"/>
          </w:tcPr>
          <w:p w14:paraId="62963C20" w14:textId="41520BED" w:rsidR="006275C3" w:rsidRPr="00753A5E" w:rsidRDefault="006275C3" w:rsidP="006275C3">
            <w:pPr>
              <w:pStyle w:val="CETBodytext"/>
              <w:rPr>
                <w:rFonts w:cs="Arial"/>
                <w:szCs w:val="18"/>
                <w:lang w:val="en-GB"/>
              </w:rPr>
            </w:pPr>
            <w:r w:rsidRPr="0078193B">
              <w:rPr>
                <w:rFonts w:cs="Arial"/>
                <w:color w:val="000000"/>
                <w:szCs w:val="18"/>
                <w:lang w:val="it-IT" w:eastAsia="it-IT"/>
              </w:rPr>
              <w:t>3</w:t>
            </w:r>
            <w:r>
              <w:rPr>
                <w:rFonts w:cs="Arial"/>
                <w:color w:val="000000"/>
                <w:szCs w:val="18"/>
                <w:lang w:val="it-IT" w:eastAsia="it-IT"/>
              </w:rPr>
              <w:t>.</w:t>
            </w:r>
            <w:r w:rsidRPr="0078193B">
              <w:rPr>
                <w:rFonts w:cs="Arial"/>
                <w:color w:val="000000"/>
                <w:szCs w:val="18"/>
                <w:lang w:val="it-IT" w:eastAsia="it-IT"/>
              </w:rPr>
              <w:t>48</w:t>
            </w:r>
            <w:r>
              <w:rPr>
                <w:rFonts w:cs="Arial"/>
                <w:color w:val="000000"/>
                <w:szCs w:val="18"/>
                <w:lang w:val="it-IT" w:eastAsia="it-IT"/>
              </w:rPr>
              <w:t xml:space="preserve"> </w:t>
            </w:r>
            <w:r w:rsidRPr="00562771">
              <w:rPr>
                <w:rFonts w:cs="Arial"/>
                <w:lang w:val="it-IT"/>
              </w:rPr>
              <w:t>±</w:t>
            </w:r>
            <w:r>
              <w:rPr>
                <w:rFonts w:cs="Arial"/>
                <w:lang w:val="it-IT"/>
              </w:rPr>
              <w:t xml:space="preserve"> 0.75</w:t>
            </w:r>
          </w:p>
        </w:tc>
        <w:tc>
          <w:tcPr>
            <w:tcW w:w="1417" w:type="dxa"/>
            <w:vAlign w:val="bottom"/>
          </w:tcPr>
          <w:p w14:paraId="7D760283" w14:textId="1B85C36A"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8</w:t>
            </w:r>
            <w:r>
              <w:rPr>
                <w:rFonts w:cs="Arial"/>
                <w:color w:val="000000"/>
                <w:szCs w:val="18"/>
                <w:lang w:val="it-IT" w:eastAsia="it-IT"/>
              </w:rPr>
              <w:t>.</w:t>
            </w:r>
            <w:r w:rsidRPr="0078193B">
              <w:rPr>
                <w:rFonts w:cs="Arial"/>
                <w:color w:val="000000"/>
                <w:szCs w:val="18"/>
                <w:lang w:val="it-IT" w:eastAsia="it-IT"/>
              </w:rPr>
              <w:t>37</w:t>
            </w:r>
            <w:r>
              <w:rPr>
                <w:rFonts w:cs="Arial"/>
                <w:color w:val="000000"/>
                <w:szCs w:val="18"/>
                <w:lang w:val="it-IT" w:eastAsia="it-IT"/>
              </w:rPr>
              <w:t xml:space="preserve"> </w:t>
            </w:r>
            <w:r w:rsidRPr="00562771">
              <w:rPr>
                <w:rFonts w:cs="Arial"/>
                <w:lang w:val="it-IT"/>
              </w:rPr>
              <w:t>±</w:t>
            </w:r>
            <w:r>
              <w:rPr>
                <w:rFonts w:cs="Arial"/>
                <w:lang w:val="it-IT"/>
              </w:rPr>
              <w:t xml:space="preserve"> 1.02</w:t>
            </w:r>
          </w:p>
        </w:tc>
        <w:tc>
          <w:tcPr>
            <w:tcW w:w="1417" w:type="dxa"/>
            <w:vAlign w:val="bottom"/>
          </w:tcPr>
          <w:p w14:paraId="388D889E" w14:textId="27773BF4" w:rsidR="006275C3" w:rsidRPr="00753A5E" w:rsidRDefault="006275C3" w:rsidP="006275C3">
            <w:pPr>
              <w:pStyle w:val="CETBodytext"/>
              <w:ind w:right="-1"/>
              <w:rPr>
                <w:rFonts w:cs="Arial"/>
                <w:szCs w:val="18"/>
                <w:lang w:val="en-GB"/>
              </w:rPr>
            </w:pPr>
            <w:r w:rsidRPr="0078193B">
              <w:rPr>
                <w:rFonts w:cs="Arial"/>
                <w:color w:val="000000"/>
                <w:szCs w:val="18"/>
                <w:lang w:val="it-IT" w:eastAsia="it-IT"/>
              </w:rPr>
              <w:t>5</w:t>
            </w:r>
            <w:r>
              <w:rPr>
                <w:rFonts w:cs="Arial"/>
                <w:color w:val="000000"/>
                <w:szCs w:val="18"/>
                <w:lang w:val="it-IT" w:eastAsia="it-IT"/>
              </w:rPr>
              <w:t>.</w:t>
            </w:r>
            <w:r w:rsidRPr="0078193B">
              <w:rPr>
                <w:rFonts w:cs="Arial"/>
                <w:color w:val="000000"/>
                <w:szCs w:val="18"/>
                <w:lang w:val="it-IT" w:eastAsia="it-IT"/>
              </w:rPr>
              <w:t>43</w:t>
            </w:r>
            <w:r>
              <w:rPr>
                <w:rFonts w:cs="Arial"/>
                <w:color w:val="000000"/>
                <w:szCs w:val="18"/>
                <w:lang w:val="it-IT" w:eastAsia="it-IT"/>
              </w:rPr>
              <w:t xml:space="preserve"> </w:t>
            </w:r>
            <w:r w:rsidRPr="00562771">
              <w:rPr>
                <w:rFonts w:cs="Arial"/>
                <w:lang w:val="it-IT"/>
              </w:rPr>
              <w:t>±</w:t>
            </w:r>
            <w:r>
              <w:rPr>
                <w:rFonts w:cs="Arial"/>
                <w:lang w:val="it-IT"/>
              </w:rPr>
              <w:t xml:space="preserve"> 0.77</w:t>
            </w:r>
          </w:p>
        </w:tc>
      </w:tr>
      <w:tr w:rsidR="006275C3" w:rsidRPr="00753A5E" w14:paraId="74B2BC97" w14:textId="77777777" w:rsidTr="006275C3">
        <w:tc>
          <w:tcPr>
            <w:tcW w:w="1417" w:type="dxa"/>
            <w:vAlign w:val="center"/>
          </w:tcPr>
          <w:p w14:paraId="3A26D29F" w14:textId="4F260CEA" w:rsidR="006275C3" w:rsidRPr="0078193B" w:rsidRDefault="006275C3" w:rsidP="006275C3">
            <w:pPr>
              <w:pStyle w:val="CETBodytext"/>
              <w:rPr>
                <w:rFonts w:cs="Arial"/>
                <w:color w:val="000000"/>
                <w:szCs w:val="18"/>
                <w:lang w:val="it-IT" w:eastAsia="it-IT"/>
              </w:rPr>
            </w:pPr>
            <w:r w:rsidRPr="00753A5E">
              <w:rPr>
                <w:rFonts w:cs="Arial"/>
                <w:szCs w:val="18"/>
                <w:lang w:val="en-GB"/>
              </w:rPr>
              <w:t>60</w:t>
            </w:r>
          </w:p>
        </w:tc>
        <w:tc>
          <w:tcPr>
            <w:tcW w:w="1417" w:type="dxa"/>
          </w:tcPr>
          <w:p w14:paraId="05C73995" w14:textId="7139C6A5" w:rsidR="006275C3" w:rsidRPr="00753A5E" w:rsidRDefault="006275C3" w:rsidP="006275C3">
            <w:pPr>
              <w:pStyle w:val="CETBodytext"/>
              <w:rPr>
                <w:rFonts w:cs="Arial"/>
                <w:szCs w:val="18"/>
                <w:lang w:val="en-GB"/>
              </w:rPr>
            </w:pPr>
            <w:r w:rsidRPr="0078193B">
              <w:rPr>
                <w:rFonts w:cs="Arial"/>
                <w:color w:val="000000"/>
                <w:szCs w:val="18"/>
                <w:lang w:val="it-IT" w:eastAsia="it-IT"/>
              </w:rPr>
              <w:t>1</w:t>
            </w:r>
            <w:r>
              <w:rPr>
                <w:rFonts w:cs="Arial"/>
                <w:color w:val="000000"/>
                <w:szCs w:val="18"/>
                <w:lang w:val="it-IT" w:eastAsia="it-IT"/>
              </w:rPr>
              <w:t>.</w:t>
            </w:r>
            <w:r w:rsidRPr="0078193B">
              <w:rPr>
                <w:rFonts w:cs="Arial"/>
                <w:color w:val="000000"/>
                <w:szCs w:val="18"/>
                <w:lang w:val="it-IT" w:eastAsia="it-IT"/>
              </w:rPr>
              <w:t>0</w:t>
            </w:r>
            <w:r>
              <w:rPr>
                <w:rFonts w:cs="Arial"/>
                <w:color w:val="000000"/>
                <w:szCs w:val="18"/>
                <w:lang w:val="it-IT" w:eastAsia="it-IT"/>
              </w:rPr>
              <w:t xml:space="preserve">3 </w:t>
            </w:r>
            <w:r w:rsidRPr="00562771">
              <w:rPr>
                <w:rFonts w:cs="Arial"/>
                <w:lang w:val="it-IT"/>
              </w:rPr>
              <w:t>±</w:t>
            </w:r>
            <w:r>
              <w:rPr>
                <w:rFonts w:cs="Arial"/>
                <w:lang w:val="it-IT"/>
              </w:rPr>
              <w:t xml:space="preserve"> 0.02</w:t>
            </w:r>
          </w:p>
        </w:tc>
        <w:tc>
          <w:tcPr>
            <w:tcW w:w="1417" w:type="dxa"/>
          </w:tcPr>
          <w:p w14:paraId="46F8C6DF" w14:textId="38DE0316" w:rsidR="006275C3" w:rsidRPr="00753A5E" w:rsidRDefault="006275C3" w:rsidP="006275C3">
            <w:pPr>
              <w:pStyle w:val="CETBodytext"/>
              <w:rPr>
                <w:rFonts w:cs="Arial"/>
                <w:szCs w:val="18"/>
                <w:lang w:val="en-GB"/>
              </w:rPr>
            </w:pPr>
            <w:r w:rsidRPr="0078193B">
              <w:rPr>
                <w:rFonts w:cs="Arial"/>
                <w:color w:val="000000"/>
                <w:szCs w:val="18"/>
                <w:lang w:val="it-IT" w:eastAsia="it-IT"/>
              </w:rPr>
              <w:t>1</w:t>
            </w:r>
            <w:r>
              <w:rPr>
                <w:rFonts w:cs="Arial"/>
                <w:color w:val="000000"/>
                <w:szCs w:val="18"/>
                <w:lang w:val="it-IT" w:eastAsia="it-IT"/>
              </w:rPr>
              <w:t>.</w:t>
            </w:r>
            <w:r w:rsidRPr="0078193B">
              <w:rPr>
                <w:rFonts w:cs="Arial"/>
                <w:color w:val="000000"/>
                <w:szCs w:val="18"/>
                <w:lang w:val="it-IT" w:eastAsia="it-IT"/>
              </w:rPr>
              <w:t>6</w:t>
            </w:r>
            <w:r>
              <w:rPr>
                <w:rFonts w:cs="Arial"/>
                <w:color w:val="000000"/>
                <w:szCs w:val="18"/>
                <w:lang w:val="it-IT" w:eastAsia="it-IT"/>
              </w:rPr>
              <w:t xml:space="preserve">6 </w:t>
            </w:r>
            <w:r w:rsidRPr="00562771">
              <w:rPr>
                <w:rFonts w:cs="Arial"/>
                <w:lang w:val="it-IT"/>
              </w:rPr>
              <w:t>±</w:t>
            </w:r>
            <w:r>
              <w:rPr>
                <w:rFonts w:cs="Arial"/>
                <w:lang w:val="it-IT"/>
              </w:rPr>
              <w:t xml:space="preserve"> 0.69</w:t>
            </w:r>
          </w:p>
        </w:tc>
        <w:tc>
          <w:tcPr>
            <w:tcW w:w="1417" w:type="dxa"/>
            <w:vAlign w:val="bottom"/>
          </w:tcPr>
          <w:p w14:paraId="6A0E86F8" w14:textId="3C53C7D6"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7</w:t>
            </w:r>
            <w:r>
              <w:rPr>
                <w:rFonts w:cs="Arial"/>
                <w:color w:val="000000"/>
                <w:szCs w:val="18"/>
                <w:lang w:val="it-IT" w:eastAsia="it-IT"/>
              </w:rPr>
              <w:t>.</w:t>
            </w:r>
            <w:r w:rsidRPr="0078193B">
              <w:rPr>
                <w:rFonts w:cs="Arial"/>
                <w:color w:val="000000"/>
                <w:szCs w:val="18"/>
                <w:lang w:val="it-IT" w:eastAsia="it-IT"/>
              </w:rPr>
              <w:t>7</w:t>
            </w:r>
            <w:r>
              <w:rPr>
                <w:rFonts w:cs="Arial"/>
                <w:color w:val="000000"/>
                <w:szCs w:val="18"/>
                <w:lang w:val="it-IT" w:eastAsia="it-IT"/>
              </w:rPr>
              <w:t xml:space="preserve">7 </w:t>
            </w:r>
            <w:r w:rsidRPr="00562771">
              <w:rPr>
                <w:rFonts w:cs="Arial"/>
                <w:lang w:val="it-IT"/>
              </w:rPr>
              <w:t>±</w:t>
            </w:r>
            <w:r>
              <w:rPr>
                <w:rFonts w:cs="Arial"/>
                <w:lang w:val="it-IT"/>
              </w:rPr>
              <w:t xml:space="preserve"> 0.83</w:t>
            </w:r>
          </w:p>
        </w:tc>
        <w:tc>
          <w:tcPr>
            <w:tcW w:w="1417" w:type="dxa"/>
            <w:vAlign w:val="bottom"/>
          </w:tcPr>
          <w:p w14:paraId="50F22643" w14:textId="5654DF63" w:rsidR="006275C3" w:rsidRPr="00753A5E" w:rsidRDefault="006275C3" w:rsidP="006275C3">
            <w:pPr>
              <w:pStyle w:val="CETBodytext"/>
              <w:ind w:right="-1"/>
              <w:rPr>
                <w:rFonts w:cs="Arial"/>
                <w:szCs w:val="18"/>
                <w:lang w:val="en-GB"/>
              </w:rPr>
            </w:pPr>
            <w:r w:rsidRPr="0078193B">
              <w:rPr>
                <w:rFonts w:cs="Arial"/>
                <w:color w:val="000000"/>
                <w:szCs w:val="18"/>
                <w:lang w:val="it-IT" w:eastAsia="it-IT"/>
              </w:rPr>
              <w:t>5</w:t>
            </w:r>
            <w:r>
              <w:rPr>
                <w:rFonts w:cs="Arial"/>
                <w:color w:val="000000"/>
                <w:szCs w:val="18"/>
                <w:lang w:val="it-IT" w:eastAsia="it-IT"/>
              </w:rPr>
              <w:t>.</w:t>
            </w:r>
            <w:r w:rsidRPr="0078193B">
              <w:rPr>
                <w:rFonts w:cs="Arial"/>
                <w:color w:val="000000"/>
                <w:szCs w:val="18"/>
                <w:lang w:val="it-IT" w:eastAsia="it-IT"/>
              </w:rPr>
              <w:t>32</w:t>
            </w:r>
            <w:r>
              <w:rPr>
                <w:rFonts w:cs="Arial"/>
                <w:color w:val="000000"/>
                <w:szCs w:val="18"/>
                <w:lang w:val="it-IT" w:eastAsia="it-IT"/>
              </w:rPr>
              <w:t xml:space="preserve"> </w:t>
            </w:r>
            <w:r w:rsidRPr="00562771">
              <w:rPr>
                <w:rFonts w:cs="Arial"/>
                <w:lang w:val="it-IT"/>
              </w:rPr>
              <w:t>±</w:t>
            </w:r>
            <w:r>
              <w:rPr>
                <w:rFonts w:cs="Arial"/>
                <w:lang w:val="it-IT"/>
              </w:rPr>
              <w:t xml:space="preserve"> 0.79</w:t>
            </w:r>
          </w:p>
        </w:tc>
      </w:tr>
      <w:tr w:rsidR="006275C3" w:rsidRPr="00753A5E" w14:paraId="28FEE87E" w14:textId="77777777" w:rsidTr="006275C3">
        <w:tc>
          <w:tcPr>
            <w:tcW w:w="1417" w:type="dxa"/>
            <w:vAlign w:val="center"/>
          </w:tcPr>
          <w:p w14:paraId="679E4CA4" w14:textId="01CA48B9" w:rsidR="006275C3" w:rsidRPr="0078193B" w:rsidRDefault="006275C3" w:rsidP="006275C3">
            <w:pPr>
              <w:pStyle w:val="CETBodytext"/>
              <w:rPr>
                <w:rFonts w:cs="Arial"/>
                <w:color w:val="000000"/>
                <w:szCs w:val="18"/>
                <w:lang w:val="it-IT" w:eastAsia="it-IT"/>
              </w:rPr>
            </w:pPr>
            <w:r w:rsidRPr="00753A5E">
              <w:rPr>
                <w:rFonts w:cs="Arial"/>
                <w:szCs w:val="18"/>
                <w:lang w:val="it-IT"/>
              </w:rPr>
              <w:t>120</w:t>
            </w:r>
          </w:p>
        </w:tc>
        <w:tc>
          <w:tcPr>
            <w:tcW w:w="1417" w:type="dxa"/>
          </w:tcPr>
          <w:p w14:paraId="651C9F9C" w14:textId="558F0BFC" w:rsidR="006275C3" w:rsidRPr="00753A5E" w:rsidRDefault="006275C3" w:rsidP="006275C3">
            <w:pPr>
              <w:pStyle w:val="CETBodytext"/>
              <w:rPr>
                <w:rFonts w:cs="Arial"/>
                <w:szCs w:val="18"/>
                <w:lang w:val="it-IT"/>
              </w:rPr>
            </w:pPr>
            <w:r w:rsidRPr="0078193B">
              <w:rPr>
                <w:rFonts w:cs="Arial"/>
                <w:color w:val="000000"/>
                <w:szCs w:val="18"/>
                <w:lang w:val="it-IT" w:eastAsia="it-IT"/>
              </w:rPr>
              <w:t>0</w:t>
            </w:r>
            <w:r>
              <w:rPr>
                <w:rFonts w:cs="Arial"/>
                <w:color w:val="000000"/>
                <w:szCs w:val="18"/>
                <w:lang w:val="it-IT" w:eastAsia="it-IT"/>
              </w:rPr>
              <w:t xml:space="preserve">.91 </w:t>
            </w:r>
            <w:r w:rsidRPr="00562771">
              <w:rPr>
                <w:rFonts w:cs="Arial"/>
                <w:lang w:val="it-IT"/>
              </w:rPr>
              <w:t>±</w:t>
            </w:r>
            <w:r>
              <w:rPr>
                <w:rFonts w:cs="Arial"/>
                <w:lang w:val="it-IT"/>
              </w:rPr>
              <w:t xml:space="preserve"> 0.02</w:t>
            </w:r>
          </w:p>
        </w:tc>
        <w:tc>
          <w:tcPr>
            <w:tcW w:w="1417" w:type="dxa"/>
          </w:tcPr>
          <w:p w14:paraId="1624217B" w14:textId="1FF015FC" w:rsidR="006275C3" w:rsidRPr="00753A5E" w:rsidRDefault="006275C3" w:rsidP="006275C3">
            <w:pPr>
              <w:pStyle w:val="CETBodytext"/>
              <w:rPr>
                <w:rFonts w:cs="Arial"/>
                <w:szCs w:val="18"/>
                <w:lang w:val="it-IT"/>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7</w:t>
            </w:r>
            <w:r>
              <w:rPr>
                <w:rFonts w:cs="Arial"/>
                <w:color w:val="000000"/>
                <w:szCs w:val="18"/>
                <w:lang w:val="it-IT" w:eastAsia="it-IT"/>
              </w:rPr>
              <w:t xml:space="preserve">8 </w:t>
            </w:r>
            <w:r w:rsidRPr="00562771">
              <w:rPr>
                <w:rFonts w:cs="Arial"/>
                <w:lang w:val="it-IT"/>
              </w:rPr>
              <w:t>±</w:t>
            </w:r>
            <w:r>
              <w:rPr>
                <w:rFonts w:cs="Arial"/>
                <w:lang w:val="it-IT"/>
              </w:rPr>
              <w:t xml:space="preserve"> 0.24</w:t>
            </w:r>
          </w:p>
        </w:tc>
        <w:tc>
          <w:tcPr>
            <w:tcW w:w="1417" w:type="dxa"/>
            <w:vAlign w:val="bottom"/>
          </w:tcPr>
          <w:p w14:paraId="03251E30" w14:textId="553F8CDA"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6</w:t>
            </w:r>
            <w:r>
              <w:rPr>
                <w:rFonts w:cs="Arial"/>
                <w:color w:val="000000"/>
                <w:szCs w:val="18"/>
                <w:lang w:val="it-IT" w:eastAsia="it-IT"/>
              </w:rPr>
              <w:t>.</w:t>
            </w:r>
            <w:r w:rsidRPr="0078193B">
              <w:rPr>
                <w:rFonts w:cs="Arial"/>
                <w:color w:val="000000"/>
                <w:szCs w:val="18"/>
                <w:lang w:val="it-IT" w:eastAsia="it-IT"/>
              </w:rPr>
              <w:t>00</w:t>
            </w:r>
            <w:r>
              <w:rPr>
                <w:rFonts w:cs="Arial"/>
                <w:color w:val="000000"/>
                <w:szCs w:val="18"/>
                <w:lang w:val="it-IT" w:eastAsia="it-IT"/>
              </w:rPr>
              <w:t xml:space="preserve"> </w:t>
            </w:r>
            <w:r w:rsidRPr="00562771">
              <w:rPr>
                <w:rFonts w:cs="Arial"/>
                <w:lang w:val="it-IT"/>
              </w:rPr>
              <w:t>±</w:t>
            </w:r>
            <w:r>
              <w:rPr>
                <w:rFonts w:cs="Arial"/>
                <w:lang w:val="it-IT"/>
              </w:rPr>
              <w:t xml:space="preserve"> 0.01</w:t>
            </w:r>
          </w:p>
        </w:tc>
        <w:tc>
          <w:tcPr>
            <w:tcW w:w="1417" w:type="dxa"/>
            <w:vAlign w:val="bottom"/>
          </w:tcPr>
          <w:p w14:paraId="4203DB3F" w14:textId="61E7C11A"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4</w:t>
            </w:r>
            <w:r>
              <w:rPr>
                <w:rFonts w:cs="Arial"/>
                <w:color w:val="000000"/>
                <w:szCs w:val="18"/>
                <w:lang w:val="it-IT" w:eastAsia="it-IT"/>
              </w:rPr>
              <w:t>.</w:t>
            </w:r>
            <w:r w:rsidRPr="0078193B">
              <w:rPr>
                <w:rFonts w:cs="Arial"/>
                <w:color w:val="000000"/>
                <w:szCs w:val="18"/>
                <w:lang w:val="it-IT" w:eastAsia="it-IT"/>
              </w:rPr>
              <w:t>8</w:t>
            </w:r>
            <w:r>
              <w:rPr>
                <w:rFonts w:cs="Arial"/>
                <w:color w:val="000000"/>
                <w:szCs w:val="18"/>
                <w:lang w:val="it-IT" w:eastAsia="it-IT"/>
              </w:rPr>
              <w:t xml:space="preserve">2 </w:t>
            </w:r>
            <w:r w:rsidRPr="00562771">
              <w:rPr>
                <w:rFonts w:cs="Arial"/>
                <w:lang w:val="it-IT"/>
              </w:rPr>
              <w:t>±</w:t>
            </w:r>
            <w:r>
              <w:rPr>
                <w:rFonts w:cs="Arial"/>
                <w:lang w:val="it-IT"/>
              </w:rPr>
              <w:t xml:space="preserve"> 0.76</w:t>
            </w:r>
          </w:p>
        </w:tc>
      </w:tr>
      <w:tr w:rsidR="006275C3" w:rsidRPr="00753A5E" w14:paraId="362384FB" w14:textId="77777777" w:rsidTr="006275C3">
        <w:tc>
          <w:tcPr>
            <w:tcW w:w="1417" w:type="dxa"/>
            <w:vAlign w:val="center"/>
          </w:tcPr>
          <w:p w14:paraId="78EC1E9E" w14:textId="4854A145" w:rsidR="006275C3" w:rsidRPr="0078193B" w:rsidRDefault="006275C3" w:rsidP="006275C3">
            <w:pPr>
              <w:pStyle w:val="CETBodytext"/>
              <w:rPr>
                <w:rFonts w:cs="Arial"/>
                <w:color w:val="000000"/>
                <w:szCs w:val="18"/>
                <w:lang w:val="it-IT" w:eastAsia="it-IT"/>
              </w:rPr>
            </w:pPr>
            <w:r w:rsidRPr="00753A5E">
              <w:rPr>
                <w:rFonts w:cs="Arial"/>
                <w:szCs w:val="18"/>
                <w:lang w:val="it-IT"/>
              </w:rPr>
              <w:t>180</w:t>
            </w:r>
          </w:p>
        </w:tc>
        <w:tc>
          <w:tcPr>
            <w:tcW w:w="1417" w:type="dxa"/>
          </w:tcPr>
          <w:p w14:paraId="5D7C1D3D" w14:textId="7F82D961" w:rsidR="006275C3" w:rsidRPr="00753A5E" w:rsidRDefault="006275C3" w:rsidP="006275C3">
            <w:pPr>
              <w:pStyle w:val="CETBodytext"/>
              <w:rPr>
                <w:rFonts w:cs="Arial"/>
                <w:szCs w:val="18"/>
                <w:lang w:val="it-IT"/>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92</w:t>
            </w:r>
            <w:r>
              <w:rPr>
                <w:rFonts w:cs="Arial"/>
                <w:color w:val="000000"/>
                <w:szCs w:val="18"/>
                <w:lang w:val="it-IT" w:eastAsia="it-IT"/>
              </w:rPr>
              <w:t xml:space="preserve"> </w:t>
            </w:r>
            <w:r w:rsidRPr="00562771">
              <w:rPr>
                <w:rFonts w:cs="Arial"/>
                <w:lang w:val="it-IT"/>
              </w:rPr>
              <w:t>±</w:t>
            </w:r>
            <w:r>
              <w:rPr>
                <w:rFonts w:cs="Arial"/>
                <w:lang w:val="it-IT"/>
              </w:rPr>
              <w:t xml:space="preserve"> 0.08</w:t>
            </w:r>
          </w:p>
        </w:tc>
        <w:tc>
          <w:tcPr>
            <w:tcW w:w="1417" w:type="dxa"/>
          </w:tcPr>
          <w:p w14:paraId="7D7A8F50" w14:textId="7C417F7B" w:rsidR="006275C3" w:rsidRPr="00753A5E" w:rsidRDefault="006275C3" w:rsidP="006275C3">
            <w:pPr>
              <w:pStyle w:val="CETBodytext"/>
              <w:rPr>
                <w:rFonts w:cs="Arial"/>
                <w:szCs w:val="18"/>
                <w:lang w:val="it-IT"/>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6</w:t>
            </w:r>
            <w:r>
              <w:rPr>
                <w:rFonts w:cs="Arial"/>
                <w:color w:val="000000"/>
                <w:szCs w:val="18"/>
                <w:lang w:val="it-IT" w:eastAsia="it-IT"/>
              </w:rPr>
              <w:t xml:space="preserve">2 </w:t>
            </w:r>
            <w:r w:rsidRPr="00562771">
              <w:rPr>
                <w:rFonts w:cs="Arial"/>
                <w:lang w:val="it-IT"/>
              </w:rPr>
              <w:t>±</w:t>
            </w:r>
            <w:r>
              <w:rPr>
                <w:rFonts w:cs="Arial"/>
                <w:lang w:val="it-IT"/>
              </w:rPr>
              <w:t xml:space="preserve"> 0.07</w:t>
            </w:r>
          </w:p>
        </w:tc>
        <w:tc>
          <w:tcPr>
            <w:tcW w:w="1417" w:type="dxa"/>
            <w:vAlign w:val="bottom"/>
          </w:tcPr>
          <w:p w14:paraId="61D8EE51" w14:textId="0C81C652"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4</w:t>
            </w:r>
            <w:r>
              <w:rPr>
                <w:rFonts w:cs="Arial"/>
                <w:color w:val="000000"/>
                <w:szCs w:val="18"/>
                <w:lang w:val="it-IT" w:eastAsia="it-IT"/>
              </w:rPr>
              <w:t>.</w:t>
            </w:r>
            <w:r w:rsidRPr="0078193B">
              <w:rPr>
                <w:rFonts w:cs="Arial"/>
                <w:color w:val="000000"/>
                <w:szCs w:val="18"/>
                <w:lang w:val="it-IT" w:eastAsia="it-IT"/>
              </w:rPr>
              <w:t>6</w:t>
            </w:r>
            <w:r>
              <w:rPr>
                <w:rFonts w:cs="Arial"/>
                <w:color w:val="000000"/>
                <w:szCs w:val="18"/>
                <w:lang w:val="it-IT" w:eastAsia="it-IT"/>
              </w:rPr>
              <w:t xml:space="preserve">8 </w:t>
            </w:r>
            <w:r w:rsidRPr="00562771">
              <w:rPr>
                <w:rFonts w:cs="Arial"/>
                <w:lang w:val="it-IT"/>
              </w:rPr>
              <w:t>±</w:t>
            </w:r>
            <w:r>
              <w:rPr>
                <w:rFonts w:cs="Arial"/>
                <w:lang w:val="it-IT"/>
              </w:rPr>
              <w:t xml:space="preserve"> 0.04</w:t>
            </w:r>
          </w:p>
        </w:tc>
        <w:tc>
          <w:tcPr>
            <w:tcW w:w="1417" w:type="dxa"/>
            <w:vAlign w:val="bottom"/>
          </w:tcPr>
          <w:p w14:paraId="5A3B75D0" w14:textId="66A9AF48"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4</w:t>
            </w:r>
            <w:r>
              <w:rPr>
                <w:rFonts w:cs="Arial"/>
                <w:color w:val="000000"/>
                <w:szCs w:val="18"/>
                <w:lang w:val="it-IT" w:eastAsia="it-IT"/>
              </w:rPr>
              <w:t>.</w:t>
            </w:r>
            <w:r w:rsidRPr="0078193B">
              <w:rPr>
                <w:rFonts w:cs="Arial"/>
                <w:color w:val="000000"/>
                <w:szCs w:val="18"/>
                <w:lang w:val="it-IT" w:eastAsia="it-IT"/>
              </w:rPr>
              <w:t>76</w:t>
            </w:r>
            <w:r>
              <w:rPr>
                <w:rFonts w:cs="Arial"/>
                <w:color w:val="000000"/>
                <w:szCs w:val="18"/>
                <w:lang w:val="it-IT" w:eastAsia="it-IT"/>
              </w:rPr>
              <w:t xml:space="preserve"> </w:t>
            </w:r>
            <w:r w:rsidRPr="00562771">
              <w:rPr>
                <w:rFonts w:cs="Arial"/>
                <w:lang w:val="it-IT"/>
              </w:rPr>
              <w:t>±</w:t>
            </w:r>
            <w:r>
              <w:rPr>
                <w:rFonts w:cs="Arial"/>
                <w:lang w:val="it-IT"/>
              </w:rPr>
              <w:t xml:space="preserve"> 0.72</w:t>
            </w:r>
          </w:p>
        </w:tc>
      </w:tr>
      <w:tr w:rsidR="006275C3" w:rsidRPr="00753A5E" w14:paraId="0B0FF3BB" w14:textId="77777777" w:rsidTr="006275C3">
        <w:tc>
          <w:tcPr>
            <w:tcW w:w="1417" w:type="dxa"/>
            <w:vAlign w:val="center"/>
          </w:tcPr>
          <w:p w14:paraId="0F0A488F" w14:textId="71BBB985" w:rsidR="006275C3" w:rsidRPr="0078193B" w:rsidRDefault="006275C3" w:rsidP="006275C3">
            <w:pPr>
              <w:pStyle w:val="CETBodytext"/>
              <w:rPr>
                <w:rFonts w:cs="Arial"/>
                <w:color w:val="000000"/>
                <w:szCs w:val="18"/>
                <w:lang w:val="it-IT" w:eastAsia="it-IT"/>
              </w:rPr>
            </w:pPr>
            <w:r w:rsidRPr="00753A5E">
              <w:rPr>
                <w:rFonts w:cs="Arial"/>
                <w:szCs w:val="18"/>
                <w:lang w:val="it-IT"/>
              </w:rPr>
              <w:t>240</w:t>
            </w:r>
          </w:p>
        </w:tc>
        <w:tc>
          <w:tcPr>
            <w:tcW w:w="1417" w:type="dxa"/>
          </w:tcPr>
          <w:p w14:paraId="6C929C77" w14:textId="2A741AA4" w:rsidR="006275C3" w:rsidRPr="00753A5E" w:rsidRDefault="006275C3" w:rsidP="006275C3">
            <w:pPr>
              <w:pStyle w:val="CETBodytext"/>
              <w:rPr>
                <w:rFonts w:cs="Arial"/>
                <w:szCs w:val="18"/>
                <w:lang w:val="it-IT"/>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9</w:t>
            </w:r>
            <w:r>
              <w:rPr>
                <w:rFonts w:cs="Arial"/>
                <w:color w:val="000000"/>
                <w:szCs w:val="18"/>
                <w:lang w:val="it-IT" w:eastAsia="it-IT"/>
              </w:rPr>
              <w:t xml:space="preserve">6 </w:t>
            </w:r>
            <w:r w:rsidRPr="00562771">
              <w:rPr>
                <w:rFonts w:cs="Arial"/>
                <w:lang w:val="it-IT"/>
              </w:rPr>
              <w:t>±</w:t>
            </w:r>
            <w:r>
              <w:rPr>
                <w:rFonts w:cs="Arial"/>
                <w:lang w:val="it-IT"/>
              </w:rPr>
              <w:t xml:space="preserve"> 0.02</w:t>
            </w:r>
          </w:p>
        </w:tc>
        <w:tc>
          <w:tcPr>
            <w:tcW w:w="1417" w:type="dxa"/>
          </w:tcPr>
          <w:p w14:paraId="4F898269" w14:textId="4A098FA0" w:rsidR="006275C3" w:rsidRPr="00753A5E" w:rsidRDefault="006275C3" w:rsidP="006275C3">
            <w:pPr>
              <w:pStyle w:val="CETBodytext"/>
              <w:rPr>
                <w:rFonts w:cs="Arial"/>
                <w:szCs w:val="18"/>
                <w:lang w:val="it-IT"/>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69</w:t>
            </w:r>
            <w:r>
              <w:rPr>
                <w:rFonts w:cs="Arial"/>
                <w:color w:val="000000"/>
                <w:szCs w:val="18"/>
                <w:lang w:val="it-IT" w:eastAsia="it-IT"/>
              </w:rPr>
              <w:t xml:space="preserve"> </w:t>
            </w:r>
            <w:r w:rsidRPr="00562771">
              <w:rPr>
                <w:rFonts w:cs="Arial"/>
                <w:lang w:val="it-IT"/>
              </w:rPr>
              <w:t>±</w:t>
            </w:r>
            <w:r>
              <w:rPr>
                <w:rFonts w:cs="Arial"/>
                <w:lang w:val="it-IT"/>
              </w:rPr>
              <w:t xml:space="preserve"> 0.11</w:t>
            </w:r>
          </w:p>
        </w:tc>
        <w:tc>
          <w:tcPr>
            <w:tcW w:w="1417" w:type="dxa"/>
            <w:vAlign w:val="bottom"/>
          </w:tcPr>
          <w:p w14:paraId="695CC664" w14:textId="0421B47E"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3</w:t>
            </w:r>
            <w:r>
              <w:rPr>
                <w:rFonts w:cs="Arial"/>
                <w:color w:val="000000"/>
                <w:szCs w:val="18"/>
                <w:lang w:val="it-IT" w:eastAsia="it-IT"/>
              </w:rPr>
              <w:t>.</w:t>
            </w:r>
            <w:r w:rsidRPr="0078193B">
              <w:rPr>
                <w:rFonts w:cs="Arial"/>
                <w:color w:val="000000"/>
                <w:szCs w:val="18"/>
                <w:lang w:val="it-IT" w:eastAsia="it-IT"/>
              </w:rPr>
              <w:t>80</w:t>
            </w:r>
            <w:r>
              <w:rPr>
                <w:rFonts w:cs="Arial"/>
                <w:color w:val="000000"/>
                <w:szCs w:val="18"/>
                <w:lang w:val="it-IT" w:eastAsia="it-IT"/>
              </w:rPr>
              <w:t xml:space="preserve"> </w:t>
            </w:r>
            <w:r w:rsidRPr="00562771">
              <w:rPr>
                <w:rFonts w:cs="Arial"/>
                <w:lang w:val="it-IT"/>
              </w:rPr>
              <w:t>±</w:t>
            </w:r>
            <w:r>
              <w:rPr>
                <w:rFonts w:cs="Arial"/>
                <w:lang w:val="it-IT"/>
              </w:rPr>
              <w:t xml:space="preserve"> 0.24</w:t>
            </w:r>
          </w:p>
        </w:tc>
        <w:tc>
          <w:tcPr>
            <w:tcW w:w="1417" w:type="dxa"/>
            <w:vAlign w:val="bottom"/>
          </w:tcPr>
          <w:p w14:paraId="2733D8C6" w14:textId="6937717C"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4</w:t>
            </w:r>
            <w:r>
              <w:rPr>
                <w:rFonts w:cs="Arial"/>
                <w:color w:val="000000"/>
                <w:szCs w:val="18"/>
                <w:lang w:val="it-IT" w:eastAsia="it-IT"/>
              </w:rPr>
              <w:t>.</w:t>
            </w:r>
            <w:r w:rsidRPr="0078193B">
              <w:rPr>
                <w:rFonts w:cs="Arial"/>
                <w:color w:val="000000"/>
                <w:szCs w:val="18"/>
                <w:lang w:val="it-IT" w:eastAsia="it-IT"/>
              </w:rPr>
              <w:t>4</w:t>
            </w:r>
            <w:r>
              <w:rPr>
                <w:rFonts w:cs="Arial"/>
                <w:color w:val="000000"/>
                <w:szCs w:val="18"/>
                <w:lang w:val="it-IT" w:eastAsia="it-IT"/>
              </w:rPr>
              <w:t xml:space="preserve">7 </w:t>
            </w:r>
            <w:r w:rsidRPr="00562771">
              <w:rPr>
                <w:rFonts w:cs="Arial"/>
                <w:lang w:val="it-IT"/>
              </w:rPr>
              <w:t>±</w:t>
            </w:r>
            <w:r>
              <w:rPr>
                <w:rFonts w:cs="Arial"/>
                <w:lang w:val="it-IT"/>
              </w:rPr>
              <w:t xml:space="preserve"> 0.93</w:t>
            </w:r>
          </w:p>
        </w:tc>
      </w:tr>
      <w:tr w:rsidR="006275C3" w:rsidRPr="00753A5E" w14:paraId="3DBB55CA" w14:textId="77777777" w:rsidTr="006275C3">
        <w:tc>
          <w:tcPr>
            <w:tcW w:w="1417" w:type="dxa"/>
            <w:vAlign w:val="center"/>
          </w:tcPr>
          <w:p w14:paraId="2419DDFD" w14:textId="49C911E9" w:rsidR="006275C3" w:rsidRPr="0078193B" w:rsidRDefault="006275C3" w:rsidP="006275C3">
            <w:pPr>
              <w:pStyle w:val="CETBodytext"/>
              <w:rPr>
                <w:rFonts w:cs="Arial"/>
                <w:color w:val="000000"/>
                <w:szCs w:val="18"/>
                <w:lang w:val="it-IT" w:eastAsia="it-IT"/>
              </w:rPr>
            </w:pPr>
            <w:r w:rsidRPr="00753A5E">
              <w:rPr>
                <w:rFonts w:cs="Arial"/>
                <w:szCs w:val="18"/>
                <w:lang w:val="en-GB"/>
              </w:rPr>
              <w:t>1380</w:t>
            </w:r>
          </w:p>
        </w:tc>
        <w:tc>
          <w:tcPr>
            <w:tcW w:w="1417" w:type="dxa"/>
          </w:tcPr>
          <w:p w14:paraId="1A3BE7DF" w14:textId="78A838C1" w:rsidR="006275C3" w:rsidRPr="00753A5E" w:rsidRDefault="006275C3" w:rsidP="006275C3">
            <w:pPr>
              <w:pStyle w:val="CETBodytext"/>
              <w:rPr>
                <w:rFonts w:cs="Arial"/>
                <w:szCs w:val="18"/>
                <w:lang w:val="en-GB"/>
              </w:rPr>
            </w:pPr>
            <w:r w:rsidRPr="0078193B">
              <w:rPr>
                <w:rFonts w:cs="Arial"/>
                <w:color w:val="000000"/>
                <w:szCs w:val="18"/>
                <w:lang w:val="it-IT" w:eastAsia="it-IT"/>
              </w:rPr>
              <w:t>1</w:t>
            </w:r>
            <w:r>
              <w:rPr>
                <w:rFonts w:cs="Arial"/>
                <w:color w:val="000000"/>
                <w:szCs w:val="18"/>
                <w:lang w:val="it-IT" w:eastAsia="it-IT"/>
              </w:rPr>
              <w:t>.</w:t>
            </w:r>
            <w:r w:rsidRPr="0078193B">
              <w:rPr>
                <w:rFonts w:cs="Arial"/>
                <w:color w:val="000000"/>
                <w:szCs w:val="18"/>
                <w:lang w:val="it-IT" w:eastAsia="it-IT"/>
              </w:rPr>
              <w:t>09</w:t>
            </w:r>
            <w:r>
              <w:rPr>
                <w:rFonts w:cs="Arial"/>
                <w:color w:val="000000"/>
                <w:szCs w:val="18"/>
                <w:lang w:val="it-IT" w:eastAsia="it-IT"/>
              </w:rPr>
              <w:t xml:space="preserve"> </w:t>
            </w:r>
            <w:r w:rsidRPr="00562771">
              <w:rPr>
                <w:rFonts w:cs="Arial"/>
                <w:lang w:val="it-IT"/>
              </w:rPr>
              <w:t>±</w:t>
            </w:r>
            <w:r>
              <w:rPr>
                <w:rFonts w:cs="Arial"/>
                <w:lang w:val="it-IT"/>
              </w:rPr>
              <w:t xml:space="preserve"> 0.04</w:t>
            </w:r>
          </w:p>
        </w:tc>
        <w:tc>
          <w:tcPr>
            <w:tcW w:w="1417" w:type="dxa"/>
          </w:tcPr>
          <w:p w14:paraId="073B128F" w14:textId="52C1A354" w:rsidR="006275C3" w:rsidRPr="00753A5E" w:rsidRDefault="006275C3" w:rsidP="006275C3">
            <w:pPr>
              <w:pStyle w:val="CETBodytext"/>
              <w:rPr>
                <w:rFonts w:cs="Arial"/>
                <w:szCs w:val="18"/>
                <w:lang w:val="en-GB"/>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70</w:t>
            </w:r>
            <w:r>
              <w:rPr>
                <w:rFonts w:cs="Arial"/>
                <w:color w:val="000000"/>
                <w:szCs w:val="18"/>
                <w:lang w:val="it-IT" w:eastAsia="it-IT"/>
              </w:rPr>
              <w:t xml:space="preserve"> </w:t>
            </w:r>
            <w:r w:rsidRPr="00562771">
              <w:rPr>
                <w:rFonts w:cs="Arial"/>
                <w:lang w:val="it-IT"/>
              </w:rPr>
              <w:t>±</w:t>
            </w:r>
            <w:r>
              <w:rPr>
                <w:rFonts w:cs="Arial"/>
                <w:lang w:val="it-IT"/>
              </w:rPr>
              <w:t xml:space="preserve"> 0.01</w:t>
            </w:r>
          </w:p>
        </w:tc>
        <w:tc>
          <w:tcPr>
            <w:tcW w:w="1417" w:type="dxa"/>
            <w:vAlign w:val="bottom"/>
          </w:tcPr>
          <w:p w14:paraId="659DDBE5" w14:textId="12C87543"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89</w:t>
            </w:r>
            <w:r>
              <w:rPr>
                <w:rFonts w:cs="Arial"/>
                <w:color w:val="000000"/>
                <w:szCs w:val="18"/>
                <w:lang w:val="it-IT" w:eastAsia="it-IT"/>
              </w:rPr>
              <w:t xml:space="preserve"> </w:t>
            </w:r>
            <w:r w:rsidRPr="00562771">
              <w:rPr>
                <w:rFonts w:cs="Arial"/>
                <w:lang w:val="it-IT"/>
              </w:rPr>
              <w:t>±</w:t>
            </w:r>
            <w:r>
              <w:rPr>
                <w:rFonts w:cs="Arial"/>
                <w:lang w:val="it-IT"/>
              </w:rPr>
              <w:t xml:space="preserve"> 0.06</w:t>
            </w:r>
          </w:p>
        </w:tc>
        <w:tc>
          <w:tcPr>
            <w:tcW w:w="1417" w:type="dxa"/>
            <w:vAlign w:val="bottom"/>
          </w:tcPr>
          <w:p w14:paraId="0043A270" w14:textId="7DDEF739" w:rsidR="006275C3" w:rsidRPr="00753A5E" w:rsidRDefault="006275C3" w:rsidP="006275C3">
            <w:pPr>
              <w:pStyle w:val="CETBodytext"/>
              <w:ind w:right="-1"/>
              <w:rPr>
                <w:rFonts w:cs="Arial"/>
                <w:szCs w:val="18"/>
                <w:lang w:val="en-GB"/>
              </w:rPr>
            </w:pPr>
            <w:r w:rsidRPr="0078193B">
              <w:rPr>
                <w:rFonts w:cs="Arial"/>
                <w:color w:val="000000"/>
                <w:szCs w:val="18"/>
                <w:lang w:val="it-IT" w:eastAsia="it-IT"/>
              </w:rPr>
              <w:t>4</w:t>
            </w:r>
            <w:r>
              <w:rPr>
                <w:rFonts w:cs="Arial"/>
                <w:color w:val="000000"/>
                <w:szCs w:val="18"/>
                <w:lang w:val="it-IT" w:eastAsia="it-IT"/>
              </w:rPr>
              <w:t>.</w:t>
            </w:r>
            <w:r w:rsidRPr="0078193B">
              <w:rPr>
                <w:rFonts w:cs="Arial"/>
                <w:color w:val="000000"/>
                <w:szCs w:val="18"/>
                <w:lang w:val="it-IT" w:eastAsia="it-IT"/>
              </w:rPr>
              <w:t>30</w:t>
            </w:r>
            <w:r>
              <w:rPr>
                <w:rFonts w:cs="Arial"/>
                <w:color w:val="000000"/>
                <w:szCs w:val="18"/>
                <w:lang w:val="it-IT" w:eastAsia="it-IT"/>
              </w:rPr>
              <w:t xml:space="preserve"> </w:t>
            </w:r>
            <w:r w:rsidRPr="00562771">
              <w:rPr>
                <w:rFonts w:cs="Arial"/>
                <w:lang w:val="it-IT"/>
              </w:rPr>
              <w:t>±</w:t>
            </w:r>
            <w:r>
              <w:rPr>
                <w:rFonts w:cs="Arial"/>
                <w:lang w:val="it-IT"/>
              </w:rPr>
              <w:t xml:space="preserve"> 0.72</w:t>
            </w:r>
          </w:p>
        </w:tc>
      </w:tr>
      <w:tr w:rsidR="006275C3" w:rsidRPr="00753A5E" w14:paraId="60DA6A49" w14:textId="77777777" w:rsidTr="006275C3">
        <w:tc>
          <w:tcPr>
            <w:tcW w:w="1417" w:type="dxa"/>
            <w:vAlign w:val="center"/>
          </w:tcPr>
          <w:p w14:paraId="5751E6F3" w14:textId="41C0F561" w:rsidR="006275C3" w:rsidRPr="0078193B" w:rsidRDefault="006275C3" w:rsidP="006275C3">
            <w:pPr>
              <w:pStyle w:val="CETBodytext"/>
              <w:ind w:right="-1"/>
              <w:rPr>
                <w:rFonts w:cs="Arial"/>
                <w:color w:val="000000"/>
                <w:szCs w:val="18"/>
                <w:lang w:val="it-IT" w:eastAsia="it-IT"/>
              </w:rPr>
            </w:pPr>
            <w:r w:rsidRPr="00753A5E">
              <w:rPr>
                <w:rFonts w:cs="Arial"/>
                <w:szCs w:val="18"/>
                <w:lang w:val="en-GB"/>
              </w:rPr>
              <w:t>1440</w:t>
            </w:r>
          </w:p>
        </w:tc>
        <w:tc>
          <w:tcPr>
            <w:tcW w:w="1417" w:type="dxa"/>
          </w:tcPr>
          <w:p w14:paraId="107E32C9" w14:textId="67DBC857" w:rsidR="006275C3" w:rsidRPr="00753A5E" w:rsidRDefault="006275C3" w:rsidP="006275C3">
            <w:pPr>
              <w:pStyle w:val="CETBodytext"/>
              <w:ind w:right="-1"/>
              <w:rPr>
                <w:rFonts w:cs="Arial"/>
                <w:szCs w:val="18"/>
                <w:lang w:val="en-GB"/>
              </w:rPr>
            </w:pPr>
            <w:r w:rsidRPr="0078193B">
              <w:rPr>
                <w:rFonts w:cs="Arial"/>
                <w:color w:val="000000"/>
                <w:szCs w:val="18"/>
                <w:lang w:val="it-IT" w:eastAsia="it-IT"/>
              </w:rPr>
              <w:t>1</w:t>
            </w:r>
            <w:r>
              <w:rPr>
                <w:rFonts w:cs="Arial"/>
                <w:color w:val="000000"/>
                <w:szCs w:val="18"/>
                <w:lang w:val="it-IT" w:eastAsia="it-IT"/>
              </w:rPr>
              <w:t>.</w:t>
            </w:r>
            <w:r w:rsidRPr="0078193B">
              <w:rPr>
                <w:rFonts w:cs="Arial"/>
                <w:color w:val="000000"/>
                <w:szCs w:val="18"/>
                <w:lang w:val="it-IT" w:eastAsia="it-IT"/>
              </w:rPr>
              <w:t>27</w:t>
            </w:r>
            <w:r>
              <w:rPr>
                <w:rFonts w:cs="Arial"/>
                <w:color w:val="000000"/>
                <w:szCs w:val="18"/>
                <w:lang w:val="it-IT" w:eastAsia="it-IT"/>
              </w:rPr>
              <w:t xml:space="preserve"> </w:t>
            </w:r>
            <w:r w:rsidRPr="00562771">
              <w:rPr>
                <w:rFonts w:cs="Arial"/>
                <w:lang w:val="it-IT"/>
              </w:rPr>
              <w:t>±</w:t>
            </w:r>
            <w:r>
              <w:rPr>
                <w:rFonts w:cs="Arial"/>
                <w:lang w:val="it-IT"/>
              </w:rPr>
              <w:t xml:space="preserve"> 0.10</w:t>
            </w:r>
          </w:p>
        </w:tc>
        <w:tc>
          <w:tcPr>
            <w:tcW w:w="1417" w:type="dxa"/>
          </w:tcPr>
          <w:p w14:paraId="546F1093" w14:textId="485D8874" w:rsidR="006275C3" w:rsidRPr="00753A5E" w:rsidRDefault="006275C3" w:rsidP="006275C3">
            <w:pPr>
              <w:pStyle w:val="CETBodytext"/>
              <w:ind w:right="-1"/>
              <w:rPr>
                <w:rFonts w:cs="Arial"/>
                <w:szCs w:val="18"/>
                <w:lang w:val="en-GB"/>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72</w:t>
            </w:r>
            <w:r>
              <w:rPr>
                <w:rFonts w:cs="Arial"/>
                <w:color w:val="000000"/>
                <w:szCs w:val="18"/>
                <w:lang w:val="it-IT" w:eastAsia="it-IT"/>
              </w:rPr>
              <w:t xml:space="preserve"> </w:t>
            </w:r>
            <w:r w:rsidRPr="00562771">
              <w:rPr>
                <w:rFonts w:cs="Arial"/>
                <w:lang w:val="it-IT"/>
              </w:rPr>
              <w:t>±</w:t>
            </w:r>
            <w:r>
              <w:rPr>
                <w:rFonts w:cs="Arial"/>
                <w:lang w:val="it-IT"/>
              </w:rPr>
              <w:t xml:space="preserve"> 0.07</w:t>
            </w:r>
          </w:p>
        </w:tc>
        <w:tc>
          <w:tcPr>
            <w:tcW w:w="1417" w:type="dxa"/>
            <w:vAlign w:val="bottom"/>
          </w:tcPr>
          <w:p w14:paraId="34ED6E2C" w14:textId="5A0E176F" w:rsidR="006275C3" w:rsidRPr="00753A5E" w:rsidRDefault="006275C3" w:rsidP="006275C3">
            <w:pPr>
              <w:pStyle w:val="CETBodytext"/>
              <w:ind w:right="-1"/>
              <w:rPr>
                <w:rFonts w:cs="Arial"/>
                <w:szCs w:val="18"/>
                <w:lang w:val="it-IT"/>
              </w:rPr>
            </w:pPr>
            <w:r w:rsidRPr="0078193B">
              <w:rPr>
                <w:rFonts w:cs="Arial"/>
                <w:color w:val="000000"/>
                <w:szCs w:val="18"/>
                <w:lang w:val="it-IT" w:eastAsia="it-IT"/>
              </w:rPr>
              <w:t>0</w:t>
            </w:r>
            <w:r>
              <w:rPr>
                <w:rFonts w:cs="Arial"/>
                <w:color w:val="000000"/>
                <w:szCs w:val="18"/>
                <w:lang w:val="it-IT" w:eastAsia="it-IT"/>
              </w:rPr>
              <w:t>.</w:t>
            </w:r>
            <w:r w:rsidRPr="0078193B">
              <w:rPr>
                <w:rFonts w:cs="Arial"/>
                <w:color w:val="000000"/>
                <w:szCs w:val="18"/>
                <w:lang w:val="it-IT" w:eastAsia="it-IT"/>
              </w:rPr>
              <w:t>83</w:t>
            </w:r>
            <w:r>
              <w:rPr>
                <w:rFonts w:cs="Arial"/>
                <w:color w:val="000000"/>
                <w:szCs w:val="18"/>
                <w:lang w:val="it-IT" w:eastAsia="it-IT"/>
              </w:rPr>
              <w:t xml:space="preserve"> </w:t>
            </w:r>
            <w:r w:rsidRPr="00562771">
              <w:rPr>
                <w:rFonts w:cs="Arial"/>
                <w:lang w:val="it-IT"/>
              </w:rPr>
              <w:t>±</w:t>
            </w:r>
            <w:r>
              <w:rPr>
                <w:rFonts w:cs="Arial"/>
                <w:lang w:val="it-IT"/>
              </w:rPr>
              <w:t xml:space="preserve"> 0.12</w:t>
            </w:r>
          </w:p>
        </w:tc>
        <w:tc>
          <w:tcPr>
            <w:tcW w:w="1417" w:type="dxa"/>
            <w:vAlign w:val="bottom"/>
          </w:tcPr>
          <w:p w14:paraId="43DBC326" w14:textId="5D123704" w:rsidR="006275C3" w:rsidRPr="00753A5E" w:rsidRDefault="006275C3" w:rsidP="006275C3">
            <w:pPr>
              <w:pStyle w:val="CETBodytext"/>
              <w:ind w:right="-1"/>
              <w:rPr>
                <w:rFonts w:cs="Arial"/>
                <w:szCs w:val="18"/>
                <w:lang w:val="en-GB"/>
              </w:rPr>
            </w:pPr>
            <w:r w:rsidRPr="0078193B">
              <w:rPr>
                <w:rFonts w:cs="Arial"/>
                <w:color w:val="000000"/>
                <w:szCs w:val="18"/>
                <w:lang w:val="it-IT" w:eastAsia="it-IT"/>
              </w:rPr>
              <w:t>4</w:t>
            </w:r>
            <w:r>
              <w:rPr>
                <w:rFonts w:cs="Arial"/>
                <w:color w:val="000000"/>
                <w:szCs w:val="18"/>
                <w:lang w:val="it-IT" w:eastAsia="it-IT"/>
              </w:rPr>
              <w:t>.</w:t>
            </w:r>
            <w:r w:rsidRPr="0078193B">
              <w:rPr>
                <w:rFonts w:cs="Arial"/>
                <w:color w:val="000000"/>
                <w:szCs w:val="18"/>
                <w:lang w:val="it-IT" w:eastAsia="it-IT"/>
              </w:rPr>
              <w:t>24</w:t>
            </w:r>
            <w:r>
              <w:rPr>
                <w:rFonts w:cs="Arial"/>
                <w:color w:val="000000"/>
                <w:szCs w:val="18"/>
                <w:lang w:val="it-IT" w:eastAsia="it-IT"/>
              </w:rPr>
              <w:t xml:space="preserve"> </w:t>
            </w:r>
            <w:r w:rsidRPr="00562771">
              <w:rPr>
                <w:rFonts w:cs="Arial"/>
                <w:lang w:val="it-IT"/>
              </w:rPr>
              <w:t>±</w:t>
            </w:r>
            <w:r>
              <w:rPr>
                <w:rFonts w:cs="Arial"/>
                <w:lang w:val="it-IT"/>
              </w:rPr>
              <w:t xml:space="preserve"> 0.74</w:t>
            </w:r>
          </w:p>
        </w:tc>
      </w:tr>
    </w:tbl>
    <w:p w14:paraId="5EA6BB53" w14:textId="62DAEEC5" w:rsidR="00753A5E" w:rsidRDefault="00753A5E" w:rsidP="00600535">
      <w:pPr>
        <w:pStyle w:val="CETBodytext"/>
      </w:pPr>
    </w:p>
    <w:p w14:paraId="0406E9B7" w14:textId="54A77889" w:rsidR="00E62CE5" w:rsidRDefault="00F739BE" w:rsidP="00600535">
      <w:pPr>
        <w:pStyle w:val="CETBodytext"/>
      </w:pPr>
      <w:r>
        <w:t>V</w:t>
      </w:r>
      <w:r w:rsidR="002037B5" w:rsidRPr="002037B5">
        <w:t xml:space="preserve">isual observations (Figure </w:t>
      </w:r>
      <w:r w:rsidR="002037B5">
        <w:t>3)</w:t>
      </w:r>
      <w:r>
        <w:t xml:space="preserve"> </w:t>
      </w:r>
      <w:r w:rsidR="009E43DF">
        <w:t xml:space="preserve">clearly show </w:t>
      </w:r>
      <w:r w:rsidR="002037B5" w:rsidRPr="002037B5">
        <w:t xml:space="preserve">how the MB solution became </w:t>
      </w:r>
      <w:r w:rsidR="009E43DF">
        <w:t xml:space="preserve">fainter </w:t>
      </w:r>
      <w:r w:rsidR="002037B5" w:rsidRPr="002037B5">
        <w:t xml:space="preserve">after the </w:t>
      </w:r>
      <w:r w:rsidR="009E43DF">
        <w:t xml:space="preserve">adsorption of the dye </w:t>
      </w:r>
      <w:r w:rsidR="002037B5" w:rsidRPr="002037B5">
        <w:t>with</w:t>
      </w:r>
      <w:r w:rsidR="00BF1A2E">
        <w:t xml:space="preserve"> the</w:t>
      </w:r>
      <w:r w:rsidR="002037B5" w:rsidRPr="002037B5">
        <w:t xml:space="preserve"> aerogels.</w:t>
      </w:r>
    </w:p>
    <w:p w14:paraId="59A9E27D" w14:textId="58177C9C" w:rsidR="002037B5" w:rsidRDefault="002037B5" w:rsidP="002037B5">
      <w:pPr>
        <w:pStyle w:val="CETBodytext"/>
        <w:jc w:val="center"/>
      </w:pPr>
      <w:r>
        <w:rPr>
          <w:noProof/>
        </w:rPr>
        <w:drawing>
          <wp:inline distT="0" distB="0" distL="0" distR="0" wp14:anchorId="70AA0E03" wp14:editId="323F12DD">
            <wp:extent cx="2209800" cy="1202159"/>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3522" cy="1225944"/>
                    </a:xfrm>
                    <a:prstGeom prst="rect">
                      <a:avLst/>
                    </a:prstGeom>
                    <a:noFill/>
                  </pic:spPr>
                </pic:pic>
              </a:graphicData>
            </a:graphic>
          </wp:inline>
        </w:drawing>
      </w:r>
    </w:p>
    <w:p w14:paraId="00EE2A35" w14:textId="490AC631" w:rsidR="002037B5" w:rsidRDefault="002037B5" w:rsidP="002037B5">
      <w:pPr>
        <w:pStyle w:val="CETCaption"/>
        <w:rPr>
          <w:rStyle w:val="CETCaptionCarattere"/>
          <w:i/>
        </w:rPr>
      </w:pPr>
      <w:r w:rsidRPr="00BD077D">
        <w:rPr>
          <w:rStyle w:val="CETCaptionCarattere"/>
          <w:i/>
        </w:rPr>
        <w:t xml:space="preserve">Figure </w:t>
      </w:r>
      <w:r>
        <w:rPr>
          <w:rStyle w:val="CETCaptionCarattere"/>
          <w:i/>
        </w:rPr>
        <w:t>3</w:t>
      </w:r>
      <w:r w:rsidRPr="00BD077D">
        <w:rPr>
          <w:rStyle w:val="CETCaptionCarattere"/>
          <w:i/>
        </w:rPr>
        <w:t xml:space="preserve">: </w:t>
      </w:r>
      <w:r w:rsidRPr="002037B5">
        <w:rPr>
          <w:rStyle w:val="CETCaptionCarattere"/>
          <w:i/>
        </w:rPr>
        <w:t xml:space="preserve">Digital photos of </w:t>
      </w:r>
      <w:r>
        <w:rPr>
          <w:rStyle w:val="CETCaptionCarattere"/>
          <w:i/>
        </w:rPr>
        <w:t>MB solution</w:t>
      </w:r>
      <w:r w:rsidRPr="002037B5">
        <w:rPr>
          <w:rStyle w:val="CETCaptionCarattere"/>
          <w:i/>
        </w:rPr>
        <w:t xml:space="preserve"> before and after </w:t>
      </w:r>
      <w:r>
        <w:rPr>
          <w:rStyle w:val="CETCaptionCarattere"/>
          <w:i/>
        </w:rPr>
        <w:t>adsorption test with (L)CNFs-based aerogels</w:t>
      </w:r>
    </w:p>
    <w:p w14:paraId="1A93006C" w14:textId="37ADB336" w:rsidR="00F739BE" w:rsidRDefault="00F739BE" w:rsidP="002037B5">
      <w:pPr>
        <w:pStyle w:val="CETCaption"/>
        <w:rPr>
          <w:i w:val="0"/>
          <w:iCs/>
        </w:rPr>
      </w:pPr>
      <w:r w:rsidRPr="00F739BE">
        <w:rPr>
          <w:i w:val="0"/>
          <w:iCs/>
        </w:rPr>
        <w:t>Th</w:t>
      </w:r>
      <w:r>
        <w:rPr>
          <w:i w:val="0"/>
          <w:iCs/>
        </w:rPr>
        <w:t>ese</w:t>
      </w:r>
      <w:r w:rsidRPr="00F739BE">
        <w:rPr>
          <w:i w:val="0"/>
          <w:iCs/>
        </w:rPr>
        <w:t xml:space="preserve"> result</w:t>
      </w:r>
      <w:r>
        <w:rPr>
          <w:i w:val="0"/>
          <w:iCs/>
        </w:rPr>
        <w:t>s</w:t>
      </w:r>
      <w:r w:rsidRPr="00F739BE">
        <w:rPr>
          <w:i w:val="0"/>
          <w:iCs/>
        </w:rPr>
        <w:t xml:space="preserve"> show that </w:t>
      </w:r>
      <w:r>
        <w:rPr>
          <w:i w:val="0"/>
          <w:iCs/>
        </w:rPr>
        <w:t xml:space="preserve">nanocellulose from barley straw is a </w:t>
      </w:r>
      <w:r w:rsidR="00411821">
        <w:rPr>
          <w:i w:val="0"/>
          <w:iCs/>
        </w:rPr>
        <w:t>promising material</w:t>
      </w:r>
      <w:r>
        <w:rPr>
          <w:i w:val="0"/>
          <w:iCs/>
        </w:rPr>
        <w:t xml:space="preserve"> for </w:t>
      </w:r>
      <w:r w:rsidRPr="00611A24">
        <w:rPr>
          <w:i w:val="0"/>
          <w:iCs/>
        </w:rPr>
        <w:t xml:space="preserve">wastewater treatment due to </w:t>
      </w:r>
      <w:r w:rsidR="00523B8A">
        <w:rPr>
          <w:i w:val="0"/>
          <w:iCs/>
        </w:rPr>
        <w:t xml:space="preserve">the </w:t>
      </w:r>
      <w:r w:rsidR="00523B8A" w:rsidRPr="00F739BE">
        <w:rPr>
          <w:i w:val="0"/>
          <w:iCs/>
        </w:rPr>
        <w:t>electrostatic interaction</w:t>
      </w:r>
      <w:r w:rsidR="00523B8A">
        <w:rPr>
          <w:i w:val="0"/>
          <w:iCs/>
        </w:rPr>
        <w:t>s and</w:t>
      </w:r>
      <w:r w:rsidR="00523B8A" w:rsidRPr="00611A24">
        <w:rPr>
          <w:i w:val="0"/>
          <w:iCs/>
        </w:rPr>
        <w:t xml:space="preserve"> </w:t>
      </w:r>
      <w:r w:rsidRPr="00611A24">
        <w:rPr>
          <w:i w:val="0"/>
          <w:iCs/>
        </w:rPr>
        <w:t xml:space="preserve">the availability of </w:t>
      </w:r>
      <w:proofErr w:type="gramStart"/>
      <w:r w:rsidRPr="00611A24">
        <w:rPr>
          <w:i w:val="0"/>
          <w:iCs/>
        </w:rPr>
        <w:t>a large number of</w:t>
      </w:r>
      <w:proofErr w:type="gramEnd"/>
      <w:r w:rsidRPr="00611A24">
        <w:rPr>
          <w:i w:val="0"/>
          <w:iCs/>
        </w:rPr>
        <w:t xml:space="preserve"> </w:t>
      </w:r>
      <w:r>
        <w:rPr>
          <w:i w:val="0"/>
          <w:iCs/>
        </w:rPr>
        <w:t>-</w:t>
      </w:r>
      <w:r w:rsidRPr="00611A24">
        <w:rPr>
          <w:i w:val="0"/>
          <w:iCs/>
        </w:rPr>
        <w:t xml:space="preserve">OH groups </w:t>
      </w:r>
      <w:r w:rsidR="00523B8A">
        <w:rPr>
          <w:i w:val="0"/>
          <w:iCs/>
        </w:rPr>
        <w:t xml:space="preserve">on the aerogels surface </w:t>
      </w:r>
      <w:r w:rsidRPr="00611A24">
        <w:rPr>
          <w:i w:val="0"/>
          <w:iCs/>
        </w:rPr>
        <w:t xml:space="preserve">able to adsorb the </w:t>
      </w:r>
      <w:r>
        <w:rPr>
          <w:i w:val="0"/>
          <w:iCs/>
        </w:rPr>
        <w:t xml:space="preserve">cationic </w:t>
      </w:r>
      <w:r w:rsidRPr="00611A24">
        <w:rPr>
          <w:i w:val="0"/>
          <w:iCs/>
        </w:rPr>
        <w:t xml:space="preserve">dyes </w:t>
      </w:r>
      <w:r w:rsidRPr="00F739BE">
        <w:rPr>
          <w:i w:val="0"/>
          <w:iCs/>
        </w:rPr>
        <w:t>within a short time</w:t>
      </w:r>
      <w:r>
        <w:rPr>
          <w:i w:val="0"/>
          <w:iCs/>
        </w:rPr>
        <w:t xml:space="preserve">, </w:t>
      </w:r>
      <w:r w:rsidRPr="00F739BE">
        <w:rPr>
          <w:i w:val="0"/>
          <w:iCs/>
        </w:rPr>
        <w:t>as mentioned in many previous literature studies</w:t>
      </w:r>
      <w:r>
        <w:rPr>
          <w:i w:val="0"/>
          <w:iCs/>
        </w:rPr>
        <w:t xml:space="preserve"> (</w:t>
      </w:r>
      <w:r w:rsidRPr="00F739BE">
        <w:rPr>
          <w:i w:val="0"/>
          <w:iCs/>
        </w:rPr>
        <w:t>Wang</w:t>
      </w:r>
      <w:r>
        <w:rPr>
          <w:i w:val="0"/>
          <w:iCs/>
        </w:rPr>
        <w:t xml:space="preserve"> et al., 2021; </w:t>
      </w:r>
      <w:r w:rsidR="00411821" w:rsidRPr="00411821">
        <w:rPr>
          <w:i w:val="0"/>
          <w:iCs/>
        </w:rPr>
        <w:t>Zhu</w:t>
      </w:r>
      <w:r w:rsidR="00411821">
        <w:rPr>
          <w:i w:val="0"/>
          <w:iCs/>
        </w:rPr>
        <w:t xml:space="preserve"> et al. 2021).</w:t>
      </w:r>
      <w:r w:rsidR="0026108E">
        <w:rPr>
          <w:i w:val="0"/>
          <w:iCs/>
        </w:rPr>
        <w:t xml:space="preserve"> I</w:t>
      </w:r>
      <w:r w:rsidR="0026108E" w:rsidRPr="0026108E">
        <w:rPr>
          <w:i w:val="0"/>
          <w:iCs/>
        </w:rPr>
        <w:t xml:space="preserve">n this study, this is the </w:t>
      </w:r>
      <w:proofErr w:type="gramStart"/>
      <w:r w:rsidR="0026108E" w:rsidRPr="0026108E">
        <w:rPr>
          <w:i w:val="0"/>
          <w:iCs/>
        </w:rPr>
        <w:t>first time</w:t>
      </w:r>
      <w:proofErr w:type="gramEnd"/>
      <w:r w:rsidR="0026108E" w:rsidRPr="0026108E">
        <w:rPr>
          <w:i w:val="0"/>
          <w:iCs/>
        </w:rPr>
        <w:t xml:space="preserve"> aerogel</w:t>
      </w:r>
      <w:r w:rsidR="0026108E">
        <w:rPr>
          <w:i w:val="0"/>
          <w:iCs/>
        </w:rPr>
        <w:t>s</w:t>
      </w:r>
      <w:r w:rsidR="0026108E" w:rsidRPr="0026108E">
        <w:rPr>
          <w:i w:val="0"/>
          <w:iCs/>
        </w:rPr>
        <w:t xml:space="preserve"> </w:t>
      </w:r>
      <w:r w:rsidR="0026108E">
        <w:rPr>
          <w:i w:val="0"/>
          <w:iCs/>
        </w:rPr>
        <w:t>have been</w:t>
      </w:r>
      <w:r w:rsidR="0026108E" w:rsidRPr="0026108E">
        <w:rPr>
          <w:i w:val="0"/>
          <w:iCs/>
        </w:rPr>
        <w:t xml:space="preserve"> prepared </w:t>
      </w:r>
      <w:r w:rsidR="00523B8A">
        <w:rPr>
          <w:i w:val="0"/>
          <w:iCs/>
        </w:rPr>
        <w:t>with</w:t>
      </w:r>
      <w:r w:rsidR="0026108E" w:rsidRPr="0026108E">
        <w:rPr>
          <w:i w:val="0"/>
          <w:iCs/>
        </w:rPr>
        <w:t xml:space="preserve"> </w:t>
      </w:r>
      <w:r w:rsidR="00523B8A">
        <w:rPr>
          <w:i w:val="0"/>
          <w:iCs/>
        </w:rPr>
        <w:t xml:space="preserve">CNFs </w:t>
      </w:r>
      <w:r w:rsidR="0026108E" w:rsidRPr="0026108E">
        <w:rPr>
          <w:i w:val="0"/>
          <w:iCs/>
        </w:rPr>
        <w:t xml:space="preserve">extracted from the </w:t>
      </w:r>
      <w:r w:rsidR="0026108E">
        <w:rPr>
          <w:i w:val="0"/>
          <w:iCs/>
        </w:rPr>
        <w:t>barley straw</w:t>
      </w:r>
      <w:r w:rsidR="0026108E" w:rsidRPr="0026108E">
        <w:rPr>
          <w:i w:val="0"/>
          <w:iCs/>
        </w:rPr>
        <w:t>, which is a by</w:t>
      </w:r>
      <w:r w:rsidR="0026108E">
        <w:rPr>
          <w:i w:val="0"/>
          <w:iCs/>
        </w:rPr>
        <w:t>-</w:t>
      </w:r>
      <w:r w:rsidR="0026108E" w:rsidRPr="0026108E">
        <w:rPr>
          <w:i w:val="0"/>
          <w:iCs/>
        </w:rPr>
        <w:t>pro</w:t>
      </w:r>
      <w:r w:rsidR="0026108E">
        <w:rPr>
          <w:i w:val="0"/>
          <w:iCs/>
        </w:rPr>
        <w:t>ducts and exhibited</w:t>
      </w:r>
      <w:r w:rsidR="0026108E" w:rsidRPr="0026108E">
        <w:rPr>
          <w:i w:val="0"/>
          <w:iCs/>
        </w:rPr>
        <w:t xml:space="preserve"> a significant removal of MB through the blue </w:t>
      </w:r>
      <w:proofErr w:type="spellStart"/>
      <w:r w:rsidR="0026108E" w:rsidRPr="0026108E">
        <w:rPr>
          <w:i w:val="0"/>
          <w:iCs/>
        </w:rPr>
        <w:t>color</w:t>
      </w:r>
      <w:proofErr w:type="spellEnd"/>
      <w:r w:rsidR="0026108E" w:rsidRPr="0026108E">
        <w:rPr>
          <w:i w:val="0"/>
          <w:iCs/>
        </w:rPr>
        <w:t xml:space="preserve"> of MB fading with contact time</w:t>
      </w:r>
      <w:r w:rsidR="0026108E">
        <w:rPr>
          <w:i w:val="0"/>
          <w:iCs/>
        </w:rPr>
        <w:t xml:space="preserve"> without the usage of </w:t>
      </w:r>
      <w:r w:rsidR="0026108E" w:rsidRPr="0026108E">
        <w:rPr>
          <w:i w:val="0"/>
          <w:iCs/>
        </w:rPr>
        <w:t>reinforcement</w:t>
      </w:r>
      <w:r w:rsidR="0026108E">
        <w:rPr>
          <w:i w:val="0"/>
          <w:iCs/>
        </w:rPr>
        <w:t xml:space="preserve"> materials, such as </w:t>
      </w:r>
      <w:r w:rsidR="0026108E" w:rsidRPr="0026108E">
        <w:rPr>
          <w:i w:val="0"/>
          <w:iCs/>
        </w:rPr>
        <w:t>graphene oxide</w:t>
      </w:r>
      <w:r w:rsidR="0026108E">
        <w:rPr>
          <w:i w:val="0"/>
          <w:iCs/>
        </w:rPr>
        <w:t>.</w:t>
      </w:r>
    </w:p>
    <w:p w14:paraId="68D26B83" w14:textId="77777777" w:rsidR="00600535" w:rsidRPr="00B57B36" w:rsidRDefault="00600535" w:rsidP="00600535">
      <w:pPr>
        <w:pStyle w:val="CETHeading1"/>
        <w:rPr>
          <w:lang w:val="en-GB"/>
        </w:rPr>
      </w:pPr>
      <w:r w:rsidRPr="00B57B36">
        <w:rPr>
          <w:lang w:val="en-GB"/>
        </w:rPr>
        <w:t>Conclusions</w:t>
      </w:r>
    </w:p>
    <w:p w14:paraId="20DA96F7" w14:textId="758DF184" w:rsidR="00154FF6" w:rsidRPr="00154FF6" w:rsidRDefault="001A7925" w:rsidP="00154FF6">
      <w:pPr>
        <w:pStyle w:val="CETBodytext"/>
        <w:rPr>
          <w:lang w:val="en-GB"/>
        </w:rPr>
      </w:pPr>
      <w:r w:rsidRPr="001A7925">
        <w:rPr>
          <w:lang w:val="en-GB"/>
        </w:rPr>
        <w:t xml:space="preserve">The usage of barley straw, which is agricultural by-products and </w:t>
      </w:r>
      <w:proofErr w:type="gramStart"/>
      <w:r w:rsidRPr="001A7925">
        <w:rPr>
          <w:lang w:val="en-GB"/>
        </w:rPr>
        <w:t>actually waste</w:t>
      </w:r>
      <w:proofErr w:type="gramEnd"/>
      <w:r w:rsidRPr="001A7925">
        <w:rPr>
          <w:lang w:val="en-GB"/>
        </w:rPr>
        <w:t xml:space="preserve"> materials, for nanocellulose isolation provides a way to produce a new generation and highly versatile nanomaterial resolving at the same time the environmental issues. NC possesses a wide range of favourable properties</w:t>
      </w:r>
      <w:r>
        <w:rPr>
          <w:lang w:val="en-GB"/>
        </w:rPr>
        <w:t>,</w:t>
      </w:r>
      <w:r w:rsidRPr="001A7925">
        <w:rPr>
          <w:lang w:val="en-GB"/>
        </w:rPr>
        <w:t xml:space="preserve"> such as high mechanical strength</w:t>
      </w:r>
      <w:r>
        <w:rPr>
          <w:lang w:val="en-GB"/>
        </w:rPr>
        <w:t>, which</w:t>
      </w:r>
      <w:r w:rsidRPr="001A7925">
        <w:rPr>
          <w:lang w:val="en-GB"/>
        </w:rPr>
        <w:t xml:space="preserve"> make </w:t>
      </w:r>
      <w:r>
        <w:rPr>
          <w:lang w:val="en-GB"/>
        </w:rPr>
        <w:t>it</w:t>
      </w:r>
      <w:r w:rsidRPr="001A7925">
        <w:rPr>
          <w:lang w:val="en-GB"/>
        </w:rPr>
        <w:t xml:space="preserve"> a suitable and promising low-cost material for use as a membrane material in industrial applications such as in wastewater treatment systems. </w:t>
      </w:r>
      <w:r w:rsidR="002503A7">
        <w:rPr>
          <w:lang w:val="en-GB"/>
        </w:rPr>
        <w:t>The results showed that t</w:t>
      </w:r>
      <w:r w:rsidRPr="001A7925">
        <w:rPr>
          <w:lang w:val="en-GB"/>
        </w:rPr>
        <w:t xml:space="preserve">he stable and porous three-dimensional network structure of (L)CNFs-based aerogels </w:t>
      </w:r>
      <w:r w:rsidR="002503A7">
        <w:rPr>
          <w:lang w:val="en-GB"/>
        </w:rPr>
        <w:t>have</w:t>
      </w:r>
      <w:r w:rsidRPr="001A7925">
        <w:rPr>
          <w:lang w:val="en-GB"/>
        </w:rPr>
        <w:t xml:space="preserve"> a high adsorption capacity for MB cationic dye, giving it an advantage over other engineering materials used in water treatment systems, for example polymeric materials. Further, more studies need to be done in the frame of adsorption to evaluate the adsorption capacity of these adsorbent materials reuse for subsequent cycles.</w:t>
      </w:r>
    </w:p>
    <w:p w14:paraId="459D05E6" w14:textId="50E835FE" w:rsidR="00600535" w:rsidRPr="00B57B36" w:rsidRDefault="00600535" w:rsidP="00600535">
      <w:pPr>
        <w:pStyle w:val="CETAcknowledgementstitle"/>
      </w:pPr>
      <w:r w:rsidRPr="00B57B36">
        <w:t>Acknowledgments</w:t>
      </w:r>
    </w:p>
    <w:p w14:paraId="33F8138F" w14:textId="17E6EFF6" w:rsidR="00600535" w:rsidRPr="00B57B36" w:rsidRDefault="00B205BD" w:rsidP="00600535">
      <w:pPr>
        <w:pStyle w:val="CETBodytext"/>
        <w:rPr>
          <w:lang w:val="en-GB"/>
        </w:rPr>
      </w:pPr>
      <w:r w:rsidRPr="00B205BD">
        <w:rPr>
          <w:lang w:val="en-GB"/>
        </w:rPr>
        <w:t xml:space="preserve">This research was funded by the Italian Ministry of University (MUR) call PRIN 2017 with the project 2017LEPH3M “PANACEA: A technology </w:t>
      </w:r>
      <w:proofErr w:type="spellStart"/>
      <w:r w:rsidRPr="00B205BD">
        <w:rPr>
          <w:lang w:val="en-GB"/>
        </w:rPr>
        <w:t>PlAtform</w:t>
      </w:r>
      <w:proofErr w:type="spellEnd"/>
      <w:r w:rsidRPr="00B205BD">
        <w:rPr>
          <w:lang w:val="en-GB"/>
        </w:rPr>
        <w:t xml:space="preserve"> for the sustainable recovery and advanced use of </w:t>
      </w:r>
      <w:proofErr w:type="spellStart"/>
      <w:r w:rsidRPr="00B205BD">
        <w:rPr>
          <w:lang w:val="en-GB"/>
        </w:rPr>
        <w:t>NAnostructured</w:t>
      </w:r>
      <w:proofErr w:type="spellEnd"/>
      <w:r w:rsidRPr="00B205BD">
        <w:rPr>
          <w:lang w:val="en-GB"/>
        </w:rPr>
        <w:t xml:space="preserve"> </w:t>
      </w:r>
      <w:proofErr w:type="spellStart"/>
      <w:r w:rsidRPr="00B205BD">
        <w:rPr>
          <w:lang w:val="en-GB"/>
        </w:rPr>
        <w:t>CEllulose</w:t>
      </w:r>
      <w:proofErr w:type="spellEnd"/>
      <w:r w:rsidRPr="00B205BD">
        <w:rPr>
          <w:lang w:val="en-GB"/>
        </w:rPr>
        <w:t xml:space="preserve"> from </w:t>
      </w:r>
      <w:proofErr w:type="spellStart"/>
      <w:r w:rsidRPr="00B205BD">
        <w:rPr>
          <w:lang w:val="en-GB"/>
        </w:rPr>
        <w:t>Agro</w:t>
      </w:r>
      <w:proofErr w:type="spellEnd"/>
      <w:r w:rsidRPr="00B205BD">
        <w:rPr>
          <w:lang w:val="en-GB"/>
        </w:rPr>
        <w:t>-food residues”.</w:t>
      </w:r>
    </w:p>
    <w:p w14:paraId="4F1327F8" w14:textId="07C28C29" w:rsidR="00600535" w:rsidRDefault="00600535" w:rsidP="00600535">
      <w:pPr>
        <w:pStyle w:val="CETReference"/>
      </w:pPr>
      <w:r w:rsidRPr="00B57B36">
        <w:t>References</w:t>
      </w:r>
    </w:p>
    <w:p w14:paraId="78FA7750" w14:textId="3F399721" w:rsidR="00D235C1" w:rsidRPr="00D235C1" w:rsidRDefault="00D235C1" w:rsidP="009C63C4">
      <w:pPr>
        <w:pStyle w:val="CETReference"/>
        <w:spacing w:after="60"/>
        <w:jc w:val="both"/>
        <w:rPr>
          <w:b w:val="0"/>
          <w:bCs/>
        </w:rPr>
      </w:pPr>
      <w:r w:rsidRPr="00D235C1">
        <w:rPr>
          <w:b w:val="0"/>
          <w:bCs/>
        </w:rPr>
        <w:t xml:space="preserve">Araújo D.J.C., Machado A.V., </w:t>
      </w:r>
      <w:proofErr w:type="spellStart"/>
      <w:r w:rsidRPr="00D235C1">
        <w:rPr>
          <w:b w:val="0"/>
          <w:bCs/>
        </w:rPr>
        <w:t>Vilarinho</w:t>
      </w:r>
      <w:proofErr w:type="spellEnd"/>
      <w:r w:rsidRPr="00D235C1">
        <w:rPr>
          <w:b w:val="0"/>
          <w:bCs/>
        </w:rPr>
        <w:t xml:space="preserve"> M.C.L.G.</w:t>
      </w:r>
      <w:r>
        <w:rPr>
          <w:b w:val="0"/>
          <w:bCs/>
        </w:rPr>
        <w:t xml:space="preserve">, </w:t>
      </w:r>
      <w:r w:rsidRPr="00D235C1">
        <w:rPr>
          <w:b w:val="0"/>
          <w:bCs/>
        </w:rPr>
        <w:t>2019</w:t>
      </w:r>
      <w:r>
        <w:rPr>
          <w:b w:val="0"/>
          <w:bCs/>
        </w:rPr>
        <w:t>,</w:t>
      </w:r>
      <w:r w:rsidRPr="00D235C1">
        <w:rPr>
          <w:b w:val="0"/>
          <w:bCs/>
        </w:rPr>
        <w:t xml:space="preserve"> Availability and Suitability of </w:t>
      </w:r>
      <w:proofErr w:type="spellStart"/>
      <w:r w:rsidRPr="00D235C1">
        <w:rPr>
          <w:b w:val="0"/>
          <w:bCs/>
        </w:rPr>
        <w:t>Agroindustrial</w:t>
      </w:r>
      <w:proofErr w:type="spellEnd"/>
      <w:r w:rsidRPr="00D235C1">
        <w:rPr>
          <w:b w:val="0"/>
          <w:bCs/>
        </w:rPr>
        <w:t xml:space="preserve"> Residues as Feedstock for Cellulose-Based Materials: Brazil Case Study</w:t>
      </w:r>
      <w:r>
        <w:rPr>
          <w:b w:val="0"/>
          <w:bCs/>
        </w:rPr>
        <w:t xml:space="preserve">, </w:t>
      </w:r>
      <w:r w:rsidRPr="00D235C1">
        <w:rPr>
          <w:b w:val="0"/>
          <w:bCs/>
        </w:rPr>
        <w:t xml:space="preserve">Waste and Biomass </w:t>
      </w:r>
      <w:proofErr w:type="spellStart"/>
      <w:r w:rsidRPr="00D235C1">
        <w:rPr>
          <w:b w:val="0"/>
          <w:bCs/>
        </w:rPr>
        <w:t>Valorization</w:t>
      </w:r>
      <w:proofErr w:type="spellEnd"/>
      <w:r>
        <w:rPr>
          <w:b w:val="0"/>
          <w:bCs/>
        </w:rPr>
        <w:t xml:space="preserve">, </w:t>
      </w:r>
      <w:r w:rsidRPr="00D235C1">
        <w:rPr>
          <w:b w:val="0"/>
          <w:bCs/>
        </w:rPr>
        <w:t>10, 2863</w:t>
      </w:r>
      <w:r>
        <w:rPr>
          <w:b w:val="0"/>
          <w:bCs/>
        </w:rPr>
        <w:t>-</w:t>
      </w:r>
      <w:r w:rsidRPr="00D235C1">
        <w:rPr>
          <w:b w:val="0"/>
          <w:bCs/>
        </w:rPr>
        <w:t>2878</w:t>
      </w:r>
      <w:r>
        <w:rPr>
          <w:b w:val="0"/>
          <w:bCs/>
        </w:rPr>
        <w:t>.</w:t>
      </w:r>
    </w:p>
    <w:p w14:paraId="3BC02FE0" w14:textId="43369678" w:rsidR="00D235C1" w:rsidRPr="00D235C1" w:rsidRDefault="00D235C1" w:rsidP="009C63C4">
      <w:pPr>
        <w:pStyle w:val="CETReference"/>
        <w:spacing w:before="0" w:after="60"/>
        <w:jc w:val="both"/>
        <w:rPr>
          <w:b w:val="0"/>
          <w:bCs/>
        </w:rPr>
      </w:pPr>
      <w:proofErr w:type="spellStart"/>
      <w:r w:rsidRPr="00D235C1">
        <w:rPr>
          <w:b w:val="0"/>
          <w:bCs/>
        </w:rPr>
        <w:t>Besbes</w:t>
      </w:r>
      <w:proofErr w:type="spellEnd"/>
      <w:r w:rsidRPr="00D235C1">
        <w:rPr>
          <w:b w:val="0"/>
          <w:bCs/>
        </w:rPr>
        <w:t xml:space="preserve"> I., </w:t>
      </w:r>
      <w:proofErr w:type="spellStart"/>
      <w:r w:rsidRPr="00D235C1">
        <w:rPr>
          <w:b w:val="0"/>
          <w:bCs/>
        </w:rPr>
        <w:t>Alila</w:t>
      </w:r>
      <w:proofErr w:type="spellEnd"/>
      <w:r w:rsidRPr="00D235C1">
        <w:rPr>
          <w:b w:val="0"/>
          <w:bCs/>
        </w:rPr>
        <w:t xml:space="preserve"> S., </w:t>
      </w:r>
      <w:proofErr w:type="spellStart"/>
      <w:r w:rsidRPr="00D235C1">
        <w:rPr>
          <w:b w:val="0"/>
          <w:bCs/>
        </w:rPr>
        <w:t>Boufi</w:t>
      </w:r>
      <w:proofErr w:type="spellEnd"/>
      <w:r>
        <w:rPr>
          <w:b w:val="0"/>
          <w:bCs/>
        </w:rPr>
        <w:t xml:space="preserve"> </w:t>
      </w:r>
      <w:r w:rsidRPr="00D235C1">
        <w:rPr>
          <w:b w:val="0"/>
          <w:bCs/>
        </w:rPr>
        <w:t>S.</w:t>
      </w:r>
      <w:r>
        <w:rPr>
          <w:b w:val="0"/>
          <w:bCs/>
        </w:rPr>
        <w:t xml:space="preserve">, </w:t>
      </w:r>
      <w:r w:rsidRPr="00D235C1">
        <w:rPr>
          <w:b w:val="0"/>
          <w:bCs/>
        </w:rPr>
        <w:t>2011</w:t>
      </w:r>
      <w:r>
        <w:rPr>
          <w:b w:val="0"/>
          <w:bCs/>
        </w:rPr>
        <w:t>,</w:t>
      </w:r>
      <w:r w:rsidRPr="00D235C1">
        <w:rPr>
          <w:b w:val="0"/>
          <w:bCs/>
        </w:rPr>
        <w:t xml:space="preserve"> </w:t>
      </w:r>
      <w:proofErr w:type="spellStart"/>
      <w:r w:rsidRPr="00D235C1">
        <w:rPr>
          <w:b w:val="0"/>
          <w:bCs/>
        </w:rPr>
        <w:t>Nanofibrillated</w:t>
      </w:r>
      <w:proofErr w:type="spellEnd"/>
      <w:r w:rsidRPr="00D235C1">
        <w:rPr>
          <w:b w:val="0"/>
          <w:bCs/>
        </w:rPr>
        <w:t xml:space="preserve"> cellulose from TEMPO-oxidized eucalyptus fibres: Effect of the carboxyl content</w:t>
      </w:r>
      <w:r>
        <w:rPr>
          <w:b w:val="0"/>
          <w:bCs/>
        </w:rPr>
        <w:t>,</w:t>
      </w:r>
      <w:r w:rsidRPr="00D235C1">
        <w:rPr>
          <w:b w:val="0"/>
          <w:bCs/>
        </w:rPr>
        <w:t xml:space="preserve"> Carbohydrate Polymers</w:t>
      </w:r>
      <w:r>
        <w:rPr>
          <w:b w:val="0"/>
          <w:bCs/>
        </w:rPr>
        <w:t xml:space="preserve">, 84, </w:t>
      </w:r>
      <w:r w:rsidRPr="00D235C1">
        <w:rPr>
          <w:b w:val="0"/>
          <w:bCs/>
        </w:rPr>
        <w:t>975-983</w:t>
      </w:r>
      <w:r>
        <w:rPr>
          <w:b w:val="0"/>
          <w:bCs/>
        </w:rPr>
        <w:t>.</w:t>
      </w:r>
    </w:p>
    <w:p w14:paraId="56F968EF" w14:textId="736B085F" w:rsidR="00D235C1" w:rsidRPr="00523B8A" w:rsidRDefault="00D235C1" w:rsidP="009C63C4">
      <w:pPr>
        <w:pStyle w:val="CETReference"/>
        <w:spacing w:before="0" w:after="60"/>
        <w:jc w:val="both"/>
        <w:rPr>
          <w:b w:val="0"/>
          <w:bCs/>
        </w:rPr>
      </w:pPr>
      <w:r w:rsidRPr="00D235C1">
        <w:rPr>
          <w:b w:val="0"/>
          <w:bCs/>
        </w:rPr>
        <w:t>Collazo-</w:t>
      </w:r>
      <w:proofErr w:type="spellStart"/>
      <w:r w:rsidRPr="00D235C1">
        <w:rPr>
          <w:b w:val="0"/>
          <w:bCs/>
        </w:rPr>
        <w:t>Bigliardi</w:t>
      </w:r>
      <w:proofErr w:type="spellEnd"/>
      <w:r w:rsidRPr="00D235C1">
        <w:rPr>
          <w:b w:val="0"/>
          <w:bCs/>
        </w:rPr>
        <w:t xml:space="preserve"> S., Ortega-Toro R., </w:t>
      </w:r>
      <w:proofErr w:type="spellStart"/>
      <w:r w:rsidRPr="00D235C1">
        <w:rPr>
          <w:b w:val="0"/>
          <w:bCs/>
        </w:rPr>
        <w:t>Chiralt</w:t>
      </w:r>
      <w:proofErr w:type="spellEnd"/>
      <w:r w:rsidRPr="00D235C1">
        <w:rPr>
          <w:b w:val="0"/>
          <w:bCs/>
        </w:rPr>
        <w:t xml:space="preserve"> </w:t>
      </w:r>
      <w:proofErr w:type="spellStart"/>
      <w:r w:rsidRPr="00D235C1">
        <w:rPr>
          <w:b w:val="0"/>
          <w:bCs/>
        </w:rPr>
        <w:t>Boix</w:t>
      </w:r>
      <w:proofErr w:type="spellEnd"/>
      <w:r w:rsidRPr="00D235C1">
        <w:rPr>
          <w:b w:val="0"/>
          <w:bCs/>
        </w:rPr>
        <w:t xml:space="preserve"> A., 2018, Isolation and characterisation of microcrystalline cellulose and cellulose nanocrystals from coffee husk and comparative study with rice husk. </w:t>
      </w:r>
      <w:r w:rsidRPr="00523B8A">
        <w:rPr>
          <w:b w:val="0"/>
          <w:bCs/>
        </w:rPr>
        <w:t>Carbohydrate Polymers, 191, 205-215.</w:t>
      </w:r>
    </w:p>
    <w:p w14:paraId="6653B116" w14:textId="7B27A77D" w:rsidR="00D235C1" w:rsidRPr="00D235C1" w:rsidRDefault="00D235C1" w:rsidP="009C63C4">
      <w:pPr>
        <w:pStyle w:val="CETReference"/>
        <w:spacing w:before="0" w:after="60"/>
        <w:jc w:val="both"/>
        <w:rPr>
          <w:b w:val="0"/>
          <w:bCs/>
        </w:rPr>
      </w:pPr>
      <w:r w:rsidRPr="0018408A">
        <w:rPr>
          <w:b w:val="0"/>
          <w:bCs/>
        </w:rPr>
        <w:t>Espinos</w:t>
      </w:r>
      <w:r w:rsidR="0018408A" w:rsidRPr="0018408A">
        <w:rPr>
          <w:b w:val="0"/>
          <w:bCs/>
        </w:rPr>
        <w:t>a</w:t>
      </w:r>
      <w:r w:rsidRPr="0018408A">
        <w:rPr>
          <w:b w:val="0"/>
          <w:bCs/>
        </w:rPr>
        <w:t xml:space="preserve"> E</w:t>
      </w:r>
      <w:r w:rsidR="0018408A" w:rsidRPr="0018408A">
        <w:rPr>
          <w:b w:val="0"/>
          <w:bCs/>
        </w:rPr>
        <w:t>.,</w:t>
      </w:r>
      <w:r w:rsidRPr="0018408A">
        <w:rPr>
          <w:b w:val="0"/>
          <w:bCs/>
        </w:rPr>
        <w:t xml:space="preserve"> </w:t>
      </w:r>
      <w:proofErr w:type="spellStart"/>
      <w:r w:rsidRPr="0018408A">
        <w:rPr>
          <w:b w:val="0"/>
          <w:bCs/>
        </w:rPr>
        <w:t>Rol</w:t>
      </w:r>
      <w:proofErr w:type="spellEnd"/>
      <w:r w:rsidRPr="0018408A">
        <w:rPr>
          <w:b w:val="0"/>
          <w:bCs/>
        </w:rPr>
        <w:t xml:space="preserve"> F., Bras J.</w:t>
      </w:r>
      <w:r w:rsidR="0018408A" w:rsidRPr="0018408A">
        <w:rPr>
          <w:b w:val="0"/>
          <w:bCs/>
        </w:rPr>
        <w:t xml:space="preserve">, </w:t>
      </w:r>
      <w:r w:rsidRPr="0018408A">
        <w:rPr>
          <w:b w:val="0"/>
          <w:bCs/>
        </w:rPr>
        <w:t>Rodríguez A.</w:t>
      </w:r>
      <w:r w:rsidR="0018408A" w:rsidRPr="0018408A">
        <w:rPr>
          <w:b w:val="0"/>
          <w:bCs/>
        </w:rPr>
        <w:t xml:space="preserve">, </w:t>
      </w:r>
      <w:r w:rsidRPr="0018408A">
        <w:rPr>
          <w:b w:val="0"/>
          <w:bCs/>
        </w:rPr>
        <w:t>2019</w:t>
      </w:r>
      <w:r w:rsidR="0018408A">
        <w:rPr>
          <w:b w:val="0"/>
          <w:bCs/>
        </w:rPr>
        <w:t>,</w:t>
      </w:r>
      <w:r w:rsidRPr="0018408A">
        <w:rPr>
          <w:b w:val="0"/>
          <w:bCs/>
        </w:rPr>
        <w:t xml:space="preserve"> </w:t>
      </w:r>
      <w:r w:rsidRPr="00D235C1">
        <w:rPr>
          <w:b w:val="0"/>
          <w:bCs/>
        </w:rPr>
        <w:t>Production of lignocellulose nanofibers from wheat straw by different fibrillation methods. Comparison of its viability in cardboard recycling process</w:t>
      </w:r>
      <w:r w:rsidR="0018408A">
        <w:rPr>
          <w:b w:val="0"/>
          <w:bCs/>
        </w:rPr>
        <w:t>,</w:t>
      </w:r>
      <w:r w:rsidRPr="00D235C1">
        <w:rPr>
          <w:b w:val="0"/>
          <w:bCs/>
        </w:rPr>
        <w:t xml:space="preserve"> Journal of Cleaner Production</w:t>
      </w:r>
      <w:r w:rsidR="0018408A">
        <w:rPr>
          <w:b w:val="0"/>
          <w:bCs/>
        </w:rPr>
        <w:t xml:space="preserve">, 239, </w:t>
      </w:r>
      <w:r w:rsidR="0018408A" w:rsidRPr="0018408A">
        <w:rPr>
          <w:b w:val="0"/>
          <w:bCs/>
        </w:rPr>
        <w:t>118083</w:t>
      </w:r>
      <w:r w:rsidR="0018408A">
        <w:rPr>
          <w:b w:val="0"/>
          <w:bCs/>
        </w:rPr>
        <w:t>.</w:t>
      </w:r>
    </w:p>
    <w:p w14:paraId="33BD8DCE" w14:textId="7D272B2F" w:rsidR="00D235C1" w:rsidRPr="00D235C1" w:rsidRDefault="0018408A" w:rsidP="009C63C4">
      <w:pPr>
        <w:pStyle w:val="CETReference"/>
        <w:spacing w:before="0" w:after="60"/>
        <w:jc w:val="both"/>
        <w:rPr>
          <w:b w:val="0"/>
          <w:bCs/>
        </w:rPr>
      </w:pPr>
      <w:r w:rsidRPr="0018408A">
        <w:rPr>
          <w:b w:val="0"/>
          <w:bCs/>
        </w:rPr>
        <w:t xml:space="preserve">Espinosa E., </w:t>
      </w:r>
      <w:r w:rsidR="00D235C1" w:rsidRPr="0018408A">
        <w:rPr>
          <w:b w:val="0"/>
          <w:bCs/>
        </w:rPr>
        <w:t>Sánchez R., González Z., Domínguez-Robles J., Ferrari B., Rodríguez A.</w:t>
      </w:r>
      <w:r w:rsidRPr="0018408A">
        <w:rPr>
          <w:b w:val="0"/>
          <w:bCs/>
        </w:rPr>
        <w:t xml:space="preserve">, </w:t>
      </w:r>
      <w:r w:rsidR="00D235C1" w:rsidRPr="0018408A">
        <w:rPr>
          <w:b w:val="0"/>
          <w:bCs/>
        </w:rPr>
        <w:t>2017</w:t>
      </w:r>
      <w:r w:rsidRPr="0018408A">
        <w:rPr>
          <w:b w:val="0"/>
          <w:bCs/>
        </w:rPr>
        <w:t>,</w:t>
      </w:r>
      <w:r w:rsidR="00D235C1" w:rsidRPr="0018408A">
        <w:rPr>
          <w:b w:val="0"/>
          <w:bCs/>
        </w:rPr>
        <w:t xml:space="preserve"> </w:t>
      </w:r>
      <w:r w:rsidR="00D235C1" w:rsidRPr="00D235C1">
        <w:rPr>
          <w:b w:val="0"/>
          <w:bCs/>
        </w:rPr>
        <w:t xml:space="preserve">Rapidly growing vegetables as new sources for lignocellulose </w:t>
      </w:r>
      <w:proofErr w:type="spellStart"/>
      <w:r w:rsidR="00D235C1" w:rsidRPr="00D235C1">
        <w:rPr>
          <w:b w:val="0"/>
          <w:bCs/>
        </w:rPr>
        <w:t>nanofibre</w:t>
      </w:r>
      <w:proofErr w:type="spellEnd"/>
      <w:r w:rsidR="00D235C1" w:rsidRPr="00D235C1">
        <w:rPr>
          <w:b w:val="0"/>
          <w:bCs/>
        </w:rPr>
        <w:t xml:space="preserve"> isolation: Physicochemical, </w:t>
      </w:r>
      <w:proofErr w:type="gramStart"/>
      <w:r w:rsidR="00D235C1" w:rsidRPr="00D235C1">
        <w:rPr>
          <w:b w:val="0"/>
          <w:bCs/>
        </w:rPr>
        <w:t>thermal</w:t>
      </w:r>
      <w:proofErr w:type="gramEnd"/>
      <w:r w:rsidR="00D235C1" w:rsidRPr="00D235C1">
        <w:rPr>
          <w:b w:val="0"/>
          <w:bCs/>
        </w:rPr>
        <w:t xml:space="preserve"> and rheological characterisation</w:t>
      </w:r>
      <w:r>
        <w:rPr>
          <w:b w:val="0"/>
          <w:bCs/>
        </w:rPr>
        <w:t>,</w:t>
      </w:r>
      <w:r w:rsidR="00D235C1" w:rsidRPr="00D235C1">
        <w:rPr>
          <w:b w:val="0"/>
          <w:bCs/>
        </w:rPr>
        <w:t xml:space="preserve"> Carbohydrate Polymers</w:t>
      </w:r>
      <w:r>
        <w:rPr>
          <w:b w:val="0"/>
          <w:bCs/>
        </w:rPr>
        <w:t xml:space="preserve">, 175, </w:t>
      </w:r>
      <w:r w:rsidRPr="0018408A">
        <w:rPr>
          <w:b w:val="0"/>
          <w:bCs/>
        </w:rPr>
        <w:t>27-37</w:t>
      </w:r>
      <w:r>
        <w:rPr>
          <w:b w:val="0"/>
          <w:bCs/>
        </w:rPr>
        <w:t>.</w:t>
      </w:r>
    </w:p>
    <w:p w14:paraId="09F5F87F" w14:textId="51E09423" w:rsidR="00D235C1" w:rsidRPr="00D235C1" w:rsidRDefault="00D235C1" w:rsidP="009C63C4">
      <w:pPr>
        <w:pStyle w:val="CETReference"/>
        <w:spacing w:before="0" w:after="60"/>
        <w:jc w:val="both"/>
        <w:rPr>
          <w:b w:val="0"/>
          <w:bCs/>
        </w:rPr>
      </w:pPr>
      <w:proofErr w:type="spellStart"/>
      <w:r w:rsidRPr="00D235C1">
        <w:rPr>
          <w:b w:val="0"/>
          <w:bCs/>
        </w:rPr>
        <w:t>Kubovský</w:t>
      </w:r>
      <w:proofErr w:type="spellEnd"/>
      <w:r w:rsidRPr="00D235C1">
        <w:rPr>
          <w:b w:val="0"/>
          <w:bCs/>
        </w:rPr>
        <w:t xml:space="preserve"> I., </w:t>
      </w:r>
      <w:proofErr w:type="spellStart"/>
      <w:r w:rsidRPr="00D235C1">
        <w:rPr>
          <w:b w:val="0"/>
          <w:bCs/>
        </w:rPr>
        <w:t>Kačíková</w:t>
      </w:r>
      <w:proofErr w:type="spellEnd"/>
      <w:r w:rsidRPr="00D235C1">
        <w:rPr>
          <w:b w:val="0"/>
          <w:bCs/>
        </w:rPr>
        <w:t xml:space="preserve"> D., </w:t>
      </w:r>
      <w:proofErr w:type="spellStart"/>
      <w:r w:rsidRPr="00D235C1">
        <w:rPr>
          <w:b w:val="0"/>
          <w:bCs/>
        </w:rPr>
        <w:t>Kačík</w:t>
      </w:r>
      <w:proofErr w:type="spellEnd"/>
      <w:r w:rsidRPr="00D235C1">
        <w:rPr>
          <w:b w:val="0"/>
          <w:bCs/>
        </w:rPr>
        <w:t xml:space="preserve"> F.</w:t>
      </w:r>
      <w:r w:rsidR="0018408A">
        <w:rPr>
          <w:b w:val="0"/>
          <w:bCs/>
        </w:rPr>
        <w:t xml:space="preserve">, </w:t>
      </w:r>
      <w:r w:rsidRPr="00D235C1">
        <w:rPr>
          <w:b w:val="0"/>
          <w:bCs/>
        </w:rPr>
        <w:t>2020</w:t>
      </w:r>
      <w:r w:rsidR="0018408A">
        <w:rPr>
          <w:b w:val="0"/>
          <w:bCs/>
        </w:rPr>
        <w:t>,</w:t>
      </w:r>
      <w:r w:rsidRPr="00D235C1">
        <w:rPr>
          <w:b w:val="0"/>
          <w:bCs/>
        </w:rPr>
        <w:t xml:space="preserve"> Structural Changes of Oak Wood Main Components Caused by Thermal Modification</w:t>
      </w:r>
      <w:r w:rsidR="0018408A">
        <w:rPr>
          <w:b w:val="0"/>
          <w:bCs/>
        </w:rPr>
        <w:t>,</w:t>
      </w:r>
      <w:r w:rsidRPr="00D235C1">
        <w:rPr>
          <w:b w:val="0"/>
          <w:bCs/>
        </w:rPr>
        <w:t xml:space="preserve"> Polymers, 12, 485.</w:t>
      </w:r>
    </w:p>
    <w:p w14:paraId="3C4ADFC0" w14:textId="007E6B52" w:rsidR="00D235C1" w:rsidRPr="00D235C1" w:rsidRDefault="00D235C1" w:rsidP="009C63C4">
      <w:pPr>
        <w:pStyle w:val="CETReference"/>
        <w:spacing w:before="0" w:after="60"/>
        <w:jc w:val="both"/>
        <w:rPr>
          <w:b w:val="0"/>
          <w:bCs/>
        </w:rPr>
      </w:pPr>
      <w:r w:rsidRPr="00D235C1">
        <w:rPr>
          <w:b w:val="0"/>
          <w:bCs/>
        </w:rPr>
        <w:t xml:space="preserve">Ling Z., Tang W., </w:t>
      </w:r>
      <w:proofErr w:type="spellStart"/>
      <w:r w:rsidRPr="00D235C1">
        <w:rPr>
          <w:b w:val="0"/>
          <w:bCs/>
        </w:rPr>
        <w:t>Su</w:t>
      </w:r>
      <w:proofErr w:type="spellEnd"/>
      <w:r w:rsidRPr="00D235C1">
        <w:rPr>
          <w:b w:val="0"/>
          <w:bCs/>
        </w:rPr>
        <w:t xml:space="preserve"> Y., Shao L., Wang</w:t>
      </w:r>
      <w:r w:rsidR="0018408A">
        <w:rPr>
          <w:b w:val="0"/>
          <w:bCs/>
        </w:rPr>
        <w:t xml:space="preserve"> </w:t>
      </w:r>
      <w:r w:rsidRPr="00D235C1">
        <w:rPr>
          <w:b w:val="0"/>
          <w:bCs/>
        </w:rPr>
        <w:t>P., Ren Y., Huang C.</w:t>
      </w:r>
      <w:r w:rsidR="0018408A">
        <w:rPr>
          <w:b w:val="0"/>
          <w:bCs/>
        </w:rPr>
        <w:t xml:space="preserve">, </w:t>
      </w:r>
      <w:r w:rsidRPr="00D235C1">
        <w:rPr>
          <w:b w:val="0"/>
          <w:bCs/>
        </w:rPr>
        <w:t>2021</w:t>
      </w:r>
      <w:r w:rsidR="0018408A">
        <w:rPr>
          <w:b w:val="0"/>
          <w:bCs/>
        </w:rPr>
        <w:t xml:space="preserve">, </w:t>
      </w:r>
      <w:r w:rsidRPr="00D235C1">
        <w:rPr>
          <w:b w:val="0"/>
          <w:bCs/>
        </w:rPr>
        <w:t xml:space="preserve">Promoting enzymatic hydrolysis of aggregated bamboo crystalline cellulose by fast microwave-assisted dicarboxylic acid deep eutectic solvents </w:t>
      </w:r>
      <w:proofErr w:type="spellStart"/>
      <w:r w:rsidRPr="00D235C1">
        <w:rPr>
          <w:b w:val="0"/>
          <w:bCs/>
        </w:rPr>
        <w:t>pretreatments</w:t>
      </w:r>
      <w:proofErr w:type="spellEnd"/>
      <w:r w:rsidR="0018408A">
        <w:rPr>
          <w:b w:val="0"/>
          <w:bCs/>
        </w:rPr>
        <w:t>,</w:t>
      </w:r>
      <w:r w:rsidRPr="00D235C1">
        <w:rPr>
          <w:b w:val="0"/>
          <w:bCs/>
        </w:rPr>
        <w:t xml:space="preserve"> Bioresource Technology, 333, 125122.</w:t>
      </w:r>
    </w:p>
    <w:p w14:paraId="1F76AAC2" w14:textId="58ECF0AB" w:rsidR="00D235C1" w:rsidRPr="0018408A" w:rsidRDefault="00D235C1" w:rsidP="009C63C4">
      <w:pPr>
        <w:pStyle w:val="CETReference"/>
        <w:spacing w:before="0" w:after="60"/>
        <w:jc w:val="both"/>
        <w:rPr>
          <w:b w:val="0"/>
          <w:bCs/>
        </w:rPr>
      </w:pPr>
      <w:proofErr w:type="spellStart"/>
      <w:r w:rsidRPr="0018408A">
        <w:rPr>
          <w:b w:val="0"/>
          <w:bCs/>
        </w:rPr>
        <w:t>Morcillo</w:t>
      </w:r>
      <w:proofErr w:type="spellEnd"/>
      <w:r w:rsidRPr="0018408A">
        <w:rPr>
          <w:b w:val="0"/>
          <w:bCs/>
        </w:rPr>
        <w:t xml:space="preserve">-Martín R., Espinosa E., </w:t>
      </w:r>
      <w:proofErr w:type="spellStart"/>
      <w:r w:rsidRPr="0018408A">
        <w:rPr>
          <w:b w:val="0"/>
          <w:bCs/>
        </w:rPr>
        <w:t>Rabasco-Vílchez</w:t>
      </w:r>
      <w:proofErr w:type="spellEnd"/>
      <w:r w:rsidRPr="0018408A">
        <w:rPr>
          <w:b w:val="0"/>
          <w:bCs/>
        </w:rPr>
        <w:t xml:space="preserve"> L., Sanchez L. M., de </w:t>
      </w:r>
      <w:proofErr w:type="spellStart"/>
      <w:r w:rsidRPr="0018408A">
        <w:rPr>
          <w:b w:val="0"/>
          <w:bCs/>
        </w:rPr>
        <w:t>Haro</w:t>
      </w:r>
      <w:proofErr w:type="spellEnd"/>
      <w:r w:rsidRPr="0018408A">
        <w:rPr>
          <w:b w:val="0"/>
          <w:bCs/>
        </w:rPr>
        <w:t xml:space="preserve"> J., Rodríguez A.</w:t>
      </w:r>
      <w:r w:rsidR="0018408A" w:rsidRPr="0018408A">
        <w:rPr>
          <w:b w:val="0"/>
          <w:bCs/>
        </w:rPr>
        <w:t xml:space="preserve">, </w:t>
      </w:r>
      <w:r w:rsidRPr="0018408A">
        <w:rPr>
          <w:b w:val="0"/>
          <w:bCs/>
        </w:rPr>
        <w:t>2022</w:t>
      </w:r>
      <w:r w:rsidR="0018408A" w:rsidRPr="0018408A">
        <w:rPr>
          <w:b w:val="0"/>
          <w:bCs/>
        </w:rPr>
        <w:t xml:space="preserve">, </w:t>
      </w:r>
      <w:r w:rsidRPr="00D235C1">
        <w:rPr>
          <w:b w:val="0"/>
          <w:bCs/>
        </w:rPr>
        <w:t>Cellulose Nanofiber-Based Aerogels from Wheat Straw: Influence of Surface Load and Lignin Content on Their Properties and Dye Removal Capacity</w:t>
      </w:r>
      <w:r w:rsidR="0018408A">
        <w:rPr>
          <w:b w:val="0"/>
          <w:bCs/>
        </w:rPr>
        <w:t>,</w:t>
      </w:r>
      <w:r w:rsidRPr="00D235C1">
        <w:rPr>
          <w:b w:val="0"/>
          <w:bCs/>
        </w:rPr>
        <w:t xml:space="preserve"> </w:t>
      </w:r>
      <w:r w:rsidRPr="0018408A">
        <w:rPr>
          <w:b w:val="0"/>
          <w:bCs/>
        </w:rPr>
        <w:t>Biomolecule</w:t>
      </w:r>
      <w:r w:rsidR="0018408A">
        <w:rPr>
          <w:b w:val="0"/>
          <w:bCs/>
        </w:rPr>
        <w:t>, 12, 232.</w:t>
      </w:r>
    </w:p>
    <w:p w14:paraId="26819E6F" w14:textId="0E6BA53B" w:rsidR="00D235C1" w:rsidRPr="0018408A" w:rsidRDefault="00D235C1" w:rsidP="009C63C4">
      <w:pPr>
        <w:pStyle w:val="CETReference"/>
        <w:spacing w:before="0" w:after="60"/>
        <w:jc w:val="both"/>
        <w:rPr>
          <w:b w:val="0"/>
          <w:bCs/>
        </w:rPr>
      </w:pPr>
      <w:r w:rsidRPr="0018408A">
        <w:rPr>
          <w:b w:val="0"/>
          <w:bCs/>
        </w:rPr>
        <w:t xml:space="preserve">Pirozzi A., Capuano R., Avolio R., Gentile G., Ferrari G., </w:t>
      </w:r>
      <w:proofErr w:type="spellStart"/>
      <w:r w:rsidRPr="0018408A">
        <w:rPr>
          <w:b w:val="0"/>
          <w:bCs/>
        </w:rPr>
        <w:t>Donsì</w:t>
      </w:r>
      <w:proofErr w:type="spellEnd"/>
      <w:r w:rsidRPr="0018408A">
        <w:rPr>
          <w:b w:val="0"/>
          <w:bCs/>
        </w:rPr>
        <w:t xml:space="preserve"> F.</w:t>
      </w:r>
      <w:r w:rsidR="0018408A" w:rsidRPr="0018408A">
        <w:rPr>
          <w:b w:val="0"/>
          <w:bCs/>
        </w:rPr>
        <w:t xml:space="preserve">, </w:t>
      </w:r>
      <w:r w:rsidRPr="0018408A">
        <w:rPr>
          <w:b w:val="0"/>
          <w:bCs/>
        </w:rPr>
        <w:t>2021</w:t>
      </w:r>
      <w:r w:rsidR="0018408A" w:rsidRPr="0018408A">
        <w:rPr>
          <w:b w:val="0"/>
          <w:bCs/>
        </w:rPr>
        <w:t>,</w:t>
      </w:r>
      <w:r w:rsidRPr="0018408A">
        <w:rPr>
          <w:b w:val="0"/>
          <w:bCs/>
        </w:rPr>
        <w:t xml:space="preserve"> </w:t>
      </w:r>
      <w:r w:rsidRPr="00D235C1">
        <w:rPr>
          <w:b w:val="0"/>
          <w:bCs/>
        </w:rPr>
        <w:t xml:space="preserve">O/W </w:t>
      </w:r>
      <w:proofErr w:type="spellStart"/>
      <w:r w:rsidRPr="00D235C1">
        <w:rPr>
          <w:b w:val="0"/>
          <w:bCs/>
        </w:rPr>
        <w:t>pickering</w:t>
      </w:r>
      <w:proofErr w:type="spellEnd"/>
      <w:r w:rsidRPr="00D235C1">
        <w:rPr>
          <w:b w:val="0"/>
          <w:bCs/>
        </w:rPr>
        <w:t xml:space="preserve"> emulsions stabilized with cellulose nanofibrils produced through different mechanical treatments</w:t>
      </w:r>
      <w:r w:rsidR="0018408A">
        <w:rPr>
          <w:b w:val="0"/>
          <w:bCs/>
        </w:rPr>
        <w:t>,</w:t>
      </w:r>
      <w:r w:rsidRPr="00D235C1">
        <w:rPr>
          <w:b w:val="0"/>
          <w:bCs/>
        </w:rPr>
        <w:t xml:space="preserve"> </w:t>
      </w:r>
      <w:r w:rsidRPr="0018408A">
        <w:rPr>
          <w:b w:val="0"/>
          <w:bCs/>
        </w:rPr>
        <w:t>Foods</w:t>
      </w:r>
      <w:r w:rsidR="0018408A">
        <w:rPr>
          <w:b w:val="0"/>
          <w:bCs/>
        </w:rPr>
        <w:t>, 10, 1886.</w:t>
      </w:r>
    </w:p>
    <w:p w14:paraId="55A7C684" w14:textId="66B81C7D" w:rsidR="00D235C1" w:rsidRPr="00D235C1" w:rsidRDefault="00D235C1" w:rsidP="009C63C4">
      <w:pPr>
        <w:pStyle w:val="CETReference"/>
        <w:spacing w:before="0" w:after="60"/>
        <w:jc w:val="both"/>
        <w:rPr>
          <w:b w:val="0"/>
          <w:bCs/>
        </w:rPr>
      </w:pPr>
      <w:r w:rsidRPr="0018408A">
        <w:rPr>
          <w:b w:val="0"/>
          <w:bCs/>
        </w:rPr>
        <w:t xml:space="preserve">Pirozzi A., Ferrari G., &amp; </w:t>
      </w:r>
      <w:proofErr w:type="spellStart"/>
      <w:r w:rsidRPr="0018408A">
        <w:rPr>
          <w:b w:val="0"/>
          <w:bCs/>
        </w:rPr>
        <w:t>Donsì</w:t>
      </w:r>
      <w:proofErr w:type="spellEnd"/>
      <w:r w:rsidRPr="0018408A">
        <w:rPr>
          <w:b w:val="0"/>
          <w:bCs/>
        </w:rPr>
        <w:t xml:space="preserve"> F.</w:t>
      </w:r>
      <w:r w:rsidR="0018408A">
        <w:rPr>
          <w:b w:val="0"/>
          <w:bCs/>
        </w:rPr>
        <w:t xml:space="preserve">, </w:t>
      </w:r>
      <w:r w:rsidRPr="0018408A">
        <w:rPr>
          <w:b w:val="0"/>
          <w:bCs/>
        </w:rPr>
        <w:t>2022</w:t>
      </w:r>
      <w:r w:rsidR="0018408A" w:rsidRPr="0018408A">
        <w:rPr>
          <w:b w:val="0"/>
          <w:bCs/>
        </w:rPr>
        <w:t>,</w:t>
      </w:r>
      <w:r w:rsidRPr="0018408A">
        <w:rPr>
          <w:b w:val="0"/>
          <w:bCs/>
        </w:rPr>
        <w:t xml:space="preserve"> </w:t>
      </w:r>
      <w:r w:rsidRPr="00D235C1">
        <w:rPr>
          <w:b w:val="0"/>
          <w:bCs/>
        </w:rPr>
        <w:t xml:space="preserve">Cellulose Isolation from Tomato Pomace </w:t>
      </w:r>
      <w:proofErr w:type="spellStart"/>
      <w:r w:rsidRPr="00D235C1">
        <w:rPr>
          <w:b w:val="0"/>
          <w:bCs/>
        </w:rPr>
        <w:t>Pretreated</w:t>
      </w:r>
      <w:proofErr w:type="spellEnd"/>
      <w:r w:rsidRPr="00D235C1">
        <w:rPr>
          <w:b w:val="0"/>
          <w:bCs/>
        </w:rPr>
        <w:t xml:space="preserve"> by High-Pressure Homogenization</w:t>
      </w:r>
      <w:r w:rsidR="0018408A">
        <w:rPr>
          <w:b w:val="0"/>
          <w:bCs/>
        </w:rPr>
        <w:t>,</w:t>
      </w:r>
      <w:r w:rsidRPr="00D235C1">
        <w:rPr>
          <w:b w:val="0"/>
          <w:bCs/>
        </w:rPr>
        <w:t xml:space="preserve"> Foods, 11, 266.</w:t>
      </w:r>
    </w:p>
    <w:p w14:paraId="207786A7" w14:textId="4A5C5BBC" w:rsidR="00D235C1" w:rsidRPr="00D235C1" w:rsidRDefault="00D235C1" w:rsidP="009C63C4">
      <w:pPr>
        <w:pStyle w:val="CETReference"/>
        <w:spacing w:before="0" w:after="60"/>
        <w:jc w:val="both"/>
        <w:rPr>
          <w:b w:val="0"/>
          <w:bCs/>
        </w:rPr>
      </w:pPr>
      <w:proofErr w:type="spellStart"/>
      <w:r w:rsidRPr="0018408A">
        <w:rPr>
          <w:b w:val="0"/>
          <w:bCs/>
        </w:rPr>
        <w:t>Poletto</w:t>
      </w:r>
      <w:proofErr w:type="spellEnd"/>
      <w:r w:rsidRPr="0018408A">
        <w:rPr>
          <w:b w:val="0"/>
          <w:bCs/>
        </w:rPr>
        <w:t xml:space="preserve"> M., </w:t>
      </w:r>
      <w:proofErr w:type="spellStart"/>
      <w:r w:rsidRPr="0018408A">
        <w:rPr>
          <w:b w:val="0"/>
          <w:bCs/>
        </w:rPr>
        <w:t>Ornaghi</w:t>
      </w:r>
      <w:proofErr w:type="spellEnd"/>
      <w:r w:rsidRPr="0018408A">
        <w:rPr>
          <w:b w:val="0"/>
          <w:bCs/>
        </w:rPr>
        <w:t xml:space="preserve"> Júnior H. L., </w:t>
      </w:r>
      <w:proofErr w:type="spellStart"/>
      <w:r w:rsidRPr="0018408A">
        <w:rPr>
          <w:b w:val="0"/>
          <w:bCs/>
        </w:rPr>
        <w:t>Zattera</w:t>
      </w:r>
      <w:proofErr w:type="spellEnd"/>
      <w:r w:rsidRPr="0018408A">
        <w:rPr>
          <w:b w:val="0"/>
          <w:bCs/>
        </w:rPr>
        <w:t xml:space="preserve"> A. J.</w:t>
      </w:r>
      <w:r w:rsidR="0018408A">
        <w:rPr>
          <w:b w:val="0"/>
          <w:bCs/>
        </w:rPr>
        <w:t xml:space="preserve">, </w:t>
      </w:r>
      <w:r w:rsidRPr="0018408A">
        <w:rPr>
          <w:b w:val="0"/>
          <w:bCs/>
        </w:rPr>
        <w:t>2014</w:t>
      </w:r>
      <w:r w:rsidR="0018408A">
        <w:rPr>
          <w:b w:val="0"/>
          <w:bCs/>
        </w:rPr>
        <w:t>,</w:t>
      </w:r>
      <w:r w:rsidRPr="0018408A">
        <w:rPr>
          <w:b w:val="0"/>
          <w:bCs/>
        </w:rPr>
        <w:t xml:space="preserve"> </w:t>
      </w:r>
      <w:r w:rsidRPr="00D235C1">
        <w:rPr>
          <w:b w:val="0"/>
          <w:bCs/>
        </w:rPr>
        <w:t>Native cellulose: Structure, characterization and thermal properties</w:t>
      </w:r>
      <w:r w:rsidR="0018408A">
        <w:rPr>
          <w:b w:val="0"/>
          <w:bCs/>
        </w:rPr>
        <w:t>,</w:t>
      </w:r>
      <w:r w:rsidRPr="00D235C1">
        <w:rPr>
          <w:b w:val="0"/>
          <w:bCs/>
        </w:rPr>
        <w:t xml:space="preserve"> Materials, 7, 6105</w:t>
      </w:r>
      <w:r w:rsidR="0018408A">
        <w:rPr>
          <w:b w:val="0"/>
          <w:bCs/>
        </w:rPr>
        <w:t>-</w:t>
      </w:r>
      <w:r w:rsidRPr="00D235C1">
        <w:rPr>
          <w:b w:val="0"/>
          <w:bCs/>
        </w:rPr>
        <w:t>6119</w:t>
      </w:r>
    </w:p>
    <w:p w14:paraId="24758033" w14:textId="58F78EB3" w:rsidR="00D235C1" w:rsidRPr="00D235C1" w:rsidRDefault="00D235C1" w:rsidP="009C63C4">
      <w:pPr>
        <w:pStyle w:val="CETReference"/>
        <w:spacing w:before="0" w:after="60"/>
        <w:jc w:val="both"/>
        <w:rPr>
          <w:b w:val="0"/>
          <w:bCs/>
        </w:rPr>
      </w:pPr>
      <w:r w:rsidRPr="0018408A">
        <w:rPr>
          <w:b w:val="0"/>
          <w:bCs/>
        </w:rPr>
        <w:t xml:space="preserve">Rana A. K., </w:t>
      </w:r>
      <w:proofErr w:type="spellStart"/>
      <w:r w:rsidRPr="0018408A">
        <w:rPr>
          <w:b w:val="0"/>
          <w:bCs/>
        </w:rPr>
        <w:t>Frollini</w:t>
      </w:r>
      <w:proofErr w:type="spellEnd"/>
      <w:r w:rsidR="0018408A" w:rsidRPr="0018408A">
        <w:rPr>
          <w:b w:val="0"/>
          <w:bCs/>
        </w:rPr>
        <w:t xml:space="preserve"> </w:t>
      </w:r>
      <w:r w:rsidRPr="0018408A">
        <w:rPr>
          <w:b w:val="0"/>
          <w:bCs/>
        </w:rPr>
        <w:t>E., Thakur V. K.</w:t>
      </w:r>
      <w:r w:rsidR="0018408A" w:rsidRPr="0018408A">
        <w:rPr>
          <w:b w:val="0"/>
          <w:bCs/>
        </w:rPr>
        <w:t xml:space="preserve">, </w:t>
      </w:r>
      <w:r w:rsidRPr="0018408A">
        <w:rPr>
          <w:b w:val="0"/>
          <w:bCs/>
        </w:rPr>
        <w:t>2021</w:t>
      </w:r>
      <w:r w:rsidR="0018408A" w:rsidRPr="0018408A">
        <w:rPr>
          <w:b w:val="0"/>
          <w:bCs/>
        </w:rPr>
        <w:t xml:space="preserve">, </w:t>
      </w:r>
      <w:r w:rsidRPr="00D235C1">
        <w:rPr>
          <w:b w:val="0"/>
          <w:bCs/>
        </w:rPr>
        <w:t xml:space="preserve">Cellulose nanocrystals: </w:t>
      </w:r>
      <w:proofErr w:type="spellStart"/>
      <w:r w:rsidRPr="00D235C1">
        <w:rPr>
          <w:b w:val="0"/>
          <w:bCs/>
        </w:rPr>
        <w:t>Pretreatments</w:t>
      </w:r>
      <w:proofErr w:type="spellEnd"/>
      <w:r w:rsidRPr="00D235C1">
        <w:rPr>
          <w:b w:val="0"/>
          <w:bCs/>
        </w:rPr>
        <w:t>, preparation strategies, and surface functionalization</w:t>
      </w:r>
      <w:r w:rsidR="0018408A">
        <w:rPr>
          <w:b w:val="0"/>
          <w:bCs/>
        </w:rPr>
        <w:t>,</w:t>
      </w:r>
      <w:r w:rsidRPr="00D235C1">
        <w:rPr>
          <w:b w:val="0"/>
          <w:bCs/>
        </w:rPr>
        <w:t xml:space="preserve"> International Journal of Biological Macromolecules, 182, 1554</w:t>
      </w:r>
      <w:r w:rsidR="0018408A">
        <w:rPr>
          <w:b w:val="0"/>
          <w:bCs/>
        </w:rPr>
        <w:t>-</w:t>
      </w:r>
      <w:r w:rsidRPr="00D235C1">
        <w:rPr>
          <w:b w:val="0"/>
          <w:bCs/>
        </w:rPr>
        <w:t>1581.</w:t>
      </w:r>
    </w:p>
    <w:p w14:paraId="4AC3DB99" w14:textId="67A42B31" w:rsidR="00D235C1" w:rsidRPr="00D235C1" w:rsidRDefault="00D235C1" w:rsidP="009C63C4">
      <w:pPr>
        <w:pStyle w:val="CETReference"/>
        <w:spacing w:before="0" w:after="60"/>
        <w:jc w:val="both"/>
        <w:rPr>
          <w:b w:val="0"/>
          <w:bCs/>
        </w:rPr>
      </w:pPr>
      <w:r w:rsidRPr="0018408A">
        <w:rPr>
          <w:b w:val="0"/>
          <w:bCs/>
        </w:rPr>
        <w:t xml:space="preserve">Sánchez R., Espinosa E., Domínguez-Robles J., </w:t>
      </w:r>
      <w:proofErr w:type="spellStart"/>
      <w:r w:rsidRPr="0018408A">
        <w:rPr>
          <w:b w:val="0"/>
          <w:bCs/>
        </w:rPr>
        <w:t>Loaiza</w:t>
      </w:r>
      <w:proofErr w:type="spellEnd"/>
      <w:r w:rsidRPr="0018408A">
        <w:rPr>
          <w:b w:val="0"/>
          <w:bCs/>
        </w:rPr>
        <w:t xml:space="preserve"> J. M., Rodríguez A.</w:t>
      </w:r>
      <w:r w:rsidR="0018408A" w:rsidRPr="0018408A">
        <w:rPr>
          <w:b w:val="0"/>
          <w:bCs/>
        </w:rPr>
        <w:t xml:space="preserve">, </w:t>
      </w:r>
      <w:r w:rsidRPr="0018408A">
        <w:rPr>
          <w:b w:val="0"/>
          <w:bCs/>
        </w:rPr>
        <w:t>2016</w:t>
      </w:r>
      <w:r w:rsidR="0018408A" w:rsidRPr="0018408A">
        <w:rPr>
          <w:b w:val="0"/>
          <w:bCs/>
        </w:rPr>
        <w:t>,</w:t>
      </w:r>
      <w:r w:rsidRPr="0018408A">
        <w:rPr>
          <w:b w:val="0"/>
          <w:bCs/>
        </w:rPr>
        <w:t xml:space="preserve"> </w:t>
      </w:r>
      <w:r w:rsidRPr="00D235C1">
        <w:rPr>
          <w:b w:val="0"/>
          <w:bCs/>
        </w:rPr>
        <w:t>Isolation and characterization of lignocellulose nanofibers from different wheat straw pulps</w:t>
      </w:r>
      <w:r w:rsidR="0018408A">
        <w:rPr>
          <w:b w:val="0"/>
          <w:bCs/>
        </w:rPr>
        <w:t>,</w:t>
      </w:r>
      <w:r w:rsidRPr="00D235C1">
        <w:rPr>
          <w:b w:val="0"/>
          <w:bCs/>
        </w:rPr>
        <w:t xml:space="preserve"> International Journal of Biological Macromolecules</w:t>
      </w:r>
      <w:r w:rsidR="0018408A">
        <w:rPr>
          <w:b w:val="0"/>
          <w:bCs/>
        </w:rPr>
        <w:t xml:space="preserve">, 92, </w:t>
      </w:r>
      <w:r w:rsidR="0018408A" w:rsidRPr="0018408A">
        <w:rPr>
          <w:b w:val="0"/>
          <w:bCs/>
        </w:rPr>
        <w:t>1025-1033</w:t>
      </w:r>
      <w:r w:rsidR="0018408A">
        <w:rPr>
          <w:b w:val="0"/>
          <w:bCs/>
        </w:rPr>
        <w:t>.</w:t>
      </w:r>
    </w:p>
    <w:p w14:paraId="56CC69D4" w14:textId="7AAF9D24" w:rsidR="00D235C1" w:rsidRPr="00D235C1" w:rsidRDefault="00D235C1" w:rsidP="009C63C4">
      <w:pPr>
        <w:pStyle w:val="CETReference"/>
        <w:spacing w:before="0" w:after="60"/>
        <w:jc w:val="both"/>
        <w:rPr>
          <w:b w:val="0"/>
          <w:bCs/>
        </w:rPr>
      </w:pPr>
      <w:r w:rsidRPr="00D235C1">
        <w:rPr>
          <w:b w:val="0"/>
          <w:bCs/>
        </w:rPr>
        <w:t xml:space="preserve">Tuck C. O., Pérez E., </w:t>
      </w:r>
      <w:proofErr w:type="spellStart"/>
      <w:r w:rsidRPr="00D235C1">
        <w:rPr>
          <w:b w:val="0"/>
          <w:bCs/>
        </w:rPr>
        <w:t>Horváth</w:t>
      </w:r>
      <w:proofErr w:type="spellEnd"/>
      <w:r w:rsidRPr="00D235C1">
        <w:rPr>
          <w:b w:val="0"/>
          <w:bCs/>
        </w:rPr>
        <w:t xml:space="preserve"> I. T., Sheldon R. A., </w:t>
      </w:r>
      <w:proofErr w:type="spellStart"/>
      <w:r w:rsidRPr="00D235C1">
        <w:rPr>
          <w:b w:val="0"/>
          <w:bCs/>
        </w:rPr>
        <w:t>Poliakoff</w:t>
      </w:r>
      <w:proofErr w:type="spellEnd"/>
      <w:r w:rsidRPr="00D235C1">
        <w:rPr>
          <w:b w:val="0"/>
          <w:bCs/>
        </w:rPr>
        <w:t xml:space="preserve"> M.</w:t>
      </w:r>
      <w:r w:rsidR="0018408A">
        <w:rPr>
          <w:b w:val="0"/>
          <w:bCs/>
        </w:rPr>
        <w:t xml:space="preserve">, </w:t>
      </w:r>
      <w:r w:rsidRPr="00D235C1">
        <w:rPr>
          <w:b w:val="0"/>
          <w:bCs/>
        </w:rPr>
        <w:t>2012</w:t>
      </w:r>
      <w:r w:rsidR="0018408A">
        <w:rPr>
          <w:b w:val="0"/>
          <w:bCs/>
        </w:rPr>
        <w:t>,</w:t>
      </w:r>
      <w:r w:rsidRPr="00D235C1">
        <w:rPr>
          <w:b w:val="0"/>
          <w:bCs/>
        </w:rPr>
        <w:t xml:space="preserve"> </w:t>
      </w:r>
      <w:proofErr w:type="spellStart"/>
      <w:r w:rsidRPr="00D235C1">
        <w:rPr>
          <w:b w:val="0"/>
          <w:bCs/>
        </w:rPr>
        <w:t>Valorization</w:t>
      </w:r>
      <w:proofErr w:type="spellEnd"/>
      <w:r w:rsidRPr="00D235C1">
        <w:rPr>
          <w:b w:val="0"/>
          <w:bCs/>
        </w:rPr>
        <w:t xml:space="preserve"> of biomass: Deriving more value from waste</w:t>
      </w:r>
      <w:r w:rsidR="0018408A">
        <w:rPr>
          <w:b w:val="0"/>
          <w:bCs/>
        </w:rPr>
        <w:t>,</w:t>
      </w:r>
      <w:r w:rsidRPr="00D235C1">
        <w:rPr>
          <w:b w:val="0"/>
          <w:bCs/>
        </w:rPr>
        <w:t xml:space="preserve"> Science</w:t>
      </w:r>
      <w:r w:rsidR="0018408A">
        <w:rPr>
          <w:b w:val="0"/>
          <w:bCs/>
        </w:rPr>
        <w:t>, 337, 695-699</w:t>
      </w:r>
    </w:p>
    <w:p w14:paraId="7B04BD68" w14:textId="4BF4D55E" w:rsidR="00D235C1" w:rsidRPr="00D235C1" w:rsidRDefault="00D235C1" w:rsidP="009C63C4">
      <w:pPr>
        <w:pStyle w:val="CETReference"/>
        <w:spacing w:before="0" w:after="60"/>
        <w:jc w:val="both"/>
        <w:rPr>
          <w:b w:val="0"/>
          <w:bCs/>
        </w:rPr>
      </w:pPr>
      <w:r w:rsidRPr="00D235C1">
        <w:rPr>
          <w:b w:val="0"/>
          <w:bCs/>
        </w:rPr>
        <w:t>Vargas</w:t>
      </w:r>
      <w:r w:rsidR="0018408A">
        <w:rPr>
          <w:b w:val="0"/>
          <w:bCs/>
        </w:rPr>
        <w:t xml:space="preserve"> </w:t>
      </w:r>
      <w:r w:rsidRPr="00D235C1">
        <w:rPr>
          <w:b w:val="0"/>
          <w:bCs/>
        </w:rPr>
        <w:t>F., González Z., Sánchez R., Jiménez L., Rodríguez A.</w:t>
      </w:r>
      <w:r w:rsidR="0018408A">
        <w:rPr>
          <w:b w:val="0"/>
          <w:bCs/>
        </w:rPr>
        <w:t xml:space="preserve">, </w:t>
      </w:r>
      <w:r w:rsidRPr="00D235C1">
        <w:rPr>
          <w:b w:val="0"/>
          <w:bCs/>
        </w:rPr>
        <w:t>2012</w:t>
      </w:r>
      <w:r w:rsidR="0018408A">
        <w:rPr>
          <w:b w:val="0"/>
          <w:bCs/>
        </w:rPr>
        <w:t>,</w:t>
      </w:r>
      <w:r w:rsidRPr="00D235C1">
        <w:rPr>
          <w:b w:val="0"/>
          <w:bCs/>
        </w:rPr>
        <w:t xml:space="preserve"> Cellulosic pulps of cereal straws as raw material for the manufacture of ecological packaging</w:t>
      </w:r>
      <w:r w:rsidR="0018408A">
        <w:rPr>
          <w:b w:val="0"/>
          <w:bCs/>
        </w:rPr>
        <w:t xml:space="preserve">, </w:t>
      </w:r>
      <w:proofErr w:type="spellStart"/>
      <w:r w:rsidRPr="00D235C1">
        <w:rPr>
          <w:b w:val="0"/>
          <w:bCs/>
        </w:rPr>
        <w:t>BioResources</w:t>
      </w:r>
      <w:proofErr w:type="spellEnd"/>
      <w:r w:rsidRPr="00D235C1">
        <w:rPr>
          <w:b w:val="0"/>
          <w:bCs/>
        </w:rPr>
        <w:t>.</w:t>
      </w:r>
      <w:r w:rsidR="0018408A">
        <w:rPr>
          <w:b w:val="0"/>
          <w:bCs/>
        </w:rPr>
        <w:t xml:space="preserve">, </w:t>
      </w:r>
      <w:r w:rsidR="008F49EF">
        <w:rPr>
          <w:b w:val="0"/>
          <w:bCs/>
        </w:rPr>
        <w:t xml:space="preserve">7, </w:t>
      </w:r>
      <w:r w:rsidR="008F49EF" w:rsidRPr="008F49EF">
        <w:rPr>
          <w:b w:val="0"/>
          <w:bCs/>
        </w:rPr>
        <w:t>4161-4170</w:t>
      </w:r>
      <w:r w:rsidR="008F49EF">
        <w:rPr>
          <w:b w:val="0"/>
          <w:bCs/>
        </w:rPr>
        <w:t>.</w:t>
      </w:r>
    </w:p>
    <w:p w14:paraId="7FE34559" w14:textId="1AF08067" w:rsidR="00D235C1" w:rsidRPr="00D235C1" w:rsidRDefault="00D235C1" w:rsidP="009C63C4">
      <w:pPr>
        <w:pStyle w:val="CETReference"/>
        <w:spacing w:before="0" w:after="60"/>
        <w:jc w:val="both"/>
        <w:rPr>
          <w:b w:val="0"/>
          <w:bCs/>
        </w:rPr>
      </w:pPr>
      <w:r w:rsidRPr="00D235C1">
        <w:rPr>
          <w:b w:val="0"/>
          <w:bCs/>
        </w:rPr>
        <w:t xml:space="preserve">Zhang K., Ismail M. Y., </w:t>
      </w:r>
      <w:proofErr w:type="spellStart"/>
      <w:r w:rsidRPr="00D235C1">
        <w:rPr>
          <w:b w:val="0"/>
          <w:bCs/>
        </w:rPr>
        <w:t>Liimatainen</w:t>
      </w:r>
      <w:proofErr w:type="spellEnd"/>
      <w:r w:rsidRPr="00D235C1">
        <w:rPr>
          <w:b w:val="0"/>
          <w:bCs/>
        </w:rPr>
        <w:t xml:space="preserve"> H</w:t>
      </w:r>
      <w:r w:rsidR="008F49EF">
        <w:rPr>
          <w:b w:val="0"/>
          <w:bCs/>
        </w:rPr>
        <w:t xml:space="preserve">., </w:t>
      </w:r>
      <w:r w:rsidRPr="00D235C1">
        <w:rPr>
          <w:b w:val="0"/>
          <w:bCs/>
        </w:rPr>
        <w:t>2021</w:t>
      </w:r>
      <w:r w:rsidR="008F49EF">
        <w:rPr>
          <w:b w:val="0"/>
          <w:bCs/>
        </w:rPr>
        <w:t xml:space="preserve">, </w:t>
      </w:r>
      <w:r w:rsidRPr="00D235C1">
        <w:rPr>
          <w:b w:val="0"/>
          <w:bCs/>
        </w:rPr>
        <w:t xml:space="preserve">Water-resistant </w:t>
      </w:r>
      <w:proofErr w:type="spellStart"/>
      <w:r w:rsidRPr="00D235C1">
        <w:rPr>
          <w:b w:val="0"/>
          <w:bCs/>
        </w:rPr>
        <w:t>nanopaper</w:t>
      </w:r>
      <w:proofErr w:type="spellEnd"/>
      <w:r w:rsidRPr="00D235C1">
        <w:rPr>
          <w:b w:val="0"/>
          <w:bCs/>
        </w:rPr>
        <w:t xml:space="preserve"> with </w:t>
      </w:r>
      <w:proofErr w:type="spellStart"/>
      <w:r w:rsidRPr="00D235C1">
        <w:rPr>
          <w:b w:val="0"/>
          <w:bCs/>
        </w:rPr>
        <w:t>tunable</w:t>
      </w:r>
      <w:proofErr w:type="spellEnd"/>
      <w:r w:rsidRPr="00D235C1">
        <w:rPr>
          <w:b w:val="0"/>
          <w:bCs/>
        </w:rPr>
        <w:t xml:space="preserve"> water barrier and mechanical properties from assembled complexes of oppositely charged cellulosic nanomaterials</w:t>
      </w:r>
      <w:r w:rsidR="008F49EF">
        <w:rPr>
          <w:b w:val="0"/>
          <w:bCs/>
        </w:rPr>
        <w:t>,</w:t>
      </w:r>
      <w:r w:rsidRPr="00D235C1">
        <w:rPr>
          <w:b w:val="0"/>
          <w:bCs/>
        </w:rPr>
        <w:t xml:space="preserve"> Food Hydrocolloids, 120, 106983. </w:t>
      </w:r>
    </w:p>
    <w:p w14:paraId="4D87B006" w14:textId="641607BE" w:rsidR="00D235C1" w:rsidRDefault="00D235C1" w:rsidP="009C63C4">
      <w:pPr>
        <w:pStyle w:val="CETReference"/>
        <w:spacing w:before="0" w:after="60"/>
        <w:jc w:val="both"/>
        <w:rPr>
          <w:b w:val="0"/>
          <w:bCs/>
        </w:rPr>
      </w:pPr>
      <w:r w:rsidRPr="008F49EF">
        <w:rPr>
          <w:b w:val="0"/>
          <w:bCs/>
        </w:rPr>
        <w:t xml:space="preserve">Zhuang J., Li M., Pu Y., </w:t>
      </w:r>
      <w:proofErr w:type="spellStart"/>
      <w:r w:rsidRPr="008F49EF">
        <w:rPr>
          <w:b w:val="0"/>
          <w:bCs/>
        </w:rPr>
        <w:t>Ragauskas</w:t>
      </w:r>
      <w:proofErr w:type="spellEnd"/>
      <w:r w:rsidRPr="008F49EF">
        <w:rPr>
          <w:b w:val="0"/>
          <w:bCs/>
        </w:rPr>
        <w:t xml:space="preserve"> A.J.</w:t>
      </w:r>
      <w:r w:rsidR="008F49EF" w:rsidRPr="008F49EF">
        <w:rPr>
          <w:b w:val="0"/>
          <w:bCs/>
        </w:rPr>
        <w:t>,</w:t>
      </w:r>
      <w:r w:rsidRPr="008F49EF">
        <w:rPr>
          <w:b w:val="0"/>
          <w:bCs/>
        </w:rPr>
        <w:t xml:space="preserve"> </w:t>
      </w:r>
      <w:proofErr w:type="spellStart"/>
      <w:r w:rsidRPr="008F49EF">
        <w:rPr>
          <w:b w:val="0"/>
          <w:bCs/>
        </w:rPr>
        <w:t>Yoo</w:t>
      </w:r>
      <w:proofErr w:type="spellEnd"/>
      <w:r w:rsidRPr="008F49EF">
        <w:rPr>
          <w:b w:val="0"/>
          <w:bCs/>
        </w:rPr>
        <w:t xml:space="preserve"> C.G.</w:t>
      </w:r>
      <w:r w:rsidR="008F49EF" w:rsidRPr="008F49EF">
        <w:rPr>
          <w:b w:val="0"/>
          <w:bCs/>
        </w:rPr>
        <w:t xml:space="preserve">, </w:t>
      </w:r>
      <w:r w:rsidRPr="008F49EF">
        <w:rPr>
          <w:b w:val="0"/>
          <w:bCs/>
        </w:rPr>
        <w:t>2020</w:t>
      </w:r>
      <w:r w:rsidR="008F49EF">
        <w:rPr>
          <w:b w:val="0"/>
          <w:bCs/>
        </w:rPr>
        <w:t>,</w:t>
      </w:r>
      <w:r w:rsidRPr="008F49EF">
        <w:rPr>
          <w:b w:val="0"/>
          <w:bCs/>
        </w:rPr>
        <w:t xml:space="preserve"> </w:t>
      </w:r>
      <w:r w:rsidRPr="00D235C1">
        <w:rPr>
          <w:b w:val="0"/>
          <w:bCs/>
        </w:rPr>
        <w:t>Observation of Potential Contaminants in Processed Biomass Using Fourier Transform Infrared Spectroscopy</w:t>
      </w:r>
      <w:r w:rsidR="008F49EF">
        <w:rPr>
          <w:b w:val="0"/>
          <w:bCs/>
        </w:rPr>
        <w:t>,</w:t>
      </w:r>
      <w:r w:rsidRPr="00D235C1">
        <w:rPr>
          <w:b w:val="0"/>
          <w:bCs/>
        </w:rPr>
        <w:t xml:space="preserve"> Applied Sciences, 10, 4345.</w:t>
      </w:r>
    </w:p>
    <w:p w14:paraId="3C33F012" w14:textId="187786A9" w:rsidR="00411821" w:rsidRDefault="00411821" w:rsidP="009C63C4">
      <w:pPr>
        <w:pStyle w:val="CETReference"/>
        <w:spacing w:before="0" w:after="60"/>
        <w:jc w:val="both"/>
        <w:rPr>
          <w:b w:val="0"/>
          <w:bCs/>
        </w:rPr>
      </w:pPr>
      <w:r w:rsidRPr="00411821">
        <w:rPr>
          <w:b w:val="0"/>
          <w:bCs/>
        </w:rPr>
        <w:t>Wang, Z.; Song, L.; Wang, Y.; Zhang, X.-F.; Yao, J.</w:t>
      </w:r>
      <w:r>
        <w:rPr>
          <w:b w:val="0"/>
          <w:bCs/>
        </w:rPr>
        <w:t xml:space="preserve">, 2021, </w:t>
      </w:r>
      <w:r w:rsidRPr="00411821">
        <w:rPr>
          <w:b w:val="0"/>
          <w:bCs/>
        </w:rPr>
        <w:t>Construction of a Hybrid Graphene Oxide/</w:t>
      </w:r>
      <w:proofErr w:type="spellStart"/>
      <w:r w:rsidRPr="00411821">
        <w:rPr>
          <w:b w:val="0"/>
          <w:bCs/>
        </w:rPr>
        <w:t>Nanofibrillated</w:t>
      </w:r>
      <w:proofErr w:type="spellEnd"/>
      <w:r w:rsidRPr="00411821">
        <w:rPr>
          <w:b w:val="0"/>
          <w:bCs/>
        </w:rPr>
        <w:t xml:space="preserve"> Cellulose Aerogel Used for the Efficient Removal of Methylene Blue and Tetracycline</w:t>
      </w:r>
      <w:r>
        <w:rPr>
          <w:b w:val="0"/>
          <w:bCs/>
        </w:rPr>
        <w:t>,</w:t>
      </w:r>
      <w:r w:rsidRPr="00411821">
        <w:rPr>
          <w:b w:val="0"/>
          <w:bCs/>
        </w:rPr>
        <w:t xml:space="preserve"> J. Phys. Chem. Solids, 150, 109839</w:t>
      </w:r>
      <w:r>
        <w:rPr>
          <w:b w:val="0"/>
          <w:bCs/>
        </w:rPr>
        <w:t>.</w:t>
      </w:r>
    </w:p>
    <w:p w14:paraId="3C75CD5F" w14:textId="5E7CD1B8" w:rsidR="00411821" w:rsidRPr="00D235C1" w:rsidRDefault="00411821" w:rsidP="009C63C4">
      <w:pPr>
        <w:pStyle w:val="CETReference"/>
        <w:spacing w:before="0" w:after="60"/>
        <w:jc w:val="both"/>
        <w:rPr>
          <w:b w:val="0"/>
          <w:bCs/>
        </w:rPr>
      </w:pPr>
      <w:r w:rsidRPr="00411821">
        <w:rPr>
          <w:b w:val="0"/>
          <w:bCs/>
        </w:rPr>
        <w:t>Zhu, W.; Jiang, X.; Jiang, K.; Liu, F.; You, F.; Yao, C.</w:t>
      </w:r>
      <w:r>
        <w:rPr>
          <w:b w:val="0"/>
          <w:bCs/>
        </w:rPr>
        <w:t xml:space="preserve">, 2021, </w:t>
      </w:r>
      <w:r w:rsidRPr="00411821">
        <w:rPr>
          <w:b w:val="0"/>
          <w:bCs/>
        </w:rPr>
        <w:t>Fabrication of Reusable Carboxymethyl Cellulose/Graphene Oxide Composite Aerogel with Large Surface Area for Adsorption of Methylene Blue</w:t>
      </w:r>
      <w:r>
        <w:rPr>
          <w:b w:val="0"/>
          <w:bCs/>
        </w:rPr>
        <w:t>,</w:t>
      </w:r>
      <w:r w:rsidRPr="00411821">
        <w:rPr>
          <w:b w:val="0"/>
          <w:bCs/>
        </w:rPr>
        <w:t xml:space="preserve"> Nanomaterials</w:t>
      </w:r>
      <w:r>
        <w:rPr>
          <w:b w:val="0"/>
          <w:bCs/>
        </w:rPr>
        <w:t xml:space="preserve">, </w:t>
      </w:r>
      <w:r w:rsidRPr="00411821">
        <w:rPr>
          <w:b w:val="0"/>
          <w:bCs/>
        </w:rPr>
        <w:t>11, 1609</w:t>
      </w:r>
      <w:r>
        <w:rPr>
          <w:b w:val="0"/>
          <w:bCs/>
        </w:rPr>
        <w:t>.</w:t>
      </w:r>
    </w:p>
    <w:p w14:paraId="16B07E2D" w14:textId="30DFD7A1" w:rsidR="00CB622D" w:rsidRPr="008F49EF" w:rsidRDefault="00CB622D" w:rsidP="009C63C4">
      <w:pPr>
        <w:pStyle w:val="CETBodytext"/>
        <w:spacing w:after="60"/>
        <w:rPr>
          <w:sz w:val="4"/>
          <w:szCs w:val="4"/>
          <w:lang w:val="en-GB"/>
        </w:rPr>
      </w:pPr>
    </w:p>
    <w:sectPr w:rsidR="00CB622D" w:rsidRPr="008F49E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9B36" w14:textId="77777777" w:rsidR="00DF1CAF" w:rsidRDefault="00DF1CAF" w:rsidP="004F5E36">
      <w:r>
        <w:separator/>
      </w:r>
    </w:p>
  </w:endnote>
  <w:endnote w:type="continuationSeparator" w:id="0">
    <w:p w14:paraId="24C43598" w14:textId="77777777" w:rsidR="00DF1CAF" w:rsidRDefault="00DF1CA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67FA" w14:textId="77777777" w:rsidR="00DF1CAF" w:rsidRDefault="00DF1CAF" w:rsidP="004F5E36">
      <w:r>
        <w:separator/>
      </w:r>
    </w:p>
  </w:footnote>
  <w:footnote w:type="continuationSeparator" w:id="0">
    <w:p w14:paraId="5E017465" w14:textId="77777777" w:rsidR="00DF1CAF" w:rsidRDefault="00DF1CA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tKwFACPUJ00t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4A27"/>
    <w:rsid w:val="000F787B"/>
    <w:rsid w:val="0012091F"/>
    <w:rsid w:val="00126BC2"/>
    <w:rsid w:val="001308B6"/>
    <w:rsid w:val="0013121F"/>
    <w:rsid w:val="00131FE6"/>
    <w:rsid w:val="0013263F"/>
    <w:rsid w:val="001331DF"/>
    <w:rsid w:val="00134DE4"/>
    <w:rsid w:val="00135C4A"/>
    <w:rsid w:val="0014034D"/>
    <w:rsid w:val="00143E21"/>
    <w:rsid w:val="00144D16"/>
    <w:rsid w:val="00150E59"/>
    <w:rsid w:val="00152DE3"/>
    <w:rsid w:val="00154FF6"/>
    <w:rsid w:val="00164CF9"/>
    <w:rsid w:val="001667A6"/>
    <w:rsid w:val="001775DF"/>
    <w:rsid w:val="00183AF8"/>
    <w:rsid w:val="0018408A"/>
    <w:rsid w:val="00184AD6"/>
    <w:rsid w:val="00197F2D"/>
    <w:rsid w:val="001A4AF7"/>
    <w:rsid w:val="001A7925"/>
    <w:rsid w:val="001B0349"/>
    <w:rsid w:val="001B1E93"/>
    <w:rsid w:val="001B65C1"/>
    <w:rsid w:val="001C684B"/>
    <w:rsid w:val="001D0CFB"/>
    <w:rsid w:val="001D21AF"/>
    <w:rsid w:val="001D53FC"/>
    <w:rsid w:val="001F42A5"/>
    <w:rsid w:val="001F7B9D"/>
    <w:rsid w:val="00201C93"/>
    <w:rsid w:val="002037B5"/>
    <w:rsid w:val="00212FDA"/>
    <w:rsid w:val="002224B4"/>
    <w:rsid w:val="002236F4"/>
    <w:rsid w:val="002447EF"/>
    <w:rsid w:val="002503A7"/>
    <w:rsid w:val="00251550"/>
    <w:rsid w:val="00257463"/>
    <w:rsid w:val="0026108E"/>
    <w:rsid w:val="00263B05"/>
    <w:rsid w:val="0027221A"/>
    <w:rsid w:val="00275B61"/>
    <w:rsid w:val="00280FAF"/>
    <w:rsid w:val="00282656"/>
    <w:rsid w:val="00296B83"/>
    <w:rsid w:val="00297B6D"/>
    <w:rsid w:val="002B3FFF"/>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723D4"/>
    <w:rsid w:val="00372E71"/>
    <w:rsid w:val="003764A7"/>
    <w:rsid w:val="00381181"/>
    <w:rsid w:val="00381905"/>
    <w:rsid w:val="00384CC8"/>
    <w:rsid w:val="003871FD"/>
    <w:rsid w:val="003A1E30"/>
    <w:rsid w:val="003A2829"/>
    <w:rsid w:val="003A7D1C"/>
    <w:rsid w:val="003B304B"/>
    <w:rsid w:val="003B3146"/>
    <w:rsid w:val="003D32FB"/>
    <w:rsid w:val="003F015E"/>
    <w:rsid w:val="003F36D4"/>
    <w:rsid w:val="00400414"/>
    <w:rsid w:val="00411821"/>
    <w:rsid w:val="0041446B"/>
    <w:rsid w:val="00437206"/>
    <w:rsid w:val="0044071E"/>
    <w:rsid w:val="0044329C"/>
    <w:rsid w:val="00453E24"/>
    <w:rsid w:val="00457456"/>
    <w:rsid w:val="004577FE"/>
    <w:rsid w:val="00457B9C"/>
    <w:rsid w:val="0046164A"/>
    <w:rsid w:val="004628D2"/>
    <w:rsid w:val="00462DCD"/>
    <w:rsid w:val="004648AD"/>
    <w:rsid w:val="004703A9"/>
    <w:rsid w:val="004760DE"/>
    <w:rsid w:val="004763D7"/>
    <w:rsid w:val="00476E20"/>
    <w:rsid w:val="004A004E"/>
    <w:rsid w:val="004A24CF"/>
    <w:rsid w:val="004B7714"/>
    <w:rsid w:val="004C3D1D"/>
    <w:rsid w:val="004C3D84"/>
    <w:rsid w:val="004C4FD9"/>
    <w:rsid w:val="004C7913"/>
    <w:rsid w:val="004E4DD6"/>
    <w:rsid w:val="004F5E36"/>
    <w:rsid w:val="004F704B"/>
    <w:rsid w:val="00507B47"/>
    <w:rsid w:val="00507BEF"/>
    <w:rsid w:val="00507CC9"/>
    <w:rsid w:val="0051104B"/>
    <w:rsid w:val="005119A5"/>
    <w:rsid w:val="00517BE8"/>
    <w:rsid w:val="00523B8A"/>
    <w:rsid w:val="005278B7"/>
    <w:rsid w:val="00532016"/>
    <w:rsid w:val="005346C8"/>
    <w:rsid w:val="00541855"/>
    <w:rsid w:val="00543E7D"/>
    <w:rsid w:val="00547A68"/>
    <w:rsid w:val="005531C9"/>
    <w:rsid w:val="00562771"/>
    <w:rsid w:val="00570C43"/>
    <w:rsid w:val="005B2110"/>
    <w:rsid w:val="005B61E6"/>
    <w:rsid w:val="005C07CF"/>
    <w:rsid w:val="005C77E1"/>
    <w:rsid w:val="005D668A"/>
    <w:rsid w:val="005D6A2F"/>
    <w:rsid w:val="005E1A82"/>
    <w:rsid w:val="005E34F8"/>
    <w:rsid w:val="005E794C"/>
    <w:rsid w:val="005F0A28"/>
    <w:rsid w:val="005F0E5E"/>
    <w:rsid w:val="00600535"/>
    <w:rsid w:val="00610CD6"/>
    <w:rsid w:val="0061191C"/>
    <w:rsid w:val="00611A24"/>
    <w:rsid w:val="00620DEE"/>
    <w:rsid w:val="00621F92"/>
    <w:rsid w:val="0062280A"/>
    <w:rsid w:val="00625639"/>
    <w:rsid w:val="006275C3"/>
    <w:rsid w:val="00631B33"/>
    <w:rsid w:val="0064184D"/>
    <w:rsid w:val="006422CC"/>
    <w:rsid w:val="00660E3E"/>
    <w:rsid w:val="00662E74"/>
    <w:rsid w:val="006753C7"/>
    <w:rsid w:val="00680C23"/>
    <w:rsid w:val="006915C4"/>
    <w:rsid w:val="00693766"/>
    <w:rsid w:val="006A3281"/>
    <w:rsid w:val="006B4888"/>
    <w:rsid w:val="006C2E45"/>
    <w:rsid w:val="006C359C"/>
    <w:rsid w:val="006C43B2"/>
    <w:rsid w:val="006C5579"/>
    <w:rsid w:val="006D6E8B"/>
    <w:rsid w:val="006E5D2E"/>
    <w:rsid w:val="006E737D"/>
    <w:rsid w:val="006F04EC"/>
    <w:rsid w:val="007069C0"/>
    <w:rsid w:val="00713973"/>
    <w:rsid w:val="00720A24"/>
    <w:rsid w:val="0072592D"/>
    <w:rsid w:val="00732386"/>
    <w:rsid w:val="00734ECC"/>
    <w:rsid w:val="0073514D"/>
    <w:rsid w:val="007447F3"/>
    <w:rsid w:val="00753A5E"/>
    <w:rsid w:val="0075499F"/>
    <w:rsid w:val="007661C8"/>
    <w:rsid w:val="0077098D"/>
    <w:rsid w:val="007931FA"/>
    <w:rsid w:val="007A4861"/>
    <w:rsid w:val="007A7BBA"/>
    <w:rsid w:val="007B0C50"/>
    <w:rsid w:val="007B48F9"/>
    <w:rsid w:val="007C1A43"/>
    <w:rsid w:val="007D0951"/>
    <w:rsid w:val="0080013E"/>
    <w:rsid w:val="00813288"/>
    <w:rsid w:val="008168FC"/>
    <w:rsid w:val="00830996"/>
    <w:rsid w:val="008345F1"/>
    <w:rsid w:val="0085407A"/>
    <w:rsid w:val="00865B07"/>
    <w:rsid w:val="008667EA"/>
    <w:rsid w:val="0087637F"/>
    <w:rsid w:val="008817AE"/>
    <w:rsid w:val="00892AD5"/>
    <w:rsid w:val="008A1512"/>
    <w:rsid w:val="008C3F00"/>
    <w:rsid w:val="008D32B9"/>
    <w:rsid w:val="008D433B"/>
    <w:rsid w:val="008D4A16"/>
    <w:rsid w:val="008E566E"/>
    <w:rsid w:val="008F49EF"/>
    <w:rsid w:val="0090161A"/>
    <w:rsid w:val="00901EB6"/>
    <w:rsid w:val="00904C62"/>
    <w:rsid w:val="00922BA8"/>
    <w:rsid w:val="00924DAC"/>
    <w:rsid w:val="0092634E"/>
    <w:rsid w:val="00927058"/>
    <w:rsid w:val="00942033"/>
    <w:rsid w:val="00942750"/>
    <w:rsid w:val="009450CE"/>
    <w:rsid w:val="009459BB"/>
    <w:rsid w:val="00947179"/>
    <w:rsid w:val="0095164B"/>
    <w:rsid w:val="00954090"/>
    <w:rsid w:val="009573E7"/>
    <w:rsid w:val="00963E05"/>
    <w:rsid w:val="00964A45"/>
    <w:rsid w:val="00967843"/>
    <w:rsid w:val="00967D54"/>
    <w:rsid w:val="00971028"/>
    <w:rsid w:val="009846D3"/>
    <w:rsid w:val="0098660F"/>
    <w:rsid w:val="00993B84"/>
    <w:rsid w:val="00996483"/>
    <w:rsid w:val="00996F5A"/>
    <w:rsid w:val="009B041A"/>
    <w:rsid w:val="009B1948"/>
    <w:rsid w:val="009C1DEC"/>
    <w:rsid w:val="009C37C3"/>
    <w:rsid w:val="009C63C4"/>
    <w:rsid w:val="009C7C86"/>
    <w:rsid w:val="009D2FF7"/>
    <w:rsid w:val="009E43DF"/>
    <w:rsid w:val="009E7884"/>
    <w:rsid w:val="009E788A"/>
    <w:rsid w:val="009F0E08"/>
    <w:rsid w:val="00A1763D"/>
    <w:rsid w:val="00A17CEC"/>
    <w:rsid w:val="00A27EF0"/>
    <w:rsid w:val="00A42361"/>
    <w:rsid w:val="00A50B20"/>
    <w:rsid w:val="00A51390"/>
    <w:rsid w:val="00A60D13"/>
    <w:rsid w:val="00A7223D"/>
    <w:rsid w:val="00A72745"/>
    <w:rsid w:val="00A76EFC"/>
    <w:rsid w:val="00A83F7F"/>
    <w:rsid w:val="00A87D50"/>
    <w:rsid w:val="00A91010"/>
    <w:rsid w:val="00A97F29"/>
    <w:rsid w:val="00AA702E"/>
    <w:rsid w:val="00AA7D26"/>
    <w:rsid w:val="00AB0964"/>
    <w:rsid w:val="00AB5011"/>
    <w:rsid w:val="00AC0CE8"/>
    <w:rsid w:val="00AC7368"/>
    <w:rsid w:val="00AD16B9"/>
    <w:rsid w:val="00AE377D"/>
    <w:rsid w:val="00AF0EBA"/>
    <w:rsid w:val="00B02C8A"/>
    <w:rsid w:val="00B17FBD"/>
    <w:rsid w:val="00B205BD"/>
    <w:rsid w:val="00B25508"/>
    <w:rsid w:val="00B315A6"/>
    <w:rsid w:val="00B31813"/>
    <w:rsid w:val="00B33365"/>
    <w:rsid w:val="00B5083C"/>
    <w:rsid w:val="00B57B36"/>
    <w:rsid w:val="00B57E6F"/>
    <w:rsid w:val="00B625C4"/>
    <w:rsid w:val="00B8686D"/>
    <w:rsid w:val="00B93F69"/>
    <w:rsid w:val="00BB1DDC"/>
    <w:rsid w:val="00BC30C9"/>
    <w:rsid w:val="00BD077D"/>
    <w:rsid w:val="00BE3E58"/>
    <w:rsid w:val="00BF1A2E"/>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B622D"/>
    <w:rsid w:val="00CC4C20"/>
    <w:rsid w:val="00CC78B2"/>
    <w:rsid w:val="00CD3517"/>
    <w:rsid w:val="00CD5FE2"/>
    <w:rsid w:val="00CE7C68"/>
    <w:rsid w:val="00D02B4C"/>
    <w:rsid w:val="00D040C4"/>
    <w:rsid w:val="00D20AD1"/>
    <w:rsid w:val="00D235C1"/>
    <w:rsid w:val="00D46B7E"/>
    <w:rsid w:val="00D57C84"/>
    <w:rsid w:val="00D6057D"/>
    <w:rsid w:val="00D648EC"/>
    <w:rsid w:val="00D71640"/>
    <w:rsid w:val="00D77C27"/>
    <w:rsid w:val="00D836C5"/>
    <w:rsid w:val="00D84576"/>
    <w:rsid w:val="00DA1399"/>
    <w:rsid w:val="00DA24C6"/>
    <w:rsid w:val="00DA4D7B"/>
    <w:rsid w:val="00DC0E0C"/>
    <w:rsid w:val="00DD0C66"/>
    <w:rsid w:val="00DD271C"/>
    <w:rsid w:val="00DE264A"/>
    <w:rsid w:val="00DF1CAF"/>
    <w:rsid w:val="00DF5072"/>
    <w:rsid w:val="00E02D18"/>
    <w:rsid w:val="00E041E7"/>
    <w:rsid w:val="00E23CA1"/>
    <w:rsid w:val="00E33DD7"/>
    <w:rsid w:val="00E409A8"/>
    <w:rsid w:val="00E50C12"/>
    <w:rsid w:val="00E62CE5"/>
    <w:rsid w:val="00E65B91"/>
    <w:rsid w:val="00E7209D"/>
    <w:rsid w:val="00E72EAD"/>
    <w:rsid w:val="00E77223"/>
    <w:rsid w:val="00E8528B"/>
    <w:rsid w:val="00E85B94"/>
    <w:rsid w:val="00E978D0"/>
    <w:rsid w:val="00EA4613"/>
    <w:rsid w:val="00EA7F91"/>
    <w:rsid w:val="00EB1523"/>
    <w:rsid w:val="00EB52DF"/>
    <w:rsid w:val="00EC0E49"/>
    <w:rsid w:val="00EC101F"/>
    <w:rsid w:val="00EC1D9F"/>
    <w:rsid w:val="00EE0131"/>
    <w:rsid w:val="00EE17B0"/>
    <w:rsid w:val="00EF06D9"/>
    <w:rsid w:val="00F3049E"/>
    <w:rsid w:val="00F30C64"/>
    <w:rsid w:val="00F32BA2"/>
    <w:rsid w:val="00F32CDB"/>
    <w:rsid w:val="00F344F8"/>
    <w:rsid w:val="00F565FE"/>
    <w:rsid w:val="00F63A70"/>
    <w:rsid w:val="00F63D8C"/>
    <w:rsid w:val="00F739BE"/>
    <w:rsid w:val="00F7534E"/>
    <w:rsid w:val="00F93EDF"/>
    <w:rsid w:val="00FA1802"/>
    <w:rsid w:val="00FA21D0"/>
    <w:rsid w:val="00FA5F5F"/>
    <w:rsid w:val="00FA689C"/>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4B7714"/>
    <w:rPr>
      <w:color w:val="605E5C"/>
      <w:shd w:val="clear" w:color="auto" w:fill="E1DFDD"/>
    </w:rPr>
  </w:style>
  <w:style w:type="character" w:styleId="Testosegnaposto">
    <w:name w:val="Placeholder Text"/>
    <w:basedOn w:val="Carpredefinitoparagrafo"/>
    <w:uiPriority w:val="99"/>
    <w:semiHidden/>
    <w:rsid w:val="006E5D2E"/>
    <w:rPr>
      <w:color w:val="808080"/>
    </w:rPr>
  </w:style>
  <w:style w:type="paragraph" w:styleId="Revisione">
    <w:name w:val="Revision"/>
    <w:hidden/>
    <w:uiPriority w:val="99"/>
    <w:semiHidden/>
    <w:rsid w:val="00143E2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irozzi@unis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Pages>
  <Words>9090</Words>
  <Characters>51816</Characters>
  <Application>Microsoft Office Word</Application>
  <DocSecurity>0</DocSecurity>
  <Lines>431</Lines>
  <Paragraphs>121</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Nanocellulose-based aerogels for dyes removal</vt:lpstr>
      <vt:lpstr/>
    </vt:vector>
  </TitlesOfParts>
  <Company>Dipartimento CMIC - Politecnico di Milano</Company>
  <LinksUpToDate>false</LinksUpToDate>
  <CharactersWithSpaces>60785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Annachiara Pirozzi</cp:lastModifiedBy>
  <cp:revision>20</cp:revision>
  <cp:lastPrinted>2015-05-12T18:31:00Z</cp:lastPrinted>
  <dcterms:created xsi:type="dcterms:W3CDTF">2023-01-13T15:54:00Z</dcterms:created>
  <dcterms:modified xsi:type="dcterms:W3CDTF">2023-03-21T09:30:00Z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http://www.zotero.org/styles/carbohydrate-polymers</vt:lpwstr>
  </property>
  <property fmtid="{D5CDD505-2E9C-101B-9397-08002B2CF9AE}" pid="9" name="Mendeley Recent Style Name 2_1">
    <vt:lpwstr>Carbohydrate Polymers</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http://www.zotero.org/styles/food-engineering-reviews</vt:lpwstr>
  </property>
  <property fmtid="{D5CDD505-2E9C-101B-9397-08002B2CF9AE}" pid="15" name="Mendeley Recent Style Name 5_1">
    <vt:lpwstr>Food Engineering Reviews</vt:lpwstr>
  </property>
  <property fmtid="{D5CDD505-2E9C-101B-9397-08002B2CF9AE}" pid="16" name="Mendeley Recent Style Id 6_1">
    <vt:lpwstr>http://www.zotero.org/styles/food-hydrocolloids</vt:lpwstr>
  </property>
  <property fmtid="{D5CDD505-2E9C-101B-9397-08002B2CF9AE}" pid="17" name="Mendeley Recent Style Name 6_1">
    <vt:lpwstr>Food Hydrocolloids</vt:lpwstr>
  </property>
  <property fmtid="{D5CDD505-2E9C-101B-9397-08002B2CF9AE}" pid="18" name="Mendeley Recent Style Id 7_1">
    <vt:lpwstr>http://www.zotero.org/styles/foods</vt:lpwstr>
  </property>
  <property fmtid="{D5CDD505-2E9C-101B-9397-08002B2CF9AE}" pid="19" name="Mendeley Recent Style Name 7_1">
    <vt:lpwstr>Foods</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ad65e23b-40b0-3175-bd8c-3ed52f77cb79</vt:lpwstr>
  </property>
  <property fmtid="{D5CDD505-2E9C-101B-9397-08002B2CF9AE}" pid="26" name="Mendeley Citation Style_1">
    <vt:lpwstr>http://www.zotero.org/styles/food-hydrocolloids</vt:lpwstr>
  </property>
</Properties>
</file>