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87" w:type="dxa"/>
        <w:jc w:val="center"/>
        <w:tblBorders>
          <w:bottom w:val="single" w:sz="4" w:space="0" w:color="auto"/>
        </w:tblBorders>
        <w:tblLook w:val="01E0" w:firstRow="1" w:lastRow="1" w:firstColumn="1" w:lastColumn="1" w:noHBand="0" w:noVBand="0"/>
      </w:tblPr>
      <w:tblGrid>
        <w:gridCol w:w="6944"/>
        <w:gridCol w:w="1843"/>
      </w:tblGrid>
      <w:tr w:rsidR="000A03B2" w:rsidRPr="00D72C04" w14:paraId="2A131A54" w14:textId="77777777" w:rsidTr="00B51ACA">
        <w:trPr>
          <w:trHeight w:val="852"/>
          <w:jc w:val="center"/>
        </w:trPr>
        <w:tc>
          <w:tcPr>
            <w:tcW w:w="6944" w:type="dxa"/>
            <w:vMerge w:val="restart"/>
            <w:tcBorders>
              <w:right w:val="single" w:sz="4" w:space="0" w:color="auto"/>
            </w:tcBorders>
          </w:tcPr>
          <w:p w14:paraId="38C3D2BA" w14:textId="77777777" w:rsidR="000A03B2" w:rsidRPr="00D72C04" w:rsidRDefault="000A03B2" w:rsidP="00DE264A">
            <w:pPr>
              <w:tabs>
                <w:tab w:val="left" w:pos="-108"/>
              </w:tabs>
              <w:ind w:left="-108"/>
              <w:jc w:val="left"/>
              <w:rPr>
                <w:rFonts w:cs="Arial"/>
                <w:b/>
                <w:bCs/>
                <w:i/>
                <w:iCs/>
                <w:color w:val="000066"/>
                <w:sz w:val="12"/>
                <w:szCs w:val="12"/>
                <w:lang w:val="en-US" w:eastAsia="it-IT"/>
              </w:rPr>
            </w:pPr>
            <w:r w:rsidRPr="00D72C04">
              <w:rPr>
                <w:rFonts w:ascii="AdvP6960" w:hAnsi="AdvP6960" w:cs="AdvP6960"/>
                <w:noProof/>
                <w:color w:val="241F20"/>
                <w:szCs w:val="18"/>
                <w:lang w:val="es-PE" w:eastAsia="es-PE"/>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D72C04">
              <w:rPr>
                <w:rFonts w:ascii="AdvP6960" w:hAnsi="AdvP6960" w:cs="AdvP6960"/>
                <w:color w:val="241F20"/>
                <w:szCs w:val="18"/>
                <w:lang w:val="en-US" w:eastAsia="it-IT"/>
              </w:rPr>
              <w:t xml:space="preserve"> </w:t>
            </w:r>
            <w:r w:rsidRPr="00D72C04">
              <w:rPr>
                <w:rFonts w:cs="Arial"/>
                <w:b/>
                <w:bCs/>
                <w:i/>
                <w:iCs/>
                <w:color w:val="000066"/>
                <w:sz w:val="24"/>
                <w:szCs w:val="24"/>
                <w:lang w:val="en-US" w:eastAsia="it-IT"/>
              </w:rPr>
              <w:t>CHEMICAL ENGINEERING</w:t>
            </w:r>
            <w:r w:rsidRPr="00D72C04">
              <w:rPr>
                <w:rFonts w:cs="Arial"/>
                <w:b/>
                <w:bCs/>
                <w:i/>
                <w:iCs/>
                <w:color w:val="0033FF"/>
                <w:sz w:val="24"/>
                <w:szCs w:val="24"/>
                <w:lang w:val="en-US" w:eastAsia="it-IT"/>
              </w:rPr>
              <w:t xml:space="preserve"> </w:t>
            </w:r>
            <w:r w:rsidRPr="00D72C04">
              <w:rPr>
                <w:rFonts w:cs="Arial"/>
                <w:b/>
                <w:bCs/>
                <w:i/>
                <w:iCs/>
                <w:color w:val="666666"/>
                <w:sz w:val="24"/>
                <w:szCs w:val="24"/>
                <w:lang w:val="en-US" w:eastAsia="it-IT"/>
              </w:rPr>
              <w:t>TRANSACTIONS</w:t>
            </w:r>
            <w:r w:rsidRPr="00D72C04">
              <w:rPr>
                <w:color w:val="333333"/>
                <w:sz w:val="24"/>
                <w:szCs w:val="24"/>
                <w:lang w:val="en-US" w:eastAsia="it-IT"/>
              </w:rPr>
              <w:t xml:space="preserve"> </w:t>
            </w:r>
            <w:r w:rsidRPr="00D72C04">
              <w:rPr>
                <w:rFonts w:cs="Arial"/>
                <w:b/>
                <w:bCs/>
                <w:i/>
                <w:iCs/>
                <w:color w:val="000066"/>
                <w:sz w:val="27"/>
                <w:szCs w:val="27"/>
                <w:lang w:val="en-US" w:eastAsia="it-IT"/>
              </w:rPr>
              <w:br/>
            </w:r>
          </w:p>
          <w:p w14:paraId="4B780582" w14:textId="530285EB" w:rsidR="000A03B2" w:rsidRPr="00D72C04" w:rsidRDefault="00A76EFC" w:rsidP="001D21AF">
            <w:pPr>
              <w:tabs>
                <w:tab w:val="left" w:pos="-108"/>
              </w:tabs>
              <w:ind w:left="-108"/>
              <w:rPr>
                <w:rFonts w:cs="Arial"/>
                <w:b/>
                <w:bCs/>
                <w:i/>
                <w:iCs/>
                <w:color w:val="000066"/>
                <w:sz w:val="22"/>
                <w:szCs w:val="22"/>
                <w:lang w:val="en-US" w:eastAsia="it-IT"/>
              </w:rPr>
            </w:pPr>
            <w:r w:rsidRPr="00D72C04">
              <w:rPr>
                <w:rFonts w:cs="Arial"/>
                <w:b/>
                <w:bCs/>
                <w:i/>
                <w:iCs/>
                <w:color w:val="000066"/>
                <w:sz w:val="22"/>
                <w:szCs w:val="22"/>
                <w:lang w:val="en-US" w:eastAsia="it-IT"/>
              </w:rPr>
              <w:t xml:space="preserve">VOL. </w:t>
            </w:r>
            <w:r w:rsidR="0030152C" w:rsidRPr="00D72C04">
              <w:rPr>
                <w:rFonts w:cs="Arial"/>
                <w:b/>
                <w:bCs/>
                <w:i/>
                <w:iCs/>
                <w:color w:val="000066"/>
                <w:sz w:val="22"/>
                <w:szCs w:val="22"/>
                <w:lang w:val="en-US" w:eastAsia="it-IT"/>
              </w:rPr>
              <w:t xml:space="preserve"> </w:t>
            </w:r>
            <w:proofErr w:type="gramStart"/>
            <w:r w:rsidR="0030152C" w:rsidRPr="00D72C04">
              <w:rPr>
                <w:rFonts w:cs="Arial"/>
                <w:b/>
                <w:bCs/>
                <w:i/>
                <w:iCs/>
                <w:color w:val="000066"/>
                <w:sz w:val="22"/>
                <w:szCs w:val="22"/>
                <w:lang w:val="en-US" w:eastAsia="it-IT"/>
              </w:rPr>
              <w:t xml:space="preserve">  </w:t>
            </w:r>
            <w:r w:rsidR="007B48F9" w:rsidRPr="00D72C04">
              <w:rPr>
                <w:rFonts w:cs="Arial"/>
                <w:b/>
                <w:bCs/>
                <w:i/>
                <w:iCs/>
                <w:color w:val="000066"/>
                <w:sz w:val="22"/>
                <w:szCs w:val="22"/>
                <w:lang w:val="en-US" w:eastAsia="it-IT"/>
              </w:rPr>
              <w:t>,</w:t>
            </w:r>
            <w:proofErr w:type="gramEnd"/>
            <w:r w:rsidR="00FA5F5F" w:rsidRPr="00D72C04">
              <w:rPr>
                <w:rFonts w:cs="Arial"/>
                <w:b/>
                <w:bCs/>
                <w:i/>
                <w:iCs/>
                <w:color w:val="000066"/>
                <w:sz w:val="22"/>
                <w:szCs w:val="22"/>
                <w:lang w:val="en-US" w:eastAsia="it-IT"/>
              </w:rPr>
              <w:t xml:space="preserve"> </w:t>
            </w:r>
            <w:r w:rsidR="0030152C" w:rsidRPr="00D72C04">
              <w:rPr>
                <w:rFonts w:cs="Arial"/>
                <w:b/>
                <w:bCs/>
                <w:i/>
                <w:iCs/>
                <w:color w:val="000066"/>
                <w:sz w:val="22"/>
                <w:szCs w:val="22"/>
                <w:lang w:val="en-US" w:eastAsia="it-IT"/>
              </w:rPr>
              <w:t>2023</w:t>
            </w:r>
          </w:p>
        </w:tc>
        <w:tc>
          <w:tcPr>
            <w:tcW w:w="1843" w:type="dxa"/>
            <w:tcBorders>
              <w:left w:val="single" w:sz="4" w:space="0" w:color="auto"/>
              <w:bottom w:val="nil"/>
              <w:right w:val="single" w:sz="4" w:space="0" w:color="auto"/>
            </w:tcBorders>
          </w:tcPr>
          <w:p w14:paraId="56782132" w14:textId="77777777" w:rsidR="000A03B2" w:rsidRPr="00D72C04" w:rsidRDefault="000A03B2" w:rsidP="00CD5FE2">
            <w:pPr>
              <w:spacing w:line="140" w:lineRule="atLeast"/>
              <w:jc w:val="right"/>
              <w:rPr>
                <w:rFonts w:cs="Arial"/>
                <w:sz w:val="14"/>
                <w:szCs w:val="14"/>
                <w:lang w:val="en-US"/>
              </w:rPr>
            </w:pPr>
            <w:r w:rsidRPr="00D72C04">
              <w:rPr>
                <w:rFonts w:cs="Arial"/>
                <w:sz w:val="14"/>
                <w:szCs w:val="14"/>
                <w:lang w:val="en-US"/>
              </w:rPr>
              <w:t>A publication of</w:t>
            </w:r>
          </w:p>
          <w:p w14:paraId="599E5441" w14:textId="77777777" w:rsidR="000A03B2" w:rsidRPr="00D72C04" w:rsidRDefault="000A03B2" w:rsidP="00CD5FE2">
            <w:pPr>
              <w:jc w:val="right"/>
              <w:rPr>
                <w:lang w:val="en-US"/>
              </w:rPr>
            </w:pPr>
            <w:r w:rsidRPr="00D72C04">
              <w:rPr>
                <w:noProof/>
                <w:lang w:val="es-PE" w:eastAsia="es-PE"/>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D72C04" w14:paraId="380FA3CD" w14:textId="77777777" w:rsidTr="00B51ACA">
        <w:trPr>
          <w:trHeight w:val="567"/>
          <w:jc w:val="center"/>
        </w:trPr>
        <w:tc>
          <w:tcPr>
            <w:tcW w:w="6944" w:type="dxa"/>
            <w:vMerge/>
            <w:tcBorders>
              <w:right w:val="single" w:sz="4" w:space="0" w:color="auto"/>
            </w:tcBorders>
          </w:tcPr>
          <w:p w14:paraId="39E5E4C1" w14:textId="77777777" w:rsidR="000A03B2" w:rsidRPr="00D72C04" w:rsidRDefault="000A03B2" w:rsidP="00CD5FE2">
            <w:pPr>
              <w:tabs>
                <w:tab w:val="left" w:pos="-108"/>
              </w:tabs>
              <w:rPr>
                <w:lang w:val="en-US"/>
              </w:rPr>
            </w:pPr>
          </w:p>
        </w:tc>
        <w:tc>
          <w:tcPr>
            <w:tcW w:w="1843" w:type="dxa"/>
            <w:tcBorders>
              <w:left w:val="single" w:sz="4" w:space="0" w:color="auto"/>
              <w:bottom w:val="nil"/>
              <w:right w:val="single" w:sz="4" w:space="0" w:color="auto"/>
            </w:tcBorders>
          </w:tcPr>
          <w:p w14:paraId="43858A98" w14:textId="193E3CC4" w:rsidR="000A03B2" w:rsidRPr="00D72C04" w:rsidRDefault="000A03B2" w:rsidP="00CD5FE2">
            <w:pPr>
              <w:spacing w:line="140" w:lineRule="atLeast"/>
              <w:jc w:val="right"/>
              <w:rPr>
                <w:rFonts w:cs="Arial"/>
                <w:sz w:val="14"/>
                <w:szCs w:val="14"/>
                <w:lang w:val="en-US"/>
              </w:rPr>
            </w:pPr>
            <w:r w:rsidRPr="00D72C04">
              <w:rPr>
                <w:rFonts w:cs="Arial"/>
                <w:sz w:val="14"/>
                <w:szCs w:val="14"/>
                <w:lang w:val="en-US"/>
              </w:rPr>
              <w:t xml:space="preserve">The </w:t>
            </w:r>
            <w:proofErr w:type="spellStart"/>
            <w:r w:rsidR="00EF0A1D" w:rsidRPr="00D72C04">
              <w:rPr>
                <w:rFonts w:cs="Arial"/>
                <w:sz w:val="14"/>
                <w:szCs w:val="14"/>
                <w:lang w:val="en-US"/>
              </w:rPr>
              <w:t>Italiana</w:t>
            </w:r>
            <w:proofErr w:type="spellEnd"/>
            <w:r w:rsidRPr="00D72C04">
              <w:rPr>
                <w:rFonts w:cs="Arial"/>
                <w:sz w:val="14"/>
                <w:szCs w:val="14"/>
                <w:lang w:val="en-US"/>
              </w:rPr>
              <w:t xml:space="preserve"> Association</w:t>
            </w:r>
          </w:p>
          <w:p w14:paraId="7522B1D2" w14:textId="77777777" w:rsidR="000A03B2" w:rsidRPr="00D72C04" w:rsidRDefault="000A03B2" w:rsidP="00CD5FE2">
            <w:pPr>
              <w:spacing w:line="140" w:lineRule="atLeast"/>
              <w:jc w:val="right"/>
              <w:rPr>
                <w:rFonts w:cs="Arial"/>
                <w:sz w:val="14"/>
                <w:szCs w:val="14"/>
                <w:lang w:val="en-US"/>
              </w:rPr>
            </w:pPr>
            <w:r w:rsidRPr="00D72C04">
              <w:rPr>
                <w:rFonts w:cs="Arial"/>
                <w:sz w:val="14"/>
                <w:szCs w:val="14"/>
                <w:lang w:val="en-US"/>
              </w:rPr>
              <w:t>of Chemical Engineering</w:t>
            </w:r>
          </w:p>
          <w:p w14:paraId="4F0CC5DE" w14:textId="47FDB2FC" w:rsidR="000A03B2" w:rsidRPr="00D72C04" w:rsidRDefault="000D0268" w:rsidP="00CD5FE2">
            <w:pPr>
              <w:spacing w:line="140" w:lineRule="atLeast"/>
              <w:jc w:val="right"/>
              <w:rPr>
                <w:rFonts w:cs="Arial"/>
                <w:sz w:val="13"/>
                <w:szCs w:val="13"/>
                <w:lang w:val="en-US"/>
              </w:rPr>
            </w:pPr>
            <w:r w:rsidRPr="00D72C04">
              <w:rPr>
                <w:rFonts w:cs="Arial"/>
                <w:sz w:val="13"/>
                <w:szCs w:val="13"/>
                <w:lang w:val="en-US"/>
              </w:rPr>
              <w:t>Online at www.cetjournal.it</w:t>
            </w:r>
          </w:p>
        </w:tc>
      </w:tr>
      <w:tr w:rsidR="000A03B2" w:rsidRPr="00D72C04" w14:paraId="2D1B7169" w14:textId="77777777" w:rsidTr="00B51ACA">
        <w:trPr>
          <w:trHeight w:val="68"/>
          <w:jc w:val="center"/>
        </w:trPr>
        <w:tc>
          <w:tcPr>
            <w:tcW w:w="8787" w:type="dxa"/>
            <w:gridSpan w:val="2"/>
          </w:tcPr>
          <w:p w14:paraId="1D8DD3C9" w14:textId="26FE8003" w:rsidR="00AA7D26" w:rsidRPr="006D7BE5" w:rsidRDefault="00AA7D26" w:rsidP="00AA7D26">
            <w:pPr>
              <w:ind w:left="-107"/>
              <w:outlineLvl w:val="2"/>
              <w:rPr>
                <w:rFonts w:ascii="Tahoma" w:hAnsi="Tahoma" w:cs="Tahoma"/>
                <w:bCs/>
                <w:color w:val="000000"/>
                <w:sz w:val="14"/>
                <w:szCs w:val="14"/>
                <w:lang w:val="es-PE" w:eastAsia="it-IT"/>
              </w:rPr>
            </w:pPr>
            <w:proofErr w:type="spellStart"/>
            <w:r w:rsidRPr="006D7BE5">
              <w:rPr>
                <w:rFonts w:ascii="Tahoma" w:hAnsi="Tahoma" w:cs="Tahoma"/>
                <w:iCs/>
                <w:color w:val="333333"/>
                <w:sz w:val="14"/>
                <w:szCs w:val="14"/>
                <w:lang w:val="es-PE" w:eastAsia="it-IT"/>
              </w:rPr>
              <w:t>Guest</w:t>
            </w:r>
            <w:proofErr w:type="spellEnd"/>
            <w:r w:rsidRPr="006D7BE5">
              <w:rPr>
                <w:rFonts w:ascii="Tahoma" w:hAnsi="Tahoma" w:cs="Tahoma"/>
                <w:iCs/>
                <w:color w:val="333333"/>
                <w:sz w:val="14"/>
                <w:szCs w:val="14"/>
                <w:lang w:val="es-PE" w:eastAsia="it-IT"/>
              </w:rPr>
              <w:t xml:space="preserve"> </w:t>
            </w:r>
            <w:proofErr w:type="spellStart"/>
            <w:r w:rsidRPr="006D7BE5">
              <w:rPr>
                <w:rFonts w:ascii="Tahoma" w:hAnsi="Tahoma" w:cs="Tahoma"/>
                <w:iCs/>
                <w:color w:val="333333"/>
                <w:sz w:val="14"/>
                <w:szCs w:val="14"/>
                <w:lang w:val="es-PE" w:eastAsia="it-IT"/>
              </w:rPr>
              <w:t>Editors</w:t>
            </w:r>
            <w:proofErr w:type="spellEnd"/>
            <w:r w:rsidRPr="006D7BE5">
              <w:rPr>
                <w:rFonts w:ascii="Tahoma" w:hAnsi="Tahoma" w:cs="Tahoma"/>
                <w:iCs/>
                <w:color w:val="333333"/>
                <w:sz w:val="14"/>
                <w:szCs w:val="14"/>
                <w:lang w:val="es-PE" w:eastAsia="it-IT"/>
              </w:rPr>
              <w:t>:</w:t>
            </w:r>
            <w:r w:rsidRPr="006D7BE5">
              <w:rPr>
                <w:rFonts w:ascii="Tahoma" w:hAnsi="Tahoma" w:cs="Tahoma"/>
                <w:color w:val="000000"/>
                <w:sz w:val="14"/>
                <w:szCs w:val="14"/>
                <w:shd w:val="clear" w:color="auto" w:fill="FFFFFF"/>
                <w:lang w:val="es-PE"/>
              </w:rPr>
              <w:t xml:space="preserve"> </w:t>
            </w:r>
            <w:r w:rsidR="002B3FFF" w:rsidRPr="006D7BE5">
              <w:rPr>
                <w:rFonts w:ascii="Tahoma" w:hAnsi="Tahoma" w:cs="Tahoma"/>
                <w:color w:val="000000"/>
                <w:sz w:val="14"/>
                <w:szCs w:val="14"/>
                <w:shd w:val="clear" w:color="auto" w:fill="FFFFFF"/>
                <w:lang w:val="es-PE"/>
              </w:rPr>
              <w:t xml:space="preserve">Paolo </w:t>
            </w:r>
            <w:proofErr w:type="spellStart"/>
            <w:r w:rsidR="002B3FFF" w:rsidRPr="006D7BE5">
              <w:rPr>
                <w:rFonts w:ascii="Tahoma" w:hAnsi="Tahoma" w:cs="Tahoma"/>
                <w:color w:val="000000"/>
                <w:sz w:val="14"/>
                <w:szCs w:val="14"/>
                <w:shd w:val="clear" w:color="auto" w:fill="FFFFFF"/>
                <w:lang w:val="es-PE"/>
              </w:rPr>
              <w:t>Ciambelli</w:t>
            </w:r>
            <w:proofErr w:type="spellEnd"/>
            <w:r w:rsidR="002B3FFF" w:rsidRPr="006D7BE5">
              <w:rPr>
                <w:rFonts w:ascii="Tahoma" w:hAnsi="Tahoma" w:cs="Tahoma"/>
                <w:color w:val="000000"/>
                <w:sz w:val="14"/>
                <w:szCs w:val="14"/>
                <w:shd w:val="clear" w:color="auto" w:fill="FFFFFF"/>
                <w:lang w:val="es-PE"/>
              </w:rPr>
              <w:t>, Luca Di Palma</w:t>
            </w:r>
          </w:p>
          <w:p w14:paraId="1B0F1814" w14:textId="1F7D2C4F" w:rsidR="000A03B2" w:rsidRPr="00D72C04" w:rsidRDefault="00AA7D26" w:rsidP="00AA7D26">
            <w:pPr>
              <w:tabs>
                <w:tab w:val="left" w:pos="-108"/>
              </w:tabs>
              <w:spacing w:line="140" w:lineRule="atLeast"/>
              <w:ind w:left="-107"/>
              <w:jc w:val="left"/>
              <w:rPr>
                <w:lang w:val="en-US"/>
              </w:rPr>
            </w:pPr>
            <w:r w:rsidRPr="00D72C04">
              <w:rPr>
                <w:rFonts w:ascii="Tahoma" w:hAnsi="Tahoma" w:cs="Tahoma"/>
                <w:iCs/>
                <w:color w:val="333333"/>
                <w:sz w:val="14"/>
                <w:szCs w:val="14"/>
                <w:lang w:val="en-US" w:eastAsia="it-IT"/>
              </w:rPr>
              <w:t xml:space="preserve">Copyright © 2023, AIDIC </w:t>
            </w:r>
            <w:proofErr w:type="spellStart"/>
            <w:r w:rsidRPr="00D72C04">
              <w:rPr>
                <w:rFonts w:ascii="Tahoma" w:hAnsi="Tahoma" w:cs="Tahoma"/>
                <w:iCs/>
                <w:color w:val="333333"/>
                <w:sz w:val="14"/>
                <w:szCs w:val="14"/>
                <w:lang w:val="en-US" w:eastAsia="it-IT"/>
              </w:rPr>
              <w:t>Servizi</w:t>
            </w:r>
            <w:proofErr w:type="spellEnd"/>
            <w:r w:rsidRPr="00D72C04">
              <w:rPr>
                <w:rFonts w:ascii="Tahoma" w:hAnsi="Tahoma" w:cs="Tahoma"/>
                <w:iCs/>
                <w:color w:val="333333"/>
                <w:sz w:val="14"/>
                <w:szCs w:val="14"/>
                <w:lang w:val="en-US" w:eastAsia="it-IT"/>
              </w:rPr>
              <w:t xml:space="preserve"> S.r.l.</w:t>
            </w:r>
            <w:r w:rsidRPr="00D72C04">
              <w:rPr>
                <w:rFonts w:ascii="Tahoma" w:hAnsi="Tahoma" w:cs="Tahoma"/>
                <w:iCs/>
                <w:color w:val="333333"/>
                <w:sz w:val="14"/>
                <w:szCs w:val="14"/>
                <w:lang w:val="en-US" w:eastAsia="it-IT"/>
              </w:rPr>
              <w:br/>
            </w:r>
            <w:r w:rsidRPr="00D72C04">
              <w:rPr>
                <w:rFonts w:ascii="Tahoma" w:hAnsi="Tahoma" w:cs="Tahoma"/>
                <w:b/>
                <w:iCs/>
                <w:color w:val="000000"/>
                <w:sz w:val="14"/>
                <w:szCs w:val="14"/>
                <w:lang w:val="en-US" w:eastAsia="it-IT"/>
              </w:rPr>
              <w:t>ISBN</w:t>
            </w:r>
            <w:r w:rsidRPr="00D72C04">
              <w:rPr>
                <w:rFonts w:ascii="Tahoma" w:hAnsi="Tahoma" w:cs="Tahoma"/>
                <w:iCs/>
                <w:color w:val="000000"/>
                <w:sz w:val="14"/>
                <w:szCs w:val="14"/>
                <w:lang w:val="en-US" w:eastAsia="it-IT"/>
              </w:rPr>
              <w:t xml:space="preserve"> </w:t>
            </w:r>
            <w:r w:rsidRPr="00D72C04">
              <w:rPr>
                <w:rFonts w:ascii="Tahoma" w:hAnsi="Tahoma" w:cs="Tahoma"/>
                <w:sz w:val="14"/>
                <w:szCs w:val="14"/>
                <w:lang w:val="en-US"/>
              </w:rPr>
              <w:t>97</w:t>
            </w:r>
            <w:r w:rsidR="00372E71" w:rsidRPr="00D72C04">
              <w:rPr>
                <w:rFonts w:ascii="Tahoma" w:hAnsi="Tahoma" w:cs="Tahoma"/>
                <w:sz w:val="14"/>
                <w:szCs w:val="14"/>
                <w:lang w:val="en-US"/>
              </w:rPr>
              <w:t>9</w:t>
            </w:r>
            <w:r w:rsidRPr="00D72C04">
              <w:rPr>
                <w:rFonts w:ascii="Tahoma" w:hAnsi="Tahoma" w:cs="Tahoma"/>
                <w:sz w:val="14"/>
                <w:szCs w:val="14"/>
                <w:lang w:val="en-US"/>
              </w:rPr>
              <w:t>-</w:t>
            </w:r>
            <w:r w:rsidR="00372E71" w:rsidRPr="00D72C04">
              <w:rPr>
                <w:rFonts w:ascii="Tahoma" w:hAnsi="Tahoma" w:cs="Tahoma"/>
                <w:sz w:val="14"/>
                <w:szCs w:val="14"/>
                <w:lang w:val="en-US"/>
              </w:rPr>
              <w:t>12</w:t>
            </w:r>
            <w:r w:rsidRPr="00D72C04">
              <w:rPr>
                <w:rFonts w:ascii="Tahoma" w:hAnsi="Tahoma" w:cs="Tahoma"/>
                <w:sz w:val="14"/>
                <w:szCs w:val="14"/>
                <w:lang w:val="en-US"/>
              </w:rPr>
              <w:t>-</w:t>
            </w:r>
            <w:r w:rsidR="00E33DD7" w:rsidRPr="00D72C04">
              <w:rPr>
                <w:rFonts w:ascii="Tahoma" w:hAnsi="Tahoma" w:cs="Tahoma"/>
                <w:sz w:val="14"/>
                <w:szCs w:val="14"/>
                <w:lang w:val="en-US"/>
              </w:rPr>
              <w:t>81206</w:t>
            </w:r>
            <w:r w:rsidRPr="00D72C04">
              <w:rPr>
                <w:rFonts w:ascii="Tahoma" w:hAnsi="Tahoma" w:cs="Tahoma"/>
                <w:sz w:val="14"/>
                <w:szCs w:val="14"/>
                <w:lang w:val="en-US"/>
              </w:rPr>
              <w:t>-</w:t>
            </w:r>
            <w:r w:rsidR="00E33DD7" w:rsidRPr="00D72C04">
              <w:rPr>
                <w:rFonts w:ascii="Tahoma" w:hAnsi="Tahoma" w:cs="Tahoma"/>
                <w:sz w:val="14"/>
                <w:szCs w:val="14"/>
                <w:lang w:val="en-US"/>
              </w:rPr>
              <w:t>00</w:t>
            </w:r>
            <w:r w:rsidRPr="00D72C04">
              <w:rPr>
                <w:rFonts w:ascii="Tahoma" w:hAnsi="Tahoma" w:cs="Tahoma"/>
                <w:sz w:val="14"/>
                <w:szCs w:val="14"/>
                <w:lang w:val="en-US"/>
              </w:rPr>
              <w:t>-</w:t>
            </w:r>
            <w:r w:rsidR="00E33DD7" w:rsidRPr="00D72C04">
              <w:rPr>
                <w:rFonts w:ascii="Tahoma" w:hAnsi="Tahoma" w:cs="Tahoma"/>
                <w:sz w:val="14"/>
                <w:szCs w:val="14"/>
                <w:lang w:val="en-US"/>
              </w:rPr>
              <w:t>7</w:t>
            </w:r>
            <w:r w:rsidRPr="00D72C04">
              <w:rPr>
                <w:rFonts w:ascii="Tahoma" w:hAnsi="Tahoma" w:cs="Tahoma"/>
                <w:iCs/>
                <w:color w:val="333333"/>
                <w:sz w:val="14"/>
                <w:szCs w:val="14"/>
                <w:lang w:val="en-US" w:eastAsia="it-IT"/>
              </w:rPr>
              <w:t xml:space="preserve">; </w:t>
            </w:r>
            <w:r w:rsidRPr="00D72C04">
              <w:rPr>
                <w:rFonts w:ascii="Tahoma" w:hAnsi="Tahoma" w:cs="Tahoma"/>
                <w:b/>
                <w:iCs/>
                <w:color w:val="333333"/>
                <w:sz w:val="14"/>
                <w:szCs w:val="14"/>
                <w:lang w:val="en-US" w:eastAsia="it-IT"/>
              </w:rPr>
              <w:t>ISSN</w:t>
            </w:r>
            <w:r w:rsidRPr="00D72C04">
              <w:rPr>
                <w:rFonts w:ascii="Tahoma" w:hAnsi="Tahoma" w:cs="Tahoma"/>
                <w:iCs/>
                <w:color w:val="333333"/>
                <w:sz w:val="14"/>
                <w:szCs w:val="14"/>
                <w:lang w:val="en-US" w:eastAsia="it-IT"/>
              </w:rPr>
              <w:t xml:space="preserve"> 2283-9216</w:t>
            </w:r>
          </w:p>
        </w:tc>
      </w:tr>
    </w:tbl>
    <w:p w14:paraId="2369F9A0" w14:textId="77777777" w:rsidR="009233A6" w:rsidRPr="00D72C04" w:rsidRDefault="009233A6" w:rsidP="006B67E2">
      <w:pPr>
        <w:pStyle w:val="CETAuthors"/>
        <w:spacing w:after="0" w:line="240" w:lineRule="auto"/>
        <w:jc w:val="center"/>
        <w:rPr>
          <w:noProof w:val="0"/>
          <w:sz w:val="32"/>
          <w:lang w:val="en-US"/>
        </w:rPr>
      </w:pPr>
    </w:p>
    <w:p w14:paraId="1401DA2C" w14:textId="207E3A76" w:rsidR="00B51ACA" w:rsidRPr="00D72C04" w:rsidRDefault="00886F40" w:rsidP="0065506B">
      <w:pPr>
        <w:pStyle w:val="CETAuthors"/>
        <w:spacing w:after="0" w:line="240" w:lineRule="auto"/>
        <w:jc w:val="center"/>
        <w:rPr>
          <w:noProof w:val="0"/>
          <w:sz w:val="32"/>
          <w:lang w:val="en-US"/>
        </w:rPr>
      </w:pPr>
      <w:r>
        <w:rPr>
          <w:noProof w:val="0"/>
          <w:sz w:val="32"/>
          <w:lang w:val="en-US"/>
        </w:rPr>
        <w:t>Environmental Nanotechnology: Carbon Nanotubes as an Alternative to Reduce Organic Matter in W</w:t>
      </w:r>
      <w:r w:rsidR="00B51ACA" w:rsidRPr="00D72C04">
        <w:rPr>
          <w:noProof w:val="0"/>
          <w:sz w:val="32"/>
          <w:lang w:val="en-US"/>
        </w:rPr>
        <w:t>etlands</w:t>
      </w:r>
    </w:p>
    <w:p w14:paraId="6E3CEACA" w14:textId="77777777" w:rsidR="0065506B" w:rsidRPr="00D72C04" w:rsidRDefault="0065506B" w:rsidP="0065506B">
      <w:pPr>
        <w:pStyle w:val="CETAuthors"/>
        <w:spacing w:after="0" w:line="240" w:lineRule="auto"/>
        <w:jc w:val="center"/>
        <w:rPr>
          <w:noProof w:val="0"/>
          <w:sz w:val="32"/>
          <w:lang w:val="en-US"/>
        </w:rPr>
      </w:pPr>
    </w:p>
    <w:p w14:paraId="499FED47" w14:textId="29E3F554" w:rsidR="00B51ACA" w:rsidRPr="006D7BE5" w:rsidRDefault="0065506B" w:rsidP="0065506B">
      <w:pPr>
        <w:pStyle w:val="CETAddress"/>
        <w:spacing w:line="240" w:lineRule="auto"/>
        <w:jc w:val="center"/>
        <w:rPr>
          <w:vertAlign w:val="superscript"/>
          <w:lang w:val="es-PE"/>
        </w:rPr>
      </w:pPr>
      <w:r w:rsidRPr="006D7BE5">
        <w:rPr>
          <w:sz w:val="24"/>
          <w:lang w:val="es-PE"/>
        </w:rPr>
        <w:t xml:space="preserve">Eusterio H. Acosta Suasnabar, </w:t>
      </w:r>
      <w:r w:rsidR="00B51ACA" w:rsidRPr="006D7BE5">
        <w:rPr>
          <w:sz w:val="24"/>
          <w:lang w:val="es-PE"/>
        </w:rPr>
        <w:t>Marcia L. Aquino Soto, Elmer Benites-Alfaro</w:t>
      </w:r>
      <w:r w:rsidR="00C95D29">
        <w:rPr>
          <w:sz w:val="24"/>
          <w:lang w:val="es-PE"/>
        </w:rPr>
        <w:t>, Jonnatan V. Bañon Arias</w:t>
      </w:r>
    </w:p>
    <w:p w14:paraId="2471E341" w14:textId="77777777" w:rsidR="00B51ACA" w:rsidRPr="006D7BE5" w:rsidRDefault="00B51ACA" w:rsidP="00B57E6F">
      <w:pPr>
        <w:pStyle w:val="CETAddress"/>
        <w:rPr>
          <w:vertAlign w:val="superscript"/>
          <w:lang w:val="es-PE"/>
        </w:rPr>
      </w:pPr>
    </w:p>
    <w:p w14:paraId="73C0DCB0" w14:textId="1F61AC33" w:rsidR="006111A7" w:rsidRPr="006D7BE5" w:rsidRDefault="006111A7" w:rsidP="00600535">
      <w:pPr>
        <w:pStyle w:val="CETBodytext"/>
        <w:rPr>
          <w:lang w:val="es-PE"/>
        </w:rPr>
      </w:pPr>
      <w:r w:rsidRPr="006D7BE5">
        <w:rPr>
          <w:lang w:val="es-PE"/>
        </w:rPr>
        <w:t>Universidad César Vallejo, Campus Los Olivos, Lima, Perú</w:t>
      </w:r>
    </w:p>
    <w:p w14:paraId="0117E384" w14:textId="2A04DA03" w:rsidR="006111A7" w:rsidRPr="00D72C04" w:rsidRDefault="00AA3DE8" w:rsidP="00600535">
      <w:pPr>
        <w:pStyle w:val="CETBodytext"/>
      </w:pPr>
      <w:hyperlink r:id="rId10" w:history="1">
        <w:r w:rsidR="0065506B" w:rsidRPr="00D72C04">
          <w:rPr>
            <w:rStyle w:val="Hipervnculo"/>
            <w:color w:val="auto"/>
            <w:u w:val="none"/>
          </w:rPr>
          <w:t>eacostas@ucv.edu.pe</w:t>
        </w:r>
      </w:hyperlink>
    </w:p>
    <w:p w14:paraId="6A3CDD1B" w14:textId="3BFB51DD" w:rsidR="00D72C04" w:rsidRPr="00D72C04" w:rsidRDefault="00D72C04" w:rsidP="00C25EAE">
      <w:pPr>
        <w:pStyle w:val="CETListbullets"/>
        <w:ind w:left="0" w:firstLine="0"/>
        <w:rPr>
          <w:lang w:val="en-US"/>
        </w:rPr>
      </w:pPr>
    </w:p>
    <w:p w14:paraId="33806B32" w14:textId="2317E7E4" w:rsidR="00D72C04" w:rsidRPr="00D72C04" w:rsidRDefault="00D72C04" w:rsidP="00D72C04">
      <w:pPr>
        <w:pStyle w:val="CETListbullets"/>
        <w:ind w:left="0" w:firstLine="0"/>
        <w:rPr>
          <w:lang w:val="en-US"/>
        </w:rPr>
      </w:pPr>
      <w:r w:rsidRPr="00D72C04">
        <w:rPr>
          <w:lang w:val="en-US"/>
        </w:rPr>
        <w:t>Wetlands are a crucial means of life and balance for flora and fauna as they provide a refuge and habitat for many species. However, anthropogenic activities aimed at taking advantage of these wetlands also contribute to their deterioration, with one of the most significant factors being the dumping of wastewater that results in an increase in organic matter in these bodies of water. This research presents an alternative solution to this problem by testing the use of carbon nanotubes with diameters of 20-40 nm and lengths of 10-30 μm to remove organic load from the wetlands located in Ventanilla, Callao – Peru.</w:t>
      </w:r>
      <w:r>
        <w:rPr>
          <w:lang w:val="en-US"/>
        </w:rPr>
        <w:t xml:space="preserve"> </w:t>
      </w:r>
      <w:r w:rsidRPr="00D72C04">
        <w:rPr>
          <w:lang w:val="en-US"/>
        </w:rPr>
        <w:t>Using doses of 50, 100, and 150 g of carbon nanotubes, the study evaluated the decrease in the indicator parameters of organic load. The dose of 150 g was found to achieve the most significant reduction, decreasing BOD5 by 84%, COD by 79%, and nitrogen by 93%. The research demonstrates that carbon nanotubes are efficient in removing organic load from wetland water, and this method can be replicated in other locations to aid in the conservation of these essential ecosystem services.</w:t>
      </w:r>
    </w:p>
    <w:p w14:paraId="2BA326B1" w14:textId="77777777" w:rsidR="00B40A4B" w:rsidRPr="00D72C04" w:rsidRDefault="00B40A4B" w:rsidP="00C25EAE">
      <w:pPr>
        <w:pStyle w:val="CETListbullets"/>
        <w:ind w:left="0" w:firstLine="0"/>
        <w:rPr>
          <w:lang w:val="en-US"/>
        </w:rPr>
      </w:pPr>
    </w:p>
    <w:p w14:paraId="2D100C33" w14:textId="3F6B7112" w:rsidR="00B40A4B" w:rsidRPr="00D72C04" w:rsidRDefault="00B40A4B" w:rsidP="00BD43B4">
      <w:pPr>
        <w:pStyle w:val="CETBodytext"/>
        <w:numPr>
          <w:ilvl w:val="0"/>
          <w:numId w:val="26"/>
        </w:numPr>
        <w:spacing w:line="360" w:lineRule="auto"/>
        <w:ind w:left="284" w:hanging="284"/>
        <w:rPr>
          <w:b/>
          <w:sz w:val="20"/>
        </w:rPr>
      </w:pPr>
      <w:r w:rsidRPr="00D72C04">
        <w:rPr>
          <w:b/>
          <w:sz w:val="20"/>
        </w:rPr>
        <w:t>Introduction</w:t>
      </w:r>
    </w:p>
    <w:p w14:paraId="1A9F8F03" w14:textId="42977D19" w:rsidR="00646AD0" w:rsidRPr="004B3E34" w:rsidRDefault="00646AD0" w:rsidP="00646AD0">
      <w:pPr>
        <w:pStyle w:val="CETBodytext"/>
        <w:spacing w:line="240" w:lineRule="auto"/>
        <w:rPr>
          <w:szCs w:val="18"/>
        </w:rPr>
      </w:pPr>
      <w:r w:rsidRPr="004B3E34">
        <w:rPr>
          <w:szCs w:val="18"/>
        </w:rPr>
        <w:t xml:space="preserve">The development of new water treatment technologies is necessary with water quality for its re-use and for the protection of the environment. The use of nanomaterials favors the development of more efficient and advanced treatments in water </w:t>
      </w:r>
      <w:bookmarkStart w:id="0" w:name="_Hlk131931452"/>
      <w:r w:rsidRPr="004B3E34">
        <w:rPr>
          <w:szCs w:val="18"/>
        </w:rPr>
        <w:t xml:space="preserve">(Chávez-Lizárraga, 2018). </w:t>
      </w:r>
      <w:bookmarkEnd w:id="0"/>
      <w:r w:rsidRPr="004B3E34">
        <w:rPr>
          <w:szCs w:val="18"/>
        </w:rPr>
        <w:t>The potential solution for wastewater treatment lies in nanotechnology with techniques such as filtration, the use of nanoparticles in catalysis, and desalination. In addition, conventional techniques such as adsorption, flocculation and coagulation can be enhanced (</w:t>
      </w:r>
      <w:bookmarkStart w:id="1" w:name="_Hlk131931475"/>
      <w:r w:rsidRPr="004B3E34">
        <w:rPr>
          <w:szCs w:val="18"/>
        </w:rPr>
        <w:t>Lu and Astruc 2018).</w:t>
      </w:r>
      <w:bookmarkEnd w:id="1"/>
      <w:r w:rsidRPr="004B3E34">
        <w:rPr>
          <w:szCs w:val="18"/>
        </w:rPr>
        <w:t xml:space="preserve"> In nanotechnology, material is manipulated on a scale close to the atomic to produce new structures, artifacts, and materials; They are made up of particles with a dimension in the range of 1 -100 nm (</w:t>
      </w:r>
      <w:bookmarkStart w:id="2" w:name="_Hlk131931495"/>
      <w:r w:rsidRPr="004B3E34">
        <w:rPr>
          <w:szCs w:val="18"/>
        </w:rPr>
        <w:t>Morose, 2010</w:t>
      </w:r>
      <w:bookmarkEnd w:id="2"/>
      <w:r w:rsidRPr="004B3E34">
        <w:rPr>
          <w:szCs w:val="18"/>
        </w:rPr>
        <w:t>), so nanoparticles can be effectively transported by the flow of water (</w:t>
      </w:r>
      <w:bookmarkStart w:id="3" w:name="_Hlk131931516"/>
      <w:r w:rsidRPr="004B3E34">
        <w:rPr>
          <w:szCs w:val="18"/>
        </w:rPr>
        <w:t>Zhang, 2003</w:t>
      </w:r>
      <w:bookmarkEnd w:id="3"/>
      <w:r w:rsidRPr="004B3E34">
        <w:rPr>
          <w:szCs w:val="18"/>
        </w:rPr>
        <w:t>). Carbon nanotubes possess rapid absorption of impurities in aqueous sources and interact with organic molecules through van der Waals force, hydrogen bonding, and hydrophobic interactions, also carbon nanotubes are regenerable adsorbents and could be used up to five absorption cycles without losing efficiency, with efficiency in the separation of heavy metal ions in aqueous solutions. (</w:t>
      </w:r>
      <w:bookmarkStart w:id="4" w:name="_Hlk131931533"/>
      <w:r w:rsidRPr="004B3E34">
        <w:rPr>
          <w:szCs w:val="18"/>
        </w:rPr>
        <w:t>Rojas et al., 2016</w:t>
      </w:r>
      <w:bookmarkEnd w:id="4"/>
      <w:r w:rsidRPr="004B3E34">
        <w:rPr>
          <w:szCs w:val="18"/>
        </w:rPr>
        <w:t>).</w:t>
      </w:r>
    </w:p>
    <w:p w14:paraId="48A6F256" w14:textId="71F567F7" w:rsidR="00FE3850" w:rsidRPr="004B3E34" w:rsidRDefault="007853EF" w:rsidP="00646AD0">
      <w:pPr>
        <w:pStyle w:val="CETBodytext"/>
        <w:spacing w:line="240" w:lineRule="auto"/>
        <w:rPr>
          <w:szCs w:val="18"/>
        </w:rPr>
      </w:pPr>
      <w:r w:rsidRPr="004B3E34">
        <w:rPr>
          <w:szCs w:val="18"/>
        </w:rPr>
        <w:t>For the removal of metal ions: Pb</w:t>
      </w:r>
      <w:r w:rsidRPr="004B3E34">
        <w:rPr>
          <w:szCs w:val="18"/>
        </w:rPr>
        <w:t xml:space="preserve"> </w:t>
      </w:r>
      <w:r w:rsidRPr="004B3E34">
        <w:rPr>
          <w:szCs w:val="18"/>
        </w:rPr>
        <w:t>(II) and Cr</w:t>
      </w:r>
      <w:r w:rsidRPr="004B3E34">
        <w:rPr>
          <w:szCs w:val="18"/>
        </w:rPr>
        <w:t xml:space="preserve"> </w:t>
      </w:r>
      <w:r w:rsidRPr="004B3E34">
        <w:rPr>
          <w:szCs w:val="18"/>
        </w:rPr>
        <w:t>(VI) from wastewater, carbon nanotubes are effective adsorbents, in which they have gained some advantages in recent years due to their highly stable structures, unique properties and excellent removal performances. (</w:t>
      </w:r>
      <w:bookmarkStart w:id="5" w:name="_Hlk131931568"/>
      <w:r w:rsidRPr="004B3E34">
        <w:rPr>
          <w:szCs w:val="18"/>
        </w:rPr>
        <w:t>Guoqiang et al., 2018</w:t>
      </w:r>
      <w:bookmarkEnd w:id="5"/>
      <w:r w:rsidRPr="004B3E34">
        <w:rPr>
          <w:szCs w:val="18"/>
        </w:rPr>
        <w:t>), carbon nanotubes (CNTs) have many applications, such as water purification and heavy metal removal from industrial wastewater, due to their adsorption properties, such as chemical, mechanical, and thermal. They are a great contribution in the adsorption of heavy metals in wastewater and solution to environmental problems. (</w:t>
      </w:r>
      <w:bookmarkStart w:id="6" w:name="_Hlk131931597"/>
      <w:r w:rsidRPr="004B3E34">
        <w:rPr>
          <w:szCs w:val="18"/>
        </w:rPr>
        <w:t>Mubarak et al. 2014</w:t>
      </w:r>
      <w:bookmarkEnd w:id="6"/>
      <w:r w:rsidRPr="004B3E34">
        <w:rPr>
          <w:szCs w:val="18"/>
        </w:rPr>
        <w:t>).</w:t>
      </w:r>
    </w:p>
    <w:p w14:paraId="750FC075" w14:textId="7310B7C3" w:rsidR="008560E3" w:rsidRPr="004B3E34" w:rsidRDefault="007853EF" w:rsidP="008560E3">
      <w:pPr>
        <w:pStyle w:val="CETBodytext"/>
        <w:spacing w:line="240" w:lineRule="auto"/>
        <w:rPr>
          <w:szCs w:val="18"/>
        </w:rPr>
      </w:pPr>
      <w:r w:rsidRPr="004B3E34">
        <w:rPr>
          <w:szCs w:val="18"/>
        </w:rPr>
        <w:t>Carbon nanotube filters have a high removal efficiency of over 90% in wastewater treatment due to their ability to adsorb biological and chemical contaminants. This technology can be used by developing countries as it is a cost-effective treatment technology (</w:t>
      </w:r>
      <w:bookmarkStart w:id="7" w:name="_Hlk131931618"/>
      <w:r w:rsidRPr="004B3E34">
        <w:rPr>
          <w:szCs w:val="18"/>
        </w:rPr>
        <w:t>Sadia and Zhou, 2016</w:t>
      </w:r>
      <w:bookmarkEnd w:id="7"/>
      <w:r w:rsidRPr="004B3E34">
        <w:rPr>
          <w:szCs w:val="18"/>
        </w:rPr>
        <w:t>). The development of new water treatment technologies is necessary to improve the quality of water for its reuse and environmental protection. In terms of sustainability, the use of nanotechnology has reported very few environmental problems (Das et al., 2018). However, one study showed that CNTs can increase metal uptake and toxicity levels in living cells (</w:t>
      </w:r>
      <w:bookmarkStart w:id="8" w:name="_Hlk131931678"/>
      <w:r w:rsidRPr="004B3E34">
        <w:rPr>
          <w:szCs w:val="18"/>
        </w:rPr>
        <w:t>Wang et al., 2014)</w:t>
      </w:r>
      <w:bookmarkEnd w:id="8"/>
      <w:r w:rsidRPr="004B3E34">
        <w:rPr>
          <w:szCs w:val="18"/>
        </w:rPr>
        <w:t>. Immobilization of nanoparticles on reactor surfaces or support media can minimize the risk to public and environmental health. This can also reduce nanoparticle aggregation and improve activity (Xiaolei et al., 201</w:t>
      </w:r>
      <w:r w:rsidR="00C252FD" w:rsidRPr="004B3E34">
        <w:rPr>
          <w:szCs w:val="18"/>
        </w:rPr>
        <w:t>3</w:t>
      </w:r>
      <w:r w:rsidRPr="004B3E34">
        <w:rPr>
          <w:szCs w:val="18"/>
        </w:rPr>
        <w:t xml:space="preserve">). </w:t>
      </w:r>
    </w:p>
    <w:p w14:paraId="23E6DC0C" w14:textId="31445128" w:rsidR="007853EF" w:rsidRPr="004B3E34" w:rsidRDefault="007853EF" w:rsidP="00646AD0">
      <w:pPr>
        <w:pStyle w:val="CETBodytext"/>
        <w:spacing w:line="240" w:lineRule="auto"/>
        <w:rPr>
          <w:szCs w:val="18"/>
        </w:rPr>
      </w:pPr>
      <w:r w:rsidRPr="004B3E34">
        <w:rPr>
          <w:szCs w:val="18"/>
        </w:rPr>
        <w:lastRenderedPageBreak/>
        <w:t xml:space="preserve">The separation of organic matter from CNTs presents the mechanism of chemical and physical adsorption (Van der Waals force), including hydrogen bonds and π – π bonds </w:t>
      </w:r>
      <w:bookmarkStart w:id="9" w:name="_Hlk131931800"/>
      <w:r w:rsidRPr="004B3E34">
        <w:rPr>
          <w:szCs w:val="18"/>
        </w:rPr>
        <w:t>(Bittner et al., 2003; Yang and Xing, 2010; Peng et al., 2009</w:t>
      </w:r>
      <w:bookmarkEnd w:id="9"/>
      <w:r w:rsidR="002C04A8" w:rsidRPr="004B3E34">
        <w:rPr>
          <w:szCs w:val="18"/>
        </w:rPr>
        <w:t xml:space="preserve">. </w:t>
      </w:r>
      <w:r w:rsidRPr="004B3E34">
        <w:rPr>
          <w:szCs w:val="18"/>
        </w:rPr>
        <w:t>In</w:t>
      </w:r>
      <w:r w:rsidRPr="004B3E34">
        <w:rPr>
          <w:szCs w:val="18"/>
        </w:rPr>
        <w:t xml:space="preserve"> other technologies, such as The Toh</w:t>
      </w:r>
      <w:r w:rsidRPr="004B3E34">
        <w:rPr>
          <w:szCs w:val="18"/>
        </w:rPr>
        <w:t>a</w:t>
      </w:r>
      <w:r w:rsidRPr="004B3E34">
        <w:rPr>
          <w:szCs w:val="18"/>
        </w:rPr>
        <w:t xml:space="preserve"> system, which is a biofilter, according to </w:t>
      </w:r>
      <w:bookmarkStart w:id="10" w:name="_Hlk131931885"/>
      <w:r w:rsidRPr="004B3E34">
        <w:rPr>
          <w:szCs w:val="18"/>
        </w:rPr>
        <w:t xml:space="preserve">Chávez (2017), </w:t>
      </w:r>
      <w:bookmarkEnd w:id="10"/>
      <w:r w:rsidRPr="004B3E34">
        <w:rPr>
          <w:szCs w:val="18"/>
        </w:rPr>
        <w:t xml:space="preserve">the treatment of industrial effluents reduced the concentration of organic load by 94% BOD5 and 92% in COD. Likewise, Castro (2017) used 1% aluminum sulfate to reduce the organic load of the Camal municipality effluent through a jar test, determining a removal efficiency of 95.85% in COD and 95.34% in BOD5. Burgos (2015) eliminated organic matter from wastewater through artificial wetlands and reduced it by 60% after 7 days. </w:t>
      </w:r>
      <w:bookmarkStart w:id="11" w:name="_Hlk131931977"/>
      <w:r w:rsidRPr="004B3E34">
        <w:rPr>
          <w:szCs w:val="18"/>
        </w:rPr>
        <w:t>Moncada (2017</w:t>
      </w:r>
      <w:bookmarkEnd w:id="11"/>
      <w:r w:rsidRPr="004B3E34">
        <w:rPr>
          <w:szCs w:val="18"/>
        </w:rPr>
        <w:t>) used a slow sand filter for the treatment of effluents from the floriculture industry, removing BOD5 up to 97.14%. Vuppalaa et al. (2019) carried out a pilot wastewater treatment plant with high concentrations of Chemical Oxygen Demand (COD), Total Organic Carbon (TOC) and phenols, in addition to other pollutants, first with an organic coagulant (chitosan), and then with a photocatalytic step prior to the integrated membrane process. After the photocatalytic process, the concentrations of COD, TOC, and Phenols were reduced by up to 42%, 38%, and 36%, respectively.</w:t>
      </w:r>
    </w:p>
    <w:p w14:paraId="4FDDC239" w14:textId="6B3DD9F5" w:rsidR="007853EF" w:rsidRPr="004B3E34" w:rsidRDefault="007853EF" w:rsidP="00646AD0">
      <w:pPr>
        <w:pStyle w:val="CETBodytext"/>
        <w:spacing w:line="240" w:lineRule="auto"/>
        <w:rPr>
          <w:szCs w:val="18"/>
        </w:rPr>
      </w:pPr>
      <w:r w:rsidRPr="004B3E34">
        <w:rPr>
          <w:szCs w:val="18"/>
        </w:rPr>
        <w:t>Zha et al. (2018) managed to reduce COD using single-walled carbon nanotubes (SWCNTs), multi-walled carbon nanotubes (MWCNTs), and graphitized multi-walled carbon nanotubes (GWCNTs). They obtained an adsorption rate of 210.2 mg/g for graphitized multi-walled nanotubes (the highest adsorption rate) in 360 minutes, while the highest amount of COD adsorption was achieved for single-walled carbon nanotubes (227 0.8mg/g). In addition, they achieved full organic carbon adsorption with an efficiency of 64.5% for SWCNT and 60.0% for MWCNT. In earlier work, Zha et al. (2018) was able to reduce COD from 70 mg/L to 50 mg/L in effluents using activated sludge with ultra-short solids retention time (SRT) (≤ 4 days), but the effluent quality was relatively poor. The effectiveness of the CNT organic matter reduction method is due to its nanometer size, which provides a larger contact surface, hollow structure, and shell shape, making carbon nanotubes (CNTs) excellent adsorbents for removal. of organic micropollutants (Ahmad et al., 2019).</w:t>
      </w:r>
    </w:p>
    <w:p w14:paraId="64AB20E9" w14:textId="4326D12D" w:rsidR="007853EF" w:rsidRDefault="008D78C8" w:rsidP="00646AD0">
      <w:pPr>
        <w:pStyle w:val="CETBodytext"/>
        <w:spacing w:line="240" w:lineRule="auto"/>
        <w:rPr>
          <w:szCs w:val="18"/>
        </w:rPr>
      </w:pPr>
      <w:r w:rsidRPr="004B3E34">
        <w:rPr>
          <w:szCs w:val="18"/>
        </w:rPr>
        <w:t xml:space="preserve">Various technologies are available to reduce the organic load in wastewater, including anaerobic processes that use enzyme catalysts to speed up microbiological digestion and reduce BOD5 and COD. Chalen et al. (2017) reported efficiencies of 76.6% and 82%, respectively, using this method. Activated sludge is another methodology, which </w:t>
      </w:r>
      <w:bookmarkStart w:id="12" w:name="_Hlk131932152"/>
      <w:r w:rsidRPr="004B3E34">
        <w:rPr>
          <w:szCs w:val="18"/>
        </w:rPr>
        <w:t xml:space="preserve">Mejía-López et al. (2019) </w:t>
      </w:r>
      <w:bookmarkEnd w:id="12"/>
      <w:r w:rsidRPr="004B3E34">
        <w:rPr>
          <w:szCs w:val="18"/>
        </w:rPr>
        <w:t xml:space="preserve">used to reduce organic matter with an efficiency of 88% at 60 days. Phytodepuration of rural municipal waste using microalgae with Chlorophyceae and Cyanophyceae in a closed photobioreactor system at the semi-pilot level was also effective in reducing COD, total nitrogen, and total phosphorus, achieving reductions of 50%, 60%, and 50%, respectively, and complying with environmental quality standards, according to </w:t>
      </w:r>
      <w:bookmarkStart w:id="13" w:name="_Hlk131932185"/>
      <w:r w:rsidRPr="004B3E34">
        <w:rPr>
          <w:szCs w:val="18"/>
        </w:rPr>
        <w:t xml:space="preserve">Casazza and Rovatti (2019). </w:t>
      </w:r>
      <w:bookmarkEnd w:id="13"/>
      <w:r w:rsidRPr="004B3E34">
        <w:rPr>
          <w:szCs w:val="18"/>
        </w:rPr>
        <w:t xml:space="preserve">Finally, the separation processes (ultrafiltration, nanofiltration and reverse osmosis) were carried out and almost all the initial concentrations of COD, TOC and phenols were eliminated. In this context, the objective of the research was to determine the efficiency of the reduction of the organic load in the water of the Ventanilla Wetlands in the Callao region, using carbon </w:t>
      </w:r>
      <w:r w:rsidRPr="008D78C8">
        <w:rPr>
          <w:szCs w:val="18"/>
        </w:rPr>
        <w:t>nanotubes (NTC).</w:t>
      </w:r>
    </w:p>
    <w:p w14:paraId="53162AA1" w14:textId="60BD425C" w:rsidR="009770D5" w:rsidRPr="00D72C04" w:rsidRDefault="009770D5" w:rsidP="00B40A4B">
      <w:pPr>
        <w:pStyle w:val="CETHeading1"/>
        <w:numPr>
          <w:ilvl w:val="0"/>
          <w:numId w:val="26"/>
        </w:numPr>
        <w:ind w:left="284" w:hanging="284"/>
        <w:rPr>
          <w:rFonts w:eastAsia="Calibri"/>
        </w:rPr>
      </w:pPr>
      <w:r w:rsidRPr="00D72C04">
        <w:rPr>
          <w:rFonts w:eastAsia="Calibri"/>
        </w:rPr>
        <w:t xml:space="preserve">Methodology </w:t>
      </w:r>
    </w:p>
    <w:p w14:paraId="67DE8837" w14:textId="11726FDE" w:rsidR="009770D5" w:rsidRPr="00D72C04" w:rsidRDefault="00BD43B4" w:rsidP="00BD43B4">
      <w:pPr>
        <w:pStyle w:val="CETAcknowledgementstitle"/>
        <w:rPr>
          <w:rFonts w:eastAsia="Calibri"/>
          <w:lang w:val="en-US"/>
        </w:rPr>
      </w:pPr>
      <w:r w:rsidRPr="00D72C04">
        <w:rPr>
          <w:rFonts w:eastAsia="Calibri"/>
          <w:lang w:val="en-US"/>
        </w:rPr>
        <w:t xml:space="preserve">2.1 </w:t>
      </w:r>
      <w:r w:rsidR="009770D5" w:rsidRPr="00D72C04">
        <w:rPr>
          <w:rFonts w:eastAsia="Calibri"/>
          <w:lang w:val="en-US"/>
        </w:rPr>
        <w:t>Collection of the water sample to be studied.</w:t>
      </w:r>
    </w:p>
    <w:p w14:paraId="5A37C61B" w14:textId="5F1C91A7" w:rsidR="009770D5" w:rsidRDefault="009770D5" w:rsidP="009770D5">
      <w:pPr>
        <w:pStyle w:val="CETBodytext"/>
        <w:rPr>
          <w:rFonts w:eastAsia="Calibri" w:cs="Arial"/>
          <w:szCs w:val="18"/>
        </w:rPr>
      </w:pPr>
      <w:r w:rsidRPr="00D72C04">
        <w:rPr>
          <w:rFonts w:eastAsia="Calibri" w:cs="Arial"/>
          <w:szCs w:val="18"/>
        </w:rPr>
        <w:t xml:space="preserve">The sample was obtained from the Ventanilla wetlands, it is located in the district of </w:t>
      </w:r>
      <w:r w:rsidRPr="00711168">
        <w:rPr>
          <w:rFonts w:eastAsia="Calibri" w:cs="Arial"/>
          <w:i/>
          <w:iCs/>
          <w:szCs w:val="18"/>
        </w:rPr>
        <w:t>Ventanilla</w:t>
      </w:r>
      <w:r w:rsidRPr="00D72C04">
        <w:rPr>
          <w:rFonts w:eastAsia="Calibri" w:cs="Arial"/>
          <w:szCs w:val="18"/>
        </w:rPr>
        <w:t xml:space="preserve">, Province of </w:t>
      </w:r>
      <w:r w:rsidRPr="00711168">
        <w:rPr>
          <w:rFonts w:eastAsia="Calibri" w:cs="Arial"/>
          <w:i/>
          <w:iCs/>
          <w:szCs w:val="18"/>
        </w:rPr>
        <w:t>Callao</w:t>
      </w:r>
      <w:r w:rsidRPr="00D72C04">
        <w:rPr>
          <w:rFonts w:eastAsia="Calibri" w:cs="Arial"/>
          <w:szCs w:val="18"/>
        </w:rPr>
        <w:t>, Peru, it is located between the coordinates 11º 51 ́ 23" - 11º 52 ́ 42" Lat. South and 77º 07 ́43" - 77º 09 ́ 32" Long. West. The wetlands area is 275.8 ha.</w:t>
      </w:r>
    </w:p>
    <w:p w14:paraId="6DE25C5C" w14:textId="77777777" w:rsidR="007C649C" w:rsidRPr="00D72C04" w:rsidRDefault="007C649C" w:rsidP="00784BF5">
      <w:pPr>
        <w:pStyle w:val="CETBodytext"/>
        <w:rPr>
          <w:b/>
        </w:rPr>
      </w:pPr>
    </w:p>
    <w:p w14:paraId="41D4D8B7" w14:textId="4CAEA451" w:rsidR="0023269D" w:rsidRPr="00D72C04" w:rsidRDefault="0023269D" w:rsidP="00BD43B4">
      <w:pPr>
        <w:pStyle w:val="CETBodytext"/>
        <w:numPr>
          <w:ilvl w:val="1"/>
          <w:numId w:val="28"/>
        </w:numPr>
        <w:rPr>
          <w:b/>
        </w:rPr>
      </w:pPr>
      <w:r w:rsidRPr="00D72C04">
        <w:rPr>
          <w:b/>
        </w:rPr>
        <w:t>Pre-test characterization of the simple</w:t>
      </w:r>
    </w:p>
    <w:p w14:paraId="69CD076B" w14:textId="77777777" w:rsidR="0023269D" w:rsidRPr="00D72C04" w:rsidRDefault="0023269D" w:rsidP="0023269D">
      <w:pPr>
        <w:pStyle w:val="CETBodytext"/>
        <w:rPr>
          <w:b/>
        </w:rPr>
      </w:pPr>
    </w:p>
    <w:p w14:paraId="5BA95DDF" w14:textId="0B32F3D6" w:rsidR="0023269D" w:rsidRPr="00D72C04" w:rsidRDefault="0023269D" w:rsidP="0023269D">
      <w:pPr>
        <w:pStyle w:val="CETBodytext"/>
      </w:pPr>
      <w:r w:rsidRPr="00D72C04">
        <w:t>The pre-test characterization of the water was performed using the National protocol for Monitoring the Quality of Surface Water Resources R.J 010-2016-ANA and comp</w:t>
      </w:r>
      <w:r w:rsidR="004A7A09">
        <w:t>aring it with the Supreme Decret</w:t>
      </w:r>
      <w:r w:rsidRPr="00D72C04">
        <w:t xml:space="preserve"> N° 004- 2017 MINAN, Category 4 Waters, to determine the level of organic load of the </w:t>
      </w:r>
      <w:r w:rsidRPr="004B3E34">
        <w:t>Wetland (</w:t>
      </w:r>
      <w:bookmarkStart w:id="14" w:name="_Hlk131932218"/>
      <w:r w:rsidRPr="004B3E34">
        <w:t>MINAM. ECA, 2017</w:t>
      </w:r>
      <w:bookmarkEnd w:id="14"/>
      <w:r w:rsidRPr="004B3E34">
        <w:t>).</w:t>
      </w:r>
    </w:p>
    <w:p w14:paraId="0B832921" w14:textId="77777777" w:rsidR="0023269D" w:rsidRPr="00D72C04" w:rsidRDefault="0023269D" w:rsidP="00784BF5">
      <w:pPr>
        <w:pStyle w:val="CETBodytext"/>
        <w:rPr>
          <w:b/>
        </w:rPr>
      </w:pPr>
    </w:p>
    <w:p w14:paraId="27DC5C6D" w14:textId="641B55CC" w:rsidR="0023269D" w:rsidRPr="00D72C04" w:rsidRDefault="0023269D" w:rsidP="00BD43B4">
      <w:pPr>
        <w:pStyle w:val="CETBodytext"/>
        <w:numPr>
          <w:ilvl w:val="1"/>
          <w:numId w:val="28"/>
        </w:numPr>
        <w:rPr>
          <w:b/>
        </w:rPr>
      </w:pPr>
      <w:r w:rsidRPr="00D72C04">
        <w:rPr>
          <w:b/>
        </w:rPr>
        <w:t>Acquisition of the multi-walled carbon nanotubes.</w:t>
      </w:r>
    </w:p>
    <w:p w14:paraId="0D9CE72A" w14:textId="77777777" w:rsidR="0023269D" w:rsidRPr="00D72C04" w:rsidRDefault="0023269D" w:rsidP="0023269D">
      <w:pPr>
        <w:pStyle w:val="CETBodytext"/>
        <w:rPr>
          <w:b/>
        </w:rPr>
      </w:pPr>
    </w:p>
    <w:p w14:paraId="08DA2F94" w14:textId="1062E12D" w:rsidR="0023269D" w:rsidRPr="00D72C04" w:rsidRDefault="0023269D" w:rsidP="0023269D">
      <w:pPr>
        <w:pStyle w:val="CETBodytext"/>
      </w:pPr>
      <w:r w:rsidRPr="00D72C04">
        <w:t xml:space="preserve">The </w:t>
      </w:r>
      <w:r w:rsidR="0087332A">
        <w:t>MW</w:t>
      </w:r>
      <w:r w:rsidR="00646AD0" w:rsidRPr="00D72C04">
        <w:t>C</w:t>
      </w:r>
      <w:r w:rsidRPr="00D72C04">
        <w:t>T</w:t>
      </w:r>
      <w:r w:rsidR="00646AD0" w:rsidRPr="00D72C04">
        <w:t>N</w:t>
      </w:r>
      <w:r w:rsidRPr="00D72C04">
        <w:t>s were purchased from XFNANO, INC laboratory in China, with the characteristics shown in Table 1.</w:t>
      </w:r>
    </w:p>
    <w:p w14:paraId="355FF631" w14:textId="77777777" w:rsidR="0023269D" w:rsidRPr="00D72C04" w:rsidRDefault="0023269D" w:rsidP="00A411BE">
      <w:pPr>
        <w:pStyle w:val="CETBodytext"/>
        <w:rPr>
          <w:b/>
        </w:rPr>
      </w:pPr>
    </w:p>
    <w:p w14:paraId="34D371F4" w14:textId="06363930" w:rsidR="00B37158" w:rsidRPr="00D72C04" w:rsidRDefault="0023269D" w:rsidP="00BD43B4">
      <w:pPr>
        <w:pStyle w:val="CETTabletitle"/>
        <w:spacing w:before="0" w:after="0" w:line="276" w:lineRule="auto"/>
        <w:rPr>
          <w:lang w:val="en-US"/>
        </w:rPr>
      </w:pPr>
      <w:r w:rsidRPr="00D72C04">
        <w:rPr>
          <w:lang w:val="en-US"/>
        </w:rPr>
        <w:t>Table 1: Characteristics of carbon nanotubes. SEM of XPQ044 industrial grade MWCNTs</w:t>
      </w:r>
    </w:p>
    <w:tbl>
      <w:tblPr>
        <w:tblW w:w="0" w:type="auto"/>
        <w:tblInd w:w="70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08"/>
        <w:gridCol w:w="3613"/>
      </w:tblGrid>
      <w:tr w:rsidR="00B37158" w:rsidRPr="00D72C04" w14:paraId="53A57BBE" w14:textId="77777777" w:rsidTr="0075175F">
        <w:trPr>
          <w:trHeight w:val="163"/>
        </w:trPr>
        <w:tc>
          <w:tcPr>
            <w:tcW w:w="2408" w:type="dxa"/>
            <w:tcBorders>
              <w:top w:val="single" w:sz="12" w:space="0" w:color="008000"/>
              <w:bottom w:val="single" w:sz="6" w:space="0" w:color="008000"/>
            </w:tcBorders>
            <w:shd w:val="clear" w:color="auto" w:fill="FFFFFF"/>
          </w:tcPr>
          <w:p w14:paraId="2EC775E8" w14:textId="429C289A" w:rsidR="00B37158" w:rsidRPr="00D72C04" w:rsidRDefault="0023269D" w:rsidP="00BD43B4">
            <w:pPr>
              <w:pStyle w:val="CETBodytext"/>
              <w:jc w:val="center"/>
            </w:pPr>
            <w:r w:rsidRPr="00D72C04">
              <w:t>Characteristics</w:t>
            </w:r>
          </w:p>
        </w:tc>
        <w:tc>
          <w:tcPr>
            <w:tcW w:w="3613" w:type="dxa"/>
            <w:tcBorders>
              <w:top w:val="single" w:sz="12" w:space="0" w:color="008000"/>
              <w:bottom w:val="single" w:sz="6" w:space="0" w:color="008000"/>
            </w:tcBorders>
            <w:shd w:val="clear" w:color="auto" w:fill="FFFFFF"/>
          </w:tcPr>
          <w:p w14:paraId="35031E13" w14:textId="0DCB7FC1" w:rsidR="00B37158" w:rsidRPr="00D72C04" w:rsidRDefault="0023269D" w:rsidP="00BD43B4">
            <w:pPr>
              <w:pStyle w:val="CETBodytext"/>
              <w:jc w:val="center"/>
            </w:pPr>
            <w:r w:rsidRPr="00D72C04">
              <w:t>Value</w:t>
            </w:r>
          </w:p>
        </w:tc>
      </w:tr>
      <w:tr w:rsidR="00311725" w:rsidRPr="00D72C04" w14:paraId="0662C01D" w14:textId="77777777" w:rsidTr="00156DF6">
        <w:trPr>
          <w:trHeight w:val="411"/>
        </w:trPr>
        <w:tc>
          <w:tcPr>
            <w:tcW w:w="2408" w:type="dxa"/>
            <w:shd w:val="clear" w:color="auto" w:fill="FFFFFF"/>
          </w:tcPr>
          <w:p w14:paraId="6BB0736E" w14:textId="77777777" w:rsidR="0023269D" w:rsidRPr="00D72C04" w:rsidRDefault="0023269D" w:rsidP="0023269D">
            <w:pPr>
              <w:pStyle w:val="CETBodytext"/>
              <w:spacing w:line="240" w:lineRule="auto"/>
              <w:jc w:val="left"/>
            </w:pPr>
            <w:r w:rsidRPr="00D72C04">
              <w:t>Name</w:t>
            </w:r>
          </w:p>
          <w:p w14:paraId="6B4933F3" w14:textId="77777777" w:rsidR="0023269D" w:rsidRPr="00D72C04" w:rsidRDefault="0023269D" w:rsidP="0023269D">
            <w:pPr>
              <w:pStyle w:val="CETBodytext"/>
              <w:spacing w:line="240" w:lineRule="auto"/>
              <w:jc w:val="left"/>
            </w:pPr>
            <w:r w:rsidRPr="00D72C04">
              <w:t>Standard quality</w:t>
            </w:r>
          </w:p>
          <w:p w14:paraId="725AEE2E" w14:textId="77777777" w:rsidR="0023269D" w:rsidRPr="00D72C04" w:rsidRDefault="0023269D" w:rsidP="0023269D">
            <w:pPr>
              <w:pStyle w:val="CETBodytext"/>
              <w:spacing w:line="240" w:lineRule="auto"/>
              <w:jc w:val="left"/>
            </w:pPr>
            <w:r w:rsidRPr="00D72C04">
              <w:t>Purity</w:t>
            </w:r>
          </w:p>
          <w:p w14:paraId="2570531F" w14:textId="77777777" w:rsidR="0023269D" w:rsidRPr="00D72C04" w:rsidRDefault="0023269D" w:rsidP="0023269D">
            <w:pPr>
              <w:pStyle w:val="CETBodytext"/>
              <w:spacing w:line="240" w:lineRule="auto"/>
              <w:jc w:val="left"/>
            </w:pPr>
            <w:r w:rsidRPr="00D72C04">
              <w:t>Length</w:t>
            </w:r>
          </w:p>
          <w:p w14:paraId="6131A234" w14:textId="77777777" w:rsidR="0023269D" w:rsidRPr="00D72C04" w:rsidRDefault="0023269D" w:rsidP="0023269D">
            <w:pPr>
              <w:pStyle w:val="CETBodytext"/>
              <w:spacing w:line="240" w:lineRule="auto"/>
              <w:jc w:val="left"/>
            </w:pPr>
            <w:r w:rsidRPr="00D72C04">
              <w:t>Diameter</w:t>
            </w:r>
          </w:p>
          <w:p w14:paraId="27FA68D8" w14:textId="48288BD8" w:rsidR="00311725" w:rsidRPr="00D72C04" w:rsidRDefault="0023269D" w:rsidP="0023269D">
            <w:pPr>
              <w:pStyle w:val="CETBodytext"/>
              <w:jc w:val="left"/>
            </w:pPr>
            <w:r w:rsidRPr="00D72C04">
              <w:lastRenderedPageBreak/>
              <w:t>Elaboration method</w:t>
            </w:r>
          </w:p>
        </w:tc>
        <w:tc>
          <w:tcPr>
            <w:tcW w:w="3613" w:type="dxa"/>
            <w:shd w:val="clear" w:color="auto" w:fill="FFFFFF"/>
          </w:tcPr>
          <w:p w14:paraId="55A73BFC" w14:textId="77777777" w:rsidR="0023269D" w:rsidRPr="00D72C04" w:rsidRDefault="0023269D" w:rsidP="0023269D">
            <w:pPr>
              <w:pStyle w:val="CETBodytext"/>
              <w:spacing w:line="240" w:lineRule="auto"/>
              <w:jc w:val="left"/>
            </w:pPr>
            <w:r w:rsidRPr="00D72C04">
              <w:lastRenderedPageBreak/>
              <w:t>Multi-walled carbon nanotubes</w:t>
            </w:r>
          </w:p>
          <w:p w14:paraId="0BB51648" w14:textId="77777777" w:rsidR="0023269D" w:rsidRPr="00D72C04" w:rsidRDefault="0023269D" w:rsidP="0023269D">
            <w:pPr>
              <w:pStyle w:val="CETBodytext"/>
              <w:spacing w:line="240" w:lineRule="auto"/>
              <w:jc w:val="left"/>
            </w:pPr>
            <w:r w:rsidRPr="00D72C04">
              <w:t xml:space="preserve">Industrial </w:t>
            </w:r>
          </w:p>
          <w:p w14:paraId="3D247291" w14:textId="77777777" w:rsidR="0023269D" w:rsidRPr="00D72C04" w:rsidRDefault="0023269D" w:rsidP="0023269D">
            <w:pPr>
              <w:pStyle w:val="CETBodytext"/>
              <w:spacing w:line="240" w:lineRule="auto"/>
              <w:jc w:val="left"/>
            </w:pPr>
            <w:r w:rsidRPr="00D72C04">
              <w:t>˃ 95 %</w:t>
            </w:r>
          </w:p>
          <w:p w14:paraId="3A4BF72C" w14:textId="77777777" w:rsidR="0023269D" w:rsidRPr="00D72C04" w:rsidRDefault="0023269D" w:rsidP="0023269D">
            <w:pPr>
              <w:pStyle w:val="CETBodytext"/>
              <w:spacing w:line="240" w:lineRule="auto"/>
              <w:jc w:val="left"/>
            </w:pPr>
            <w:r w:rsidRPr="00D72C04">
              <w:t>10 - 30 µm</w:t>
            </w:r>
          </w:p>
          <w:p w14:paraId="0F562C4D" w14:textId="77777777" w:rsidR="0023269D" w:rsidRPr="00D72C04" w:rsidRDefault="0023269D" w:rsidP="0023269D">
            <w:pPr>
              <w:pStyle w:val="CETBodytext"/>
              <w:spacing w:line="240" w:lineRule="auto"/>
              <w:jc w:val="left"/>
            </w:pPr>
            <w:r w:rsidRPr="00D72C04">
              <w:t>20 - 40 nm</w:t>
            </w:r>
          </w:p>
          <w:p w14:paraId="4C94E003" w14:textId="77EE4D3A" w:rsidR="00311725" w:rsidRPr="00D72C04" w:rsidRDefault="0023269D" w:rsidP="0023269D">
            <w:pPr>
              <w:pStyle w:val="CETBodytext"/>
              <w:jc w:val="left"/>
            </w:pPr>
            <w:r w:rsidRPr="00D72C04">
              <w:lastRenderedPageBreak/>
              <w:t>Chemical Vapor Deposition (CVD).</w:t>
            </w:r>
          </w:p>
        </w:tc>
      </w:tr>
    </w:tbl>
    <w:p w14:paraId="111874D4" w14:textId="7D33594E" w:rsidR="00B37158" w:rsidRPr="004B3E34" w:rsidRDefault="00311725" w:rsidP="00BD43B4">
      <w:pPr>
        <w:pStyle w:val="CETBodytext"/>
        <w:ind w:left="709"/>
      </w:pPr>
      <w:r w:rsidRPr="004B3E34">
        <w:lastRenderedPageBreak/>
        <w:t xml:space="preserve">Font: </w:t>
      </w:r>
      <w:bookmarkStart w:id="15" w:name="_Hlk131932239"/>
      <w:r w:rsidRPr="004B3E34">
        <w:t>XFNANO</w:t>
      </w:r>
      <w:r w:rsidR="00646AD0" w:rsidRPr="004B3E34">
        <w:t>, INC</w:t>
      </w:r>
    </w:p>
    <w:bookmarkEnd w:id="15"/>
    <w:p w14:paraId="684EFE9A" w14:textId="77777777" w:rsidR="0065506B" w:rsidRPr="004B3E34" w:rsidRDefault="0065506B" w:rsidP="00BD43B4">
      <w:pPr>
        <w:pStyle w:val="CETBodytext"/>
        <w:ind w:left="709"/>
      </w:pPr>
    </w:p>
    <w:p w14:paraId="78662F54" w14:textId="576579E1" w:rsidR="00F35B6C" w:rsidRPr="004B3E34" w:rsidRDefault="00F35B6C" w:rsidP="00BD43B4">
      <w:pPr>
        <w:pStyle w:val="CETBodytext"/>
        <w:numPr>
          <w:ilvl w:val="1"/>
          <w:numId w:val="28"/>
        </w:numPr>
        <w:rPr>
          <w:b/>
        </w:rPr>
      </w:pPr>
      <w:r w:rsidRPr="004B3E34">
        <w:rPr>
          <w:b/>
        </w:rPr>
        <w:t>Sample collection for the final test</w:t>
      </w:r>
    </w:p>
    <w:p w14:paraId="11893290" w14:textId="77777777" w:rsidR="00BD43B4" w:rsidRPr="004B3E34" w:rsidRDefault="00BD43B4" w:rsidP="00BD43B4">
      <w:pPr>
        <w:pStyle w:val="CETBodytext"/>
        <w:ind w:left="360"/>
        <w:rPr>
          <w:b/>
        </w:rPr>
      </w:pPr>
    </w:p>
    <w:p w14:paraId="7AC95BF1" w14:textId="0332B26A" w:rsidR="00F35B6C" w:rsidRPr="004B3E34" w:rsidRDefault="00F35B6C" w:rsidP="00F35B6C">
      <w:pPr>
        <w:pStyle w:val="CETBodytext"/>
      </w:pPr>
      <w:r w:rsidRPr="004B3E34">
        <w:t>The water sample was taken in a container with a capacity of 8 L, following the national protocol for monitoring the quality of surface water resources (</w:t>
      </w:r>
      <w:bookmarkStart w:id="16" w:name="_Hlk131932259"/>
      <w:r w:rsidRPr="004B3E34">
        <w:t>ANA, 2016</w:t>
      </w:r>
      <w:bookmarkEnd w:id="16"/>
      <w:r w:rsidRPr="004B3E34">
        <w:t>). See Figure 1.</w:t>
      </w:r>
    </w:p>
    <w:p w14:paraId="21B2ED86" w14:textId="77777777" w:rsidR="0065506B" w:rsidRPr="00D72C04" w:rsidRDefault="0065506B" w:rsidP="00F35B6C">
      <w:pPr>
        <w:pStyle w:val="CETBodytext"/>
      </w:pPr>
    </w:p>
    <w:p w14:paraId="25CE8E70" w14:textId="36E7B2AB" w:rsidR="00811E1A" w:rsidRPr="00D72C04" w:rsidRDefault="00811E1A" w:rsidP="00BD43B4">
      <w:pPr>
        <w:pStyle w:val="CETBodytext"/>
        <w:numPr>
          <w:ilvl w:val="1"/>
          <w:numId w:val="28"/>
        </w:numPr>
        <w:rPr>
          <w:b/>
          <w:szCs w:val="18"/>
        </w:rPr>
      </w:pPr>
      <w:r w:rsidRPr="00D72C04">
        <w:rPr>
          <w:b/>
          <w:szCs w:val="18"/>
        </w:rPr>
        <w:t>Jar Test</w:t>
      </w:r>
    </w:p>
    <w:p w14:paraId="6B019616" w14:textId="77777777" w:rsidR="00BD43B4" w:rsidRPr="00D72C04" w:rsidRDefault="00BD43B4" w:rsidP="004D7A1D">
      <w:pPr>
        <w:pStyle w:val="CETBodytext"/>
        <w:spacing w:line="240" w:lineRule="auto"/>
        <w:ind w:left="360"/>
        <w:rPr>
          <w:b/>
          <w:szCs w:val="18"/>
        </w:rPr>
      </w:pPr>
    </w:p>
    <w:p w14:paraId="1D9A6C0B" w14:textId="13A20538" w:rsidR="00811E1A" w:rsidRPr="00D72C04" w:rsidRDefault="00811E1A" w:rsidP="004D7A1D">
      <w:pPr>
        <w:pStyle w:val="CETBodytext"/>
        <w:spacing w:line="240" w:lineRule="auto"/>
        <w:rPr>
          <w:szCs w:val="18"/>
        </w:rPr>
      </w:pPr>
      <w:r w:rsidRPr="00D72C04">
        <w:rPr>
          <w:szCs w:val="18"/>
        </w:rPr>
        <w:t xml:space="preserve">The jar test (See Figure 2) was carried out with three samples of 2 L each, adding 50 g, 100 g and 150 g of </w:t>
      </w:r>
      <w:r w:rsidR="0087332A">
        <w:rPr>
          <w:szCs w:val="18"/>
        </w:rPr>
        <w:t>MW</w:t>
      </w:r>
      <w:r w:rsidRPr="00D72C04">
        <w:rPr>
          <w:szCs w:val="18"/>
        </w:rPr>
        <w:t>CNT</w:t>
      </w:r>
      <w:r w:rsidR="0087332A">
        <w:rPr>
          <w:szCs w:val="18"/>
        </w:rPr>
        <w:t>s</w:t>
      </w:r>
      <w:r w:rsidRPr="00D72C04">
        <w:rPr>
          <w:szCs w:val="18"/>
        </w:rPr>
        <w:t>, with the operating conditions indicated in Table 2.</w:t>
      </w:r>
    </w:p>
    <w:p w14:paraId="66E49957" w14:textId="77777777" w:rsidR="00811E1A" w:rsidRPr="00D72C04" w:rsidRDefault="00811E1A" w:rsidP="00B72E14">
      <w:pPr>
        <w:pStyle w:val="CETBodytext"/>
        <w:rPr>
          <w:b/>
          <w:sz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E0448F" w:rsidRPr="00D72C04" w14:paraId="2DCBF93C" w14:textId="77777777" w:rsidTr="00BF5E97">
        <w:tc>
          <w:tcPr>
            <w:tcW w:w="4388" w:type="dxa"/>
          </w:tcPr>
          <w:p w14:paraId="0E9C7C78" w14:textId="77777777" w:rsidR="00E0448F" w:rsidRPr="00D72C04" w:rsidRDefault="00BF5E97" w:rsidP="00BF5E97">
            <w:pPr>
              <w:pStyle w:val="CETBodytext"/>
              <w:jc w:val="center"/>
              <w:rPr>
                <w:sz w:val="20"/>
              </w:rPr>
            </w:pPr>
            <w:r w:rsidRPr="00D72C04">
              <w:rPr>
                <w:noProof/>
                <w:lang w:val="es-PE" w:eastAsia="es-PE"/>
              </w:rPr>
              <w:drawing>
                <wp:inline distT="0" distB="0" distL="0" distR="0" wp14:anchorId="45AC9B24" wp14:editId="4641B918">
                  <wp:extent cx="2450465" cy="1210066"/>
                  <wp:effectExtent l="0" t="0" r="698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89128" cy="1229158"/>
                          </a:xfrm>
                          <a:prstGeom prst="rect">
                            <a:avLst/>
                          </a:prstGeom>
                        </pic:spPr>
                      </pic:pic>
                    </a:graphicData>
                  </a:graphic>
                </wp:inline>
              </w:drawing>
            </w:r>
          </w:p>
          <w:p w14:paraId="0EFCA7AA" w14:textId="77777777" w:rsidR="00BF5E97" w:rsidRPr="00D72C04" w:rsidRDefault="00BF5E97" w:rsidP="004D7A1D">
            <w:pPr>
              <w:pStyle w:val="CETBodytext"/>
              <w:spacing w:line="240" w:lineRule="auto"/>
              <w:jc w:val="center"/>
              <w:rPr>
                <w:sz w:val="20"/>
              </w:rPr>
            </w:pPr>
          </w:p>
          <w:p w14:paraId="7D049B5E" w14:textId="53B20A44" w:rsidR="00BF5E97" w:rsidRPr="00D72C04" w:rsidRDefault="00811E1A" w:rsidP="00BF5E97">
            <w:pPr>
              <w:pStyle w:val="CETBodytext"/>
              <w:jc w:val="center"/>
              <w:rPr>
                <w:sz w:val="20"/>
              </w:rPr>
            </w:pPr>
            <w:r w:rsidRPr="00D72C04">
              <w:rPr>
                <w:rStyle w:val="rynqvb"/>
              </w:rPr>
              <w:t>Figure 1: Sample collection</w:t>
            </w:r>
          </w:p>
        </w:tc>
        <w:tc>
          <w:tcPr>
            <w:tcW w:w="4389" w:type="dxa"/>
          </w:tcPr>
          <w:p w14:paraId="2CE7FE80" w14:textId="77777777" w:rsidR="00E0448F" w:rsidRPr="00D72C04" w:rsidRDefault="00BF5E97" w:rsidP="00BF5E97">
            <w:pPr>
              <w:pStyle w:val="CETBodytext"/>
              <w:jc w:val="center"/>
              <w:rPr>
                <w:sz w:val="20"/>
              </w:rPr>
            </w:pPr>
            <w:r w:rsidRPr="00D72C04">
              <w:rPr>
                <w:noProof/>
                <w:lang w:val="es-PE" w:eastAsia="es-PE"/>
              </w:rPr>
              <w:drawing>
                <wp:inline distT="0" distB="0" distL="0" distR="0" wp14:anchorId="02357938" wp14:editId="0B4F336D">
                  <wp:extent cx="2439670" cy="12096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7476" b="9346"/>
                          <a:stretch/>
                        </pic:blipFill>
                        <pic:spPr bwMode="auto">
                          <a:xfrm>
                            <a:off x="0" y="0"/>
                            <a:ext cx="2501846" cy="1240504"/>
                          </a:xfrm>
                          <a:prstGeom prst="rect">
                            <a:avLst/>
                          </a:prstGeom>
                          <a:ln>
                            <a:noFill/>
                          </a:ln>
                          <a:extLst>
                            <a:ext uri="{53640926-AAD7-44D8-BBD7-CCE9431645EC}">
                              <a14:shadowObscured xmlns:a14="http://schemas.microsoft.com/office/drawing/2010/main"/>
                            </a:ext>
                          </a:extLst>
                        </pic:spPr>
                      </pic:pic>
                    </a:graphicData>
                  </a:graphic>
                </wp:inline>
              </w:drawing>
            </w:r>
          </w:p>
          <w:p w14:paraId="0DB8CAC0" w14:textId="77777777" w:rsidR="00BF5E97" w:rsidRPr="00D72C04" w:rsidRDefault="00BF5E97" w:rsidP="00BF5E97">
            <w:pPr>
              <w:pStyle w:val="CETBodytext"/>
              <w:jc w:val="center"/>
              <w:rPr>
                <w:sz w:val="20"/>
              </w:rPr>
            </w:pPr>
          </w:p>
          <w:p w14:paraId="34C968F3" w14:textId="23328506" w:rsidR="00BF5E97" w:rsidRPr="00D72C04" w:rsidRDefault="00811E1A" w:rsidP="00BF5E97">
            <w:pPr>
              <w:pStyle w:val="CETBodytext"/>
              <w:jc w:val="center"/>
              <w:rPr>
                <w:sz w:val="20"/>
              </w:rPr>
            </w:pPr>
            <w:r w:rsidRPr="00D72C04">
              <w:rPr>
                <w:rStyle w:val="rynqvb"/>
              </w:rPr>
              <w:t>Figure 2: Test jars, UCV laboratory</w:t>
            </w:r>
          </w:p>
        </w:tc>
      </w:tr>
    </w:tbl>
    <w:p w14:paraId="7040AE56" w14:textId="77777777" w:rsidR="00811E1A" w:rsidRPr="00D72C04" w:rsidRDefault="00811E1A" w:rsidP="00BF5E97">
      <w:pPr>
        <w:pStyle w:val="CETTabletitle"/>
        <w:spacing w:before="0" w:after="0" w:line="240" w:lineRule="auto"/>
        <w:rPr>
          <w:lang w:val="en-US"/>
        </w:rPr>
      </w:pPr>
    </w:p>
    <w:p w14:paraId="3A890493" w14:textId="12A5AA18" w:rsidR="004E7236" w:rsidRPr="00D72C04" w:rsidRDefault="00811E1A" w:rsidP="00BD43B4">
      <w:pPr>
        <w:pStyle w:val="CETTabletitle"/>
        <w:spacing w:before="0" w:after="0" w:line="276" w:lineRule="auto"/>
        <w:rPr>
          <w:lang w:val="en-US"/>
        </w:rPr>
      </w:pPr>
      <w:r w:rsidRPr="00D72C04">
        <w:rPr>
          <w:lang w:val="en-US"/>
        </w:rPr>
        <w:t>Table 2: Operating conditions in the treatment by means of "Jar test"</w:t>
      </w:r>
    </w:p>
    <w:tbl>
      <w:tblPr>
        <w:tblW w:w="8443" w:type="dxa"/>
        <w:tblBorders>
          <w:top w:val="single" w:sz="12" w:space="0" w:color="009E47"/>
          <w:bottom w:val="single" w:sz="12" w:space="0" w:color="009E47"/>
        </w:tblBorders>
        <w:tblCellMar>
          <w:left w:w="70" w:type="dxa"/>
          <w:right w:w="70" w:type="dxa"/>
        </w:tblCellMar>
        <w:tblLook w:val="04A0" w:firstRow="1" w:lastRow="0" w:firstColumn="1" w:lastColumn="0" w:noHBand="0" w:noVBand="1"/>
      </w:tblPr>
      <w:tblGrid>
        <w:gridCol w:w="2055"/>
        <w:gridCol w:w="2124"/>
        <w:gridCol w:w="1841"/>
        <w:gridCol w:w="2423"/>
      </w:tblGrid>
      <w:tr w:rsidR="00675A98" w:rsidRPr="00D72C04" w14:paraId="33057CC3" w14:textId="77777777" w:rsidTr="00675A98">
        <w:trPr>
          <w:trHeight w:val="39"/>
        </w:trPr>
        <w:tc>
          <w:tcPr>
            <w:tcW w:w="2055" w:type="dxa"/>
            <w:tcBorders>
              <w:bottom w:val="single" w:sz="12" w:space="0" w:color="009E47"/>
            </w:tcBorders>
            <w:shd w:val="clear" w:color="000000" w:fill="FFFFFF"/>
            <w:vAlign w:val="center"/>
            <w:hideMark/>
          </w:tcPr>
          <w:p w14:paraId="08E151F6" w14:textId="29B1D532" w:rsidR="004E7236" w:rsidRPr="00D72C04" w:rsidRDefault="001A0DD9" w:rsidP="004E7236">
            <w:pPr>
              <w:tabs>
                <w:tab w:val="clear" w:pos="7100"/>
              </w:tabs>
              <w:spacing w:line="240" w:lineRule="auto"/>
              <w:jc w:val="center"/>
              <w:rPr>
                <w:rFonts w:cs="Arial"/>
                <w:color w:val="000000"/>
                <w:szCs w:val="18"/>
                <w:lang w:val="en-US" w:eastAsia="es-PE"/>
              </w:rPr>
            </w:pPr>
            <w:r w:rsidRPr="00D72C04">
              <w:rPr>
                <w:rStyle w:val="rynqvb"/>
                <w:lang w:val="en-US"/>
              </w:rPr>
              <w:t>Sample number</w:t>
            </w:r>
          </w:p>
        </w:tc>
        <w:tc>
          <w:tcPr>
            <w:tcW w:w="2124" w:type="dxa"/>
            <w:tcBorders>
              <w:bottom w:val="single" w:sz="12" w:space="0" w:color="009E47"/>
            </w:tcBorders>
            <w:shd w:val="clear" w:color="000000" w:fill="FFFFFF"/>
            <w:vAlign w:val="center"/>
          </w:tcPr>
          <w:p w14:paraId="171F7E71" w14:textId="77777777" w:rsidR="001A0DD9" w:rsidRPr="00D72C04" w:rsidRDefault="001A0DD9" w:rsidP="004E7236">
            <w:pPr>
              <w:tabs>
                <w:tab w:val="clear" w:pos="7100"/>
              </w:tabs>
              <w:spacing w:line="240" w:lineRule="auto"/>
              <w:jc w:val="center"/>
              <w:rPr>
                <w:rStyle w:val="rynqvb"/>
                <w:lang w:val="en-US"/>
              </w:rPr>
            </w:pPr>
            <w:r w:rsidRPr="00D72C04">
              <w:rPr>
                <w:rStyle w:val="rynqvb"/>
                <w:lang w:val="en-US"/>
              </w:rPr>
              <w:t>Agitation time</w:t>
            </w:r>
          </w:p>
          <w:p w14:paraId="47120928" w14:textId="2E42666E" w:rsidR="004E7236" w:rsidRPr="00D72C04" w:rsidRDefault="001A0DD9" w:rsidP="004E7236">
            <w:pPr>
              <w:tabs>
                <w:tab w:val="clear" w:pos="7100"/>
              </w:tabs>
              <w:spacing w:line="240" w:lineRule="auto"/>
              <w:jc w:val="center"/>
              <w:rPr>
                <w:rFonts w:cs="Arial"/>
                <w:color w:val="000000"/>
                <w:szCs w:val="18"/>
                <w:lang w:val="en-US" w:eastAsia="es-PE"/>
              </w:rPr>
            </w:pPr>
            <w:r w:rsidRPr="00D72C04">
              <w:rPr>
                <w:rStyle w:val="rynqvb"/>
                <w:lang w:val="en-US"/>
              </w:rPr>
              <w:t xml:space="preserve"> (min)</w:t>
            </w:r>
          </w:p>
        </w:tc>
        <w:tc>
          <w:tcPr>
            <w:tcW w:w="1841" w:type="dxa"/>
            <w:tcBorders>
              <w:bottom w:val="single" w:sz="12" w:space="0" w:color="009E47"/>
            </w:tcBorders>
            <w:shd w:val="clear" w:color="000000" w:fill="FFFFFF"/>
            <w:vAlign w:val="center"/>
          </w:tcPr>
          <w:p w14:paraId="19F6259D" w14:textId="2A801BC1" w:rsidR="004E7236" w:rsidRPr="00D72C04" w:rsidRDefault="001A0DD9" w:rsidP="004E7236">
            <w:pPr>
              <w:tabs>
                <w:tab w:val="clear" w:pos="7100"/>
              </w:tabs>
              <w:spacing w:line="240" w:lineRule="auto"/>
              <w:jc w:val="center"/>
              <w:rPr>
                <w:rFonts w:cs="Arial"/>
                <w:color w:val="000000"/>
                <w:szCs w:val="18"/>
                <w:lang w:val="en-US" w:eastAsia="es-PE"/>
              </w:rPr>
            </w:pPr>
            <w:r w:rsidRPr="00D72C04">
              <w:rPr>
                <w:rStyle w:val="rynqvb"/>
                <w:lang w:val="en-US"/>
              </w:rPr>
              <w:t xml:space="preserve">Velocity agitation </w:t>
            </w:r>
            <w:r w:rsidR="003A2F94" w:rsidRPr="00D72C04">
              <w:rPr>
                <w:rFonts w:cs="Arial"/>
                <w:color w:val="000000"/>
                <w:szCs w:val="18"/>
                <w:lang w:val="en-US" w:eastAsia="es-PE"/>
              </w:rPr>
              <w:t>(RPM)</w:t>
            </w:r>
          </w:p>
        </w:tc>
        <w:tc>
          <w:tcPr>
            <w:tcW w:w="2423" w:type="dxa"/>
            <w:tcBorders>
              <w:bottom w:val="single" w:sz="12" w:space="0" w:color="009E47"/>
            </w:tcBorders>
            <w:shd w:val="clear" w:color="000000" w:fill="FFFFFF"/>
            <w:vAlign w:val="center"/>
          </w:tcPr>
          <w:p w14:paraId="4DA45305" w14:textId="77777777" w:rsidR="001A0DD9" w:rsidRPr="00D72C04" w:rsidRDefault="001A0DD9" w:rsidP="004E7236">
            <w:pPr>
              <w:tabs>
                <w:tab w:val="clear" w:pos="7100"/>
              </w:tabs>
              <w:spacing w:line="240" w:lineRule="auto"/>
              <w:jc w:val="center"/>
              <w:rPr>
                <w:rStyle w:val="rynqvb"/>
                <w:lang w:val="en-US"/>
              </w:rPr>
            </w:pPr>
            <w:r w:rsidRPr="00D72C04">
              <w:rPr>
                <w:rStyle w:val="rynqvb"/>
                <w:lang w:val="en-US"/>
              </w:rPr>
              <w:t xml:space="preserve">Sedimentation Time </w:t>
            </w:r>
          </w:p>
          <w:p w14:paraId="130DC8F6" w14:textId="3411C54D" w:rsidR="004E7236" w:rsidRPr="00D72C04" w:rsidRDefault="001A0DD9" w:rsidP="004E7236">
            <w:pPr>
              <w:tabs>
                <w:tab w:val="clear" w:pos="7100"/>
              </w:tabs>
              <w:spacing w:line="240" w:lineRule="auto"/>
              <w:jc w:val="center"/>
              <w:rPr>
                <w:rFonts w:cs="Arial"/>
                <w:color w:val="000000"/>
                <w:szCs w:val="18"/>
                <w:lang w:val="en-US" w:eastAsia="es-PE"/>
              </w:rPr>
            </w:pPr>
            <w:r w:rsidRPr="00D72C04">
              <w:rPr>
                <w:rStyle w:val="rynqvb"/>
                <w:lang w:val="en-US"/>
              </w:rPr>
              <w:t>(min)</w:t>
            </w:r>
          </w:p>
        </w:tc>
      </w:tr>
      <w:tr w:rsidR="003A2F94" w:rsidRPr="00D72C04" w14:paraId="4751C344" w14:textId="77777777" w:rsidTr="00675A98">
        <w:trPr>
          <w:trHeight w:val="39"/>
        </w:trPr>
        <w:tc>
          <w:tcPr>
            <w:tcW w:w="2055" w:type="dxa"/>
            <w:tcBorders>
              <w:top w:val="single" w:sz="12" w:space="0" w:color="009E47"/>
              <w:bottom w:val="nil"/>
            </w:tcBorders>
            <w:shd w:val="clear" w:color="000000" w:fill="FFFFFF"/>
            <w:vAlign w:val="center"/>
            <w:hideMark/>
          </w:tcPr>
          <w:p w14:paraId="760F12E5" w14:textId="77777777" w:rsidR="003A2F94" w:rsidRPr="00D72C04" w:rsidRDefault="003A2F94" w:rsidP="00352366">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1</w:t>
            </w:r>
          </w:p>
        </w:tc>
        <w:tc>
          <w:tcPr>
            <w:tcW w:w="2124" w:type="dxa"/>
            <w:tcBorders>
              <w:top w:val="single" w:sz="12" w:space="0" w:color="009E47"/>
              <w:bottom w:val="nil"/>
            </w:tcBorders>
            <w:shd w:val="clear" w:color="000000" w:fill="FFFFFF"/>
            <w:vAlign w:val="center"/>
            <w:hideMark/>
          </w:tcPr>
          <w:p w14:paraId="3B54DDDE" w14:textId="77777777" w:rsidR="003A2F94" w:rsidRPr="00D72C04" w:rsidRDefault="003A2F94" w:rsidP="00352366">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2</w:t>
            </w:r>
          </w:p>
        </w:tc>
        <w:tc>
          <w:tcPr>
            <w:tcW w:w="1841" w:type="dxa"/>
            <w:tcBorders>
              <w:top w:val="single" w:sz="12" w:space="0" w:color="009E47"/>
              <w:bottom w:val="nil"/>
            </w:tcBorders>
            <w:shd w:val="clear" w:color="000000" w:fill="FFFFFF"/>
            <w:vAlign w:val="center"/>
            <w:hideMark/>
          </w:tcPr>
          <w:p w14:paraId="41D05F19" w14:textId="77777777" w:rsidR="003A2F94" w:rsidRPr="00D72C04" w:rsidRDefault="003A2F94" w:rsidP="00352366">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190</w:t>
            </w:r>
          </w:p>
        </w:tc>
        <w:tc>
          <w:tcPr>
            <w:tcW w:w="2423" w:type="dxa"/>
            <w:tcBorders>
              <w:top w:val="single" w:sz="12" w:space="0" w:color="009E47"/>
              <w:bottom w:val="nil"/>
            </w:tcBorders>
            <w:shd w:val="clear" w:color="000000" w:fill="FFFFFF"/>
            <w:vAlign w:val="center"/>
            <w:hideMark/>
          </w:tcPr>
          <w:p w14:paraId="71DD0690" w14:textId="77777777" w:rsidR="003A2F94" w:rsidRPr="00D72C04" w:rsidRDefault="003A2F94" w:rsidP="00352366">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30</w:t>
            </w:r>
          </w:p>
        </w:tc>
      </w:tr>
      <w:tr w:rsidR="003A2F94" w:rsidRPr="00D72C04" w14:paraId="033D6DA5" w14:textId="77777777" w:rsidTr="00675A98">
        <w:trPr>
          <w:trHeight w:val="39"/>
        </w:trPr>
        <w:tc>
          <w:tcPr>
            <w:tcW w:w="2055" w:type="dxa"/>
            <w:tcBorders>
              <w:top w:val="nil"/>
              <w:bottom w:val="nil"/>
            </w:tcBorders>
            <w:shd w:val="clear" w:color="000000" w:fill="FFFFFF"/>
            <w:vAlign w:val="center"/>
            <w:hideMark/>
          </w:tcPr>
          <w:p w14:paraId="26BCD269" w14:textId="77777777" w:rsidR="003A2F94" w:rsidRPr="00D72C04" w:rsidRDefault="003A2F94" w:rsidP="00352366">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2</w:t>
            </w:r>
          </w:p>
        </w:tc>
        <w:tc>
          <w:tcPr>
            <w:tcW w:w="2124" w:type="dxa"/>
            <w:tcBorders>
              <w:top w:val="nil"/>
              <w:bottom w:val="nil"/>
            </w:tcBorders>
            <w:shd w:val="clear" w:color="000000" w:fill="FFFFFF"/>
            <w:vAlign w:val="center"/>
            <w:hideMark/>
          </w:tcPr>
          <w:p w14:paraId="34E0BD4B" w14:textId="77777777" w:rsidR="003A2F94" w:rsidRPr="00D72C04" w:rsidRDefault="003A2F94" w:rsidP="00352366">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15</w:t>
            </w:r>
          </w:p>
        </w:tc>
        <w:tc>
          <w:tcPr>
            <w:tcW w:w="1841" w:type="dxa"/>
            <w:tcBorders>
              <w:top w:val="nil"/>
              <w:bottom w:val="nil"/>
            </w:tcBorders>
            <w:shd w:val="clear" w:color="000000" w:fill="FFFFFF"/>
            <w:vAlign w:val="center"/>
            <w:hideMark/>
          </w:tcPr>
          <w:p w14:paraId="2CCAB419" w14:textId="77777777" w:rsidR="003A2F94" w:rsidRPr="00D72C04" w:rsidRDefault="003A2F94" w:rsidP="00352366">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70</w:t>
            </w:r>
          </w:p>
        </w:tc>
        <w:tc>
          <w:tcPr>
            <w:tcW w:w="2423" w:type="dxa"/>
            <w:tcBorders>
              <w:top w:val="nil"/>
              <w:bottom w:val="nil"/>
            </w:tcBorders>
            <w:shd w:val="clear" w:color="000000" w:fill="FFFFFF"/>
            <w:vAlign w:val="center"/>
            <w:hideMark/>
          </w:tcPr>
          <w:p w14:paraId="776BF25A" w14:textId="77777777" w:rsidR="003A2F94" w:rsidRPr="00D72C04" w:rsidRDefault="003A2F94" w:rsidP="00352366">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30</w:t>
            </w:r>
          </w:p>
        </w:tc>
      </w:tr>
      <w:tr w:rsidR="00675A98" w:rsidRPr="00D72C04" w14:paraId="041E7952" w14:textId="77777777" w:rsidTr="0075175F">
        <w:trPr>
          <w:trHeight w:val="52"/>
        </w:trPr>
        <w:tc>
          <w:tcPr>
            <w:tcW w:w="2055" w:type="dxa"/>
            <w:tcBorders>
              <w:top w:val="nil"/>
              <w:bottom w:val="single" w:sz="12" w:space="0" w:color="009E47"/>
            </w:tcBorders>
            <w:shd w:val="clear" w:color="000000" w:fill="FFFFFF"/>
            <w:vAlign w:val="center"/>
            <w:hideMark/>
          </w:tcPr>
          <w:p w14:paraId="66A40BA9" w14:textId="77777777" w:rsidR="003A2F94" w:rsidRPr="00D72C04" w:rsidRDefault="003A2F94" w:rsidP="00352366">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3</w:t>
            </w:r>
          </w:p>
        </w:tc>
        <w:tc>
          <w:tcPr>
            <w:tcW w:w="2124" w:type="dxa"/>
            <w:tcBorders>
              <w:top w:val="nil"/>
              <w:bottom w:val="single" w:sz="12" w:space="0" w:color="009E47"/>
            </w:tcBorders>
            <w:shd w:val="clear" w:color="000000" w:fill="FFFFFF"/>
            <w:vAlign w:val="center"/>
            <w:hideMark/>
          </w:tcPr>
          <w:p w14:paraId="3E603F7E" w14:textId="77777777" w:rsidR="003A2F94" w:rsidRPr="00D72C04" w:rsidRDefault="003A2F94" w:rsidP="00352366">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30</w:t>
            </w:r>
          </w:p>
        </w:tc>
        <w:tc>
          <w:tcPr>
            <w:tcW w:w="1841" w:type="dxa"/>
            <w:tcBorders>
              <w:top w:val="nil"/>
              <w:bottom w:val="single" w:sz="12" w:space="0" w:color="009E47"/>
            </w:tcBorders>
            <w:shd w:val="clear" w:color="000000" w:fill="FFFFFF"/>
            <w:vAlign w:val="center"/>
            <w:hideMark/>
          </w:tcPr>
          <w:p w14:paraId="0D70A13D" w14:textId="77777777" w:rsidR="003A2F94" w:rsidRPr="00D72C04" w:rsidRDefault="003A2F94" w:rsidP="00352366">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40</w:t>
            </w:r>
          </w:p>
        </w:tc>
        <w:tc>
          <w:tcPr>
            <w:tcW w:w="2423" w:type="dxa"/>
            <w:tcBorders>
              <w:top w:val="nil"/>
              <w:bottom w:val="single" w:sz="12" w:space="0" w:color="009E47"/>
            </w:tcBorders>
            <w:shd w:val="clear" w:color="000000" w:fill="FFFFFF"/>
            <w:vAlign w:val="center"/>
            <w:hideMark/>
          </w:tcPr>
          <w:p w14:paraId="34E65A2E" w14:textId="77777777" w:rsidR="003A2F94" w:rsidRPr="00D72C04" w:rsidRDefault="003A2F94" w:rsidP="00352366">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30</w:t>
            </w:r>
          </w:p>
        </w:tc>
      </w:tr>
    </w:tbl>
    <w:p w14:paraId="661A8025" w14:textId="77777777" w:rsidR="0065506B" w:rsidRPr="00D72C04" w:rsidRDefault="0065506B" w:rsidP="001A0DD9">
      <w:pPr>
        <w:pStyle w:val="CETBodytext"/>
      </w:pPr>
    </w:p>
    <w:p w14:paraId="4F214CAF" w14:textId="77777777" w:rsidR="001A0DD9" w:rsidRPr="00D72C04" w:rsidRDefault="001A0DD9" w:rsidP="001A0DD9">
      <w:pPr>
        <w:pStyle w:val="CETBodytext"/>
      </w:pPr>
      <w:r w:rsidRPr="00D72C04">
        <w:t>The standard methods to calculate the main parameters were:</w:t>
      </w:r>
    </w:p>
    <w:p w14:paraId="4B87BA34" w14:textId="77777777" w:rsidR="001A0DD9" w:rsidRPr="00D72C04" w:rsidRDefault="001A0DD9" w:rsidP="001A0DD9">
      <w:pPr>
        <w:pStyle w:val="CETBodytext"/>
        <w:ind w:left="284" w:hanging="284"/>
      </w:pPr>
      <w:r w:rsidRPr="00D72C04">
        <w:t>• Biochemical Oxygen Demand (BOD5): SMEWW-APHA-AWWA-WEF Part 5210 B, 23rd Ed.2017.</w:t>
      </w:r>
    </w:p>
    <w:p w14:paraId="30FF348F" w14:textId="77777777" w:rsidR="001A0DD9" w:rsidRPr="00D72C04" w:rsidRDefault="001A0DD9" w:rsidP="001A0DD9">
      <w:pPr>
        <w:pStyle w:val="CETBodytext"/>
        <w:ind w:left="284" w:hanging="284"/>
      </w:pPr>
      <w:r w:rsidRPr="00D72C04">
        <w:t>• Chemical Oxygen Demand (COD): APHA-AWWA-WEF (2012) 5220 B.</w:t>
      </w:r>
    </w:p>
    <w:p w14:paraId="7465E23A" w14:textId="4990195B" w:rsidR="001A0DD9" w:rsidRPr="00D72C04" w:rsidRDefault="001A0DD9" w:rsidP="001A0DD9">
      <w:pPr>
        <w:pStyle w:val="CETBodytext"/>
        <w:ind w:left="284" w:hanging="284"/>
      </w:pPr>
      <w:r w:rsidRPr="00D72C04">
        <w:t>• Total nitrogen: Kjeldahl method.</w:t>
      </w:r>
    </w:p>
    <w:p w14:paraId="4737E3C3" w14:textId="77777777" w:rsidR="001C2C33" w:rsidRPr="00D72C04" w:rsidRDefault="001C2C33" w:rsidP="001A0DD9">
      <w:pPr>
        <w:pStyle w:val="CETBodytext"/>
        <w:ind w:left="284" w:hanging="284"/>
      </w:pPr>
    </w:p>
    <w:p w14:paraId="2C4B0433" w14:textId="3A449B49" w:rsidR="001C2C33" w:rsidRPr="00D72C04" w:rsidRDefault="001C2C33" w:rsidP="00C8605F">
      <w:pPr>
        <w:pStyle w:val="CETBodytext"/>
        <w:spacing w:line="240" w:lineRule="auto"/>
        <w:ind w:left="284" w:hanging="284"/>
        <w:rPr>
          <w:b/>
        </w:rPr>
      </w:pPr>
      <w:r w:rsidRPr="00D72C04">
        <w:rPr>
          <w:b/>
        </w:rPr>
        <w:t>3. Results</w:t>
      </w:r>
      <w:r w:rsidR="007F4DDE">
        <w:rPr>
          <w:b/>
        </w:rPr>
        <w:t xml:space="preserve"> and discussions</w:t>
      </w:r>
    </w:p>
    <w:p w14:paraId="54ECF596" w14:textId="77777777" w:rsidR="001C2C33" w:rsidRPr="00D72C04" w:rsidRDefault="001C2C33" w:rsidP="00C8605F">
      <w:pPr>
        <w:pStyle w:val="CETBodytext"/>
        <w:spacing w:line="240" w:lineRule="auto"/>
        <w:ind w:left="284" w:hanging="284"/>
        <w:rPr>
          <w:b/>
        </w:rPr>
      </w:pPr>
    </w:p>
    <w:p w14:paraId="21966C43" w14:textId="77777777" w:rsidR="001C2C33" w:rsidRPr="00D72C04" w:rsidRDefault="001C2C33" w:rsidP="00C8605F">
      <w:pPr>
        <w:pStyle w:val="CETBodytext"/>
        <w:spacing w:line="240" w:lineRule="auto"/>
        <w:ind w:left="284" w:hanging="284"/>
        <w:rPr>
          <w:b/>
        </w:rPr>
      </w:pPr>
      <w:r w:rsidRPr="00D72C04">
        <w:rPr>
          <w:b/>
        </w:rPr>
        <w:t>3.1 Physicochemical parameters before treatment with CNT</w:t>
      </w:r>
    </w:p>
    <w:p w14:paraId="22C407FB" w14:textId="77777777" w:rsidR="001C2C33" w:rsidRPr="00D72C04" w:rsidRDefault="001C2C33" w:rsidP="001C2C33">
      <w:pPr>
        <w:pStyle w:val="CETBodytext"/>
        <w:ind w:left="284" w:hanging="284"/>
      </w:pPr>
    </w:p>
    <w:p w14:paraId="1863CA63" w14:textId="5BE5D214" w:rsidR="001C2C33" w:rsidRPr="00D72C04" w:rsidRDefault="001C2C33" w:rsidP="001C2C33">
      <w:pPr>
        <w:pStyle w:val="CETBodytext"/>
      </w:pPr>
      <w:r w:rsidRPr="00D72C04">
        <w:t xml:space="preserve">The </w:t>
      </w:r>
      <w:r w:rsidR="00646AD0" w:rsidRPr="00D72C04">
        <w:t>ini</w:t>
      </w:r>
      <w:r w:rsidR="00AD764D">
        <w:t>t</w:t>
      </w:r>
      <w:r w:rsidR="00646AD0" w:rsidRPr="00D72C04">
        <w:t>ia</w:t>
      </w:r>
      <w:r w:rsidR="00AD764D">
        <w:t>l</w:t>
      </w:r>
      <w:r w:rsidRPr="00D72C04">
        <w:t xml:space="preserve"> results of the analysis of the water from the </w:t>
      </w:r>
      <w:r w:rsidRPr="00711168">
        <w:rPr>
          <w:i/>
          <w:iCs/>
        </w:rPr>
        <w:t>Ventanilla</w:t>
      </w:r>
      <w:r w:rsidRPr="00D72C04">
        <w:t xml:space="preserve"> wetland</w:t>
      </w:r>
      <w:r w:rsidR="00711168">
        <w:t>s</w:t>
      </w:r>
      <w:r w:rsidRPr="00D72C04">
        <w:t xml:space="preserve"> presented values of BOD5 (28 mg/L), total nitrogen (3.18 mg/L) and electrical conductivity (20780 µs/cm), values that exceeded the environmental regulations corresponding to the environmental quality standards of Peru (DS. 004 - 2017. MINAN, category 4 for lakes and lagoons), See Table 3.</w:t>
      </w:r>
    </w:p>
    <w:p w14:paraId="20417110" w14:textId="77777777" w:rsidR="00BD43B4" w:rsidRPr="00D72C04" w:rsidRDefault="00BD43B4" w:rsidP="001C2C33">
      <w:pPr>
        <w:pStyle w:val="CETBodytext"/>
      </w:pPr>
    </w:p>
    <w:p w14:paraId="252EDBF9" w14:textId="77777777" w:rsidR="00BD43B4" w:rsidRPr="00D72C04" w:rsidRDefault="00BD43B4" w:rsidP="00BD43B4">
      <w:pPr>
        <w:pStyle w:val="CETTabletitle"/>
        <w:spacing w:before="0" w:after="0" w:line="276" w:lineRule="auto"/>
        <w:rPr>
          <w:lang w:val="en-US"/>
        </w:rPr>
      </w:pPr>
      <w:r w:rsidRPr="00D72C04">
        <w:rPr>
          <w:rStyle w:val="rynqvb"/>
          <w:lang w:val="en-US"/>
        </w:rPr>
        <w:t>Table 3: Initial parameters of the water samples from the Ventanilla wetlands</w:t>
      </w:r>
    </w:p>
    <w:tbl>
      <w:tblPr>
        <w:tblW w:w="8646"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402"/>
        <w:gridCol w:w="992"/>
        <w:gridCol w:w="1134"/>
        <w:gridCol w:w="1984"/>
        <w:gridCol w:w="1134"/>
      </w:tblGrid>
      <w:tr w:rsidR="00BD43B4" w:rsidRPr="00D72C04" w14:paraId="563B0583" w14:textId="77777777" w:rsidTr="00CC41B7">
        <w:trPr>
          <w:trHeight w:val="155"/>
        </w:trPr>
        <w:tc>
          <w:tcPr>
            <w:tcW w:w="3402" w:type="dxa"/>
            <w:tcBorders>
              <w:top w:val="single" w:sz="12" w:space="0" w:color="008000"/>
              <w:bottom w:val="single" w:sz="12" w:space="0" w:color="008000"/>
            </w:tcBorders>
            <w:shd w:val="clear" w:color="auto" w:fill="FFFFFF"/>
          </w:tcPr>
          <w:p w14:paraId="11B99F73" w14:textId="77777777" w:rsidR="00BD43B4" w:rsidRPr="00D72C04" w:rsidRDefault="00BD43B4" w:rsidP="00CC41B7">
            <w:pPr>
              <w:pStyle w:val="CETBodytext"/>
              <w:jc w:val="center"/>
              <w:rPr>
                <w:bCs/>
              </w:rPr>
            </w:pPr>
            <w:r w:rsidRPr="00D72C04">
              <w:rPr>
                <w:rStyle w:val="rynqvb"/>
              </w:rPr>
              <w:t>Parameter</w:t>
            </w:r>
          </w:p>
        </w:tc>
        <w:tc>
          <w:tcPr>
            <w:tcW w:w="992" w:type="dxa"/>
            <w:tcBorders>
              <w:top w:val="single" w:sz="12" w:space="0" w:color="008000"/>
              <w:bottom w:val="single" w:sz="12" w:space="0" w:color="008000"/>
            </w:tcBorders>
            <w:shd w:val="clear" w:color="auto" w:fill="FFFFFF"/>
          </w:tcPr>
          <w:p w14:paraId="1926B6E7" w14:textId="77777777" w:rsidR="00BD43B4" w:rsidRPr="00D72C04" w:rsidRDefault="00BD43B4" w:rsidP="00CC41B7">
            <w:pPr>
              <w:pStyle w:val="CETBodytext"/>
              <w:jc w:val="center"/>
              <w:rPr>
                <w:bCs/>
              </w:rPr>
            </w:pPr>
            <w:r w:rsidRPr="00D72C04">
              <w:rPr>
                <w:rStyle w:val="rynqvb"/>
              </w:rPr>
              <w:t>Unit</w:t>
            </w:r>
          </w:p>
        </w:tc>
        <w:tc>
          <w:tcPr>
            <w:tcW w:w="1134" w:type="dxa"/>
            <w:tcBorders>
              <w:top w:val="single" w:sz="12" w:space="0" w:color="008000"/>
              <w:bottom w:val="single" w:sz="12" w:space="0" w:color="008000"/>
            </w:tcBorders>
            <w:shd w:val="clear" w:color="auto" w:fill="FFFFFF"/>
          </w:tcPr>
          <w:p w14:paraId="7D437143" w14:textId="77777777" w:rsidR="00BD43B4" w:rsidRPr="00D72C04" w:rsidRDefault="00BD43B4" w:rsidP="00CC41B7">
            <w:pPr>
              <w:pStyle w:val="CETBodytext"/>
              <w:jc w:val="center"/>
              <w:rPr>
                <w:bCs/>
              </w:rPr>
            </w:pPr>
            <w:r w:rsidRPr="00D72C04">
              <w:rPr>
                <w:rStyle w:val="rynqvb"/>
              </w:rPr>
              <w:t>Result</w:t>
            </w:r>
          </w:p>
        </w:tc>
        <w:tc>
          <w:tcPr>
            <w:tcW w:w="1984" w:type="dxa"/>
            <w:tcBorders>
              <w:top w:val="single" w:sz="12" w:space="0" w:color="008000"/>
              <w:bottom w:val="single" w:sz="12" w:space="0" w:color="008000"/>
            </w:tcBorders>
            <w:shd w:val="clear" w:color="auto" w:fill="FFFFFF"/>
          </w:tcPr>
          <w:p w14:paraId="1F5D2422" w14:textId="77777777" w:rsidR="00BD43B4" w:rsidRPr="00D72C04" w:rsidRDefault="00BD43B4" w:rsidP="00CC41B7">
            <w:pPr>
              <w:pStyle w:val="CETBodytext"/>
              <w:ind w:right="-1"/>
              <w:jc w:val="left"/>
              <w:rPr>
                <w:rFonts w:cs="Arial"/>
                <w:bCs/>
                <w:szCs w:val="18"/>
              </w:rPr>
            </w:pPr>
            <w:r w:rsidRPr="00D72C04">
              <w:rPr>
                <w:bCs/>
                <w:sz w:val="16"/>
              </w:rPr>
              <w:t>ECA: DS.004-2017- MINAN</w:t>
            </w:r>
          </w:p>
        </w:tc>
        <w:tc>
          <w:tcPr>
            <w:tcW w:w="1134" w:type="dxa"/>
            <w:tcBorders>
              <w:top w:val="single" w:sz="12" w:space="0" w:color="008000"/>
              <w:bottom w:val="single" w:sz="12" w:space="0" w:color="008000"/>
            </w:tcBorders>
            <w:shd w:val="clear" w:color="auto" w:fill="FFFFFF"/>
          </w:tcPr>
          <w:p w14:paraId="533FEB84" w14:textId="77777777" w:rsidR="00BD43B4" w:rsidRPr="00D72C04" w:rsidRDefault="00BD43B4" w:rsidP="00CC41B7">
            <w:pPr>
              <w:pStyle w:val="CETBodytext"/>
              <w:ind w:right="-1"/>
              <w:jc w:val="center"/>
              <w:rPr>
                <w:rFonts w:cs="Arial"/>
                <w:bCs/>
                <w:szCs w:val="18"/>
              </w:rPr>
            </w:pPr>
            <w:r w:rsidRPr="00D72C04">
              <w:rPr>
                <w:rStyle w:val="rynqvb"/>
              </w:rPr>
              <w:t>Variation</w:t>
            </w:r>
          </w:p>
        </w:tc>
      </w:tr>
      <w:tr w:rsidR="00BD43B4" w:rsidRPr="00D72C04" w14:paraId="7FCD55DF" w14:textId="77777777" w:rsidTr="00CC41B7">
        <w:tc>
          <w:tcPr>
            <w:tcW w:w="3402" w:type="dxa"/>
            <w:tcBorders>
              <w:top w:val="single" w:sz="12" w:space="0" w:color="008000"/>
            </w:tcBorders>
            <w:shd w:val="clear" w:color="auto" w:fill="FFFFFF"/>
          </w:tcPr>
          <w:p w14:paraId="314F5546" w14:textId="77777777" w:rsidR="00BD43B4" w:rsidRPr="00D72C04" w:rsidRDefault="00BD43B4" w:rsidP="00CC41B7">
            <w:pPr>
              <w:pStyle w:val="CETBodytext"/>
            </w:pPr>
            <w:r w:rsidRPr="00D72C04">
              <w:t>Biochemical Oxygen Demand (BOD5)</w:t>
            </w:r>
          </w:p>
        </w:tc>
        <w:tc>
          <w:tcPr>
            <w:tcW w:w="992" w:type="dxa"/>
            <w:tcBorders>
              <w:top w:val="single" w:sz="12" w:space="0" w:color="008000"/>
            </w:tcBorders>
            <w:shd w:val="clear" w:color="auto" w:fill="FFFFFF"/>
          </w:tcPr>
          <w:p w14:paraId="4B871A5F" w14:textId="77777777" w:rsidR="00BD43B4" w:rsidRPr="00D72C04" w:rsidRDefault="00BD43B4" w:rsidP="00CC41B7">
            <w:pPr>
              <w:pStyle w:val="CETBodytext"/>
              <w:jc w:val="center"/>
            </w:pPr>
            <w:r w:rsidRPr="00D72C04">
              <w:t>mg/L</w:t>
            </w:r>
          </w:p>
        </w:tc>
        <w:tc>
          <w:tcPr>
            <w:tcW w:w="1134" w:type="dxa"/>
            <w:tcBorders>
              <w:top w:val="single" w:sz="12" w:space="0" w:color="008000"/>
            </w:tcBorders>
            <w:shd w:val="clear" w:color="auto" w:fill="FFFFFF"/>
          </w:tcPr>
          <w:p w14:paraId="190B9458" w14:textId="77777777" w:rsidR="00BD43B4" w:rsidRPr="00D72C04" w:rsidRDefault="00BD43B4" w:rsidP="00CC41B7">
            <w:pPr>
              <w:pStyle w:val="CETBodytext"/>
              <w:jc w:val="center"/>
            </w:pPr>
            <w:r w:rsidRPr="00D72C04">
              <w:t>28.00</w:t>
            </w:r>
          </w:p>
        </w:tc>
        <w:tc>
          <w:tcPr>
            <w:tcW w:w="1984" w:type="dxa"/>
            <w:tcBorders>
              <w:top w:val="single" w:sz="12" w:space="0" w:color="008000"/>
            </w:tcBorders>
            <w:shd w:val="clear" w:color="auto" w:fill="FFFFFF"/>
          </w:tcPr>
          <w:p w14:paraId="6C46A1AC" w14:textId="77777777" w:rsidR="00BD43B4" w:rsidRPr="00D72C04" w:rsidRDefault="00BD43B4" w:rsidP="00CC41B7">
            <w:pPr>
              <w:pStyle w:val="CETBodytext"/>
              <w:ind w:right="-1"/>
              <w:rPr>
                <w:rFonts w:cs="Arial"/>
                <w:szCs w:val="18"/>
              </w:rPr>
            </w:pPr>
            <w:r w:rsidRPr="00D72C04">
              <w:t>5</w:t>
            </w:r>
          </w:p>
        </w:tc>
        <w:tc>
          <w:tcPr>
            <w:tcW w:w="1134" w:type="dxa"/>
            <w:tcBorders>
              <w:top w:val="single" w:sz="12" w:space="0" w:color="008000"/>
            </w:tcBorders>
            <w:shd w:val="clear" w:color="auto" w:fill="FFFFFF"/>
          </w:tcPr>
          <w:p w14:paraId="6CB53C0B" w14:textId="77777777" w:rsidR="00BD43B4" w:rsidRPr="00D72C04" w:rsidRDefault="00BD43B4" w:rsidP="00CC41B7">
            <w:pPr>
              <w:pStyle w:val="CETBodytext"/>
              <w:ind w:right="-1"/>
              <w:jc w:val="center"/>
              <w:rPr>
                <w:rFonts w:cs="Arial"/>
                <w:szCs w:val="18"/>
              </w:rPr>
            </w:pPr>
            <w:r w:rsidRPr="00D72C04">
              <w:rPr>
                <w:rFonts w:cs="Arial"/>
                <w:szCs w:val="18"/>
              </w:rPr>
              <w:t>exceeds</w:t>
            </w:r>
          </w:p>
        </w:tc>
      </w:tr>
      <w:tr w:rsidR="00BD43B4" w:rsidRPr="00D72C04" w14:paraId="1E8EFF45" w14:textId="77777777" w:rsidTr="00CC41B7">
        <w:tc>
          <w:tcPr>
            <w:tcW w:w="3402" w:type="dxa"/>
            <w:shd w:val="clear" w:color="auto" w:fill="FFFFFF"/>
          </w:tcPr>
          <w:p w14:paraId="0364512A" w14:textId="77777777" w:rsidR="00BD43B4" w:rsidRPr="00D72C04" w:rsidRDefault="00BD43B4" w:rsidP="00CC41B7">
            <w:pPr>
              <w:pStyle w:val="CETBodytext"/>
              <w:ind w:right="-1"/>
              <w:rPr>
                <w:rFonts w:cs="Arial"/>
                <w:szCs w:val="18"/>
              </w:rPr>
            </w:pPr>
            <w:r w:rsidRPr="00D72C04">
              <w:t>Chemical Oxygen Demand (COD)</w:t>
            </w:r>
          </w:p>
        </w:tc>
        <w:tc>
          <w:tcPr>
            <w:tcW w:w="992" w:type="dxa"/>
            <w:shd w:val="clear" w:color="auto" w:fill="FFFFFF"/>
          </w:tcPr>
          <w:p w14:paraId="3A8A6331" w14:textId="77777777" w:rsidR="00BD43B4" w:rsidRPr="00D72C04" w:rsidRDefault="00BD43B4" w:rsidP="00CC41B7">
            <w:pPr>
              <w:pStyle w:val="CETBodytext"/>
              <w:ind w:right="-1"/>
              <w:jc w:val="center"/>
              <w:rPr>
                <w:rFonts w:cs="Arial"/>
                <w:szCs w:val="18"/>
              </w:rPr>
            </w:pPr>
            <w:r w:rsidRPr="00D72C04">
              <w:rPr>
                <w:rFonts w:cs="Arial"/>
                <w:szCs w:val="18"/>
              </w:rPr>
              <w:t>mg/L</w:t>
            </w:r>
          </w:p>
        </w:tc>
        <w:tc>
          <w:tcPr>
            <w:tcW w:w="1134" w:type="dxa"/>
            <w:shd w:val="clear" w:color="auto" w:fill="FFFFFF"/>
          </w:tcPr>
          <w:p w14:paraId="6A0C2BB6" w14:textId="77777777" w:rsidR="00BD43B4" w:rsidRPr="00D72C04" w:rsidRDefault="00BD43B4" w:rsidP="00CC41B7">
            <w:pPr>
              <w:pStyle w:val="CETBodytext"/>
              <w:ind w:right="-1"/>
              <w:jc w:val="center"/>
              <w:rPr>
                <w:rFonts w:cs="Arial"/>
                <w:szCs w:val="18"/>
              </w:rPr>
            </w:pPr>
            <w:r w:rsidRPr="00D72C04">
              <w:rPr>
                <w:rFonts w:cs="Arial"/>
                <w:szCs w:val="18"/>
              </w:rPr>
              <w:t>45.00</w:t>
            </w:r>
          </w:p>
        </w:tc>
        <w:tc>
          <w:tcPr>
            <w:tcW w:w="1984" w:type="dxa"/>
            <w:shd w:val="clear" w:color="auto" w:fill="FFFFFF"/>
          </w:tcPr>
          <w:p w14:paraId="6FF5C7F2" w14:textId="77777777" w:rsidR="00BD43B4" w:rsidRPr="00D72C04" w:rsidRDefault="00BD43B4" w:rsidP="00CC41B7">
            <w:pPr>
              <w:pStyle w:val="CETBodytext"/>
              <w:ind w:right="-1"/>
              <w:rPr>
                <w:rFonts w:cs="Arial"/>
                <w:szCs w:val="18"/>
              </w:rPr>
            </w:pPr>
            <w:r w:rsidRPr="00D72C04">
              <w:rPr>
                <w:rFonts w:cs="Arial"/>
                <w:szCs w:val="18"/>
              </w:rPr>
              <w:t>valueless</w:t>
            </w:r>
          </w:p>
        </w:tc>
        <w:tc>
          <w:tcPr>
            <w:tcW w:w="1134" w:type="dxa"/>
            <w:shd w:val="clear" w:color="auto" w:fill="FFFFFF"/>
          </w:tcPr>
          <w:p w14:paraId="43047F28" w14:textId="77777777" w:rsidR="00BD43B4" w:rsidRPr="00D72C04" w:rsidRDefault="00BD43B4" w:rsidP="00CC41B7">
            <w:pPr>
              <w:pStyle w:val="CETBodytext"/>
              <w:ind w:right="-1"/>
              <w:jc w:val="center"/>
              <w:rPr>
                <w:rFonts w:cs="Arial"/>
                <w:szCs w:val="18"/>
              </w:rPr>
            </w:pPr>
            <w:r w:rsidRPr="00D72C04">
              <w:rPr>
                <w:rFonts w:cs="Arial"/>
                <w:szCs w:val="18"/>
              </w:rPr>
              <w:t>-</w:t>
            </w:r>
          </w:p>
        </w:tc>
      </w:tr>
      <w:tr w:rsidR="00BD43B4" w:rsidRPr="00D72C04" w14:paraId="23E51CD6" w14:textId="77777777" w:rsidTr="00CC41B7">
        <w:tc>
          <w:tcPr>
            <w:tcW w:w="3402" w:type="dxa"/>
            <w:shd w:val="clear" w:color="auto" w:fill="FFFFFF"/>
          </w:tcPr>
          <w:p w14:paraId="6EE3B675" w14:textId="77777777" w:rsidR="00BD43B4" w:rsidRPr="00D72C04" w:rsidRDefault="00BD43B4" w:rsidP="00CC41B7">
            <w:pPr>
              <w:pStyle w:val="CETBodytext"/>
              <w:ind w:right="-1"/>
              <w:rPr>
                <w:rFonts w:cs="Arial"/>
                <w:szCs w:val="18"/>
              </w:rPr>
            </w:pPr>
            <w:r w:rsidRPr="00D72C04">
              <w:t>Total Nitrogen</w:t>
            </w:r>
          </w:p>
        </w:tc>
        <w:tc>
          <w:tcPr>
            <w:tcW w:w="992" w:type="dxa"/>
            <w:shd w:val="clear" w:color="auto" w:fill="FFFFFF"/>
          </w:tcPr>
          <w:p w14:paraId="30DB8FC8" w14:textId="77777777" w:rsidR="00BD43B4" w:rsidRPr="00D72C04" w:rsidRDefault="00BD43B4" w:rsidP="00CC41B7">
            <w:pPr>
              <w:pStyle w:val="CETBodytext"/>
              <w:ind w:right="-1"/>
              <w:jc w:val="center"/>
              <w:rPr>
                <w:rFonts w:cs="Arial"/>
                <w:szCs w:val="18"/>
              </w:rPr>
            </w:pPr>
            <w:r w:rsidRPr="00D72C04">
              <w:rPr>
                <w:rFonts w:cs="Arial"/>
                <w:szCs w:val="18"/>
              </w:rPr>
              <w:t>mg/L</w:t>
            </w:r>
          </w:p>
        </w:tc>
        <w:tc>
          <w:tcPr>
            <w:tcW w:w="1134" w:type="dxa"/>
            <w:shd w:val="clear" w:color="auto" w:fill="FFFFFF"/>
          </w:tcPr>
          <w:p w14:paraId="7227A712" w14:textId="77777777" w:rsidR="00BD43B4" w:rsidRPr="00D72C04" w:rsidRDefault="00BD43B4" w:rsidP="00CC41B7">
            <w:pPr>
              <w:pStyle w:val="CETBodytext"/>
              <w:ind w:right="-1"/>
              <w:jc w:val="center"/>
              <w:rPr>
                <w:rFonts w:cs="Arial"/>
                <w:szCs w:val="18"/>
              </w:rPr>
            </w:pPr>
            <w:r w:rsidRPr="00D72C04">
              <w:rPr>
                <w:rFonts w:cs="Arial"/>
                <w:szCs w:val="18"/>
              </w:rPr>
              <w:t>3.18</w:t>
            </w:r>
          </w:p>
        </w:tc>
        <w:tc>
          <w:tcPr>
            <w:tcW w:w="1984" w:type="dxa"/>
            <w:shd w:val="clear" w:color="auto" w:fill="FFFFFF"/>
          </w:tcPr>
          <w:p w14:paraId="76415F50" w14:textId="77777777" w:rsidR="00BD43B4" w:rsidRPr="00D72C04" w:rsidRDefault="00BD43B4" w:rsidP="00CC41B7">
            <w:pPr>
              <w:pStyle w:val="CETBodytext"/>
              <w:ind w:right="-1"/>
              <w:rPr>
                <w:rFonts w:cs="Arial"/>
                <w:szCs w:val="18"/>
              </w:rPr>
            </w:pPr>
            <w:r w:rsidRPr="00D72C04">
              <w:rPr>
                <w:rFonts w:cs="Arial"/>
                <w:szCs w:val="18"/>
              </w:rPr>
              <w:t>0.315</w:t>
            </w:r>
          </w:p>
        </w:tc>
        <w:tc>
          <w:tcPr>
            <w:tcW w:w="1134" w:type="dxa"/>
            <w:shd w:val="clear" w:color="auto" w:fill="FFFFFF"/>
          </w:tcPr>
          <w:p w14:paraId="44F270FB" w14:textId="77777777" w:rsidR="00BD43B4" w:rsidRPr="00D72C04" w:rsidRDefault="00BD43B4" w:rsidP="00CC41B7">
            <w:pPr>
              <w:pStyle w:val="CETBodytext"/>
              <w:ind w:right="-1"/>
              <w:jc w:val="center"/>
              <w:rPr>
                <w:rFonts w:cs="Arial"/>
                <w:szCs w:val="18"/>
              </w:rPr>
            </w:pPr>
            <w:r w:rsidRPr="00D72C04">
              <w:rPr>
                <w:rFonts w:cs="Arial"/>
                <w:szCs w:val="18"/>
              </w:rPr>
              <w:t>exceeds</w:t>
            </w:r>
          </w:p>
        </w:tc>
      </w:tr>
      <w:tr w:rsidR="00BD43B4" w:rsidRPr="00D72C04" w14:paraId="0800A2D4" w14:textId="77777777" w:rsidTr="00CC41B7">
        <w:tc>
          <w:tcPr>
            <w:tcW w:w="3402" w:type="dxa"/>
            <w:shd w:val="clear" w:color="auto" w:fill="FFFFFF"/>
          </w:tcPr>
          <w:p w14:paraId="278FF471" w14:textId="77777777" w:rsidR="00BD43B4" w:rsidRPr="00D72C04" w:rsidRDefault="00BD43B4" w:rsidP="00CC41B7">
            <w:pPr>
              <w:pStyle w:val="CETBodytext"/>
              <w:ind w:right="-1"/>
              <w:rPr>
                <w:rFonts w:cs="Arial"/>
                <w:szCs w:val="18"/>
              </w:rPr>
            </w:pPr>
            <w:r w:rsidRPr="00D72C04">
              <w:t>turbidity</w:t>
            </w:r>
          </w:p>
        </w:tc>
        <w:tc>
          <w:tcPr>
            <w:tcW w:w="992" w:type="dxa"/>
            <w:shd w:val="clear" w:color="auto" w:fill="FFFFFF"/>
          </w:tcPr>
          <w:p w14:paraId="58A15D74" w14:textId="77777777" w:rsidR="00BD43B4" w:rsidRPr="00D72C04" w:rsidRDefault="00BD43B4" w:rsidP="00CC41B7">
            <w:pPr>
              <w:pStyle w:val="CETBodytext"/>
              <w:ind w:right="-1"/>
              <w:jc w:val="center"/>
              <w:rPr>
                <w:rFonts w:cs="Arial"/>
                <w:szCs w:val="18"/>
              </w:rPr>
            </w:pPr>
            <w:r w:rsidRPr="00D72C04">
              <w:rPr>
                <w:rFonts w:cs="Arial"/>
                <w:szCs w:val="18"/>
              </w:rPr>
              <w:t>NTU</w:t>
            </w:r>
          </w:p>
        </w:tc>
        <w:tc>
          <w:tcPr>
            <w:tcW w:w="1134" w:type="dxa"/>
            <w:shd w:val="clear" w:color="auto" w:fill="FFFFFF"/>
          </w:tcPr>
          <w:p w14:paraId="418B1324" w14:textId="77777777" w:rsidR="00BD43B4" w:rsidRPr="00D72C04" w:rsidRDefault="00BD43B4" w:rsidP="00CC41B7">
            <w:pPr>
              <w:pStyle w:val="CETBodytext"/>
              <w:ind w:right="-1"/>
              <w:jc w:val="center"/>
              <w:rPr>
                <w:rFonts w:cs="Arial"/>
                <w:szCs w:val="18"/>
              </w:rPr>
            </w:pPr>
            <w:r w:rsidRPr="00D72C04">
              <w:rPr>
                <w:rFonts w:cs="Arial"/>
                <w:szCs w:val="18"/>
              </w:rPr>
              <w:t>9.70</w:t>
            </w:r>
          </w:p>
        </w:tc>
        <w:tc>
          <w:tcPr>
            <w:tcW w:w="1984" w:type="dxa"/>
            <w:shd w:val="clear" w:color="auto" w:fill="FFFFFF"/>
          </w:tcPr>
          <w:p w14:paraId="0F6A2A6B" w14:textId="77777777" w:rsidR="00BD43B4" w:rsidRPr="00D72C04" w:rsidRDefault="00BD43B4" w:rsidP="00CC41B7">
            <w:pPr>
              <w:pStyle w:val="CETBodytext"/>
              <w:ind w:right="-1"/>
              <w:rPr>
                <w:rFonts w:cs="Arial"/>
                <w:szCs w:val="18"/>
              </w:rPr>
            </w:pPr>
            <w:r w:rsidRPr="00D72C04">
              <w:rPr>
                <w:rFonts w:cs="Arial"/>
                <w:szCs w:val="18"/>
              </w:rPr>
              <w:t>valueless</w:t>
            </w:r>
          </w:p>
        </w:tc>
        <w:tc>
          <w:tcPr>
            <w:tcW w:w="1134" w:type="dxa"/>
            <w:shd w:val="clear" w:color="auto" w:fill="FFFFFF"/>
          </w:tcPr>
          <w:p w14:paraId="76E9F248" w14:textId="77777777" w:rsidR="00BD43B4" w:rsidRPr="00D72C04" w:rsidRDefault="00BD43B4" w:rsidP="00CC41B7">
            <w:pPr>
              <w:pStyle w:val="CETBodytext"/>
              <w:ind w:right="-1"/>
              <w:jc w:val="center"/>
              <w:rPr>
                <w:rFonts w:cs="Arial"/>
                <w:szCs w:val="18"/>
              </w:rPr>
            </w:pPr>
            <w:r w:rsidRPr="00D72C04">
              <w:rPr>
                <w:rFonts w:cs="Arial"/>
                <w:szCs w:val="18"/>
              </w:rPr>
              <w:t>-</w:t>
            </w:r>
          </w:p>
        </w:tc>
      </w:tr>
      <w:tr w:rsidR="00BD43B4" w:rsidRPr="00D72C04" w14:paraId="51AFC3BC" w14:textId="77777777" w:rsidTr="00CC41B7">
        <w:tc>
          <w:tcPr>
            <w:tcW w:w="3402" w:type="dxa"/>
            <w:shd w:val="clear" w:color="auto" w:fill="FFFFFF"/>
          </w:tcPr>
          <w:p w14:paraId="1B735D6F" w14:textId="77777777" w:rsidR="00BD43B4" w:rsidRPr="00D72C04" w:rsidRDefault="00BD43B4" w:rsidP="00CC41B7">
            <w:pPr>
              <w:pStyle w:val="CETBodytext"/>
              <w:ind w:right="-1"/>
              <w:rPr>
                <w:rFonts w:cs="Arial"/>
                <w:szCs w:val="18"/>
              </w:rPr>
            </w:pPr>
            <w:r w:rsidRPr="00D72C04">
              <w:t>Hydrogen potential. pH</w:t>
            </w:r>
          </w:p>
        </w:tc>
        <w:tc>
          <w:tcPr>
            <w:tcW w:w="992" w:type="dxa"/>
            <w:shd w:val="clear" w:color="auto" w:fill="FFFFFF"/>
          </w:tcPr>
          <w:p w14:paraId="33D42A91" w14:textId="77777777" w:rsidR="00BD43B4" w:rsidRPr="00D72C04" w:rsidRDefault="00BD43B4" w:rsidP="00CC41B7">
            <w:pPr>
              <w:pStyle w:val="CETBodytext"/>
              <w:ind w:right="-1"/>
              <w:jc w:val="center"/>
              <w:rPr>
                <w:rFonts w:cs="Arial"/>
                <w:szCs w:val="18"/>
              </w:rPr>
            </w:pPr>
            <w:r w:rsidRPr="00D72C04">
              <w:rPr>
                <w:rFonts w:cs="Arial"/>
                <w:szCs w:val="18"/>
              </w:rPr>
              <w:t>-</w:t>
            </w:r>
          </w:p>
        </w:tc>
        <w:tc>
          <w:tcPr>
            <w:tcW w:w="1134" w:type="dxa"/>
            <w:shd w:val="clear" w:color="auto" w:fill="FFFFFF"/>
          </w:tcPr>
          <w:p w14:paraId="6D71BBD6" w14:textId="77777777" w:rsidR="00BD43B4" w:rsidRPr="00D72C04" w:rsidRDefault="00BD43B4" w:rsidP="00CC41B7">
            <w:pPr>
              <w:pStyle w:val="CETBodytext"/>
              <w:ind w:right="-1"/>
              <w:jc w:val="center"/>
              <w:rPr>
                <w:rFonts w:cs="Arial"/>
                <w:szCs w:val="18"/>
              </w:rPr>
            </w:pPr>
            <w:r w:rsidRPr="00D72C04">
              <w:rPr>
                <w:rFonts w:cs="Arial"/>
                <w:szCs w:val="18"/>
              </w:rPr>
              <w:t>7.60</w:t>
            </w:r>
          </w:p>
        </w:tc>
        <w:tc>
          <w:tcPr>
            <w:tcW w:w="1984" w:type="dxa"/>
            <w:shd w:val="clear" w:color="auto" w:fill="FFFFFF"/>
          </w:tcPr>
          <w:p w14:paraId="3F4005AA" w14:textId="77777777" w:rsidR="00BD43B4" w:rsidRPr="00D72C04" w:rsidRDefault="00BD43B4" w:rsidP="00CC41B7">
            <w:pPr>
              <w:pStyle w:val="CETBodytext"/>
              <w:ind w:right="-1"/>
              <w:rPr>
                <w:rFonts w:cs="Arial"/>
                <w:szCs w:val="18"/>
              </w:rPr>
            </w:pPr>
            <w:r w:rsidRPr="00D72C04">
              <w:rPr>
                <w:rFonts w:cs="Arial"/>
                <w:szCs w:val="18"/>
              </w:rPr>
              <w:t>6.5 – 9.0</w:t>
            </w:r>
          </w:p>
        </w:tc>
        <w:tc>
          <w:tcPr>
            <w:tcW w:w="1134" w:type="dxa"/>
            <w:shd w:val="clear" w:color="auto" w:fill="FFFFFF"/>
          </w:tcPr>
          <w:p w14:paraId="16262D97" w14:textId="77777777" w:rsidR="00BD43B4" w:rsidRPr="00D72C04" w:rsidRDefault="00BD43B4" w:rsidP="00CC41B7">
            <w:pPr>
              <w:pStyle w:val="CETBodytext"/>
              <w:ind w:right="-1"/>
              <w:jc w:val="center"/>
              <w:rPr>
                <w:rFonts w:cs="Arial"/>
                <w:szCs w:val="18"/>
              </w:rPr>
            </w:pPr>
            <w:r w:rsidRPr="00D72C04">
              <w:rPr>
                <w:rFonts w:cs="Arial"/>
                <w:szCs w:val="18"/>
              </w:rPr>
              <w:t>Not exceed</w:t>
            </w:r>
          </w:p>
        </w:tc>
      </w:tr>
      <w:tr w:rsidR="00BD43B4" w:rsidRPr="00D72C04" w14:paraId="5B7BDD9E" w14:textId="77777777" w:rsidTr="00CC41B7">
        <w:tc>
          <w:tcPr>
            <w:tcW w:w="3402" w:type="dxa"/>
            <w:shd w:val="clear" w:color="auto" w:fill="FFFFFF"/>
          </w:tcPr>
          <w:p w14:paraId="5EF4E0E1" w14:textId="77777777" w:rsidR="00BD43B4" w:rsidRPr="00D72C04" w:rsidRDefault="00BD43B4" w:rsidP="00CC41B7">
            <w:pPr>
              <w:pStyle w:val="CETBodytext"/>
              <w:ind w:right="-1"/>
              <w:rPr>
                <w:rFonts w:cs="Arial"/>
                <w:szCs w:val="18"/>
              </w:rPr>
            </w:pPr>
            <w:r w:rsidRPr="00D72C04">
              <w:t>Electric conductivity</w:t>
            </w:r>
          </w:p>
        </w:tc>
        <w:tc>
          <w:tcPr>
            <w:tcW w:w="992" w:type="dxa"/>
            <w:shd w:val="clear" w:color="auto" w:fill="FFFFFF"/>
          </w:tcPr>
          <w:p w14:paraId="736412EB" w14:textId="77777777" w:rsidR="00BD43B4" w:rsidRPr="00D72C04" w:rsidRDefault="00BD43B4" w:rsidP="00CC41B7">
            <w:pPr>
              <w:pStyle w:val="CETBodytext"/>
              <w:ind w:right="-1"/>
              <w:jc w:val="center"/>
              <w:rPr>
                <w:rFonts w:cs="Arial"/>
                <w:szCs w:val="18"/>
              </w:rPr>
            </w:pPr>
            <w:r w:rsidRPr="00D72C04">
              <w:rPr>
                <w:rFonts w:cs="Arial"/>
                <w:szCs w:val="18"/>
                <w:lang w:eastAsia="es-PE"/>
              </w:rPr>
              <w:t>µs/cm</w:t>
            </w:r>
          </w:p>
        </w:tc>
        <w:tc>
          <w:tcPr>
            <w:tcW w:w="1134" w:type="dxa"/>
            <w:shd w:val="clear" w:color="auto" w:fill="FFFFFF"/>
          </w:tcPr>
          <w:p w14:paraId="6136B2E3" w14:textId="77777777" w:rsidR="00BD43B4" w:rsidRPr="00D72C04" w:rsidRDefault="00BD43B4" w:rsidP="00CC41B7">
            <w:pPr>
              <w:pStyle w:val="CETBodytext"/>
              <w:ind w:right="-1"/>
              <w:jc w:val="center"/>
              <w:rPr>
                <w:rFonts w:cs="Arial"/>
                <w:szCs w:val="18"/>
              </w:rPr>
            </w:pPr>
            <w:r w:rsidRPr="00D72C04">
              <w:rPr>
                <w:rFonts w:cs="Arial"/>
                <w:szCs w:val="18"/>
              </w:rPr>
              <w:t>20780</w:t>
            </w:r>
          </w:p>
        </w:tc>
        <w:tc>
          <w:tcPr>
            <w:tcW w:w="1984" w:type="dxa"/>
            <w:shd w:val="clear" w:color="auto" w:fill="FFFFFF"/>
          </w:tcPr>
          <w:p w14:paraId="0A798F80" w14:textId="77777777" w:rsidR="00BD43B4" w:rsidRPr="00D72C04" w:rsidRDefault="00BD43B4" w:rsidP="00CC41B7">
            <w:pPr>
              <w:pStyle w:val="CETBodytext"/>
              <w:ind w:right="-1"/>
              <w:rPr>
                <w:rFonts w:cs="Arial"/>
                <w:szCs w:val="18"/>
              </w:rPr>
            </w:pPr>
            <w:r w:rsidRPr="00D72C04">
              <w:rPr>
                <w:rFonts w:cs="Arial"/>
                <w:szCs w:val="18"/>
              </w:rPr>
              <w:t>1000</w:t>
            </w:r>
          </w:p>
        </w:tc>
        <w:tc>
          <w:tcPr>
            <w:tcW w:w="1134" w:type="dxa"/>
            <w:shd w:val="clear" w:color="auto" w:fill="FFFFFF"/>
          </w:tcPr>
          <w:p w14:paraId="7482DD97" w14:textId="77777777" w:rsidR="00BD43B4" w:rsidRPr="00D72C04" w:rsidRDefault="00BD43B4" w:rsidP="00CC41B7">
            <w:pPr>
              <w:pStyle w:val="CETBodytext"/>
              <w:ind w:right="-1"/>
              <w:jc w:val="center"/>
              <w:rPr>
                <w:rFonts w:cs="Arial"/>
                <w:szCs w:val="18"/>
              </w:rPr>
            </w:pPr>
            <w:r w:rsidRPr="00D72C04">
              <w:rPr>
                <w:rFonts w:cs="Arial"/>
                <w:szCs w:val="18"/>
              </w:rPr>
              <w:t>exceeds</w:t>
            </w:r>
          </w:p>
        </w:tc>
      </w:tr>
    </w:tbl>
    <w:p w14:paraId="739A854F" w14:textId="77777777" w:rsidR="00E44CEC" w:rsidRDefault="00E44CEC" w:rsidP="00E44CEC">
      <w:pPr>
        <w:pStyle w:val="CETBodytext"/>
      </w:pPr>
    </w:p>
    <w:p w14:paraId="6AEC8F4D" w14:textId="696F72F8" w:rsidR="00E44CEC" w:rsidRDefault="00E44CEC" w:rsidP="00E44CEC">
      <w:pPr>
        <w:pStyle w:val="CETBodytext"/>
      </w:pPr>
      <w:r w:rsidRPr="00E44CEC">
        <w:t xml:space="preserve">The results of the initial parameters of water from the </w:t>
      </w:r>
      <w:r w:rsidRPr="00E44CEC">
        <w:rPr>
          <w:i/>
          <w:iCs/>
        </w:rPr>
        <w:t>Ventanilla</w:t>
      </w:r>
      <w:r w:rsidRPr="00E44CEC">
        <w:t xml:space="preserve"> Wetlands, shown in Table 3, indicate that this source of water requires treatment to reach the standard quality </w:t>
      </w:r>
      <w:r>
        <w:t xml:space="preserve">according to the </w:t>
      </w:r>
      <w:r w:rsidRPr="00D72C04">
        <w:t>environmental regulations of Peru</w:t>
      </w:r>
      <w:r w:rsidRPr="00E44CEC">
        <w:t>.</w:t>
      </w:r>
    </w:p>
    <w:p w14:paraId="79F5D90D" w14:textId="717648AD" w:rsidR="001D5E08" w:rsidRPr="00D72C04" w:rsidRDefault="001D5E08" w:rsidP="00F52641">
      <w:pPr>
        <w:pStyle w:val="CETheadingx"/>
        <w:rPr>
          <w:lang w:val="en-US"/>
        </w:rPr>
      </w:pPr>
      <w:r w:rsidRPr="00D72C04">
        <w:rPr>
          <w:lang w:val="en-US"/>
        </w:rPr>
        <w:lastRenderedPageBreak/>
        <w:t>3.2 Physicochemical parameters after treatment with different doses of CNT</w:t>
      </w:r>
    </w:p>
    <w:p w14:paraId="43EF1A63" w14:textId="6794C048" w:rsidR="001D5E08" w:rsidRPr="00D72C04" w:rsidRDefault="001D5E08" w:rsidP="00F52641">
      <w:pPr>
        <w:pStyle w:val="CETheadingx"/>
        <w:rPr>
          <w:b w:val="0"/>
          <w:lang w:val="en-US"/>
        </w:rPr>
      </w:pPr>
      <w:r w:rsidRPr="00D72C04">
        <w:rPr>
          <w:lang w:val="en-US"/>
        </w:rPr>
        <w:t xml:space="preserve">Biochemical Oxygen Demand (BOD5): </w:t>
      </w:r>
      <w:r w:rsidRPr="00D72C04">
        <w:rPr>
          <w:b w:val="0"/>
          <w:lang w:val="en-US"/>
        </w:rPr>
        <w:t>After the treatment of the water sample, it was found that using the 150 g dose, the most optimal value of 4.25 mg/L is reached, which is less than 5 mg/L (ECA), fulfilling the environmental regulations of Peru; this means a reduction of 84.82%, see table 4.</w:t>
      </w:r>
    </w:p>
    <w:p w14:paraId="0FFC572D" w14:textId="24B38C0D" w:rsidR="00943073" w:rsidRPr="00D72C04" w:rsidRDefault="00F52641" w:rsidP="00203CEB">
      <w:pPr>
        <w:pStyle w:val="CETTabletitle"/>
        <w:spacing w:before="0" w:after="0" w:line="276" w:lineRule="auto"/>
        <w:rPr>
          <w:lang w:val="en-US"/>
        </w:rPr>
      </w:pPr>
      <w:r w:rsidRPr="00D72C04">
        <w:rPr>
          <w:rStyle w:val="rynqvb"/>
          <w:lang w:val="en-US"/>
        </w:rPr>
        <w:t>Table 4: BOD5 in water from wetlands treated with three different doses of CNT.</w:t>
      </w:r>
    </w:p>
    <w:tbl>
      <w:tblPr>
        <w:tblW w:w="8655" w:type="dxa"/>
        <w:tblLayout w:type="fixed"/>
        <w:tblCellMar>
          <w:left w:w="70" w:type="dxa"/>
          <w:right w:w="70" w:type="dxa"/>
        </w:tblCellMar>
        <w:tblLook w:val="04A0" w:firstRow="1" w:lastRow="0" w:firstColumn="1" w:lastColumn="0" w:noHBand="0" w:noVBand="1"/>
      </w:tblPr>
      <w:tblGrid>
        <w:gridCol w:w="990"/>
        <w:gridCol w:w="1041"/>
        <w:gridCol w:w="663"/>
        <w:gridCol w:w="610"/>
        <w:gridCol w:w="962"/>
        <w:gridCol w:w="687"/>
        <w:gridCol w:w="589"/>
        <w:gridCol w:w="893"/>
        <w:gridCol w:w="687"/>
        <w:gridCol w:w="607"/>
        <w:gridCol w:w="926"/>
      </w:tblGrid>
      <w:tr w:rsidR="00101DD5" w:rsidRPr="00D72C04" w14:paraId="11D698D6" w14:textId="77777777" w:rsidTr="00DC4EE3">
        <w:trPr>
          <w:trHeight w:val="330"/>
        </w:trPr>
        <w:tc>
          <w:tcPr>
            <w:tcW w:w="990" w:type="dxa"/>
            <w:vMerge w:val="restart"/>
            <w:tcBorders>
              <w:top w:val="single" w:sz="12" w:space="0" w:color="008000"/>
              <w:left w:val="nil"/>
              <w:bottom w:val="nil"/>
              <w:right w:val="nil"/>
            </w:tcBorders>
            <w:shd w:val="clear" w:color="000000" w:fill="FFFFFF"/>
            <w:vAlign w:val="center"/>
            <w:hideMark/>
          </w:tcPr>
          <w:p w14:paraId="2B93EB7E" w14:textId="6DF8F208" w:rsidR="00101DD5" w:rsidRPr="00D72C04" w:rsidRDefault="00F52641" w:rsidP="00101DD5">
            <w:pPr>
              <w:tabs>
                <w:tab w:val="clear" w:pos="7100"/>
              </w:tabs>
              <w:spacing w:line="240" w:lineRule="auto"/>
              <w:jc w:val="center"/>
              <w:rPr>
                <w:rFonts w:cs="Arial"/>
                <w:color w:val="000000"/>
                <w:szCs w:val="18"/>
                <w:lang w:val="en-US" w:eastAsia="es-PE"/>
              </w:rPr>
            </w:pPr>
            <w:r w:rsidRPr="00D72C04">
              <w:rPr>
                <w:rFonts w:cs="Arial"/>
                <w:bCs/>
                <w:szCs w:val="18"/>
                <w:lang w:val="en-US" w:eastAsia="es-PE"/>
              </w:rPr>
              <w:t>Parameter</w:t>
            </w:r>
          </w:p>
        </w:tc>
        <w:tc>
          <w:tcPr>
            <w:tcW w:w="1041" w:type="dxa"/>
            <w:vMerge w:val="restart"/>
            <w:tcBorders>
              <w:top w:val="single" w:sz="12" w:space="0" w:color="008000"/>
              <w:left w:val="nil"/>
              <w:bottom w:val="single" w:sz="4" w:space="0" w:color="000000"/>
              <w:right w:val="nil"/>
            </w:tcBorders>
            <w:shd w:val="clear" w:color="000000" w:fill="FFFFFF"/>
            <w:vAlign w:val="center"/>
            <w:hideMark/>
          </w:tcPr>
          <w:p w14:paraId="64BE0E9F" w14:textId="49FA7344" w:rsidR="00101DD5" w:rsidRPr="00D72C04" w:rsidRDefault="00F52641" w:rsidP="00101DD5">
            <w:pPr>
              <w:tabs>
                <w:tab w:val="clear" w:pos="7100"/>
              </w:tabs>
              <w:spacing w:line="240" w:lineRule="auto"/>
              <w:jc w:val="center"/>
              <w:rPr>
                <w:rFonts w:cs="Arial"/>
                <w:color w:val="000000"/>
                <w:szCs w:val="18"/>
                <w:lang w:val="en-US" w:eastAsia="es-PE"/>
              </w:rPr>
            </w:pPr>
            <w:r w:rsidRPr="00D72C04">
              <w:rPr>
                <w:rFonts w:cs="Arial"/>
                <w:bCs/>
                <w:color w:val="000000"/>
                <w:szCs w:val="18"/>
                <w:lang w:val="en-US" w:eastAsia="es-PE"/>
              </w:rPr>
              <w:t>Sample number</w:t>
            </w:r>
          </w:p>
        </w:tc>
        <w:tc>
          <w:tcPr>
            <w:tcW w:w="2235" w:type="dxa"/>
            <w:gridSpan w:val="3"/>
            <w:tcBorders>
              <w:top w:val="single" w:sz="12" w:space="0" w:color="009E47"/>
              <w:left w:val="nil"/>
              <w:bottom w:val="single" w:sz="8" w:space="0" w:color="009E47"/>
              <w:right w:val="nil"/>
            </w:tcBorders>
            <w:shd w:val="clear" w:color="000000" w:fill="FFFFFF"/>
            <w:vAlign w:val="center"/>
            <w:hideMark/>
          </w:tcPr>
          <w:p w14:paraId="6A43DF66" w14:textId="629D66E1" w:rsidR="00101DD5" w:rsidRPr="00D72C04" w:rsidRDefault="00F52641" w:rsidP="00101DD5">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Treatment with 50 g</w:t>
            </w:r>
          </w:p>
        </w:tc>
        <w:tc>
          <w:tcPr>
            <w:tcW w:w="2169" w:type="dxa"/>
            <w:gridSpan w:val="3"/>
            <w:tcBorders>
              <w:top w:val="single" w:sz="12" w:space="0" w:color="009E47"/>
              <w:left w:val="nil"/>
              <w:bottom w:val="single" w:sz="8" w:space="0" w:color="009E47"/>
              <w:right w:val="nil"/>
            </w:tcBorders>
            <w:shd w:val="clear" w:color="000000" w:fill="FFFFFF"/>
            <w:vAlign w:val="center"/>
            <w:hideMark/>
          </w:tcPr>
          <w:p w14:paraId="48DE2CA3" w14:textId="62C50DC1" w:rsidR="00101DD5" w:rsidRPr="00D72C04" w:rsidRDefault="00F52641" w:rsidP="00101DD5">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 xml:space="preserve">Treatment with </w:t>
            </w:r>
            <w:r w:rsidR="00101DD5" w:rsidRPr="00D72C04">
              <w:rPr>
                <w:rFonts w:cs="Arial"/>
                <w:color w:val="000000"/>
                <w:szCs w:val="18"/>
                <w:lang w:val="en-US" w:eastAsia="es-PE"/>
              </w:rPr>
              <w:t>100 g</w:t>
            </w:r>
          </w:p>
        </w:tc>
        <w:tc>
          <w:tcPr>
            <w:tcW w:w="2220" w:type="dxa"/>
            <w:gridSpan w:val="3"/>
            <w:tcBorders>
              <w:top w:val="single" w:sz="12" w:space="0" w:color="009E47"/>
              <w:left w:val="nil"/>
              <w:bottom w:val="single" w:sz="8" w:space="0" w:color="009E47"/>
              <w:right w:val="nil"/>
            </w:tcBorders>
            <w:shd w:val="clear" w:color="000000" w:fill="FFFFFF"/>
            <w:vAlign w:val="center"/>
            <w:hideMark/>
          </w:tcPr>
          <w:p w14:paraId="0E63483A" w14:textId="352789C4" w:rsidR="00101DD5" w:rsidRPr="00D72C04" w:rsidRDefault="00F52641" w:rsidP="00101DD5">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 xml:space="preserve">Treatment with </w:t>
            </w:r>
            <w:r w:rsidR="00101DD5" w:rsidRPr="00D72C04">
              <w:rPr>
                <w:rFonts w:cs="Arial"/>
                <w:szCs w:val="18"/>
                <w:lang w:val="en-US" w:eastAsia="es-PE"/>
              </w:rPr>
              <w:t>150 g</w:t>
            </w:r>
          </w:p>
        </w:tc>
      </w:tr>
      <w:tr w:rsidR="00101DD5" w:rsidRPr="00D72C04" w14:paraId="7FA73B4F" w14:textId="77777777" w:rsidTr="00DC4EE3">
        <w:trPr>
          <w:trHeight w:val="300"/>
        </w:trPr>
        <w:tc>
          <w:tcPr>
            <w:tcW w:w="990" w:type="dxa"/>
            <w:vMerge/>
            <w:tcBorders>
              <w:top w:val="single" w:sz="12" w:space="0" w:color="008000"/>
              <w:left w:val="nil"/>
              <w:bottom w:val="nil"/>
              <w:right w:val="nil"/>
            </w:tcBorders>
            <w:vAlign w:val="center"/>
            <w:hideMark/>
          </w:tcPr>
          <w:p w14:paraId="70B21352" w14:textId="77777777" w:rsidR="00101DD5" w:rsidRPr="00D72C04" w:rsidRDefault="00101DD5" w:rsidP="00101DD5">
            <w:pPr>
              <w:tabs>
                <w:tab w:val="clear" w:pos="7100"/>
              </w:tabs>
              <w:spacing w:line="240" w:lineRule="auto"/>
              <w:jc w:val="left"/>
              <w:rPr>
                <w:rFonts w:cs="Arial"/>
                <w:color w:val="000000"/>
                <w:szCs w:val="18"/>
                <w:lang w:val="en-US" w:eastAsia="es-PE"/>
              </w:rPr>
            </w:pPr>
          </w:p>
        </w:tc>
        <w:tc>
          <w:tcPr>
            <w:tcW w:w="1041" w:type="dxa"/>
            <w:vMerge/>
            <w:tcBorders>
              <w:top w:val="single" w:sz="12" w:space="0" w:color="008000"/>
              <w:left w:val="nil"/>
              <w:bottom w:val="single" w:sz="4" w:space="0" w:color="000000"/>
              <w:right w:val="nil"/>
            </w:tcBorders>
            <w:vAlign w:val="center"/>
            <w:hideMark/>
          </w:tcPr>
          <w:p w14:paraId="7A9C18DC" w14:textId="77777777" w:rsidR="00101DD5" w:rsidRPr="00D72C04" w:rsidRDefault="00101DD5" w:rsidP="00101DD5">
            <w:pPr>
              <w:tabs>
                <w:tab w:val="clear" w:pos="7100"/>
              </w:tabs>
              <w:spacing w:line="240" w:lineRule="auto"/>
              <w:jc w:val="left"/>
              <w:rPr>
                <w:rFonts w:cs="Arial"/>
                <w:color w:val="000000"/>
                <w:szCs w:val="18"/>
                <w:lang w:val="en-US" w:eastAsia="es-PE"/>
              </w:rPr>
            </w:pPr>
          </w:p>
        </w:tc>
        <w:tc>
          <w:tcPr>
            <w:tcW w:w="663" w:type="dxa"/>
            <w:tcBorders>
              <w:top w:val="nil"/>
              <w:left w:val="nil"/>
              <w:bottom w:val="nil"/>
              <w:right w:val="nil"/>
            </w:tcBorders>
            <w:shd w:val="clear" w:color="000000" w:fill="FFFFFF"/>
            <w:vAlign w:val="center"/>
            <w:hideMark/>
          </w:tcPr>
          <w:p w14:paraId="5172BBAA" w14:textId="45C26316" w:rsidR="00101DD5" w:rsidRPr="00D72C04" w:rsidRDefault="00F52641" w:rsidP="00101DD5">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Initial</w:t>
            </w:r>
          </w:p>
        </w:tc>
        <w:tc>
          <w:tcPr>
            <w:tcW w:w="610" w:type="dxa"/>
            <w:tcBorders>
              <w:top w:val="nil"/>
              <w:left w:val="nil"/>
              <w:bottom w:val="nil"/>
              <w:right w:val="nil"/>
            </w:tcBorders>
            <w:shd w:val="clear" w:color="000000" w:fill="FFFFFF"/>
            <w:vAlign w:val="center"/>
            <w:hideMark/>
          </w:tcPr>
          <w:p w14:paraId="39963975" w14:textId="77777777" w:rsidR="00101DD5" w:rsidRPr="00D72C04" w:rsidRDefault="00101DD5" w:rsidP="00101DD5">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Final</w:t>
            </w:r>
          </w:p>
        </w:tc>
        <w:tc>
          <w:tcPr>
            <w:tcW w:w="962" w:type="dxa"/>
            <w:tcBorders>
              <w:top w:val="nil"/>
              <w:left w:val="nil"/>
              <w:bottom w:val="nil"/>
              <w:right w:val="nil"/>
            </w:tcBorders>
            <w:shd w:val="clear" w:color="000000" w:fill="FFFFFF"/>
            <w:vAlign w:val="center"/>
            <w:hideMark/>
          </w:tcPr>
          <w:p w14:paraId="53270908" w14:textId="190F6F37" w:rsidR="00101DD5" w:rsidRPr="00D72C04" w:rsidRDefault="00F52641" w:rsidP="00101DD5">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Variation</w:t>
            </w:r>
            <w:r w:rsidR="00101DD5" w:rsidRPr="00D72C04">
              <w:rPr>
                <w:rFonts w:cs="Arial"/>
                <w:color w:val="000000"/>
                <w:szCs w:val="18"/>
                <w:lang w:val="en-US" w:eastAsia="es-PE"/>
              </w:rPr>
              <w:t xml:space="preserve"> (%)</w:t>
            </w:r>
          </w:p>
        </w:tc>
        <w:tc>
          <w:tcPr>
            <w:tcW w:w="687" w:type="dxa"/>
            <w:tcBorders>
              <w:top w:val="nil"/>
              <w:left w:val="nil"/>
              <w:bottom w:val="nil"/>
              <w:right w:val="nil"/>
            </w:tcBorders>
            <w:shd w:val="clear" w:color="000000" w:fill="FFFFFF"/>
            <w:vAlign w:val="center"/>
            <w:hideMark/>
          </w:tcPr>
          <w:p w14:paraId="1B925558" w14:textId="0FF68E34" w:rsidR="00101DD5" w:rsidRPr="00D72C04" w:rsidRDefault="00F52641" w:rsidP="00101DD5">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Initial</w:t>
            </w:r>
          </w:p>
        </w:tc>
        <w:tc>
          <w:tcPr>
            <w:tcW w:w="589" w:type="dxa"/>
            <w:tcBorders>
              <w:top w:val="nil"/>
              <w:left w:val="nil"/>
              <w:bottom w:val="nil"/>
              <w:right w:val="nil"/>
            </w:tcBorders>
            <w:shd w:val="clear" w:color="000000" w:fill="FFFFFF"/>
            <w:vAlign w:val="center"/>
            <w:hideMark/>
          </w:tcPr>
          <w:p w14:paraId="57E0D7DA" w14:textId="77777777" w:rsidR="00101DD5" w:rsidRPr="00D72C04" w:rsidRDefault="00101DD5" w:rsidP="00101DD5">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Final</w:t>
            </w:r>
          </w:p>
        </w:tc>
        <w:tc>
          <w:tcPr>
            <w:tcW w:w="893" w:type="dxa"/>
            <w:tcBorders>
              <w:top w:val="nil"/>
              <w:left w:val="nil"/>
              <w:bottom w:val="nil"/>
              <w:right w:val="nil"/>
            </w:tcBorders>
            <w:shd w:val="clear" w:color="000000" w:fill="FFFFFF"/>
            <w:vAlign w:val="center"/>
            <w:hideMark/>
          </w:tcPr>
          <w:p w14:paraId="67C59997" w14:textId="3FD86970" w:rsidR="00101DD5" w:rsidRPr="00D72C04" w:rsidRDefault="00F52641" w:rsidP="00101DD5">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Variation</w:t>
            </w:r>
            <w:r w:rsidR="00101DD5" w:rsidRPr="00D72C04">
              <w:rPr>
                <w:rFonts w:cs="Arial"/>
                <w:color w:val="000000"/>
                <w:szCs w:val="18"/>
                <w:lang w:val="en-US" w:eastAsia="es-PE"/>
              </w:rPr>
              <w:t xml:space="preserve"> (%)</w:t>
            </w:r>
          </w:p>
        </w:tc>
        <w:tc>
          <w:tcPr>
            <w:tcW w:w="687" w:type="dxa"/>
            <w:tcBorders>
              <w:top w:val="nil"/>
              <w:left w:val="nil"/>
              <w:bottom w:val="nil"/>
              <w:right w:val="nil"/>
            </w:tcBorders>
            <w:shd w:val="clear" w:color="000000" w:fill="FFFFFF"/>
            <w:vAlign w:val="center"/>
            <w:hideMark/>
          </w:tcPr>
          <w:p w14:paraId="22A21611" w14:textId="5D5B26B6" w:rsidR="00101DD5" w:rsidRPr="00D72C04" w:rsidRDefault="00F52641" w:rsidP="00101DD5">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Initial</w:t>
            </w:r>
          </w:p>
        </w:tc>
        <w:tc>
          <w:tcPr>
            <w:tcW w:w="607" w:type="dxa"/>
            <w:tcBorders>
              <w:top w:val="nil"/>
              <w:left w:val="nil"/>
              <w:bottom w:val="nil"/>
              <w:right w:val="nil"/>
            </w:tcBorders>
            <w:shd w:val="clear" w:color="000000" w:fill="FFFFFF"/>
            <w:vAlign w:val="center"/>
            <w:hideMark/>
          </w:tcPr>
          <w:p w14:paraId="3F354658" w14:textId="77777777" w:rsidR="00101DD5" w:rsidRPr="00D72C04" w:rsidRDefault="00101DD5" w:rsidP="00101DD5">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Final</w:t>
            </w:r>
          </w:p>
        </w:tc>
        <w:tc>
          <w:tcPr>
            <w:tcW w:w="926" w:type="dxa"/>
            <w:tcBorders>
              <w:top w:val="nil"/>
              <w:left w:val="nil"/>
              <w:bottom w:val="nil"/>
              <w:right w:val="nil"/>
            </w:tcBorders>
            <w:shd w:val="clear" w:color="000000" w:fill="FFFFFF"/>
            <w:vAlign w:val="center"/>
            <w:hideMark/>
          </w:tcPr>
          <w:p w14:paraId="79D87256" w14:textId="413D90E8" w:rsidR="00101DD5" w:rsidRPr="00D72C04" w:rsidRDefault="00F52641" w:rsidP="00101DD5">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Variation</w:t>
            </w:r>
            <w:r w:rsidR="00101DD5" w:rsidRPr="00D72C04">
              <w:rPr>
                <w:rFonts w:cs="Arial"/>
                <w:color w:val="000000"/>
                <w:szCs w:val="18"/>
                <w:lang w:val="en-US" w:eastAsia="es-PE"/>
              </w:rPr>
              <w:t xml:space="preserve"> (%)</w:t>
            </w:r>
          </w:p>
        </w:tc>
      </w:tr>
      <w:tr w:rsidR="00101DD5" w:rsidRPr="00D72C04" w14:paraId="1849AAC5" w14:textId="77777777" w:rsidTr="00DC4EE3">
        <w:trPr>
          <w:trHeight w:val="300"/>
        </w:trPr>
        <w:tc>
          <w:tcPr>
            <w:tcW w:w="990" w:type="dxa"/>
            <w:vMerge w:val="restart"/>
            <w:tcBorders>
              <w:top w:val="single" w:sz="4" w:space="0" w:color="auto"/>
              <w:left w:val="nil"/>
              <w:bottom w:val="single" w:sz="4" w:space="0" w:color="000000"/>
              <w:right w:val="nil"/>
            </w:tcBorders>
            <w:shd w:val="clear" w:color="000000" w:fill="FFFFFF"/>
            <w:vAlign w:val="center"/>
            <w:hideMark/>
          </w:tcPr>
          <w:p w14:paraId="4D9B3F75" w14:textId="2A782EDA" w:rsidR="00101DD5" w:rsidRPr="00D72C04" w:rsidRDefault="004D7A1D" w:rsidP="00101DD5">
            <w:pPr>
              <w:tabs>
                <w:tab w:val="clear" w:pos="7100"/>
              </w:tabs>
              <w:spacing w:line="240" w:lineRule="auto"/>
              <w:rPr>
                <w:rFonts w:cs="Arial"/>
                <w:color w:val="000000"/>
                <w:szCs w:val="18"/>
                <w:lang w:val="en-US" w:eastAsia="es-PE"/>
              </w:rPr>
            </w:pPr>
            <w:r w:rsidRPr="00D72C04">
              <w:rPr>
                <w:rFonts w:cs="Arial"/>
                <w:color w:val="000000"/>
                <w:szCs w:val="18"/>
                <w:lang w:val="en-US" w:eastAsia="es-PE"/>
              </w:rPr>
              <w:t>BOD5</w:t>
            </w:r>
          </w:p>
        </w:tc>
        <w:tc>
          <w:tcPr>
            <w:tcW w:w="1041" w:type="dxa"/>
            <w:tcBorders>
              <w:top w:val="nil"/>
              <w:left w:val="nil"/>
              <w:bottom w:val="nil"/>
              <w:right w:val="nil"/>
            </w:tcBorders>
            <w:shd w:val="clear" w:color="000000" w:fill="FFFFFF"/>
            <w:vAlign w:val="center"/>
            <w:hideMark/>
          </w:tcPr>
          <w:p w14:paraId="57DE4BC9" w14:textId="77777777" w:rsidR="00101DD5" w:rsidRPr="00D72C04" w:rsidRDefault="00101DD5" w:rsidP="00101DD5">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1</w:t>
            </w:r>
          </w:p>
        </w:tc>
        <w:tc>
          <w:tcPr>
            <w:tcW w:w="663" w:type="dxa"/>
            <w:tcBorders>
              <w:top w:val="single" w:sz="4" w:space="0" w:color="auto"/>
              <w:left w:val="nil"/>
              <w:bottom w:val="nil"/>
              <w:right w:val="nil"/>
            </w:tcBorders>
            <w:shd w:val="clear" w:color="000000" w:fill="FFFFFF"/>
            <w:vAlign w:val="center"/>
            <w:hideMark/>
          </w:tcPr>
          <w:p w14:paraId="060E4786" w14:textId="77777777" w:rsidR="00101DD5" w:rsidRPr="00D72C04" w:rsidRDefault="00101DD5" w:rsidP="00101DD5">
            <w:pPr>
              <w:tabs>
                <w:tab w:val="clear" w:pos="7100"/>
              </w:tabs>
              <w:spacing w:line="240" w:lineRule="auto"/>
              <w:jc w:val="center"/>
              <w:rPr>
                <w:rFonts w:cs="Arial"/>
                <w:color w:val="000000"/>
                <w:szCs w:val="18"/>
                <w:lang w:val="en-US" w:eastAsia="es-PE"/>
              </w:rPr>
            </w:pPr>
            <w:r w:rsidRPr="00D72C04">
              <w:rPr>
                <w:rFonts w:cs="Arial"/>
                <w:szCs w:val="18"/>
                <w:lang w:val="en-US" w:eastAsia="es-PE"/>
              </w:rPr>
              <w:t>28</w:t>
            </w:r>
          </w:p>
        </w:tc>
        <w:tc>
          <w:tcPr>
            <w:tcW w:w="610" w:type="dxa"/>
            <w:tcBorders>
              <w:top w:val="single" w:sz="4" w:space="0" w:color="auto"/>
              <w:left w:val="nil"/>
              <w:bottom w:val="nil"/>
              <w:right w:val="nil"/>
            </w:tcBorders>
            <w:shd w:val="clear" w:color="000000" w:fill="FFFFFF"/>
            <w:vAlign w:val="center"/>
            <w:hideMark/>
          </w:tcPr>
          <w:p w14:paraId="6CDA8990" w14:textId="77777777" w:rsidR="00101DD5" w:rsidRPr="00D72C04" w:rsidRDefault="00101DD5" w:rsidP="00101DD5">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8.26</w:t>
            </w:r>
          </w:p>
        </w:tc>
        <w:tc>
          <w:tcPr>
            <w:tcW w:w="962" w:type="dxa"/>
            <w:tcBorders>
              <w:top w:val="single" w:sz="4" w:space="0" w:color="auto"/>
              <w:left w:val="nil"/>
              <w:bottom w:val="nil"/>
              <w:right w:val="nil"/>
            </w:tcBorders>
            <w:shd w:val="clear" w:color="000000" w:fill="FFFFFF"/>
            <w:vAlign w:val="center"/>
            <w:hideMark/>
          </w:tcPr>
          <w:p w14:paraId="16DC47C2" w14:textId="77777777" w:rsidR="00101DD5" w:rsidRPr="00D72C04" w:rsidRDefault="00101DD5" w:rsidP="00101DD5">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70.5</w:t>
            </w:r>
          </w:p>
        </w:tc>
        <w:tc>
          <w:tcPr>
            <w:tcW w:w="687" w:type="dxa"/>
            <w:tcBorders>
              <w:top w:val="single" w:sz="4" w:space="0" w:color="auto"/>
              <w:left w:val="nil"/>
              <w:bottom w:val="nil"/>
              <w:right w:val="nil"/>
            </w:tcBorders>
            <w:shd w:val="clear" w:color="000000" w:fill="FFFFFF"/>
            <w:vAlign w:val="center"/>
            <w:hideMark/>
          </w:tcPr>
          <w:p w14:paraId="1BB9AD6D" w14:textId="77777777" w:rsidR="00101DD5" w:rsidRPr="00D72C04" w:rsidRDefault="00101DD5" w:rsidP="00101DD5">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28</w:t>
            </w:r>
          </w:p>
        </w:tc>
        <w:tc>
          <w:tcPr>
            <w:tcW w:w="589" w:type="dxa"/>
            <w:tcBorders>
              <w:top w:val="single" w:sz="4" w:space="0" w:color="auto"/>
              <w:left w:val="nil"/>
              <w:bottom w:val="nil"/>
              <w:right w:val="nil"/>
            </w:tcBorders>
            <w:shd w:val="clear" w:color="000000" w:fill="FFFFFF"/>
            <w:vAlign w:val="center"/>
            <w:hideMark/>
          </w:tcPr>
          <w:p w14:paraId="3D3F012B" w14:textId="77777777" w:rsidR="00101DD5" w:rsidRPr="00D72C04" w:rsidRDefault="00101DD5" w:rsidP="00101DD5">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6.43</w:t>
            </w:r>
          </w:p>
        </w:tc>
        <w:tc>
          <w:tcPr>
            <w:tcW w:w="893" w:type="dxa"/>
            <w:tcBorders>
              <w:top w:val="single" w:sz="4" w:space="0" w:color="auto"/>
              <w:left w:val="nil"/>
              <w:bottom w:val="nil"/>
              <w:right w:val="nil"/>
            </w:tcBorders>
            <w:shd w:val="clear" w:color="000000" w:fill="FFFFFF"/>
            <w:vAlign w:val="center"/>
            <w:hideMark/>
          </w:tcPr>
          <w:p w14:paraId="351CAEE8" w14:textId="77777777" w:rsidR="00101DD5" w:rsidRPr="00D72C04" w:rsidRDefault="00101DD5" w:rsidP="00101DD5">
            <w:pPr>
              <w:tabs>
                <w:tab w:val="clear" w:pos="7100"/>
              </w:tabs>
              <w:spacing w:line="240" w:lineRule="auto"/>
              <w:jc w:val="right"/>
              <w:rPr>
                <w:rFonts w:cs="Arial"/>
                <w:color w:val="000000"/>
                <w:szCs w:val="18"/>
                <w:lang w:val="en-US" w:eastAsia="es-PE"/>
              </w:rPr>
            </w:pPr>
            <w:r w:rsidRPr="00D72C04">
              <w:rPr>
                <w:rFonts w:cs="Arial"/>
                <w:color w:val="000000"/>
                <w:szCs w:val="18"/>
                <w:lang w:val="en-US" w:eastAsia="es-PE"/>
              </w:rPr>
              <w:t>77.04</w:t>
            </w:r>
          </w:p>
        </w:tc>
        <w:tc>
          <w:tcPr>
            <w:tcW w:w="687" w:type="dxa"/>
            <w:tcBorders>
              <w:top w:val="single" w:sz="4" w:space="0" w:color="auto"/>
              <w:left w:val="nil"/>
              <w:bottom w:val="nil"/>
              <w:right w:val="nil"/>
            </w:tcBorders>
            <w:shd w:val="clear" w:color="000000" w:fill="FFFFFF"/>
            <w:vAlign w:val="center"/>
            <w:hideMark/>
          </w:tcPr>
          <w:p w14:paraId="286EBD6B" w14:textId="77777777" w:rsidR="00101DD5" w:rsidRPr="00D72C04" w:rsidRDefault="00101DD5" w:rsidP="00101DD5">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28</w:t>
            </w:r>
          </w:p>
        </w:tc>
        <w:tc>
          <w:tcPr>
            <w:tcW w:w="607" w:type="dxa"/>
            <w:tcBorders>
              <w:top w:val="single" w:sz="4" w:space="0" w:color="auto"/>
              <w:left w:val="nil"/>
              <w:bottom w:val="nil"/>
              <w:right w:val="nil"/>
            </w:tcBorders>
            <w:shd w:val="clear" w:color="000000" w:fill="FFFFFF"/>
            <w:vAlign w:val="center"/>
            <w:hideMark/>
          </w:tcPr>
          <w:p w14:paraId="3B65821F" w14:textId="77777777" w:rsidR="00101DD5" w:rsidRPr="00D72C04" w:rsidRDefault="00101DD5" w:rsidP="00101DD5">
            <w:pPr>
              <w:tabs>
                <w:tab w:val="clear" w:pos="7100"/>
              </w:tabs>
              <w:spacing w:line="240" w:lineRule="auto"/>
              <w:jc w:val="center"/>
              <w:rPr>
                <w:rFonts w:cs="Arial"/>
                <w:szCs w:val="18"/>
                <w:lang w:val="en-US" w:eastAsia="es-PE"/>
              </w:rPr>
            </w:pPr>
            <w:r w:rsidRPr="00D72C04">
              <w:rPr>
                <w:rFonts w:cs="Arial"/>
                <w:szCs w:val="18"/>
                <w:lang w:val="en-US" w:eastAsia="es-PE"/>
              </w:rPr>
              <w:t>4.25</w:t>
            </w:r>
          </w:p>
        </w:tc>
        <w:tc>
          <w:tcPr>
            <w:tcW w:w="926" w:type="dxa"/>
            <w:tcBorders>
              <w:top w:val="single" w:sz="4" w:space="0" w:color="auto"/>
              <w:left w:val="nil"/>
              <w:bottom w:val="nil"/>
              <w:right w:val="nil"/>
            </w:tcBorders>
            <w:shd w:val="clear" w:color="000000" w:fill="FFFFFF"/>
            <w:vAlign w:val="center"/>
            <w:hideMark/>
          </w:tcPr>
          <w:p w14:paraId="403DA758" w14:textId="77777777" w:rsidR="00101DD5" w:rsidRPr="00D72C04" w:rsidRDefault="00101DD5" w:rsidP="00101DD5">
            <w:pPr>
              <w:tabs>
                <w:tab w:val="clear" w:pos="7100"/>
              </w:tabs>
              <w:spacing w:line="240" w:lineRule="auto"/>
              <w:jc w:val="center"/>
              <w:rPr>
                <w:rFonts w:cs="Arial"/>
                <w:szCs w:val="18"/>
                <w:lang w:val="en-US" w:eastAsia="es-PE"/>
              </w:rPr>
            </w:pPr>
            <w:r w:rsidRPr="00D72C04">
              <w:rPr>
                <w:rFonts w:cs="Arial"/>
                <w:szCs w:val="18"/>
                <w:lang w:val="en-US" w:eastAsia="es-PE"/>
              </w:rPr>
              <w:t>84.82</w:t>
            </w:r>
          </w:p>
        </w:tc>
      </w:tr>
      <w:tr w:rsidR="00101DD5" w:rsidRPr="00D72C04" w14:paraId="73341A76" w14:textId="77777777" w:rsidTr="00DC4EE3">
        <w:trPr>
          <w:trHeight w:val="300"/>
        </w:trPr>
        <w:tc>
          <w:tcPr>
            <w:tcW w:w="990" w:type="dxa"/>
            <w:vMerge/>
            <w:tcBorders>
              <w:top w:val="single" w:sz="4" w:space="0" w:color="auto"/>
              <w:left w:val="nil"/>
              <w:bottom w:val="single" w:sz="4" w:space="0" w:color="000000"/>
              <w:right w:val="nil"/>
            </w:tcBorders>
            <w:vAlign w:val="center"/>
            <w:hideMark/>
          </w:tcPr>
          <w:p w14:paraId="5D290C33" w14:textId="77777777" w:rsidR="00101DD5" w:rsidRPr="00D72C04" w:rsidRDefault="00101DD5" w:rsidP="00101DD5">
            <w:pPr>
              <w:tabs>
                <w:tab w:val="clear" w:pos="7100"/>
              </w:tabs>
              <w:spacing w:line="240" w:lineRule="auto"/>
              <w:jc w:val="left"/>
              <w:rPr>
                <w:rFonts w:cs="Arial"/>
                <w:color w:val="000000"/>
                <w:szCs w:val="18"/>
                <w:lang w:val="en-US" w:eastAsia="es-PE"/>
              </w:rPr>
            </w:pPr>
          </w:p>
        </w:tc>
        <w:tc>
          <w:tcPr>
            <w:tcW w:w="1041" w:type="dxa"/>
            <w:tcBorders>
              <w:top w:val="nil"/>
              <w:left w:val="nil"/>
              <w:bottom w:val="nil"/>
              <w:right w:val="nil"/>
            </w:tcBorders>
            <w:shd w:val="clear" w:color="000000" w:fill="FFFFFF"/>
            <w:vAlign w:val="center"/>
            <w:hideMark/>
          </w:tcPr>
          <w:p w14:paraId="0AC5E90E" w14:textId="77777777" w:rsidR="00101DD5" w:rsidRPr="00D72C04" w:rsidRDefault="00101DD5" w:rsidP="00101DD5">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2</w:t>
            </w:r>
          </w:p>
        </w:tc>
        <w:tc>
          <w:tcPr>
            <w:tcW w:w="663" w:type="dxa"/>
            <w:tcBorders>
              <w:top w:val="nil"/>
              <w:left w:val="nil"/>
              <w:bottom w:val="nil"/>
              <w:right w:val="nil"/>
            </w:tcBorders>
            <w:shd w:val="clear" w:color="000000" w:fill="FFFFFF"/>
            <w:vAlign w:val="center"/>
            <w:hideMark/>
          </w:tcPr>
          <w:p w14:paraId="658A8078" w14:textId="77777777" w:rsidR="00101DD5" w:rsidRPr="00D72C04" w:rsidRDefault="00101DD5" w:rsidP="00101DD5">
            <w:pPr>
              <w:tabs>
                <w:tab w:val="clear" w:pos="7100"/>
              </w:tabs>
              <w:spacing w:line="240" w:lineRule="auto"/>
              <w:jc w:val="center"/>
              <w:rPr>
                <w:rFonts w:cs="Arial"/>
                <w:color w:val="000000"/>
                <w:szCs w:val="18"/>
                <w:lang w:val="en-US" w:eastAsia="es-PE"/>
              </w:rPr>
            </w:pPr>
            <w:r w:rsidRPr="00D72C04">
              <w:rPr>
                <w:rFonts w:cs="Arial"/>
                <w:szCs w:val="18"/>
                <w:lang w:val="en-US" w:eastAsia="es-PE"/>
              </w:rPr>
              <w:t>28</w:t>
            </w:r>
          </w:p>
        </w:tc>
        <w:tc>
          <w:tcPr>
            <w:tcW w:w="610" w:type="dxa"/>
            <w:tcBorders>
              <w:top w:val="nil"/>
              <w:left w:val="nil"/>
              <w:bottom w:val="nil"/>
              <w:right w:val="nil"/>
            </w:tcBorders>
            <w:shd w:val="clear" w:color="000000" w:fill="FFFFFF"/>
            <w:vAlign w:val="center"/>
            <w:hideMark/>
          </w:tcPr>
          <w:p w14:paraId="0D6F7940" w14:textId="77777777" w:rsidR="00101DD5" w:rsidRPr="00D72C04" w:rsidRDefault="00101DD5" w:rsidP="00101DD5">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7.14</w:t>
            </w:r>
          </w:p>
        </w:tc>
        <w:tc>
          <w:tcPr>
            <w:tcW w:w="962" w:type="dxa"/>
            <w:tcBorders>
              <w:top w:val="nil"/>
              <w:left w:val="nil"/>
              <w:bottom w:val="nil"/>
              <w:right w:val="nil"/>
            </w:tcBorders>
            <w:shd w:val="clear" w:color="000000" w:fill="FFFFFF"/>
            <w:vAlign w:val="center"/>
            <w:hideMark/>
          </w:tcPr>
          <w:p w14:paraId="088B572F" w14:textId="77777777" w:rsidR="00101DD5" w:rsidRPr="00D72C04" w:rsidRDefault="00101DD5" w:rsidP="00101DD5">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74.5</w:t>
            </w:r>
          </w:p>
        </w:tc>
        <w:tc>
          <w:tcPr>
            <w:tcW w:w="687" w:type="dxa"/>
            <w:tcBorders>
              <w:top w:val="nil"/>
              <w:left w:val="nil"/>
              <w:bottom w:val="nil"/>
              <w:right w:val="nil"/>
            </w:tcBorders>
            <w:shd w:val="clear" w:color="000000" w:fill="FFFFFF"/>
            <w:vAlign w:val="center"/>
            <w:hideMark/>
          </w:tcPr>
          <w:p w14:paraId="649C4BC3" w14:textId="77777777" w:rsidR="00101DD5" w:rsidRPr="00D72C04" w:rsidRDefault="00101DD5" w:rsidP="00101DD5">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28</w:t>
            </w:r>
          </w:p>
        </w:tc>
        <w:tc>
          <w:tcPr>
            <w:tcW w:w="589" w:type="dxa"/>
            <w:tcBorders>
              <w:top w:val="nil"/>
              <w:left w:val="nil"/>
              <w:bottom w:val="nil"/>
              <w:right w:val="nil"/>
            </w:tcBorders>
            <w:shd w:val="clear" w:color="000000" w:fill="FFFFFF"/>
            <w:vAlign w:val="center"/>
            <w:hideMark/>
          </w:tcPr>
          <w:p w14:paraId="5B135FB0" w14:textId="77777777" w:rsidR="00101DD5" w:rsidRPr="00D72C04" w:rsidRDefault="00101DD5" w:rsidP="00101DD5">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6.57</w:t>
            </w:r>
          </w:p>
        </w:tc>
        <w:tc>
          <w:tcPr>
            <w:tcW w:w="893" w:type="dxa"/>
            <w:tcBorders>
              <w:top w:val="nil"/>
              <w:left w:val="nil"/>
              <w:bottom w:val="nil"/>
              <w:right w:val="nil"/>
            </w:tcBorders>
            <w:shd w:val="clear" w:color="000000" w:fill="FFFFFF"/>
            <w:vAlign w:val="center"/>
            <w:hideMark/>
          </w:tcPr>
          <w:p w14:paraId="114AD9B4" w14:textId="77777777" w:rsidR="00101DD5" w:rsidRPr="00D72C04" w:rsidRDefault="00101DD5" w:rsidP="00101DD5">
            <w:pPr>
              <w:tabs>
                <w:tab w:val="clear" w:pos="7100"/>
              </w:tabs>
              <w:spacing w:line="240" w:lineRule="auto"/>
              <w:jc w:val="right"/>
              <w:rPr>
                <w:rFonts w:cs="Arial"/>
                <w:color w:val="000000"/>
                <w:szCs w:val="18"/>
                <w:lang w:val="en-US" w:eastAsia="es-PE"/>
              </w:rPr>
            </w:pPr>
            <w:r w:rsidRPr="00D72C04">
              <w:rPr>
                <w:rFonts w:cs="Arial"/>
                <w:color w:val="000000"/>
                <w:szCs w:val="18"/>
                <w:lang w:val="en-US" w:eastAsia="es-PE"/>
              </w:rPr>
              <w:t>76.54</w:t>
            </w:r>
          </w:p>
        </w:tc>
        <w:tc>
          <w:tcPr>
            <w:tcW w:w="687" w:type="dxa"/>
            <w:tcBorders>
              <w:top w:val="nil"/>
              <w:left w:val="nil"/>
              <w:bottom w:val="nil"/>
              <w:right w:val="nil"/>
            </w:tcBorders>
            <w:shd w:val="clear" w:color="000000" w:fill="FFFFFF"/>
            <w:vAlign w:val="center"/>
            <w:hideMark/>
          </w:tcPr>
          <w:p w14:paraId="7F8E7E0B" w14:textId="77777777" w:rsidR="00101DD5" w:rsidRPr="00D72C04" w:rsidRDefault="00101DD5" w:rsidP="00101DD5">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28</w:t>
            </w:r>
          </w:p>
        </w:tc>
        <w:tc>
          <w:tcPr>
            <w:tcW w:w="607" w:type="dxa"/>
            <w:tcBorders>
              <w:top w:val="nil"/>
              <w:left w:val="nil"/>
              <w:bottom w:val="nil"/>
              <w:right w:val="nil"/>
            </w:tcBorders>
            <w:shd w:val="clear" w:color="000000" w:fill="FFFFFF"/>
            <w:vAlign w:val="center"/>
            <w:hideMark/>
          </w:tcPr>
          <w:p w14:paraId="188659EB" w14:textId="77777777" w:rsidR="00101DD5" w:rsidRPr="00D72C04" w:rsidRDefault="00101DD5" w:rsidP="00101DD5">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4.35</w:t>
            </w:r>
          </w:p>
        </w:tc>
        <w:tc>
          <w:tcPr>
            <w:tcW w:w="926" w:type="dxa"/>
            <w:tcBorders>
              <w:top w:val="nil"/>
              <w:left w:val="nil"/>
              <w:bottom w:val="nil"/>
              <w:right w:val="nil"/>
            </w:tcBorders>
            <w:shd w:val="clear" w:color="000000" w:fill="FFFFFF"/>
            <w:vAlign w:val="center"/>
            <w:hideMark/>
          </w:tcPr>
          <w:p w14:paraId="753451D4" w14:textId="77777777" w:rsidR="00101DD5" w:rsidRPr="00D72C04" w:rsidRDefault="00101DD5" w:rsidP="00101DD5">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84.46</w:t>
            </w:r>
          </w:p>
        </w:tc>
      </w:tr>
      <w:tr w:rsidR="00101DD5" w:rsidRPr="00D72C04" w14:paraId="489B7839" w14:textId="77777777" w:rsidTr="00DC4EE3">
        <w:trPr>
          <w:trHeight w:val="300"/>
        </w:trPr>
        <w:tc>
          <w:tcPr>
            <w:tcW w:w="990" w:type="dxa"/>
            <w:vMerge/>
            <w:tcBorders>
              <w:top w:val="single" w:sz="4" w:space="0" w:color="auto"/>
              <w:left w:val="nil"/>
              <w:bottom w:val="single" w:sz="4" w:space="0" w:color="000000"/>
              <w:right w:val="nil"/>
            </w:tcBorders>
            <w:vAlign w:val="center"/>
            <w:hideMark/>
          </w:tcPr>
          <w:p w14:paraId="30E8292A" w14:textId="77777777" w:rsidR="00101DD5" w:rsidRPr="00D72C04" w:rsidRDefault="00101DD5" w:rsidP="00101DD5">
            <w:pPr>
              <w:tabs>
                <w:tab w:val="clear" w:pos="7100"/>
              </w:tabs>
              <w:spacing w:line="240" w:lineRule="auto"/>
              <w:jc w:val="left"/>
              <w:rPr>
                <w:rFonts w:cs="Arial"/>
                <w:color w:val="000000"/>
                <w:szCs w:val="18"/>
                <w:lang w:val="en-US" w:eastAsia="es-PE"/>
              </w:rPr>
            </w:pPr>
          </w:p>
        </w:tc>
        <w:tc>
          <w:tcPr>
            <w:tcW w:w="1041" w:type="dxa"/>
            <w:tcBorders>
              <w:top w:val="nil"/>
              <w:left w:val="nil"/>
              <w:bottom w:val="single" w:sz="4" w:space="0" w:color="auto"/>
              <w:right w:val="nil"/>
            </w:tcBorders>
            <w:shd w:val="clear" w:color="000000" w:fill="FFFFFF"/>
            <w:hideMark/>
          </w:tcPr>
          <w:p w14:paraId="557FF351" w14:textId="77777777" w:rsidR="00101DD5" w:rsidRPr="00D72C04" w:rsidRDefault="00101DD5" w:rsidP="00101DD5">
            <w:pPr>
              <w:tabs>
                <w:tab w:val="clear" w:pos="7100"/>
              </w:tabs>
              <w:spacing w:line="240" w:lineRule="auto"/>
              <w:jc w:val="center"/>
              <w:rPr>
                <w:rFonts w:ascii="Calibri" w:hAnsi="Calibri" w:cs="Calibri"/>
                <w:color w:val="000000"/>
                <w:sz w:val="22"/>
                <w:szCs w:val="22"/>
                <w:lang w:val="en-US" w:eastAsia="es-PE"/>
              </w:rPr>
            </w:pPr>
            <w:r w:rsidRPr="00D72C04">
              <w:rPr>
                <w:rFonts w:ascii="Calibri" w:hAnsi="Calibri" w:cs="Calibri"/>
                <w:color w:val="000000"/>
                <w:sz w:val="22"/>
                <w:szCs w:val="22"/>
                <w:lang w:val="en-US" w:eastAsia="es-PE"/>
              </w:rPr>
              <w:t>3</w:t>
            </w:r>
          </w:p>
        </w:tc>
        <w:tc>
          <w:tcPr>
            <w:tcW w:w="663" w:type="dxa"/>
            <w:tcBorders>
              <w:top w:val="nil"/>
              <w:left w:val="nil"/>
              <w:bottom w:val="single" w:sz="4" w:space="0" w:color="auto"/>
              <w:right w:val="nil"/>
            </w:tcBorders>
            <w:shd w:val="clear" w:color="000000" w:fill="FFFFFF"/>
            <w:vAlign w:val="center"/>
            <w:hideMark/>
          </w:tcPr>
          <w:p w14:paraId="28A65A12" w14:textId="77777777" w:rsidR="00101DD5" w:rsidRPr="00D72C04" w:rsidRDefault="00101DD5" w:rsidP="00101DD5">
            <w:pPr>
              <w:tabs>
                <w:tab w:val="clear" w:pos="7100"/>
              </w:tabs>
              <w:spacing w:line="240" w:lineRule="auto"/>
              <w:jc w:val="center"/>
              <w:rPr>
                <w:rFonts w:cs="Arial"/>
                <w:color w:val="000000"/>
                <w:szCs w:val="18"/>
                <w:lang w:val="en-US" w:eastAsia="es-PE"/>
              </w:rPr>
            </w:pPr>
            <w:r w:rsidRPr="00D72C04">
              <w:rPr>
                <w:rFonts w:cs="Arial"/>
                <w:szCs w:val="18"/>
                <w:lang w:val="en-US" w:eastAsia="es-PE"/>
              </w:rPr>
              <w:t>28</w:t>
            </w:r>
          </w:p>
        </w:tc>
        <w:tc>
          <w:tcPr>
            <w:tcW w:w="610" w:type="dxa"/>
            <w:tcBorders>
              <w:top w:val="nil"/>
              <w:left w:val="nil"/>
              <w:bottom w:val="single" w:sz="4" w:space="0" w:color="auto"/>
              <w:right w:val="nil"/>
            </w:tcBorders>
            <w:shd w:val="clear" w:color="000000" w:fill="FFFFFF"/>
            <w:vAlign w:val="center"/>
            <w:hideMark/>
          </w:tcPr>
          <w:p w14:paraId="10DA30BF" w14:textId="77777777" w:rsidR="00101DD5" w:rsidRPr="00D72C04" w:rsidRDefault="00101DD5" w:rsidP="00101DD5">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7.14</w:t>
            </w:r>
          </w:p>
        </w:tc>
        <w:tc>
          <w:tcPr>
            <w:tcW w:w="962" w:type="dxa"/>
            <w:tcBorders>
              <w:top w:val="nil"/>
              <w:left w:val="nil"/>
              <w:bottom w:val="single" w:sz="4" w:space="0" w:color="auto"/>
              <w:right w:val="nil"/>
            </w:tcBorders>
            <w:shd w:val="clear" w:color="000000" w:fill="FFFFFF"/>
            <w:vAlign w:val="center"/>
            <w:hideMark/>
          </w:tcPr>
          <w:p w14:paraId="1D8CB873" w14:textId="77777777" w:rsidR="00101DD5" w:rsidRPr="00D72C04" w:rsidRDefault="00101DD5" w:rsidP="00101DD5">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74.5</w:t>
            </w:r>
          </w:p>
        </w:tc>
        <w:tc>
          <w:tcPr>
            <w:tcW w:w="687" w:type="dxa"/>
            <w:tcBorders>
              <w:top w:val="nil"/>
              <w:left w:val="nil"/>
              <w:bottom w:val="single" w:sz="4" w:space="0" w:color="auto"/>
              <w:right w:val="nil"/>
            </w:tcBorders>
            <w:shd w:val="clear" w:color="000000" w:fill="FFFFFF"/>
            <w:vAlign w:val="center"/>
            <w:hideMark/>
          </w:tcPr>
          <w:p w14:paraId="3A8CDBEF" w14:textId="77777777" w:rsidR="00101DD5" w:rsidRPr="00D72C04" w:rsidRDefault="00101DD5" w:rsidP="00101DD5">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28</w:t>
            </w:r>
          </w:p>
        </w:tc>
        <w:tc>
          <w:tcPr>
            <w:tcW w:w="589" w:type="dxa"/>
            <w:tcBorders>
              <w:top w:val="nil"/>
              <w:left w:val="nil"/>
              <w:bottom w:val="single" w:sz="4" w:space="0" w:color="auto"/>
              <w:right w:val="nil"/>
            </w:tcBorders>
            <w:shd w:val="clear" w:color="000000" w:fill="FFFFFF"/>
            <w:vAlign w:val="center"/>
            <w:hideMark/>
          </w:tcPr>
          <w:p w14:paraId="48DE3697" w14:textId="77777777" w:rsidR="00101DD5" w:rsidRPr="00D72C04" w:rsidRDefault="00101DD5" w:rsidP="00101DD5">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6.48</w:t>
            </w:r>
          </w:p>
        </w:tc>
        <w:tc>
          <w:tcPr>
            <w:tcW w:w="893" w:type="dxa"/>
            <w:tcBorders>
              <w:top w:val="nil"/>
              <w:left w:val="nil"/>
              <w:bottom w:val="single" w:sz="4" w:space="0" w:color="auto"/>
              <w:right w:val="nil"/>
            </w:tcBorders>
            <w:shd w:val="clear" w:color="000000" w:fill="FFFFFF"/>
            <w:vAlign w:val="center"/>
            <w:hideMark/>
          </w:tcPr>
          <w:p w14:paraId="0FE125BC" w14:textId="77777777" w:rsidR="00101DD5" w:rsidRPr="00D72C04" w:rsidRDefault="00101DD5" w:rsidP="00101DD5">
            <w:pPr>
              <w:tabs>
                <w:tab w:val="clear" w:pos="7100"/>
              </w:tabs>
              <w:spacing w:line="240" w:lineRule="auto"/>
              <w:jc w:val="right"/>
              <w:rPr>
                <w:rFonts w:cs="Arial"/>
                <w:color w:val="000000"/>
                <w:szCs w:val="18"/>
                <w:lang w:val="en-US" w:eastAsia="es-PE"/>
              </w:rPr>
            </w:pPr>
            <w:r w:rsidRPr="00D72C04">
              <w:rPr>
                <w:rFonts w:cs="Arial"/>
                <w:color w:val="000000"/>
                <w:szCs w:val="18"/>
                <w:lang w:val="en-US" w:eastAsia="es-PE"/>
              </w:rPr>
              <w:t>76.86</w:t>
            </w:r>
          </w:p>
        </w:tc>
        <w:tc>
          <w:tcPr>
            <w:tcW w:w="687" w:type="dxa"/>
            <w:tcBorders>
              <w:top w:val="nil"/>
              <w:left w:val="nil"/>
              <w:bottom w:val="single" w:sz="4" w:space="0" w:color="auto"/>
              <w:right w:val="nil"/>
            </w:tcBorders>
            <w:shd w:val="clear" w:color="000000" w:fill="FFFFFF"/>
            <w:vAlign w:val="center"/>
            <w:hideMark/>
          </w:tcPr>
          <w:p w14:paraId="4B715FD5" w14:textId="77777777" w:rsidR="00101DD5" w:rsidRPr="00D72C04" w:rsidRDefault="00101DD5" w:rsidP="00101DD5">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28</w:t>
            </w:r>
          </w:p>
        </w:tc>
        <w:tc>
          <w:tcPr>
            <w:tcW w:w="607" w:type="dxa"/>
            <w:tcBorders>
              <w:top w:val="nil"/>
              <w:left w:val="nil"/>
              <w:bottom w:val="single" w:sz="4" w:space="0" w:color="auto"/>
              <w:right w:val="nil"/>
            </w:tcBorders>
            <w:shd w:val="clear" w:color="000000" w:fill="FFFFFF"/>
            <w:vAlign w:val="center"/>
            <w:hideMark/>
          </w:tcPr>
          <w:p w14:paraId="5776539B" w14:textId="77777777" w:rsidR="00101DD5" w:rsidRPr="00D72C04" w:rsidRDefault="00101DD5" w:rsidP="00101DD5">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4.44</w:t>
            </w:r>
          </w:p>
        </w:tc>
        <w:tc>
          <w:tcPr>
            <w:tcW w:w="926" w:type="dxa"/>
            <w:tcBorders>
              <w:top w:val="nil"/>
              <w:left w:val="nil"/>
              <w:bottom w:val="single" w:sz="4" w:space="0" w:color="auto"/>
              <w:right w:val="nil"/>
            </w:tcBorders>
            <w:shd w:val="clear" w:color="000000" w:fill="FFFFFF"/>
            <w:vAlign w:val="center"/>
            <w:hideMark/>
          </w:tcPr>
          <w:p w14:paraId="71724A5B" w14:textId="77777777" w:rsidR="00101DD5" w:rsidRPr="00D72C04" w:rsidRDefault="00101DD5" w:rsidP="00101DD5">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84.14</w:t>
            </w:r>
          </w:p>
        </w:tc>
      </w:tr>
    </w:tbl>
    <w:p w14:paraId="1C258F66" w14:textId="00E0645F" w:rsidR="00F52641" w:rsidRPr="00D72C04" w:rsidRDefault="00F52641" w:rsidP="00600535">
      <w:pPr>
        <w:pStyle w:val="CETBodytext"/>
        <w:rPr>
          <w:bCs/>
          <w:iCs/>
        </w:rPr>
      </w:pPr>
      <w:r w:rsidRPr="00D72C04">
        <w:rPr>
          <w:b/>
          <w:bCs/>
          <w:iCs/>
        </w:rPr>
        <w:t xml:space="preserve">Chemical Oxygen Demand (COD): </w:t>
      </w:r>
      <w:r w:rsidRPr="00D72C04">
        <w:rPr>
          <w:bCs/>
          <w:iCs/>
        </w:rPr>
        <w:t>Wetland water after treated with NTC, it was found that using the 150 g dose, this parameter reaches the best value of 9.41 mg/L, which is equivalent to 79.09% reduction; quite important value, see table 5.</w:t>
      </w:r>
    </w:p>
    <w:p w14:paraId="67FAF419" w14:textId="77777777" w:rsidR="00F52641" w:rsidRPr="00D72C04" w:rsidRDefault="00F52641" w:rsidP="00600535">
      <w:pPr>
        <w:pStyle w:val="CETBodytext"/>
        <w:rPr>
          <w:b/>
          <w:bCs/>
          <w:i/>
          <w:iCs/>
        </w:rPr>
      </w:pPr>
    </w:p>
    <w:p w14:paraId="28DCFB73" w14:textId="6253D804" w:rsidR="00603F78" w:rsidRPr="00D72C04" w:rsidRDefault="00203CEB" w:rsidP="00203CEB">
      <w:pPr>
        <w:pStyle w:val="CETTabletitle"/>
        <w:spacing w:before="0" w:after="0" w:line="276" w:lineRule="auto"/>
        <w:rPr>
          <w:lang w:val="en-US"/>
        </w:rPr>
      </w:pPr>
      <w:r w:rsidRPr="00D72C04">
        <w:rPr>
          <w:lang w:val="en-US"/>
        </w:rPr>
        <w:t>Table 5: COD of wetland water treated with three different doses of CNT.</w:t>
      </w:r>
    </w:p>
    <w:tbl>
      <w:tblPr>
        <w:tblW w:w="9080" w:type="dxa"/>
        <w:tblLayout w:type="fixed"/>
        <w:tblCellMar>
          <w:left w:w="70" w:type="dxa"/>
          <w:right w:w="70" w:type="dxa"/>
        </w:tblCellMar>
        <w:tblLook w:val="04A0" w:firstRow="1" w:lastRow="0" w:firstColumn="1" w:lastColumn="0" w:noHBand="0" w:noVBand="1"/>
      </w:tblPr>
      <w:tblGrid>
        <w:gridCol w:w="1134"/>
        <w:gridCol w:w="1134"/>
        <w:gridCol w:w="708"/>
        <w:gridCol w:w="709"/>
        <w:gridCol w:w="876"/>
        <w:gridCol w:w="684"/>
        <w:gridCol w:w="709"/>
        <w:gridCol w:w="858"/>
        <w:gridCol w:w="709"/>
        <w:gridCol w:w="708"/>
        <w:gridCol w:w="851"/>
      </w:tblGrid>
      <w:tr w:rsidR="00203CEB" w:rsidRPr="00D72C04" w14:paraId="0984D045" w14:textId="77777777" w:rsidTr="00203CEB">
        <w:trPr>
          <w:trHeight w:val="330"/>
        </w:trPr>
        <w:tc>
          <w:tcPr>
            <w:tcW w:w="1134" w:type="dxa"/>
            <w:vMerge w:val="restart"/>
            <w:tcBorders>
              <w:top w:val="single" w:sz="12" w:space="0" w:color="008000"/>
              <w:left w:val="nil"/>
              <w:bottom w:val="nil"/>
              <w:right w:val="nil"/>
            </w:tcBorders>
            <w:shd w:val="clear" w:color="000000" w:fill="FFFFFF"/>
            <w:vAlign w:val="center"/>
            <w:hideMark/>
          </w:tcPr>
          <w:p w14:paraId="429428EB" w14:textId="3A7661E9" w:rsidR="00203CEB" w:rsidRPr="00D72C04" w:rsidRDefault="00203CEB" w:rsidP="00203CEB">
            <w:pPr>
              <w:tabs>
                <w:tab w:val="clear" w:pos="7100"/>
              </w:tabs>
              <w:spacing w:line="276" w:lineRule="auto"/>
              <w:jc w:val="center"/>
              <w:rPr>
                <w:rFonts w:cs="Arial"/>
                <w:color w:val="000000"/>
                <w:szCs w:val="18"/>
                <w:lang w:val="en-US" w:eastAsia="es-PE"/>
              </w:rPr>
            </w:pPr>
            <w:r w:rsidRPr="00D72C04">
              <w:rPr>
                <w:rFonts w:cs="Arial"/>
                <w:bCs/>
                <w:szCs w:val="18"/>
                <w:lang w:val="en-US" w:eastAsia="es-PE"/>
              </w:rPr>
              <w:t>Parameter</w:t>
            </w:r>
          </w:p>
        </w:tc>
        <w:tc>
          <w:tcPr>
            <w:tcW w:w="1134" w:type="dxa"/>
            <w:vMerge w:val="restart"/>
            <w:tcBorders>
              <w:top w:val="single" w:sz="12" w:space="0" w:color="008000"/>
              <w:left w:val="nil"/>
              <w:bottom w:val="single" w:sz="4" w:space="0" w:color="000000"/>
              <w:right w:val="nil"/>
            </w:tcBorders>
            <w:shd w:val="clear" w:color="000000" w:fill="FFFFFF"/>
            <w:vAlign w:val="center"/>
            <w:hideMark/>
          </w:tcPr>
          <w:p w14:paraId="48F29337" w14:textId="3D6E8BBD" w:rsidR="00203CEB" w:rsidRPr="00D72C04" w:rsidRDefault="00203CEB" w:rsidP="00203CEB">
            <w:pPr>
              <w:tabs>
                <w:tab w:val="clear" w:pos="7100"/>
              </w:tabs>
              <w:spacing w:line="276" w:lineRule="auto"/>
              <w:jc w:val="center"/>
              <w:rPr>
                <w:rFonts w:cs="Arial"/>
                <w:color w:val="000000"/>
                <w:szCs w:val="18"/>
                <w:lang w:val="en-US" w:eastAsia="es-PE"/>
              </w:rPr>
            </w:pPr>
            <w:r w:rsidRPr="00D72C04">
              <w:rPr>
                <w:rFonts w:cs="Arial"/>
                <w:bCs/>
                <w:color w:val="000000"/>
                <w:szCs w:val="18"/>
                <w:lang w:val="en-US" w:eastAsia="es-PE"/>
              </w:rPr>
              <w:t>Sample number</w:t>
            </w:r>
          </w:p>
        </w:tc>
        <w:tc>
          <w:tcPr>
            <w:tcW w:w="2293" w:type="dxa"/>
            <w:gridSpan w:val="3"/>
            <w:tcBorders>
              <w:top w:val="single" w:sz="12" w:space="0" w:color="009E47"/>
              <w:left w:val="nil"/>
              <w:bottom w:val="single" w:sz="8" w:space="0" w:color="009E47"/>
              <w:right w:val="nil"/>
            </w:tcBorders>
            <w:shd w:val="clear" w:color="000000" w:fill="FFFFFF"/>
            <w:vAlign w:val="center"/>
            <w:hideMark/>
          </w:tcPr>
          <w:p w14:paraId="1D0688A3" w14:textId="47B7059A" w:rsidR="00203CEB" w:rsidRPr="00D72C04" w:rsidRDefault="00203CEB" w:rsidP="00203CEB">
            <w:pPr>
              <w:tabs>
                <w:tab w:val="clear" w:pos="7100"/>
              </w:tabs>
              <w:spacing w:line="276" w:lineRule="auto"/>
              <w:jc w:val="center"/>
              <w:rPr>
                <w:rFonts w:cs="Arial"/>
                <w:color w:val="000000"/>
                <w:szCs w:val="18"/>
                <w:lang w:val="en-US" w:eastAsia="es-PE"/>
              </w:rPr>
            </w:pPr>
            <w:r w:rsidRPr="00D72C04">
              <w:rPr>
                <w:rFonts w:cs="Arial"/>
                <w:color w:val="000000"/>
                <w:szCs w:val="18"/>
                <w:lang w:val="en-US" w:eastAsia="es-PE"/>
              </w:rPr>
              <w:t>Treatment with 50 g</w:t>
            </w:r>
          </w:p>
        </w:tc>
        <w:tc>
          <w:tcPr>
            <w:tcW w:w="2251" w:type="dxa"/>
            <w:gridSpan w:val="3"/>
            <w:tcBorders>
              <w:top w:val="single" w:sz="12" w:space="0" w:color="009E47"/>
              <w:left w:val="nil"/>
              <w:bottom w:val="single" w:sz="8" w:space="0" w:color="009E47"/>
              <w:right w:val="nil"/>
            </w:tcBorders>
            <w:shd w:val="clear" w:color="000000" w:fill="FFFFFF"/>
            <w:vAlign w:val="center"/>
          </w:tcPr>
          <w:p w14:paraId="1EB49F06" w14:textId="76C6BFCC" w:rsidR="00203CEB" w:rsidRPr="00D72C04" w:rsidRDefault="00203CEB" w:rsidP="00203CEB">
            <w:pPr>
              <w:spacing w:line="276" w:lineRule="auto"/>
              <w:jc w:val="center"/>
              <w:rPr>
                <w:rFonts w:cs="Arial"/>
                <w:color w:val="000000"/>
                <w:szCs w:val="18"/>
                <w:lang w:val="en-US" w:eastAsia="es-PE"/>
              </w:rPr>
            </w:pPr>
            <w:r w:rsidRPr="00D72C04">
              <w:rPr>
                <w:rFonts w:cs="Arial"/>
                <w:color w:val="000000"/>
                <w:szCs w:val="18"/>
                <w:lang w:val="en-US" w:eastAsia="es-PE"/>
              </w:rPr>
              <w:t>Treatment with 100 g</w:t>
            </w:r>
          </w:p>
        </w:tc>
        <w:tc>
          <w:tcPr>
            <w:tcW w:w="2268" w:type="dxa"/>
            <w:gridSpan w:val="3"/>
            <w:tcBorders>
              <w:top w:val="single" w:sz="12" w:space="0" w:color="009E47"/>
              <w:left w:val="nil"/>
              <w:bottom w:val="single" w:sz="8" w:space="0" w:color="009E47"/>
              <w:right w:val="nil"/>
            </w:tcBorders>
            <w:shd w:val="clear" w:color="000000" w:fill="FFFFFF"/>
            <w:vAlign w:val="center"/>
            <w:hideMark/>
          </w:tcPr>
          <w:p w14:paraId="12455970" w14:textId="6F827190" w:rsidR="00203CEB" w:rsidRPr="00D72C04" w:rsidRDefault="00203CEB" w:rsidP="00203CEB">
            <w:pPr>
              <w:tabs>
                <w:tab w:val="clear" w:pos="7100"/>
              </w:tabs>
              <w:spacing w:line="276" w:lineRule="auto"/>
              <w:jc w:val="center"/>
              <w:rPr>
                <w:rFonts w:cs="Arial"/>
                <w:color w:val="000000"/>
                <w:szCs w:val="18"/>
                <w:lang w:val="en-US" w:eastAsia="es-PE"/>
              </w:rPr>
            </w:pPr>
            <w:r w:rsidRPr="00D72C04">
              <w:rPr>
                <w:rFonts w:cs="Arial"/>
                <w:color w:val="000000"/>
                <w:szCs w:val="18"/>
                <w:lang w:val="en-US" w:eastAsia="es-PE"/>
              </w:rPr>
              <w:t xml:space="preserve">Treatment with </w:t>
            </w:r>
            <w:r w:rsidRPr="00D72C04">
              <w:rPr>
                <w:rFonts w:cs="Arial"/>
                <w:szCs w:val="18"/>
                <w:lang w:val="en-US" w:eastAsia="es-PE"/>
              </w:rPr>
              <w:t>150 g</w:t>
            </w:r>
          </w:p>
        </w:tc>
      </w:tr>
      <w:tr w:rsidR="00203CEB" w:rsidRPr="00D72C04" w14:paraId="25ED5EAB" w14:textId="77777777" w:rsidTr="00203CEB">
        <w:trPr>
          <w:trHeight w:val="300"/>
        </w:trPr>
        <w:tc>
          <w:tcPr>
            <w:tcW w:w="1134" w:type="dxa"/>
            <w:vMerge/>
            <w:tcBorders>
              <w:left w:val="nil"/>
              <w:bottom w:val="single" w:sz="12" w:space="0" w:color="009E47"/>
              <w:right w:val="nil"/>
            </w:tcBorders>
            <w:vAlign w:val="center"/>
            <w:hideMark/>
          </w:tcPr>
          <w:p w14:paraId="47368B7B" w14:textId="77777777" w:rsidR="00203CEB" w:rsidRPr="00D72C04" w:rsidRDefault="00203CEB" w:rsidP="00203CEB">
            <w:pPr>
              <w:tabs>
                <w:tab w:val="clear" w:pos="7100"/>
              </w:tabs>
              <w:spacing w:line="240" w:lineRule="auto"/>
              <w:jc w:val="left"/>
              <w:rPr>
                <w:rFonts w:cs="Arial"/>
                <w:color w:val="000000"/>
                <w:szCs w:val="18"/>
                <w:lang w:val="en-US" w:eastAsia="es-PE"/>
              </w:rPr>
            </w:pPr>
          </w:p>
        </w:tc>
        <w:tc>
          <w:tcPr>
            <w:tcW w:w="1134" w:type="dxa"/>
            <w:vMerge/>
            <w:tcBorders>
              <w:left w:val="nil"/>
              <w:bottom w:val="single" w:sz="12" w:space="0" w:color="009E47"/>
              <w:right w:val="nil"/>
            </w:tcBorders>
            <w:vAlign w:val="center"/>
            <w:hideMark/>
          </w:tcPr>
          <w:p w14:paraId="1291D22A" w14:textId="77777777" w:rsidR="00203CEB" w:rsidRPr="00D72C04" w:rsidRDefault="00203CEB" w:rsidP="00203CEB">
            <w:pPr>
              <w:tabs>
                <w:tab w:val="clear" w:pos="7100"/>
              </w:tabs>
              <w:spacing w:line="240" w:lineRule="auto"/>
              <w:jc w:val="left"/>
              <w:rPr>
                <w:rFonts w:cs="Arial"/>
                <w:color w:val="000000"/>
                <w:szCs w:val="18"/>
                <w:lang w:val="en-US" w:eastAsia="es-PE"/>
              </w:rPr>
            </w:pPr>
          </w:p>
        </w:tc>
        <w:tc>
          <w:tcPr>
            <w:tcW w:w="708" w:type="dxa"/>
            <w:tcBorders>
              <w:top w:val="nil"/>
              <w:left w:val="nil"/>
              <w:bottom w:val="nil"/>
              <w:right w:val="nil"/>
            </w:tcBorders>
            <w:shd w:val="clear" w:color="000000" w:fill="FFFFFF"/>
            <w:vAlign w:val="center"/>
            <w:hideMark/>
          </w:tcPr>
          <w:p w14:paraId="7F385EFC" w14:textId="2028B34D" w:rsidR="00203CEB" w:rsidRPr="00D72C04" w:rsidRDefault="00203CEB" w:rsidP="00203CEB">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Initial</w:t>
            </w:r>
          </w:p>
        </w:tc>
        <w:tc>
          <w:tcPr>
            <w:tcW w:w="709" w:type="dxa"/>
            <w:tcBorders>
              <w:top w:val="nil"/>
              <w:left w:val="nil"/>
              <w:bottom w:val="nil"/>
              <w:right w:val="nil"/>
            </w:tcBorders>
            <w:shd w:val="clear" w:color="000000" w:fill="FFFFFF"/>
            <w:vAlign w:val="center"/>
            <w:hideMark/>
          </w:tcPr>
          <w:p w14:paraId="30A0DF8F" w14:textId="65A57AFB" w:rsidR="00203CEB" w:rsidRPr="00D72C04" w:rsidRDefault="00203CEB" w:rsidP="00203CEB">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Final</w:t>
            </w:r>
          </w:p>
        </w:tc>
        <w:tc>
          <w:tcPr>
            <w:tcW w:w="876" w:type="dxa"/>
            <w:tcBorders>
              <w:top w:val="nil"/>
              <w:left w:val="nil"/>
              <w:bottom w:val="nil"/>
              <w:right w:val="nil"/>
            </w:tcBorders>
            <w:shd w:val="clear" w:color="000000" w:fill="FFFFFF"/>
            <w:vAlign w:val="center"/>
            <w:hideMark/>
          </w:tcPr>
          <w:p w14:paraId="26AD4E16" w14:textId="7D9813FB" w:rsidR="00203CEB" w:rsidRPr="00D72C04" w:rsidRDefault="00203CEB" w:rsidP="00203CEB">
            <w:pPr>
              <w:tabs>
                <w:tab w:val="clear" w:pos="7100"/>
              </w:tabs>
              <w:spacing w:line="240" w:lineRule="auto"/>
              <w:ind w:hanging="44"/>
              <w:jc w:val="center"/>
              <w:rPr>
                <w:rFonts w:cs="Arial"/>
                <w:color w:val="000000"/>
                <w:szCs w:val="18"/>
                <w:lang w:val="en-US" w:eastAsia="es-PE"/>
              </w:rPr>
            </w:pPr>
            <w:r w:rsidRPr="00D72C04">
              <w:rPr>
                <w:rFonts w:cs="Arial"/>
                <w:color w:val="000000"/>
                <w:szCs w:val="18"/>
                <w:lang w:val="en-US" w:eastAsia="es-PE"/>
              </w:rPr>
              <w:t>Variation (%)</w:t>
            </w:r>
          </w:p>
        </w:tc>
        <w:tc>
          <w:tcPr>
            <w:tcW w:w="684" w:type="dxa"/>
            <w:tcBorders>
              <w:top w:val="nil"/>
              <w:left w:val="nil"/>
              <w:bottom w:val="nil"/>
              <w:right w:val="nil"/>
            </w:tcBorders>
            <w:shd w:val="clear" w:color="000000" w:fill="FFFFFF"/>
            <w:vAlign w:val="center"/>
            <w:hideMark/>
          </w:tcPr>
          <w:p w14:paraId="6199735D" w14:textId="0F79D8DF" w:rsidR="00203CEB" w:rsidRPr="00D72C04" w:rsidRDefault="00203CEB" w:rsidP="00203CEB">
            <w:pPr>
              <w:tabs>
                <w:tab w:val="clear" w:pos="7100"/>
              </w:tabs>
              <w:spacing w:line="240" w:lineRule="auto"/>
              <w:ind w:left="-67"/>
              <w:jc w:val="center"/>
              <w:rPr>
                <w:rFonts w:cs="Arial"/>
                <w:color w:val="000000"/>
                <w:szCs w:val="18"/>
                <w:lang w:val="en-US" w:eastAsia="es-PE"/>
              </w:rPr>
            </w:pPr>
            <w:r w:rsidRPr="00D72C04">
              <w:rPr>
                <w:rFonts w:cs="Arial"/>
                <w:color w:val="000000"/>
                <w:szCs w:val="18"/>
                <w:lang w:val="en-US" w:eastAsia="es-PE"/>
              </w:rPr>
              <w:t>Initial</w:t>
            </w:r>
          </w:p>
        </w:tc>
        <w:tc>
          <w:tcPr>
            <w:tcW w:w="709" w:type="dxa"/>
            <w:tcBorders>
              <w:top w:val="nil"/>
              <w:left w:val="nil"/>
              <w:bottom w:val="nil"/>
              <w:right w:val="nil"/>
            </w:tcBorders>
            <w:shd w:val="clear" w:color="000000" w:fill="FFFFFF"/>
            <w:vAlign w:val="center"/>
            <w:hideMark/>
          </w:tcPr>
          <w:p w14:paraId="56EB9AAA" w14:textId="155A77E3" w:rsidR="00203CEB" w:rsidRPr="00D72C04" w:rsidRDefault="00203CEB" w:rsidP="00203CEB">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Final</w:t>
            </w:r>
          </w:p>
        </w:tc>
        <w:tc>
          <w:tcPr>
            <w:tcW w:w="858" w:type="dxa"/>
            <w:tcBorders>
              <w:top w:val="nil"/>
              <w:left w:val="nil"/>
              <w:bottom w:val="nil"/>
              <w:right w:val="nil"/>
            </w:tcBorders>
            <w:shd w:val="clear" w:color="000000" w:fill="FFFFFF"/>
            <w:vAlign w:val="center"/>
            <w:hideMark/>
          </w:tcPr>
          <w:p w14:paraId="27994A78" w14:textId="44CACFF8" w:rsidR="00203CEB" w:rsidRPr="00D72C04" w:rsidRDefault="00203CEB" w:rsidP="00203CEB">
            <w:pPr>
              <w:tabs>
                <w:tab w:val="clear" w:pos="7100"/>
              </w:tabs>
              <w:spacing w:line="240" w:lineRule="auto"/>
              <w:ind w:hanging="73"/>
              <w:jc w:val="center"/>
              <w:rPr>
                <w:rFonts w:cs="Arial"/>
                <w:color w:val="000000"/>
                <w:szCs w:val="18"/>
                <w:lang w:val="en-US" w:eastAsia="es-PE"/>
              </w:rPr>
            </w:pPr>
            <w:r w:rsidRPr="00D72C04">
              <w:rPr>
                <w:rFonts w:cs="Arial"/>
                <w:color w:val="000000"/>
                <w:szCs w:val="18"/>
                <w:lang w:val="en-US" w:eastAsia="es-PE"/>
              </w:rPr>
              <w:t>Variation (%)</w:t>
            </w:r>
          </w:p>
        </w:tc>
        <w:tc>
          <w:tcPr>
            <w:tcW w:w="709" w:type="dxa"/>
            <w:tcBorders>
              <w:top w:val="nil"/>
              <w:left w:val="nil"/>
              <w:bottom w:val="nil"/>
              <w:right w:val="nil"/>
            </w:tcBorders>
            <w:shd w:val="clear" w:color="000000" w:fill="FFFFFF"/>
            <w:vAlign w:val="center"/>
            <w:hideMark/>
          </w:tcPr>
          <w:p w14:paraId="3ECAA7D9" w14:textId="164232FE" w:rsidR="00203CEB" w:rsidRPr="00D72C04" w:rsidRDefault="00203CEB" w:rsidP="00203CEB">
            <w:pPr>
              <w:tabs>
                <w:tab w:val="clear" w:pos="7100"/>
              </w:tabs>
              <w:spacing w:line="240" w:lineRule="auto"/>
              <w:ind w:left="-71"/>
              <w:jc w:val="center"/>
              <w:rPr>
                <w:rFonts w:cs="Arial"/>
                <w:color w:val="000000"/>
                <w:szCs w:val="18"/>
                <w:lang w:val="en-US" w:eastAsia="es-PE"/>
              </w:rPr>
            </w:pPr>
            <w:r w:rsidRPr="00D72C04">
              <w:rPr>
                <w:rFonts w:cs="Arial"/>
                <w:color w:val="000000"/>
                <w:szCs w:val="18"/>
                <w:lang w:val="en-US" w:eastAsia="es-PE"/>
              </w:rPr>
              <w:t>Initial</w:t>
            </w:r>
          </w:p>
        </w:tc>
        <w:tc>
          <w:tcPr>
            <w:tcW w:w="708" w:type="dxa"/>
            <w:tcBorders>
              <w:top w:val="nil"/>
              <w:left w:val="nil"/>
              <w:bottom w:val="nil"/>
              <w:right w:val="nil"/>
            </w:tcBorders>
            <w:shd w:val="clear" w:color="000000" w:fill="FFFFFF"/>
            <w:vAlign w:val="center"/>
            <w:hideMark/>
          </w:tcPr>
          <w:p w14:paraId="7F9609E4" w14:textId="2E723946" w:rsidR="00203CEB" w:rsidRPr="00D72C04" w:rsidRDefault="00203CEB" w:rsidP="00203CEB">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Final</w:t>
            </w:r>
          </w:p>
        </w:tc>
        <w:tc>
          <w:tcPr>
            <w:tcW w:w="851" w:type="dxa"/>
            <w:tcBorders>
              <w:top w:val="nil"/>
              <w:left w:val="nil"/>
              <w:bottom w:val="nil"/>
              <w:right w:val="nil"/>
            </w:tcBorders>
            <w:shd w:val="clear" w:color="000000" w:fill="FFFFFF"/>
            <w:vAlign w:val="center"/>
            <w:hideMark/>
          </w:tcPr>
          <w:p w14:paraId="3A067CC5" w14:textId="3ADDF4A5" w:rsidR="00203CEB" w:rsidRPr="00D72C04" w:rsidRDefault="00203CEB" w:rsidP="00203CEB">
            <w:pPr>
              <w:tabs>
                <w:tab w:val="clear" w:pos="7100"/>
              </w:tabs>
              <w:spacing w:line="240" w:lineRule="auto"/>
              <w:ind w:left="-70"/>
              <w:jc w:val="center"/>
              <w:rPr>
                <w:rFonts w:cs="Arial"/>
                <w:color w:val="000000"/>
                <w:szCs w:val="18"/>
                <w:lang w:val="en-US" w:eastAsia="es-PE"/>
              </w:rPr>
            </w:pPr>
            <w:r w:rsidRPr="00D72C04">
              <w:rPr>
                <w:rFonts w:cs="Arial"/>
                <w:color w:val="000000"/>
                <w:szCs w:val="18"/>
                <w:lang w:val="en-US" w:eastAsia="es-PE"/>
              </w:rPr>
              <w:t>Variation (%)</w:t>
            </w:r>
          </w:p>
        </w:tc>
      </w:tr>
      <w:tr w:rsidR="00412276" w:rsidRPr="00D72C04" w14:paraId="131925FF" w14:textId="77777777" w:rsidTr="00203CEB">
        <w:trPr>
          <w:trHeight w:val="300"/>
        </w:trPr>
        <w:tc>
          <w:tcPr>
            <w:tcW w:w="1134" w:type="dxa"/>
            <w:vMerge w:val="restart"/>
            <w:tcBorders>
              <w:top w:val="single" w:sz="12" w:space="0" w:color="009E47"/>
              <w:left w:val="nil"/>
              <w:right w:val="nil"/>
            </w:tcBorders>
            <w:shd w:val="clear" w:color="000000" w:fill="FFFFFF"/>
            <w:vAlign w:val="center"/>
            <w:hideMark/>
          </w:tcPr>
          <w:p w14:paraId="1E559C71" w14:textId="31E3E673" w:rsidR="00412276" w:rsidRPr="00D72C04" w:rsidRDefault="00203CEB" w:rsidP="00412276">
            <w:pPr>
              <w:tabs>
                <w:tab w:val="clear" w:pos="7100"/>
              </w:tabs>
              <w:spacing w:line="240" w:lineRule="auto"/>
              <w:rPr>
                <w:rFonts w:cs="Arial"/>
                <w:color w:val="000000"/>
                <w:szCs w:val="18"/>
                <w:lang w:val="en-US" w:eastAsia="es-PE"/>
              </w:rPr>
            </w:pPr>
            <w:r w:rsidRPr="00D72C04">
              <w:rPr>
                <w:lang w:val="en-US"/>
              </w:rPr>
              <w:t>Chemical Oxygen Demand (COD)</w:t>
            </w:r>
          </w:p>
        </w:tc>
        <w:tc>
          <w:tcPr>
            <w:tcW w:w="1134" w:type="dxa"/>
            <w:tcBorders>
              <w:top w:val="single" w:sz="12" w:space="0" w:color="009E47"/>
              <w:left w:val="nil"/>
              <w:right w:val="nil"/>
            </w:tcBorders>
            <w:shd w:val="clear" w:color="000000" w:fill="FFFFFF"/>
            <w:vAlign w:val="center"/>
            <w:hideMark/>
          </w:tcPr>
          <w:p w14:paraId="555F581E" w14:textId="77777777" w:rsidR="00412276" w:rsidRPr="00D72C04" w:rsidRDefault="00412276" w:rsidP="00412276">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1</w:t>
            </w:r>
          </w:p>
        </w:tc>
        <w:tc>
          <w:tcPr>
            <w:tcW w:w="708" w:type="dxa"/>
            <w:tcBorders>
              <w:top w:val="single" w:sz="12" w:space="0" w:color="009E47"/>
              <w:left w:val="nil"/>
              <w:right w:val="nil"/>
            </w:tcBorders>
            <w:shd w:val="clear" w:color="000000" w:fill="FFFFFF"/>
            <w:vAlign w:val="center"/>
            <w:hideMark/>
          </w:tcPr>
          <w:p w14:paraId="45C45229" w14:textId="55024F4D" w:rsidR="00412276" w:rsidRPr="00D72C04" w:rsidRDefault="00412276" w:rsidP="00412276">
            <w:pPr>
              <w:tabs>
                <w:tab w:val="clear" w:pos="7100"/>
              </w:tabs>
              <w:spacing w:line="240" w:lineRule="auto"/>
              <w:jc w:val="center"/>
              <w:rPr>
                <w:rFonts w:cs="Arial"/>
                <w:color w:val="000000"/>
                <w:szCs w:val="18"/>
                <w:lang w:val="en-US" w:eastAsia="es-PE"/>
              </w:rPr>
            </w:pPr>
            <w:r w:rsidRPr="00D72C04">
              <w:rPr>
                <w:rFonts w:cs="Arial"/>
                <w:szCs w:val="18"/>
                <w:lang w:val="en-US"/>
              </w:rPr>
              <w:t>45</w:t>
            </w:r>
          </w:p>
        </w:tc>
        <w:tc>
          <w:tcPr>
            <w:tcW w:w="709" w:type="dxa"/>
            <w:tcBorders>
              <w:top w:val="single" w:sz="12" w:space="0" w:color="009E47"/>
              <w:left w:val="nil"/>
              <w:right w:val="nil"/>
            </w:tcBorders>
            <w:shd w:val="clear" w:color="000000" w:fill="FFFFFF"/>
            <w:vAlign w:val="center"/>
            <w:hideMark/>
          </w:tcPr>
          <w:p w14:paraId="1790D1E1" w14:textId="76C5D0C2" w:rsidR="00412276" w:rsidRPr="00D72C04" w:rsidRDefault="00412276" w:rsidP="00412276">
            <w:pPr>
              <w:tabs>
                <w:tab w:val="clear" w:pos="7100"/>
              </w:tabs>
              <w:spacing w:line="240" w:lineRule="auto"/>
              <w:jc w:val="center"/>
              <w:rPr>
                <w:rFonts w:cs="Arial"/>
                <w:color w:val="000000"/>
                <w:szCs w:val="18"/>
                <w:lang w:val="en-US" w:eastAsia="es-PE"/>
              </w:rPr>
            </w:pPr>
            <w:r w:rsidRPr="00D72C04">
              <w:rPr>
                <w:rFonts w:cs="Arial"/>
                <w:color w:val="000000"/>
                <w:szCs w:val="18"/>
                <w:lang w:val="en-US"/>
              </w:rPr>
              <w:t>15.18</w:t>
            </w:r>
          </w:p>
        </w:tc>
        <w:tc>
          <w:tcPr>
            <w:tcW w:w="876" w:type="dxa"/>
            <w:tcBorders>
              <w:top w:val="single" w:sz="12" w:space="0" w:color="009E47"/>
              <w:left w:val="nil"/>
              <w:right w:val="nil"/>
            </w:tcBorders>
            <w:shd w:val="clear" w:color="000000" w:fill="FFFFFF"/>
            <w:vAlign w:val="center"/>
          </w:tcPr>
          <w:p w14:paraId="29D05631" w14:textId="2FE28E3D" w:rsidR="00412276" w:rsidRPr="00D72C04" w:rsidRDefault="00412276" w:rsidP="00412276">
            <w:pPr>
              <w:tabs>
                <w:tab w:val="clear" w:pos="7100"/>
              </w:tabs>
              <w:spacing w:line="240" w:lineRule="auto"/>
              <w:jc w:val="center"/>
              <w:rPr>
                <w:rFonts w:cs="Arial"/>
                <w:color w:val="000000"/>
                <w:szCs w:val="18"/>
                <w:lang w:val="en-US" w:eastAsia="es-PE"/>
              </w:rPr>
            </w:pPr>
            <w:r w:rsidRPr="00D72C04">
              <w:rPr>
                <w:rFonts w:cs="Arial"/>
                <w:color w:val="000000"/>
                <w:szCs w:val="18"/>
                <w:lang w:val="en-US"/>
              </w:rPr>
              <w:t>66.27</w:t>
            </w:r>
          </w:p>
        </w:tc>
        <w:tc>
          <w:tcPr>
            <w:tcW w:w="684" w:type="dxa"/>
            <w:tcBorders>
              <w:top w:val="single" w:sz="12" w:space="0" w:color="009E47"/>
              <w:left w:val="nil"/>
              <w:right w:val="nil"/>
            </w:tcBorders>
            <w:shd w:val="clear" w:color="000000" w:fill="FFFFFF"/>
            <w:vAlign w:val="center"/>
            <w:hideMark/>
          </w:tcPr>
          <w:p w14:paraId="38876B25" w14:textId="00EED2C6" w:rsidR="00412276" w:rsidRPr="00D72C04" w:rsidRDefault="00412276" w:rsidP="00412276">
            <w:pPr>
              <w:tabs>
                <w:tab w:val="clear" w:pos="7100"/>
              </w:tabs>
              <w:spacing w:line="240" w:lineRule="auto"/>
              <w:jc w:val="center"/>
              <w:rPr>
                <w:rFonts w:cs="Arial"/>
                <w:color w:val="000000"/>
                <w:szCs w:val="18"/>
                <w:lang w:val="en-US" w:eastAsia="es-PE"/>
              </w:rPr>
            </w:pPr>
            <w:r w:rsidRPr="00D72C04">
              <w:rPr>
                <w:rFonts w:cs="Arial"/>
                <w:color w:val="000000"/>
                <w:szCs w:val="18"/>
                <w:lang w:val="en-US"/>
              </w:rPr>
              <w:t>45</w:t>
            </w:r>
          </w:p>
        </w:tc>
        <w:tc>
          <w:tcPr>
            <w:tcW w:w="709" w:type="dxa"/>
            <w:tcBorders>
              <w:top w:val="single" w:sz="12" w:space="0" w:color="009E47"/>
              <w:left w:val="nil"/>
              <w:right w:val="nil"/>
            </w:tcBorders>
            <w:shd w:val="clear" w:color="000000" w:fill="FFFFFF"/>
            <w:vAlign w:val="center"/>
            <w:hideMark/>
          </w:tcPr>
          <w:p w14:paraId="3E264003" w14:textId="7F10A1FA" w:rsidR="00412276" w:rsidRPr="00D72C04" w:rsidRDefault="00412276" w:rsidP="00412276">
            <w:pPr>
              <w:tabs>
                <w:tab w:val="clear" w:pos="7100"/>
              </w:tabs>
              <w:spacing w:line="240" w:lineRule="auto"/>
              <w:jc w:val="center"/>
              <w:rPr>
                <w:rFonts w:cs="Arial"/>
                <w:color w:val="000000"/>
                <w:szCs w:val="18"/>
                <w:lang w:val="en-US" w:eastAsia="es-PE"/>
              </w:rPr>
            </w:pPr>
            <w:r w:rsidRPr="00D72C04">
              <w:rPr>
                <w:rFonts w:cs="Arial"/>
                <w:color w:val="000000"/>
                <w:szCs w:val="18"/>
                <w:lang w:val="en-US"/>
              </w:rPr>
              <w:t>12.07</w:t>
            </w:r>
          </w:p>
        </w:tc>
        <w:tc>
          <w:tcPr>
            <w:tcW w:w="858" w:type="dxa"/>
            <w:tcBorders>
              <w:top w:val="single" w:sz="12" w:space="0" w:color="009E47"/>
              <w:left w:val="nil"/>
              <w:right w:val="nil"/>
            </w:tcBorders>
            <w:shd w:val="clear" w:color="000000" w:fill="FFFFFF"/>
            <w:vAlign w:val="center"/>
          </w:tcPr>
          <w:p w14:paraId="5C727733" w14:textId="3C22E423" w:rsidR="00412276" w:rsidRPr="00D72C04" w:rsidRDefault="00412276" w:rsidP="00412276">
            <w:pPr>
              <w:tabs>
                <w:tab w:val="clear" w:pos="7100"/>
              </w:tabs>
              <w:spacing w:line="240" w:lineRule="auto"/>
              <w:jc w:val="center"/>
              <w:rPr>
                <w:rFonts w:cs="Arial"/>
                <w:color w:val="000000"/>
                <w:szCs w:val="18"/>
                <w:lang w:val="en-US" w:eastAsia="es-PE"/>
              </w:rPr>
            </w:pPr>
            <w:r w:rsidRPr="00D72C04">
              <w:rPr>
                <w:rFonts w:cs="Arial"/>
                <w:color w:val="000000"/>
                <w:szCs w:val="18"/>
                <w:lang w:val="en-US"/>
              </w:rPr>
              <w:t>73.18</w:t>
            </w:r>
          </w:p>
        </w:tc>
        <w:tc>
          <w:tcPr>
            <w:tcW w:w="709" w:type="dxa"/>
            <w:tcBorders>
              <w:top w:val="single" w:sz="12" w:space="0" w:color="009E47"/>
              <w:left w:val="nil"/>
              <w:right w:val="nil"/>
            </w:tcBorders>
            <w:shd w:val="clear" w:color="000000" w:fill="FFFFFF"/>
            <w:vAlign w:val="center"/>
            <w:hideMark/>
          </w:tcPr>
          <w:p w14:paraId="2E53BDA4" w14:textId="379BC2A3" w:rsidR="00412276" w:rsidRPr="00D72C04" w:rsidRDefault="00412276" w:rsidP="00412276">
            <w:pPr>
              <w:tabs>
                <w:tab w:val="clear" w:pos="7100"/>
              </w:tabs>
              <w:spacing w:line="240" w:lineRule="auto"/>
              <w:jc w:val="center"/>
              <w:rPr>
                <w:rFonts w:cs="Arial"/>
                <w:color w:val="000000"/>
                <w:szCs w:val="18"/>
                <w:lang w:val="en-US" w:eastAsia="es-PE"/>
              </w:rPr>
            </w:pPr>
            <w:r w:rsidRPr="00D72C04">
              <w:rPr>
                <w:rFonts w:cs="Arial"/>
                <w:color w:val="000000"/>
                <w:szCs w:val="18"/>
                <w:lang w:val="en-US"/>
              </w:rPr>
              <w:t>45</w:t>
            </w:r>
          </w:p>
        </w:tc>
        <w:tc>
          <w:tcPr>
            <w:tcW w:w="708" w:type="dxa"/>
            <w:tcBorders>
              <w:top w:val="single" w:sz="12" w:space="0" w:color="009E47"/>
              <w:left w:val="nil"/>
              <w:right w:val="nil"/>
            </w:tcBorders>
            <w:shd w:val="clear" w:color="000000" w:fill="FFFFFF"/>
            <w:vAlign w:val="center"/>
            <w:hideMark/>
          </w:tcPr>
          <w:p w14:paraId="5D9EF572" w14:textId="62E5E792" w:rsidR="00412276" w:rsidRPr="00D72C04" w:rsidRDefault="00412276" w:rsidP="00412276">
            <w:pPr>
              <w:tabs>
                <w:tab w:val="clear" w:pos="7100"/>
              </w:tabs>
              <w:spacing w:line="240" w:lineRule="auto"/>
              <w:jc w:val="center"/>
              <w:rPr>
                <w:rFonts w:cs="Arial"/>
                <w:color w:val="000000"/>
                <w:szCs w:val="18"/>
                <w:lang w:val="en-US" w:eastAsia="es-PE"/>
              </w:rPr>
            </w:pPr>
            <w:r w:rsidRPr="00D72C04">
              <w:rPr>
                <w:rFonts w:cs="Arial"/>
                <w:color w:val="000000"/>
                <w:szCs w:val="18"/>
                <w:lang w:val="en-US"/>
              </w:rPr>
              <w:t>9.54</w:t>
            </w:r>
          </w:p>
        </w:tc>
        <w:tc>
          <w:tcPr>
            <w:tcW w:w="851" w:type="dxa"/>
            <w:tcBorders>
              <w:top w:val="single" w:sz="12" w:space="0" w:color="009E47"/>
              <w:left w:val="nil"/>
              <w:right w:val="nil"/>
            </w:tcBorders>
            <w:shd w:val="clear" w:color="000000" w:fill="FFFFFF"/>
            <w:vAlign w:val="center"/>
          </w:tcPr>
          <w:p w14:paraId="363B1172" w14:textId="28F1B5C4" w:rsidR="00412276" w:rsidRPr="00D72C04" w:rsidRDefault="00412276" w:rsidP="00412276">
            <w:pPr>
              <w:tabs>
                <w:tab w:val="clear" w:pos="7100"/>
              </w:tabs>
              <w:spacing w:line="240" w:lineRule="auto"/>
              <w:jc w:val="center"/>
              <w:rPr>
                <w:rFonts w:cs="Arial"/>
                <w:color w:val="000000"/>
                <w:szCs w:val="18"/>
                <w:lang w:val="en-US" w:eastAsia="es-PE"/>
              </w:rPr>
            </w:pPr>
            <w:r w:rsidRPr="00D72C04">
              <w:rPr>
                <w:rFonts w:cs="Arial"/>
                <w:color w:val="000000"/>
                <w:szCs w:val="18"/>
                <w:lang w:val="en-US"/>
              </w:rPr>
              <w:t>78.80</w:t>
            </w:r>
          </w:p>
        </w:tc>
      </w:tr>
      <w:tr w:rsidR="00412276" w:rsidRPr="00D72C04" w14:paraId="4415F67D" w14:textId="77777777" w:rsidTr="00203CEB">
        <w:trPr>
          <w:trHeight w:val="300"/>
        </w:trPr>
        <w:tc>
          <w:tcPr>
            <w:tcW w:w="1134" w:type="dxa"/>
            <w:vMerge/>
            <w:tcBorders>
              <w:left w:val="nil"/>
              <w:right w:val="nil"/>
            </w:tcBorders>
            <w:vAlign w:val="center"/>
            <w:hideMark/>
          </w:tcPr>
          <w:p w14:paraId="46D36A79" w14:textId="77777777" w:rsidR="00412276" w:rsidRPr="00D72C04" w:rsidRDefault="00412276" w:rsidP="00412276">
            <w:pPr>
              <w:tabs>
                <w:tab w:val="clear" w:pos="7100"/>
              </w:tabs>
              <w:spacing w:line="240" w:lineRule="auto"/>
              <w:jc w:val="left"/>
              <w:rPr>
                <w:rFonts w:cs="Arial"/>
                <w:color w:val="000000"/>
                <w:szCs w:val="18"/>
                <w:lang w:val="en-US" w:eastAsia="es-PE"/>
              </w:rPr>
            </w:pPr>
          </w:p>
        </w:tc>
        <w:tc>
          <w:tcPr>
            <w:tcW w:w="1134" w:type="dxa"/>
            <w:tcBorders>
              <w:left w:val="nil"/>
              <w:right w:val="nil"/>
            </w:tcBorders>
            <w:shd w:val="clear" w:color="000000" w:fill="FFFFFF"/>
            <w:vAlign w:val="center"/>
            <w:hideMark/>
          </w:tcPr>
          <w:p w14:paraId="37A87EB2" w14:textId="77777777" w:rsidR="00412276" w:rsidRPr="00D72C04" w:rsidRDefault="00412276" w:rsidP="00412276">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2</w:t>
            </w:r>
          </w:p>
        </w:tc>
        <w:tc>
          <w:tcPr>
            <w:tcW w:w="708" w:type="dxa"/>
            <w:tcBorders>
              <w:left w:val="nil"/>
              <w:right w:val="nil"/>
            </w:tcBorders>
            <w:shd w:val="clear" w:color="000000" w:fill="FFFFFF"/>
            <w:vAlign w:val="center"/>
            <w:hideMark/>
          </w:tcPr>
          <w:p w14:paraId="56114B3A" w14:textId="5D35985A" w:rsidR="00412276" w:rsidRPr="00D72C04" w:rsidRDefault="00412276" w:rsidP="00412276">
            <w:pPr>
              <w:tabs>
                <w:tab w:val="clear" w:pos="7100"/>
              </w:tabs>
              <w:spacing w:line="240" w:lineRule="auto"/>
              <w:jc w:val="center"/>
              <w:rPr>
                <w:rFonts w:cs="Arial"/>
                <w:color w:val="000000"/>
                <w:szCs w:val="18"/>
                <w:lang w:val="en-US" w:eastAsia="es-PE"/>
              </w:rPr>
            </w:pPr>
            <w:r w:rsidRPr="00D72C04">
              <w:rPr>
                <w:rFonts w:cs="Arial"/>
                <w:szCs w:val="18"/>
                <w:lang w:val="en-US"/>
              </w:rPr>
              <w:t>45</w:t>
            </w:r>
          </w:p>
        </w:tc>
        <w:tc>
          <w:tcPr>
            <w:tcW w:w="709" w:type="dxa"/>
            <w:tcBorders>
              <w:left w:val="nil"/>
              <w:right w:val="nil"/>
            </w:tcBorders>
            <w:shd w:val="clear" w:color="000000" w:fill="FFFFFF"/>
            <w:vAlign w:val="center"/>
            <w:hideMark/>
          </w:tcPr>
          <w:p w14:paraId="707FE4BB" w14:textId="092C9C9F" w:rsidR="00412276" w:rsidRPr="00D72C04" w:rsidRDefault="00412276" w:rsidP="00412276">
            <w:pPr>
              <w:tabs>
                <w:tab w:val="clear" w:pos="7100"/>
              </w:tabs>
              <w:spacing w:line="240" w:lineRule="auto"/>
              <w:jc w:val="center"/>
              <w:rPr>
                <w:rFonts w:cs="Arial"/>
                <w:b/>
                <w:bCs/>
                <w:color w:val="000000"/>
                <w:szCs w:val="18"/>
                <w:lang w:val="en-US" w:eastAsia="es-PE"/>
              </w:rPr>
            </w:pPr>
            <w:r w:rsidRPr="00D72C04">
              <w:rPr>
                <w:rFonts w:cs="Arial"/>
                <w:color w:val="000000"/>
                <w:szCs w:val="18"/>
                <w:lang w:val="en-US"/>
              </w:rPr>
              <w:t>14.06</w:t>
            </w:r>
          </w:p>
        </w:tc>
        <w:tc>
          <w:tcPr>
            <w:tcW w:w="876" w:type="dxa"/>
            <w:tcBorders>
              <w:left w:val="nil"/>
              <w:right w:val="nil"/>
            </w:tcBorders>
            <w:shd w:val="clear" w:color="000000" w:fill="FFFFFF"/>
            <w:vAlign w:val="center"/>
          </w:tcPr>
          <w:p w14:paraId="7576D304" w14:textId="694A0BD5" w:rsidR="00412276" w:rsidRPr="00D72C04" w:rsidRDefault="00412276" w:rsidP="00412276">
            <w:pPr>
              <w:tabs>
                <w:tab w:val="clear" w:pos="7100"/>
              </w:tabs>
              <w:spacing w:line="240" w:lineRule="auto"/>
              <w:jc w:val="center"/>
              <w:rPr>
                <w:rFonts w:cs="Arial"/>
                <w:color w:val="000000"/>
                <w:szCs w:val="18"/>
                <w:lang w:val="en-US" w:eastAsia="es-PE"/>
              </w:rPr>
            </w:pPr>
            <w:r w:rsidRPr="00D72C04">
              <w:rPr>
                <w:rFonts w:cs="Arial"/>
                <w:color w:val="000000"/>
                <w:szCs w:val="18"/>
                <w:lang w:val="en-US"/>
              </w:rPr>
              <w:t>68.76</w:t>
            </w:r>
          </w:p>
        </w:tc>
        <w:tc>
          <w:tcPr>
            <w:tcW w:w="684" w:type="dxa"/>
            <w:tcBorders>
              <w:left w:val="nil"/>
              <w:right w:val="nil"/>
            </w:tcBorders>
            <w:shd w:val="clear" w:color="000000" w:fill="FFFFFF"/>
            <w:vAlign w:val="center"/>
            <w:hideMark/>
          </w:tcPr>
          <w:p w14:paraId="6A8A2EAC" w14:textId="2C6D8C46" w:rsidR="00412276" w:rsidRPr="00D72C04" w:rsidRDefault="00412276" w:rsidP="00412276">
            <w:pPr>
              <w:tabs>
                <w:tab w:val="clear" w:pos="7100"/>
              </w:tabs>
              <w:spacing w:line="240" w:lineRule="auto"/>
              <w:jc w:val="center"/>
              <w:rPr>
                <w:rFonts w:cs="Arial"/>
                <w:color w:val="000000"/>
                <w:szCs w:val="18"/>
                <w:lang w:val="en-US" w:eastAsia="es-PE"/>
              </w:rPr>
            </w:pPr>
            <w:r w:rsidRPr="00D72C04">
              <w:rPr>
                <w:rFonts w:cs="Arial"/>
                <w:color w:val="000000"/>
                <w:szCs w:val="18"/>
                <w:lang w:val="en-US"/>
              </w:rPr>
              <w:t>45</w:t>
            </w:r>
          </w:p>
        </w:tc>
        <w:tc>
          <w:tcPr>
            <w:tcW w:w="709" w:type="dxa"/>
            <w:tcBorders>
              <w:left w:val="nil"/>
              <w:right w:val="nil"/>
            </w:tcBorders>
            <w:shd w:val="clear" w:color="000000" w:fill="FFFFFF"/>
            <w:vAlign w:val="center"/>
            <w:hideMark/>
          </w:tcPr>
          <w:p w14:paraId="522D5DD1" w14:textId="1BB8DF55" w:rsidR="00412276" w:rsidRPr="00D72C04" w:rsidRDefault="00412276" w:rsidP="00412276">
            <w:pPr>
              <w:tabs>
                <w:tab w:val="clear" w:pos="7100"/>
              </w:tabs>
              <w:spacing w:line="240" w:lineRule="auto"/>
              <w:jc w:val="center"/>
              <w:rPr>
                <w:rFonts w:cs="Arial"/>
                <w:b/>
                <w:bCs/>
                <w:color w:val="000000"/>
                <w:szCs w:val="18"/>
                <w:lang w:val="en-US" w:eastAsia="es-PE"/>
              </w:rPr>
            </w:pPr>
            <w:r w:rsidRPr="00D72C04">
              <w:rPr>
                <w:rFonts w:cs="Arial"/>
                <w:color w:val="000000"/>
                <w:szCs w:val="18"/>
                <w:lang w:val="en-US"/>
              </w:rPr>
              <w:t>12.04</w:t>
            </w:r>
          </w:p>
        </w:tc>
        <w:tc>
          <w:tcPr>
            <w:tcW w:w="858" w:type="dxa"/>
            <w:tcBorders>
              <w:left w:val="nil"/>
              <w:right w:val="nil"/>
            </w:tcBorders>
            <w:shd w:val="clear" w:color="000000" w:fill="FFFFFF"/>
            <w:vAlign w:val="center"/>
          </w:tcPr>
          <w:p w14:paraId="3174F2E5" w14:textId="1E5C874A" w:rsidR="00412276" w:rsidRPr="00D72C04" w:rsidRDefault="00412276" w:rsidP="00412276">
            <w:pPr>
              <w:tabs>
                <w:tab w:val="clear" w:pos="7100"/>
              </w:tabs>
              <w:spacing w:line="240" w:lineRule="auto"/>
              <w:jc w:val="center"/>
              <w:rPr>
                <w:rFonts w:cs="Arial"/>
                <w:color w:val="000000"/>
                <w:szCs w:val="18"/>
                <w:lang w:val="en-US" w:eastAsia="es-PE"/>
              </w:rPr>
            </w:pPr>
            <w:r w:rsidRPr="00D72C04">
              <w:rPr>
                <w:rFonts w:cs="Arial"/>
                <w:color w:val="000000"/>
                <w:szCs w:val="18"/>
                <w:lang w:val="en-US"/>
              </w:rPr>
              <w:t>73.24</w:t>
            </w:r>
          </w:p>
        </w:tc>
        <w:tc>
          <w:tcPr>
            <w:tcW w:w="709" w:type="dxa"/>
            <w:tcBorders>
              <w:left w:val="nil"/>
              <w:right w:val="nil"/>
            </w:tcBorders>
            <w:shd w:val="clear" w:color="000000" w:fill="FFFFFF"/>
            <w:vAlign w:val="center"/>
            <w:hideMark/>
          </w:tcPr>
          <w:p w14:paraId="6E96F81B" w14:textId="5E16CD89" w:rsidR="00412276" w:rsidRPr="00D72C04" w:rsidRDefault="00412276" w:rsidP="00412276">
            <w:pPr>
              <w:tabs>
                <w:tab w:val="clear" w:pos="7100"/>
              </w:tabs>
              <w:spacing w:line="240" w:lineRule="auto"/>
              <w:jc w:val="center"/>
              <w:rPr>
                <w:rFonts w:cs="Arial"/>
                <w:color w:val="000000"/>
                <w:szCs w:val="18"/>
                <w:lang w:val="en-US" w:eastAsia="es-PE"/>
              </w:rPr>
            </w:pPr>
            <w:r w:rsidRPr="00D72C04">
              <w:rPr>
                <w:rFonts w:cs="Arial"/>
                <w:color w:val="000000"/>
                <w:szCs w:val="18"/>
                <w:lang w:val="en-US"/>
              </w:rPr>
              <w:t>45</w:t>
            </w:r>
          </w:p>
        </w:tc>
        <w:tc>
          <w:tcPr>
            <w:tcW w:w="708" w:type="dxa"/>
            <w:tcBorders>
              <w:left w:val="nil"/>
              <w:right w:val="nil"/>
            </w:tcBorders>
            <w:shd w:val="clear" w:color="000000" w:fill="FFFFFF"/>
            <w:vAlign w:val="center"/>
            <w:hideMark/>
          </w:tcPr>
          <w:p w14:paraId="30B91780" w14:textId="14BC0F65" w:rsidR="00412276" w:rsidRPr="00D72C04" w:rsidRDefault="00412276" w:rsidP="00412276">
            <w:pPr>
              <w:tabs>
                <w:tab w:val="clear" w:pos="7100"/>
              </w:tabs>
              <w:spacing w:line="240" w:lineRule="auto"/>
              <w:jc w:val="center"/>
              <w:rPr>
                <w:rFonts w:cs="Arial"/>
                <w:color w:val="000000"/>
                <w:szCs w:val="18"/>
                <w:lang w:val="en-US" w:eastAsia="es-PE"/>
              </w:rPr>
            </w:pPr>
            <w:r w:rsidRPr="00D72C04">
              <w:rPr>
                <w:rFonts w:cs="Arial"/>
                <w:color w:val="000000"/>
                <w:szCs w:val="18"/>
                <w:lang w:val="en-US"/>
              </w:rPr>
              <w:t>9.47</w:t>
            </w:r>
          </w:p>
        </w:tc>
        <w:tc>
          <w:tcPr>
            <w:tcW w:w="851" w:type="dxa"/>
            <w:tcBorders>
              <w:left w:val="nil"/>
              <w:right w:val="nil"/>
            </w:tcBorders>
            <w:shd w:val="clear" w:color="000000" w:fill="FFFFFF"/>
            <w:vAlign w:val="center"/>
          </w:tcPr>
          <w:p w14:paraId="47C74E5C" w14:textId="0DA75FA6" w:rsidR="00412276" w:rsidRPr="00D72C04" w:rsidRDefault="00412276" w:rsidP="00412276">
            <w:pPr>
              <w:tabs>
                <w:tab w:val="clear" w:pos="7100"/>
              </w:tabs>
              <w:spacing w:line="240" w:lineRule="auto"/>
              <w:jc w:val="center"/>
              <w:rPr>
                <w:rFonts w:cs="Arial"/>
                <w:color w:val="000000"/>
                <w:szCs w:val="18"/>
                <w:lang w:val="en-US" w:eastAsia="es-PE"/>
              </w:rPr>
            </w:pPr>
            <w:r w:rsidRPr="00D72C04">
              <w:rPr>
                <w:rFonts w:cs="Arial"/>
                <w:color w:val="000000"/>
                <w:szCs w:val="18"/>
                <w:lang w:val="en-US"/>
              </w:rPr>
              <w:t>78.96</w:t>
            </w:r>
          </w:p>
        </w:tc>
      </w:tr>
      <w:tr w:rsidR="00412276" w:rsidRPr="00D72C04" w14:paraId="1158F990" w14:textId="77777777" w:rsidTr="00203CEB">
        <w:trPr>
          <w:trHeight w:val="309"/>
        </w:trPr>
        <w:tc>
          <w:tcPr>
            <w:tcW w:w="1134" w:type="dxa"/>
            <w:vMerge/>
            <w:tcBorders>
              <w:left w:val="nil"/>
              <w:bottom w:val="single" w:sz="12" w:space="0" w:color="009E47"/>
              <w:right w:val="nil"/>
            </w:tcBorders>
            <w:vAlign w:val="center"/>
            <w:hideMark/>
          </w:tcPr>
          <w:p w14:paraId="199DF5CD" w14:textId="77777777" w:rsidR="00412276" w:rsidRPr="00D72C04" w:rsidRDefault="00412276" w:rsidP="00412276">
            <w:pPr>
              <w:tabs>
                <w:tab w:val="clear" w:pos="7100"/>
              </w:tabs>
              <w:spacing w:line="240" w:lineRule="auto"/>
              <w:jc w:val="left"/>
              <w:rPr>
                <w:rFonts w:cs="Arial"/>
                <w:color w:val="000000"/>
                <w:szCs w:val="18"/>
                <w:lang w:val="en-US" w:eastAsia="es-PE"/>
              </w:rPr>
            </w:pPr>
          </w:p>
        </w:tc>
        <w:tc>
          <w:tcPr>
            <w:tcW w:w="1134" w:type="dxa"/>
            <w:tcBorders>
              <w:left w:val="nil"/>
              <w:bottom w:val="single" w:sz="12" w:space="0" w:color="009E47"/>
              <w:right w:val="nil"/>
            </w:tcBorders>
            <w:shd w:val="clear" w:color="000000" w:fill="FFFFFF"/>
            <w:hideMark/>
          </w:tcPr>
          <w:p w14:paraId="5BEB6B86" w14:textId="77777777" w:rsidR="00412276" w:rsidRPr="00D72C04" w:rsidRDefault="00412276" w:rsidP="00412276">
            <w:pPr>
              <w:tabs>
                <w:tab w:val="clear" w:pos="7100"/>
              </w:tabs>
              <w:spacing w:line="240" w:lineRule="auto"/>
              <w:jc w:val="center"/>
              <w:rPr>
                <w:rFonts w:ascii="Calibri" w:hAnsi="Calibri" w:cs="Calibri"/>
                <w:color w:val="000000"/>
                <w:sz w:val="22"/>
                <w:szCs w:val="22"/>
                <w:lang w:val="en-US" w:eastAsia="es-PE"/>
              </w:rPr>
            </w:pPr>
            <w:r w:rsidRPr="00D72C04">
              <w:rPr>
                <w:rFonts w:ascii="Calibri" w:hAnsi="Calibri" w:cs="Calibri"/>
                <w:color w:val="000000"/>
                <w:sz w:val="22"/>
                <w:szCs w:val="22"/>
                <w:lang w:val="en-US" w:eastAsia="es-PE"/>
              </w:rPr>
              <w:t>3</w:t>
            </w:r>
          </w:p>
        </w:tc>
        <w:tc>
          <w:tcPr>
            <w:tcW w:w="708" w:type="dxa"/>
            <w:tcBorders>
              <w:left w:val="nil"/>
              <w:bottom w:val="single" w:sz="12" w:space="0" w:color="009E47"/>
              <w:right w:val="nil"/>
            </w:tcBorders>
            <w:shd w:val="clear" w:color="000000" w:fill="FFFFFF"/>
            <w:vAlign w:val="center"/>
            <w:hideMark/>
          </w:tcPr>
          <w:p w14:paraId="7188DA67" w14:textId="37CAD5D6" w:rsidR="00412276" w:rsidRPr="00D72C04" w:rsidRDefault="00412276" w:rsidP="00412276">
            <w:pPr>
              <w:tabs>
                <w:tab w:val="clear" w:pos="7100"/>
              </w:tabs>
              <w:spacing w:line="240" w:lineRule="auto"/>
              <w:jc w:val="center"/>
              <w:rPr>
                <w:rFonts w:cs="Arial"/>
                <w:color w:val="000000"/>
                <w:szCs w:val="18"/>
                <w:lang w:val="en-US" w:eastAsia="es-PE"/>
              </w:rPr>
            </w:pPr>
            <w:r w:rsidRPr="00D72C04">
              <w:rPr>
                <w:rFonts w:cs="Arial"/>
                <w:szCs w:val="18"/>
                <w:lang w:val="en-US"/>
              </w:rPr>
              <w:t>45</w:t>
            </w:r>
          </w:p>
        </w:tc>
        <w:tc>
          <w:tcPr>
            <w:tcW w:w="709" w:type="dxa"/>
            <w:tcBorders>
              <w:left w:val="nil"/>
              <w:bottom w:val="single" w:sz="12" w:space="0" w:color="009E47"/>
              <w:right w:val="nil"/>
            </w:tcBorders>
            <w:shd w:val="clear" w:color="000000" w:fill="FFFFFF"/>
            <w:vAlign w:val="center"/>
            <w:hideMark/>
          </w:tcPr>
          <w:p w14:paraId="2A2FA2BF" w14:textId="1BB3BA81" w:rsidR="00412276" w:rsidRPr="00D72C04" w:rsidRDefault="00412276" w:rsidP="00412276">
            <w:pPr>
              <w:tabs>
                <w:tab w:val="clear" w:pos="7100"/>
              </w:tabs>
              <w:spacing w:line="240" w:lineRule="auto"/>
              <w:jc w:val="center"/>
              <w:rPr>
                <w:rFonts w:cs="Arial"/>
                <w:color w:val="000000"/>
                <w:szCs w:val="18"/>
                <w:lang w:val="en-US" w:eastAsia="es-PE"/>
              </w:rPr>
            </w:pPr>
            <w:r w:rsidRPr="00D72C04">
              <w:rPr>
                <w:rFonts w:cs="Arial"/>
                <w:color w:val="000000"/>
                <w:szCs w:val="18"/>
                <w:lang w:val="en-US"/>
              </w:rPr>
              <w:t>14.01</w:t>
            </w:r>
          </w:p>
        </w:tc>
        <w:tc>
          <w:tcPr>
            <w:tcW w:w="876" w:type="dxa"/>
            <w:tcBorders>
              <w:left w:val="nil"/>
              <w:bottom w:val="single" w:sz="12" w:space="0" w:color="009E47"/>
              <w:right w:val="nil"/>
            </w:tcBorders>
            <w:shd w:val="clear" w:color="000000" w:fill="FFFFFF"/>
            <w:vAlign w:val="center"/>
          </w:tcPr>
          <w:p w14:paraId="008340A6" w14:textId="70472BA6" w:rsidR="00412276" w:rsidRPr="00D72C04" w:rsidRDefault="00412276" w:rsidP="00412276">
            <w:pPr>
              <w:tabs>
                <w:tab w:val="clear" w:pos="7100"/>
              </w:tabs>
              <w:spacing w:line="240" w:lineRule="auto"/>
              <w:jc w:val="center"/>
              <w:rPr>
                <w:rFonts w:cs="Arial"/>
                <w:color w:val="000000"/>
                <w:szCs w:val="18"/>
                <w:lang w:val="en-US" w:eastAsia="es-PE"/>
              </w:rPr>
            </w:pPr>
            <w:r w:rsidRPr="00D72C04">
              <w:rPr>
                <w:rFonts w:cs="Arial"/>
                <w:color w:val="000000"/>
                <w:szCs w:val="18"/>
                <w:lang w:val="en-US"/>
              </w:rPr>
              <w:t>68.87</w:t>
            </w:r>
          </w:p>
        </w:tc>
        <w:tc>
          <w:tcPr>
            <w:tcW w:w="684" w:type="dxa"/>
            <w:tcBorders>
              <w:left w:val="nil"/>
              <w:bottom w:val="single" w:sz="12" w:space="0" w:color="009E47"/>
              <w:right w:val="nil"/>
            </w:tcBorders>
            <w:shd w:val="clear" w:color="000000" w:fill="FFFFFF"/>
            <w:vAlign w:val="center"/>
            <w:hideMark/>
          </w:tcPr>
          <w:p w14:paraId="4653C9D1" w14:textId="5F18AC18" w:rsidR="00412276" w:rsidRPr="00D72C04" w:rsidRDefault="00412276" w:rsidP="00412276">
            <w:pPr>
              <w:tabs>
                <w:tab w:val="clear" w:pos="7100"/>
              </w:tabs>
              <w:spacing w:line="240" w:lineRule="auto"/>
              <w:jc w:val="center"/>
              <w:rPr>
                <w:rFonts w:cs="Arial"/>
                <w:color w:val="000000"/>
                <w:szCs w:val="18"/>
                <w:lang w:val="en-US" w:eastAsia="es-PE"/>
              </w:rPr>
            </w:pPr>
            <w:r w:rsidRPr="00D72C04">
              <w:rPr>
                <w:rFonts w:cs="Arial"/>
                <w:color w:val="000000"/>
                <w:szCs w:val="18"/>
                <w:lang w:val="en-US"/>
              </w:rPr>
              <w:t>45</w:t>
            </w:r>
          </w:p>
        </w:tc>
        <w:tc>
          <w:tcPr>
            <w:tcW w:w="709" w:type="dxa"/>
            <w:tcBorders>
              <w:left w:val="nil"/>
              <w:bottom w:val="single" w:sz="12" w:space="0" w:color="009E47"/>
              <w:right w:val="nil"/>
            </w:tcBorders>
            <w:shd w:val="clear" w:color="000000" w:fill="FFFFFF"/>
            <w:vAlign w:val="center"/>
            <w:hideMark/>
          </w:tcPr>
          <w:p w14:paraId="17722288" w14:textId="1617F8FD" w:rsidR="00412276" w:rsidRPr="00D72C04" w:rsidRDefault="00412276" w:rsidP="00412276">
            <w:pPr>
              <w:tabs>
                <w:tab w:val="clear" w:pos="7100"/>
              </w:tabs>
              <w:spacing w:line="240" w:lineRule="auto"/>
              <w:jc w:val="center"/>
              <w:rPr>
                <w:rFonts w:cs="Arial"/>
                <w:color w:val="000000"/>
                <w:szCs w:val="18"/>
                <w:lang w:val="en-US" w:eastAsia="es-PE"/>
              </w:rPr>
            </w:pPr>
            <w:r w:rsidRPr="00D72C04">
              <w:rPr>
                <w:rFonts w:cs="Arial"/>
                <w:color w:val="000000"/>
                <w:szCs w:val="18"/>
                <w:lang w:val="en-US"/>
              </w:rPr>
              <w:t>12.11</w:t>
            </w:r>
          </w:p>
        </w:tc>
        <w:tc>
          <w:tcPr>
            <w:tcW w:w="858" w:type="dxa"/>
            <w:tcBorders>
              <w:left w:val="nil"/>
              <w:bottom w:val="single" w:sz="12" w:space="0" w:color="009E47"/>
              <w:right w:val="nil"/>
            </w:tcBorders>
            <w:shd w:val="clear" w:color="000000" w:fill="FFFFFF"/>
            <w:vAlign w:val="center"/>
          </w:tcPr>
          <w:p w14:paraId="10A384EA" w14:textId="30B7ACFF" w:rsidR="00412276" w:rsidRPr="00D72C04" w:rsidRDefault="00412276" w:rsidP="00412276">
            <w:pPr>
              <w:tabs>
                <w:tab w:val="clear" w:pos="7100"/>
              </w:tabs>
              <w:spacing w:line="240" w:lineRule="auto"/>
              <w:jc w:val="center"/>
              <w:rPr>
                <w:rFonts w:cs="Arial"/>
                <w:color w:val="000000"/>
                <w:szCs w:val="18"/>
                <w:lang w:val="en-US" w:eastAsia="es-PE"/>
              </w:rPr>
            </w:pPr>
            <w:r w:rsidRPr="00D72C04">
              <w:rPr>
                <w:rFonts w:cs="Arial"/>
                <w:color w:val="000000"/>
                <w:szCs w:val="18"/>
                <w:lang w:val="en-US"/>
              </w:rPr>
              <w:t>73.09</w:t>
            </w:r>
          </w:p>
        </w:tc>
        <w:tc>
          <w:tcPr>
            <w:tcW w:w="709" w:type="dxa"/>
            <w:tcBorders>
              <w:left w:val="nil"/>
              <w:bottom w:val="single" w:sz="12" w:space="0" w:color="009E47"/>
              <w:right w:val="nil"/>
            </w:tcBorders>
            <w:shd w:val="clear" w:color="000000" w:fill="FFFFFF"/>
            <w:vAlign w:val="center"/>
            <w:hideMark/>
          </w:tcPr>
          <w:p w14:paraId="6C2EBFC0" w14:textId="3C0ABADA" w:rsidR="00412276" w:rsidRPr="00D72C04" w:rsidRDefault="00412276" w:rsidP="00412276">
            <w:pPr>
              <w:tabs>
                <w:tab w:val="clear" w:pos="7100"/>
              </w:tabs>
              <w:spacing w:line="240" w:lineRule="auto"/>
              <w:jc w:val="center"/>
              <w:rPr>
                <w:rFonts w:cs="Arial"/>
                <w:color w:val="000000"/>
                <w:szCs w:val="18"/>
                <w:lang w:val="en-US" w:eastAsia="es-PE"/>
              </w:rPr>
            </w:pPr>
            <w:r w:rsidRPr="00D72C04">
              <w:rPr>
                <w:rFonts w:cs="Arial"/>
                <w:color w:val="000000"/>
                <w:szCs w:val="18"/>
                <w:lang w:val="en-US"/>
              </w:rPr>
              <w:t>45</w:t>
            </w:r>
          </w:p>
        </w:tc>
        <w:tc>
          <w:tcPr>
            <w:tcW w:w="708" w:type="dxa"/>
            <w:tcBorders>
              <w:left w:val="nil"/>
              <w:bottom w:val="single" w:sz="12" w:space="0" w:color="009E47"/>
              <w:right w:val="nil"/>
            </w:tcBorders>
            <w:shd w:val="clear" w:color="000000" w:fill="FFFFFF"/>
            <w:vAlign w:val="center"/>
            <w:hideMark/>
          </w:tcPr>
          <w:p w14:paraId="587F122C" w14:textId="0FCC0033" w:rsidR="00412276" w:rsidRPr="00D72C04" w:rsidRDefault="00412276" w:rsidP="00412276">
            <w:pPr>
              <w:tabs>
                <w:tab w:val="clear" w:pos="7100"/>
              </w:tabs>
              <w:spacing w:line="240" w:lineRule="auto"/>
              <w:jc w:val="center"/>
              <w:rPr>
                <w:rFonts w:cs="Arial"/>
                <w:b/>
                <w:bCs/>
                <w:szCs w:val="18"/>
                <w:lang w:val="en-US" w:eastAsia="es-PE"/>
              </w:rPr>
            </w:pPr>
            <w:r w:rsidRPr="00D72C04">
              <w:rPr>
                <w:rFonts w:cs="Arial"/>
                <w:szCs w:val="18"/>
                <w:lang w:val="en-US"/>
              </w:rPr>
              <w:t>9.41</w:t>
            </w:r>
          </w:p>
        </w:tc>
        <w:tc>
          <w:tcPr>
            <w:tcW w:w="851" w:type="dxa"/>
            <w:tcBorders>
              <w:left w:val="nil"/>
              <w:bottom w:val="single" w:sz="12" w:space="0" w:color="009E47"/>
              <w:right w:val="nil"/>
            </w:tcBorders>
            <w:shd w:val="clear" w:color="000000" w:fill="FFFFFF"/>
            <w:vAlign w:val="center"/>
          </w:tcPr>
          <w:p w14:paraId="1DE911B4" w14:textId="20305024" w:rsidR="00412276" w:rsidRPr="00D72C04" w:rsidRDefault="00412276" w:rsidP="00412276">
            <w:pPr>
              <w:tabs>
                <w:tab w:val="clear" w:pos="7100"/>
              </w:tabs>
              <w:spacing w:line="240" w:lineRule="auto"/>
              <w:jc w:val="center"/>
              <w:rPr>
                <w:rFonts w:cs="Arial"/>
                <w:szCs w:val="18"/>
                <w:lang w:val="en-US" w:eastAsia="es-PE"/>
              </w:rPr>
            </w:pPr>
            <w:r w:rsidRPr="00D72C04">
              <w:rPr>
                <w:rFonts w:cs="Arial"/>
                <w:szCs w:val="18"/>
                <w:lang w:val="en-US"/>
              </w:rPr>
              <w:t>79.09</w:t>
            </w:r>
          </w:p>
        </w:tc>
      </w:tr>
    </w:tbl>
    <w:p w14:paraId="0605C691" w14:textId="269F54CF" w:rsidR="00603F78" w:rsidRPr="00D72C04" w:rsidRDefault="00603F78" w:rsidP="00321B20">
      <w:pPr>
        <w:pStyle w:val="CETTabletitle"/>
        <w:spacing w:before="0" w:after="0" w:line="240" w:lineRule="auto"/>
        <w:rPr>
          <w:lang w:val="en-US"/>
        </w:rPr>
      </w:pPr>
    </w:p>
    <w:p w14:paraId="1A93C982" w14:textId="7465E93E" w:rsidR="00203CEB" w:rsidRPr="00D72C04" w:rsidRDefault="00203CEB" w:rsidP="009D5581">
      <w:pPr>
        <w:pStyle w:val="CETBodytext"/>
        <w:rPr>
          <w:bCs/>
          <w:iCs/>
        </w:rPr>
      </w:pPr>
      <w:r w:rsidRPr="00D72C04">
        <w:rPr>
          <w:b/>
          <w:bCs/>
          <w:iCs/>
        </w:rPr>
        <w:t xml:space="preserve">Total Nitrogen: </w:t>
      </w:r>
      <w:r w:rsidRPr="00D72C04">
        <w:rPr>
          <w:bCs/>
          <w:iCs/>
        </w:rPr>
        <w:t>This parameter in treated wetland water reaches values of 0.295 mg/L (90.72% reduction) and 0.229 mg/L (92.80% reduction) that are within the regulated environmental quality standard, which is 0.315 mg/L, using doses of 100 and 150 mg/L of CNT respectively, see table 6.</w:t>
      </w:r>
    </w:p>
    <w:p w14:paraId="3B875C62" w14:textId="07FB4317" w:rsidR="00603F78" w:rsidRPr="00D72C04" w:rsidRDefault="00203CEB" w:rsidP="00203CEB">
      <w:pPr>
        <w:pStyle w:val="CETTabletitle"/>
        <w:spacing w:line="240" w:lineRule="auto"/>
        <w:rPr>
          <w:lang w:val="en-US"/>
        </w:rPr>
      </w:pPr>
      <w:r w:rsidRPr="00D72C04">
        <w:rPr>
          <w:lang w:val="en-US"/>
        </w:rPr>
        <w:t>Table 6: Total nitrogen in wetland water after treatment with three different doses of CNT</w:t>
      </w:r>
    </w:p>
    <w:tbl>
      <w:tblPr>
        <w:tblW w:w="8654" w:type="dxa"/>
        <w:tblLayout w:type="fixed"/>
        <w:tblCellMar>
          <w:left w:w="70" w:type="dxa"/>
          <w:right w:w="70" w:type="dxa"/>
        </w:tblCellMar>
        <w:tblLook w:val="04A0" w:firstRow="1" w:lastRow="0" w:firstColumn="1" w:lastColumn="0" w:noHBand="0" w:noVBand="1"/>
      </w:tblPr>
      <w:tblGrid>
        <w:gridCol w:w="993"/>
        <w:gridCol w:w="1134"/>
        <w:gridCol w:w="711"/>
        <w:gridCol w:w="539"/>
        <w:gridCol w:w="876"/>
        <w:gridCol w:w="567"/>
        <w:gridCol w:w="709"/>
        <w:gridCol w:w="857"/>
        <w:gridCol w:w="709"/>
        <w:gridCol w:w="708"/>
        <w:gridCol w:w="851"/>
      </w:tblGrid>
      <w:tr w:rsidR="00203CEB" w:rsidRPr="00D72C04" w14:paraId="548F7357" w14:textId="77777777" w:rsidTr="00A8414C">
        <w:trPr>
          <w:trHeight w:val="330"/>
        </w:trPr>
        <w:tc>
          <w:tcPr>
            <w:tcW w:w="993" w:type="dxa"/>
            <w:vMerge w:val="restart"/>
            <w:tcBorders>
              <w:top w:val="single" w:sz="12" w:space="0" w:color="008000"/>
              <w:left w:val="nil"/>
              <w:bottom w:val="nil"/>
              <w:right w:val="nil"/>
            </w:tcBorders>
            <w:shd w:val="clear" w:color="000000" w:fill="FFFFFF"/>
            <w:vAlign w:val="center"/>
            <w:hideMark/>
          </w:tcPr>
          <w:p w14:paraId="79576BF1" w14:textId="6110EB7D" w:rsidR="00203CEB" w:rsidRPr="00D72C04" w:rsidRDefault="00203CEB" w:rsidP="00203CEB">
            <w:pPr>
              <w:tabs>
                <w:tab w:val="clear" w:pos="7100"/>
              </w:tabs>
              <w:spacing w:line="240" w:lineRule="auto"/>
              <w:jc w:val="center"/>
              <w:rPr>
                <w:rFonts w:cs="Arial"/>
                <w:color w:val="000000"/>
                <w:szCs w:val="18"/>
                <w:lang w:val="en-US" w:eastAsia="es-PE"/>
              </w:rPr>
            </w:pPr>
            <w:r w:rsidRPr="00D72C04">
              <w:rPr>
                <w:rFonts w:cs="Arial"/>
                <w:bCs/>
                <w:szCs w:val="18"/>
                <w:lang w:val="en-US" w:eastAsia="es-PE"/>
              </w:rPr>
              <w:t>Parameter</w:t>
            </w:r>
          </w:p>
        </w:tc>
        <w:tc>
          <w:tcPr>
            <w:tcW w:w="1134" w:type="dxa"/>
            <w:vMerge w:val="restart"/>
            <w:tcBorders>
              <w:top w:val="single" w:sz="12" w:space="0" w:color="008000"/>
              <w:left w:val="nil"/>
              <w:bottom w:val="single" w:sz="4" w:space="0" w:color="000000"/>
              <w:right w:val="nil"/>
            </w:tcBorders>
            <w:shd w:val="clear" w:color="000000" w:fill="FFFFFF"/>
            <w:vAlign w:val="center"/>
            <w:hideMark/>
          </w:tcPr>
          <w:p w14:paraId="29D507B2" w14:textId="2F72018B" w:rsidR="00203CEB" w:rsidRPr="00D72C04" w:rsidRDefault="00203CEB" w:rsidP="00203CEB">
            <w:pPr>
              <w:tabs>
                <w:tab w:val="clear" w:pos="7100"/>
              </w:tabs>
              <w:spacing w:line="240" w:lineRule="auto"/>
              <w:jc w:val="center"/>
              <w:rPr>
                <w:rFonts w:cs="Arial"/>
                <w:color w:val="000000"/>
                <w:szCs w:val="18"/>
                <w:lang w:val="en-US" w:eastAsia="es-PE"/>
              </w:rPr>
            </w:pPr>
            <w:r w:rsidRPr="00D72C04">
              <w:rPr>
                <w:rFonts w:cs="Arial"/>
                <w:bCs/>
                <w:color w:val="000000"/>
                <w:szCs w:val="18"/>
                <w:lang w:val="en-US" w:eastAsia="es-PE"/>
              </w:rPr>
              <w:t>Sample number</w:t>
            </w:r>
          </w:p>
        </w:tc>
        <w:tc>
          <w:tcPr>
            <w:tcW w:w="2126" w:type="dxa"/>
            <w:gridSpan w:val="3"/>
            <w:tcBorders>
              <w:top w:val="single" w:sz="12" w:space="0" w:color="009E47"/>
              <w:left w:val="nil"/>
              <w:bottom w:val="single" w:sz="8" w:space="0" w:color="009E47"/>
              <w:right w:val="nil"/>
            </w:tcBorders>
            <w:shd w:val="clear" w:color="000000" w:fill="FFFFFF"/>
            <w:vAlign w:val="center"/>
            <w:hideMark/>
          </w:tcPr>
          <w:p w14:paraId="29D3C151" w14:textId="1B1C1F40" w:rsidR="00203CEB" w:rsidRPr="00D72C04" w:rsidRDefault="00203CEB" w:rsidP="00203CEB">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Treatment with 50 g</w:t>
            </w:r>
          </w:p>
        </w:tc>
        <w:tc>
          <w:tcPr>
            <w:tcW w:w="2133" w:type="dxa"/>
            <w:gridSpan w:val="3"/>
            <w:tcBorders>
              <w:top w:val="single" w:sz="12" w:space="0" w:color="009E47"/>
              <w:left w:val="nil"/>
              <w:bottom w:val="single" w:sz="8" w:space="0" w:color="009E47"/>
              <w:right w:val="nil"/>
            </w:tcBorders>
            <w:shd w:val="clear" w:color="000000" w:fill="FFFFFF"/>
            <w:vAlign w:val="center"/>
          </w:tcPr>
          <w:p w14:paraId="2738C234" w14:textId="6ECD4363" w:rsidR="00203CEB" w:rsidRPr="00D72C04" w:rsidRDefault="00203CEB" w:rsidP="00203CEB">
            <w:pPr>
              <w:spacing w:line="240" w:lineRule="auto"/>
              <w:jc w:val="center"/>
              <w:rPr>
                <w:rFonts w:cs="Arial"/>
                <w:szCs w:val="18"/>
                <w:lang w:val="en-US" w:eastAsia="es-PE"/>
              </w:rPr>
            </w:pPr>
            <w:r w:rsidRPr="00D72C04">
              <w:rPr>
                <w:rFonts w:cs="Arial"/>
                <w:color w:val="000000"/>
                <w:szCs w:val="18"/>
                <w:lang w:val="en-US" w:eastAsia="es-PE"/>
              </w:rPr>
              <w:t>Treatment with 100 g</w:t>
            </w:r>
          </w:p>
        </w:tc>
        <w:tc>
          <w:tcPr>
            <w:tcW w:w="2268" w:type="dxa"/>
            <w:gridSpan w:val="3"/>
            <w:tcBorders>
              <w:top w:val="single" w:sz="12" w:space="0" w:color="009E47"/>
              <w:left w:val="nil"/>
              <w:bottom w:val="single" w:sz="8" w:space="0" w:color="009E47"/>
              <w:right w:val="nil"/>
            </w:tcBorders>
            <w:shd w:val="clear" w:color="000000" w:fill="FFFFFF"/>
            <w:vAlign w:val="center"/>
            <w:hideMark/>
          </w:tcPr>
          <w:p w14:paraId="3BAC1ADD" w14:textId="1886EB22" w:rsidR="00203CEB" w:rsidRPr="00D72C04" w:rsidRDefault="00203CEB" w:rsidP="00203CEB">
            <w:pPr>
              <w:tabs>
                <w:tab w:val="clear" w:pos="7100"/>
              </w:tabs>
              <w:spacing w:line="240" w:lineRule="auto"/>
              <w:jc w:val="center"/>
              <w:rPr>
                <w:rFonts w:cs="Arial"/>
                <w:szCs w:val="18"/>
                <w:lang w:val="en-US" w:eastAsia="es-PE"/>
              </w:rPr>
            </w:pPr>
            <w:r w:rsidRPr="00D72C04">
              <w:rPr>
                <w:rFonts w:cs="Arial"/>
                <w:color w:val="000000"/>
                <w:szCs w:val="18"/>
                <w:lang w:val="en-US" w:eastAsia="es-PE"/>
              </w:rPr>
              <w:t xml:space="preserve">Treatment with </w:t>
            </w:r>
            <w:r w:rsidRPr="00D72C04">
              <w:rPr>
                <w:rFonts w:cs="Arial"/>
                <w:szCs w:val="18"/>
                <w:lang w:val="en-US" w:eastAsia="es-PE"/>
              </w:rPr>
              <w:t>150 g</w:t>
            </w:r>
          </w:p>
        </w:tc>
      </w:tr>
      <w:tr w:rsidR="00203CEB" w:rsidRPr="00D72C04" w14:paraId="0D40890D" w14:textId="77777777" w:rsidTr="00523887">
        <w:trPr>
          <w:trHeight w:val="300"/>
        </w:trPr>
        <w:tc>
          <w:tcPr>
            <w:tcW w:w="993" w:type="dxa"/>
            <w:vMerge/>
            <w:tcBorders>
              <w:left w:val="nil"/>
              <w:bottom w:val="single" w:sz="12" w:space="0" w:color="009E47"/>
              <w:right w:val="nil"/>
            </w:tcBorders>
            <w:vAlign w:val="center"/>
            <w:hideMark/>
          </w:tcPr>
          <w:p w14:paraId="1E48AF64" w14:textId="77777777" w:rsidR="00203CEB" w:rsidRPr="00D72C04" w:rsidRDefault="00203CEB" w:rsidP="00203CEB">
            <w:pPr>
              <w:tabs>
                <w:tab w:val="clear" w:pos="7100"/>
              </w:tabs>
              <w:spacing w:line="240" w:lineRule="auto"/>
              <w:jc w:val="left"/>
              <w:rPr>
                <w:rFonts w:cs="Arial"/>
                <w:color w:val="000000"/>
                <w:szCs w:val="18"/>
                <w:lang w:val="en-US" w:eastAsia="es-PE"/>
              </w:rPr>
            </w:pPr>
          </w:p>
        </w:tc>
        <w:tc>
          <w:tcPr>
            <w:tcW w:w="1134" w:type="dxa"/>
            <w:vMerge/>
            <w:tcBorders>
              <w:left w:val="nil"/>
              <w:bottom w:val="single" w:sz="12" w:space="0" w:color="009E47"/>
              <w:right w:val="nil"/>
            </w:tcBorders>
            <w:vAlign w:val="center"/>
            <w:hideMark/>
          </w:tcPr>
          <w:p w14:paraId="657D608C" w14:textId="77777777" w:rsidR="00203CEB" w:rsidRPr="00D72C04" w:rsidRDefault="00203CEB" w:rsidP="00203CEB">
            <w:pPr>
              <w:tabs>
                <w:tab w:val="clear" w:pos="7100"/>
              </w:tabs>
              <w:spacing w:line="240" w:lineRule="auto"/>
              <w:jc w:val="left"/>
              <w:rPr>
                <w:rFonts w:cs="Arial"/>
                <w:color w:val="000000"/>
                <w:szCs w:val="18"/>
                <w:lang w:val="en-US" w:eastAsia="es-PE"/>
              </w:rPr>
            </w:pPr>
          </w:p>
        </w:tc>
        <w:tc>
          <w:tcPr>
            <w:tcW w:w="711" w:type="dxa"/>
            <w:tcBorders>
              <w:top w:val="nil"/>
              <w:left w:val="nil"/>
              <w:bottom w:val="nil"/>
              <w:right w:val="nil"/>
            </w:tcBorders>
            <w:shd w:val="clear" w:color="000000" w:fill="FFFFFF"/>
            <w:vAlign w:val="center"/>
            <w:hideMark/>
          </w:tcPr>
          <w:p w14:paraId="15EDD72B" w14:textId="542C515E" w:rsidR="00203CEB" w:rsidRPr="00D72C04" w:rsidRDefault="00203CEB" w:rsidP="00203CEB">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Initial</w:t>
            </w:r>
          </w:p>
        </w:tc>
        <w:tc>
          <w:tcPr>
            <w:tcW w:w="539" w:type="dxa"/>
            <w:tcBorders>
              <w:top w:val="nil"/>
              <w:left w:val="nil"/>
              <w:bottom w:val="nil"/>
              <w:right w:val="nil"/>
            </w:tcBorders>
            <w:shd w:val="clear" w:color="000000" w:fill="FFFFFF"/>
            <w:vAlign w:val="center"/>
            <w:hideMark/>
          </w:tcPr>
          <w:p w14:paraId="60644D35" w14:textId="2FCF15F0" w:rsidR="00203CEB" w:rsidRPr="00D72C04" w:rsidRDefault="00203CEB" w:rsidP="00203CEB">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Final</w:t>
            </w:r>
          </w:p>
        </w:tc>
        <w:tc>
          <w:tcPr>
            <w:tcW w:w="876" w:type="dxa"/>
            <w:tcBorders>
              <w:top w:val="nil"/>
              <w:left w:val="nil"/>
              <w:bottom w:val="nil"/>
              <w:right w:val="nil"/>
            </w:tcBorders>
            <w:shd w:val="clear" w:color="000000" w:fill="FFFFFF"/>
            <w:vAlign w:val="center"/>
            <w:hideMark/>
          </w:tcPr>
          <w:p w14:paraId="02F2DA20" w14:textId="5166EE09" w:rsidR="00203CEB" w:rsidRPr="00D72C04" w:rsidRDefault="00203CEB" w:rsidP="00203CEB">
            <w:pPr>
              <w:tabs>
                <w:tab w:val="clear" w:pos="7100"/>
              </w:tabs>
              <w:spacing w:line="240" w:lineRule="auto"/>
              <w:ind w:hanging="44"/>
              <w:jc w:val="center"/>
              <w:rPr>
                <w:rFonts w:cs="Arial"/>
                <w:color w:val="000000"/>
                <w:szCs w:val="18"/>
                <w:lang w:val="en-US" w:eastAsia="es-PE"/>
              </w:rPr>
            </w:pPr>
            <w:r w:rsidRPr="00D72C04">
              <w:rPr>
                <w:rFonts w:cs="Arial"/>
                <w:color w:val="000000"/>
                <w:szCs w:val="18"/>
                <w:lang w:val="en-US" w:eastAsia="es-PE"/>
              </w:rPr>
              <w:t>Variation (%)</w:t>
            </w:r>
          </w:p>
        </w:tc>
        <w:tc>
          <w:tcPr>
            <w:tcW w:w="567" w:type="dxa"/>
            <w:tcBorders>
              <w:top w:val="nil"/>
              <w:left w:val="nil"/>
              <w:bottom w:val="nil"/>
              <w:right w:val="nil"/>
            </w:tcBorders>
            <w:shd w:val="clear" w:color="000000" w:fill="FFFFFF"/>
            <w:vAlign w:val="center"/>
            <w:hideMark/>
          </w:tcPr>
          <w:p w14:paraId="39A6B85F" w14:textId="034CD49E" w:rsidR="00203CEB" w:rsidRPr="00D72C04" w:rsidRDefault="00203CEB" w:rsidP="00203CEB">
            <w:pPr>
              <w:tabs>
                <w:tab w:val="clear" w:pos="7100"/>
              </w:tabs>
              <w:spacing w:line="240" w:lineRule="auto"/>
              <w:ind w:left="-67"/>
              <w:jc w:val="center"/>
              <w:rPr>
                <w:rFonts w:cs="Arial"/>
                <w:color w:val="000000"/>
                <w:szCs w:val="18"/>
                <w:lang w:val="en-US" w:eastAsia="es-PE"/>
              </w:rPr>
            </w:pPr>
            <w:r w:rsidRPr="00D72C04">
              <w:rPr>
                <w:rFonts w:cs="Arial"/>
                <w:color w:val="000000"/>
                <w:szCs w:val="18"/>
                <w:lang w:val="en-US" w:eastAsia="es-PE"/>
              </w:rPr>
              <w:t>Initial</w:t>
            </w:r>
          </w:p>
        </w:tc>
        <w:tc>
          <w:tcPr>
            <w:tcW w:w="709" w:type="dxa"/>
            <w:tcBorders>
              <w:top w:val="nil"/>
              <w:left w:val="nil"/>
              <w:bottom w:val="nil"/>
              <w:right w:val="nil"/>
            </w:tcBorders>
            <w:shd w:val="clear" w:color="000000" w:fill="FFFFFF"/>
            <w:vAlign w:val="center"/>
            <w:hideMark/>
          </w:tcPr>
          <w:p w14:paraId="4BFBD793" w14:textId="5822C691" w:rsidR="00203CEB" w:rsidRPr="00D72C04" w:rsidRDefault="00203CEB" w:rsidP="00203CEB">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Final</w:t>
            </w:r>
          </w:p>
        </w:tc>
        <w:tc>
          <w:tcPr>
            <w:tcW w:w="857" w:type="dxa"/>
            <w:tcBorders>
              <w:top w:val="nil"/>
              <w:left w:val="nil"/>
              <w:bottom w:val="nil"/>
              <w:right w:val="nil"/>
            </w:tcBorders>
            <w:shd w:val="clear" w:color="000000" w:fill="FFFFFF"/>
            <w:vAlign w:val="center"/>
            <w:hideMark/>
          </w:tcPr>
          <w:p w14:paraId="178A02B0" w14:textId="34E413F1" w:rsidR="00203CEB" w:rsidRPr="00D72C04" w:rsidRDefault="00203CEB" w:rsidP="00203CEB">
            <w:pPr>
              <w:tabs>
                <w:tab w:val="clear" w:pos="7100"/>
              </w:tabs>
              <w:spacing w:line="240" w:lineRule="auto"/>
              <w:ind w:hanging="73"/>
              <w:jc w:val="center"/>
              <w:rPr>
                <w:rFonts w:cs="Arial"/>
                <w:color w:val="000000"/>
                <w:szCs w:val="18"/>
                <w:lang w:val="en-US" w:eastAsia="es-PE"/>
              </w:rPr>
            </w:pPr>
            <w:r w:rsidRPr="00D72C04">
              <w:rPr>
                <w:rFonts w:cs="Arial"/>
                <w:color w:val="000000"/>
                <w:szCs w:val="18"/>
                <w:lang w:val="en-US" w:eastAsia="es-PE"/>
              </w:rPr>
              <w:t>Variation (%)</w:t>
            </w:r>
          </w:p>
        </w:tc>
        <w:tc>
          <w:tcPr>
            <w:tcW w:w="709" w:type="dxa"/>
            <w:tcBorders>
              <w:top w:val="nil"/>
              <w:left w:val="nil"/>
              <w:bottom w:val="nil"/>
              <w:right w:val="nil"/>
            </w:tcBorders>
            <w:shd w:val="clear" w:color="000000" w:fill="FFFFFF"/>
            <w:vAlign w:val="center"/>
            <w:hideMark/>
          </w:tcPr>
          <w:p w14:paraId="2495DD13" w14:textId="54C3A9DB" w:rsidR="00203CEB" w:rsidRPr="00D72C04" w:rsidRDefault="00203CEB" w:rsidP="00203CEB">
            <w:pPr>
              <w:tabs>
                <w:tab w:val="clear" w:pos="7100"/>
              </w:tabs>
              <w:spacing w:line="240" w:lineRule="auto"/>
              <w:ind w:left="-71"/>
              <w:jc w:val="center"/>
              <w:rPr>
                <w:rFonts w:cs="Arial"/>
                <w:color w:val="000000"/>
                <w:szCs w:val="18"/>
                <w:lang w:val="en-US" w:eastAsia="es-PE"/>
              </w:rPr>
            </w:pPr>
            <w:r w:rsidRPr="00D72C04">
              <w:rPr>
                <w:rFonts w:cs="Arial"/>
                <w:color w:val="000000"/>
                <w:szCs w:val="18"/>
                <w:lang w:val="en-US" w:eastAsia="es-PE"/>
              </w:rPr>
              <w:t>Initial</w:t>
            </w:r>
          </w:p>
        </w:tc>
        <w:tc>
          <w:tcPr>
            <w:tcW w:w="708" w:type="dxa"/>
            <w:tcBorders>
              <w:top w:val="nil"/>
              <w:left w:val="nil"/>
              <w:bottom w:val="nil"/>
              <w:right w:val="nil"/>
            </w:tcBorders>
            <w:shd w:val="clear" w:color="000000" w:fill="FFFFFF"/>
            <w:vAlign w:val="center"/>
            <w:hideMark/>
          </w:tcPr>
          <w:p w14:paraId="244EF227" w14:textId="5B4BC149" w:rsidR="00203CEB" w:rsidRPr="00D72C04" w:rsidRDefault="00203CEB" w:rsidP="00203CEB">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Final</w:t>
            </w:r>
          </w:p>
        </w:tc>
        <w:tc>
          <w:tcPr>
            <w:tcW w:w="851" w:type="dxa"/>
            <w:tcBorders>
              <w:top w:val="nil"/>
              <w:left w:val="nil"/>
              <w:bottom w:val="nil"/>
              <w:right w:val="nil"/>
            </w:tcBorders>
            <w:shd w:val="clear" w:color="000000" w:fill="FFFFFF"/>
            <w:vAlign w:val="center"/>
            <w:hideMark/>
          </w:tcPr>
          <w:p w14:paraId="03AC8A41" w14:textId="168CFC45" w:rsidR="00203CEB" w:rsidRPr="00D72C04" w:rsidRDefault="00203CEB" w:rsidP="00203CEB">
            <w:pPr>
              <w:tabs>
                <w:tab w:val="clear" w:pos="7100"/>
              </w:tabs>
              <w:spacing w:line="240" w:lineRule="auto"/>
              <w:ind w:left="-70"/>
              <w:jc w:val="center"/>
              <w:rPr>
                <w:rFonts w:cs="Arial"/>
                <w:color w:val="000000"/>
                <w:szCs w:val="18"/>
                <w:lang w:val="en-US" w:eastAsia="es-PE"/>
              </w:rPr>
            </w:pPr>
            <w:r w:rsidRPr="00D72C04">
              <w:rPr>
                <w:rFonts w:cs="Arial"/>
                <w:color w:val="000000"/>
                <w:szCs w:val="18"/>
                <w:lang w:val="en-US" w:eastAsia="es-PE"/>
              </w:rPr>
              <w:t>Variation (%)</w:t>
            </w:r>
          </w:p>
        </w:tc>
      </w:tr>
      <w:tr w:rsidR="00DF52A6" w:rsidRPr="00D72C04" w14:paraId="0E3EB4DB" w14:textId="77777777" w:rsidTr="00603F78">
        <w:trPr>
          <w:trHeight w:val="300"/>
        </w:trPr>
        <w:tc>
          <w:tcPr>
            <w:tcW w:w="993" w:type="dxa"/>
            <w:vMerge w:val="restart"/>
            <w:tcBorders>
              <w:top w:val="single" w:sz="12" w:space="0" w:color="009E47"/>
              <w:left w:val="nil"/>
              <w:right w:val="nil"/>
            </w:tcBorders>
            <w:shd w:val="clear" w:color="000000" w:fill="FFFFFF"/>
            <w:vAlign w:val="center"/>
            <w:hideMark/>
          </w:tcPr>
          <w:p w14:paraId="4A75EC3C" w14:textId="77777777" w:rsidR="00203CEB" w:rsidRPr="00D72C04" w:rsidRDefault="00203CEB" w:rsidP="00203CEB">
            <w:pPr>
              <w:tabs>
                <w:tab w:val="clear" w:pos="7100"/>
              </w:tabs>
              <w:spacing w:line="240" w:lineRule="auto"/>
              <w:rPr>
                <w:rFonts w:cs="Arial"/>
                <w:szCs w:val="18"/>
                <w:lang w:val="en-US" w:eastAsia="es-PE"/>
              </w:rPr>
            </w:pPr>
            <w:r w:rsidRPr="00D72C04">
              <w:rPr>
                <w:rFonts w:cs="Arial"/>
                <w:szCs w:val="18"/>
                <w:lang w:val="en-US" w:eastAsia="es-PE"/>
              </w:rPr>
              <w:t>Total Nitrogen</w:t>
            </w:r>
          </w:p>
          <w:p w14:paraId="7FD67C5A" w14:textId="28F4A6AB" w:rsidR="00672C2C" w:rsidRPr="00D72C04" w:rsidRDefault="00203CEB" w:rsidP="00203CEB">
            <w:pPr>
              <w:tabs>
                <w:tab w:val="clear" w:pos="7100"/>
              </w:tabs>
              <w:spacing w:line="240" w:lineRule="auto"/>
              <w:rPr>
                <w:rFonts w:cs="Arial"/>
                <w:color w:val="000000"/>
                <w:szCs w:val="18"/>
                <w:lang w:val="en-US" w:eastAsia="es-PE"/>
              </w:rPr>
            </w:pPr>
            <w:r w:rsidRPr="00D72C04">
              <w:rPr>
                <w:rFonts w:cs="Arial"/>
                <w:szCs w:val="18"/>
                <w:lang w:val="en-US" w:eastAsia="es-PE"/>
              </w:rPr>
              <w:t>(mg/L)</w:t>
            </w:r>
          </w:p>
        </w:tc>
        <w:tc>
          <w:tcPr>
            <w:tcW w:w="1134" w:type="dxa"/>
            <w:tcBorders>
              <w:top w:val="single" w:sz="12" w:space="0" w:color="009E47"/>
              <w:left w:val="nil"/>
              <w:right w:val="nil"/>
            </w:tcBorders>
            <w:shd w:val="clear" w:color="000000" w:fill="FFFFFF"/>
            <w:vAlign w:val="center"/>
            <w:hideMark/>
          </w:tcPr>
          <w:p w14:paraId="626D9795" w14:textId="77777777" w:rsidR="00672C2C" w:rsidRPr="00D72C04" w:rsidRDefault="00672C2C" w:rsidP="00672C2C">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1</w:t>
            </w:r>
          </w:p>
        </w:tc>
        <w:tc>
          <w:tcPr>
            <w:tcW w:w="711" w:type="dxa"/>
            <w:tcBorders>
              <w:top w:val="single" w:sz="12" w:space="0" w:color="009E47"/>
              <w:left w:val="nil"/>
              <w:right w:val="nil"/>
            </w:tcBorders>
            <w:shd w:val="clear" w:color="000000" w:fill="FFFFFF"/>
            <w:vAlign w:val="center"/>
            <w:hideMark/>
          </w:tcPr>
          <w:p w14:paraId="215D17F5" w14:textId="77777777" w:rsidR="00672C2C" w:rsidRPr="00D72C04" w:rsidRDefault="00672C2C" w:rsidP="00672C2C">
            <w:pPr>
              <w:tabs>
                <w:tab w:val="clear" w:pos="7100"/>
              </w:tabs>
              <w:spacing w:line="240" w:lineRule="auto"/>
              <w:jc w:val="center"/>
              <w:rPr>
                <w:rFonts w:cs="Arial"/>
                <w:color w:val="000000"/>
                <w:szCs w:val="18"/>
                <w:lang w:val="en-US" w:eastAsia="es-PE"/>
              </w:rPr>
            </w:pPr>
            <w:r w:rsidRPr="00D72C04">
              <w:rPr>
                <w:rFonts w:cs="Arial"/>
                <w:szCs w:val="18"/>
                <w:lang w:val="en-US" w:eastAsia="es-PE"/>
              </w:rPr>
              <w:t>3.18</w:t>
            </w:r>
          </w:p>
        </w:tc>
        <w:tc>
          <w:tcPr>
            <w:tcW w:w="539" w:type="dxa"/>
            <w:tcBorders>
              <w:top w:val="single" w:sz="12" w:space="0" w:color="009E47"/>
              <w:left w:val="nil"/>
              <w:right w:val="nil"/>
            </w:tcBorders>
            <w:shd w:val="clear" w:color="000000" w:fill="FFFFFF"/>
            <w:vAlign w:val="center"/>
            <w:hideMark/>
          </w:tcPr>
          <w:p w14:paraId="0B6CC9E7" w14:textId="77777777" w:rsidR="00672C2C" w:rsidRPr="00D72C04" w:rsidRDefault="00672C2C" w:rsidP="00672C2C">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1.06</w:t>
            </w:r>
          </w:p>
        </w:tc>
        <w:tc>
          <w:tcPr>
            <w:tcW w:w="876" w:type="dxa"/>
            <w:tcBorders>
              <w:top w:val="single" w:sz="12" w:space="0" w:color="009E47"/>
              <w:left w:val="nil"/>
              <w:right w:val="nil"/>
            </w:tcBorders>
            <w:shd w:val="clear" w:color="000000" w:fill="FFFFFF"/>
            <w:vAlign w:val="center"/>
            <w:hideMark/>
          </w:tcPr>
          <w:p w14:paraId="678A69B9" w14:textId="77777777" w:rsidR="00672C2C" w:rsidRPr="00D72C04" w:rsidRDefault="00672C2C" w:rsidP="00672C2C">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66.67</w:t>
            </w:r>
          </w:p>
        </w:tc>
        <w:tc>
          <w:tcPr>
            <w:tcW w:w="567" w:type="dxa"/>
            <w:tcBorders>
              <w:top w:val="single" w:sz="12" w:space="0" w:color="009E47"/>
              <w:left w:val="nil"/>
              <w:right w:val="nil"/>
            </w:tcBorders>
            <w:shd w:val="clear" w:color="000000" w:fill="FFFFFF"/>
            <w:vAlign w:val="center"/>
            <w:hideMark/>
          </w:tcPr>
          <w:p w14:paraId="4406D0FF" w14:textId="77777777" w:rsidR="00672C2C" w:rsidRPr="00D72C04" w:rsidRDefault="00672C2C" w:rsidP="00672C2C">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3.18</w:t>
            </w:r>
          </w:p>
        </w:tc>
        <w:tc>
          <w:tcPr>
            <w:tcW w:w="709" w:type="dxa"/>
            <w:tcBorders>
              <w:top w:val="single" w:sz="12" w:space="0" w:color="009E47"/>
              <w:left w:val="nil"/>
              <w:right w:val="nil"/>
            </w:tcBorders>
            <w:shd w:val="clear" w:color="000000" w:fill="FFFFFF"/>
            <w:vAlign w:val="center"/>
            <w:hideMark/>
          </w:tcPr>
          <w:p w14:paraId="548CAAF7" w14:textId="77777777" w:rsidR="00672C2C" w:rsidRPr="00D72C04" w:rsidRDefault="00672C2C" w:rsidP="00672C2C">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0.298</w:t>
            </w:r>
          </w:p>
        </w:tc>
        <w:tc>
          <w:tcPr>
            <w:tcW w:w="857" w:type="dxa"/>
            <w:tcBorders>
              <w:top w:val="single" w:sz="12" w:space="0" w:color="009E47"/>
              <w:left w:val="nil"/>
              <w:right w:val="nil"/>
            </w:tcBorders>
            <w:shd w:val="clear" w:color="000000" w:fill="FFFFFF"/>
            <w:vAlign w:val="center"/>
            <w:hideMark/>
          </w:tcPr>
          <w:p w14:paraId="3387A7E3" w14:textId="77777777" w:rsidR="00672C2C" w:rsidRPr="00D72C04" w:rsidRDefault="00672C2C" w:rsidP="00672C2C">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90.63</w:t>
            </w:r>
          </w:p>
        </w:tc>
        <w:tc>
          <w:tcPr>
            <w:tcW w:w="709" w:type="dxa"/>
            <w:tcBorders>
              <w:top w:val="single" w:sz="12" w:space="0" w:color="009E47"/>
              <w:left w:val="nil"/>
              <w:right w:val="nil"/>
            </w:tcBorders>
            <w:shd w:val="clear" w:color="000000" w:fill="FFFFFF"/>
            <w:vAlign w:val="center"/>
            <w:hideMark/>
          </w:tcPr>
          <w:p w14:paraId="7640875A" w14:textId="77777777" w:rsidR="00672C2C" w:rsidRPr="00D72C04" w:rsidRDefault="00672C2C" w:rsidP="00672C2C">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3.18</w:t>
            </w:r>
          </w:p>
        </w:tc>
        <w:tc>
          <w:tcPr>
            <w:tcW w:w="708" w:type="dxa"/>
            <w:tcBorders>
              <w:top w:val="single" w:sz="12" w:space="0" w:color="009E47"/>
              <w:left w:val="nil"/>
              <w:right w:val="nil"/>
            </w:tcBorders>
            <w:shd w:val="clear" w:color="000000" w:fill="FFFFFF"/>
            <w:vAlign w:val="center"/>
            <w:hideMark/>
          </w:tcPr>
          <w:p w14:paraId="24958A5F" w14:textId="77777777" w:rsidR="00672C2C" w:rsidRPr="00D72C04" w:rsidRDefault="00672C2C" w:rsidP="00672C2C">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0.235</w:t>
            </w:r>
          </w:p>
        </w:tc>
        <w:tc>
          <w:tcPr>
            <w:tcW w:w="851" w:type="dxa"/>
            <w:tcBorders>
              <w:top w:val="single" w:sz="12" w:space="0" w:color="009E47"/>
              <w:left w:val="nil"/>
              <w:right w:val="nil"/>
            </w:tcBorders>
            <w:shd w:val="clear" w:color="000000" w:fill="FFFFFF"/>
            <w:vAlign w:val="center"/>
            <w:hideMark/>
          </w:tcPr>
          <w:p w14:paraId="17EA2FF6" w14:textId="77777777" w:rsidR="00672C2C" w:rsidRPr="00D72C04" w:rsidRDefault="00672C2C" w:rsidP="00672C2C">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92.61</w:t>
            </w:r>
          </w:p>
        </w:tc>
      </w:tr>
      <w:tr w:rsidR="00672C2C" w:rsidRPr="00D72C04" w14:paraId="584FEC32" w14:textId="77777777" w:rsidTr="00603F78">
        <w:trPr>
          <w:trHeight w:val="300"/>
        </w:trPr>
        <w:tc>
          <w:tcPr>
            <w:tcW w:w="993" w:type="dxa"/>
            <w:vMerge/>
            <w:tcBorders>
              <w:left w:val="nil"/>
              <w:right w:val="nil"/>
            </w:tcBorders>
            <w:vAlign w:val="center"/>
            <w:hideMark/>
          </w:tcPr>
          <w:p w14:paraId="16ACE9C9" w14:textId="77777777" w:rsidR="00672C2C" w:rsidRPr="00D72C04" w:rsidRDefault="00672C2C" w:rsidP="00672C2C">
            <w:pPr>
              <w:tabs>
                <w:tab w:val="clear" w:pos="7100"/>
              </w:tabs>
              <w:spacing w:line="240" w:lineRule="auto"/>
              <w:jc w:val="left"/>
              <w:rPr>
                <w:rFonts w:cs="Arial"/>
                <w:color w:val="000000"/>
                <w:szCs w:val="18"/>
                <w:lang w:val="en-US" w:eastAsia="es-PE"/>
              </w:rPr>
            </w:pPr>
          </w:p>
        </w:tc>
        <w:tc>
          <w:tcPr>
            <w:tcW w:w="1134" w:type="dxa"/>
            <w:tcBorders>
              <w:left w:val="nil"/>
              <w:right w:val="nil"/>
            </w:tcBorders>
            <w:shd w:val="clear" w:color="000000" w:fill="FFFFFF"/>
            <w:vAlign w:val="center"/>
            <w:hideMark/>
          </w:tcPr>
          <w:p w14:paraId="02918EA7" w14:textId="77777777" w:rsidR="00672C2C" w:rsidRPr="00D72C04" w:rsidRDefault="00672C2C" w:rsidP="00672C2C">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2</w:t>
            </w:r>
          </w:p>
        </w:tc>
        <w:tc>
          <w:tcPr>
            <w:tcW w:w="711" w:type="dxa"/>
            <w:tcBorders>
              <w:left w:val="nil"/>
              <w:right w:val="nil"/>
            </w:tcBorders>
            <w:shd w:val="clear" w:color="000000" w:fill="FFFFFF"/>
            <w:vAlign w:val="center"/>
            <w:hideMark/>
          </w:tcPr>
          <w:p w14:paraId="251A4CD9" w14:textId="77777777" w:rsidR="00672C2C" w:rsidRPr="00D72C04" w:rsidRDefault="00672C2C" w:rsidP="00672C2C">
            <w:pPr>
              <w:tabs>
                <w:tab w:val="clear" w:pos="7100"/>
              </w:tabs>
              <w:spacing w:line="240" w:lineRule="auto"/>
              <w:jc w:val="center"/>
              <w:rPr>
                <w:rFonts w:cs="Arial"/>
                <w:color w:val="000000"/>
                <w:szCs w:val="18"/>
                <w:lang w:val="en-US" w:eastAsia="es-PE"/>
              </w:rPr>
            </w:pPr>
            <w:r w:rsidRPr="00D72C04">
              <w:rPr>
                <w:rFonts w:cs="Arial"/>
                <w:szCs w:val="18"/>
                <w:lang w:val="en-US" w:eastAsia="es-PE"/>
              </w:rPr>
              <w:t>3.18</w:t>
            </w:r>
          </w:p>
        </w:tc>
        <w:tc>
          <w:tcPr>
            <w:tcW w:w="539" w:type="dxa"/>
            <w:tcBorders>
              <w:left w:val="nil"/>
              <w:right w:val="nil"/>
            </w:tcBorders>
            <w:shd w:val="clear" w:color="000000" w:fill="FFFFFF"/>
            <w:vAlign w:val="center"/>
            <w:hideMark/>
          </w:tcPr>
          <w:p w14:paraId="7D02F2CD" w14:textId="77777777" w:rsidR="00672C2C" w:rsidRPr="00D72C04" w:rsidRDefault="00672C2C" w:rsidP="00672C2C">
            <w:pPr>
              <w:tabs>
                <w:tab w:val="clear" w:pos="7100"/>
              </w:tabs>
              <w:spacing w:line="240" w:lineRule="auto"/>
              <w:jc w:val="center"/>
              <w:rPr>
                <w:rFonts w:cs="Arial"/>
                <w:bCs/>
                <w:color w:val="000000"/>
                <w:szCs w:val="18"/>
                <w:lang w:val="en-US" w:eastAsia="es-PE"/>
              </w:rPr>
            </w:pPr>
            <w:r w:rsidRPr="00D72C04">
              <w:rPr>
                <w:rFonts w:cs="Arial"/>
                <w:bCs/>
                <w:color w:val="000000"/>
                <w:szCs w:val="18"/>
                <w:lang w:val="en-US" w:eastAsia="es-PE"/>
              </w:rPr>
              <w:t>1.01</w:t>
            </w:r>
          </w:p>
        </w:tc>
        <w:tc>
          <w:tcPr>
            <w:tcW w:w="876" w:type="dxa"/>
            <w:tcBorders>
              <w:left w:val="nil"/>
              <w:right w:val="nil"/>
            </w:tcBorders>
            <w:shd w:val="clear" w:color="000000" w:fill="FFFFFF"/>
            <w:vAlign w:val="center"/>
            <w:hideMark/>
          </w:tcPr>
          <w:p w14:paraId="7529AEBC" w14:textId="77777777" w:rsidR="00672C2C" w:rsidRPr="00D72C04" w:rsidRDefault="00672C2C" w:rsidP="00672C2C">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68.24</w:t>
            </w:r>
          </w:p>
        </w:tc>
        <w:tc>
          <w:tcPr>
            <w:tcW w:w="567" w:type="dxa"/>
            <w:tcBorders>
              <w:left w:val="nil"/>
              <w:right w:val="nil"/>
            </w:tcBorders>
            <w:shd w:val="clear" w:color="000000" w:fill="FFFFFF"/>
            <w:vAlign w:val="center"/>
            <w:hideMark/>
          </w:tcPr>
          <w:p w14:paraId="5B2163B2" w14:textId="77777777" w:rsidR="00672C2C" w:rsidRPr="00D72C04" w:rsidRDefault="00672C2C" w:rsidP="00672C2C">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3.18</w:t>
            </w:r>
          </w:p>
        </w:tc>
        <w:tc>
          <w:tcPr>
            <w:tcW w:w="709" w:type="dxa"/>
            <w:tcBorders>
              <w:left w:val="nil"/>
              <w:right w:val="nil"/>
            </w:tcBorders>
            <w:shd w:val="clear" w:color="000000" w:fill="FFFFFF"/>
            <w:vAlign w:val="center"/>
            <w:hideMark/>
          </w:tcPr>
          <w:p w14:paraId="2AFA982E" w14:textId="77777777" w:rsidR="00672C2C" w:rsidRPr="00D72C04" w:rsidRDefault="00672C2C" w:rsidP="00672C2C">
            <w:pPr>
              <w:tabs>
                <w:tab w:val="clear" w:pos="7100"/>
              </w:tabs>
              <w:spacing w:line="240" w:lineRule="auto"/>
              <w:jc w:val="center"/>
              <w:rPr>
                <w:rFonts w:cs="Arial"/>
                <w:bCs/>
                <w:szCs w:val="18"/>
                <w:lang w:val="en-US" w:eastAsia="es-PE"/>
              </w:rPr>
            </w:pPr>
            <w:r w:rsidRPr="00D72C04">
              <w:rPr>
                <w:rFonts w:cs="Arial"/>
                <w:bCs/>
                <w:szCs w:val="18"/>
                <w:lang w:val="en-US" w:eastAsia="es-PE"/>
              </w:rPr>
              <w:t>0.295</w:t>
            </w:r>
          </w:p>
        </w:tc>
        <w:tc>
          <w:tcPr>
            <w:tcW w:w="857" w:type="dxa"/>
            <w:tcBorders>
              <w:left w:val="nil"/>
              <w:right w:val="nil"/>
            </w:tcBorders>
            <w:shd w:val="clear" w:color="000000" w:fill="FFFFFF"/>
            <w:vAlign w:val="center"/>
            <w:hideMark/>
          </w:tcPr>
          <w:p w14:paraId="6AACE17E" w14:textId="77777777" w:rsidR="00672C2C" w:rsidRPr="00D72C04" w:rsidRDefault="00672C2C" w:rsidP="00672C2C">
            <w:pPr>
              <w:tabs>
                <w:tab w:val="clear" w:pos="7100"/>
              </w:tabs>
              <w:spacing w:line="240" w:lineRule="auto"/>
              <w:jc w:val="center"/>
              <w:rPr>
                <w:rFonts w:cs="Arial"/>
                <w:szCs w:val="18"/>
                <w:lang w:val="en-US" w:eastAsia="es-PE"/>
              </w:rPr>
            </w:pPr>
            <w:r w:rsidRPr="00D72C04">
              <w:rPr>
                <w:rFonts w:cs="Arial"/>
                <w:szCs w:val="18"/>
                <w:lang w:val="en-US" w:eastAsia="es-PE"/>
              </w:rPr>
              <w:t>90.72</w:t>
            </w:r>
          </w:p>
        </w:tc>
        <w:tc>
          <w:tcPr>
            <w:tcW w:w="709" w:type="dxa"/>
            <w:tcBorders>
              <w:left w:val="nil"/>
              <w:right w:val="nil"/>
            </w:tcBorders>
            <w:shd w:val="clear" w:color="000000" w:fill="FFFFFF"/>
            <w:vAlign w:val="center"/>
            <w:hideMark/>
          </w:tcPr>
          <w:p w14:paraId="0553953D" w14:textId="77777777" w:rsidR="00672C2C" w:rsidRPr="00D72C04" w:rsidRDefault="00672C2C" w:rsidP="00672C2C">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3.18</w:t>
            </w:r>
          </w:p>
        </w:tc>
        <w:tc>
          <w:tcPr>
            <w:tcW w:w="708" w:type="dxa"/>
            <w:tcBorders>
              <w:left w:val="nil"/>
              <w:right w:val="nil"/>
            </w:tcBorders>
            <w:shd w:val="clear" w:color="000000" w:fill="FFFFFF"/>
            <w:vAlign w:val="center"/>
            <w:hideMark/>
          </w:tcPr>
          <w:p w14:paraId="7290FF4D" w14:textId="77777777" w:rsidR="00672C2C" w:rsidRPr="00D72C04" w:rsidRDefault="00672C2C" w:rsidP="00672C2C">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0.233</w:t>
            </w:r>
          </w:p>
        </w:tc>
        <w:tc>
          <w:tcPr>
            <w:tcW w:w="851" w:type="dxa"/>
            <w:tcBorders>
              <w:left w:val="nil"/>
              <w:right w:val="nil"/>
            </w:tcBorders>
            <w:shd w:val="clear" w:color="000000" w:fill="FFFFFF"/>
            <w:vAlign w:val="center"/>
            <w:hideMark/>
          </w:tcPr>
          <w:p w14:paraId="3F9F2B61" w14:textId="77777777" w:rsidR="00672C2C" w:rsidRPr="00D72C04" w:rsidRDefault="00672C2C" w:rsidP="00672C2C">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92.67</w:t>
            </w:r>
          </w:p>
        </w:tc>
      </w:tr>
      <w:tr w:rsidR="00603F78" w:rsidRPr="00D72C04" w14:paraId="64F1A74D" w14:textId="77777777" w:rsidTr="00603F78">
        <w:trPr>
          <w:trHeight w:val="300"/>
        </w:trPr>
        <w:tc>
          <w:tcPr>
            <w:tcW w:w="993" w:type="dxa"/>
            <w:vMerge/>
            <w:tcBorders>
              <w:left w:val="nil"/>
              <w:bottom w:val="single" w:sz="12" w:space="0" w:color="009E47"/>
              <w:right w:val="nil"/>
            </w:tcBorders>
            <w:vAlign w:val="center"/>
            <w:hideMark/>
          </w:tcPr>
          <w:p w14:paraId="0D2530B4" w14:textId="77777777" w:rsidR="00672C2C" w:rsidRPr="00D72C04" w:rsidRDefault="00672C2C" w:rsidP="00672C2C">
            <w:pPr>
              <w:tabs>
                <w:tab w:val="clear" w:pos="7100"/>
              </w:tabs>
              <w:spacing w:line="240" w:lineRule="auto"/>
              <w:jc w:val="left"/>
              <w:rPr>
                <w:rFonts w:cs="Arial"/>
                <w:color w:val="000000"/>
                <w:szCs w:val="18"/>
                <w:lang w:val="en-US" w:eastAsia="es-PE"/>
              </w:rPr>
            </w:pPr>
          </w:p>
        </w:tc>
        <w:tc>
          <w:tcPr>
            <w:tcW w:w="1134" w:type="dxa"/>
            <w:tcBorders>
              <w:left w:val="nil"/>
              <w:bottom w:val="single" w:sz="12" w:space="0" w:color="009E47"/>
              <w:right w:val="nil"/>
            </w:tcBorders>
            <w:shd w:val="clear" w:color="000000" w:fill="FFFFFF"/>
            <w:hideMark/>
          </w:tcPr>
          <w:p w14:paraId="66CA2A80" w14:textId="77777777" w:rsidR="00672C2C" w:rsidRPr="00D72C04" w:rsidRDefault="00672C2C" w:rsidP="00672C2C">
            <w:pPr>
              <w:tabs>
                <w:tab w:val="clear" w:pos="7100"/>
              </w:tabs>
              <w:spacing w:line="240" w:lineRule="auto"/>
              <w:jc w:val="center"/>
              <w:rPr>
                <w:rFonts w:ascii="Calibri" w:hAnsi="Calibri" w:cs="Calibri"/>
                <w:color w:val="000000"/>
                <w:sz w:val="22"/>
                <w:szCs w:val="22"/>
                <w:lang w:val="en-US" w:eastAsia="es-PE"/>
              </w:rPr>
            </w:pPr>
            <w:r w:rsidRPr="00D72C04">
              <w:rPr>
                <w:rFonts w:ascii="Calibri" w:hAnsi="Calibri" w:cs="Calibri"/>
                <w:color w:val="000000"/>
                <w:sz w:val="22"/>
                <w:szCs w:val="22"/>
                <w:lang w:val="en-US" w:eastAsia="es-PE"/>
              </w:rPr>
              <w:t>3</w:t>
            </w:r>
          </w:p>
        </w:tc>
        <w:tc>
          <w:tcPr>
            <w:tcW w:w="711" w:type="dxa"/>
            <w:tcBorders>
              <w:left w:val="nil"/>
              <w:bottom w:val="single" w:sz="12" w:space="0" w:color="009E47"/>
              <w:right w:val="nil"/>
            </w:tcBorders>
            <w:shd w:val="clear" w:color="000000" w:fill="FFFFFF"/>
            <w:vAlign w:val="center"/>
            <w:hideMark/>
          </w:tcPr>
          <w:p w14:paraId="74CD6AC8" w14:textId="77777777" w:rsidR="00672C2C" w:rsidRPr="00D72C04" w:rsidRDefault="00672C2C" w:rsidP="00672C2C">
            <w:pPr>
              <w:tabs>
                <w:tab w:val="clear" w:pos="7100"/>
              </w:tabs>
              <w:spacing w:line="240" w:lineRule="auto"/>
              <w:jc w:val="center"/>
              <w:rPr>
                <w:rFonts w:cs="Arial"/>
                <w:color w:val="000000"/>
                <w:szCs w:val="18"/>
                <w:lang w:val="en-US" w:eastAsia="es-PE"/>
              </w:rPr>
            </w:pPr>
            <w:r w:rsidRPr="00D72C04">
              <w:rPr>
                <w:rFonts w:cs="Arial"/>
                <w:szCs w:val="18"/>
                <w:lang w:val="en-US" w:eastAsia="es-PE"/>
              </w:rPr>
              <w:t>3.18</w:t>
            </w:r>
          </w:p>
        </w:tc>
        <w:tc>
          <w:tcPr>
            <w:tcW w:w="539" w:type="dxa"/>
            <w:tcBorders>
              <w:left w:val="nil"/>
              <w:bottom w:val="single" w:sz="12" w:space="0" w:color="009E47"/>
              <w:right w:val="nil"/>
            </w:tcBorders>
            <w:shd w:val="clear" w:color="000000" w:fill="FFFFFF"/>
            <w:vAlign w:val="center"/>
            <w:hideMark/>
          </w:tcPr>
          <w:p w14:paraId="07866548" w14:textId="77777777" w:rsidR="00672C2C" w:rsidRPr="00D72C04" w:rsidRDefault="00672C2C" w:rsidP="00672C2C">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1.03</w:t>
            </w:r>
          </w:p>
        </w:tc>
        <w:tc>
          <w:tcPr>
            <w:tcW w:w="876" w:type="dxa"/>
            <w:tcBorders>
              <w:left w:val="nil"/>
              <w:bottom w:val="single" w:sz="12" w:space="0" w:color="009E47"/>
              <w:right w:val="nil"/>
            </w:tcBorders>
            <w:shd w:val="clear" w:color="000000" w:fill="FFFFFF"/>
            <w:vAlign w:val="center"/>
            <w:hideMark/>
          </w:tcPr>
          <w:p w14:paraId="49E840EA" w14:textId="77777777" w:rsidR="00672C2C" w:rsidRPr="00D72C04" w:rsidRDefault="00672C2C" w:rsidP="00672C2C">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67.61</w:t>
            </w:r>
          </w:p>
        </w:tc>
        <w:tc>
          <w:tcPr>
            <w:tcW w:w="567" w:type="dxa"/>
            <w:tcBorders>
              <w:left w:val="nil"/>
              <w:bottom w:val="single" w:sz="12" w:space="0" w:color="009E47"/>
              <w:right w:val="nil"/>
            </w:tcBorders>
            <w:shd w:val="clear" w:color="000000" w:fill="FFFFFF"/>
            <w:vAlign w:val="center"/>
            <w:hideMark/>
          </w:tcPr>
          <w:p w14:paraId="6E0F2EF7" w14:textId="77777777" w:rsidR="00672C2C" w:rsidRPr="00D72C04" w:rsidRDefault="00672C2C" w:rsidP="00672C2C">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3.18</w:t>
            </w:r>
          </w:p>
        </w:tc>
        <w:tc>
          <w:tcPr>
            <w:tcW w:w="709" w:type="dxa"/>
            <w:tcBorders>
              <w:left w:val="nil"/>
              <w:bottom w:val="single" w:sz="12" w:space="0" w:color="009E47"/>
              <w:right w:val="nil"/>
            </w:tcBorders>
            <w:shd w:val="clear" w:color="000000" w:fill="FFFFFF"/>
            <w:vAlign w:val="center"/>
            <w:hideMark/>
          </w:tcPr>
          <w:p w14:paraId="5789B164" w14:textId="77777777" w:rsidR="00672C2C" w:rsidRPr="00D72C04" w:rsidRDefault="00672C2C" w:rsidP="00672C2C">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0.295</w:t>
            </w:r>
          </w:p>
        </w:tc>
        <w:tc>
          <w:tcPr>
            <w:tcW w:w="857" w:type="dxa"/>
            <w:tcBorders>
              <w:left w:val="nil"/>
              <w:bottom w:val="single" w:sz="12" w:space="0" w:color="009E47"/>
              <w:right w:val="nil"/>
            </w:tcBorders>
            <w:shd w:val="clear" w:color="000000" w:fill="FFFFFF"/>
            <w:vAlign w:val="center"/>
            <w:hideMark/>
          </w:tcPr>
          <w:p w14:paraId="58672650" w14:textId="77777777" w:rsidR="00672C2C" w:rsidRPr="00D72C04" w:rsidRDefault="00672C2C" w:rsidP="00672C2C">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90.72</w:t>
            </w:r>
          </w:p>
        </w:tc>
        <w:tc>
          <w:tcPr>
            <w:tcW w:w="709" w:type="dxa"/>
            <w:tcBorders>
              <w:left w:val="nil"/>
              <w:bottom w:val="single" w:sz="12" w:space="0" w:color="009E47"/>
              <w:right w:val="nil"/>
            </w:tcBorders>
            <w:shd w:val="clear" w:color="000000" w:fill="FFFFFF"/>
            <w:vAlign w:val="center"/>
            <w:hideMark/>
          </w:tcPr>
          <w:p w14:paraId="0835B4DD" w14:textId="77777777" w:rsidR="00672C2C" w:rsidRPr="00D72C04" w:rsidRDefault="00672C2C" w:rsidP="00672C2C">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3.18</w:t>
            </w:r>
          </w:p>
        </w:tc>
        <w:tc>
          <w:tcPr>
            <w:tcW w:w="708" w:type="dxa"/>
            <w:tcBorders>
              <w:left w:val="nil"/>
              <w:bottom w:val="single" w:sz="12" w:space="0" w:color="009E47"/>
              <w:right w:val="nil"/>
            </w:tcBorders>
            <w:shd w:val="clear" w:color="000000" w:fill="FFFFFF"/>
            <w:vAlign w:val="center"/>
            <w:hideMark/>
          </w:tcPr>
          <w:p w14:paraId="0F68480C" w14:textId="77777777" w:rsidR="00672C2C" w:rsidRPr="00D72C04" w:rsidRDefault="00672C2C" w:rsidP="00672C2C">
            <w:pPr>
              <w:tabs>
                <w:tab w:val="clear" w:pos="7100"/>
              </w:tabs>
              <w:spacing w:line="240" w:lineRule="auto"/>
              <w:jc w:val="center"/>
              <w:rPr>
                <w:rFonts w:cs="Arial"/>
                <w:bCs/>
                <w:szCs w:val="18"/>
                <w:lang w:val="en-US" w:eastAsia="es-PE"/>
              </w:rPr>
            </w:pPr>
            <w:r w:rsidRPr="00D72C04">
              <w:rPr>
                <w:rFonts w:cs="Arial"/>
                <w:bCs/>
                <w:szCs w:val="18"/>
                <w:lang w:val="en-US" w:eastAsia="es-PE"/>
              </w:rPr>
              <w:t>0.229</w:t>
            </w:r>
          </w:p>
        </w:tc>
        <w:tc>
          <w:tcPr>
            <w:tcW w:w="851" w:type="dxa"/>
            <w:tcBorders>
              <w:left w:val="nil"/>
              <w:bottom w:val="single" w:sz="12" w:space="0" w:color="009E47"/>
              <w:right w:val="nil"/>
            </w:tcBorders>
            <w:shd w:val="clear" w:color="000000" w:fill="FFFFFF"/>
            <w:vAlign w:val="center"/>
            <w:hideMark/>
          </w:tcPr>
          <w:p w14:paraId="2EA0ABF5" w14:textId="77777777" w:rsidR="00672C2C" w:rsidRPr="00D72C04" w:rsidRDefault="00672C2C" w:rsidP="00672C2C">
            <w:pPr>
              <w:tabs>
                <w:tab w:val="clear" w:pos="7100"/>
              </w:tabs>
              <w:spacing w:line="240" w:lineRule="auto"/>
              <w:jc w:val="center"/>
              <w:rPr>
                <w:rFonts w:cs="Arial"/>
                <w:szCs w:val="18"/>
                <w:lang w:val="en-US" w:eastAsia="es-PE"/>
              </w:rPr>
            </w:pPr>
            <w:r w:rsidRPr="00D72C04">
              <w:rPr>
                <w:rFonts w:cs="Arial"/>
                <w:szCs w:val="18"/>
                <w:lang w:val="en-US" w:eastAsia="es-PE"/>
              </w:rPr>
              <w:t>92.80</w:t>
            </w:r>
          </w:p>
        </w:tc>
      </w:tr>
    </w:tbl>
    <w:p w14:paraId="5DE41DEB" w14:textId="51E368D8" w:rsidR="00203CEB" w:rsidRPr="004B3E34" w:rsidRDefault="00203CEB" w:rsidP="00F52641">
      <w:pPr>
        <w:pStyle w:val="CETheadingx"/>
        <w:rPr>
          <w:b w:val="0"/>
          <w:lang w:val="en-US"/>
        </w:rPr>
      </w:pPr>
      <w:r w:rsidRPr="00D72C04">
        <w:rPr>
          <w:rStyle w:val="rynqvb"/>
          <w:lang w:val="en-US"/>
        </w:rPr>
        <w:t xml:space="preserve">Other parameters: </w:t>
      </w:r>
      <w:r w:rsidRPr="00D72C04">
        <w:rPr>
          <w:rStyle w:val="rynqvb"/>
          <w:b w:val="0"/>
          <w:lang w:val="en-US"/>
        </w:rPr>
        <w:t>Presented in Table 7 the values found for temperature, pH and electrical conductivity for the treatment of the three samples.</w:t>
      </w:r>
      <w:r w:rsidRPr="00D72C04">
        <w:rPr>
          <w:rStyle w:val="hwtze"/>
          <w:b w:val="0"/>
          <w:lang w:val="en-US"/>
        </w:rPr>
        <w:t xml:space="preserve"> </w:t>
      </w:r>
      <w:r w:rsidRPr="00D72C04">
        <w:rPr>
          <w:rStyle w:val="rynqvb"/>
          <w:b w:val="0"/>
          <w:lang w:val="en-US"/>
        </w:rPr>
        <w:t xml:space="preserve">It is found that the temperature did not suffer significant variation, as for the pH, it remains around the neutral and the electrical conductivity presents an increase due to the fact that the carbon nanotubes show a high electrical potential, a micro and macroscopic structure and various functional chemical </w:t>
      </w:r>
      <w:r w:rsidRPr="004B3E34">
        <w:rPr>
          <w:rStyle w:val="rynqvb"/>
          <w:b w:val="0"/>
          <w:lang w:val="en-US"/>
        </w:rPr>
        <w:t xml:space="preserve">groups </w:t>
      </w:r>
      <w:r w:rsidR="00343259" w:rsidRPr="004B3E34">
        <w:rPr>
          <w:rStyle w:val="rynqvb"/>
          <w:b w:val="0"/>
          <w:lang w:val="en-US"/>
        </w:rPr>
        <w:t>(</w:t>
      </w:r>
      <w:bookmarkStart w:id="17" w:name="_Hlk131932287"/>
      <w:r w:rsidR="00343259" w:rsidRPr="004B3E34">
        <w:rPr>
          <w:rStyle w:val="hwtze"/>
          <w:b w:val="0"/>
          <w:lang w:val="en-US"/>
        </w:rPr>
        <w:t>Li</w:t>
      </w:r>
      <w:r w:rsidRPr="004B3E34">
        <w:rPr>
          <w:rStyle w:val="rynqvb"/>
          <w:b w:val="0"/>
          <w:lang w:val="en-US"/>
        </w:rPr>
        <w:t>, C., Yang, J., Zhang, L. et al, 2021</w:t>
      </w:r>
      <w:bookmarkEnd w:id="17"/>
      <w:r w:rsidRPr="004B3E34">
        <w:rPr>
          <w:rStyle w:val="rynqvb"/>
          <w:b w:val="0"/>
          <w:lang w:val="en-US"/>
        </w:rPr>
        <w:t>).</w:t>
      </w:r>
    </w:p>
    <w:p w14:paraId="60C92B81" w14:textId="36256201" w:rsidR="00437DDA" w:rsidRPr="00D72C04" w:rsidRDefault="00C907ED" w:rsidP="00437DDA">
      <w:pPr>
        <w:pStyle w:val="CETTabletitle"/>
        <w:spacing w:line="240" w:lineRule="auto"/>
        <w:rPr>
          <w:lang w:val="en-US"/>
        </w:rPr>
      </w:pPr>
      <w:r w:rsidRPr="004B3E34">
        <w:rPr>
          <w:lang w:val="en-US"/>
        </w:rPr>
        <w:t xml:space="preserve">Table 7: Other physicochemical parameters before and after </w:t>
      </w:r>
      <w:r w:rsidRPr="00D72C04">
        <w:rPr>
          <w:lang w:val="en-US"/>
        </w:rPr>
        <w:t>treatment with NTC</w:t>
      </w:r>
    </w:p>
    <w:tbl>
      <w:tblPr>
        <w:tblW w:w="7796" w:type="dxa"/>
        <w:tblLayout w:type="fixed"/>
        <w:tblCellMar>
          <w:left w:w="70" w:type="dxa"/>
          <w:right w:w="70" w:type="dxa"/>
        </w:tblCellMar>
        <w:tblLook w:val="04A0" w:firstRow="1" w:lastRow="0" w:firstColumn="1" w:lastColumn="0" w:noHBand="0" w:noVBand="1"/>
      </w:tblPr>
      <w:tblGrid>
        <w:gridCol w:w="2127"/>
        <w:gridCol w:w="850"/>
        <w:gridCol w:w="851"/>
        <w:gridCol w:w="1134"/>
        <w:gridCol w:w="567"/>
        <w:gridCol w:w="709"/>
        <w:gridCol w:w="141"/>
        <w:gridCol w:w="663"/>
        <w:gridCol w:w="708"/>
        <w:gridCol w:w="46"/>
      </w:tblGrid>
      <w:tr w:rsidR="00C907ED" w:rsidRPr="00D72C04" w14:paraId="4C3436B5" w14:textId="77777777" w:rsidTr="00C907ED">
        <w:trPr>
          <w:trHeight w:val="330"/>
        </w:trPr>
        <w:tc>
          <w:tcPr>
            <w:tcW w:w="2127" w:type="dxa"/>
            <w:vMerge w:val="restart"/>
            <w:tcBorders>
              <w:top w:val="single" w:sz="12" w:space="0" w:color="008000"/>
              <w:left w:val="nil"/>
              <w:bottom w:val="nil"/>
              <w:right w:val="nil"/>
            </w:tcBorders>
            <w:shd w:val="clear" w:color="000000" w:fill="FFFFFF"/>
            <w:vAlign w:val="center"/>
            <w:hideMark/>
          </w:tcPr>
          <w:p w14:paraId="2096E5AE" w14:textId="77777777" w:rsidR="00C907ED" w:rsidRPr="00D72C04" w:rsidRDefault="00C907ED" w:rsidP="00CC41B7">
            <w:pPr>
              <w:tabs>
                <w:tab w:val="clear" w:pos="7100"/>
              </w:tabs>
              <w:spacing w:line="240" w:lineRule="auto"/>
              <w:jc w:val="center"/>
              <w:rPr>
                <w:rFonts w:cs="Arial"/>
                <w:color w:val="000000"/>
                <w:szCs w:val="18"/>
                <w:lang w:val="en-US" w:eastAsia="es-PE"/>
              </w:rPr>
            </w:pPr>
            <w:r w:rsidRPr="00D72C04">
              <w:rPr>
                <w:rFonts w:cs="Arial"/>
                <w:bCs/>
                <w:szCs w:val="18"/>
                <w:lang w:val="en-US" w:eastAsia="es-PE"/>
              </w:rPr>
              <w:t>Parameter</w:t>
            </w:r>
          </w:p>
        </w:tc>
        <w:tc>
          <w:tcPr>
            <w:tcW w:w="850" w:type="dxa"/>
            <w:vMerge w:val="restart"/>
            <w:tcBorders>
              <w:top w:val="single" w:sz="12" w:space="0" w:color="008000"/>
              <w:left w:val="nil"/>
              <w:bottom w:val="single" w:sz="4" w:space="0" w:color="000000"/>
              <w:right w:val="nil"/>
            </w:tcBorders>
            <w:shd w:val="clear" w:color="000000" w:fill="FFFFFF"/>
            <w:vAlign w:val="center"/>
            <w:hideMark/>
          </w:tcPr>
          <w:p w14:paraId="57F61AAD" w14:textId="77777777" w:rsidR="00C907ED" w:rsidRPr="00D72C04" w:rsidRDefault="00C907ED" w:rsidP="00CC41B7">
            <w:pPr>
              <w:tabs>
                <w:tab w:val="clear" w:pos="7100"/>
              </w:tabs>
              <w:spacing w:line="240" w:lineRule="auto"/>
              <w:jc w:val="center"/>
              <w:rPr>
                <w:rFonts w:cs="Arial"/>
                <w:color w:val="000000"/>
                <w:szCs w:val="18"/>
                <w:lang w:val="en-US" w:eastAsia="es-PE"/>
              </w:rPr>
            </w:pPr>
            <w:r w:rsidRPr="00D72C04">
              <w:rPr>
                <w:rFonts w:cs="Arial"/>
                <w:bCs/>
                <w:color w:val="000000"/>
                <w:szCs w:val="18"/>
                <w:lang w:val="en-US" w:eastAsia="es-PE"/>
              </w:rPr>
              <w:t>Sample number</w:t>
            </w:r>
          </w:p>
        </w:tc>
        <w:tc>
          <w:tcPr>
            <w:tcW w:w="1985" w:type="dxa"/>
            <w:gridSpan w:val="2"/>
            <w:tcBorders>
              <w:top w:val="single" w:sz="12" w:space="0" w:color="009E47"/>
              <w:left w:val="nil"/>
              <w:bottom w:val="single" w:sz="8" w:space="0" w:color="009E47"/>
              <w:right w:val="nil"/>
            </w:tcBorders>
            <w:shd w:val="clear" w:color="000000" w:fill="FFFFFF"/>
            <w:vAlign w:val="center"/>
          </w:tcPr>
          <w:p w14:paraId="1642AD10" w14:textId="77777777" w:rsidR="00C907ED" w:rsidRPr="00D72C04" w:rsidRDefault="00C907ED" w:rsidP="00C907ED">
            <w:pPr>
              <w:spacing w:line="240" w:lineRule="auto"/>
              <w:jc w:val="center"/>
              <w:rPr>
                <w:rFonts w:cs="Arial"/>
                <w:color w:val="000000"/>
                <w:szCs w:val="18"/>
                <w:lang w:val="en-US" w:eastAsia="es-PE"/>
              </w:rPr>
            </w:pPr>
            <w:r w:rsidRPr="00D72C04">
              <w:rPr>
                <w:rFonts w:cs="Arial"/>
                <w:color w:val="000000"/>
                <w:szCs w:val="18"/>
                <w:lang w:val="en-US" w:eastAsia="es-PE"/>
              </w:rPr>
              <w:t xml:space="preserve">Treatment with </w:t>
            </w:r>
          </w:p>
          <w:p w14:paraId="4AC0E352" w14:textId="16F6040D" w:rsidR="00C907ED" w:rsidRPr="00D72C04" w:rsidRDefault="00C907ED" w:rsidP="00C907ED">
            <w:pPr>
              <w:spacing w:line="240" w:lineRule="auto"/>
              <w:jc w:val="center"/>
              <w:rPr>
                <w:rFonts w:cs="Arial"/>
                <w:szCs w:val="18"/>
                <w:lang w:val="en-US" w:eastAsia="es-PE"/>
              </w:rPr>
            </w:pPr>
            <w:r w:rsidRPr="00D72C04">
              <w:rPr>
                <w:rFonts w:cs="Arial"/>
                <w:color w:val="000000"/>
                <w:szCs w:val="18"/>
                <w:lang w:val="en-US" w:eastAsia="es-PE"/>
              </w:rPr>
              <w:t>50 g</w:t>
            </w:r>
          </w:p>
        </w:tc>
        <w:tc>
          <w:tcPr>
            <w:tcW w:w="1417" w:type="dxa"/>
            <w:gridSpan w:val="3"/>
            <w:tcBorders>
              <w:top w:val="single" w:sz="12" w:space="0" w:color="009E47"/>
              <w:left w:val="nil"/>
              <w:bottom w:val="single" w:sz="8" w:space="0" w:color="009E47"/>
              <w:right w:val="nil"/>
            </w:tcBorders>
            <w:shd w:val="clear" w:color="000000" w:fill="FFFFFF"/>
            <w:vAlign w:val="center"/>
          </w:tcPr>
          <w:p w14:paraId="770613E7" w14:textId="66999008" w:rsidR="00C907ED" w:rsidRPr="00D72C04" w:rsidRDefault="00C907ED" w:rsidP="00E04C81">
            <w:pPr>
              <w:spacing w:line="240" w:lineRule="auto"/>
              <w:ind w:left="-212"/>
              <w:jc w:val="center"/>
              <w:rPr>
                <w:rFonts w:cs="Arial"/>
                <w:szCs w:val="18"/>
                <w:lang w:val="en-US" w:eastAsia="es-PE"/>
              </w:rPr>
            </w:pPr>
            <w:r w:rsidRPr="00D72C04">
              <w:rPr>
                <w:rFonts w:cs="Arial"/>
                <w:szCs w:val="18"/>
                <w:lang w:val="en-US" w:eastAsia="es-PE"/>
              </w:rPr>
              <w:t xml:space="preserve"> Treatment with </w:t>
            </w:r>
          </w:p>
          <w:p w14:paraId="64DD9F46" w14:textId="073BBA67" w:rsidR="00C907ED" w:rsidRPr="00D72C04" w:rsidRDefault="00E04C81" w:rsidP="00C907ED">
            <w:pPr>
              <w:spacing w:line="240" w:lineRule="auto"/>
              <w:ind w:left="-353" w:hanging="142"/>
              <w:jc w:val="center"/>
              <w:rPr>
                <w:rFonts w:cs="Arial"/>
                <w:szCs w:val="18"/>
                <w:lang w:val="en-US" w:eastAsia="es-PE"/>
              </w:rPr>
            </w:pPr>
            <w:r w:rsidRPr="00D72C04">
              <w:rPr>
                <w:rFonts w:cs="Arial"/>
                <w:szCs w:val="18"/>
                <w:lang w:val="en-US" w:eastAsia="es-PE"/>
              </w:rPr>
              <w:t xml:space="preserve">      </w:t>
            </w:r>
            <w:r w:rsidR="00C907ED" w:rsidRPr="00D72C04">
              <w:rPr>
                <w:rFonts w:cs="Arial"/>
                <w:szCs w:val="18"/>
                <w:lang w:val="en-US" w:eastAsia="es-PE"/>
              </w:rPr>
              <w:t>100 g</w:t>
            </w:r>
          </w:p>
        </w:tc>
        <w:tc>
          <w:tcPr>
            <w:tcW w:w="1417" w:type="dxa"/>
            <w:gridSpan w:val="3"/>
            <w:tcBorders>
              <w:top w:val="single" w:sz="12" w:space="0" w:color="009E47"/>
              <w:left w:val="nil"/>
              <w:bottom w:val="single" w:sz="8" w:space="0" w:color="009E47"/>
              <w:right w:val="nil"/>
            </w:tcBorders>
            <w:shd w:val="clear" w:color="000000" w:fill="FFFFFF"/>
            <w:vAlign w:val="center"/>
          </w:tcPr>
          <w:p w14:paraId="26E90741" w14:textId="77777777" w:rsidR="00C907ED" w:rsidRPr="00D72C04" w:rsidRDefault="00C907ED" w:rsidP="00C907ED">
            <w:pPr>
              <w:spacing w:line="240" w:lineRule="auto"/>
              <w:rPr>
                <w:rFonts w:cs="Arial"/>
                <w:szCs w:val="18"/>
                <w:lang w:val="en-US" w:eastAsia="es-PE"/>
              </w:rPr>
            </w:pPr>
            <w:r w:rsidRPr="00D72C04">
              <w:rPr>
                <w:rFonts w:cs="Arial"/>
                <w:szCs w:val="18"/>
                <w:lang w:val="en-US" w:eastAsia="es-PE"/>
              </w:rPr>
              <w:t>Treatment with</w:t>
            </w:r>
          </w:p>
          <w:p w14:paraId="64942100" w14:textId="1BC1A4FA" w:rsidR="00C907ED" w:rsidRPr="00D72C04" w:rsidRDefault="00C907ED" w:rsidP="00C907ED">
            <w:pPr>
              <w:spacing w:line="240" w:lineRule="auto"/>
              <w:jc w:val="center"/>
              <w:rPr>
                <w:rFonts w:cs="Arial"/>
                <w:szCs w:val="18"/>
                <w:lang w:val="en-US" w:eastAsia="es-PE"/>
              </w:rPr>
            </w:pPr>
            <w:r w:rsidRPr="00D72C04">
              <w:rPr>
                <w:rFonts w:cs="Arial"/>
                <w:szCs w:val="18"/>
                <w:lang w:val="en-US" w:eastAsia="es-PE"/>
              </w:rPr>
              <w:t>150 g</w:t>
            </w:r>
          </w:p>
        </w:tc>
      </w:tr>
      <w:tr w:rsidR="00C907ED" w:rsidRPr="00D72C04" w14:paraId="62643D12" w14:textId="77777777" w:rsidTr="00C907ED">
        <w:trPr>
          <w:gridAfter w:val="1"/>
          <w:wAfter w:w="46" w:type="dxa"/>
          <w:trHeight w:val="300"/>
        </w:trPr>
        <w:tc>
          <w:tcPr>
            <w:tcW w:w="2127" w:type="dxa"/>
            <w:vMerge/>
            <w:tcBorders>
              <w:left w:val="nil"/>
              <w:bottom w:val="single" w:sz="12" w:space="0" w:color="009E47"/>
              <w:right w:val="nil"/>
            </w:tcBorders>
            <w:vAlign w:val="center"/>
            <w:hideMark/>
          </w:tcPr>
          <w:p w14:paraId="0A239041" w14:textId="77777777" w:rsidR="00C907ED" w:rsidRPr="00D72C04" w:rsidRDefault="00C907ED" w:rsidP="00CC41B7">
            <w:pPr>
              <w:tabs>
                <w:tab w:val="clear" w:pos="7100"/>
              </w:tabs>
              <w:spacing w:line="240" w:lineRule="auto"/>
              <w:jc w:val="left"/>
              <w:rPr>
                <w:rFonts w:cs="Arial"/>
                <w:color w:val="000000"/>
                <w:szCs w:val="18"/>
                <w:lang w:val="en-US" w:eastAsia="es-PE"/>
              </w:rPr>
            </w:pPr>
          </w:p>
        </w:tc>
        <w:tc>
          <w:tcPr>
            <w:tcW w:w="850" w:type="dxa"/>
            <w:vMerge/>
            <w:tcBorders>
              <w:left w:val="nil"/>
              <w:bottom w:val="single" w:sz="12" w:space="0" w:color="009E47"/>
              <w:right w:val="nil"/>
            </w:tcBorders>
            <w:vAlign w:val="center"/>
            <w:hideMark/>
          </w:tcPr>
          <w:p w14:paraId="1161C091" w14:textId="77777777" w:rsidR="00C907ED" w:rsidRPr="00D72C04" w:rsidRDefault="00C907ED" w:rsidP="00CC41B7">
            <w:pPr>
              <w:tabs>
                <w:tab w:val="clear" w:pos="7100"/>
              </w:tabs>
              <w:spacing w:line="240" w:lineRule="auto"/>
              <w:jc w:val="left"/>
              <w:rPr>
                <w:rFonts w:cs="Arial"/>
                <w:color w:val="000000"/>
                <w:szCs w:val="18"/>
                <w:lang w:val="en-US" w:eastAsia="es-PE"/>
              </w:rPr>
            </w:pPr>
          </w:p>
        </w:tc>
        <w:tc>
          <w:tcPr>
            <w:tcW w:w="851" w:type="dxa"/>
            <w:tcBorders>
              <w:top w:val="nil"/>
              <w:left w:val="nil"/>
              <w:bottom w:val="nil"/>
              <w:right w:val="nil"/>
            </w:tcBorders>
            <w:shd w:val="clear" w:color="000000" w:fill="FFFFFF"/>
            <w:vAlign w:val="center"/>
            <w:hideMark/>
          </w:tcPr>
          <w:p w14:paraId="6E2541EE" w14:textId="77777777" w:rsidR="00C907ED" w:rsidRPr="00D72C04" w:rsidRDefault="00C907ED" w:rsidP="00CC41B7">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Initial</w:t>
            </w:r>
          </w:p>
        </w:tc>
        <w:tc>
          <w:tcPr>
            <w:tcW w:w="1134" w:type="dxa"/>
            <w:tcBorders>
              <w:top w:val="nil"/>
              <w:left w:val="nil"/>
              <w:bottom w:val="nil"/>
              <w:right w:val="nil"/>
            </w:tcBorders>
            <w:shd w:val="clear" w:color="000000" w:fill="FFFFFF"/>
            <w:vAlign w:val="center"/>
            <w:hideMark/>
          </w:tcPr>
          <w:p w14:paraId="265F3DB3" w14:textId="77777777" w:rsidR="00C907ED" w:rsidRPr="00D72C04" w:rsidRDefault="00C907ED" w:rsidP="00CC41B7">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Final</w:t>
            </w:r>
          </w:p>
        </w:tc>
        <w:tc>
          <w:tcPr>
            <w:tcW w:w="567" w:type="dxa"/>
            <w:tcBorders>
              <w:top w:val="nil"/>
              <w:left w:val="nil"/>
              <w:bottom w:val="nil"/>
              <w:right w:val="nil"/>
            </w:tcBorders>
            <w:shd w:val="clear" w:color="000000" w:fill="FFFFFF"/>
            <w:vAlign w:val="center"/>
            <w:hideMark/>
          </w:tcPr>
          <w:p w14:paraId="4DD30FA2" w14:textId="77777777" w:rsidR="00C907ED" w:rsidRPr="00D72C04" w:rsidRDefault="00C907ED" w:rsidP="00CC41B7">
            <w:pPr>
              <w:tabs>
                <w:tab w:val="clear" w:pos="7100"/>
              </w:tabs>
              <w:spacing w:line="240" w:lineRule="auto"/>
              <w:ind w:left="-67"/>
              <w:jc w:val="center"/>
              <w:rPr>
                <w:rFonts w:cs="Arial"/>
                <w:color w:val="000000"/>
                <w:szCs w:val="18"/>
                <w:lang w:val="en-US" w:eastAsia="es-PE"/>
              </w:rPr>
            </w:pPr>
            <w:r w:rsidRPr="00D72C04">
              <w:rPr>
                <w:rFonts w:cs="Arial"/>
                <w:color w:val="000000"/>
                <w:szCs w:val="18"/>
                <w:lang w:val="en-US" w:eastAsia="es-PE"/>
              </w:rPr>
              <w:t>Initial</w:t>
            </w:r>
          </w:p>
        </w:tc>
        <w:tc>
          <w:tcPr>
            <w:tcW w:w="709" w:type="dxa"/>
            <w:tcBorders>
              <w:top w:val="nil"/>
              <w:left w:val="nil"/>
              <w:bottom w:val="nil"/>
              <w:right w:val="nil"/>
            </w:tcBorders>
            <w:shd w:val="clear" w:color="000000" w:fill="FFFFFF"/>
            <w:vAlign w:val="center"/>
            <w:hideMark/>
          </w:tcPr>
          <w:p w14:paraId="350B9ABC" w14:textId="77777777" w:rsidR="00C907ED" w:rsidRPr="00D72C04" w:rsidRDefault="00C907ED" w:rsidP="00CC41B7">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Final</w:t>
            </w:r>
          </w:p>
        </w:tc>
        <w:tc>
          <w:tcPr>
            <w:tcW w:w="804" w:type="dxa"/>
            <w:gridSpan w:val="2"/>
            <w:tcBorders>
              <w:top w:val="nil"/>
              <w:left w:val="nil"/>
              <w:bottom w:val="nil"/>
              <w:right w:val="nil"/>
            </w:tcBorders>
            <w:shd w:val="clear" w:color="000000" w:fill="FFFFFF"/>
            <w:vAlign w:val="center"/>
            <w:hideMark/>
          </w:tcPr>
          <w:p w14:paraId="2BDF1192" w14:textId="77777777" w:rsidR="00C907ED" w:rsidRPr="00D72C04" w:rsidRDefault="00C907ED" w:rsidP="00CC41B7">
            <w:pPr>
              <w:tabs>
                <w:tab w:val="clear" w:pos="7100"/>
              </w:tabs>
              <w:spacing w:line="240" w:lineRule="auto"/>
              <w:ind w:left="-71"/>
              <w:jc w:val="center"/>
              <w:rPr>
                <w:rFonts w:cs="Arial"/>
                <w:color w:val="000000"/>
                <w:szCs w:val="18"/>
                <w:lang w:val="en-US" w:eastAsia="es-PE"/>
              </w:rPr>
            </w:pPr>
            <w:r w:rsidRPr="00D72C04">
              <w:rPr>
                <w:rFonts w:cs="Arial"/>
                <w:color w:val="000000"/>
                <w:szCs w:val="18"/>
                <w:lang w:val="en-US" w:eastAsia="es-PE"/>
              </w:rPr>
              <w:t>Initial</w:t>
            </w:r>
          </w:p>
        </w:tc>
        <w:tc>
          <w:tcPr>
            <w:tcW w:w="708" w:type="dxa"/>
            <w:tcBorders>
              <w:top w:val="nil"/>
              <w:left w:val="nil"/>
              <w:bottom w:val="nil"/>
              <w:right w:val="nil"/>
            </w:tcBorders>
            <w:shd w:val="clear" w:color="000000" w:fill="FFFFFF"/>
            <w:vAlign w:val="center"/>
            <w:hideMark/>
          </w:tcPr>
          <w:p w14:paraId="27B1D91E" w14:textId="77777777" w:rsidR="00C907ED" w:rsidRPr="00D72C04" w:rsidRDefault="00C907ED" w:rsidP="00CC41B7">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Final</w:t>
            </w:r>
          </w:p>
        </w:tc>
      </w:tr>
      <w:tr w:rsidR="00C907ED" w:rsidRPr="00D72C04" w14:paraId="671EE828" w14:textId="77777777" w:rsidTr="00C907ED">
        <w:trPr>
          <w:gridAfter w:val="1"/>
          <w:wAfter w:w="46" w:type="dxa"/>
          <w:trHeight w:val="300"/>
        </w:trPr>
        <w:tc>
          <w:tcPr>
            <w:tcW w:w="2127" w:type="dxa"/>
            <w:tcBorders>
              <w:top w:val="single" w:sz="12" w:space="0" w:color="009E47"/>
              <w:left w:val="nil"/>
              <w:right w:val="nil"/>
            </w:tcBorders>
            <w:shd w:val="clear" w:color="000000" w:fill="FFFFFF"/>
            <w:vAlign w:val="center"/>
            <w:hideMark/>
          </w:tcPr>
          <w:p w14:paraId="07B868B3" w14:textId="20912BB5" w:rsidR="00C907ED" w:rsidRPr="00D72C04" w:rsidRDefault="00C907ED" w:rsidP="00437DDA">
            <w:pPr>
              <w:tabs>
                <w:tab w:val="clear" w:pos="7100"/>
              </w:tabs>
              <w:spacing w:line="240" w:lineRule="auto"/>
              <w:rPr>
                <w:rFonts w:cs="Arial"/>
                <w:color w:val="000000"/>
                <w:szCs w:val="18"/>
                <w:lang w:val="en-US" w:eastAsia="es-PE"/>
              </w:rPr>
            </w:pPr>
            <w:r w:rsidRPr="00D72C04">
              <w:rPr>
                <w:rFonts w:cs="Arial"/>
                <w:szCs w:val="18"/>
                <w:lang w:val="en-US" w:eastAsia="es-PE"/>
              </w:rPr>
              <w:t>Temperature (°C)</w:t>
            </w:r>
          </w:p>
        </w:tc>
        <w:tc>
          <w:tcPr>
            <w:tcW w:w="850" w:type="dxa"/>
            <w:tcBorders>
              <w:top w:val="single" w:sz="12" w:space="0" w:color="009E47"/>
              <w:left w:val="nil"/>
              <w:right w:val="nil"/>
            </w:tcBorders>
            <w:shd w:val="clear" w:color="000000" w:fill="FFFFFF"/>
            <w:vAlign w:val="center"/>
            <w:hideMark/>
          </w:tcPr>
          <w:p w14:paraId="48955FBD" w14:textId="77777777" w:rsidR="00C907ED" w:rsidRPr="00D72C04" w:rsidRDefault="00C907ED" w:rsidP="00437DDA">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1</w:t>
            </w:r>
          </w:p>
        </w:tc>
        <w:tc>
          <w:tcPr>
            <w:tcW w:w="851" w:type="dxa"/>
            <w:tcBorders>
              <w:top w:val="single" w:sz="12" w:space="0" w:color="009E47"/>
              <w:left w:val="nil"/>
              <w:right w:val="nil"/>
            </w:tcBorders>
            <w:shd w:val="clear" w:color="000000" w:fill="FFFFFF"/>
            <w:vAlign w:val="center"/>
            <w:hideMark/>
          </w:tcPr>
          <w:p w14:paraId="25869ECB" w14:textId="0EC96CB9" w:rsidR="00C907ED" w:rsidRPr="00D72C04" w:rsidRDefault="00C907ED" w:rsidP="00437DDA">
            <w:pPr>
              <w:tabs>
                <w:tab w:val="clear" w:pos="7100"/>
              </w:tabs>
              <w:spacing w:line="240" w:lineRule="auto"/>
              <w:jc w:val="center"/>
              <w:rPr>
                <w:rFonts w:cs="Arial"/>
                <w:color w:val="000000"/>
                <w:szCs w:val="18"/>
                <w:lang w:val="en-US" w:eastAsia="es-PE"/>
              </w:rPr>
            </w:pPr>
            <w:r w:rsidRPr="00D72C04">
              <w:rPr>
                <w:rFonts w:cs="Arial"/>
                <w:szCs w:val="18"/>
                <w:lang w:val="en-US" w:eastAsia="es-PE"/>
              </w:rPr>
              <w:t>24</w:t>
            </w:r>
          </w:p>
        </w:tc>
        <w:tc>
          <w:tcPr>
            <w:tcW w:w="1134" w:type="dxa"/>
            <w:tcBorders>
              <w:top w:val="single" w:sz="12" w:space="0" w:color="009E47"/>
              <w:left w:val="nil"/>
              <w:right w:val="nil"/>
            </w:tcBorders>
            <w:shd w:val="clear" w:color="000000" w:fill="FFFFFF"/>
            <w:vAlign w:val="center"/>
            <w:hideMark/>
          </w:tcPr>
          <w:p w14:paraId="38869003" w14:textId="5C10DF0D" w:rsidR="00C907ED" w:rsidRPr="00D72C04" w:rsidRDefault="00C907ED" w:rsidP="00437DDA">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24.7</w:t>
            </w:r>
          </w:p>
        </w:tc>
        <w:tc>
          <w:tcPr>
            <w:tcW w:w="567" w:type="dxa"/>
            <w:tcBorders>
              <w:top w:val="single" w:sz="12" w:space="0" w:color="009E47"/>
              <w:left w:val="nil"/>
              <w:right w:val="nil"/>
            </w:tcBorders>
            <w:shd w:val="clear" w:color="000000" w:fill="FFFFFF"/>
            <w:vAlign w:val="center"/>
            <w:hideMark/>
          </w:tcPr>
          <w:p w14:paraId="11F0CBE3" w14:textId="46710E43" w:rsidR="00C907ED" w:rsidRPr="00D72C04" w:rsidRDefault="00C907ED" w:rsidP="00437DDA">
            <w:pPr>
              <w:tabs>
                <w:tab w:val="clear" w:pos="7100"/>
              </w:tabs>
              <w:spacing w:line="240" w:lineRule="auto"/>
              <w:jc w:val="center"/>
              <w:rPr>
                <w:rFonts w:cs="Arial"/>
                <w:color w:val="000000"/>
                <w:szCs w:val="18"/>
                <w:lang w:val="en-US" w:eastAsia="es-PE"/>
              </w:rPr>
            </w:pPr>
            <w:r w:rsidRPr="00D72C04">
              <w:rPr>
                <w:rFonts w:cs="Arial"/>
                <w:szCs w:val="18"/>
                <w:lang w:val="en-US" w:eastAsia="es-PE"/>
              </w:rPr>
              <w:t>24</w:t>
            </w:r>
          </w:p>
        </w:tc>
        <w:tc>
          <w:tcPr>
            <w:tcW w:w="709" w:type="dxa"/>
            <w:tcBorders>
              <w:top w:val="single" w:sz="12" w:space="0" w:color="009E47"/>
              <w:left w:val="nil"/>
              <w:right w:val="nil"/>
            </w:tcBorders>
            <w:shd w:val="clear" w:color="000000" w:fill="FFFFFF"/>
            <w:vAlign w:val="center"/>
            <w:hideMark/>
          </w:tcPr>
          <w:p w14:paraId="5DCA7AE9" w14:textId="28249570" w:rsidR="00C907ED" w:rsidRPr="00D72C04" w:rsidRDefault="00E04C81" w:rsidP="00437DDA">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24.3</w:t>
            </w:r>
          </w:p>
        </w:tc>
        <w:tc>
          <w:tcPr>
            <w:tcW w:w="804" w:type="dxa"/>
            <w:gridSpan w:val="2"/>
            <w:tcBorders>
              <w:top w:val="single" w:sz="12" w:space="0" w:color="009E47"/>
              <w:left w:val="nil"/>
              <w:right w:val="nil"/>
            </w:tcBorders>
            <w:shd w:val="clear" w:color="000000" w:fill="FFFFFF"/>
            <w:vAlign w:val="center"/>
            <w:hideMark/>
          </w:tcPr>
          <w:p w14:paraId="3AFEC94D" w14:textId="2469940D" w:rsidR="00C907ED" w:rsidRPr="00D72C04" w:rsidRDefault="00C907ED" w:rsidP="00437DDA">
            <w:pPr>
              <w:tabs>
                <w:tab w:val="clear" w:pos="7100"/>
              </w:tabs>
              <w:spacing w:line="240" w:lineRule="auto"/>
              <w:jc w:val="center"/>
              <w:rPr>
                <w:rFonts w:cs="Arial"/>
                <w:color w:val="000000"/>
                <w:szCs w:val="18"/>
                <w:lang w:val="en-US" w:eastAsia="es-PE"/>
              </w:rPr>
            </w:pPr>
            <w:r w:rsidRPr="00D72C04">
              <w:rPr>
                <w:rFonts w:cs="Arial"/>
                <w:szCs w:val="18"/>
                <w:lang w:val="en-US" w:eastAsia="es-PE"/>
              </w:rPr>
              <w:t>24</w:t>
            </w:r>
          </w:p>
        </w:tc>
        <w:tc>
          <w:tcPr>
            <w:tcW w:w="708" w:type="dxa"/>
            <w:tcBorders>
              <w:top w:val="single" w:sz="12" w:space="0" w:color="009E47"/>
              <w:left w:val="nil"/>
              <w:right w:val="nil"/>
            </w:tcBorders>
            <w:shd w:val="clear" w:color="000000" w:fill="FFFFFF"/>
            <w:vAlign w:val="center"/>
            <w:hideMark/>
          </w:tcPr>
          <w:p w14:paraId="5B7D710D" w14:textId="605B4089" w:rsidR="00C907ED" w:rsidRPr="00D72C04" w:rsidRDefault="00E04C81" w:rsidP="00437DDA">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24.3</w:t>
            </w:r>
          </w:p>
        </w:tc>
      </w:tr>
      <w:tr w:rsidR="00C907ED" w:rsidRPr="00D72C04" w14:paraId="6645B17B" w14:textId="77777777" w:rsidTr="00C907ED">
        <w:trPr>
          <w:gridAfter w:val="1"/>
          <w:wAfter w:w="46" w:type="dxa"/>
          <w:trHeight w:val="300"/>
        </w:trPr>
        <w:tc>
          <w:tcPr>
            <w:tcW w:w="2127" w:type="dxa"/>
            <w:tcBorders>
              <w:left w:val="nil"/>
              <w:right w:val="nil"/>
            </w:tcBorders>
            <w:shd w:val="clear" w:color="000000" w:fill="FFFFFF"/>
            <w:vAlign w:val="center"/>
            <w:hideMark/>
          </w:tcPr>
          <w:p w14:paraId="27BD3E0B" w14:textId="683EECA7" w:rsidR="00C907ED" w:rsidRPr="00D72C04" w:rsidRDefault="00C907ED" w:rsidP="00437DDA">
            <w:pPr>
              <w:tabs>
                <w:tab w:val="clear" w:pos="7100"/>
              </w:tabs>
              <w:spacing w:line="240" w:lineRule="auto"/>
              <w:jc w:val="left"/>
              <w:rPr>
                <w:rFonts w:cs="Arial"/>
                <w:color w:val="000000"/>
                <w:szCs w:val="18"/>
                <w:lang w:val="en-US" w:eastAsia="es-PE"/>
              </w:rPr>
            </w:pPr>
            <w:r w:rsidRPr="00D72C04">
              <w:rPr>
                <w:rFonts w:cs="Arial"/>
                <w:color w:val="000000"/>
                <w:szCs w:val="18"/>
                <w:lang w:val="en-US" w:eastAsia="es-PE"/>
              </w:rPr>
              <w:t>Hydrogen Potential (pH)</w:t>
            </w:r>
          </w:p>
        </w:tc>
        <w:tc>
          <w:tcPr>
            <w:tcW w:w="850" w:type="dxa"/>
            <w:tcBorders>
              <w:left w:val="nil"/>
              <w:right w:val="nil"/>
            </w:tcBorders>
            <w:shd w:val="clear" w:color="000000" w:fill="FFFFFF"/>
            <w:vAlign w:val="center"/>
            <w:hideMark/>
          </w:tcPr>
          <w:p w14:paraId="2201FAF9" w14:textId="77777777" w:rsidR="00C907ED" w:rsidRPr="00D72C04" w:rsidRDefault="00C907ED" w:rsidP="00437DDA">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2</w:t>
            </w:r>
          </w:p>
        </w:tc>
        <w:tc>
          <w:tcPr>
            <w:tcW w:w="851" w:type="dxa"/>
            <w:tcBorders>
              <w:left w:val="nil"/>
              <w:right w:val="nil"/>
            </w:tcBorders>
            <w:shd w:val="clear" w:color="000000" w:fill="FFFFFF"/>
            <w:vAlign w:val="center"/>
            <w:hideMark/>
          </w:tcPr>
          <w:p w14:paraId="4105E72B" w14:textId="5DD43257" w:rsidR="00C907ED" w:rsidRPr="00D72C04" w:rsidRDefault="00C907ED" w:rsidP="00C8605F">
            <w:pPr>
              <w:tabs>
                <w:tab w:val="clear" w:pos="7100"/>
              </w:tabs>
              <w:spacing w:line="240" w:lineRule="auto"/>
              <w:jc w:val="center"/>
              <w:rPr>
                <w:rFonts w:cs="Arial"/>
                <w:color w:val="000000"/>
                <w:szCs w:val="18"/>
                <w:lang w:val="en-US" w:eastAsia="es-PE"/>
              </w:rPr>
            </w:pPr>
            <w:r w:rsidRPr="00D72C04">
              <w:rPr>
                <w:rFonts w:cs="Arial"/>
                <w:szCs w:val="18"/>
                <w:lang w:val="en-US" w:eastAsia="es-PE"/>
              </w:rPr>
              <w:t>7.6</w:t>
            </w:r>
          </w:p>
        </w:tc>
        <w:tc>
          <w:tcPr>
            <w:tcW w:w="1134" w:type="dxa"/>
            <w:tcBorders>
              <w:left w:val="nil"/>
              <w:right w:val="nil"/>
            </w:tcBorders>
            <w:shd w:val="clear" w:color="000000" w:fill="FFFFFF"/>
            <w:vAlign w:val="center"/>
            <w:hideMark/>
          </w:tcPr>
          <w:p w14:paraId="1A8225C1" w14:textId="43A656B7" w:rsidR="00C907ED" w:rsidRPr="00D72C04" w:rsidRDefault="00C907ED" w:rsidP="00C8605F">
            <w:pPr>
              <w:tabs>
                <w:tab w:val="clear" w:pos="7100"/>
              </w:tabs>
              <w:spacing w:line="240" w:lineRule="auto"/>
              <w:jc w:val="center"/>
              <w:rPr>
                <w:rFonts w:cs="Arial"/>
                <w:bCs/>
                <w:color w:val="000000"/>
                <w:szCs w:val="18"/>
                <w:lang w:val="en-US" w:eastAsia="es-PE"/>
              </w:rPr>
            </w:pPr>
            <w:r w:rsidRPr="00D72C04">
              <w:rPr>
                <w:rFonts w:cs="Arial"/>
                <w:bCs/>
                <w:color w:val="000000"/>
                <w:szCs w:val="18"/>
                <w:lang w:val="en-US" w:eastAsia="es-PE"/>
              </w:rPr>
              <w:t>7.44</w:t>
            </w:r>
          </w:p>
        </w:tc>
        <w:tc>
          <w:tcPr>
            <w:tcW w:w="567" w:type="dxa"/>
            <w:tcBorders>
              <w:left w:val="nil"/>
              <w:right w:val="nil"/>
            </w:tcBorders>
            <w:shd w:val="clear" w:color="000000" w:fill="FFFFFF"/>
            <w:vAlign w:val="center"/>
            <w:hideMark/>
          </w:tcPr>
          <w:p w14:paraId="28FA2FE8" w14:textId="0E4E3FCB" w:rsidR="00C907ED" w:rsidRPr="00D72C04" w:rsidRDefault="00C907ED" w:rsidP="00C8605F">
            <w:pPr>
              <w:tabs>
                <w:tab w:val="clear" w:pos="7100"/>
              </w:tabs>
              <w:spacing w:line="240" w:lineRule="auto"/>
              <w:jc w:val="center"/>
              <w:rPr>
                <w:rFonts w:cs="Arial"/>
                <w:color w:val="000000"/>
                <w:szCs w:val="18"/>
                <w:lang w:val="en-US" w:eastAsia="es-PE"/>
              </w:rPr>
            </w:pPr>
            <w:r w:rsidRPr="00D72C04">
              <w:rPr>
                <w:rFonts w:cs="Arial"/>
                <w:szCs w:val="18"/>
                <w:lang w:val="en-US" w:eastAsia="es-PE"/>
              </w:rPr>
              <w:t>7.6</w:t>
            </w:r>
          </w:p>
        </w:tc>
        <w:tc>
          <w:tcPr>
            <w:tcW w:w="709" w:type="dxa"/>
            <w:tcBorders>
              <w:left w:val="nil"/>
              <w:right w:val="nil"/>
            </w:tcBorders>
            <w:shd w:val="clear" w:color="000000" w:fill="FFFFFF"/>
            <w:vAlign w:val="center"/>
            <w:hideMark/>
          </w:tcPr>
          <w:p w14:paraId="210C9EB1" w14:textId="0C20E9ED" w:rsidR="00C907ED" w:rsidRPr="00D72C04" w:rsidRDefault="00E04C81" w:rsidP="00C8605F">
            <w:pPr>
              <w:tabs>
                <w:tab w:val="clear" w:pos="7100"/>
              </w:tabs>
              <w:spacing w:line="240" w:lineRule="auto"/>
              <w:jc w:val="center"/>
              <w:rPr>
                <w:rFonts w:cs="Arial"/>
                <w:bCs/>
                <w:szCs w:val="18"/>
                <w:lang w:val="en-US" w:eastAsia="es-PE"/>
              </w:rPr>
            </w:pPr>
            <w:r w:rsidRPr="00D72C04">
              <w:rPr>
                <w:rFonts w:cs="Arial"/>
                <w:bCs/>
                <w:szCs w:val="18"/>
                <w:lang w:val="en-US" w:eastAsia="es-PE"/>
              </w:rPr>
              <w:t>7.18</w:t>
            </w:r>
          </w:p>
        </w:tc>
        <w:tc>
          <w:tcPr>
            <w:tcW w:w="804" w:type="dxa"/>
            <w:gridSpan w:val="2"/>
            <w:tcBorders>
              <w:left w:val="nil"/>
              <w:right w:val="nil"/>
            </w:tcBorders>
            <w:shd w:val="clear" w:color="000000" w:fill="FFFFFF"/>
            <w:vAlign w:val="center"/>
            <w:hideMark/>
          </w:tcPr>
          <w:p w14:paraId="7106C01C" w14:textId="1441D507" w:rsidR="00C907ED" w:rsidRPr="00D72C04" w:rsidRDefault="00C907ED" w:rsidP="00C8605F">
            <w:pPr>
              <w:tabs>
                <w:tab w:val="clear" w:pos="7100"/>
              </w:tabs>
              <w:spacing w:line="240" w:lineRule="auto"/>
              <w:jc w:val="center"/>
              <w:rPr>
                <w:rFonts w:cs="Arial"/>
                <w:color w:val="000000"/>
                <w:szCs w:val="18"/>
                <w:lang w:val="en-US" w:eastAsia="es-PE"/>
              </w:rPr>
            </w:pPr>
            <w:r w:rsidRPr="00D72C04">
              <w:rPr>
                <w:rFonts w:cs="Arial"/>
                <w:szCs w:val="18"/>
                <w:lang w:val="en-US" w:eastAsia="es-PE"/>
              </w:rPr>
              <w:t>7.6</w:t>
            </w:r>
          </w:p>
        </w:tc>
        <w:tc>
          <w:tcPr>
            <w:tcW w:w="708" w:type="dxa"/>
            <w:tcBorders>
              <w:left w:val="nil"/>
              <w:right w:val="nil"/>
            </w:tcBorders>
            <w:shd w:val="clear" w:color="000000" w:fill="FFFFFF"/>
            <w:vAlign w:val="center"/>
            <w:hideMark/>
          </w:tcPr>
          <w:p w14:paraId="2B04D767" w14:textId="3494C10C" w:rsidR="00C907ED" w:rsidRPr="00D72C04" w:rsidRDefault="00E04C81" w:rsidP="00C8605F">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7.21</w:t>
            </w:r>
          </w:p>
        </w:tc>
      </w:tr>
      <w:tr w:rsidR="00C907ED" w:rsidRPr="00D72C04" w14:paraId="6E363C38" w14:textId="77777777" w:rsidTr="00C907ED">
        <w:trPr>
          <w:gridAfter w:val="1"/>
          <w:wAfter w:w="46" w:type="dxa"/>
          <w:trHeight w:val="300"/>
        </w:trPr>
        <w:tc>
          <w:tcPr>
            <w:tcW w:w="2127" w:type="dxa"/>
            <w:tcBorders>
              <w:left w:val="nil"/>
              <w:bottom w:val="single" w:sz="12" w:space="0" w:color="009E47"/>
              <w:right w:val="nil"/>
            </w:tcBorders>
            <w:shd w:val="clear" w:color="000000" w:fill="FFFFFF"/>
            <w:vAlign w:val="center"/>
            <w:hideMark/>
          </w:tcPr>
          <w:p w14:paraId="1AB69886" w14:textId="2FF4EC7B" w:rsidR="00C907ED" w:rsidRPr="00D72C04" w:rsidRDefault="00E04C81" w:rsidP="00E04C81">
            <w:pPr>
              <w:tabs>
                <w:tab w:val="clear" w:pos="7100"/>
              </w:tabs>
              <w:spacing w:line="240" w:lineRule="auto"/>
              <w:rPr>
                <w:rFonts w:cs="Arial"/>
                <w:color w:val="000000"/>
                <w:szCs w:val="18"/>
                <w:lang w:val="en-US" w:eastAsia="es-PE"/>
              </w:rPr>
            </w:pPr>
            <w:r w:rsidRPr="00D72C04">
              <w:rPr>
                <w:rFonts w:cs="Arial"/>
                <w:color w:val="000000"/>
                <w:szCs w:val="18"/>
                <w:lang w:val="en-US" w:eastAsia="es-PE"/>
              </w:rPr>
              <w:t>Electrical conductivity (µs/cm)</w:t>
            </w:r>
          </w:p>
        </w:tc>
        <w:tc>
          <w:tcPr>
            <w:tcW w:w="850" w:type="dxa"/>
            <w:tcBorders>
              <w:left w:val="nil"/>
              <w:bottom w:val="single" w:sz="12" w:space="0" w:color="009E47"/>
              <w:right w:val="nil"/>
            </w:tcBorders>
            <w:shd w:val="clear" w:color="000000" w:fill="FFFFFF"/>
            <w:hideMark/>
          </w:tcPr>
          <w:p w14:paraId="6A06022D" w14:textId="77777777" w:rsidR="00C907ED" w:rsidRPr="00D72C04" w:rsidRDefault="00C907ED" w:rsidP="00437DDA">
            <w:pPr>
              <w:tabs>
                <w:tab w:val="clear" w:pos="7100"/>
              </w:tabs>
              <w:spacing w:line="240" w:lineRule="auto"/>
              <w:jc w:val="center"/>
              <w:rPr>
                <w:rFonts w:ascii="Calibri" w:hAnsi="Calibri" w:cs="Calibri"/>
                <w:color w:val="000000"/>
                <w:sz w:val="22"/>
                <w:szCs w:val="22"/>
                <w:lang w:val="en-US" w:eastAsia="es-PE"/>
              </w:rPr>
            </w:pPr>
            <w:r w:rsidRPr="00D72C04">
              <w:rPr>
                <w:rFonts w:ascii="Calibri" w:hAnsi="Calibri" w:cs="Calibri"/>
                <w:color w:val="000000"/>
                <w:sz w:val="22"/>
                <w:szCs w:val="22"/>
                <w:lang w:val="en-US" w:eastAsia="es-PE"/>
              </w:rPr>
              <w:t>3</w:t>
            </w:r>
          </w:p>
        </w:tc>
        <w:tc>
          <w:tcPr>
            <w:tcW w:w="851" w:type="dxa"/>
            <w:tcBorders>
              <w:left w:val="nil"/>
              <w:bottom w:val="single" w:sz="12" w:space="0" w:color="009E47"/>
              <w:right w:val="nil"/>
            </w:tcBorders>
            <w:shd w:val="clear" w:color="000000" w:fill="FFFFFF"/>
            <w:vAlign w:val="center"/>
            <w:hideMark/>
          </w:tcPr>
          <w:p w14:paraId="038E6CB7" w14:textId="6F18706F" w:rsidR="00C907ED" w:rsidRPr="00D72C04" w:rsidRDefault="00C907ED" w:rsidP="00C8605F">
            <w:pPr>
              <w:tabs>
                <w:tab w:val="clear" w:pos="7100"/>
              </w:tabs>
              <w:spacing w:line="240" w:lineRule="auto"/>
              <w:jc w:val="center"/>
              <w:rPr>
                <w:rFonts w:cs="Arial"/>
                <w:color w:val="000000"/>
                <w:szCs w:val="18"/>
                <w:lang w:val="en-US" w:eastAsia="es-PE"/>
              </w:rPr>
            </w:pPr>
            <w:r w:rsidRPr="00D72C04">
              <w:rPr>
                <w:rFonts w:cs="Arial"/>
                <w:szCs w:val="18"/>
                <w:lang w:val="en-US" w:eastAsia="es-PE"/>
              </w:rPr>
              <w:t>20.78</w:t>
            </w:r>
          </w:p>
        </w:tc>
        <w:tc>
          <w:tcPr>
            <w:tcW w:w="1134" w:type="dxa"/>
            <w:tcBorders>
              <w:left w:val="nil"/>
              <w:bottom w:val="single" w:sz="12" w:space="0" w:color="009E47"/>
              <w:right w:val="nil"/>
            </w:tcBorders>
            <w:shd w:val="clear" w:color="000000" w:fill="FFFFFF"/>
            <w:vAlign w:val="center"/>
            <w:hideMark/>
          </w:tcPr>
          <w:p w14:paraId="09ED5F55" w14:textId="0575CF26" w:rsidR="00C907ED" w:rsidRPr="00D72C04" w:rsidRDefault="00C907ED" w:rsidP="00C8605F">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29.34</w:t>
            </w:r>
          </w:p>
        </w:tc>
        <w:tc>
          <w:tcPr>
            <w:tcW w:w="567" w:type="dxa"/>
            <w:tcBorders>
              <w:left w:val="nil"/>
              <w:bottom w:val="single" w:sz="12" w:space="0" w:color="009E47"/>
              <w:right w:val="nil"/>
            </w:tcBorders>
            <w:shd w:val="clear" w:color="000000" w:fill="FFFFFF"/>
            <w:vAlign w:val="center"/>
            <w:hideMark/>
          </w:tcPr>
          <w:p w14:paraId="25413E52" w14:textId="63CA39AB" w:rsidR="00C907ED" w:rsidRPr="00D72C04" w:rsidRDefault="00C907ED" w:rsidP="00C8605F">
            <w:pPr>
              <w:tabs>
                <w:tab w:val="clear" w:pos="7100"/>
              </w:tabs>
              <w:spacing w:line="240" w:lineRule="auto"/>
              <w:ind w:right="-70"/>
              <w:jc w:val="center"/>
              <w:rPr>
                <w:rFonts w:cs="Arial"/>
                <w:color w:val="000000"/>
                <w:szCs w:val="18"/>
                <w:lang w:val="en-US" w:eastAsia="es-PE"/>
              </w:rPr>
            </w:pPr>
            <w:r w:rsidRPr="00D72C04">
              <w:rPr>
                <w:rFonts w:cs="Arial"/>
                <w:szCs w:val="18"/>
                <w:lang w:val="en-US" w:eastAsia="es-PE"/>
              </w:rPr>
              <w:t>20.78</w:t>
            </w:r>
          </w:p>
        </w:tc>
        <w:tc>
          <w:tcPr>
            <w:tcW w:w="709" w:type="dxa"/>
            <w:tcBorders>
              <w:left w:val="nil"/>
              <w:bottom w:val="single" w:sz="12" w:space="0" w:color="009E47"/>
              <w:right w:val="nil"/>
            </w:tcBorders>
            <w:shd w:val="clear" w:color="000000" w:fill="FFFFFF"/>
            <w:vAlign w:val="center"/>
            <w:hideMark/>
          </w:tcPr>
          <w:p w14:paraId="530088A9" w14:textId="4D817B81" w:rsidR="00C907ED" w:rsidRPr="00D72C04" w:rsidRDefault="00E04C81" w:rsidP="00C8605F">
            <w:pPr>
              <w:tabs>
                <w:tab w:val="clear" w:pos="7100"/>
              </w:tabs>
              <w:spacing w:line="240" w:lineRule="auto"/>
              <w:jc w:val="center"/>
              <w:rPr>
                <w:rFonts w:cs="Arial"/>
                <w:color w:val="000000"/>
                <w:szCs w:val="18"/>
                <w:lang w:val="en-US" w:eastAsia="es-PE"/>
              </w:rPr>
            </w:pPr>
            <w:r w:rsidRPr="00D72C04">
              <w:rPr>
                <w:rFonts w:cs="Arial"/>
                <w:color w:val="000000"/>
                <w:szCs w:val="18"/>
                <w:lang w:val="en-US" w:eastAsia="es-PE"/>
              </w:rPr>
              <w:t>29.39</w:t>
            </w:r>
          </w:p>
        </w:tc>
        <w:tc>
          <w:tcPr>
            <w:tcW w:w="804" w:type="dxa"/>
            <w:gridSpan w:val="2"/>
            <w:tcBorders>
              <w:left w:val="nil"/>
              <w:bottom w:val="single" w:sz="12" w:space="0" w:color="009E47"/>
              <w:right w:val="nil"/>
            </w:tcBorders>
            <w:shd w:val="clear" w:color="000000" w:fill="FFFFFF"/>
            <w:vAlign w:val="center"/>
            <w:hideMark/>
          </w:tcPr>
          <w:p w14:paraId="29AE9965" w14:textId="652A6940" w:rsidR="00C907ED" w:rsidRPr="00D72C04" w:rsidRDefault="00C907ED" w:rsidP="00C8605F">
            <w:pPr>
              <w:tabs>
                <w:tab w:val="clear" w:pos="7100"/>
              </w:tabs>
              <w:spacing w:line="240" w:lineRule="auto"/>
              <w:jc w:val="center"/>
              <w:rPr>
                <w:rFonts w:cs="Arial"/>
                <w:color w:val="000000"/>
                <w:szCs w:val="18"/>
                <w:lang w:val="en-US" w:eastAsia="es-PE"/>
              </w:rPr>
            </w:pPr>
            <w:r w:rsidRPr="00D72C04">
              <w:rPr>
                <w:rFonts w:cs="Arial"/>
                <w:szCs w:val="18"/>
                <w:lang w:val="en-US" w:eastAsia="es-PE"/>
              </w:rPr>
              <w:t>20.78</w:t>
            </w:r>
          </w:p>
        </w:tc>
        <w:tc>
          <w:tcPr>
            <w:tcW w:w="708" w:type="dxa"/>
            <w:tcBorders>
              <w:left w:val="nil"/>
              <w:bottom w:val="single" w:sz="12" w:space="0" w:color="009E47"/>
              <w:right w:val="nil"/>
            </w:tcBorders>
            <w:shd w:val="clear" w:color="000000" w:fill="FFFFFF"/>
            <w:vAlign w:val="center"/>
            <w:hideMark/>
          </w:tcPr>
          <w:p w14:paraId="2A3F7A87" w14:textId="33A16C3D" w:rsidR="00C907ED" w:rsidRPr="00D72C04" w:rsidRDefault="00E04C81" w:rsidP="00C8605F">
            <w:pPr>
              <w:tabs>
                <w:tab w:val="clear" w:pos="7100"/>
              </w:tabs>
              <w:spacing w:line="240" w:lineRule="auto"/>
              <w:jc w:val="center"/>
              <w:rPr>
                <w:rFonts w:cs="Arial"/>
                <w:bCs/>
                <w:szCs w:val="18"/>
                <w:lang w:val="en-US" w:eastAsia="es-PE"/>
              </w:rPr>
            </w:pPr>
            <w:r w:rsidRPr="00D72C04">
              <w:rPr>
                <w:rFonts w:cs="Arial"/>
                <w:bCs/>
                <w:szCs w:val="18"/>
                <w:lang w:val="en-US" w:eastAsia="es-PE"/>
              </w:rPr>
              <w:t>29.28</w:t>
            </w:r>
          </w:p>
        </w:tc>
      </w:tr>
    </w:tbl>
    <w:p w14:paraId="0F55CACE" w14:textId="77777777" w:rsidR="00711168" w:rsidRDefault="00711168" w:rsidP="00345005">
      <w:pPr>
        <w:pStyle w:val="CETBodytext"/>
        <w:rPr>
          <w:szCs w:val="18"/>
        </w:rPr>
      </w:pPr>
    </w:p>
    <w:p w14:paraId="099D6126" w14:textId="04FED3E9" w:rsidR="00711168" w:rsidRPr="00D72C04" w:rsidRDefault="00711168" w:rsidP="00345005">
      <w:pPr>
        <w:pStyle w:val="CETBodytext"/>
        <w:rPr>
          <w:szCs w:val="18"/>
        </w:rPr>
      </w:pPr>
      <w:r w:rsidRPr="00711168">
        <w:rPr>
          <w:szCs w:val="18"/>
        </w:rPr>
        <w:t xml:space="preserve">In this research, multi-walled carbon nanotubes (MWCNTs) were used to remove organic load from water samples from the </w:t>
      </w:r>
      <w:r w:rsidRPr="00711168">
        <w:rPr>
          <w:i/>
          <w:iCs/>
          <w:szCs w:val="18"/>
        </w:rPr>
        <w:t>Ventanilla</w:t>
      </w:r>
      <w:r w:rsidRPr="00711168">
        <w:rPr>
          <w:szCs w:val="18"/>
        </w:rPr>
        <w:t xml:space="preserve"> wetlands based on the reduction of COD, BOD5, and NT as indicators of the organic </w:t>
      </w:r>
      <w:r w:rsidRPr="00711168">
        <w:rPr>
          <w:szCs w:val="18"/>
        </w:rPr>
        <w:lastRenderedPageBreak/>
        <w:t xml:space="preserve">load present. After treatment with MWCNTs, the samples of water from </w:t>
      </w:r>
      <w:r w:rsidRPr="00711168">
        <w:rPr>
          <w:i/>
          <w:iCs/>
          <w:szCs w:val="18"/>
        </w:rPr>
        <w:t>Ventanilla</w:t>
      </w:r>
      <w:r w:rsidRPr="00711168">
        <w:rPr>
          <w:szCs w:val="18"/>
        </w:rPr>
        <w:t xml:space="preserve"> wetlands reduced the BOD5 contents from 28 to 4.25 mg/L, reduced the COD contents from 45 to 9.41 mg/L, and reduced the total nitrogen from 3.18 to 0.229 mg/L. These reductions fulfill the aim of the research to reduce the organic load as an effect of treatment with MWCNTs. The major mechanisms by which CNTs adsorb organic compounds differ depending on the polar properties of the compound of </w:t>
      </w:r>
      <w:r w:rsidRPr="004B3E34">
        <w:rPr>
          <w:szCs w:val="18"/>
        </w:rPr>
        <w:t>interest (</w:t>
      </w:r>
      <w:bookmarkStart w:id="18" w:name="_Hlk131932318"/>
      <w:r w:rsidRPr="004B3E34">
        <w:rPr>
          <w:szCs w:val="18"/>
        </w:rPr>
        <w:t>Pan and Xing, 2008</w:t>
      </w:r>
      <w:bookmarkEnd w:id="18"/>
      <w:r w:rsidRPr="004B3E34">
        <w:rPr>
          <w:szCs w:val="18"/>
        </w:rPr>
        <w:t>), and several possible interactions between organics and CNTs have been proposed. Hydrophobic interactions, π–π stacking interactions, Van der Waals forces, electrostatic interactions, and hydrogen bonding interactions might act individually or simultaneously (</w:t>
      </w:r>
      <w:bookmarkStart w:id="19" w:name="_Hlk131932340"/>
      <w:r w:rsidRPr="004B3E34">
        <w:rPr>
          <w:szCs w:val="18"/>
        </w:rPr>
        <w:t>Jin-Gang et al., 2014</w:t>
      </w:r>
      <w:bookmarkEnd w:id="19"/>
      <w:r w:rsidRPr="004B3E34">
        <w:rPr>
          <w:szCs w:val="18"/>
        </w:rPr>
        <w:t>). Adsorption of contaminants by CNTs occurs at four possible types of sites such as outer and inner grooves and interstitial channels, and the inner region of CNTs is less adsorptive (</w:t>
      </w:r>
      <w:bookmarkStart w:id="20" w:name="_Hlk131932365"/>
      <w:r w:rsidRPr="004B3E34">
        <w:rPr>
          <w:szCs w:val="18"/>
        </w:rPr>
        <w:t>Aslam et al., 2021</w:t>
      </w:r>
      <w:bookmarkEnd w:id="20"/>
      <w:r w:rsidRPr="004B3E34">
        <w:rPr>
          <w:szCs w:val="18"/>
        </w:rPr>
        <w:t>). In organic compounds, the polar aromatic substituents possess superior adsorption affinity to CNTs relative to the nonpolar substituents with the same aromatic structure, and this phenomenon is attributed to the π-π electron donor-acceptor interaction between the aromatic molecules and the CNTs (</w:t>
      </w:r>
      <w:bookmarkStart w:id="21" w:name="_Hlk131932424"/>
      <w:r w:rsidRPr="004B3E34">
        <w:rPr>
          <w:szCs w:val="18"/>
        </w:rPr>
        <w:t>Awad et al., 2020</w:t>
      </w:r>
      <w:bookmarkEnd w:id="21"/>
      <w:r w:rsidRPr="004B3E34">
        <w:rPr>
          <w:szCs w:val="18"/>
        </w:rPr>
        <w:t xml:space="preserve">). MWCNTs usually contribute more pore volumes of inner sites than SWCNTs. These mechanisms of adsorption </w:t>
      </w:r>
      <w:proofErr w:type="gramStart"/>
      <w:r w:rsidRPr="004B3E34">
        <w:rPr>
          <w:szCs w:val="18"/>
        </w:rPr>
        <w:t>is</w:t>
      </w:r>
      <w:proofErr w:type="gramEnd"/>
      <w:r w:rsidRPr="004B3E34">
        <w:rPr>
          <w:szCs w:val="18"/>
        </w:rPr>
        <w:t xml:space="preserve"> assumed to have happened during the treatment of water samples from </w:t>
      </w:r>
      <w:r w:rsidRPr="004B3E34">
        <w:rPr>
          <w:i/>
          <w:iCs/>
          <w:szCs w:val="18"/>
        </w:rPr>
        <w:t>Ventanilla</w:t>
      </w:r>
      <w:r w:rsidRPr="004B3E34">
        <w:rPr>
          <w:szCs w:val="18"/>
        </w:rPr>
        <w:t xml:space="preserve"> wetlands </w:t>
      </w:r>
      <w:r w:rsidRPr="00711168">
        <w:rPr>
          <w:szCs w:val="18"/>
        </w:rPr>
        <w:t>with MWCNTs. The organic loads interacted with MWCNTs through hydrophobic interactions, π–π stacking interactions, van der Waals forces, electrostatic interactions, and hydrogen bonding interactions, as reported in different research previously.</w:t>
      </w:r>
    </w:p>
    <w:p w14:paraId="55A01E67" w14:textId="5632CA6F" w:rsidR="00AF6227" w:rsidRPr="00D72C04" w:rsidRDefault="00AF6227" w:rsidP="00601DE1">
      <w:pPr>
        <w:pStyle w:val="CETHeading1"/>
        <w:numPr>
          <w:ilvl w:val="0"/>
          <w:numId w:val="29"/>
        </w:numPr>
        <w:ind w:left="284" w:hanging="284"/>
        <w:jc w:val="both"/>
      </w:pPr>
      <w:r w:rsidRPr="00D72C04">
        <w:t>Conclusions</w:t>
      </w:r>
    </w:p>
    <w:p w14:paraId="2291BB80" w14:textId="1AB92A3A" w:rsidR="006A3538" w:rsidRPr="006A3538" w:rsidRDefault="006A3538" w:rsidP="006A3538">
      <w:pPr>
        <w:pStyle w:val="CETBodytext"/>
      </w:pPr>
      <w:r w:rsidRPr="006A3538">
        <w:t xml:space="preserve">Carbon nanotubes have been shown to be effective in reducing the organic load in the waters of the </w:t>
      </w:r>
      <w:r w:rsidRPr="00711168">
        <w:rPr>
          <w:i/>
          <w:iCs/>
        </w:rPr>
        <w:t xml:space="preserve">Ventanilla </w:t>
      </w:r>
      <w:r w:rsidRPr="006A3538">
        <w:t>Wetland</w:t>
      </w:r>
      <w:r w:rsidR="00711168">
        <w:t>s</w:t>
      </w:r>
      <w:r w:rsidRPr="006A3538">
        <w:t>. The appropriate amount of multi-walled carbon nanotubes for the removal of organic load was found to be 150 g, with a maximum removal capacity of 84.82% for BOD5, 79.09% for COD, and 92.80% for total nitrogen. These values are within the standards of environmental quality for surface waters such as lagoons and lakes. The results obtained confirm that the use of CNTs is a viable and easy-to-implement methodology for addressing the issue of high organic load in surface water and facilitating its recovery.</w:t>
      </w:r>
    </w:p>
    <w:p w14:paraId="453D06F3" w14:textId="77777777" w:rsidR="00AF6227" w:rsidRPr="00D72C04" w:rsidRDefault="00AF6227" w:rsidP="00601DE1">
      <w:pPr>
        <w:pStyle w:val="CETHeading1"/>
        <w:numPr>
          <w:ilvl w:val="0"/>
          <w:numId w:val="0"/>
        </w:numPr>
      </w:pPr>
      <w:r w:rsidRPr="00D72C04">
        <w:t>Acknowledgements</w:t>
      </w:r>
    </w:p>
    <w:p w14:paraId="13141C08" w14:textId="514062C2" w:rsidR="00AF6227" w:rsidRPr="00D72C04" w:rsidRDefault="00AF6227" w:rsidP="00AF6227">
      <w:pPr>
        <w:pStyle w:val="CETHeading1"/>
        <w:numPr>
          <w:ilvl w:val="0"/>
          <w:numId w:val="0"/>
        </w:numPr>
        <w:spacing w:before="0"/>
        <w:jc w:val="both"/>
        <w:rPr>
          <w:b w:val="0"/>
          <w:sz w:val="18"/>
          <w:szCs w:val="18"/>
        </w:rPr>
      </w:pPr>
      <w:r w:rsidRPr="00D72C04">
        <w:rPr>
          <w:b w:val="0"/>
          <w:sz w:val="18"/>
          <w:szCs w:val="18"/>
        </w:rPr>
        <w:t>The authors would like to thank the Vicerrectorado de Investigación of the Universidad César Vallejo for financial support for the publication of this research.</w:t>
      </w:r>
    </w:p>
    <w:p w14:paraId="6F3CC6CE" w14:textId="75112B0A" w:rsidR="00F11542" w:rsidRPr="00D72C04" w:rsidRDefault="00F11542" w:rsidP="00BF4A22">
      <w:pPr>
        <w:pStyle w:val="CETReference"/>
        <w:rPr>
          <w:lang w:val="en-US"/>
        </w:rPr>
      </w:pPr>
      <w:r w:rsidRPr="00D72C04">
        <w:rPr>
          <w:lang w:val="en-US"/>
        </w:rPr>
        <w:t>References</w:t>
      </w:r>
    </w:p>
    <w:p w14:paraId="23019D58" w14:textId="77777777" w:rsidR="00BF4A22" w:rsidRPr="004B3E34" w:rsidRDefault="00BF4A22" w:rsidP="00BF4A22">
      <w:pPr>
        <w:pStyle w:val="CETReferencetext"/>
        <w:rPr>
          <w:lang w:val="en-US"/>
        </w:rPr>
      </w:pPr>
      <w:r w:rsidRPr="004B3E34">
        <w:rPr>
          <w:lang w:val="en-US"/>
        </w:rPr>
        <w:t>Ahmad J., Naeem S., Ahmad M., Usman A. R. A., Al-Wabel M.I., 2019, A critical review on organic micropollutants contamination in wastewater and removal through carbon nanotubes. Journal of Environmental Management, 246, 214-228.</w:t>
      </w:r>
    </w:p>
    <w:p w14:paraId="7582CBD1" w14:textId="0E18DB18" w:rsidR="00EF0A1D" w:rsidRPr="004B3E34" w:rsidRDefault="00EF0A1D" w:rsidP="00BF4A22">
      <w:pPr>
        <w:pStyle w:val="CETReferencetext"/>
        <w:rPr>
          <w:rStyle w:val="Hipervnculo"/>
          <w:color w:val="auto"/>
          <w:u w:val="none"/>
          <w:lang w:val="en-US"/>
        </w:rPr>
      </w:pPr>
      <w:r w:rsidRPr="004B3E34">
        <w:rPr>
          <w:lang w:val="en-US"/>
        </w:rPr>
        <w:t xml:space="preserve">ANA. National Water Authority. Headquarters Resolution No. 010-2016-ANA. National protocol for monitoring the quality of surface water resources, 2016. </w:t>
      </w:r>
      <w:hyperlink r:id="rId13" w:history="1">
        <w:r w:rsidRPr="004B3E34">
          <w:rPr>
            <w:rStyle w:val="Hipervnculo"/>
            <w:color w:val="auto"/>
            <w:u w:val="none"/>
            <w:lang w:val="en-US"/>
          </w:rPr>
          <w:t>www.ana.gob.pe/publicaciones/protocolo-nacional-para-el-monitoreo-de-la-calidad-de-los-recursos-hidricos- 0</w:t>
        </w:r>
      </w:hyperlink>
      <w:r w:rsidR="00C21AF8" w:rsidRPr="004B3E34">
        <w:rPr>
          <w:rStyle w:val="Hipervnculo"/>
          <w:color w:val="auto"/>
          <w:u w:val="none"/>
          <w:lang w:val="en-US"/>
        </w:rPr>
        <w:t>.</w:t>
      </w:r>
    </w:p>
    <w:p w14:paraId="7F021627" w14:textId="40CBB72C" w:rsidR="00C21AF8" w:rsidRPr="004B3E34" w:rsidRDefault="00C21AF8" w:rsidP="00BF4A22">
      <w:pPr>
        <w:pStyle w:val="CETReferencetext"/>
        <w:rPr>
          <w:lang w:val="en-US"/>
        </w:rPr>
      </w:pPr>
      <w:r w:rsidRPr="004B3E34">
        <w:rPr>
          <w:lang w:val="en-US"/>
        </w:rPr>
        <w:t>Aslam, M. M.-A., Kuo, H.-W., Den, W., Usman, M., Sultan, M., &amp; Ashraf, H. (2021). Functionalized Carbon Nanotubes (CNTs) for Water and Wastewater Treatment: Preparation to Application. Sustainability, 13(10), 5717. MDPI AG. Retrieved from http://dx.doi.org/10.3390/su13105717</w:t>
      </w:r>
    </w:p>
    <w:p w14:paraId="3104A2CE" w14:textId="793E29C6" w:rsidR="00632743" w:rsidRPr="004B3E34" w:rsidRDefault="00632743" w:rsidP="00BF4A22">
      <w:pPr>
        <w:pStyle w:val="CETReferencetext"/>
        <w:rPr>
          <w:lang w:val="en-US"/>
        </w:rPr>
      </w:pPr>
      <w:r w:rsidRPr="004B3E34">
        <w:rPr>
          <w:lang w:val="en-US"/>
        </w:rPr>
        <w:t>Awad, A. M., Jalab, R., Benamor, A., Nasser, M. S., Ba-Abbad, M. M., El-Naas, M., &amp; Mohammad, A. W. (2020). Adsorption of organic pollutants by nanomaterial-based adsorbents: An overview. Journal of Molecular Liquids, 301, 112335.</w:t>
      </w:r>
    </w:p>
    <w:p w14:paraId="1F4CF615" w14:textId="35D209A3" w:rsidR="00BF4A22" w:rsidRPr="004B3E34" w:rsidRDefault="00BF4A22" w:rsidP="00BF4A22">
      <w:pPr>
        <w:pStyle w:val="CETReferencetext"/>
        <w:rPr>
          <w:rFonts w:eastAsia="Calibri" w:cs="Arial"/>
          <w:szCs w:val="18"/>
          <w:lang w:val="en-US"/>
        </w:rPr>
      </w:pPr>
      <w:r w:rsidRPr="004B3E34">
        <w:rPr>
          <w:rFonts w:eastAsia="Calibri" w:cs="Arial"/>
          <w:szCs w:val="18"/>
          <w:lang w:val="en-US"/>
        </w:rPr>
        <w:t>Bittner E. W.,</w:t>
      </w:r>
      <w:r w:rsidR="009A3B63" w:rsidRPr="004B3E34">
        <w:rPr>
          <w:rFonts w:eastAsia="Calibri" w:cs="Arial"/>
          <w:szCs w:val="18"/>
          <w:lang w:val="en-US"/>
        </w:rPr>
        <w:t xml:space="preserve"> Smith, M. R., Bockrath B. C., </w:t>
      </w:r>
      <w:r w:rsidRPr="004B3E34">
        <w:rPr>
          <w:rFonts w:eastAsia="Calibri" w:cs="Arial"/>
          <w:szCs w:val="18"/>
          <w:lang w:val="en-US"/>
        </w:rPr>
        <w:t xml:space="preserve">2003, Characterization of the surfaces of single-walled carbon nanotubes using alcohols and hydrocarbons: a pulse adsorption technique. Carbon 41, 1231–1239.  </w:t>
      </w:r>
    </w:p>
    <w:p w14:paraId="529C92D7" w14:textId="77777777" w:rsidR="00EF0A1D" w:rsidRPr="004B3E34" w:rsidRDefault="00EF0A1D" w:rsidP="00BF4A22">
      <w:pPr>
        <w:pStyle w:val="CETReferencetext"/>
        <w:rPr>
          <w:lang w:val="en-US"/>
        </w:rPr>
      </w:pPr>
      <w:r w:rsidRPr="004B3E34">
        <w:rPr>
          <w:lang w:val="en-US"/>
        </w:rPr>
        <w:t>Burgos V., 2015, Evaluation of constructed wetlands planted with ornamental species in the elimination of organic matter, nutrients and pathogenic contaminants from wastewater of rural origin. Thesis, University of Concepción, Chile. (Spain).</w:t>
      </w:r>
    </w:p>
    <w:p w14:paraId="503132BC" w14:textId="5BBA20BD" w:rsidR="0074241B" w:rsidRPr="004B3E34" w:rsidRDefault="0074241B" w:rsidP="00BF4A22">
      <w:pPr>
        <w:pStyle w:val="CETReferencetext"/>
        <w:rPr>
          <w:lang w:val="en-US"/>
        </w:rPr>
      </w:pPr>
      <w:r w:rsidRPr="004B3E34">
        <w:rPr>
          <w:lang w:val="en-US"/>
        </w:rPr>
        <w:t>Casazza A. A., Rovatti M., 2019, Treatments of Wastewater in Rural Communities using a Pilot Plant Photobioreactor, Chemical Engineering Transactions, 74, 343-348</w:t>
      </w:r>
      <w:r w:rsidR="009A3B63" w:rsidRPr="004B3E34">
        <w:rPr>
          <w:lang w:val="en-US"/>
        </w:rPr>
        <w:t>.</w:t>
      </w:r>
    </w:p>
    <w:p w14:paraId="3801C238" w14:textId="47B56AAB" w:rsidR="00EF0A1D" w:rsidRPr="004B3E34" w:rsidRDefault="00EF0A1D" w:rsidP="00BF4A22">
      <w:pPr>
        <w:pStyle w:val="CETReferencetext"/>
        <w:rPr>
          <w:lang w:val="en-US"/>
        </w:rPr>
      </w:pPr>
      <w:r w:rsidRPr="004B3E34">
        <w:rPr>
          <w:lang w:val="en-US"/>
        </w:rPr>
        <w:t xml:space="preserve">Castro M., 2017, Reduction of the organic load of the effluent of the municipal slaughterhouse El Porvenir through treatment with aluminum sulfate at 1%. Thesis, </w:t>
      </w:r>
      <w:r w:rsidR="00601DE1" w:rsidRPr="004B3E34">
        <w:rPr>
          <w:lang w:val="en-US"/>
        </w:rPr>
        <w:t xml:space="preserve">César Vallejo University, Peru, </w:t>
      </w:r>
      <w:r w:rsidRPr="004B3E34">
        <w:rPr>
          <w:lang w:val="en-US"/>
        </w:rPr>
        <w:t>(Spain).</w:t>
      </w:r>
    </w:p>
    <w:p w14:paraId="2EB6C21D" w14:textId="5CDBC601" w:rsidR="00EF0A1D" w:rsidRPr="004B3E34" w:rsidRDefault="00EF0A1D" w:rsidP="00BF4A22">
      <w:pPr>
        <w:pStyle w:val="CETReferencetext"/>
        <w:rPr>
          <w:lang w:val="en-US"/>
        </w:rPr>
      </w:pPr>
      <w:r w:rsidRPr="004B3E34">
        <w:rPr>
          <w:lang w:val="en-US"/>
        </w:rPr>
        <w:t>Chalen J., Peñafiel M., Saltos A., 2017, Elimination of organic and inorganic matter present in the wastewater of a fruit pulp industry using an enzymatic catalyst. Domain of Sciences</w:t>
      </w:r>
      <w:r w:rsidR="00601DE1" w:rsidRPr="004B3E34">
        <w:rPr>
          <w:lang w:val="en-US"/>
        </w:rPr>
        <w:t xml:space="preserve"> (Spain), 3(3), 362-376</w:t>
      </w:r>
      <w:r w:rsidRPr="004B3E34">
        <w:rPr>
          <w:lang w:val="en-US"/>
        </w:rPr>
        <w:t>.</w:t>
      </w:r>
    </w:p>
    <w:p w14:paraId="0F29E031" w14:textId="77777777" w:rsidR="00EF0A1D" w:rsidRPr="004B3E34" w:rsidRDefault="00EF0A1D" w:rsidP="00BF4A22">
      <w:pPr>
        <w:pStyle w:val="CETReferencetext"/>
        <w:rPr>
          <w:lang w:val="en-US"/>
        </w:rPr>
      </w:pPr>
      <w:r w:rsidRPr="004B3E34">
        <w:rPr>
          <w:lang w:val="en-US"/>
        </w:rPr>
        <w:t>Chávez J., 2017, Efficiency of a biofilter in the reduction of organic load of an industrial effluent in the city of Celendín. Thesis, National University of Cajamarca, Peru, (Spain).</w:t>
      </w:r>
    </w:p>
    <w:p w14:paraId="0B2AF522" w14:textId="548A6249" w:rsidR="00BF4A22" w:rsidRPr="004B3E34" w:rsidRDefault="00BF4A22" w:rsidP="00BF4A22">
      <w:pPr>
        <w:pStyle w:val="CETReferencetext"/>
        <w:rPr>
          <w:lang w:val="en-US"/>
        </w:rPr>
      </w:pPr>
      <w:r w:rsidRPr="004B3E34">
        <w:rPr>
          <w:lang w:val="en-US"/>
        </w:rPr>
        <w:lastRenderedPageBreak/>
        <w:t>Chávez-Lizárraga G., 2018, Nanotechnology an alternative for wastewater treatment: Advances, Advantages and Disadvantages. Journal of the Selva Andina Research Society, 9(1), 52-61.</w:t>
      </w:r>
    </w:p>
    <w:p w14:paraId="350DE23D" w14:textId="34CEA0EE" w:rsidR="00057CE6" w:rsidRPr="004B3E34" w:rsidRDefault="00057CE6" w:rsidP="00BF4A22">
      <w:pPr>
        <w:pStyle w:val="CETReferencetext"/>
        <w:rPr>
          <w:lang w:val="en-US"/>
        </w:rPr>
      </w:pPr>
      <w:r w:rsidRPr="004B3E34">
        <w:rPr>
          <w:lang w:val="en-US"/>
        </w:rPr>
        <w:t xml:space="preserve">Das, R., Leo, B.F. &amp; Murphy, F., 2018, The Toxic Truth About Carbon Nanotubes in Water Purification: </w:t>
      </w:r>
      <w:proofErr w:type="gramStart"/>
      <w:r w:rsidRPr="004B3E34">
        <w:rPr>
          <w:lang w:val="en-US"/>
        </w:rPr>
        <w:t>a</w:t>
      </w:r>
      <w:proofErr w:type="gramEnd"/>
      <w:r w:rsidRPr="004B3E34">
        <w:rPr>
          <w:lang w:val="en-US"/>
        </w:rPr>
        <w:t xml:space="preserve"> Perspective View. Nanoscale Res Lett 13, 183. </w:t>
      </w:r>
    </w:p>
    <w:p w14:paraId="5C2709C3" w14:textId="77D2C5B7" w:rsidR="00BF4A22" w:rsidRPr="004B3E34" w:rsidRDefault="00BF4A22" w:rsidP="00BF4A22">
      <w:pPr>
        <w:pStyle w:val="CETReferencetext"/>
        <w:rPr>
          <w:lang w:val="en-US"/>
        </w:rPr>
      </w:pPr>
      <w:r w:rsidRPr="004B3E34">
        <w:rPr>
          <w:lang w:val="en-US"/>
        </w:rPr>
        <w:t>Guoqiang Y, Yang L</w:t>
      </w:r>
      <w:r w:rsidR="00F117BC" w:rsidRPr="004B3E34">
        <w:rPr>
          <w:lang w:val="en-US"/>
        </w:rPr>
        <w:t>.</w:t>
      </w:r>
      <w:r w:rsidRPr="004B3E34">
        <w:rPr>
          <w:lang w:val="en-US"/>
        </w:rPr>
        <w:t>, Jiang G, Manisha P</w:t>
      </w:r>
      <w:r w:rsidR="00F117BC" w:rsidRPr="004B3E34">
        <w:rPr>
          <w:lang w:val="en-US"/>
        </w:rPr>
        <w:t>.</w:t>
      </w:r>
      <w:r w:rsidRPr="004B3E34">
        <w:rPr>
          <w:lang w:val="en-US"/>
        </w:rPr>
        <w:t>, Adarsh B</w:t>
      </w:r>
      <w:r w:rsidR="00F117BC" w:rsidRPr="004B3E34">
        <w:rPr>
          <w:lang w:val="en-US"/>
        </w:rPr>
        <w:t>.</w:t>
      </w:r>
      <w:r w:rsidRPr="004B3E34">
        <w:rPr>
          <w:lang w:val="en-US"/>
        </w:rPr>
        <w:t>, Xifan W</w:t>
      </w:r>
      <w:r w:rsidR="00F117BC" w:rsidRPr="004B3E34">
        <w:rPr>
          <w:lang w:val="en-US"/>
        </w:rPr>
        <w:t>.</w:t>
      </w:r>
      <w:r w:rsidRPr="004B3E34">
        <w:rPr>
          <w:lang w:val="en-US"/>
        </w:rPr>
        <w:t>, Bin Q</w:t>
      </w:r>
      <w:r w:rsidR="00F117BC" w:rsidRPr="004B3E34">
        <w:rPr>
          <w:lang w:val="en-US"/>
        </w:rPr>
        <w:t>.</w:t>
      </w:r>
      <w:r w:rsidRPr="004B3E34">
        <w:rPr>
          <w:lang w:val="en-US"/>
        </w:rPr>
        <w:t>, Clayton J</w:t>
      </w:r>
      <w:r w:rsidR="00F117BC" w:rsidRPr="004B3E34">
        <w:rPr>
          <w:lang w:val="en-US"/>
        </w:rPr>
        <w:t>.</w:t>
      </w:r>
      <w:r w:rsidRPr="004B3E34">
        <w:rPr>
          <w:lang w:val="en-US"/>
        </w:rPr>
        <w:t>, Suying W</w:t>
      </w:r>
      <w:r w:rsidR="00F117BC" w:rsidRPr="004B3E34">
        <w:rPr>
          <w:lang w:val="en-US"/>
        </w:rPr>
        <w:t>.</w:t>
      </w:r>
      <w:r w:rsidRPr="004B3E34">
        <w:rPr>
          <w:lang w:val="en-US"/>
        </w:rPr>
        <w:t>, Zhanhu G</w:t>
      </w:r>
      <w:r w:rsidR="00F117BC" w:rsidRPr="004B3E34">
        <w:rPr>
          <w:lang w:val="en-US"/>
        </w:rPr>
        <w:t>.</w:t>
      </w:r>
      <w:r w:rsidRPr="004B3E34">
        <w:rPr>
          <w:lang w:val="en-US"/>
        </w:rPr>
        <w:t>, Evan K</w:t>
      </w:r>
      <w:r w:rsidR="00F117BC" w:rsidRPr="004B3E34">
        <w:rPr>
          <w:lang w:val="en-US"/>
        </w:rPr>
        <w:t>.</w:t>
      </w:r>
      <w:r w:rsidRPr="004B3E34">
        <w:rPr>
          <w:lang w:val="en-US"/>
        </w:rPr>
        <w:t>, 2018, Carbon nanotubes, graphene, and their derivatives for heavy metal removal. Adv Compos Hybrid Mater 1, 56 – 78.</w:t>
      </w:r>
    </w:p>
    <w:p w14:paraId="73881B06" w14:textId="7600923D" w:rsidR="00357780" w:rsidRPr="004B3E34" w:rsidRDefault="00357780" w:rsidP="00357780">
      <w:pPr>
        <w:pStyle w:val="CETReferencetext"/>
        <w:rPr>
          <w:lang w:val="en-US"/>
        </w:rPr>
      </w:pPr>
      <w:r w:rsidRPr="004B3E34">
        <w:rPr>
          <w:lang w:val="en-US"/>
        </w:rPr>
        <w:t xml:space="preserve">Jin-Gang Yu, Xiu-Hui Zhao, Hua Yang, Xiao-Hong Chen, Qiaoqin Yang, Lin-Yan Yu, Jian-Hui Jiang, Xiao-Qing Chen, 2014, Aqueous adsorption and removal of organic contaminants by carbon nanotubes, Science of The Total Environment, Volumes 482–483, Pages 241-251, ISSN 0048-9697, </w:t>
      </w:r>
    </w:p>
    <w:p w14:paraId="334AD08F" w14:textId="56DCC035" w:rsidR="003B400E" w:rsidRPr="004B3E34" w:rsidRDefault="003B400E" w:rsidP="00BF4A22">
      <w:pPr>
        <w:pStyle w:val="CETReferencetext"/>
        <w:rPr>
          <w:lang w:val="en-US"/>
        </w:rPr>
      </w:pPr>
      <w:r w:rsidRPr="004B3E34">
        <w:rPr>
          <w:lang w:val="en-US"/>
        </w:rPr>
        <w:t>Li, C., Yang, J., Zhang, L., Li, S., Yuan, Y., Xiao X., Fan X., Song C., 2021, Carbon-based membrane materials and applications in water and wastewater treatment: a review, Environ Chem Lett 19, 1457–1475.</w:t>
      </w:r>
    </w:p>
    <w:p w14:paraId="60AE6DC8" w14:textId="77777777" w:rsidR="00BF4A22" w:rsidRPr="004B3E34" w:rsidRDefault="00BF4A22" w:rsidP="00BF4A22">
      <w:pPr>
        <w:pStyle w:val="CETReferencetext"/>
        <w:rPr>
          <w:lang w:val="en-US"/>
        </w:rPr>
      </w:pPr>
      <w:r w:rsidRPr="004B3E34">
        <w:rPr>
          <w:lang w:val="en-US"/>
        </w:rPr>
        <w:t>Lu F., Astruc D., 2018, Nanomaterials for removal of toxic elements from water. Coord Chem Rev 2018, 35(6), 147- 164.</w:t>
      </w:r>
    </w:p>
    <w:p w14:paraId="11081E42" w14:textId="77777777" w:rsidR="00EF0A1D" w:rsidRPr="004B3E34" w:rsidRDefault="00EF0A1D" w:rsidP="00BF4A22">
      <w:pPr>
        <w:pStyle w:val="CETReferencetext"/>
        <w:rPr>
          <w:lang w:val="en-US"/>
        </w:rPr>
      </w:pPr>
      <w:r w:rsidRPr="004B3E34">
        <w:rPr>
          <w:lang w:val="en-US"/>
        </w:rPr>
        <w:t>MINAM - Ministry of the Environment,” Supreme Decree No. 004-2017-MINAM: Environmental Quality Standards (ECA) for Water, 2017. www.minam.gob.pe/wpcontent/uploads/2017/06/DS-004-2017 -MINAM.pdf.</w:t>
      </w:r>
    </w:p>
    <w:p w14:paraId="272C06CC" w14:textId="7C00C8C7" w:rsidR="00C21AF8" w:rsidRPr="004B3E34" w:rsidRDefault="00EF0A1D" w:rsidP="00C21AF8">
      <w:pPr>
        <w:pStyle w:val="CETReferencetext"/>
        <w:rPr>
          <w:lang w:val="en-US"/>
        </w:rPr>
      </w:pPr>
      <w:r w:rsidRPr="004B3E34">
        <w:rPr>
          <w:lang w:val="en-US"/>
        </w:rPr>
        <w:t>Mejía - López A., Cabrera M., Carrillo Y., 2019, Removal of organic contaminants present in domestic wastewater using a laboratory-scale prototype. La Granja: Life Sciences Magazine</w:t>
      </w:r>
      <w:r w:rsidR="00601DE1" w:rsidRPr="004B3E34">
        <w:rPr>
          <w:lang w:val="en-US"/>
        </w:rPr>
        <w:t xml:space="preserve"> (Spain), 26(2), 72 - 83.</w:t>
      </w:r>
    </w:p>
    <w:p w14:paraId="36827E71" w14:textId="4D3EC74E" w:rsidR="00EF0A1D" w:rsidRPr="004B3E34" w:rsidRDefault="00EF0A1D" w:rsidP="00BF4A22">
      <w:pPr>
        <w:pStyle w:val="CETReferencetext"/>
        <w:rPr>
          <w:lang w:val="en-US"/>
        </w:rPr>
      </w:pPr>
      <w:r w:rsidRPr="004B3E34">
        <w:rPr>
          <w:lang w:val="en-US"/>
        </w:rPr>
        <w:t>Moncada R., 2017, Efficiency of the slow sand filter treatment in the removal of organic load in effluents from the Flores Barranco market, 2017. Thesis, C</w:t>
      </w:r>
      <w:r w:rsidR="00495B2F" w:rsidRPr="004B3E34">
        <w:rPr>
          <w:lang w:val="en-US"/>
        </w:rPr>
        <w:t>e</w:t>
      </w:r>
      <w:r w:rsidRPr="004B3E34">
        <w:rPr>
          <w:lang w:val="en-US"/>
        </w:rPr>
        <w:t>sar Vallejo University, Peru, (Spain).</w:t>
      </w:r>
    </w:p>
    <w:p w14:paraId="276F4DD1" w14:textId="1BDBF68D" w:rsidR="00BF4A22" w:rsidRPr="004B3E34" w:rsidRDefault="00BF4A22" w:rsidP="00BF4A22">
      <w:pPr>
        <w:pStyle w:val="CETReferencetext"/>
        <w:rPr>
          <w:lang w:val="en-US"/>
        </w:rPr>
      </w:pPr>
      <w:r w:rsidRPr="004B3E34">
        <w:rPr>
          <w:lang w:val="en-US"/>
        </w:rPr>
        <w:t>Morose G., 2010, The 5</w:t>
      </w:r>
      <w:r w:rsidR="00495B2F" w:rsidRPr="004B3E34">
        <w:rPr>
          <w:lang w:val="en-US"/>
        </w:rPr>
        <w:t xml:space="preserve"> principles of </w:t>
      </w:r>
      <w:r w:rsidRPr="004B3E34">
        <w:rPr>
          <w:lang w:val="en-US"/>
        </w:rPr>
        <w:t>Design for Safer Nanotechnology. J Clean Prod 2010, 18(3), 285-289.</w:t>
      </w:r>
    </w:p>
    <w:p w14:paraId="7409139A" w14:textId="77777777" w:rsidR="00BF4A22" w:rsidRPr="004B3E34" w:rsidRDefault="00BF4A22" w:rsidP="00BF4A22">
      <w:pPr>
        <w:pStyle w:val="CETReferencetext"/>
        <w:rPr>
          <w:lang w:val="en-US"/>
        </w:rPr>
      </w:pPr>
      <w:r w:rsidRPr="004B3E34">
        <w:rPr>
          <w:lang w:val="en-US"/>
        </w:rPr>
        <w:t>Mubarak N. M., Sahu J. N., Abdullah E. C., Jayakumar N. S., 2014, Removal of Heavy Metals from Wastewater Using Carbon Nanotubes, Separation and Purification Reviews, 43(4), 311-338.</w:t>
      </w:r>
    </w:p>
    <w:p w14:paraId="251AE7B8" w14:textId="28F9F00B" w:rsidR="00357780" w:rsidRPr="004B3E34" w:rsidRDefault="00357780" w:rsidP="00357780">
      <w:pPr>
        <w:pStyle w:val="CETReferencetext"/>
        <w:rPr>
          <w:lang w:val="en-US"/>
        </w:rPr>
      </w:pPr>
      <w:r w:rsidRPr="004B3E34">
        <w:rPr>
          <w:lang w:val="en-US"/>
        </w:rPr>
        <w:t xml:space="preserve">Pan B, Xing B. </w:t>
      </w:r>
      <w:r w:rsidR="00474107" w:rsidRPr="004B3E34">
        <w:rPr>
          <w:lang w:val="en-US"/>
        </w:rPr>
        <w:t>2008</w:t>
      </w:r>
      <w:r w:rsidR="00474107" w:rsidRPr="004B3E34">
        <w:rPr>
          <w:lang w:val="en-US"/>
        </w:rPr>
        <w:t xml:space="preserve">, </w:t>
      </w:r>
      <w:r w:rsidRPr="004B3E34">
        <w:rPr>
          <w:lang w:val="en-US"/>
        </w:rPr>
        <w:t xml:space="preserve">Adsorption mechanisms of organic chemicals on carbon nanotubes. Environ Sci. </w:t>
      </w:r>
      <w:r w:rsidR="00AA3DE8" w:rsidRPr="004B3E34">
        <w:rPr>
          <w:lang w:val="en-US"/>
        </w:rPr>
        <w:t>Technol, 42</w:t>
      </w:r>
      <w:r w:rsidRPr="004B3E34">
        <w:rPr>
          <w:lang w:val="en-US"/>
        </w:rPr>
        <w:t>:9005–13.</w:t>
      </w:r>
    </w:p>
    <w:p w14:paraId="1B42027E" w14:textId="77777777" w:rsidR="00BF4A22" w:rsidRPr="004B3E34" w:rsidRDefault="00BF4A22" w:rsidP="00BF4A22">
      <w:pPr>
        <w:pStyle w:val="CETReferencetext"/>
        <w:rPr>
          <w:rFonts w:eastAsia="Calibri" w:cs="Arial"/>
          <w:szCs w:val="18"/>
          <w:lang w:val="en-US"/>
        </w:rPr>
      </w:pPr>
      <w:r w:rsidRPr="004B3E34">
        <w:rPr>
          <w:rFonts w:eastAsia="Calibri" w:cs="Arial"/>
          <w:szCs w:val="18"/>
          <w:lang w:val="en-US"/>
        </w:rPr>
        <w:t>Peng X. J., Jia J. J., Luan, Z. K., 2009, Application of carbon nanotubes in the feld of water treatment materials. Progress in Chemistry. 21, 1987–1992.</w:t>
      </w:r>
    </w:p>
    <w:p w14:paraId="4E6665E1" w14:textId="4C7360FE" w:rsidR="00BF4A22" w:rsidRPr="004B3E34" w:rsidRDefault="00BF4A22" w:rsidP="00BF4A22">
      <w:pPr>
        <w:pStyle w:val="CETReferencetext"/>
        <w:rPr>
          <w:lang w:val="en-US"/>
        </w:rPr>
      </w:pPr>
      <w:r w:rsidRPr="004B3E34">
        <w:rPr>
          <w:lang w:val="en-US"/>
        </w:rPr>
        <w:t>Rojas-Challa, Y., Méndez, F. J., Rondón, W., Rojas de Astudillo, L., 2016, Lead removal from aqueous sources using carbon nanotubes. Advances in Chemistry</w:t>
      </w:r>
      <w:r w:rsidR="00601DE1" w:rsidRPr="004B3E34">
        <w:rPr>
          <w:lang w:val="en-US"/>
        </w:rPr>
        <w:t xml:space="preserve"> (Spain),</w:t>
      </w:r>
      <w:r w:rsidRPr="004B3E34">
        <w:rPr>
          <w:lang w:val="en-US"/>
        </w:rPr>
        <w:t xml:space="preserve"> 11(2), 87-98.</w:t>
      </w:r>
    </w:p>
    <w:p w14:paraId="495F34DD" w14:textId="77777777" w:rsidR="00BF4A22" w:rsidRPr="004B3E34" w:rsidRDefault="00BF4A22" w:rsidP="00BF4A22">
      <w:pPr>
        <w:pStyle w:val="CETReferencetext"/>
        <w:rPr>
          <w:lang w:val="en-US"/>
        </w:rPr>
      </w:pPr>
      <w:r w:rsidRPr="004B3E34">
        <w:rPr>
          <w:lang w:val="en-US"/>
        </w:rPr>
        <w:t>Sadia J. A., Zhou Z., 2016, Electrochemical carbon nanotube filters for water and wastewater treatment. Nanotechnology Reviews, 5(1), 41-50.</w:t>
      </w:r>
    </w:p>
    <w:p w14:paraId="397CE218" w14:textId="561149DD" w:rsidR="0074241B" w:rsidRPr="004B3E34" w:rsidRDefault="0074241B" w:rsidP="00BF4A22">
      <w:pPr>
        <w:pStyle w:val="CETReferencetext"/>
        <w:rPr>
          <w:lang w:val="en-US"/>
        </w:rPr>
      </w:pPr>
      <w:r w:rsidRPr="004B3E34">
        <w:rPr>
          <w:lang w:val="en-US"/>
        </w:rPr>
        <w:t>Vuppalaa S., Cianfrinia C., Stoller M., 2019, Pre-Treatment Processes Optimization for the Purification of Olive Mill Wastewater through a Pilot-Scale Membrane Plant, Chemical Engineering Transactions, 73, 271-276</w:t>
      </w:r>
    </w:p>
    <w:p w14:paraId="52C994B9" w14:textId="7BF83EC0" w:rsidR="00FB4A1F" w:rsidRPr="004B3E34" w:rsidRDefault="00FB4A1F" w:rsidP="00BF4A22">
      <w:pPr>
        <w:pStyle w:val="CETReferencetext"/>
        <w:rPr>
          <w:lang w:val="en-US"/>
        </w:rPr>
      </w:pPr>
      <w:r w:rsidRPr="004B3E34">
        <w:rPr>
          <w:lang w:val="en-US"/>
        </w:rPr>
        <w:t xml:space="preserve">Wang, C., Wei, Z., Feng, M., Wang, L. and Wang, Z., 2014, The effects of hydroxylated multiwalled carbon nanotubes on the toxicity of nickel to Daphnia magna under different pH levels. Environ Toxicol Chem, 33: 2522-2528. </w:t>
      </w:r>
    </w:p>
    <w:p w14:paraId="1E185ACF" w14:textId="6DFEE835" w:rsidR="007B6F4A" w:rsidRPr="004B3E34" w:rsidRDefault="007B6F4A" w:rsidP="007B6F4A">
      <w:pPr>
        <w:pStyle w:val="CETReferencetext"/>
        <w:rPr>
          <w:rFonts w:eastAsia="Calibri" w:cs="Arial"/>
          <w:szCs w:val="18"/>
          <w:lang w:val="en-US"/>
        </w:rPr>
      </w:pPr>
      <w:r w:rsidRPr="004B3E34">
        <w:rPr>
          <w:rFonts w:eastAsia="Calibri" w:cs="Arial"/>
          <w:szCs w:val="18"/>
          <w:lang w:val="en-US"/>
        </w:rPr>
        <w:t xml:space="preserve">Xiaolei Qu, Jonathon Brame, Qilin Li, and Pedro J. J. Alvarez, </w:t>
      </w:r>
      <w:r w:rsidR="00C252FD" w:rsidRPr="004B3E34">
        <w:rPr>
          <w:rFonts w:eastAsia="Calibri" w:cs="Arial"/>
          <w:szCs w:val="18"/>
          <w:lang w:val="en-US"/>
        </w:rPr>
        <w:t xml:space="preserve">2013, </w:t>
      </w:r>
      <w:r w:rsidRPr="004B3E34">
        <w:rPr>
          <w:rFonts w:eastAsia="Calibri" w:cs="Arial"/>
          <w:szCs w:val="18"/>
          <w:lang w:val="en-US"/>
        </w:rPr>
        <w:t>Nanotechnology for a Safe and Sustainable Water Supply: Enabling Integrated Water Treatment and Reuse. Accounts of Chemical Research</w:t>
      </w:r>
      <w:r w:rsidR="00C252FD" w:rsidRPr="004B3E34">
        <w:rPr>
          <w:rFonts w:eastAsia="Calibri" w:cs="Arial"/>
          <w:szCs w:val="18"/>
          <w:lang w:val="en-US"/>
        </w:rPr>
        <w:t>,</w:t>
      </w:r>
      <w:r w:rsidRPr="004B3E34">
        <w:rPr>
          <w:rFonts w:eastAsia="Calibri" w:cs="Arial"/>
          <w:szCs w:val="18"/>
          <w:lang w:val="en-US"/>
        </w:rPr>
        <w:t xml:space="preserve"> 46 (3), 834-843. </w:t>
      </w:r>
    </w:p>
    <w:p w14:paraId="6499BC77" w14:textId="7D0A375C" w:rsidR="002D3285" w:rsidRPr="004B3E34" w:rsidRDefault="002D3285" w:rsidP="00BF4A22">
      <w:pPr>
        <w:pStyle w:val="CETReferencetext"/>
        <w:rPr>
          <w:rFonts w:eastAsia="Calibri" w:cs="Arial"/>
          <w:szCs w:val="18"/>
          <w:lang w:val="en-US"/>
        </w:rPr>
      </w:pPr>
      <w:r w:rsidRPr="004B3E34">
        <w:rPr>
          <w:rFonts w:eastAsia="Calibri" w:cs="Arial"/>
          <w:szCs w:val="18"/>
          <w:lang w:val="en-US"/>
        </w:rPr>
        <w:t>XFNANO, Jiangsu XFNANO Materials Tech Co., Ltda. SEM of XFQ044 industrial grade MWCNTs, Multiple Wall Carbon Nanotube 20-40 nm, 2019. www.en.xfnano.com.</w:t>
      </w:r>
    </w:p>
    <w:p w14:paraId="1A694101" w14:textId="77777777" w:rsidR="00BF4A22" w:rsidRPr="004B3E34" w:rsidRDefault="00BF4A22" w:rsidP="00BF4A22">
      <w:pPr>
        <w:pStyle w:val="CETReferencetext"/>
        <w:rPr>
          <w:lang w:val="en-US"/>
        </w:rPr>
      </w:pPr>
      <w:r w:rsidRPr="004B3E34">
        <w:rPr>
          <w:lang w:val="en-US"/>
        </w:rPr>
        <w:t>Zha Y., Wang Y., Liu S., Yang Y., Jiang H., Zhang Y., Qi L., Wang H., 2018, Adsorption characteristics of organics in the effluent of ultra-short SRT wastewater treatment by single-walled, multi-walled, and graphitized multi-walled carbon nanotubes. Scientific reports 8, 17245</w:t>
      </w:r>
    </w:p>
    <w:p w14:paraId="52EF8B25" w14:textId="1D2B2805" w:rsidR="00BF4A22" w:rsidRPr="004B3E34" w:rsidRDefault="00BF4A22" w:rsidP="00BF4A22">
      <w:pPr>
        <w:pStyle w:val="CETReferencetext"/>
        <w:rPr>
          <w:lang w:val="en-US"/>
        </w:rPr>
      </w:pPr>
      <w:r w:rsidRPr="004B3E34">
        <w:rPr>
          <w:lang w:val="en-US"/>
        </w:rPr>
        <w:t>Zhang W., 2003, Nanoscale Iron Particles for Environmental Remediation. An Overview. Journal of Nanoparticle Research 5, 323 – 332.</w:t>
      </w:r>
    </w:p>
    <w:p w14:paraId="1409D5A1" w14:textId="77777777" w:rsidR="00B37158" w:rsidRPr="004B3E34" w:rsidRDefault="00B37158" w:rsidP="00B37158">
      <w:pPr>
        <w:pStyle w:val="CETBodytext"/>
      </w:pPr>
    </w:p>
    <w:sectPr w:rsidR="00B37158" w:rsidRPr="004B3E34"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F0CF8" w14:textId="77777777" w:rsidR="008273F0" w:rsidRDefault="008273F0" w:rsidP="004F5E36">
      <w:r>
        <w:separator/>
      </w:r>
    </w:p>
  </w:endnote>
  <w:endnote w:type="continuationSeparator" w:id="0">
    <w:p w14:paraId="579A257F" w14:textId="77777777" w:rsidR="008273F0" w:rsidRDefault="008273F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EF30C" w14:textId="77777777" w:rsidR="008273F0" w:rsidRDefault="008273F0" w:rsidP="004F5E36">
      <w:r>
        <w:separator/>
      </w:r>
    </w:p>
  </w:footnote>
  <w:footnote w:type="continuationSeparator" w:id="0">
    <w:p w14:paraId="5B9351EE" w14:textId="77777777" w:rsidR="008273F0" w:rsidRDefault="008273F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FA6162C"/>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3970" w:firstLine="0"/>
      </w:pPr>
      <w:rPr>
        <w:rFonts w:hint="default"/>
      </w:rPr>
    </w:lvl>
    <w:lvl w:ilvl="2">
      <w:start w:val="1"/>
      <w:numFmt w:val="decimal"/>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7DB3D2B"/>
    <w:multiLevelType w:val="hybridMultilevel"/>
    <w:tmpl w:val="29C01B8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486FEF"/>
    <w:multiLevelType w:val="hybridMultilevel"/>
    <w:tmpl w:val="DE16AAF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CFD5553"/>
    <w:multiLevelType w:val="multilevel"/>
    <w:tmpl w:val="158856DA"/>
    <w:lvl w:ilvl="0">
      <w:start w:val="2"/>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040" w:hanging="108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2580454"/>
    <w:multiLevelType w:val="hybridMultilevel"/>
    <w:tmpl w:val="C74069F4"/>
    <w:lvl w:ilvl="0" w:tplc="567AEF2A">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2E126E5"/>
    <w:multiLevelType w:val="multilevel"/>
    <w:tmpl w:val="D660BE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ED76E87"/>
    <w:multiLevelType w:val="hybridMultilevel"/>
    <w:tmpl w:val="D4A2EFD2"/>
    <w:lvl w:ilvl="0" w:tplc="280A000F">
      <w:start w:val="4"/>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0"/>
  </w:num>
  <w:num w:numId="13">
    <w:abstractNumId w:val="13"/>
  </w:num>
  <w:num w:numId="14">
    <w:abstractNumId w:val="21"/>
  </w:num>
  <w:num w:numId="15">
    <w:abstractNumId w:val="25"/>
  </w:num>
  <w:num w:numId="16">
    <w:abstractNumId w:val="24"/>
  </w:num>
  <w:num w:numId="17">
    <w:abstractNumId w:val="12"/>
  </w:num>
  <w:num w:numId="18">
    <w:abstractNumId w:val="13"/>
    <w:lvlOverride w:ilvl="0">
      <w:startOverride w:val="1"/>
    </w:lvlOverride>
  </w:num>
  <w:num w:numId="19">
    <w:abstractNumId w:val="19"/>
  </w:num>
  <w:num w:numId="20">
    <w:abstractNumId w:val="18"/>
  </w:num>
  <w:num w:numId="21">
    <w:abstractNumId w:val="16"/>
  </w:num>
  <w:num w:numId="22">
    <w:abstractNumId w:val="14"/>
  </w:num>
  <w:num w:numId="23">
    <w:abstractNumId w:val="15"/>
  </w:num>
  <w:num w:numId="24">
    <w:abstractNumId w:val="22"/>
  </w:num>
  <w:num w:numId="25">
    <w:abstractNumId w:val="10"/>
    <w:lvlOverride w:ilvl="0">
      <w:startOverride w:val="1"/>
    </w:lvlOverride>
    <w:lvlOverride w:ilvl="1">
      <w:startOverride w:val="4"/>
    </w:lvlOverride>
  </w:num>
  <w:num w:numId="26">
    <w:abstractNumId w:val="11"/>
  </w:num>
  <w:num w:numId="27">
    <w:abstractNumId w:val="17"/>
  </w:num>
  <w:num w:numId="28">
    <w:abstractNumId w:val="2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9"/>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2D7E"/>
    <w:rsid w:val="00013BD2"/>
    <w:rsid w:val="0003148D"/>
    <w:rsid w:val="00031EEC"/>
    <w:rsid w:val="000427E0"/>
    <w:rsid w:val="000479E5"/>
    <w:rsid w:val="00051566"/>
    <w:rsid w:val="000562A9"/>
    <w:rsid w:val="00057CE6"/>
    <w:rsid w:val="000606D2"/>
    <w:rsid w:val="00062761"/>
    <w:rsid w:val="00062A9A"/>
    <w:rsid w:val="00065058"/>
    <w:rsid w:val="00086C39"/>
    <w:rsid w:val="000A03B2"/>
    <w:rsid w:val="000A3397"/>
    <w:rsid w:val="000B02B5"/>
    <w:rsid w:val="000B108E"/>
    <w:rsid w:val="000D0268"/>
    <w:rsid w:val="000D34BE"/>
    <w:rsid w:val="000D6D0F"/>
    <w:rsid w:val="000E102F"/>
    <w:rsid w:val="000E36F1"/>
    <w:rsid w:val="000E3A73"/>
    <w:rsid w:val="000E414A"/>
    <w:rsid w:val="000E5F5F"/>
    <w:rsid w:val="000F093C"/>
    <w:rsid w:val="000F787B"/>
    <w:rsid w:val="00101DD5"/>
    <w:rsid w:val="0012091F"/>
    <w:rsid w:val="00126BC2"/>
    <w:rsid w:val="001308B6"/>
    <w:rsid w:val="0013121F"/>
    <w:rsid w:val="00131FE6"/>
    <w:rsid w:val="0013263F"/>
    <w:rsid w:val="001331DF"/>
    <w:rsid w:val="00134DE4"/>
    <w:rsid w:val="0014034D"/>
    <w:rsid w:val="00144D16"/>
    <w:rsid w:val="00150D0F"/>
    <w:rsid w:val="00150E59"/>
    <w:rsid w:val="00152DE3"/>
    <w:rsid w:val="00156DF6"/>
    <w:rsid w:val="00164CF9"/>
    <w:rsid w:val="001667A6"/>
    <w:rsid w:val="001746BC"/>
    <w:rsid w:val="00177E23"/>
    <w:rsid w:val="0018024A"/>
    <w:rsid w:val="00184AD6"/>
    <w:rsid w:val="001A0DD9"/>
    <w:rsid w:val="001A4AF7"/>
    <w:rsid w:val="001B0349"/>
    <w:rsid w:val="001B1E93"/>
    <w:rsid w:val="001B65C1"/>
    <w:rsid w:val="001C2C33"/>
    <w:rsid w:val="001C379C"/>
    <w:rsid w:val="001C4C1C"/>
    <w:rsid w:val="001C684B"/>
    <w:rsid w:val="001D0CFB"/>
    <w:rsid w:val="001D21AF"/>
    <w:rsid w:val="001D53FC"/>
    <w:rsid w:val="001D5E08"/>
    <w:rsid w:val="001E2AA9"/>
    <w:rsid w:val="001E5EDD"/>
    <w:rsid w:val="001F0872"/>
    <w:rsid w:val="001F42A5"/>
    <w:rsid w:val="001F7B9D"/>
    <w:rsid w:val="00201C93"/>
    <w:rsid w:val="00203BE2"/>
    <w:rsid w:val="00203CEB"/>
    <w:rsid w:val="0020519C"/>
    <w:rsid w:val="00216B9E"/>
    <w:rsid w:val="002224B4"/>
    <w:rsid w:val="00222ADF"/>
    <w:rsid w:val="00230C84"/>
    <w:rsid w:val="0023269D"/>
    <w:rsid w:val="002447EF"/>
    <w:rsid w:val="00246C04"/>
    <w:rsid w:val="00251550"/>
    <w:rsid w:val="002521B4"/>
    <w:rsid w:val="00263B05"/>
    <w:rsid w:val="00267DE6"/>
    <w:rsid w:val="0027221A"/>
    <w:rsid w:val="00275B61"/>
    <w:rsid w:val="00280FAF"/>
    <w:rsid w:val="00282656"/>
    <w:rsid w:val="002840DA"/>
    <w:rsid w:val="002946BC"/>
    <w:rsid w:val="00296B83"/>
    <w:rsid w:val="00297CF3"/>
    <w:rsid w:val="002A10DE"/>
    <w:rsid w:val="002B3FFF"/>
    <w:rsid w:val="002B4015"/>
    <w:rsid w:val="002B78CE"/>
    <w:rsid w:val="002C04A8"/>
    <w:rsid w:val="002C2FB6"/>
    <w:rsid w:val="002D03A9"/>
    <w:rsid w:val="002D3285"/>
    <w:rsid w:val="002E0B57"/>
    <w:rsid w:val="002E5FA7"/>
    <w:rsid w:val="002F3309"/>
    <w:rsid w:val="003008CE"/>
    <w:rsid w:val="003009B7"/>
    <w:rsid w:val="00300E56"/>
    <w:rsid w:val="0030152C"/>
    <w:rsid w:val="0030469C"/>
    <w:rsid w:val="00311725"/>
    <w:rsid w:val="00321B20"/>
    <w:rsid w:val="00321CA6"/>
    <w:rsid w:val="00323763"/>
    <w:rsid w:val="00323C5F"/>
    <w:rsid w:val="00327AA9"/>
    <w:rsid w:val="00332E34"/>
    <w:rsid w:val="00333F37"/>
    <w:rsid w:val="00334C09"/>
    <w:rsid w:val="0034033F"/>
    <w:rsid w:val="0034059C"/>
    <w:rsid w:val="00341339"/>
    <w:rsid w:val="00341D70"/>
    <w:rsid w:val="00343259"/>
    <w:rsid w:val="00345005"/>
    <w:rsid w:val="00355B00"/>
    <w:rsid w:val="00357780"/>
    <w:rsid w:val="0036263B"/>
    <w:rsid w:val="003723D4"/>
    <w:rsid w:val="00372E71"/>
    <w:rsid w:val="003764A7"/>
    <w:rsid w:val="00381905"/>
    <w:rsid w:val="00383E69"/>
    <w:rsid w:val="00384CC8"/>
    <w:rsid w:val="003871FD"/>
    <w:rsid w:val="00392C07"/>
    <w:rsid w:val="003A1E30"/>
    <w:rsid w:val="003A2829"/>
    <w:rsid w:val="003A2F94"/>
    <w:rsid w:val="003A7D1C"/>
    <w:rsid w:val="003B2247"/>
    <w:rsid w:val="003B304B"/>
    <w:rsid w:val="003B3146"/>
    <w:rsid w:val="003B3B1B"/>
    <w:rsid w:val="003B400E"/>
    <w:rsid w:val="003C1DA5"/>
    <w:rsid w:val="003E4995"/>
    <w:rsid w:val="003E67A4"/>
    <w:rsid w:val="003F015E"/>
    <w:rsid w:val="00400414"/>
    <w:rsid w:val="00412276"/>
    <w:rsid w:val="0041446B"/>
    <w:rsid w:val="00422404"/>
    <w:rsid w:val="00437DDA"/>
    <w:rsid w:val="0044071E"/>
    <w:rsid w:val="0044329C"/>
    <w:rsid w:val="004468F1"/>
    <w:rsid w:val="00453E24"/>
    <w:rsid w:val="00457456"/>
    <w:rsid w:val="004577FE"/>
    <w:rsid w:val="00457B9C"/>
    <w:rsid w:val="0046164A"/>
    <w:rsid w:val="004628D2"/>
    <w:rsid w:val="00462DCD"/>
    <w:rsid w:val="004648AD"/>
    <w:rsid w:val="004703A9"/>
    <w:rsid w:val="00474107"/>
    <w:rsid w:val="004760DE"/>
    <w:rsid w:val="004763D7"/>
    <w:rsid w:val="00481D36"/>
    <w:rsid w:val="00486676"/>
    <w:rsid w:val="00495B2F"/>
    <w:rsid w:val="004A004E"/>
    <w:rsid w:val="004A0EA3"/>
    <w:rsid w:val="004A213D"/>
    <w:rsid w:val="004A24CF"/>
    <w:rsid w:val="004A7A09"/>
    <w:rsid w:val="004B3E34"/>
    <w:rsid w:val="004B4A66"/>
    <w:rsid w:val="004C0C95"/>
    <w:rsid w:val="004C3D1D"/>
    <w:rsid w:val="004C3D84"/>
    <w:rsid w:val="004C4C83"/>
    <w:rsid w:val="004C7913"/>
    <w:rsid w:val="004D7A1D"/>
    <w:rsid w:val="004E19F2"/>
    <w:rsid w:val="004E4DD6"/>
    <w:rsid w:val="004E7236"/>
    <w:rsid w:val="004F5E36"/>
    <w:rsid w:val="00507B47"/>
    <w:rsid w:val="00507BEF"/>
    <w:rsid w:val="00507CC9"/>
    <w:rsid w:val="005119A5"/>
    <w:rsid w:val="005278B7"/>
    <w:rsid w:val="00532016"/>
    <w:rsid w:val="005346C8"/>
    <w:rsid w:val="00536865"/>
    <w:rsid w:val="00543E7D"/>
    <w:rsid w:val="00547A68"/>
    <w:rsid w:val="005531C9"/>
    <w:rsid w:val="0055481B"/>
    <w:rsid w:val="00570C43"/>
    <w:rsid w:val="00573FBD"/>
    <w:rsid w:val="00584D43"/>
    <w:rsid w:val="00592D99"/>
    <w:rsid w:val="005A1433"/>
    <w:rsid w:val="005B2110"/>
    <w:rsid w:val="005B4EC0"/>
    <w:rsid w:val="005B61E6"/>
    <w:rsid w:val="005C77E1"/>
    <w:rsid w:val="005D668A"/>
    <w:rsid w:val="005D6A2F"/>
    <w:rsid w:val="005D7014"/>
    <w:rsid w:val="005E1A82"/>
    <w:rsid w:val="005E6B7F"/>
    <w:rsid w:val="005E7277"/>
    <w:rsid w:val="005E794C"/>
    <w:rsid w:val="005F0A28"/>
    <w:rsid w:val="005F0E5E"/>
    <w:rsid w:val="005F57F5"/>
    <w:rsid w:val="005F6582"/>
    <w:rsid w:val="00600535"/>
    <w:rsid w:val="00601DE1"/>
    <w:rsid w:val="00603F78"/>
    <w:rsid w:val="00610CD6"/>
    <w:rsid w:val="006111A7"/>
    <w:rsid w:val="00620DEE"/>
    <w:rsid w:val="00621F92"/>
    <w:rsid w:val="0062280A"/>
    <w:rsid w:val="00625639"/>
    <w:rsid w:val="00631B33"/>
    <w:rsid w:val="00632743"/>
    <w:rsid w:val="0064184D"/>
    <w:rsid w:val="006422CC"/>
    <w:rsid w:val="00646AD0"/>
    <w:rsid w:val="0065506B"/>
    <w:rsid w:val="00660E3E"/>
    <w:rsid w:val="00662E74"/>
    <w:rsid w:val="0066751D"/>
    <w:rsid w:val="00667D32"/>
    <w:rsid w:val="00672C2C"/>
    <w:rsid w:val="00675A98"/>
    <w:rsid w:val="00680C23"/>
    <w:rsid w:val="00693766"/>
    <w:rsid w:val="006A3281"/>
    <w:rsid w:val="006A3538"/>
    <w:rsid w:val="006A5C95"/>
    <w:rsid w:val="006B0C4A"/>
    <w:rsid w:val="006B4888"/>
    <w:rsid w:val="006B5E55"/>
    <w:rsid w:val="006B67E2"/>
    <w:rsid w:val="006C2E45"/>
    <w:rsid w:val="006C359C"/>
    <w:rsid w:val="006C49EB"/>
    <w:rsid w:val="006C5579"/>
    <w:rsid w:val="006C6387"/>
    <w:rsid w:val="006D0A8D"/>
    <w:rsid w:val="006D4F97"/>
    <w:rsid w:val="006D6E8B"/>
    <w:rsid w:val="006D7BE5"/>
    <w:rsid w:val="006E22B3"/>
    <w:rsid w:val="006E737D"/>
    <w:rsid w:val="0070573C"/>
    <w:rsid w:val="00711168"/>
    <w:rsid w:val="00713973"/>
    <w:rsid w:val="00717A10"/>
    <w:rsid w:val="00720A24"/>
    <w:rsid w:val="00732386"/>
    <w:rsid w:val="0073514D"/>
    <w:rsid w:val="00737E71"/>
    <w:rsid w:val="0074241B"/>
    <w:rsid w:val="007447F3"/>
    <w:rsid w:val="00744BFE"/>
    <w:rsid w:val="0075175F"/>
    <w:rsid w:val="00754566"/>
    <w:rsid w:val="0075499F"/>
    <w:rsid w:val="0075506D"/>
    <w:rsid w:val="00760DEB"/>
    <w:rsid w:val="007661C8"/>
    <w:rsid w:val="0077098D"/>
    <w:rsid w:val="00773FC2"/>
    <w:rsid w:val="00784BF5"/>
    <w:rsid w:val="007853EF"/>
    <w:rsid w:val="00790DCA"/>
    <w:rsid w:val="007931FA"/>
    <w:rsid w:val="007A13D9"/>
    <w:rsid w:val="007A4861"/>
    <w:rsid w:val="007A7BBA"/>
    <w:rsid w:val="007B0C50"/>
    <w:rsid w:val="007B48F9"/>
    <w:rsid w:val="007B6F4A"/>
    <w:rsid w:val="007C1A43"/>
    <w:rsid w:val="007C649C"/>
    <w:rsid w:val="007D0951"/>
    <w:rsid w:val="007E6C14"/>
    <w:rsid w:val="007F1177"/>
    <w:rsid w:val="007F4DDE"/>
    <w:rsid w:val="0080013E"/>
    <w:rsid w:val="0081190B"/>
    <w:rsid w:val="00811E1A"/>
    <w:rsid w:val="00813288"/>
    <w:rsid w:val="008168FC"/>
    <w:rsid w:val="008273F0"/>
    <w:rsid w:val="00830996"/>
    <w:rsid w:val="008345F1"/>
    <w:rsid w:val="00835634"/>
    <w:rsid w:val="008560E3"/>
    <w:rsid w:val="00865B07"/>
    <w:rsid w:val="008667EA"/>
    <w:rsid w:val="008673E3"/>
    <w:rsid w:val="008729E8"/>
    <w:rsid w:val="0087332A"/>
    <w:rsid w:val="0087637F"/>
    <w:rsid w:val="00886F40"/>
    <w:rsid w:val="00892AD5"/>
    <w:rsid w:val="00897CE5"/>
    <w:rsid w:val="008A1512"/>
    <w:rsid w:val="008B4373"/>
    <w:rsid w:val="008C68ED"/>
    <w:rsid w:val="008D32B9"/>
    <w:rsid w:val="008D433B"/>
    <w:rsid w:val="008D4A16"/>
    <w:rsid w:val="008D78C8"/>
    <w:rsid w:val="008E3789"/>
    <w:rsid w:val="008E566E"/>
    <w:rsid w:val="008F5A50"/>
    <w:rsid w:val="0090161A"/>
    <w:rsid w:val="00901EB6"/>
    <w:rsid w:val="00904C62"/>
    <w:rsid w:val="00922BA8"/>
    <w:rsid w:val="009233A6"/>
    <w:rsid w:val="00924DAC"/>
    <w:rsid w:val="00927058"/>
    <w:rsid w:val="00941CD8"/>
    <w:rsid w:val="00942750"/>
    <w:rsid w:val="00943073"/>
    <w:rsid w:val="009441F5"/>
    <w:rsid w:val="009450CE"/>
    <w:rsid w:val="009459BB"/>
    <w:rsid w:val="00947179"/>
    <w:rsid w:val="0095164B"/>
    <w:rsid w:val="00954090"/>
    <w:rsid w:val="009573E7"/>
    <w:rsid w:val="00963E05"/>
    <w:rsid w:val="00964A45"/>
    <w:rsid w:val="00967843"/>
    <w:rsid w:val="00967D54"/>
    <w:rsid w:val="00971028"/>
    <w:rsid w:val="00972D9B"/>
    <w:rsid w:val="009770D5"/>
    <w:rsid w:val="00993B84"/>
    <w:rsid w:val="00996483"/>
    <w:rsid w:val="00996F5A"/>
    <w:rsid w:val="009A3B63"/>
    <w:rsid w:val="009B041A"/>
    <w:rsid w:val="009B1D21"/>
    <w:rsid w:val="009C37C3"/>
    <w:rsid w:val="009C7C86"/>
    <w:rsid w:val="009D0B2B"/>
    <w:rsid w:val="009D2FF7"/>
    <w:rsid w:val="009D5581"/>
    <w:rsid w:val="009E7884"/>
    <w:rsid w:val="009E788A"/>
    <w:rsid w:val="009F0E08"/>
    <w:rsid w:val="009F3B79"/>
    <w:rsid w:val="009F4E86"/>
    <w:rsid w:val="00A008AD"/>
    <w:rsid w:val="00A05C98"/>
    <w:rsid w:val="00A12034"/>
    <w:rsid w:val="00A1763D"/>
    <w:rsid w:val="00A17CEC"/>
    <w:rsid w:val="00A20C72"/>
    <w:rsid w:val="00A21A07"/>
    <w:rsid w:val="00A276FC"/>
    <w:rsid w:val="00A27EF0"/>
    <w:rsid w:val="00A32C4A"/>
    <w:rsid w:val="00A411BE"/>
    <w:rsid w:val="00A42361"/>
    <w:rsid w:val="00A50B20"/>
    <w:rsid w:val="00A51390"/>
    <w:rsid w:val="00A60D13"/>
    <w:rsid w:val="00A670B2"/>
    <w:rsid w:val="00A7223D"/>
    <w:rsid w:val="00A72745"/>
    <w:rsid w:val="00A731B9"/>
    <w:rsid w:val="00A76EFC"/>
    <w:rsid w:val="00A87D50"/>
    <w:rsid w:val="00A91010"/>
    <w:rsid w:val="00A97F29"/>
    <w:rsid w:val="00AA3252"/>
    <w:rsid w:val="00AA3DE8"/>
    <w:rsid w:val="00AA702E"/>
    <w:rsid w:val="00AA7D26"/>
    <w:rsid w:val="00AB0964"/>
    <w:rsid w:val="00AB4EA6"/>
    <w:rsid w:val="00AB5011"/>
    <w:rsid w:val="00AB61D3"/>
    <w:rsid w:val="00AC07DB"/>
    <w:rsid w:val="00AC0CE8"/>
    <w:rsid w:val="00AC166D"/>
    <w:rsid w:val="00AC7368"/>
    <w:rsid w:val="00AD16B9"/>
    <w:rsid w:val="00AD261A"/>
    <w:rsid w:val="00AD764D"/>
    <w:rsid w:val="00AE377D"/>
    <w:rsid w:val="00AF0EBA"/>
    <w:rsid w:val="00AF5C05"/>
    <w:rsid w:val="00AF6227"/>
    <w:rsid w:val="00B02C8A"/>
    <w:rsid w:val="00B114DE"/>
    <w:rsid w:val="00B17FBD"/>
    <w:rsid w:val="00B300B2"/>
    <w:rsid w:val="00B315A6"/>
    <w:rsid w:val="00B31813"/>
    <w:rsid w:val="00B33365"/>
    <w:rsid w:val="00B37158"/>
    <w:rsid w:val="00B40A4B"/>
    <w:rsid w:val="00B51ACA"/>
    <w:rsid w:val="00B52857"/>
    <w:rsid w:val="00B56463"/>
    <w:rsid w:val="00B57B36"/>
    <w:rsid w:val="00B57E6F"/>
    <w:rsid w:val="00B71864"/>
    <w:rsid w:val="00B72E14"/>
    <w:rsid w:val="00B766F4"/>
    <w:rsid w:val="00B838E6"/>
    <w:rsid w:val="00B8686D"/>
    <w:rsid w:val="00B93F69"/>
    <w:rsid w:val="00B94417"/>
    <w:rsid w:val="00BA2163"/>
    <w:rsid w:val="00BA74EB"/>
    <w:rsid w:val="00BB1782"/>
    <w:rsid w:val="00BB1DDC"/>
    <w:rsid w:val="00BC30C9"/>
    <w:rsid w:val="00BC7E01"/>
    <w:rsid w:val="00BD077D"/>
    <w:rsid w:val="00BD43B4"/>
    <w:rsid w:val="00BE3E58"/>
    <w:rsid w:val="00BF3E1E"/>
    <w:rsid w:val="00BF4A22"/>
    <w:rsid w:val="00BF5246"/>
    <w:rsid w:val="00BF5E97"/>
    <w:rsid w:val="00BF6D60"/>
    <w:rsid w:val="00C01616"/>
    <w:rsid w:val="00C0162B"/>
    <w:rsid w:val="00C068ED"/>
    <w:rsid w:val="00C21AF8"/>
    <w:rsid w:val="00C2289C"/>
    <w:rsid w:val="00C22E0C"/>
    <w:rsid w:val="00C252FD"/>
    <w:rsid w:val="00C25E08"/>
    <w:rsid w:val="00C25EAE"/>
    <w:rsid w:val="00C31078"/>
    <w:rsid w:val="00C3227E"/>
    <w:rsid w:val="00C345B1"/>
    <w:rsid w:val="00C37E56"/>
    <w:rsid w:val="00C40142"/>
    <w:rsid w:val="00C40185"/>
    <w:rsid w:val="00C40293"/>
    <w:rsid w:val="00C52C3C"/>
    <w:rsid w:val="00C57182"/>
    <w:rsid w:val="00C57863"/>
    <w:rsid w:val="00C640AF"/>
    <w:rsid w:val="00C655FD"/>
    <w:rsid w:val="00C75407"/>
    <w:rsid w:val="00C8605F"/>
    <w:rsid w:val="00C870A8"/>
    <w:rsid w:val="00C907ED"/>
    <w:rsid w:val="00C90E9E"/>
    <w:rsid w:val="00C94434"/>
    <w:rsid w:val="00C95D29"/>
    <w:rsid w:val="00C97E35"/>
    <w:rsid w:val="00CA0D75"/>
    <w:rsid w:val="00CA1C95"/>
    <w:rsid w:val="00CA3235"/>
    <w:rsid w:val="00CA5A9C"/>
    <w:rsid w:val="00CB30BD"/>
    <w:rsid w:val="00CB6292"/>
    <w:rsid w:val="00CC4C20"/>
    <w:rsid w:val="00CD1BF9"/>
    <w:rsid w:val="00CD3517"/>
    <w:rsid w:val="00CD5FE2"/>
    <w:rsid w:val="00CE7C68"/>
    <w:rsid w:val="00D02B4C"/>
    <w:rsid w:val="00D040C4"/>
    <w:rsid w:val="00D06DA1"/>
    <w:rsid w:val="00D20AD1"/>
    <w:rsid w:val="00D23A49"/>
    <w:rsid w:val="00D23FEB"/>
    <w:rsid w:val="00D42860"/>
    <w:rsid w:val="00D46B7E"/>
    <w:rsid w:val="00D57C84"/>
    <w:rsid w:val="00D6057D"/>
    <w:rsid w:val="00D646A9"/>
    <w:rsid w:val="00D648EC"/>
    <w:rsid w:val="00D71640"/>
    <w:rsid w:val="00D72755"/>
    <w:rsid w:val="00D72C04"/>
    <w:rsid w:val="00D7332D"/>
    <w:rsid w:val="00D836C5"/>
    <w:rsid w:val="00D84576"/>
    <w:rsid w:val="00D87CF1"/>
    <w:rsid w:val="00D969BD"/>
    <w:rsid w:val="00DA1399"/>
    <w:rsid w:val="00DA24C6"/>
    <w:rsid w:val="00DA4D7B"/>
    <w:rsid w:val="00DA7877"/>
    <w:rsid w:val="00DB5F63"/>
    <w:rsid w:val="00DC4EE3"/>
    <w:rsid w:val="00DD271C"/>
    <w:rsid w:val="00DE11F6"/>
    <w:rsid w:val="00DE2377"/>
    <w:rsid w:val="00DE264A"/>
    <w:rsid w:val="00DF5072"/>
    <w:rsid w:val="00DF52A6"/>
    <w:rsid w:val="00E02D18"/>
    <w:rsid w:val="00E03C74"/>
    <w:rsid w:val="00E041E7"/>
    <w:rsid w:val="00E0448F"/>
    <w:rsid w:val="00E04C81"/>
    <w:rsid w:val="00E16B66"/>
    <w:rsid w:val="00E23CA1"/>
    <w:rsid w:val="00E33DD7"/>
    <w:rsid w:val="00E409A8"/>
    <w:rsid w:val="00E425F0"/>
    <w:rsid w:val="00E44CEC"/>
    <w:rsid w:val="00E50C12"/>
    <w:rsid w:val="00E65B91"/>
    <w:rsid w:val="00E66800"/>
    <w:rsid w:val="00E701FD"/>
    <w:rsid w:val="00E7209D"/>
    <w:rsid w:val="00E72EAD"/>
    <w:rsid w:val="00E77223"/>
    <w:rsid w:val="00E77D37"/>
    <w:rsid w:val="00E80835"/>
    <w:rsid w:val="00E841E9"/>
    <w:rsid w:val="00E8528B"/>
    <w:rsid w:val="00E85B94"/>
    <w:rsid w:val="00E933A1"/>
    <w:rsid w:val="00E978D0"/>
    <w:rsid w:val="00EA4613"/>
    <w:rsid w:val="00EA7F91"/>
    <w:rsid w:val="00EB1012"/>
    <w:rsid w:val="00EB1523"/>
    <w:rsid w:val="00EC0E49"/>
    <w:rsid w:val="00EC101F"/>
    <w:rsid w:val="00EC11D1"/>
    <w:rsid w:val="00EC1D9F"/>
    <w:rsid w:val="00EE0131"/>
    <w:rsid w:val="00EE17B0"/>
    <w:rsid w:val="00EE7DA2"/>
    <w:rsid w:val="00EF06D9"/>
    <w:rsid w:val="00EF0A1D"/>
    <w:rsid w:val="00F06C73"/>
    <w:rsid w:val="00F11542"/>
    <w:rsid w:val="00F117BC"/>
    <w:rsid w:val="00F3049E"/>
    <w:rsid w:val="00F30C64"/>
    <w:rsid w:val="00F31629"/>
    <w:rsid w:val="00F32BA2"/>
    <w:rsid w:val="00F32CDB"/>
    <w:rsid w:val="00F35B6C"/>
    <w:rsid w:val="00F37E08"/>
    <w:rsid w:val="00F41A50"/>
    <w:rsid w:val="00F450BD"/>
    <w:rsid w:val="00F52641"/>
    <w:rsid w:val="00F565FE"/>
    <w:rsid w:val="00F63A70"/>
    <w:rsid w:val="00F63D8C"/>
    <w:rsid w:val="00F7534E"/>
    <w:rsid w:val="00F7745F"/>
    <w:rsid w:val="00F93EDF"/>
    <w:rsid w:val="00F93F57"/>
    <w:rsid w:val="00FA0840"/>
    <w:rsid w:val="00FA1802"/>
    <w:rsid w:val="00FA21D0"/>
    <w:rsid w:val="00FA2785"/>
    <w:rsid w:val="00FA5F5F"/>
    <w:rsid w:val="00FA651C"/>
    <w:rsid w:val="00FB4A1F"/>
    <w:rsid w:val="00FB730C"/>
    <w:rsid w:val="00FB7C30"/>
    <w:rsid w:val="00FC2695"/>
    <w:rsid w:val="00FC3E03"/>
    <w:rsid w:val="00FC3FC1"/>
    <w:rsid w:val="00FD1D04"/>
    <w:rsid w:val="00FE3850"/>
    <w:rsid w:val="00FF1CD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36FF92F7-495A-4CC5-BDE4-946969EF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6751D"/>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ind w:left="1560"/>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
    <w:autoRedefine/>
    <w:qFormat/>
    <w:rsid w:val="00F52641"/>
    <w:pPr>
      <w:keepNext/>
      <w:suppressAutoHyphens/>
      <w:spacing w:before="120" w:after="120" w:line="240" w:lineRule="auto"/>
      <w:jc w:val="both"/>
    </w:pPr>
    <w:rPr>
      <w:rFonts w:ascii="Arial" w:eastAsia="Times New Roman" w:hAnsi="Arial" w:cs="Times New Roman"/>
      <w:b/>
      <w:iCs/>
      <w:sz w:val="18"/>
      <w:szCs w:val="20"/>
      <w:lang w:val="es-PE"/>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
    <w:name w:val="CET headingx Car"/>
    <w:link w:val="CETheadingx"/>
    <w:rsid w:val="00F52641"/>
    <w:rPr>
      <w:rFonts w:ascii="Arial" w:eastAsia="Times New Roman" w:hAnsi="Arial" w:cs="Times New Roman"/>
      <w:b/>
      <w:iCs/>
      <w:sz w:val="18"/>
      <w:szCs w:val="20"/>
      <w:lang w:val="es-PE"/>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
    <w:link w:val="CETHeadingxx"/>
    <w:rsid w:val="000F787B"/>
    <w:rPr>
      <w:rFonts w:ascii="Arial" w:eastAsia="Times New Roman" w:hAnsi="Arial" w:cs="Times New Roman"/>
      <w:b/>
      <w:i w:val="0"/>
      <w:iCs/>
      <w:sz w:val="18"/>
      <w:szCs w:val="20"/>
      <w:lang w:val="en-US"/>
    </w:rPr>
  </w:style>
  <w:style w:type="paragraph" w:styleId="Prrafodelista">
    <w:name w:val="List Paragraph"/>
    <w:basedOn w:val="Normal"/>
    <w:uiPriority w:val="34"/>
    <w:rsid w:val="00280FAF"/>
    <w:pPr>
      <w:ind w:left="720"/>
      <w:contextualSpacing/>
    </w:pPr>
  </w:style>
  <w:style w:type="character" w:customStyle="1" w:styleId="rynqvb">
    <w:name w:val="rynqvb"/>
    <w:basedOn w:val="Fuentedeprrafopredeter"/>
    <w:rsid w:val="00C90E9E"/>
  </w:style>
  <w:style w:type="character" w:customStyle="1" w:styleId="hwtze">
    <w:name w:val="hwtze"/>
    <w:basedOn w:val="Fuentedeprrafopredeter"/>
    <w:rsid w:val="00203CEB"/>
  </w:style>
  <w:style w:type="character" w:styleId="Mencinsinresolver">
    <w:name w:val="Unresolved Mention"/>
    <w:basedOn w:val="Fuentedeprrafopredeter"/>
    <w:uiPriority w:val="99"/>
    <w:semiHidden/>
    <w:unhideWhenUsed/>
    <w:rsid w:val="00632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1506">
      <w:bodyDiv w:val="1"/>
      <w:marLeft w:val="0"/>
      <w:marRight w:val="0"/>
      <w:marTop w:val="0"/>
      <w:marBottom w:val="0"/>
      <w:divBdr>
        <w:top w:val="none" w:sz="0" w:space="0" w:color="auto"/>
        <w:left w:val="none" w:sz="0" w:space="0" w:color="auto"/>
        <w:bottom w:val="none" w:sz="0" w:space="0" w:color="auto"/>
        <w:right w:val="none" w:sz="0" w:space="0" w:color="auto"/>
      </w:divBdr>
    </w:div>
    <w:div w:id="289170488">
      <w:bodyDiv w:val="1"/>
      <w:marLeft w:val="0"/>
      <w:marRight w:val="0"/>
      <w:marTop w:val="0"/>
      <w:marBottom w:val="0"/>
      <w:divBdr>
        <w:top w:val="none" w:sz="0" w:space="0" w:color="auto"/>
        <w:left w:val="none" w:sz="0" w:space="0" w:color="auto"/>
        <w:bottom w:val="none" w:sz="0" w:space="0" w:color="auto"/>
        <w:right w:val="none" w:sz="0" w:space="0" w:color="auto"/>
      </w:divBdr>
    </w:div>
    <w:div w:id="411314002">
      <w:bodyDiv w:val="1"/>
      <w:marLeft w:val="0"/>
      <w:marRight w:val="0"/>
      <w:marTop w:val="0"/>
      <w:marBottom w:val="0"/>
      <w:divBdr>
        <w:top w:val="none" w:sz="0" w:space="0" w:color="auto"/>
        <w:left w:val="none" w:sz="0" w:space="0" w:color="auto"/>
        <w:bottom w:val="none" w:sz="0" w:space="0" w:color="auto"/>
        <w:right w:val="none" w:sz="0" w:space="0" w:color="auto"/>
      </w:divBdr>
    </w:div>
    <w:div w:id="516887031">
      <w:bodyDiv w:val="1"/>
      <w:marLeft w:val="0"/>
      <w:marRight w:val="0"/>
      <w:marTop w:val="0"/>
      <w:marBottom w:val="0"/>
      <w:divBdr>
        <w:top w:val="none" w:sz="0" w:space="0" w:color="auto"/>
        <w:left w:val="none" w:sz="0" w:space="0" w:color="auto"/>
        <w:bottom w:val="none" w:sz="0" w:space="0" w:color="auto"/>
        <w:right w:val="none" w:sz="0" w:space="0" w:color="auto"/>
      </w:divBdr>
    </w:div>
    <w:div w:id="552237744">
      <w:bodyDiv w:val="1"/>
      <w:marLeft w:val="0"/>
      <w:marRight w:val="0"/>
      <w:marTop w:val="0"/>
      <w:marBottom w:val="0"/>
      <w:divBdr>
        <w:top w:val="none" w:sz="0" w:space="0" w:color="auto"/>
        <w:left w:val="none" w:sz="0" w:space="0" w:color="auto"/>
        <w:bottom w:val="none" w:sz="0" w:space="0" w:color="auto"/>
        <w:right w:val="none" w:sz="0" w:space="0" w:color="auto"/>
      </w:divBdr>
    </w:div>
    <w:div w:id="574973595">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20965">
      <w:bodyDiv w:val="1"/>
      <w:marLeft w:val="0"/>
      <w:marRight w:val="0"/>
      <w:marTop w:val="0"/>
      <w:marBottom w:val="0"/>
      <w:divBdr>
        <w:top w:val="none" w:sz="0" w:space="0" w:color="auto"/>
        <w:left w:val="none" w:sz="0" w:space="0" w:color="auto"/>
        <w:bottom w:val="none" w:sz="0" w:space="0" w:color="auto"/>
        <w:right w:val="none" w:sz="0" w:space="0" w:color="auto"/>
      </w:divBdr>
      <w:divsChild>
        <w:div w:id="2131583345">
          <w:marLeft w:val="0"/>
          <w:marRight w:val="0"/>
          <w:marTop w:val="0"/>
          <w:marBottom w:val="0"/>
          <w:divBdr>
            <w:top w:val="single" w:sz="2" w:space="0" w:color="D9D9E3"/>
            <w:left w:val="single" w:sz="2" w:space="0" w:color="D9D9E3"/>
            <w:bottom w:val="single" w:sz="2" w:space="0" w:color="D9D9E3"/>
            <w:right w:val="single" w:sz="2" w:space="0" w:color="D9D9E3"/>
          </w:divBdr>
          <w:divsChild>
            <w:div w:id="1962956476">
              <w:marLeft w:val="0"/>
              <w:marRight w:val="0"/>
              <w:marTop w:val="0"/>
              <w:marBottom w:val="0"/>
              <w:divBdr>
                <w:top w:val="single" w:sz="2" w:space="0" w:color="D9D9E3"/>
                <w:left w:val="single" w:sz="2" w:space="0" w:color="D9D9E3"/>
                <w:bottom w:val="single" w:sz="2" w:space="0" w:color="D9D9E3"/>
                <w:right w:val="single" w:sz="2" w:space="0" w:color="D9D9E3"/>
              </w:divBdr>
              <w:divsChild>
                <w:div w:id="617906021">
                  <w:marLeft w:val="0"/>
                  <w:marRight w:val="0"/>
                  <w:marTop w:val="0"/>
                  <w:marBottom w:val="0"/>
                  <w:divBdr>
                    <w:top w:val="single" w:sz="2" w:space="0" w:color="D9D9E3"/>
                    <w:left w:val="single" w:sz="2" w:space="0" w:color="D9D9E3"/>
                    <w:bottom w:val="single" w:sz="2" w:space="0" w:color="D9D9E3"/>
                    <w:right w:val="single" w:sz="2" w:space="0" w:color="D9D9E3"/>
                  </w:divBdr>
                  <w:divsChild>
                    <w:div w:id="1363018259">
                      <w:marLeft w:val="0"/>
                      <w:marRight w:val="0"/>
                      <w:marTop w:val="0"/>
                      <w:marBottom w:val="0"/>
                      <w:divBdr>
                        <w:top w:val="single" w:sz="2" w:space="0" w:color="D9D9E3"/>
                        <w:left w:val="single" w:sz="2" w:space="0" w:color="D9D9E3"/>
                        <w:bottom w:val="single" w:sz="2" w:space="0" w:color="D9D9E3"/>
                        <w:right w:val="single" w:sz="2" w:space="0" w:color="D9D9E3"/>
                      </w:divBdr>
                      <w:divsChild>
                        <w:div w:id="872033445">
                          <w:marLeft w:val="0"/>
                          <w:marRight w:val="0"/>
                          <w:marTop w:val="0"/>
                          <w:marBottom w:val="0"/>
                          <w:divBdr>
                            <w:top w:val="single" w:sz="2" w:space="0" w:color="auto"/>
                            <w:left w:val="single" w:sz="2" w:space="0" w:color="auto"/>
                            <w:bottom w:val="single" w:sz="6" w:space="0" w:color="auto"/>
                            <w:right w:val="single" w:sz="2" w:space="0" w:color="auto"/>
                          </w:divBdr>
                          <w:divsChild>
                            <w:div w:id="1792824357">
                              <w:marLeft w:val="0"/>
                              <w:marRight w:val="0"/>
                              <w:marTop w:val="100"/>
                              <w:marBottom w:val="100"/>
                              <w:divBdr>
                                <w:top w:val="single" w:sz="2" w:space="0" w:color="D9D9E3"/>
                                <w:left w:val="single" w:sz="2" w:space="0" w:color="D9D9E3"/>
                                <w:bottom w:val="single" w:sz="2" w:space="0" w:color="D9D9E3"/>
                                <w:right w:val="single" w:sz="2" w:space="0" w:color="D9D9E3"/>
                              </w:divBdr>
                              <w:divsChild>
                                <w:div w:id="1827554181">
                                  <w:marLeft w:val="0"/>
                                  <w:marRight w:val="0"/>
                                  <w:marTop w:val="0"/>
                                  <w:marBottom w:val="0"/>
                                  <w:divBdr>
                                    <w:top w:val="single" w:sz="2" w:space="0" w:color="D9D9E3"/>
                                    <w:left w:val="single" w:sz="2" w:space="0" w:color="D9D9E3"/>
                                    <w:bottom w:val="single" w:sz="2" w:space="0" w:color="D9D9E3"/>
                                    <w:right w:val="single" w:sz="2" w:space="0" w:color="D9D9E3"/>
                                  </w:divBdr>
                                  <w:divsChild>
                                    <w:div w:id="1642224743">
                                      <w:marLeft w:val="0"/>
                                      <w:marRight w:val="0"/>
                                      <w:marTop w:val="0"/>
                                      <w:marBottom w:val="0"/>
                                      <w:divBdr>
                                        <w:top w:val="single" w:sz="2" w:space="0" w:color="D9D9E3"/>
                                        <w:left w:val="single" w:sz="2" w:space="0" w:color="D9D9E3"/>
                                        <w:bottom w:val="single" w:sz="2" w:space="0" w:color="D9D9E3"/>
                                        <w:right w:val="single" w:sz="2" w:space="0" w:color="D9D9E3"/>
                                      </w:divBdr>
                                      <w:divsChild>
                                        <w:div w:id="468328546">
                                          <w:marLeft w:val="0"/>
                                          <w:marRight w:val="0"/>
                                          <w:marTop w:val="0"/>
                                          <w:marBottom w:val="0"/>
                                          <w:divBdr>
                                            <w:top w:val="single" w:sz="2" w:space="0" w:color="D9D9E3"/>
                                            <w:left w:val="single" w:sz="2" w:space="0" w:color="D9D9E3"/>
                                            <w:bottom w:val="single" w:sz="2" w:space="0" w:color="D9D9E3"/>
                                            <w:right w:val="single" w:sz="2" w:space="0" w:color="D9D9E3"/>
                                          </w:divBdr>
                                          <w:divsChild>
                                            <w:div w:id="12914775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7085577">
          <w:marLeft w:val="0"/>
          <w:marRight w:val="0"/>
          <w:marTop w:val="0"/>
          <w:marBottom w:val="0"/>
          <w:divBdr>
            <w:top w:val="none" w:sz="0" w:space="0" w:color="auto"/>
            <w:left w:val="none" w:sz="0" w:space="0" w:color="auto"/>
            <w:bottom w:val="none" w:sz="0" w:space="0" w:color="auto"/>
            <w:right w:val="none" w:sz="0" w:space="0" w:color="auto"/>
          </w:divBdr>
        </w:div>
      </w:divsChild>
    </w:div>
    <w:div w:id="1211377523">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62942">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na.gob.pe/publicaciones/protocolo-nacional-para-el-monitoreo-de-la-calidad-de-los-recursos-hidricos-%2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acostas@ucv.edu.p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D9B44-F60C-4BFB-866A-EB184D87B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3580</Words>
  <Characters>19696</Characters>
  <Application>Microsoft Office Word</Application>
  <DocSecurity>0</DocSecurity>
  <Lines>164</Lines>
  <Paragraphs>46</Paragraphs>
  <ScaleCrop>false</ScaleCrop>
  <HeadingPairs>
    <vt:vector size="8" baseType="variant">
      <vt:variant>
        <vt:lpstr>Título</vt:lpstr>
      </vt:variant>
      <vt:variant>
        <vt:i4>1</vt:i4>
      </vt:variant>
      <vt:variant>
        <vt:lpstr>Titre</vt:lpstr>
      </vt:variant>
      <vt:variant>
        <vt:i4>1</vt:i4>
      </vt:variant>
      <vt:variant>
        <vt:lpstr>Titolo</vt:lpstr>
      </vt:variant>
      <vt:variant>
        <vt:i4>1</vt:i4>
      </vt:variant>
      <vt:variant>
        <vt:lpstr>Title</vt:lpstr>
      </vt:variant>
      <vt:variant>
        <vt:i4>1</vt:i4>
      </vt:variant>
    </vt:vector>
  </HeadingPairs>
  <TitlesOfParts>
    <vt:vector size="4" baseType="lpstr">
      <vt:lpstr/>
      <vt:lpstr/>
      <vt:lpstr/>
      <vt:lpstr/>
    </vt:vector>
  </TitlesOfParts>
  <Company>Dipartimento CMIC - Politecnico di Milano</Company>
  <LinksUpToDate>false</LinksUpToDate>
  <CharactersWithSpaces>23230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Full name</cp:lastModifiedBy>
  <cp:revision>4</cp:revision>
  <cp:lastPrinted>2015-05-12T18:31:00Z</cp:lastPrinted>
  <dcterms:created xsi:type="dcterms:W3CDTF">2023-04-09T15:11:00Z</dcterms:created>
  <dcterms:modified xsi:type="dcterms:W3CDTF">2023-04-09T17:35:00Z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