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FAC058F" w:rsidR="000A03B2" w:rsidRPr="00B57B36" w:rsidRDefault="00EB6BD2" w:rsidP="004C3D1D">
            <w:pPr>
              <w:tabs>
                <w:tab w:val="left" w:pos="-108"/>
              </w:tabs>
              <w:ind w:left="-108"/>
              <w:rPr>
                <w:rFonts w:cs="Arial"/>
                <w:b/>
                <w:bCs/>
                <w:i/>
                <w:iCs/>
                <w:color w:val="000066"/>
                <w:sz w:val="22"/>
                <w:szCs w:val="22"/>
                <w:lang w:eastAsia="it-IT"/>
              </w:rPr>
            </w:pPr>
            <w:r>
              <w:rPr>
                <w:rFonts w:cs="Arial"/>
                <w:b/>
                <w:bCs/>
                <w:i/>
                <w:iCs/>
                <w:color w:val="000066"/>
                <w:sz w:val="22"/>
                <w:szCs w:val="22"/>
                <w:lang w:eastAsia="it-IT"/>
              </w:rPr>
              <w:t>VOL</w:t>
            </w:r>
            <w:r w:rsidRPr="00B57B36">
              <w:rPr>
                <w:rFonts w:cs="Arial"/>
                <w:b/>
                <w:bCs/>
                <w:i/>
                <w:iCs/>
                <w:color w:val="000066"/>
                <w:sz w:val="22"/>
                <w:szCs w:val="22"/>
                <w:lang w:eastAsia="it-IT"/>
              </w:rPr>
              <w:t xml:space="preserve">. </w:t>
            </w:r>
            <w:r>
              <w:rPr>
                <w:rFonts w:cs="Arial"/>
                <w:b/>
                <w:bCs/>
                <w:i/>
                <w:iCs/>
                <w:color w:val="000066"/>
                <w:sz w:val="22"/>
                <w:szCs w:val="22"/>
                <w:lang w:eastAsia="it-IT"/>
              </w:rPr>
              <w:t xml:space="preserve"> </w:t>
            </w:r>
            <w:proofErr w:type="gramStart"/>
            <w:r>
              <w:rPr>
                <w:rFonts w:cs="Arial"/>
                <w:b/>
                <w:bCs/>
                <w:i/>
                <w:iCs/>
                <w:color w:val="000066"/>
                <w:sz w:val="22"/>
                <w:szCs w:val="22"/>
                <w:lang w:eastAsia="it-IT"/>
              </w:rPr>
              <w:t xml:space="preserve">  ,</w:t>
            </w:r>
            <w:proofErr w:type="gramEnd"/>
            <w:r>
              <w:rPr>
                <w:rFonts w:cs="Arial"/>
                <w:b/>
                <w:bCs/>
                <w:i/>
                <w:iCs/>
                <w:color w:val="000066"/>
                <w:sz w:val="22"/>
                <w:szCs w:val="22"/>
                <w:lang w:eastAsia="it-IT"/>
              </w:rPr>
              <w:t xml:space="preserve"> 2023</w:t>
            </w:r>
            <w:r w:rsidR="00A76EFC" w:rsidRPr="00B57B36">
              <w:rPr>
                <w:rFonts w:cs="Arial"/>
                <w:b/>
                <w:bCs/>
                <w:i/>
                <w:iCs/>
                <w:color w:val="000066"/>
                <w:sz w:val="22"/>
                <w:szCs w:val="22"/>
                <w:lang w:eastAsia="it-IT"/>
              </w:rPr>
              <w:t xml:space="preserve">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EB6BD2" w14:paraId="2D1B7169" w14:textId="77777777" w:rsidTr="00DE264A">
        <w:trPr>
          <w:trHeight w:val="68"/>
          <w:jc w:val="center"/>
        </w:trPr>
        <w:tc>
          <w:tcPr>
            <w:tcW w:w="8789" w:type="dxa"/>
            <w:gridSpan w:val="2"/>
          </w:tcPr>
          <w:p w14:paraId="4B0BB442" w14:textId="125E3638" w:rsidR="00300E56" w:rsidRPr="00CF13AE" w:rsidRDefault="00300E56" w:rsidP="00EC0E49">
            <w:pPr>
              <w:tabs>
                <w:tab w:val="left" w:pos="-108"/>
              </w:tabs>
              <w:spacing w:line="140" w:lineRule="atLeast"/>
              <w:ind w:left="-108"/>
              <w:jc w:val="left"/>
              <w:rPr>
                <w:rFonts w:ascii="Tahoma" w:hAnsi="Tahoma" w:cs="Tahoma"/>
                <w:iCs/>
                <w:color w:val="333333"/>
                <w:sz w:val="14"/>
                <w:szCs w:val="14"/>
                <w:lang w:val="it-IT" w:eastAsia="it-IT"/>
              </w:rPr>
            </w:pPr>
            <w:r w:rsidRPr="00CF13AE">
              <w:rPr>
                <w:rFonts w:ascii="Tahoma" w:hAnsi="Tahoma" w:cs="Tahoma"/>
                <w:iCs/>
                <w:color w:val="333333"/>
                <w:sz w:val="14"/>
                <w:szCs w:val="14"/>
                <w:lang w:val="it-IT" w:eastAsia="it-IT"/>
              </w:rPr>
              <w:t>Guest Editors:</w:t>
            </w:r>
            <w:r w:rsidR="00904C62" w:rsidRPr="00CF13AE">
              <w:rPr>
                <w:rFonts w:ascii="Tahoma" w:hAnsi="Tahoma" w:cs="Tahoma"/>
                <w:iCs/>
                <w:color w:val="333333"/>
                <w:sz w:val="14"/>
                <w:szCs w:val="14"/>
                <w:lang w:val="it-IT" w:eastAsia="it-IT"/>
              </w:rPr>
              <w:t xml:space="preserve"> </w:t>
            </w:r>
            <w:r w:rsidR="00CF13AE" w:rsidRPr="00CF13AE">
              <w:rPr>
                <w:rFonts w:ascii="Tahoma" w:hAnsi="Tahoma" w:cs="Tahoma"/>
                <w:iCs/>
                <w:color w:val="333333"/>
                <w:sz w:val="14"/>
                <w:szCs w:val="14"/>
                <w:lang w:val="it-IT" w:eastAsia="it-IT"/>
              </w:rPr>
              <w:t xml:space="preserve">Paolo </w:t>
            </w:r>
            <w:proofErr w:type="spellStart"/>
            <w:r w:rsidR="00CF13AE" w:rsidRPr="00CF13AE">
              <w:rPr>
                <w:rFonts w:ascii="Tahoma" w:hAnsi="Tahoma" w:cs="Tahoma"/>
                <w:iCs/>
                <w:color w:val="333333"/>
                <w:sz w:val="14"/>
                <w:szCs w:val="14"/>
                <w:lang w:val="it-IT" w:eastAsia="it-IT"/>
              </w:rPr>
              <w:t>Ciambelli</w:t>
            </w:r>
            <w:proofErr w:type="spellEnd"/>
            <w:r w:rsidR="00CF13AE" w:rsidRPr="00CF13AE">
              <w:rPr>
                <w:rFonts w:ascii="Tahoma" w:hAnsi="Tahoma" w:cs="Tahoma"/>
                <w:iCs/>
                <w:color w:val="333333"/>
                <w:sz w:val="14"/>
                <w:szCs w:val="14"/>
                <w:lang w:val="it-IT" w:eastAsia="it-IT"/>
              </w:rPr>
              <w:t>, Luca D</w:t>
            </w:r>
            <w:r w:rsidR="00CF13AE">
              <w:rPr>
                <w:rFonts w:ascii="Tahoma" w:hAnsi="Tahoma" w:cs="Tahoma"/>
                <w:iCs/>
                <w:color w:val="333333"/>
                <w:sz w:val="14"/>
                <w:szCs w:val="14"/>
                <w:lang w:val="it-IT" w:eastAsia="it-IT"/>
              </w:rPr>
              <w:t>i Palma</w:t>
            </w:r>
          </w:p>
          <w:p w14:paraId="1B0F1814" w14:textId="1300DCC9" w:rsidR="000A03B2" w:rsidRPr="00EB6BD2" w:rsidRDefault="0014464F" w:rsidP="00180860">
            <w:pPr>
              <w:tabs>
                <w:tab w:val="left" w:pos="-108"/>
              </w:tabs>
              <w:spacing w:line="140" w:lineRule="atLeast"/>
              <w:ind w:left="-108"/>
              <w:jc w:val="left"/>
              <w:rPr>
                <w:lang w:val="en-US"/>
              </w:rPr>
            </w:pPr>
            <w:r w:rsidRPr="00EB6BD2">
              <w:rPr>
                <w:rFonts w:ascii="Tahoma" w:hAnsi="Tahoma" w:cs="Tahoma"/>
                <w:iCs/>
                <w:color w:val="333333"/>
                <w:sz w:val="14"/>
                <w:szCs w:val="14"/>
                <w:lang w:val="en-US" w:eastAsia="it-IT"/>
              </w:rPr>
              <w:t xml:space="preserve">Copyright © </w:t>
            </w:r>
            <w:r w:rsidR="00B74E8E" w:rsidRPr="00EB6BD2">
              <w:rPr>
                <w:rFonts w:ascii="Tahoma" w:hAnsi="Tahoma" w:cs="Tahoma"/>
                <w:iCs/>
                <w:color w:val="333333"/>
                <w:sz w:val="14"/>
                <w:szCs w:val="14"/>
                <w:lang w:val="en-US" w:eastAsia="it-IT"/>
              </w:rPr>
              <w:t>2023</w:t>
            </w:r>
            <w:r w:rsidR="00CF13AE" w:rsidRPr="00EB6BD2">
              <w:rPr>
                <w:rFonts w:ascii="Tahoma" w:hAnsi="Tahoma" w:cs="Tahoma"/>
                <w:iCs/>
                <w:color w:val="333333"/>
                <w:sz w:val="14"/>
                <w:szCs w:val="14"/>
                <w:lang w:val="en-US" w:eastAsia="it-IT"/>
              </w:rPr>
              <w:t>,</w:t>
            </w:r>
            <w:r w:rsidR="00904C62" w:rsidRPr="00EB6BD2">
              <w:rPr>
                <w:rFonts w:ascii="Tahoma" w:hAnsi="Tahoma" w:cs="Tahoma"/>
                <w:iCs/>
                <w:color w:val="333333"/>
                <w:sz w:val="14"/>
                <w:szCs w:val="14"/>
                <w:lang w:val="en-US" w:eastAsia="it-IT"/>
              </w:rPr>
              <w:t xml:space="preserve"> AIDIC </w:t>
            </w:r>
            <w:proofErr w:type="spellStart"/>
            <w:r w:rsidR="00904C62" w:rsidRPr="00EB6BD2">
              <w:rPr>
                <w:rFonts w:ascii="Tahoma" w:hAnsi="Tahoma" w:cs="Tahoma"/>
                <w:iCs/>
                <w:color w:val="333333"/>
                <w:sz w:val="14"/>
                <w:szCs w:val="14"/>
                <w:lang w:val="en-US" w:eastAsia="it-IT"/>
              </w:rPr>
              <w:t>Servizi</w:t>
            </w:r>
            <w:proofErr w:type="spellEnd"/>
            <w:r w:rsidR="00904C62" w:rsidRPr="00EB6BD2">
              <w:rPr>
                <w:rFonts w:ascii="Tahoma" w:hAnsi="Tahoma" w:cs="Tahoma"/>
                <w:iCs/>
                <w:color w:val="333333"/>
                <w:sz w:val="14"/>
                <w:szCs w:val="14"/>
                <w:lang w:val="en-US" w:eastAsia="it-IT"/>
              </w:rPr>
              <w:t xml:space="preserve"> </w:t>
            </w:r>
            <w:proofErr w:type="spellStart"/>
            <w:r w:rsidR="00904C62" w:rsidRPr="00EB6BD2">
              <w:rPr>
                <w:rFonts w:ascii="Tahoma" w:hAnsi="Tahoma" w:cs="Tahoma"/>
                <w:iCs/>
                <w:color w:val="333333"/>
                <w:sz w:val="14"/>
                <w:szCs w:val="14"/>
                <w:lang w:val="en-US" w:eastAsia="it-IT"/>
              </w:rPr>
              <w:t>S.r.l</w:t>
            </w:r>
            <w:proofErr w:type="spellEnd"/>
            <w:r w:rsidR="00904C62" w:rsidRPr="00EB6BD2">
              <w:rPr>
                <w:rFonts w:ascii="Tahoma" w:hAnsi="Tahoma" w:cs="Tahoma"/>
                <w:iCs/>
                <w:color w:val="333333"/>
                <w:sz w:val="14"/>
                <w:szCs w:val="14"/>
                <w:lang w:val="en-US" w:eastAsia="it-IT"/>
              </w:rPr>
              <w:t>.</w:t>
            </w:r>
            <w:r w:rsidR="00300E56" w:rsidRPr="00EB6BD2">
              <w:rPr>
                <w:rFonts w:ascii="Tahoma" w:hAnsi="Tahoma" w:cs="Tahoma"/>
                <w:iCs/>
                <w:color w:val="333333"/>
                <w:sz w:val="14"/>
                <w:szCs w:val="14"/>
                <w:lang w:val="en-US" w:eastAsia="it-IT"/>
              </w:rPr>
              <w:br/>
            </w:r>
            <w:r w:rsidR="00180860" w:rsidRPr="00EB6BD2">
              <w:rPr>
                <w:rFonts w:ascii="Tahoma" w:hAnsi="Tahoma" w:cs="Tahoma"/>
                <w:b/>
                <w:iCs/>
                <w:color w:val="333333"/>
                <w:sz w:val="14"/>
                <w:szCs w:val="14"/>
                <w:lang w:val="en-US" w:eastAsia="it-IT"/>
              </w:rPr>
              <w:t xml:space="preserve">ISBN </w:t>
            </w:r>
            <w:r w:rsidR="00EB6BD2" w:rsidRPr="00EB6BD2">
              <w:rPr>
                <w:rFonts w:ascii="Tahoma" w:hAnsi="Tahoma" w:cs="Tahoma"/>
                <w:sz w:val="14"/>
                <w:szCs w:val="14"/>
                <w:lang w:val="en-US"/>
              </w:rPr>
              <w:t xml:space="preserve">979-12-81206-00-7; </w:t>
            </w:r>
            <w:r w:rsidR="00300E56" w:rsidRPr="00EB6BD2">
              <w:rPr>
                <w:rFonts w:ascii="Tahoma" w:hAnsi="Tahoma" w:cs="Tahoma"/>
                <w:b/>
                <w:iCs/>
                <w:color w:val="333333"/>
                <w:sz w:val="14"/>
                <w:szCs w:val="14"/>
                <w:lang w:val="en-US" w:eastAsia="it-IT"/>
              </w:rPr>
              <w:t>ISSN</w:t>
            </w:r>
            <w:r w:rsidR="00B74E8E" w:rsidRPr="00EB6BD2">
              <w:rPr>
                <w:rFonts w:ascii="Tahoma" w:hAnsi="Tahoma" w:cs="Tahoma"/>
                <w:iCs/>
                <w:color w:val="333333"/>
                <w:sz w:val="14"/>
                <w:szCs w:val="14"/>
                <w:lang w:val="en-US" w:eastAsia="it-IT"/>
              </w:rPr>
              <w:t xml:space="preserve"> </w:t>
            </w:r>
            <w:r w:rsidR="00EB6BD2" w:rsidRPr="00B57B36">
              <w:rPr>
                <w:rFonts w:ascii="Tahoma" w:hAnsi="Tahoma" w:cs="Tahoma"/>
                <w:iCs/>
                <w:color w:val="333333"/>
                <w:sz w:val="14"/>
                <w:szCs w:val="14"/>
                <w:lang w:eastAsia="it-IT"/>
              </w:rPr>
              <w:t>2283-9216</w:t>
            </w:r>
          </w:p>
        </w:tc>
      </w:tr>
    </w:tbl>
    <w:p w14:paraId="4EB69472" w14:textId="0433ABA9" w:rsidR="000C1F13" w:rsidRPr="000C1F13" w:rsidRDefault="000C1F13" w:rsidP="00E978D0">
      <w:pPr>
        <w:pStyle w:val="CETTitle"/>
        <w:rPr>
          <w:lang w:val="en-US"/>
        </w:rPr>
      </w:pPr>
      <w:r w:rsidRPr="000C1F13">
        <w:rPr>
          <w:lang w:val="en-US"/>
        </w:rPr>
        <w:t xml:space="preserve">Adsorption of Rhodamine B from wastewater on the Arsenic-hyperaccumulator </w:t>
      </w:r>
      <w:r w:rsidRPr="00BE09E7">
        <w:rPr>
          <w:i/>
          <w:lang w:val="en-US"/>
        </w:rPr>
        <w:t xml:space="preserve">Pteris </w:t>
      </w:r>
      <w:proofErr w:type="spellStart"/>
      <w:r w:rsidRPr="00BE09E7">
        <w:rPr>
          <w:i/>
          <w:lang w:val="en-US"/>
        </w:rPr>
        <w:t>vittata</w:t>
      </w:r>
      <w:proofErr w:type="spellEnd"/>
      <w:r w:rsidRPr="000C1F13">
        <w:rPr>
          <w:lang w:val="en-US"/>
        </w:rPr>
        <w:t xml:space="preserve"> waste roots.</w:t>
      </w:r>
    </w:p>
    <w:p w14:paraId="2B3CA35C" w14:textId="516434A7" w:rsidR="00E978D0" w:rsidRPr="006156C8" w:rsidRDefault="006156C8" w:rsidP="00AB5011">
      <w:pPr>
        <w:pStyle w:val="CETAuthors"/>
        <w:rPr>
          <w:vertAlign w:val="superscript"/>
          <w:lang w:val="it-IT"/>
        </w:rPr>
      </w:pPr>
      <w:r w:rsidRPr="00BE09E7">
        <w:rPr>
          <w:lang w:val="it-IT"/>
        </w:rPr>
        <w:t>Leone Mazzeo</w:t>
      </w:r>
      <w:r w:rsidR="00600535" w:rsidRPr="00BE09E7">
        <w:rPr>
          <w:vertAlign w:val="superscript"/>
          <w:lang w:val="it-IT"/>
        </w:rPr>
        <w:t>a</w:t>
      </w:r>
      <w:r w:rsidR="00BE09E7" w:rsidRPr="00BE09E7">
        <w:rPr>
          <w:vertAlign w:val="superscript"/>
          <w:lang w:val="it-IT"/>
        </w:rPr>
        <w:t>,</w:t>
      </w:r>
      <w:r w:rsidRPr="00BE09E7">
        <w:rPr>
          <w:vertAlign w:val="superscript"/>
          <w:lang w:val="it-IT"/>
        </w:rPr>
        <w:t>*</w:t>
      </w:r>
      <w:r w:rsidRPr="00BE09E7">
        <w:rPr>
          <w:lang w:val="it-IT"/>
        </w:rPr>
        <w:t>,</w:t>
      </w:r>
      <w:r w:rsidR="002E7D1F">
        <w:rPr>
          <w:lang w:val="it-IT"/>
        </w:rPr>
        <w:t xml:space="preserve"> Maria Beatrice Falasconi</w:t>
      </w:r>
      <w:r w:rsidR="002E7D1F" w:rsidRPr="00BE09E7">
        <w:rPr>
          <w:vertAlign w:val="superscript"/>
          <w:lang w:val="it-IT"/>
        </w:rPr>
        <w:t>a</w:t>
      </w:r>
      <w:r w:rsidR="002E7D1F">
        <w:rPr>
          <w:lang w:val="it-IT"/>
        </w:rPr>
        <w:t>, Alice Bertino</w:t>
      </w:r>
      <w:r w:rsidR="002E7D1F" w:rsidRPr="00BE09E7">
        <w:rPr>
          <w:vertAlign w:val="superscript"/>
          <w:lang w:val="it-IT"/>
        </w:rPr>
        <w:t>a</w:t>
      </w:r>
      <w:r w:rsidR="002E7D1F">
        <w:rPr>
          <w:lang w:val="it-IT"/>
        </w:rPr>
        <w:t>,</w:t>
      </w:r>
      <w:r w:rsidRPr="00BE09E7">
        <w:rPr>
          <w:lang w:val="it-IT"/>
        </w:rPr>
        <w:t xml:space="preserve"> </w:t>
      </w:r>
      <w:r w:rsidR="00BE09E7" w:rsidRPr="00BE09E7">
        <w:rPr>
          <w:lang w:val="it-IT"/>
        </w:rPr>
        <w:t>Davide Marzi</w:t>
      </w:r>
      <w:r w:rsidR="00BE09E7" w:rsidRPr="00BE09E7">
        <w:rPr>
          <w:vertAlign w:val="superscript"/>
          <w:lang w:val="it-IT"/>
        </w:rPr>
        <w:t>b</w:t>
      </w:r>
      <w:r w:rsidR="00600535" w:rsidRPr="00BE09E7">
        <w:rPr>
          <w:lang w:val="it-IT"/>
        </w:rPr>
        <w:t xml:space="preserve">, </w:t>
      </w:r>
      <w:r w:rsidRPr="00BE09E7">
        <w:rPr>
          <w:lang w:val="it-IT"/>
        </w:rPr>
        <w:t>Irene Bavasso</w:t>
      </w:r>
      <w:r w:rsidR="00BE09E7" w:rsidRPr="00BE09E7">
        <w:rPr>
          <w:vertAlign w:val="superscript"/>
          <w:lang w:val="it-IT"/>
        </w:rPr>
        <w:t>c</w:t>
      </w:r>
      <w:r w:rsidR="00AD3A45">
        <w:rPr>
          <w:lang w:val="it-IT"/>
        </w:rPr>
        <w:t xml:space="preserve">, </w:t>
      </w:r>
      <w:r w:rsidR="00BE09E7" w:rsidRPr="00BE09E7">
        <w:rPr>
          <w:lang w:val="it-IT"/>
        </w:rPr>
        <w:t>Vincenzo Pimeonte</w:t>
      </w:r>
      <w:r w:rsidR="00BE09E7" w:rsidRPr="00BE09E7">
        <w:rPr>
          <w:vertAlign w:val="superscript"/>
          <w:lang w:val="it-IT"/>
        </w:rPr>
        <w:t>a</w:t>
      </w:r>
      <w:r w:rsidR="00BE09E7" w:rsidRPr="00BE09E7">
        <w:rPr>
          <w:lang w:val="it-IT"/>
        </w:rPr>
        <w:t xml:space="preserve"> </w:t>
      </w:r>
      <w:r w:rsidRPr="00BE09E7">
        <w:rPr>
          <w:lang w:val="it-IT"/>
        </w:rPr>
        <w:t>and Luca Di Palma</w:t>
      </w:r>
      <w:r w:rsidR="00BE09E7" w:rsidRPr="00BE09E7">
        <w:rPr>
          <w:vertAlign w:val="superscript"/>
          <w:lang w:val="it-IT"/>
        </w:rPr>
        <w:t>c</w:t>
      </w:r>
    </w:p>
    <w:p w14:paraId="07735DFF" w14:textId="1813BFB5" w:rsidR="00BE09E7" w:rsidRPr="00BE09E7" w:rsidRDefault="00E978D0" w:rsidP="00E978D0">
      <w:pPr>
        <w:pStyle w:val="CETAddress"/>
      </w:pPr>
      <w:r w:rsidRPr="00B57B36">
        <w:rPr>
          <w:vertAlign w:val="superscript"/>
        </w:rPr>
        <w:t>a</w:t>
      </w:r>
      <w:r w:rsidR="00BE09E7" w:rsidRPr="00BE09E7">
        <w:rPr>
          <w:lang w:val="en-US"/>
        </w:rPr>
        <w:t>Faculty of Science and technology for sustainable Development and One Helt, Unit of Chemical-physics Fundamentals in Chemical Engineering, University Campus Bio-medico of Rome, Via Alvaro del Portillo, 21, 00128 Rome, Italy</w:t>
      </w:r>
    </w:p>
    <w:p w14:paraId="15B95FAF" w14:textId="4C621C84" w:rsidR="00BE09E7" w:rsidRPr="00BE09E7" w:rsidRDefault="00BE09E7" w:rsidP="00BE09E7">
      <w:pPr>
        <w:pStyle w:val="CETAddress"/>
        <w:rPr>
          <w:rFonts w:cs="Arial"/>
          <w:szCs w:val="18"/>
          <w:lang w:val="en-US"/>
        </w:rPr>
      </w:pPr>
      <w:r>
        <w:rPr>
          <w:rFonts w:cs="Arial"/>
          <w:szCs w:val="18"/>
          <w:vertAlign w:val="superscript"/>
        </w:rPr>
        <w:t>b</w:t>
      </w:r>
      <w:r w:rsidRPr="00BE09E7">
        <w:rPr>
          <w:rFonts w:cs="Arial"/>
          <w:szCs w:val="18"/>
          <w:lang w:val="en-US"/>
        </w:rPr>
        <w:t>Department of Biology and Biotechnology “Charles Darwin”, Sapienza University of Rome, Piazzale Aldo Moro 5, 00185 Rome, Italy</w:t>
      </w:r>
    </w:p>
    <w:p w14:paraId="5053C5A8" w14:textId="17DF4A98" w:rsidR="00E978D0" w:rsidRPr="00B57B36" w:rsidRDefault="00BE09E7" w:rsidP="00E978D0">
      <w:pPr>
        <w:pStyle w:val="CETAddress"/>
      </w:pPr>
      <w:r>
        <w:rPr>
          <w:rFonts w:cs="Arial"/>
          <w:szCs w:val="18"/>
          <w:vertAlign w:val="superscript"/>
          <w:lang w:val="en-US"/>
        </w:rPr>
        <w:t>c</w:t>
      </w:r>
      <w:r w:rsidR="006156C8" w:rsidRPr="00A5165B">
        <w:rPr>
          <w:rFonts w:cs="Arial"/>
          <w:szCs w:val="18"/>
        </w:rPr>
        <w:t>Department of Chemical Engineering Materials &amp; Environment, Sapienza University of Rome, Via Eudossiana, 18, 00184 Rome, Italy;</w:t>
      </w:r>
    </w:p>
    <w:p w14:paraId="2E2999C9" w14:textId="77777777" w:rsidR="00DE08DD" w:rsidRPr="00AD3158" w:rsidRDefault="00DE08DD" w:rsidP="00DE08DD">
      <w:pPr>
        <w:pStyle w:val="CETAddress"/>
        <w:rPr>
          <w:rFonts w:cs="Arial"/>
          <w:szCs w:val="18"/>
        </w:rPr>
      </w:pPr>
      <w:r>
        <w:rPr>
          <w:rFonts w:cs="Arial"/>
          <w:szCs w:val="18"/>
        </w:rPr>
        <w:t>l.mazzeo@unicampus.it</w:t>
      </w:r>
    </w:p>
    <w:p w14:paraId="37FE344F" w14:textId="77777777" w:rsidR="00DE08DD" w:rsidRDefault="00DE08DD" w:rsidP="000C1F13">
      <w:pPr>
        <w:pStyle w:val="CETBodytext"/>
      </w:pPr>
    </w:p>
    <w:p w14:paraId="2D590308" w14:textId="7653D454" w:rsidR="000C1F13" w:rsidRPr="000C1F13" w:rsidRDefault="000C1F13" w:rsidP="000C1F13">
      <w:pPr>
        <w:pStyle w:val="CETBodytext"/>
      </w:pPr>
      <w:r w:rsidRPr="000C1F13">
        <w:t xml:space="preserve">The </w:t>
      </w:r>
      <w:r w:rsidRPr="000C1F13">
        <w:rPr>
          <w:i/>
        </w:rPr>
        <w:t xml:space="preserve">Pteris </w:t>
      </w:r>
      <w:proofErr w:type="spellStart"/>
      <w:r w:rsidRPr="000C1F13">
        <w:rPr>
          <w:i/>
        </w:rPr>
        <w:t>vittata</w:t>
      </w:r>
      <w:proofErr w:type="spellEnd"/>
      <w:r w:rsidRPr="000C1F13">
        <w:t xml:space="preserve"> fern, which is a perennial plant known for hyper-accumulating Arsenic, can be grown in hydroponic cultures and is often used for phytoremediation of contaminated water. To reduce the cost of disposing As-contaminated biomass, this study examined the potential of using waste roots from </w:t>
      </w:r>
      <w:r w:rsidRPr="000C1F13">
        <w:rPr>
          <w:i/>
        </w:rPr>
        <w:t xml:space="preserve">Pteris </w:t>
      </w:r>
      <w:proofErr w:type="spellStart"/>
      <w:r w:rsidRPr="000C1F13">
        <w:rPr>
          <w:i/>
        </w:rPr>
        <w:t>vittata</w:t>
      </w:r>
      <w:proofErr w:type="spellEnd"/>
      <w:r w:rsidRPr="000C1F13">
        <w:t xml:space="preserve"> as a new and inexpensive bio-adsorbent for removing Rhodamine B (RB) dye, which is commonly used in industrial applications. </w:t>
      </w:r>
      <w:r w:rsidR="00696F16">
        <w:t>Batch tests were performed at 25</w:t>
      </w:r>
      <w:r w:rsidRPr="000C1F13">
        <w:t>°C in order to observe both the rate and the equilibrium conditions of the system. The isotherm showed a typical Langmuir behavior exhibiting a maximum adsorption capacity of 42.7 mg/g. Kinetics tests were conducted at different solid-liquid ratios and fitted by a mathematical model. The maximum likelihood method was employed to estimate the effective diffusivity of RB in the solid</w:t>
      </w:r>
      <w:r w:rsidR="00696F16">
        <w:t xml:space="preserve"> which resulted 4.48</w:t>
      </w:r>
      <w:r w:rsidR="00696F16">
        <w:rPr>
          <w:rFonts w:cs="Arial"/>
        </w:rPr>
        <w:t>·</w:t>
      </w:r>
      <w:r w:rsidR="00696F16">
        <w:t>10</w:t>
      </w:r>
      <w:r w:rsidR="00696F16" w:rsidRPr="00696F16">
        <w:rPr>
          <w:vertAlign w:val="superscript"/>
        </w:rPr>
        <w:t>-9</w:t>
      </w:r>
      <w:r w:rsidR="00696F16">
        <w:t xml:space="preserve"> cm</w:t>
      </w:r>
      <w:r w:rsidR="00696F16" w:rsidRPr="00696F16">
        <w:rPr>
          <w:vertAlign w:val="superscript"/>
        </w:rPr>
        <w:t>2</w:t>
      </w:r>
      <w:r w:rsidR="00696F16">
        <w:t>/min.</w:t>
      </w:r>
      <w:r w:rsidRPr="000C1F13">
        <w:t xml:space="preserve"> This study lays the groundwork for future investigations into the use of this material in continuous systems to determine its feasibility for application in industrial apparatus. </w:t>
      </w:r>
    </w:p>
    <w:p w14:paraId="476B2F2E" w14:textId="6B3ABED5" w:rsidR="00600535" w:rsidRDefault="00600535" w:rsidP="00600535">
      <w:pPr>
        <w:pStyle w:val="CETHeading1"/>
        <w:rPr>
          <w:lang w:val="en-GB"/>
        </w:rPr>
      </w:pPr>
      <w:r w:rsidRPr="00B57B36">
        <w:rPr>
          <w:lang w:val="en-GB"/>
        </w:rPr>
        <w:t>Introduction</w:t>
      </w:r>
      <w:r w:rsidR="00082589">
        <w:rPr>
          <w:lang w:val="en-GB"/>
        </w:rPr>
        <w:t xml:space="preserve"> </w:t>
      </w:r>
    </w:p>
    <w:p w14:paraId="765F7041" w14:textId="7FA8AB21" w:rsidR="00246905" w:rsidRPr="00DF18B9" w:rsidRDefault="00861A52" w:rsidP="00861A52">
      <w:pPr>
        <w:tabs>
          <w:tab w:val="clear" w:pos="7100"/>
        </w:tabs>
        <w:spacing w:after="200" w:line="276" w:lineRule="auto"/>
      </w:pPr>
      <w:r w:rsidRPr="00861A52">
        <w:t>Water is a vital resource for both natural and social environments due to its significant impact on human health, agriculture, and energy production. However, it is projected that climate change and population growth will result in a decrease in freshwater availability for two-thirds of the world's population by 2025</w:t>
      </w:r>
      <w:r>
        <w:t xml:space="preserve"> </w:t>
      </w:r>
      <w:r>
        <w:rPr>
          <w:szCs w:val="24"/>
        </w:rPr>
        <w:fldChar w:fldCharType="begin" w:fldLock="1"/>
      </w:r>
      <w:r>
        <w:rPr>
          <w:szCs w:val="24"/>
        </w:rPr>
        <w:instrText>ADDIN CSL_CITATION {"citationItems":[{"id":"ITEM-1","itemData":{"ISBN":"9780309257497","author":[{"dropping-particle":"","family":"UNESCO","given":"","non-dropping-particle":"","parse-names":false,"suffix":""}],"id":"ITEM-1","issued":{"date-parts":[["2015"]]},"publisher":"The National Academies Press","publisher-place":"Washington DC, USA","title":"Water reuse: Potential for expanding the Nation's Water Supply through Reuse of Municipal Wastewater","type":"book"},"uris":["http://www.mendeley.com/documents/?uuid=27c7d129-753d-4b0e-8d70-406fff40a605"]}],"mendeley":{"formattedCitation":"(UNESCO, 2015)","plainTextFormattedCitation":"(UNESCO, 2015)","previouslyFormattedCitation":"(UNESCO, 2015)"},"properties":{"noteIndex":0},"schema":"https://github.com/citation-style-language/schema/raw/master/csl-citation.json"}</w:instrText>
      </w:r>
      <w:r>
        <w:rPr>
          <w:szCs w:val="24"/>
        </w:rPr>
        <w:fldChar w:fldCharType="separate"/>
      </w:r>
      <w:r w:rsidRPr="00861A52">
        <w:rPr>
          <w:noProof/>
          <w:szCs w:val="24"/>
        </w:rPr>
        <w:t>(UNESCO, 2015)</w:t>
      </w:r>
      <w:r>
        <w:rPr>
          <w:szCs w:val="24"/>
        </w:rPr>
        <w:fldChar w:fldCharType="end"/>
      </w:r>
      <w:r w:rsidRPr="00861A52">
        <w:t>. To achieve sustainable water management, wastewater treatment and reuse are critical, as emphasized in the United Nations' 2030 Agenda for Sustainable Development</w:t>
      </w:r>
      <w:r>
        <w:t xml:space="preserve"> </w:t>
      </w:r>
      <w:r>
        <w:rPr>
          <w:szCs w:val="24"/>
        </w:rPr>
        <w:fldChar w:fldCharType="begin" w:fldLock="1"/>
      </w:r>
      <w:r>
        <w:rPr>
          <w:szCs w:val="24"/>
        </w:rPr>
        <w:instrText>ADDIN CSL_CITATION {"citationItems":[{"id":"ITEM-1","itemData":{"DOI":"10.1016/j.jclepro.2018.09.135","ISSN":"09596526","abstract":"Despite the emergency of water scarcity, the man's choices have always been directed towards the mismanagement of this vital resource; drinking water is far from being a right for everyone and is rather scarce and poorly distributed in many areas of the world. The aim of this work is to set up a water cost evaluation methodology based on the energetic equivalence among all the possible treatment strategies, water sources and water end-uses. An economic incentive is proposed on the basis of the thermodynamic and process analysis of a Wastewater Treatment &amp; Reuse (WWTR) Plant. The analysis extends our previous approach to the whole panorama of the water-cycle related technologies. The energy use intensity of different (in-series) process of a water reuse project has been addressed: from the COD and nutrient removal, to the energy harvesting and to the separation of dissolved ions. The incentive is able to reward the processes having the goal of low energy consumption and low carbon emissions. The methodology has been applied to WWTR projects at different scales. The results showed that it is possible to obtain an acceptable Return of Investment (ROI), even for a low plant productivity (around 200 m3/day). Moreover, based on the profitability of the WWTR Project, the calculation of the “true value” of the “water source” has been presented. An acceptable price of waster (as a commodity) is evaluated for both wastewater and seawater by varying the potentiality of the water reclamation plant. This calculation could be implemented to evaluate the economic benefit of public investment as well as to reduce the use of water from non-renewable sources.","author":[{"dropping-particle":"","family":"Capocelli","given":"M.","non-dropping-particle":"","parse-names":false,"suffix":""},{"dropping-particle":"","family":"Prisciandaro","given":"M.","non-dropping-particle":"","parse-names":false,"suffix":""},{"dropping-particle":"","family":"Piemonte","given":"V.","non-dropping-particle":"","parse-names":false,"suffix":""},{"dropping-particle":"","family":"Barba","given":"D.","non-dropping-particle":"","parse-names":false,"suffix":""}],"container-title":"Journal of Cleaner Production","id":"ITEM-1","issued":{"date-parts":[["2019"]]},"page":"85-96","publisher":"Elsevier Ltd","title":"A technical-economical approach to promote the water treatment &amp; reuse processes","type":"article-journal","volume":"207"},"uris":["http://www.mendeley.com/documents/?uuid=a89a4df3-382d-4cc4-a0a7-7b010104d797"]}],"mendeley":{"formattedCitation":"(Capocelli et al., 2019)","plainTextFormattedCitation":"(Capocelli et al., 2019)","previouslyFormattedCitation":"(Capocelli et al., 2019)"},"properties":{"noteIndex":0},"schema":"https://github.com/citation-style-language/schema/raw/master/csl-citation.json"}</w:instrText>
      </w:r>
      <w:r>
        <w:rPr>
          <w:szCs w:val="24"/>
        </w:rPr>
        <w:fldChar w:fldCharType="separate"/>
      </w:r>
      <w:r w:rsidRPr="00861A52">
        <w:rPr>
          <w:noProof/>
          <w:szCs w:val="24"/>
        </w:rPr>
        <w:t>(Capocelli et al., 2019)</w:t>
      </w:r>
      <w:r>
        <w:rPr>
          <w:szCs w:val="24"/>
        </w:rPr>
        <w:fldChar w:fldCharType="end"/>
      </w:r>
      <w:r w:rsidRPr="00861A52">
        <w:t xml:space="preserve">. </w:t>
      </w:r>
      <w:r w:rsidR="00914116">
        <w:t>The majority of</w:t>
      </w:r>
      <w:r w:rsidRPr="00861A52">
        <w:t xml:space="preserve"> wastewater treatment methods have </w:t>
      </w:r>
      <w:r w:rsidR="00914116">
        <w:t>severe</w:t>
      </w:r>
      <w:r w:rsidR="00696F16">
        <w:t xml:space="preserve"> </w:t>
      </w:r>
      <w:r w:rsidRPr="00861A52">
        <w:t xml:space="preserve"> drawbacks, such as toxic sludge generation and complex treatment processes</w:t>
      </w:r>
      <w:r>
        <w:t xml:space="preserve"> </w:t>
      </w:r>
      <w:r>
        <w:rPr>
          <w:szCs w:val="24"/>
        </w:rPr>
        <w:fldChar w:fldCharType="begin" w:fldLock="1"/>
      </w:r>
      <w:r>
        <w:rPr>
          <w:szCs w:val="24"/>
        </w:rPr>
        <w:instrText>ADDIN CSL_CITATION {"citationItems":[{"id":"ITEM-1","itemData":{"DOI":"10.1146/annurev-environ-100809-125342","ISSN":"15435938","abstract":"Water quality issues are a major challenge that humanity is facing in the twenty-first century. Here, we review the main groups of aquatic contaminants, their effects on human health, and approaches to mitigate pollution of freshwater resources. Emphasis is placed on chemical pollution, particularly on inorganic and organic micropollutants including toxic metals and metalloids as well as a large variety of synthetic organic chemicals. Some aspects of waterborne diseases and the urgent need for improved sanitation in developing countries are also discussed. The review addresses current scientific advances to cope with the great diversity of pollutants. It is organized along the different temporal and spatial scales of global water pollution. Persistent organic pollutants (POPs) have affected water systems on a global scale for more than five decades; during that time geogenic pollutants, mining operations, and hazardous waste sites have been the most relevant sources of long-term regional and local water pollution. Agricultural chemicals and waste-water sources exert shorter-term effects on regional to local scales. Copyright © 2010 by Annual Reviews. All rights reserved.","author":[{"dropping-particle":"","family":"Schwarzenbach","given":"René P.","non-dropping-particle":"","parse-names":false,"suffix":""},{"dropping-particle":"","family":"Egli","given":"Thomas","non-dropping-particle":"","parse-names":false,"suffix":""},{"dropping-particle":"","family":"Hofstetter","given":"Thomas B.","non-dropping-particle":"","parse-names":false,"suffix":""},{"dropping-particle":"","family":"Gunten","given":"Urs","non-dropping-particle":"Von","parse-names":false,"suffix":""},{"dropping-particle":"","family":"Wehrli","given":"Bernhard","non-dropping-particle":"","parse-names":false,"suffix":""}],"container-title":"Annual Review of Environment and Resources","id":"ITEM-1","issued":{"date-parts":[["2010"]]},"page":"109-136","title":"Global water pollution and human health","type":"article-journal","volume":"35"},"uris":["http://www.mendeley.com/documents/?uuid=ae3294c9-0fbb-4a25-8797-6fdb0c527c5d"]}],"mendeley":{"formattedCitation":"(Schwarzenbach et al., 2010)","plainTextFormattedCitation":"(Schwarzenbach et al., 2010)","previouslyFormattedCitation":"(Schwarzenbach et al., 2010)"},"properties":{"noteIndex":0},"schema":"https://github.com/citation-style-language/schema/raw/master/csl-citation.json"}</w:instrText>
      </w:r>
      <w:r>
        <w:rPr>
          <w:szCs w:val="24"/>
        </w:rPr>
        <w:fldChar w:fldCharType="separate"/>
      </w:r>
      <w:r w:rsidRPr="00861A52">
        <w:rPr>
          <w:noProof/>
          <w:szCs w:val="24"/>
        </w:rPr>
        <w:t>(Schwarzenbach et al., 2010)</w:t>
      </w:r>
      <w:r>
        <w:rPr>
          <w:szCs w:val="24"/>
        </w:rPr>
        <w:fldChar w:fldCharType="end"/>
      </w:r>
      <w:r>
        <w:t>, adsorption results</w:t>
      </w:r>
      <w:r w:rsidRPr="00861A52">
        <w:t xml:space="preserve"> an attractive alternative due to its simplicity and ease of operation. To reduce costs associated with commercial adsorbent synthesis, agro-industrial waste is frequently employed as a low-cost and eco-friendly adsorbent</w:t>
      </w:r>
      <w:r>
        <w:t xml:space="preserve"> </w:t>
      </w:r>
      <w:r>
        <w:fldChar w:fldCharType="begin" w:fldLock="1"/>
      </w:r>
      <w:r>
        <w:instrText>ADDIN CSL_CITATION {"citationItems":[{"id":"ITEM-1","itemData":{"abstract":"Yerba mate (Ilex paraguarensis, YM) was used as biomaterial for the removal of anionic and cationic compounds from wastewater. Chromium hexavalent Cr(VI), Remazol brilliant blue (RBB) and methylene blue (MB) were selected as pollutants. A calcination step was performed after the washing and drying steps to evaluate its effectiveness at increasing the adsorption capacity of the solid. Both YM and calcinated YM (CYM) were characterized by means of scanning electron microscopy (FE-SEM), Fourier transform infrared spectroscopy (FT-IR) and Brunauer–Emmett–Teller (BET) analysis. Adsorption batch tests revealed that YM was ineffective for the removal of Cr(VI) and RBB, while good results were obtained for MB (up to 80%) without pH dependency of the adsorption process, and CYM was able to remove Cr(VI) (up to 77%) and RBB (up to 65%) but not MB. The adsorption isotherm of MB on YM at 298 K was obtained experimentally and it is well represented by the Langmuir isotherm. YM’s adsorption capacity for MB was estimated to be 59.6 mg/g. Kinetic batch tests were conducted and the experimental results were fitted with a mathematical model. The low influence of temperature compared to the influence of the YM concentration on the adsorption rate was explained.","author":[{"dropping-particle":"","family":"Mazzeo","given":"Leone","non-dropping-particle":"","parse-names":false,"suffix":""},{"dropping-particle":"","family":"Bavasso","given":"Irene","non-dropping-particle":"","parse-names":false,"suffix":""},{"dropping-particle":"","family":"Bracciale","given":"Maria Paola","non-dropping-particle":"","parse-names":false,"suffix":""},{"dropping-particle":"","family":"Cocchi","given":"Marco","non-dropping-particle":"","parse-names":false,"suffix":""},{"dropping-particle":"Di","family":"Palma","given":"Luca","non-dropping-particle":"","parse-names":false,"suffix":""},{"dropping-particle":"","family":"Piemonte","given":"Vincenzo","non-dropping-particle":"","parse-names":false,"suffix":""}],"id":"ITEM-1","issued":{"date-parts":[["2020"]]},"title":"Yerba Mate (Ilex paraguarensis) as Bio-Adsorbent for the Removal of Methylene Blue , Remazol Brilliant Blue and Chromium Hexavalent : Thermodynamic and Kinetic Studies","type":"article-journal"},"uris":["http://www.mendeley.com/documents/?uuid=0fe51653-1f94-407b-9776-623286cd76cc"]}],"mendeley":{"formattedCitation":"(Mazzeo et al., 2020)","plainTextFormattedCitation":"(Mazzeo et al., 2020)","previouslyFormattedCitation":"(Mazzeo et al., 2020)"},"properties":{"noteIndex":0},"schema":"https://github.com/citation-style-language/schema/raw/master/csl-citation.json"}</w:instrText>
      </w:r>
      <w:r>
        <w:fldChar w:fldCharType="separate"/>
      </w:r>
      <w:r w:rsidRPr="00861A52">
        <w:rPr>
          <w:noProof/>
        </w:rPr>
        <w:t>(Mazzeo et al., 2020)</w:t>
      </w:r>
      <w:r>
        <w:fldChar w:fldCharType="end"/>
      </w:r>
      <w:r>
        <w:t xml:space="preserve"> </w:t>
      </w:r>
      <w:r>
        <w:fldChar w:fldCharType="begin" w:fldLock="1"/>
      </w:r>
      <w:r w:rsidR="00DF18B9">
        <w:instrText>ADDIN CSL_CITATION {"citationItems":[{"id":"ITEM-1","itemData":{"DOI":"10.3390/ma15165566","ISSN":"19961944","abstract":"The adsorption properties of Aloe vera (Aloe barbadensis Miller) for the uptake of Methylene Blue (MB) from water were investigated after pre-treating the material with water–ethanol solutions at different ethanol concentrations: 0% v/v (AV0), 25% v/v (AV25), and 50% v/v (AV50). The pre-treated materials were characterized as follows: the pHZC was evaluated to be 6, 5.7, and 7.2 for AV0, AV25, and AV50, respectively; from BET-BJH analysis the mesoporous nature of the material and an increase from 108.2 (AV0) to 331.7 (AV50) m2/kg of its solid surface area was observed; TG analysis revealed a significat increase in volatile compounds from the untreated (5.4%) to the treated materials (8.9%, 10.3%, and 11.3% for AV0, AV25, and AV50, respectively). Adsorption batch tests were then performed to investigate the equilibrium, the kinetics, and the thermodynamics of the process. Results suggested that the Langmuir model was in agreement with the experimental results, and values for qmax of 199 mg/g, 311 mg/g, and 346 mg/g were calculated for AV0, AV25, and AV50, respectively. The kinetic results were used to develop a mathematical model to estimate the effective diffusion coefficient for each type of Aloe adopted. Effective diffusion coefficients of 5.43·10−7 cm2/min, 3.89·10−7 cm2/min, and 5.78·10−7 cm2/min were calculated for AV0, AV25, and AV50, respectively. It was found that pre-treatment, on the one hand, enhances the adsorption capacity of the material and on the other, reduces its affinity toward MB uptake.","author":[{"dropping-particle":"","family":"Mazzeo","given":"Leone","non-dropping-particle":"","parse-names":false,"suffix":""},{"dropping-particle":"","family":"Bavasso","given":"Irene","non-dropping-particle":"","parse-names":false,"suffix":""},{"dropping-particle":"","family":"Spallieri","given":"Melissa","non-dropping-particle":"","parse-names":false,"suffix":""},{"dropping-particle":"","family":"Bracciale","given":"Maria Paola","non-dropping-particle":"","parse-names":false,"suffix":""},{"dropping-particle":"","family":"Piemonte","given":"Vincenzo","non-dropping-particle":"","parse-names":false,"suffix":""},{"dropping-particle":"","family":"Palma","given":"Luca","non-dropping-particle":"Di","parse-names":false,"suffix":""}],"container-title":"Materials","id":"ITEM-1","issue":"16","issued":{"date-parts":[["2022"]]},"page":"1-18","title":"Effect of Water–Ethanol Extraction as Pre-Treatment on the Adsorption Properties of Aloe vera Waste","type":"article-journal","volume":"15"},"uris":["http://www.mendeley.com/documents/?uuid=331ad539-fdd1-4e21-8a9a-cfceec6ea458"]}],"mendeley":{"formattedCitation":"(Mazzeo et al., 2022a)","plainTextFormattedCitation":"(Mazzeo et al., 2022a)","previouslyFormattedCitation":"(Mazzeo et al., 2022a)"},"properties":{"noteIndex":0},"schema":"https://github.com/citation-style-language/schema/raw/master/csl-citation.json"}</w:instrText>
      </w:r>
      <w:r>
        <w:fldChar w:fldCharType="separate"/>
      </w:r>
      <w:r w:rsidRPr="00861A52">
        <w:rPr>
          <w:noProof/>
        </w:rPr>
        <w:t>(Mazzeo et al., 2022a)</w:t>
      </w:r>
      <w:r>
        <w:fldChar w:fldCharType="end"/>
      </w:r>
      <w:r w:rsidR="00DF18B9">
        <w:t xml:space="preserve">. </w:t>
      </w:r>
      <w:r w:rsidRPr="00861A52">
        <w:t>Heavy metals are a type of pollutant that has a significant impact on the water bodies' geological condition</w:t>
      </w:r>
      <w:r w:rsidR="00DF18B9">
        <w:t xml:space="preserve"> </w:t>
      </w:r>
      <w:r w:rsidR="00DF18B9">
        <w:fldChar w:fldCharType="begin" w:fldLock="1"/>
      </w:r>
      <w:r w:rsidR="00DF18B9">
        <w:instrText>ADDIN CSL_CITATION {"citationItems":[{"id":"ITEM-1","itemData":{"DOI":"10.2800/303664","ISBN":"978-92-9213-947-6","author":[{"dropping-particle":"","family":"European Environmental Agency","given":"","non-dropping-particle":"","parse-names":false,"suffix":""}],"container-title":"Parents and Children Communicating with Society: Managing Relationships Outside of Home","id":"ITEM-1","issue":"7","issued":{"date-parts":[["2018"]]},"publisher-place":"Luxembourg","title":"European waters Assessment of status and pressures 2018","type":"book"},"uris":["http://www.mendeley.com/documents/?uuid=d9fc06c5-9921-4674-bd80-595ec45ec28a"]}],"mendeley":{"formattedCitation":"(European Environmental Agency, 2018)","plainTextFormattedCitation":"(European Environmental Agency, 2018)","previouslyFormattedCitation":"(European Environmental Agency, 2018)"},"properties":{"noteIndex":0},"schema":"https://github.com/citation-style-language/schema/raw/master/csl-citation.json"}</w:instrText>
      </w:r>
      <w:r w:rsidR="00DF18B9">
        <w:fldChar w:fldCharType="separate"/>
      </w:r>
      <w:r w:rsidR="00DF18B9" w:rsidRPr="00DF18B9">
        <w:rPr>
          <w:noProof/>
        </w:rPr>
        <w:t>(European Environmental Agency, 2018)</w:t>
      </w:r>
      <w:r w:rsidR="00DF18B9">
        <w:fldChar w:fldCharType="end"/>
      </w:r>
      <w:r w:rsidRPr="00861A52">
        <w:t>, posing a severe threat to biological species' health even at low concentrations</w:t>
      </w:r>
      <w:r w:rsidR="00DF18B9">
        <w:t xml:space="preserve"> </w:t>
      </w:r>
      <w:r w:rsidR="00DF18B9">
        <w:rPr>
          <w:szCs w:val="24"/>
        </w:rPr>
        <w:fldChar w:fldCharType="begin" w:fldLock="1"/>
      </w:r>
      <w:r w:rsidR="00DF18B9">
        <w:rPr>
          <w:szCs w:val="24"/>
        </w:rPr>
        <w:instrText>ADDIN CSL_CITATION {"citationItems":[{"id":"ITEM-1","itemData":{"DOI":"10.1016/j.jece.2014.03.015","ISBN":"22133437","ISSN":"22133437","abstract":"In this study, the biosorption of Pb(II) ions onto peanut shells from an aqueous solution was studied in a batch system as a function of temperature, pH of the solution, contact time, initial concentration of Pb(II) ions, and peanut shell concentration. It was determined that the biosorption capacity of the peanut shells decreased as the temperature was increased. Several kinetic models were used to determine the biosorption mechanism. It was determined that the biosorption system obeyed the pseudo-second-order kinetic model by taking into account the correlation coefficient value. Calculated activation energy value (Ea) was 33 kJ/mol and indicates that physical biosorption mechanisms occurred. This value indicated that physical biosorption mechanisms occurred. The linear forms of the Freundlich and Langmuir isotherms were applied to the biosorption data, and it was concluded that the Langmuir isotherm gave a better fit than the Freundlich model based on the values of the correlation coefficients (R2). The maximum Langmuir biosorbent capacity (q max) was approximately 39 mg/g. The thermodynamic parameters were calculated for the process by which Pb(II) ions were removed by the peanut shells. According to these parameters, it was observed that the biosorption of Pb(II) ions by the peanut shells is exothermic and spontaneous. © 2014 Elsevier Ltd.","author":[{"dropping-particle":"","family":"Taşar","given":"Şeyda","non-dropping-particle":"","parse-names":false,"suffix":""},{"dropping-particle":"","family":"Kaya","given":"Fatih","non-dropping-particle":"","parse-names":false,"suffix":""},{"dropping-particle":"","family":"Özer","given":"Ahmet","non-dropping-particle":"","parse-names":false,"suffix":""}],"container-title":"Journal of Environmental Chemical Engineering","id":"ITEM-1","issue":"2","issued":{"date-parts":[["2014","6"]]},"page":"1018-1026","publisher":"Elsevier","title":"Biosorption of lead(II) ions from aqueous solution by peanut shells: Equilibrium, thermodynamic and kinetic studies","type":"article-journal","volume":"2"},"uris":["http://www.mendeley.com/documents/?uuid=fd8b5a84-93ce-4d36-afe8-7fb3c16d261f"]}],"mendeley":{"formattedCitation":"(Taşar et al., 2014)","plainTextFormattedCitation":"(Taşar et al., 2014)","previouslyFormattedCitation":"(Taşar et al., 2014)"},"properties":{"noteIndex":0},"schema":"https://github.com/citation-style-language/schema/raw/master/csl-citation.json"}</w:instrText>
      </w:r>
      <w:r w:rsidR="00DF18B9">
        <w:rPr>
          <w:szCs w:val="24"/>
        </w:rPr>
        <w:fldChar w:fldCharType="separate"/>
      </w:r>
      <w:r w:rsidR="00DF18B9" w:rsidRPr="00DF18B9">
        <w:rPr>
          <w:noProof/>
          <w:szCs w:val="24"/>
        </w:rPr>
        <w:t>(Taşar et al., 2014)</w:t>
      </w:r>
      <w:r w:rsidR="00DF18B9">
        <w:rPr>
          <w:szCs w:val="24"/>
        </w:rPr>
        <w:fldChar w:fldCharType="end"/>
      </w:r>
      <w:r w:rsidRPr="00861A52">
        <w:t xml:space="preserve">. Hyperaccumulator plants have been shown to effectively remove heavy metals from soil and water in phytoremediation approaches. The fern Pteris </w:t>
      </w:r>
      <w:proofErr w:type="spellStart"/>
      <w:r w:rsidRPr="00861A52">
        <w:t>vittata</w:t>
      </w:r>
      <w:proofErr w:type="spellEnd"/>
      <w:r w:rsidRPr="00861A52">
        <w:t xml:space="preserve"> is particularly effective at removing large quantities of arsenic from soil and water, and it can be grown in hydroponic culture systems</w:t>
      </w:r>
      <w:r w:rsidR="00DF18B9">
        <w:t xml:space="preserve"> </w:t>
      </w:r>
      <w:r w:rsidR="00DF18B9">
        <w:rPr>
          <w:szCs w:val="24"/>
        </w:rPr>
        <w:fldChar w:fldCharType="begin" w:fldLock="1"/>
      </w:r>
      <w:r w:rsidR="00DF18B9">
        <w:rPr>
          <w:szCs w:val="24"/>
        </w:rPr>
        <w:instrText>ADDIN CSL_CITATION {"citationItems":[{"id":"ITEM-1","itemData":{"DOI":"10.1080/16226510500215720","ISSN":"15226514","PMID":"16285413","abstract":"Two hydroponic experiments were conducted to evaluate factors affecting plant arsenic (As) hyperaccumulation. In the first experiment, two As hyperaccumulators (Pteris vittata and F. cretica mayii) were exposed to 1 and 10 mg L-1 arsenite (AsIII) and monomethyl arsenic acid (MMA) for 4 wk. Total As concentrations in plants (fronds and roots) and solution were determined. In the second experiment, P. vittata and Nephrolepis exaltata (a non-As hyperaccumulator) were exposed to 5 mg L-1 arsenate (AsV) and 20 mg L-1 AsIII for 1 and 15 d. Total As and AsIII concentrations in plants were determined. Compared to P. cretica mayii, P. vittata was more efficient in arsenic accumulation (1075-1666 vs. 249-627 mg kg-1 As in the fronds) partially because it is more efficient in As translocation. As translocation factor (As concentration ratio in fronds to roots) was 3.0-5.6 for P. vittata compared to 0.1 to 4.8 for P. cretica. Compared to N. exaltata, P. vittata was significantly more efficient in arsenic accumulation (38-542 vs. 4.8-71 mg kg-1 As in the fronds) as well as As translocation (1.3-5.6 vs. 0.2-0.5). In addition, P. vittata was much more efficient in As reduction from AsV to AsIII (83-84 vs. 13-24% AsIII in the fronds). Little As reduction occurred after 1-d exposure to AsV in both species indicates that As reduction was not instantaneous even in an As hyperaccumulator. Our data were consistent with the hypothesis that both As translocation and As reduction are important for plant As hyperaccumulation. Copyright © Taylor &amp; Francis Inc.","author":[{"dropping-particle":"","family":"Fayiga","given":"A. O.","non-dropping-particle":"","parse-names":false,"suffix":""},{"dropping-particle":"","family":"Ma","given":"L. Q.","non-dropping-particle":"","parse-names":false,"suffix":""},{"dropping-particle":"","family":"Santos","given":"Jorge","non-dropping-particle":"","parse-names":false,"suffix":""},{"dropping-particle":"","family":"Rathinasabapathi","given":"B.","non-dropping-particle":"","parse-names":false,"suffix":""},{"dropping-particle":"","family":"Stamps","given":"B.","non-dropping-particle":"","parse-names":false,"suffix":""},{"dropping-particle":"","family":"Littell","given":"R. C.","non-dropping-particle":"","parse-names":false,"suffix":""}],"container-title":"International Journal of Phytoremediation","id":"ITEM-1","issue":"3","issued":{"date-parts":[["2005"]]},"page":"231-240","title":"Effects of arsenic species and concentrations on arsenic accumulation by different fern species in a hydroponic system","type":"article-journal","volume":"7"},"uris":["http://www.mendeley.com/documents/?uuid=4c7a0c0c-3f22-490f-a8e8-8ef8fbe06abd"]},{"id":"ITEM-2","itemData":{"DOI":"10.1080/09168451.2015.1107461","ISSN":"13476947","PMID":"26549187","abstract":"In this study, we found that high-performance hydroponics of arsenic hyperaccumulator fern Pteris vittata is possible without any mechanical aeration system, if rhizomes of the ferns are kept over the water surface level. It was also found that very lownutrition condition is better for root elongation of P. vittata that is an important factor of the arsenic removal from contaminated water. By the nonaeration and low-nutrition hydroponics for four months, roots of P. vittata were elongated more than 500 mm. The results of arsenate phytofiltration experiments showed that arsenic concentrations in water declined from the initial concentrations (50 μg/L, 500 μg/L, and 1000 μg/L) to lower than the detection limit (0.1 μg/L) and about 80% of arsenic removed was accumulated in the fern fronds. The improved hydroponics method for P. vittata developed in this study enables low-cost phytoremediation of arsenic-contaminated water and high-affinity removal of arsenic from water.","author":[{"dropping-particle":"","family":"Huang","given":"Yi","non-dropping-particle":"","parse-names":false,"suffix":""},{"dropping-particle":"","family":"Miyauchi","given":"Keisuke","non-dropping-particle":"","parse-names":false,"suffix":""},{"dropping-particle":"","family":"Inoze","given":"Chihiro","non-dropping-particle":"","parse-names":false,"suffix":""},{"dropping-particle":"","family":"Endo","given":"Ginro","non-dropping-particle":"","parse-names":false,"suffix":""}],"container-title":"Bioscience, Biotechnology and Biochemistry","id":"ITEM-2","issue":"3","issued":{"date-parts":[["2016"]]},"page":"614-618","publisher":"Taylor &amp; Francis","title":"Development of suitable hydroponics system for phytoremediation of arseniccontaminated water using an arsenic hyperaccumulator plant Pteris vittata","type":"article-journal","volume":"80"},"uris":["http://www.mendeley.com/documents/?uuid=dac5a9e6-2ec8-4700-9c15-e982a88b7953"]}],"mendeley":{"formattedCitation":"(Fayiga et al., 2005; Huang et al., 2016)","plainTextFormattedCitation":"(Fayiga et al., 2005; Huang et al., 2016)","previouslyFormattedCitation":"(Fayiga et al., 2005; Huang et al., 2016)"},"properties":{"noteIndex":0},"schema":"https://github.com/citation-style-language/schema/raw/master/csl-citation.json"}</w:instrText>
      </w:r>
      <w:r w:rsidR="00DF18B9">
        <w:rPr>
          <w:szCs w:val="24"/>
        </w:rPr>
        <w:fldChar w:fldCharType="separate"/>
      </w:r>
      <w:r w:rsidR="00DF18B9" w:rsidRPr="00DF18B9">
        <w:rPr>
          <w:noProof/>
          <w:szCs w:val="24"/>
        </w:rPr>
        <w:t>(Fayiga et al., 2005; Huang et al., 2016)</w:t>
      </w:r>
      <w:r w:rsidR="00DF18B9">
        <w:rPr>
          <w:szCs w:val="24"/>
        </w:rPr>
        <w:fldChar w:fldCharType="end"/>
      </w:r>
      <w:r w:rsidRPr="00861A52">
        <w:t xml:space="preserve">. Additionally, it can be reused in multiple </w:t>
      </w:r>
      <w:proofErr w:type="spellStart"/>
      <w:r w:rsidRPr="00861A52">
        <w:t>phytofiltration</w:t>
      </w:r>
      <w:proofErr w:type="spellEnd"/>
      <w:r w:rsidRPr="00861A52">
        <w:t xml:space="preserve"> cycles without releasing previously accumulated arsenic</w:t>
      </w:r>
      <w:r w:rsidR="00DF18B9">
        <w:t xml:space="preserve"> </w:t>
      </w:r>
      <w:r w:rsidR="00DF18B9">
        <w:rPr>
          <w:szCs w:val="24"/>
        </w:rPr>
        <w:fldChar w:fldCharType="begin" w:fldLock="1"/>
      </w:r>
      <w:r w:rsidR="00DF18B9">
        <w:rPr>
          <w:szCs w:val="24"/>
        </w:rPr>
        <w:instrText>ADDIN CSL_CITATION {"citationItems":[{"id":"ITEM-1","itemData":{"DOI":"10.3390/w13162187","ISSN":"20734441","abstract":"The reuse of Pteris vittata plants for multiple phytofiltration cycles is a main issue to allow an efficient phytoremediation of arsenic (As)-contaminated groundwater. Here, we assessed the capacity of phytofiltration of P. vittata plants grown for two cycles on naturally As-contaminated drinking water (collected in Central Italy), spaced by a growth cycle on non-contaminated water (N cycle). P. vittata young plants, with extensive frond and root development, were suspended individually in 15 L of water with initial As of 59 µg/L, without any additional treatment or water refilling. During cycle 1, in 45 days P. vittata plants reduced As concentration below 10 µg/L, the allowed EU limits for drinking water. During the subsequent 30 day-N cycle on non-contaminated water, no leaching of As from the roots was observed, while the water pH increased 0.9 Units, but is within the allowed limits. During cycle 2, under the same conditions as cycle 1, As concentration decreased below 10 µg/L in less than seven days. These results show that P. vittata young plants, previously used for the phytofiltration of As, do not extrude As and, when reused, remove As much more rapidly. No additional treatments were required during phytofiltration and thus this represents a sustainable, efficient, and scalable strategy.","author":[{"dropping-particle":"","family":"Marzi","given":"Davide","non-dropping-particle":"","parse-names":false,"suffix":""},{"dropping-particle":"","family":"Antenozio","given":"Maria Luisa","non-dropping-particle":"","parse-names":false,"suffix":""},{"dropping-particle":"","family":"Vernazzaro","given":"Sara","non-dropping-particle":"","parse-names":false,"suffix":""},{"dropping-particle":"","family":"Sette","given":"Clara","non-dropping-particle":"","parse-names":false,"suffix":""},{"dropping-particle":"","family":"Veschetti","given":"Enrico","non-dropping-particle":"","parse-names":false,"suffix":""},{"dropping-particle":"","family":"Lucentini","given":"Luca","non-dropping-particle":"","parse-names":false,"suffix":""},{"dropping-particle":"","family":"Daniele","given":"Giancarlo","non-dropping-particle":"","parse-names":false,"suffix":""},{"dropping-particle":"","family":"Brunetti","given":"Patrizia","non-dropping-particle":"","parse-names":false,"suffix":""},{"dropping-particle":"","family":"Cardarelli","given":"Maura","non-dropping-particle":"","parse-names":false,"suffix":""}],"container-title":"Water (Switzerland)","id":"ITEM-1","issue":"16","issued":{"date-parts":[["2021"]]},"page":"1-10","title":"Advanced drinking groundwater as phytofiltration by the hyperaccumulating fern pteris vittata","type":"article-journal","volume":"13"},"uris":["http://www.mendeley.com/documents/?uuid=faaa4ba9-4e02-48ac-a36d-f265bd393f22"]}],"mendeley":{"formattedCitation":"(Marzi et al., 2021)","plainTextFormattedCitation":"(Marzi et al., 2021)","previouslyFormattedCitation":"(Marzi et al., 2021)"},"properties":{"noteIndex":0},"schema":"https://github.com/citation-style-language/schema/raw/master/csl-citation.json"}</w:instrText>
      </w:r>
      <w:r w:rsidR="00DF18B9">
        <w:rPr>
          <w:szCs w:val="24"/>
        </w:rPr>
        <w:fldChar w:fldCharType="separate"/>
      </w:r>
      <w:r w:rsidR="00DF18B9" w:rsidRPr="00DF18B9">
        <w:rPr>
          <w:noProof/>
          <w:szCs w:val="24"/>
        </w:rPr>
        <w:t>(Marzi et al., 2021)</w:t>
      </w:r>
      <w:r w:rsidR="00DF18B9">
        <w:rPr>
          <w:szCs w:val="24"/>
        </w:rPr>
        <w:fldChar w:fldCharType="end"/>
      </w:r>
      <w:r w:rsidRPr="00861A52">
        <w:t>, making it a sustainable approach. However, the disposal of As-rich biomass constitutes a significant cost and a critical issue for phytoremediation technology's development. To address t</w:t>
      </w:r>
      <w:r w:rsidR="00DF18B9">
        <w:t>his problem, a novel approach was</w:t>
      </w:r>
      <w:r w:rsidRPr="00861A52">
        <w:t xml:space="preserve"> proposed in which PV waste roots are used as low-cost bio-adsorbents for wastewater treatment. </w:t>
      </w:r>
      <w:r w:rsidR="00DF18B9">
        <w:t xml:space="preserve">As a matter of fact, PV roots were already tested for the removal of the dye Methylene blue both in batch </w:t>
      </w:r>
      <w:r w:rsidR="00DF18B9">
        <w:fldChar w:fldCharType="begin" w:fldLock="1"/>
      </w:r>
      <w:r w:rsidR="00DF18B9">
        <w:instrText>ADDIN CSL_CITATION {"citationItems":[{"id":"ITEM-1","itemData":{"DOI":"10.1016/j.cherd.2022.07.025","author":[{"dropping-particle":"","family":"Mazzeo","given":"Leone","non-dropping-particle":"","parse-names":false,"suffix":""},{"dropping-particle":"","family":"Marzi","given":"Davide","non-dropping-particle":"","parse-names":false,"suffix":""},{"dropping-particle":"","family":"Irene","given":"Bavasso","non-dropping-particle":"","parse-names":false,"suffix":""},{"dropping-particle":"","family":"Bracciale","given":"Maria Paola","non-dropping-particle":"","parse-names":false,"suffix":""},{"dropping-particle":"","family":"Piemonte","given":"Vincenzo","non-dropping-particle":"","parse-names":false,"suffix":""},{"dropping-particle":"","family":"Palma","given":"Luca","non-dropping-particle":"Di","parse-names":false,"suffix":""}],"container-title":"Chemical Engineering Research and Design","id":"ITEM-1","issued":{"date-parts":[["2022"]]},"publisher":"Elsevier","title":"Characterization of waste roots from the As hyperaccumulator Pteris vittata as low-cost adsorbent for Methylene Blue removal","type":"article-journal"},"uris":["http://www.mendeley.com/documents/?uuid=2ac4d256-e501-4825-8d31-a1678b14e371"]}],"mendeley":{"formattedCitation":"(Mazzeo et al., 2022b)","plainTextFormattedCitation":"(Mazzeo et al., 2022b)","previouslyFormattedCitation":"(Mazzeo et al., 2022b)"},"properties":{"noteIndex":0},"schema":"https://github.com/citation-style-language/schema/raw/master/csl-citation.json"}</w:instrText>
      </w:r>
      <w:r w:rsidR="00DF18B9">
        <w:fldChar w:fldCharType="separate"/>
      </w:r>
      <w:r w:rsidR="00DF18B9" w:rsidRPr="00DF18B9">
        <w:rPr>
          <w:noProof/>
        </w:rPr>
        <w:t>(Mazzeo et al., 2022b)</w:t>
      </w:r>
      <w:r w:rsidR="00DF18B9">
        <w:fldChar w:fldCharType="end"/>
      </w:r>
      <w:r w:rsidR="00DF18B9">
        <w:t xml:space="preserve"> and in continuous mode </w:t>
      </w:r>
      <w:r w:rsidR="00DF18B9">
        <w:fldChar w:fldCharType="begin" w:fldLock="1"/>
      </w:r>
      <w:r w:rsidR="00DF18B9">
        <w:instrText>ADDIN CSL_CITATION {"citationItems":[{"id":"ITEM-1","itemData":{"DOI":"10.3390/ma16041450","author":[{"dropping-particle":"","family":"Mazzeo","given":"Leone","non-dropping-particle":"","parse-names":false,"suffix":""},{"dropping-particle":"","family":"Marzi","given":"Davide","non-dropping-particle":"","parse-names":false,"suffix":""},{"dropping-particle":"","family":"Bavasso","given":"Irene","non-dropping-particle":"","parse-names":false,"suffix":""},{"dropping-particle":"","family":"Piemonte","given":"Vincenzo","non-dropping-particle":"","parse-names":false,"suffix":""},{"dropping-particle":"Di","family":"Palma","given":"Luca","non-dropping-particle":"","parse-names":false,"suffix":""}],"container-title":"Materials","id":"ITEM-1","issue":"4","issued":{"date-parts":[["2023"]]},"page":"1450","title":"Removal of Methylene Blue from Wastewater by Waste Roots from the Arsenic-Hyperaccumulator Pteris vittata : Fixed Bed Adsorption Kinetics","type":"article-journal","volume":"16"},"uris":["http://www.mendeley.com/documents/?uuid=8d3e5b0c-cc4d-4023-8c93-d7e58191c767"]}],"mendeley":{"formattedCitation":"(Mazzeo et al., 2023)","plainTextFormattedCitation":"(Mazzeo et al., 2023)"},"properties":{"noteIndex":0},"schema":"https://github.com/citation-style-language/schema/raw/master/csl-citation.json"}</w:instrText>
      </w:r>
      <w:r w:rsidR="00DF18B9">
        <w:fldChar w:fldCharType="separate"/>
      </w:r>
      <w:r w:rsidR="00DF18B9" w:rsidRPr="00DF18B9">
        <w:rPr>
          <w:noProof/>
        </w:rPr>
        <w:t>(Mazzeo et al., 2023)</w:t>
      </w:r>
      <w:r w:rsidR="00DF18B9">
        <w:fldChar w:fldCharType="end"/>
      </w:r>
      <w:r w:rsidR="00DF18B9">
        <w:t xml:space="preserve">. For this </w:t>
      </w:r>
      <w:r w:rsidR="00DF18B9">
        <w:lastRenderedPageBreak/>
        <w:t xml:space="preserve">reason, this study aims to characterize </w:t>
      </w:r>
      <w:r w:rsidR="006C5DA1">
        <w:t xml:space="preserve">the thermodynamics and the kinetic of </w:t>
      </w:r>
      <w:r w:rsidR="00DF18B9">
        <w:t>PV roots for the remo</w:t>
      </w:r>
      <w:r w:rsidR="006C5DA1">
        <w:t>val of another dye: Rhodamine B (RB).</w:t>
      </w:r>
    </w:p>
    <w:p w14:paraId="4F988063" w14:textId="19A969F0" w:rsidR="00543D02" w:rsidRPr="00543D02" w:rsidRDefault="00014EC6" w:rsidP="000250CD">
      <w:pPr>
        <w:pStyle w:val="CETHeading1"/>
        <w:rPr>
          <w:lang w:val="en-GB"/>
        </w:rPr>
      </w:pPr>
      <w:r>
        <w:rPr>
          <w:lang w:val="en-GB"/>
        </w:rPr>
        <w:t>Materials and Methods</w:t>
      </w:r>
    </w:p>
    <w:p w14:paraId="2DA231BF" w14:textId="6320CD17" w:rsidR="004142B8" w:rsidRDefault="00543D02" w:rsidP="004142B8">
      <w:pPr>
        <w:pStyle w:val="CETheadingx"/>
      </w:pPr>
      <w:r>
        <w:t>Bio-adsorbent preparation</w:t>
      </w:r>
    </w:p>
    <w:p w14:paraId="0712E502" w14:textId="5AE26825" w:rsidR="00E1105A" w:rsidRPr="003743CB" w:rsidRDefault="00E1105A" w:rsidP="00E1105A">
      <w:pPr>
        <w:pStyle w:val="CETBodytext"/>
        <w:rPr>
          <w:lang w:val="en-GB"/>
        </w:rPr>
      </w:pPr>
      <w:r>
        <w:rPr>
          <w:lang w:val="en-GB"/>
        </w:rPr>
        <w:t>H</w:t>
      </w:r>
      <w:r w:rsidRPr="00246905">
        <w:rPr>
          <w:lang w:val="en-GB"/>
        </w:rPr>
        <w:t>ydroponic culture systems</w:t>
      </w:r>
      <w:r>
        <w:rPr>
          <w:lang w:val="en-GB"/>
        </w:rPr>
        <w:t xml:space="preserve"> </w:t>
      </w:r>
      <w:r w:rsidRPr="00246905">
        <w:rPr>
          <w:lang w:val="en-GB"/>
        </w:rPr>
        <w:t xml:space="preserve">according to </w:t>
      </w:r>
      <w:proofErr w:type="spellStart"/>
      <w:r w:rsidRPr="00246905">
        <w:rPr>
          <w:lang w:val="en-GB"/>
        </w:rPr>
        <w:t>Marzi</w:t>
      </w:r>
      <w:proofErr w:type="spellEnd"/>
      <w:r w:rsidRPr="00246905">
        <w:rPr>
          <w:lang w:val="en-GB"/>
        </w:rPr>
        <w:t xml:space="preserve"> et al. </w:t>
      </w:r>
      <w:r w:rsidRPr="00246905">
        <w:rPr>
          <w:lang w:val="en-GB"/>
        </w:rPr>
        <w:fldChar w:fldCharType="begin" w:fldLock="1"/>
      </w:r>
      <w:r w:rsidR="002A291A">
        <w:rPr>
          <w:lang w:val="en-GB"/>
        </w:rPr>
        <w:instrText>ADDIN CSL_CITATION {"citationItems":[{"id":"ITEM-1","itemData":{"DOI":"10.3390/w13162187","ISSN":"20734441","abstract":"The reuse of Pteris vittata plants for multiple phytofiltration cycles is a main issue to allow an efficient phytoremediation of arsenic (As)-contaminated groundwater. Here, we assessed the capacity of phytofiltration of P. vittata plants grown for two cycles on naturally As-contaminated drinking water (collected in Central Italy), spaced by a growth cycle on non-contaminated water (N cycle). P. vittata young plants, with extensive frond and root development, were suspended individually in 15 L of water with initial As of 59 µg/L, without any additional treatment or water refilling. During cycle 1, in 45 days P. vittata plants reduced As concentration below 10 µg/L, the allowed EU limits for drinking water. During the subsequent 30 day-N cycle on non-contaminated water, no leaching of As from the roots was observed, while the water pH increased 0.9 Units, but is within the allowed limits. During cycle 2, under the same conditions as cycle 1, As concentration decreased below 10 µg/L in less than seven days. These results show that P. vittata young plants, previously used for the phytofiltration of As, do not extrude As and, when reused, remove As much more rapidly. No additional treatments were required during phytofiltration and thus this represents a sustainable, efficient, and scalable strategy.","author":[{"dropping-particle":"","family":"Marzi","given":"Davide","non-dropping-particle":"","parse-names":false,"suffix":""},{"dropping-particle":"","family":"Antenozio","given":"Maria Luisa","non-dropping-particle":"","parse-names":false,"suffix":""},{"dropping-particle":"","family":"Vernazzaro","given":"Sara","non-dropping-particle":"","parse-names":false,"suffix":""},{"dropping-particle":"","family":"Sette","given":"Clara","non-dropping-particle":"","parse-names":false,"suffix":""},{"dropping-particle":"","family":"Veschetti","given":"Enrico","non-dropping-particle":"","parse-names":false,"suffix":""},{"dropping-particle":"","family":"Lucentini","given":"Luca","non-dropping-particle":"","parse-names":false,"suffix":""},{"dropping-particle":"","family":"Daniele","given":"Giancarlo","non-dropping-particle":"","parse-names":false,"suffix":""},{"dropping-particle":"","family":"Brunetti","given":"Patrizia","non-dropping-particle":"","parse-names":false,"suffix":""},{"dropping-particle":"","family":"Cardarelli","given":"Maura","non-dropping-particle":"","parse-names":false,"suffix":""}],"container-title":"Water (Switzerland)","id":"ITEM-1","issue":"16","issued":{"date-parts":[["2021"]]},"page":"1-10","title":"Advanced drinking groundwater as phytofiltration by the hyperaccumulating fern pteris vittata","type":"article-journal","volume":"13"},"uris":["http://www.mendeley.com/documents/?uuid=faaa4ba9-4e02-48ac-a36d-f265bd393f22"]}],"mendeley":{"formattedCitation":"(Marzi et al., 2021)","plainTextFormattedCitation":"(Marzi et al., 2021)","previouslyFormattedCitation":"(Marzi et al., 2021)"},"properties":{"noteIndex":0},"schema":"https://github.com/citation-style-language/schema/raw/master/csl-citation.json"}</w:instrText>
      </w:r>
      <w:r w:rsidRPr="00246905">
        <w:rPr>
          <w:lang w:val="en-GB"/>
        </w:rPr>
        <w:fldChar w:fldCharType="separate"/>
      </w:r>
      <w:r w:rsidRPr="00246905">
        <w:rPr>
          <w:noProof/>
          <w:lang w:val="en-GB"/>
        </w:rPr>
        <w:t>(Marzi et al., 2021)</w:t>
      </w:r>
      <w:r w:rsidRPr="00246905">
        <w:fldChar w:fldCharType="end"/>
      </w:r>
      <w:r>
        <w:t xml:space="preserve"> </w:t>
      </w:r>
      <w:r>
        <w:rPr>
          <w:lang w:val="en-GB"/>
        </w:rPr>
        <w:t xml:space="preserve">were prepared to cultivate </w:t>
      </w:r>
      <w:r w:rsidRPr="00246905">
        <w:rPr>
          <w:i/>
        </w:rPr>
        <w:t xml:space="preserve">Pteris </w:t>
      </w:r>
      <w:proofErr w:type="spellStart"/>
      <w:r w:rsidRPr="00246905">
        <w:rPr>
          <w:i/>
        </w:rPr>
        <w:t>vittata</w:t>
      </w:r>
      <w:proofErr w:type="spellEnd"/>
      <w:r>
        <w:t xml:space="preserve"> (PV) plants </w:t>
      </w:r>
      <w:r w:rsidRPr="00246905">
        <w:rPr>
          <w:lang w:val="en-GB"/>
        </w:rPr>
        <w:t>using tap water.</w:t>
      </w:r>
      <w:r>
        <w:rPr>
          <w:lang w:val="en-GB"/>
        </w:rPr>
        <w:t xml:space="preserve"> Waste roots were collected and washed before their application in adsorption tests. Such pre-treatment step was conducted at </w:t>
      </w:r>
      <w:r w:rsidRPr="00246905">
        <w:rPr>
          <w:lang w:val="en-GB"/>
        </w:rPr>
        <w:t>room temperature</w:t>
      </w:r>
      <w:r>
        <w:rPr>
          <w:lang w:val="en-GB"/>
        </w:rPr>
        <w:t xml:space="preserve"> in a 500 ml beaker filled with 250 ml of demineralized water and 2 g of PV roots. Then,</w:t>
      </w:r>
      <w:r w:rsidRPr="00E1105A">
        <w:rPr>
          <w:lang w:val="en-GB"/>
        </w:rPr>
        <w:t xml:space="preserve"> </w:t>
      </w:r>
      <w:r w:rsidRPr="00246905">
        <w:rPr>
          <w:lang w:val="en-GB"/>
        </w:rPr>
        <w:t>the roots were</w:t>
      </w:r>
      <w:r>
        <w:rPr>
          <w:lang w:val="en-GB"/>
        </w:rPr>
        <w:t xml:space="preserve"> dried at 50°C for 24h and </w:t>
      </w:r>
      <w:r w:rsidR="003743CB">
        <w:rPr>
          <w:lang w:val="en-GB"/>
        </w:rPr>
        <w:t xml:space="preserve">cut in order to obtain an average length of the roots </w:t>
      </w:r>
      <w:r>
        <w:rPr>
          <w:lang w:val="en-GB"/>
        </w:rPr>
        <w:t xml:space="preserve">in the range of </w:t>
      </w:r>
      <w:r w:rsidRPr="00246905">
        <w:rPr>
          <w:lang w:val="en-GB"/>
        </w:rPr>
        <w:t>1 – 2 cm</w:t>
      </w:r>
      <w:r>
        <w:rPr>
          <w:lang w:val="en-GB"/>
        </w:rPr>
        <w:t>.</w:t>
      </w:r>
    </w:p>
    <w:p w14:paraId="04963A06" w14:textId="63296C13" w:rsidR="00600535" w:rsidRDefault="00543D02" w:rsidP="00FA5F5F">
      <w:pPr>
        <w:pStyle w:val="CETheadingx"/>
      </w:pPr>
      <w:r>
        <w:t>Chemicals</w:t>
      </w:r>
    </w:p>
    <w:p w14:paraId="2D7B1E3B" w14:textId="7882EDFD" w:rsidR="00543D02" w:rsidRPr="00543D02" w:rsidRDefault="00543D02" w:rsidP="00543D02">
      <w:pPr>
        <w:pStyle w:val="CETBodytext"/>
      </w:pPr>
      <w:r w:rsidRPr="00543D02">
        <w:t>Rhodamine B (C</w:t>
      </w:r>
      <w:r w:rsidRPr="00246905">
        <w:rPr>
          <w:vertAlign w:val="subscript"/>
        </w:rPr>
        <w:t>28</w:t>
      </w:r>
      <w:r w:rsidRPr="00543D02">
        <w:t>H</w:t>
      </w:r>
      <w:r w:rsidRPr="00246905">
        <w:rPr>
          <w:vertAlign w:val="subscript"/>
        </w:rPr>
        <w:t>31</w:t>
      </w:r>
      <w:r w:rsidRPr="00543D02">
        <w:t>ClN</w:t>
      </w:r>
      <w:r w:rsidRPr="00246905">
        <w:rPr>
          <w:vertAlign w:val="subscript"/>
        </w:rPr>
        <w:t>2</w:t>
      </w:r>
      <w:r w:rsidRPr="00543D02">
        <w:t>O</w:t>
      </w:r>
      <w:r w:rsidRPr="00246905">
        <w:rPr>
          <w:vertAlign w:val="subscript"/>
        </w:rPr>
        <w:t>3</w:t>
      </w:r>
      <w:r w:rsidRPr="00543D02">
        <w:t xml:space="preserve">; RB) </w:t>
      </w:r>
      <w:r w:rsidR="00246905">
        <w:t>was</w:t>
      </w:r>
      <w:r w:rsidRPr="00543D02">
        <w:t xml:space="preserve"> purchased fro</w:t>
      </w:r>
      <w:r w:rsidR="00246905">
        <w:t>m Sigma Aldrich (United States)</w:t>
      </w:r>
      <w:r w:rsidRPr="00543D02">
        <w:t xml:space="preserve"> and used without any further purification. </w:t>
      </w:r>
    </w:p>
    <w:p w14:paraId="771AE0A2" w14:textId="1F27DBC7" w:rsidR="003076EF" w:rsidRDefault="00543D02" w:rsidP="003076EF">
      <w:pPr>
        <w:pStyle w:val="CETheadingx"/>
      </w:pPr>
      <w:r>
        <w:t>Batch</w:t>
      </w:r>
      <w:r w:rsidR="003076EF">
        <w:t xml:space="preserve"> tests</w:t>
      </w:r>
    </w:p>
    <w:p w14:paraId="34576779" w14:textId="582215A2" w:rsidR="003743CB" w:rsidRDefault="003743CB" w:rsidP="003743CB">
      <w:pPr>
        <w:pStyle w:val="CETBodytext"/>
        <w:rPr>
          <w:lang w:val="en-GB"/>
        </w:rPr>
      </w:pPr>
      <w:r w:rsidRPr="00543D02">
        <w:t>Batch tests were conducted</w:t>
      </w:r>
      <w:r>
        <w:t xml:space="preserve"> to evaluate the PV roots affinity toward the uptake of RB. In all the experimental tests, the concertation of RB in the liquid solution was measured </w:t>
      </w:r>
      <w:r w:rsidRPr="003743CB">
        <w:rPr>
          <w:lang w:val="en-GB"/>
        </w:rPr>
        <w:t>PG Instruments (United States) T80+ UV/</w:t>
      </w:r>
      <w:proofErr w:type="gramStart"/>
      <w:r w:rsidRPr="003743CB">
        <w:rPr>
          <w:lang w:val="en-GB"/>
        </w:rPr>
        <w:t>Vis</w:t>
      </w:r>
      <w:proofErr w:type="gramEnd"/>
      <w:r w:rsidRPr="003743CB">
        <w:rPr>
          <w:lang w:val="en-GB"/>
        </w:rPr>
        <w:t xml:space="preserve"> spectrophotometer (with glass cells of 1 cm path length) </w:t>
      </w:r>
      <w:r>
        <w:rPr>
          <w:lang w:val="en-GB"/>
        </w:rPr>
        <w:t>at the wavelength of 55</w:t>
      </w:r>
      <w:r w:rsidRPr="003743CB">
        <w:rPr>
          <w:lang w:val="en-GB"/>
        </w:rPr>
        <w:t>4 nm.</w:t>
      </w:r>
    </w:p>
    <w:p w14:paraId="2EA4BEFF" w14:textId="77777777" w:rsidR="00B32F50" w:rsidRDefault="00B32F50" w:rsidP="003743CB">
      <w:pPr>
        <w:pStyle w:val="CETBodytext"/>
      </w:pPr>
    </w:p>
    <w:p w14:paraId="60026451" w14:textId="208EC74B" w:rsidR="00464191" w:rsidRDefault="00D25212" w:rsidP="00464191">
      <w:pPr>
        <w:pStyle w:val="CETBodytext"/>
        <w:rPr>
          <w:lang w:val="en-GB"/>
        </w:rPr>
      </w:pPr>
      <w:r>
        <w:t>Equi</w:t>
      </w:r>
      <w:r w:rsidR="00464191">
        <w:t xml:space="preserve">librium tests were performed in </w:t>
      </w:r>
      <w:r w:rsidR="00464191" w:rsidRPr="00D25212">
        <w:rPr>
          <w:lang w:val="en-GB"/>
        </w:rPr>
        <w:t xml:space="preserve">beakers of 100 mL filled with 50 mL of </w:t>
      </w:r>
      <w:r w:rsidR="00464191">
        <w:rPr>
          <w:lang w:val="en-GB"/>
        </w:rPr>
        <w:t>R</w:t>
      </w:r>
      <w:r w:rsidR="00464191" w:rsidRPr="00D25212">
        <w:rPr>
          <w:lang w:val="en-GB"/>
        </w:rPr>
        <w:t>B solution</w:t>
      </w:r>
      <w:r w:rsidR="00CE4EA8">
        <w:rPr>
          <w:lang w:val="en-GB"/>
        </w:rPr>
        <w:t xml:space="preserve"> stirred at 3</w:t>
      </w:r>
      <w:r w:rsidR="00464191">
        <w:rPr>
          <w:lang w:val="en-GB"/>
        </w:rPr>
        <w:t xml:space="preserve">20 rpm. The beakers were placed in a thermostatic bath </w:t>
      </w:r>
      <w:r w:rsidR="00375593">
        <w:rPr>
          <w:lang w:val="en-GB"/>
        </w:rPr>
        <w:t xml:space="preserve">in order to maintain the temperature constant at </w:t>
      </w:r>
      <w:r w:rsidR="00375593" w:rsidRPr="009E35C1">
        <w:rPr>
          <w:lang w:val="en-GB"/>
        </w:rPr>
        <w:t>25</w:t>
      </w:r>
      <w:r w:rsidR="00D212E2" w:rsidRPr="009E35C1">
        <w:rPr>
          <w:lang w:val="en-GB"/>
        </w:rPr>
        <w:t xml:space="preserve"> ± 0.2 </w:t>
      </w:r>
      <w:r w:rsidR="00375593" w:rsidRPr="009E35C1">
        <w:rPr>
          <w:lang w:val="en-GB"/>
        </w:rPr>
        <w:t>°</w:t>
      </w:r>
      <w:r w:rsidR="00375593">
        <w:rPr>
          <w:lang w:val="en-GB"/>
        </w:rPr>
        <w:t>C.</w:t>
      </w:r>
      <w:r w:rsidR="00464191">
        <w:rPr>
          <w:lang w:val="en-GB"/>
        </w:rPr>
        <w:t xml:space="preserve"> The solid dosage was </w:t>
      </w:r>
      <w:r w:rsidR="00375593">
        <w:rPr>
          <w:lang w:val="en-GB"/>
        </w:rPr>
        <w:t>fixed</w:t>
      </w:r>
      <w:r w:rsidR="00464191">
        <w:rPr>
          <w:lang w:val="en-GB"/>
        </w:rPr>
        <w:t xml:space="preserve"> at 0.2 g/L while the initial dye concentration varied between </w:t>
      </w:r>
      <w:r w:rsidR="009E35C1" w:rsidRPr="009E35C1">
        <w:rPr>
          <w:lang w:val="en-GB"/>
        </w:rPr>
        <w:t>2</w:t>
      </w:r>
      <w:r w:rsidR="00464191" w:rsidRPr="009E35C1">
        <w:rPr>
          <w:lang w:val="en-GB"/>
        </w:rPr>
        <w:t xml:space="preserve">.5 mg/L </w:t>
      </w:r>
      <w:r w:rsidR="009E35C1" w:rsidRPr="009E35C1">
        <w:rPr>
          <w:lang w:val="en-GB"/>
        </w:rPr>
        <w:t>– 350</w:t>
      </w:r>
      <w:r w:rsidR="00464191" w:rsidRPr="00D25212">
        <w:rPr>
          <w:lang w:val="en-GB"/>
        </w:rPr>
        <w:t xml:space="preserve"> mg/L</w:t>
      </w:r>
      <w:r w:rsidR="00464191">
        <w:rPr>
          <w:lang w:val="en-GB"/>
        </w:rPr>
        <w:t xml:space="preserve">. From preliminary test it was evaluated that 24 h were </w:t>
      </w:r>
      <w:r w:rsidR="00585A7F">
        <w:rPr>
          <w:lang w:val="en-GB"/>
        </w:rPr>
        <w:t xml:space="preserve">more than </w:t>
      </w:r>
      <w:r w:rsidR="00464191">
        <w:rPr>
          <w:lang w:val="en-GB"/>
        </w:rPr>
        <w:t>enough for the system to reach equilibrium conditions. For this reason, each run lasted 24 h. The surface concentration was calculated as follows:</w:t>
      </w:r>
    </w:p>
    <w:tbl>
      <w:tblPr>
        <w:tblW w:w="5000" w:type="pct"/>
        <w:tblLook w:val="04A0" w:firstRow="1" w:lastRow="0" w:firstColumn="1" w:lastColumn="0" w:noHBand="0" w:noVBand="1"/>
      </w:tblPr>
      <w:tblGrid>
        <w:gridCol w:w="7984"/>
        <w:gridCol w:w="803"/>
      </w:tblGrid>
      <w:tr w:rsidR="00014EC6" w:rsidRPr="00B57B36" w14:paraId="57900F58" w14:textId="77777777" w:rsidTr="00464191">
        <w:tc>
          <w:tcPr>
            <w:tcW w:w="7984" w:type="dxa"/>
            <w:shd w:val="clear" w:color="auto" w:fill="auto"/>
            <w:vAlign w:val="center"/>
          </w:tcPr>
          <w:p w14:paraId="7DDF229E" w14:textId="03F23E61" w:rsidR="00014EC6" w:rsidRPr="00B57B36" w:rsidRDefault="00000000" w:rsidP="00225D90">
            <w:pPr>
              <w:pStyle w:val="CETEquation"/>
            </w:pPr>
            <m:oMathPara>
              <m:oMath>
                <m:sSub>
                  <m:sSubPr>
                    <m:ctrlPr>
                      <w:rPr>
                        <w:rFonts w:ascii="Cambria Math" w:hAnsi="Cambria Math"/>
                        <w:i/>
                      </w:rPr>
                    </m:ctrlPr>
                  </m:sSubPr>
                  <m:e>
                    <m:r>
                      <w:rPr>
                        <w:rFonts w:ascii="Cambria Math" w:hAnsi="Cambria Math"/>
                      </w:rPr>
                      <m:t>q</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M</m:t>
                        </m:r>
                      </m:e>
                      <m:sub>
                        <m:r>
                          <w:rPr>
                            <w:rFonts w:ascii="Cambria Math" w:hAnsi="Cambria Math"/>
                          </w:rPr>
                          <m:t>S</m:t>
                        </m:r>
                      </m:sub>
                    </m:sSub>
                  </m:den>
                </m:f>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in</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rPr>
                  <m:t>)</m:t>
                </m:r>
              </m:oMath>
            </m:oMathPara>
          </w:p>
        </w:tc>
        <w:tc>
          <w:tcPr>
            <w:tcW w:w="803" w:type="dxa"/>
            <w:shd w:val="clear" w:color="auto" w:fill="auto"/>
            <w:vAlign w:val="center"/>
          </w:tcPr>
          <w:p w14:paraId="7440086C" w14:textId="77777777" w:rsidR="00014EC6" w:rsidRPr="00B57B36" w:rsidRDefault="00014EC6" w:rsidP="00225D90">
            <w:pPr>
              <w:pStyle w:val="CETEquation"/>
              <w:jc w:val="right"/>
            </w:pPr>
            <w:r w:rsidRPr="00B57B36">
              <w:t>(1)</w:t>
            </w:r>
          </w:p>
        </w:tc>
      </w:tr>
    </w:tbl>
    <w:p w14:paraId="28522ED4" w14:textId="32095B92" w:rsidR="00014EC6" w:rsidRDefault="00464191" w:rsidP="00014EC6">
      <w:pPr>
        <w:pStyle w:val="CETBodytext"/>
      </w:pPr>
      <w:r w:rsidRPr="00464191">
        <w:rPr>
          <w:lang w:val="en-GB"/>
        </w:rPr>
        <w:t xml:space="preserve">where </w:t>
      </w:r>
      <m:oMath>
        <m:r>
          <w:rPr>
            <w:rFonts w:ascii="Cambria Math" w:hAnsi="Cambria Math"/>
            <w:lang w:val="en-GB"/>
          </w:rPr>
          <m:t>V</m:t>
        </m:r>
      </m:oMath>
      <w:r w:rsidRPr="00464191">
        <w:rPr>
          <w:lang w:val="en-GB"/>
        </w:rPr>
        <w:t xml:space="preserve"> (mL) is the liquid volume of the solution,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S</m:t>
            </m:r>
          </m:sub>
        </m:sSub>
      </m:oMath>
      <w:r w:rsidRPr="00464191">
        <w:rPr>
          <w:lang w:val="en-GB"/>
        </w:rPr>
        <w:t xml:space="preserve"> (g) is the mass of the solid adsorbent,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in</m:t>
            </m:r>
          </m:sub>
        </m:sSub>
      </m:oMath>
      <w:r w:rsidRPr="00464191">
        <w:rPr>
          <w:lang w:val="en-GB"/>
        </w:rPr>
        <w:t xml:space="preserve"> </w:t>
      </w:r>
      <w:r w:rsidR="00794F3F">
        <w:rPr>
          <w:lang w:val="en-GB"/>
        </w:rPr>
        <w:t>(mg/L) is the concentration of R</w:t>
      </w:r>
      <w:r w:rsidRPr="00464191">
        <w:rPr>
          <w:lang w:val="en-GB"/>
        </w:rPr>
        <w:t xml:space="preserve">B at the beginning of the test and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e</m:t>
            </m:r>
          </m:sub>
        </m:sSub>
      </m:oMath>
      <w:r w:rsidRPr="00464191">
        <w:rPr>
          <w:lang w:val="en-GB"/>
        </w:rPr>
        <w:t xml:space="preserve"> </w:t>
      </w:r>
      <w:r w:rsidR="00794F3F">
        <w:rPr>
          <w:lang w:val="en-GB"/>
        </w:rPr>
        <w:t>(mg/L) is the concentration of R</w:t>
      </w:r>
      <w:r w:rsidRPr="00464191">
        <w:rPr>
          <w:lang w:val="en-GB"/>
        </w:rPr>
        <w:t>B at equilibrium. Each test was reproduced at least in triplicate</w:t>
      </w:r>
      <w:r w:rsidR="00014EC6" w:rsidRPr="00014EC6">
        <w:t xml:space="preserve">. </w:t>
      </w:r>
    </w:p>
    <w:p w14:paraId="0E5869C9" w14:textId="77777777" w:rsidR="00B32F50" w:rsidRDefault="00B32F50" w:rsidP="00014EC6">
      <w:pPr>
        <w:pStyle w:val="CETBodytext"/>
      </w:pPr>
    </w:p>
    <w:p w14:paraId="2750BBC1" w14:textId="4A170897" w:rsidR="00585A7F" w:rsidRDefault="00086525" w:rsidP="00014EC6">
      <w:pPr>
        <w:pStyle w:val="CETBodytext"/>
      </w:pPr>
      <w:r>
        <w:t xml:space="preserve">Kinetic tests were </w:t>
      </w:r>
      <w:r w:rsidR="00D212E2">
        <w:t xml:space="preserve">carried out </w:t>
      </w:r>
      <w:r>
        <w:t>a</w:t>
      </w:r>
      <w:r>
        <w:rPr>
          <w:lang w:val="en-GB"/>
        </w:rPr>
        <w:t>t</w:t>
      </w:r>
      <w:r w:rsidR="00D212E2">
        <w:rPr>
          <w:lang w:val="en-GB"/>
        </w:rPr>
        <w:t xml:space="preserve"> 25</w:t>
      </w:r>
      <w:r w:rsidRPr="00086525">
        <w:rPr>
          <w:lang w:val="en-GB"/>
        </w:rPr>
        <w:t xml:space="preserve"> ± 0.2 °C and solid dosages of 0.187 g/L, </w:t>
      </w:r>
      <w:r w:rsidR="00D212E2">
        <w:rPr>
          <w:lang w:val="en-GB"/>
        </w:rPr>
        <w:t>1.25</w:t>
      </w:r>
      <w:r w:rsidRPr="00086525">
        <w:rPr>
          <w:lang w:val="en-GB"/>
        </w:rPr>
        <w:t xml:space="preserve"> g/L, and </w:t>
      </w:r>
      <w:r w:rsidR="00D212E2">
        <w:rPr>
          <w:lang w:val="en-GB"/>
        </w:rPr>
        <w:t>2.5</w:t>
      </w:r>
      <w:r w:rsidRPr="00086525">
        <w:rPr>
          <w:lang w:val="en-GB"/>
        </w:rPr>
        <w:t xml:space="preserve"> g/L.</w:t>
      </w:r>
      <w:r w:rsidR="00D212E2">
        <w:rPr>
          <w:lang w:val="en-GB"/>
        </w:rPr>
        <w:t xml:space="preserve"> For all the tests the initial concentration of RB was fixed to 5.5 mg/L and </w:t>
      </w:r>
      <w:r w:rsidRPr="00086525">
        <w:rPr>
          <w:lang w:val="en-GB"/>
        </w:rPr>
        <w:t>were conducted for a duration of 110 minutes, dur</w:t>
      </w:r>
      <w:r w:rsidR="00D212E2">
        <w:rPr>
          <w:lang w:val="en-GB"/>
        </w:rPr>
        <w:t>ing which the concentration of R</w:t>
      </w:r>
      <w:r w:rsidRPr="00086525">
        <w:rPr>
          <w:lang w:val="en-GB"/>
        </w:rPr>
        <w:t xml:space="preserve">B was measured non-destructively, ensuring that the solution's volume remained constant. </w:t>
      </w:r>
      <w:r w:rsidR="00D212E2">
        <w:rPr>
          <w:lang w:val="en-GB"/>
        </w:rPr>
        <w:t>The stirr</w:t>
      </w:r>
      <w:r w:rsidR="00CE4EA8">
        <w:rPr>
          <w:lang w:val="en-GB"/>
        </w:rPr>
        <w:t>ing speed was kept constant at 3</w:t>
      </w:r>
      <w:r w:rsidR="00D212E2">
        <w:rPr>
          <w:lang w:val="en-GB"/>
        </w:rPr>
        <w:t xml:space="preserve">20 rpm. </w:t>
      </w:r>
      <w:r w:rsidRPr="00086525">
        <w:rPr>
          <w:lang w:val="en-GB"/>
        </w:rPr>
        <w:t xml:space="preserve">Each test was repeated at least twice, and the experimental data were fitted using a mathematical model. The process simulator </w:t>
      </w:r>
      <w:proofErr w:type="spellStart"/>
      <w:r w:rsidRPr="00086525">
        <w:rPr>
          <w:lang w:val="en-GB"/>
        </w:rPr>
        <w:t>gProms</w:t>
      </w:r>
      <w:proofErr w:type="spellEnd"/>
      <w:r w:rsidRPr="00086525">
        <w:rPr>
          <w:lang w:val="en-GB"/>
        </w:rPr>
        <w:t xml:space="preserve"> </w:t>
      </w:r>
      <w:r w:rsidR="00D212E2" w:rsidRPr="0077350E">
        <w:rPr>
          <w:lang w:val="en-GB"/>
        </w:rPr>
        <w:t xml:space="preserve">(Process System Enterprises, London, UK) </w:t>
      </w:r>
      <w:r w:rsidRPr="00086525">
        <w:rPr>
          <w:lang w:val="en-GB"/>
        </w:rPr>
        <w:t>was used to estimate the model parameters and identify the system's controlling resistance. More information about the mathematical model can be found in the following section.</w:t>
      </w:r>
    </w:p>
    <w:p w14:paraId="65910B0E" w14:textId="476403D5" w:rsidR="004E1DFB" w:rsidRDefault="00BA343F" w:rsidP="00BA343F">
      <w:pPr>
        <w:pStyle w:val="CETHeading1"/>
      </w:pPr>
      <w:r>
        <w:t>Results and discussion</w:t>
      </w:r>
    </w:p>
    <w:p w14:paraId="229C802E" w14:textId="24A9617D" w:rsidR="00D212E2" w:rsidRDefault="00D212E2" w:rsidP="00D212E2">
      <w:pPr>
        <w:pStyle w:val="CETheadingx"/>
      </w:pPr>
      <w:r>
        <w:t>Equilibrium</w:t>
      </w:r>
    </w:p>
    <w:p w14:paraId="6973A567" w14:textId="6844352E" w:rsidR="009E2B1E" w:rsidRDefault="009E2B1E" w:rsidP="009C7858">
      <w:pPr>
        <w:pStyle w:val="CETBodytext"/>
      </w:pPr>
      <w:r>
        <w:t xml:space="preserve">The isotherm at 25 °C for the adsorption of RB on PV waste roots was reported in Figure 1. The experimental data were fitted using the </w:t>
      </w:r>
      <w:r w:rsidRPr="0077350E">
        <w:rPr>
          <w:lang w:val="en-GB"/>
        </w:rPr>
        <w:t>least square non-linear regression method</w:t>
      </w:r>
      <w:r>
        <w:rPr>
          <w:lang w:val="en-GB"/>
        </w:rPr>
        <w:t xml:space="preserve"> my means of the </w:t>
      </w:r>
      <w:r>
        <w:t>Langmuir (Eq. (2)) and Freundlich (Eq. (3)) isotherm expressions reported below:</w:t>
      </w:r>
    </w:p>
    <w:p w14:paraId="25EFF343" w14:textId="554E5D61" w:rsidR="00014EC6" w:rsidRDefault="00014EC6" w:rsidP="009C7858">
      <w:pPr>
        <w:pStyle w:val="CETBodytext"/>
      </w:pPr>
    </w:p>
    <w:tbl>
      <w:tblPr>
        <w:tblW w:w="5000" w:type="pct"/>
        <w:tblLook w:val="04A0" w:firstRow="1" w:lastRow="0" w:firstColumn="1" w:lastColumn="0" w:noHBand="0" w:noVBand="1"/>
      </w:tblPr>
      <w:tblGrid>
        <w:gridCol w:w="7984"/>
        <w:gridCol w:w="803"/>
      </w:tblGrid>
      <w:tr w:rsidR="00014EC6" w:rsidRPr="00014EC6" w14:paraId="51F03B8A" w14:textId="77777777" w:rsidTr="00014EC6">
        <w:tc>
          <w:tcPr>
            <w:tcW w:w="7984" w:type="dxa"/>
            <w:shd w:val="clear" w:color="auto" w:fill="auto"/>
            <w:vAlign w:val="center"/>
          </w:tcPr>
          <w:p w14:paraId="19965E22" w14:textId="2DFDF80E" w:rsidR="00014EC6" w:rsidRPr="00014EC6" w:rsidRDefault="00000000" w:rsidP="00014EC6">
            <w:pPr>
              <w:pStyle w:val="CETBodytext"/>
              <w:rPr>
                <w:lang w:val="en-GB"/>
              </w:rPr>
            </w:pPr>
            <m:oMathPara>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e</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max</m:t>
                    </m:r>
                  </m:sub>
                </m:sSub>
                <m:f>
                  <m:fPr>
                    <m:ctrlPr>
                      <w:rPr>
                        <w:rFonts w:ascii="Cambria Math" w:hAnsi="Cambria Math"/>
                        <w:i/>
                        <w:lang w:val="en-GB"/>
                      </w:rPr>
                    </m:ctrlPr>
                  </m:fPr>
                  <m:num>
                    <m:r>
                      <w:rPr>
                        <w:rFonts w:ascii="Cambria Math" w:hAnsi="Cambria Math"/>
                        <w:lang w:val="en-GB"/>
                      </w:rPr>
                      <m:t>b</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e</m:t>
                        </m:r>
                      </m:sub>
                    </m:sSub>
                  </m:num>
                  <m:den>
                    <m:sSub>
                      <m:sSubPr>
                        <m:ctrlPr>
                          <w:rPr>
                            <w:rFonts w:ascii="Cambria Math" w:hAnsi="Cambria Math"/>
                            <w:i/>
                            <w:lang w:val="en-GB"/>
                          </w:rPr>
                        </m:ctrlPr>
                      </m:sSubPr>
                      <m:e>
                        <m:r>
                          <w:rPr>
                            <w:rFonts w:ascii="Cambria Math" w:hAnsi="Cambria Math"/>
                            <w:lang w:val="en-GB"/>
                          </w:rPr>
                          <m:t>1+bC</m:t>
                        </m:r>
                      </m:e>
                      <m:sub>
                        <m:r>
                          <w:rPr>
                            <w:rFonts w:ascii="Cambria Math" w:hAnsi="Cambria Math"/>
                            <w:lang w:val="en-GB"/>
                          </w:rPr>
                          <m:t>e</m:t>
                        </m:r>
                      </m:sub>
                    </m:sSub>
                  </m:den>
                </m:f>
              </m:oMath>
            </m:oMathPara>
          </w:p>
        </w:tc>
        <w:tc>
          <w:tcPr>
            <w:tcW w:w="803" w:type="dxa"/>
            <w:shd w:val="clear" w:color="auto" w:fill="auto"/>
            <w:vAlign w:val="center"/>
          </w:tcPr>
          <w:p w14:paraId="38A5F68C" w14:textId="6C1FCCC8" w:rsidR="00014EC6" w:rsidRPr="00014EC6" w:rsidRDefault="009E2B1E" w:rsidP="00014EC6">
            <w:pPr>
              <w:pStyle w:val="CETBodytext"/>
              <w:rPr>
                <w:lang w:val="en-GB"/>
              </w:rPr>
            </w:pPr>
            <w:r>
              <w:rPr>
                <w:lang w:val="en-GB"/>
              </w:rPr>
              <w:t>(2</w:t>
            </w:r>
            <w:r w:rsidR="00014EC6" w:rsidRPr="00014EC6">
              <w:rPr>
                <w:lang w:val="en-GB"/>
              </w:rPr>
              <w:t>)</w:t>
            </w:r>
          </w:p>
        </w:tc>
      </w:tr>
      <w:tr w:rsidR="009E2B1E" w:rsidRPr="00014EC6" w14:paraId="2372B10C" w14:textId="77777777" w:rsidTr="009E2B1E">
        <w:tc>
          <w:tcPr>
            <w:tcW w:w="7984" w:type="dxa"/>
            <w:shd w:val="clear" w:color="auto" w:fill="auto"/>
            <w:vAlign w:val="center"/>
          </w:tcPr>
          <w:p w14:paraId="410180A3" w14:textId="454BDBE8" w:rsidR="009E2B1E" w:rsidRPr="009E2B1E" w:rsidRDefault="00000000" w:rsidP="00744E3E">
            <w:pPr>
              <w:pStyle w:val="CETBodytext"/>
              <w:rPr>
                <w:rFonts w:ascii="Cambria Math" w:hAnsi="Cambria Math"/>
                <w:lang w:val="en-GB"/>
                <w:oMath/>
              </w:rPr>
            </w:pPr>
            <m:oMathPara>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e</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f</m:t>
                    </m:r>
                  </m:sub>
                </m:sSub>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e</m:t>
                    </m:r>
                  </m:sub>
                  <m:sup>
                    <m:r>
                      <w:rPr>
                        <w:rFonts w:ascii="Cambria Math" w:hAnsi="Cambria Math"/>
                        <w:lang w:val="en-GB"/>
                      </w:rPr>
                      <m:t>1/n</m:t>
                    </m:r>
                  </m:sup>
                </m:sSubSup>
              </m:oMath>
            </m:oMathPara>
          </w:p>
        </w:tc>
        <w:tc>
          <w:tcPr>
            <w:tcW w:w="803" w:type="dxa"/>
            <w:shd w:val="clear" w:color="auto" w:fill="auto"/>
            <w:vAlign w:val="center"/>
          </w:tcPr>
          <w:p w14:paraId="71B0B73E" w14:textId="4D6A175F" w:rsidR="009E2B1E" w:rsidRPr="00014EC6" w:rsidRDefault="00744E3E" w:rsidP="00225D90">
            <w:pPr>
              <w:pStyle w:val="CETBodytext"/>
              <w:rPr>
                <w:lang w:val="en-GB"/>
              </w:rPr>
            </w:pPr>
            <w:r>
              <w:rPr>
                <w:lang w:val="en-GB"/>
              </w:rPr>
              <w:t>(3</w:t>
            </w:r>
            <w:r w:rsidR="009E2B1E" w:rsidRPr="00014EC6">
              <w:rPr>
                <w:lang w:val="en-GB"/>
              </w:rPr>
              <w:t>)</w:t>
            </w:r>
          </w:p>
        </w:tc>
      </w:tr>
    </w:tbl>
    <w:p w14:paraId="03D3E57F" w14:textId="77777777" w:rsidR="00744E3E" w:rsidRDefault="00744E3E" w:rsidP="00744E3E">
      <w:pPr>
        <w:pStyle w:val="CETBodytext"/>
      </w:pPr>
    </w:p>
    <w:p w14:paraId="30AAAB66" w14:textId="1D5F4A16" w:rsidR="00744E3E" w:rsidRDefault="00744E3E" w:rsidP="00744E3E">
      <w:pPr>
        <w:pStyle w:val="CETBodytext"/>
        <w:rPr>
          <w:lang w:val="en-GB"/>
        </w:rPr>
      </w:pPr>
      <w:r w:rsidRPr="00744E3E">
        <w:t xml:space="preserve">where </w:t>
      </w:r>
      <m:oMath>
        <m:r>
          <w:rPr>
            <w:rFonts w:ascii="Cambria Math" w:hAnsi="Cambria Math"/>
          </w:rPr>
          <m:t>b</m:t>
        </m:r>
      </m:oMath>
      <w:r w:rsidRPr="00744E3E">
        <w:t xml:space="preserve"> (L/mg) is the equilibrium constant of the Langmuir model related to the affinity </w:t>
      </w:r>
      <w:r>
        <w:t>between R</w:t>
      </w:r>
      <w:r w:rsidRPr="00744E3E">
        <w:t xml:space="preserve">B and the active sites, </w:t>
      </w:r>
      <m:oMath>
        <m:sSub>
          <m:sSubPr>
            <m:ctrlPr>
              <w:rPr>
                <w:rFonts w:ascii="Cambria Math" w:hAnsi="Cambria Math"/>
                <w:i/>
              </w:rPr>
            </m:ctrlPr>
          </m:sSubPr>
          <m:e>
            <m:r>
              <w:rPr>
                <w:rFonts w:ascii="Cambria Math" w:hAnsi="Cambria Math"/>
              </w:rPr>
              <m:t>q</m:t>
            </m:r>
          </m:e>
          <m:sub>
            <m:r>
              <w:rPr>
                <w:rFonts w:ascii="Cambria Math" w:hAnsi="Cambria Math"/>
              </w:rPr>
              <m:t>max</m:t>
            </m:r>
          </m:sub>
        </m:sSub>
      </m:oMath>
      <w:r w:rsidRPr="00744E3E">
        <w:t xml:space="preserve"> (mg/g) is t</w:t>
      </w:r>
      <w:r>
        <w:t xml:space="preserve">he maximum adsorption capacity,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f</m:t>
            </m:r>
          </m:sub>
        </m:sSub>
      </m:oMath>
      <w:r>
        <w:rPr>
          <w:lang w:val="en-GB"/>
        </w:rPr>
        <w:t xml:space="preserve"> is the </w:t>
      </w:r>
      <w:r w:rsidRPr="00744E3E">
        <w:rPr>
          <w:lang w:val="en-GB"/>
        </w:rPr>
        <w:t xml:space="preserve">distribution coefficient and </w:t>
      </w:r>
      <w:r w:rsidRPr="00744E3E">
        <w:rPr>
          <w:rFonts w:ascii="Cambria Math" w:hAnsi="Cambria Math" w:cs="Cambria Math"/>
          <w:lang w:val="en-GB"/>
        </w:rPr>
        <w:t>𝑛</w:t>
      </w:r>
      <w:r w:rsidRPr="00744E3E">
        <w:rPr>
          <w:lang w:val="en-GB"/>
        </w:rPr>
        <w:t xml:space="preserve"> is a correction factor</w:t>
      </w:r>
      <w:r>
        <w:rPr>
          <w:lang w:val="en-GB"/>
        </w:rPr>
        <w:t>.</w:t>
      </w:r>
      <w:r w:rsidR="008B3170">
        <w:rPr>
          <w:lang w:val="en-GB"/>
        </w:rPr>
        <w:t xml:space="preserve"> </w:t>
      </w:r>
      <w:r w:rsidR="00946B78">
        <w:rPr>
          <w:lang w:val="en-GB"/>
        </w:rPr>
        <w:t>T</w:t>
      </w:r>
      <w:r w:rsidR="008B3170">
        <w:rPr>
          <w:lang w:val="en-GB"/>
        </w:rPr>
        <w:t xml:space="preserve">he </w:t>
      </w:r>
      <w:r w:rsidR="00946B78">
        <w:rPr>
          <w:lang w:val="en-GB"/>
        </w:rPr>
        <w:t xml:space="preserve">estimated </w:t>
      </w:r>
      <w:r w:rsidR="008B3170">
        <w:rPr>
          <w:lang w:val="en-GB"/>
        </w:rPr>
        <w:t xml:space="preserve">Langmuir and Freundlich model </w:t>
      </w:r>
      <w:r w:rsidR="00946B78">
        <w:rPr>
          <w:lang w:val="en-GB"/>
        </w:rPr>
        <w:t xml:space="preserve">constants were evaluated and reported in Table 1 together with </w:t>
      </w:r>
      <w:r w:rsidR="006B0DB0">
        <w:rPr>
          <w:lang w:val="en-GB"/>
        </w:rPr>
        <w:t xml:space="preserve">their corresponding value of the </w:t>
      </w:r>
      <w:r w:rsidR="006B0DB0" w:rsidRPr="0077350E">
        <w:rPr>
          <w:lang w:val="en-GB"/>
        </w:rPr>
        <w:t>Root Mean Square Error (RMSE)</w:t>
      </w:r>
      <w:r w:rsidR="006B0DB0">
        <w:rPr>
          <w:lang w:val="en-GB"/>
        </w:rPr>
        <w:t>. From such results it is possible to observe that the Langmuir model is the best one to represent</w:t>
      </w:r>
      <w:r w:rsidR="00696665">
        <w:rPr>
          <w:lang w:val="en-GB"/>
        </w:rPr>
        <w:t xml:space="preserve"> the equilibrium of the system in </w:t>
      </w:r>
      <w:r w:rsidR="00696665">
        <w:rPr>
          <w:lang w:val="en-GB"/>
        </w:rPr>
        <w:lastRenderedPageBreak/>
        <w:t>agreement with the shape of the curve that shows a saturation trend</w:t>
      </w:r>
      <w:r w:rsidR="00EC3F0E">
        <w:rPr>
          <w:lang w:val="en-GB"/>
        </w:rPr>
        <w:t xml:space="preserve">. The Langmuir isotherm was also applied in the kinetic model as reported </w:t>
      </w:r>
      <w:r w:rsidR="00BC0BBE">
        <w:rPr>
          <w:lang w:val="en-GB"/>
        </w:rPr>
        <w:t>later in this section.</w:t>
      </w:r>
      <w:r w:rsidR="00EC3F0E">
        <w:rPr>
          <w:lang w:val="en-GB"/>
        </w:rPr>
        <w:t xml:space="preserve"> </w:t>
      </w:r>
    </w:p>
    <w:p w14:paraId="314224CC" w14:textId="12319B02" w:rsidR="006B0DB0" w:rsidRPr="00B57B36" w:rsidRDefault="006B0DB0" w:rsidP="006B0DB0">
      <w:pPr>
        <w:pStyle w:val="CETTabletitle"/>
        <w:jc w:val="center"/>
      </w:pPr>
      <w:r w:rsidRPr="00B57B36">
        <w:t xml:space="preserve">Table 1: </w:t>
      </w:r>
      <w:r w:rsidR="001C17EE">
        <w:t>L</w:t>
      </w:r>
      <w:r w:rsidR="00371779">
        <w:t>a</w:t>
      </w:r>
      <w:r w:rsidR="001C17EE">
        <w:t>ngmuir and Freundlich</w:t>
      </w:r>
      <w:r w:rsidR="001251C2">
        <w:t xml:space="preserve"> isotherm</w:t>
      </w:r>
      <w:r w:rsidR="001C17EE">
        <w:t xml:space="preserve"> parameters at 25°C der</w:t>
      </w:r>
      <w:proofErr w:type="spellStart"/>
      <w:r w:rsidRPr="00014EC6">
        <w:rPr>
          <w:lang w:val="en-US"/>
        </w:rPr>
        <w:t>ived</w:t>
      </w:r>
      <w:proofErr w:type="spellEnd"/>
      <w:r w:rsidRPr="00014EC6">
        <w:rPr>
          <w:lang w:val="en-US"/>
        </w:rPr>
        <w:t xml:space="preserve"> from fitting</w:t>
      </w:r>
      <w:r w:rsidR="00FC7FD2">
        <w:rPr>
          <w:lang w:val="en-US"/>
        </w:rPr>
        <w:t xml:space="preserve"> of experimental data</w:t>
      </w:r>
      <w:r w:rsidRPr="00014EC6">
        <w:rPr>
          <w:lang w:val="en-US"/>
        </w:rPr>
        <w:t>.</w:t>
      </w:r>
    </w:p>
    <w:tbl>
      <w:tblPr>
        <w:tblW w:w="5000"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76"/>
        <w:gridCol w:w="1112"/>
        <w:gridCol w:w="1575"/>
        <w:gridCol w:w="2367"/>
        <w:gridCol w:w="575"/>
        <w:gridCol w:w="1782"/>
      </w:tblGrid>
      <w:tr w:rsidR="00696665" w:rsidRPr="00B57B36" w14:paraId="035014E6" w14:textId="6701F574" w:rsidTr="00696665">
        <w:trPr>
          <w:jc w:val="center"/>
        </w:trPr>
        <w:tc>
          <w:tcPr>
            <w:tcW w:w="783" w:type="pct"/>
            <w:tcBorders>
              <w:top w:val="single" w:sz="12" w:space="0" w:color="008000"/>
              <w:bottom w:val="single" w:sz="6" w:space="0" w:color="008000"/>
            </w:tcBorders>
            <w:shd w:val="clear" w:color="auto" w:fill="FFFFFF"/>
          </w:tcPr>
          <w:p w14:paraId="518A68DF" w14:textId="77777777" w:rsidR="00696665" w:rsidRPr="00B57B36" w:rsidRDefault="00696665" w:rsidP="00225D90">
            <w:pPr>
              <w:pStyle w:val="CETBodytext"/>
              <w:rPr>
                <w:lang w:val="en-GB"/>
              </w:rPr>
            </w:pPr>
          </w:p>
        </w:tc>
        <w:tc>
          <w:tcPr>
            <w:tcW w:w="633" w:type="pct"/>
            <w:tcBorders>
              <w:top w:val="single" w:sz="12" w:space="0" w:color="008000"/>
              <w:bottom w:val="single" w:sz="6" w:space="0" w:color="008000"/>
            </w:tcBorders>
            <w:shd w:val="clear" w:color="auto" w:fill="FFFFFF"/>
          </w:tcPr>
          <w:p w14:paraId="45E606C8" w14:textId="63C17304" w:rsidR="00696665" w:rsidRPr="00B57B36" w:rsidRDefault="00696665" w:rsidP="00225D90">
            <w:pPr>
              <w:pStyle w:val="CETBodytext"/>
              <w:rPr>
                <w:lang w:val="en-GB"/>
              </w:rPr>
            </w:pPr>
            <m:oMath>
              <m:r>
                <m:rPr>
                  <m:sty m:val="bi"/>
                </m:rPr>
                <w:rPr>
                  <w:rFonts w:ascii="Cambria Math" w:hAnsi="Cambria Math"/>
                  <w:lang w:val="en-GB"/>
                </w:rPr>
                <m:t>b</m:t>
              </m:r>
            </m:oMath>
            <w:r w:rsidRPr="0077350E">
              <w:rPr>
                <w:lang w:val="en-GB"/>
              </w:rPr>
              <w:t xml:space="preserve"> (L/mg)</w:t>
            </w:r>
          </w:p>
        </w:tc>
        <w:tc>
          <w:tcPr>
            <w:tcW w:w="896" w:type="pct"/>
            <w:tcBorders>
              <w:top w:val="single" w:sz="12" w:space="0" w:color="008000"/>
              <w:bottom w:val="single" w:sz="6" w:space="0" w:color="008000"/>
            </w:tcBorders>
            <w:shd w:val="clear" w:color="auto" w:fill="FFFFFF"/>
          </w:tcPr>
          <w:p w14:paraId="249F0358" w14:textId="2D13F76A" w:rsidR="00696665" w:rsidRPr="00B57B36" w:rsidRDefault="00000000" w:rsidP="00225D90">
            <w:pPr>
              <w:pStyle w:val="CETBodytext"/>
              <w:rPr>
                <w:lang w:val="en-GB"/>
              </w:rPr>
            </w:pPr>
            <m:oMath>
              <m:sSub>
                <m:sSubPr>
                  <m:ctrlPr>
                    <w:rPr>
                      <w:rFonts w:ascii="Cambria Math" w:hAnsi="Cambria Math"/>
                      <w:b/>
                      <w:i/>
                      <w:lang w:val="en-GB"/>
                    </w:rPr>
                  </m:ctrlPr>
                </m:sSubPr>
                <m:e>
                  <m:r>
                    <m:rPr>
                      <m:sty m:val="bi"/>
                    </m:rPr>
                    <w:rPr>
                      <w:rFonts w:ascii="Cambria Math" w:hAnsi="Cambria Math"/>
                      <w:lang w:val="en-GB"/>
                    </w:rPr>
                    <m:t>q</m:t>
                  </m:r>
                </m:e>
                <m:sub>
                  <m:r>
                    <m:rPr>
                      <m:sty m:val="bi"/>
                    </m:rPr>
                    <w:rPr>
                      <w:rFonts w:ascii="Cambria Math" w:hAnsi="Cambria Math"/>
                      <w:lang w:val="en-GB"/>
                    </w:rPr>
                    <m:t>max</m:t>
                  </m:r>
                </m:sub>
              </m:sSub>
            </m:oMath>
            <w:r w:rsidR="00696665" w:rsidRPr="0077350E">
              <w:rPr>
                <w:lang w:val="en-GB"/>
              </w:rPr>
              <w:t xml:space="preserve"> (mg/g</w:t>
            </w:r>
            <w:r w:rsidR="00696665" w:rsidRPr="00541B8D">
              <w:t>)</w:t>
            </w:r>
          </w:p>
        </w:tc>
        <w:tc>
          <w:tcPr>
            <w:tcW w:w="1347" w:type="pct"/>
            <w:tcBorders>
              <w:top w:val="single" w:sz="12" w:space="0" w:color="008000"/>
              <w:bottom w:val="single" w:sz="6" w:space="0" w:color="008000"/>
            </w:tcBorders>
            <w:shd w:val="clear" w:color="auto" w:fill="FFFFFF"/>
          </w:tcPr>
          <w:p w14:paraId="77B9C038" w14:textId="4F549BFE" w:rsidR="00696665" w:rsidRPr="001C17EE" w:rsidRDefault="00000000" w:rsidP="00225D90">
            <w:pPr>
              <w:pStyle w:val="CETBodytext"/>
              <w:rPr>
                <w:rFonts w:cs="Arial"/>
                <w:b/>
                <w:i/>
                <w:vertAlign w:val="superscript"/>
                <w:lang w:val="en-GB"/>
              </w:rPr>
            </w:pP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f</m:t>
                  </m:r>
                </m:sub>
              </m:sSub>
            </m:oMath>
            <w:r w:rsidR="00696665" w:rsidRPr="0077350E">
              <w:rPr>
                <w:lang w:val="en-GB"/>
              </w:rPr>
              <w:t>(mg/g</w:t>
            </w:r>
            <w:r w:rsidR="00696665" w:rsidRPr="00541B8D">
              <w:t>)</w:t>
            </w:r>
            <w:r w:rsidR="00696665" w:rsidRPr="0077350E">
              <w:rPr>
                <w:lang w:val="en-GB"/>
              </w:rPr>
              <w:t xml:space="preserve"> </w:t>
            </w:r>
            <w:r w:rsidR="00696665">
              <w:rPr>
                <w:lang w:val="en-GB"/>
              </w:rPr>
              <w:t>(L</w:t>
            </w:r>
            <w:r w:rsidR="00696665" w:rsidRPr="0077350E">
              <w:rPr>
                <w:lang w:val="en-GB"/>
              </w:rPr>
              <w:t>/</w:t>
            </w:r>
            <w:r w:rsidR="00696665">
              <w:rPr>
                <w:lang w:val="en-GB"/>
              </w:rPr>
              <w:t>m</w:t>
            </w:r>
            <w:r w:rsidR="00696665" w:rsidRPr="0077350E">
              <w:rPr>
                <w:lang w:val="en-GB"/>
              </w:rPr>
              <w:t>g</w:t>
            </w:r>
            <w:r w:rsidR="00696665" w:rsidRPr="00541B8D">
              <w:t>)</w:t>
            </w:r>
            <w:r w:rsidR="00696665">
              <w:rPr>
                <w:vertAlign w:val="superscript"/>
              </w:rPr>
              <w:t>1/n</w:t>
            </w:r>
          </w:p>
        </w:tc>
        <w:tc>
          <w:tcPr>
            <w:tcW w:w="327" w:type="pct"/>
            <w:tcBorders>
              <w:top w:val="single" w:sz="12" w:space="0" w:color="008000"/>
              <w:bottom w:val="single" w:sz="6" w:space="0" w:color="008000"/>
            </w:tcBorders>
            <w:shd w:val="clear" w:color="auto" w:fill="FFFFFF"/>
          </w:tcPr>
          <w:p w14:paraId="4B19ED73" w14:textId="3A456D03" w:rsidR="00696665" w:rsidRPr="00696665" w:rsidRDefault="00696665" w:rsidP="001C17EE">
            <w:pPr>
              <w:pStyle w:val="CETBodytext"/>
              <w:jc w:val="left"/>
              <w:rPr>
                <w:rFonts w:cs="Arial"/>
                <w:b/>
                <w:i/>
                <w:lang w:val="en-GB"/>
              </w:rPr>
            </w:pPr>
            <w:r w:rsidRPr="00696665">
              <w:rPr>
                <w:rFonts w:ascii="Cambria Math" w:hAnsi="Cambria Math" w:cs="Cambria Math"/>
                <w:b/>
                <w:lang w:val="en-GB"/>
              </w:rPr>
              <w:t>𝑛</w:t>
            </w:r>
          </w:p>
        </w:tc>
        <w:tc>
          <w:tcPr>
            <w:tcW w:w="1015" w:type="pct"/>
            <w:tcBorders>
              <w:top w:val="single" w:sz="12" w:space="0" w:color="008000"/>
              <w:bottom w:val="single" w:sz="6" w:space="0" w:color="008000"/>
            </w:tcBorders>
            <w:shd w:val="clear" w:color="auto" w:fill="FFFFFF"/>
          </w:tcPr>
          <w:p w14:paraId="513263DE" w14:textId="1F15CD0F" w:rsidR="00696665" w:rsidRPr="001C17EE" w:rsidRDefault="00696665" w:rsidP="00225D90">
            <w:pPr>
              <w:pStyle w:val="CETBodytext"/>
              <w:rPr>
                <w:rFonts w:cs="Arial"/>
                <w:b/>
                <w:i/>
                <w:lang w:val="en-GB"/>
              </w:rPr>
            </w:pPr>
            <w:r w:rsidRPr="00696665">
              <w:rPr>
                <w:rFonts w:cs="Arial"/>
                <w:b/>
                <w:lang w:val="en-GB"/>
              </w:rPr>
              <w:t>RMSE</w:t>
            </w:r>
            <w:r>
              <w:rPr>
                <w:rFonts w:cs="Arial"/>
                <w:b/>
                <w:i/>
                <w:lang w:val="en-GB"/>
              </w:rPr>
              <w:t xml:space="preserve"> </w:t>
            </w:r>
            <w:r w:rsidRPr="00696665">
              <w:rPr>
                <w:rFonts w:cs="Arial"/>
                <w:lang w:val="en-GB"/>
              </w:rPr>
              <w:t>(mg/g)</w:t>
            </w:r>
          </w:p>
        </w:tc>
      </w:tr>
      <w:tr w:rsidR="00696665" w:rsidRPr="00B57B36" w14:paraId="60DF1552" w14:textId="152E17BD" w:rsidTr="00696665">
        <w:trPr>
          <w:jc w:val="center"/>
        </w:trPr>
        <w:tc>
          <w:tcPr>
            <w:tcW w:w="783" w:type="pct"/>
            <w:shd w:val="clear" w:color="auto" w:fill="FFFFFF"/>
          </w:tcPr>
          <w:p w14:paraId="323E6B6F" w14:textId="747F8463" w:rsidR="00696665" w:rsidRPr="00B57B36" w:rsidRDefault="00696665" w:rsidP="00225D90">
            <w:pPr>
              <w:pStyle w:val="CETBodytext"/>
              <w:rPr>
                <w:lang w:val="en-GB"/>
              </w:rPr>
            </w:pPr>
            <w:r>
              <w:t>Langmuir</w:t>
            </w:r>
          </w:p>
        </w:tc>
        <w:tc>
          <w:tcPr>
            <w:tcW w:w="633" w:type="pct"/>
            <w:shd w:val="clear" w:color="auto" w:fill="FFFFFF"/>
          </w:tcPr>
          <w:p w14:paraId="1FAC5DCA" w14:textId="50B51BBA" w:rsidR="00696665" w:rsidRPr="00B57B36" w:rsidRDefault="00696665" w:rsidP="00225D90">
            <w:pPr>
              <w:pStyle w:val="CETBodytext"/>
              <w:rPr>
                <w:lang w:val="en-GB"/>
              </w:rPr>
            </w:pPr>
            <w:r>
              <w:t>0.044</w:t>
            </w:r>
          </w:p>
        </w:tc>
        <w:tc>
          <w:tcPr>
            <w:tcW w:w="896" w:type="pct"/>
            <w:shd w:val="clear" w:color="auto" w:fill="FFFFFF"/>
          </w:tcPr>
          <w:p w14:paraId="3296DE68" w14:textId="2C917783" w:rsidR="00696665" w:rsidRPr="00B57B36" w:rsidRDefault="00696665" w:rsidP="00225D90">
            <w:pPr>
              <w:pStyle w:val="CETBodytext"/>
              <w:rPr>
                <w:lang w:val="en-GB"/>
              </w:rPr>
            </w:pPr>
            <w:r>
              <w:t>42.89</w:t>
            </w:r>
          </w:p>
        </w:tc>
        <w:tc>
          <w:tcPr>
            <w:tcW w:w="1347" w:type="pct"/>
            <w:shd w:val="clear" w:color="auto" w:fill="FFFFFF"/>
          </w:tcPr>
          <w:p w14:paraId="00D2D1FF" w14:textId="718F3848" w:rsidR="00696665" w:rsidRPr="00541B8D" w:rsidRDefault="00696665" w:rsidP="00225D90">
            <w:pPr>
              <w:pStyle w:val="CETBodytext"/>
            </w:pPr>
            <w:r>
              <w:t>-</w:t>
            </w:r>
          </w:p>
        </w:tc>
        <w:tc>
          <w:tcPr>
            <w:tcW w:w="327" w:type="pct"/>
            <w:shd w:val="clear" w:color="auto" w:fill="FFFFFF"/>
          </w:tcPr>
          <w:p w14:paraId="588D2BB3" w14:textId="28E4AA80" w:rsidR="00696665" w:rsidRPr="00541B8D" w:rsidRDefault="00696665" w:rsidP="00225D90">
            <w:pPr>
              <w:pStyle w:val="CETBodytext"/>
            </w:pPr>
            <w:r>
              <w:t>-</w:t>
            </w:r>
          </w:p>
        </w:tc>
        <w:tc>
          <w:tcPr>
            <w:tcW w:w="1015" w:type="pct"/>
            <w:shd w:val="clear" w:color="auto" w:fill="FFFFFF"/>
          </w:tcPr>
          <w:p w14:paraId="24516A34" w14:textId="0A0F245D" w:rsidR="00696665" w:rsidRPr="00541B8D" w:rsidRDefault="00696665" w:rsidP="00225D90">
            <w:pPr>
              <w:pStyle w:val="CETBodytext"/>
            </w:pPr>
            <w:r>
              <w:t>1.28</w:t>
            </w:r>
          </w:p>
        </w:tc>
      </w:tr>
      <w:tr w:rsidR="00696665" w:rsidRPr="00B57B36" w14:paraId="7868EE3A" w14:textId="629261D1" w:rsidTr="00696665">
        <w:trPr>
          <w:jc w:val="center"/>
        </w:trPr>
        <w:tc>
          <w:tcPr>
            <w:tcW w:w="783" w:type="pct"/>
            <w:shd w:val="clear" w:color="auto" w:fill="FFFFFF"/>
          </w:tcPr>
          <w:p w14:paraId="4F3CB194" w14:textId="463350D8" w:rsidR="00696665" w:rsidRPr="00B57B36" w:rsidRDefault="00696665" w:rsidP="00225D90">
            <w:pPr>
              <w:pStyle w:val="CETBodytext"/>
              <w:ind w:right="-1"/>
              <w:rPr>
                <w:rFonts w:cs="Arial"/>
                <w:szCs w:val="18"/>
                <w:lang w:val="en-GB"/>
              </w:rPr>
            </w:pPr>
            <w:r>
              <w:t xml:space="preserve">Freundlich </w:t>
            </w:r>
          </w:p>
        </w:tc>
        <w:tc>
          <w:tcPr>
            <w:tcW w:w="633" w:type="pct"/>
            <w:shd w:val="clear" w:color="auto" w:fill="FFFFFF"/>
          </w:tcPr>
          <w:p w14:paraId="66755427" w14:textId="363B1A2B" w:rsidR="00696665" w:rsidRPr="00B57B36" w:rsidRDefault="00696665" w:rsidP="00225D90">
            <w:pPr>
              <w:pStyle w:val="CETBodytext"/>
              <w:ind w:right="-1"/>
              <w:rPr>
                <w:rFonts w:cs="Arial"/>
                <w:szCs w:val="18"/>
                <w:lang w:val="en-GB"/>
              </w:rPr>
            </w:pPr>
            <w:r>
              <w:t>-</w:t>
            </w:r>
          </w:p>
        </w:tc>
        <w:tc>
          <w:tcPr>
            <w:tcW w:w="896" w:type="pct"/>
            <w:shd w:val="clear" w:color="auto" w:fill="FFFFFF"/>
          </w:tcPr>
          <w:p w14:paraId="3E2A50C2" w14:textId="731B18B1" w:rsidR="00696665" w:rsidRPr="00B57B36" w:rsidRDefault="00696665" w:rsidP="00225D90">
            <w:pPr>
              <w:pStyle w:val="CETBodytext"/>
              <w:ind w:right="-1"/>
              <w:rPr>
                <w:rFonts w:cs="Arial"/>
                <w:szCs w:val="18"/>
                <w:lang w:val="en-GB"/>
              </w:rPr>
            </w:pPr>
            <w:r>
              <w:t>-</w:t>
            </w:r>
          </w:p>
        </w:tc>
        <w:tc>
          <w:tcPr>
            <w:tcW w:w="1347" w:type="pct"/>
            <w:shd w:val="clear" w:color="auto" w:fill="FFFFFF"/>
          </w:tcPr>
          <w:p w14:paraId="3A188E5B" w14:textId="692CD347" w:rsidR="00696665" w:rsidRPr="00541B8D" w:rsidRDefault="00696665" w:rsidP="00225D90">
            <w:pPr>
              <w:pStyle w:val="CETBodytext"/>
              <w:ind w:right="-1"/>
            </w:pPr>
            <w:r>
              <w:t>5.31</w:t>
            </w:r>
          </w:p>
        </w:tc>
        <w:tc>
          <w:tcPr>
            <w:tcW w:w="327" w:type="pct"/>
            <w:shd w:val="clear" w:color="auto" w:fill="FFFFFF"/>
          </w:tcPr>
          <w:p w14:paraId="68AA68A6" w14:textId="27F97AB1" w:rsidR="00696665" w:rsidRPr="00541B8D" w:rsidRDefault="00696665" w:rsidP="00225D90">
            <w:pPr>
              <w:pStyle w:val="CETBodytext"/>
              <w:ind w:right="-1"/>
            </w:pPr>
            <w:r>
              <w:t>2.65</w:t>
            </w:r>
          </w:p>
        </w:tc>
        <w:tc>
          <w:tcPr>
            <w:tcW w:w="1015" w:type="pct"/>
            <w:shd w:val="clear" w:color="auto" w:fill="FFFFFF"/>
          </w:tcPr>
          <w:p w14:paraId="24BF7CEC" w14:textId="1176346D" w:rsidR="00696665" w:rsidRPr="00541B8D" w:rsidRDefault="00696665" w:rsidP="00225D90">
            <w:pPr>
              <w:pStyle w:val="CETBodytext"/>
              <w:ind w:right="-1"/>
            </w:pPr>
            <w:r>
              <w:t>3.08</w:t>
            </w:r>
          </w:p>
        </w:tc>
      </w:tr>
    </w:tbl>
    <w:p w14:paraId="6C881969" w14:textId="77777777" w:rsidR="006B0DB0" w:rsidRDefault="006B0DB0" w:rsidP="006B0DB0">
      <w:pPr>
        <w:pStyle w:val="CETBodytext"/>
      </w:pPr>
    </w:p>
    <w:p w14:paraId="1285725B" w14:textId="20003A8B" w:rsidR="00014EC6" w:rsidRDefault="009E2B1E" w:rsidP="009E2B1E">
      <w:pPr>
        <w:pStyle w:val="CETBodytext"/>
        <w:jc w:val="center"/>
      </w:pPr>
      <w:r>
        <w:rPr>
          <w:noProof/>
        </w:rPr>
        <w:drawing>
          <wp:inline distT="0" distB="0" distL="0" distR="0" wp14:anchorId="72838650" wp14:editId="2F356C47">
            <wp:extent cx="3037398" cy="270666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9105" cy="2717095"/>
                    </a:xfrm>
                    <a:prstGeom prst="rect">
                      <a:avLst/>
                    </a:prstGeom>
                    <a:noFill/>
                  </pic:spPr>
                </pic:pic>
              </a:graphicData>
            </a:graphic>
          </wp:inline>
        </w:drawing>
      </w:r>
    </w:p>
    <w:p w14:paraId="3FEF2918" w14:textId="0523C092" w:rsidR="00744E3E" w:rsidRPr="0077350E" w:rsidRDefault="00744E3E" w:rsidP="00744E3E">
      <w:pPr>
        <w:jc w:val="center"/>
      </w:pPr>
      <w:r w:rsidRPr="00B57B36">
        <w:t xml:space="preserve">Figure 1: </w:t>
      </w:r>
      <w:r>
        <w:t>Isotherm data</w:t>
      </w:r>
      <w:r w:rsidRPr="0077350E">
        <w:t xml:space="preserve"> of </w:t>
      </w:r>
      <w:r w:rsidRPr="0077350E">
        <w:rPr>
          <w:i/>
        </w:rPr>
        <w:t xml:space="preserve">Pteris </w:t>
      </w:r>
      <w:proofErr w:type="spellStart"/>
      <w:r w:rsidRPr="0077350E">
        <w:rPr>
          <w:i/>
        </w:rPr>
        <w:t>vittata</w:t>
      </w:r>
      <w:proofErr w:type="spellEnd"/>
      <w:r w:rsidRPr="0077350E">
        <w:t xml:space="preserve"> (PV) for the adsorption of </w:t>
      </w:r>
      <w:r>
        <w:t>Rhodamine B at 25°C fitted with the Langmuir and Freundlich models.</w:t>
      </w:r>
    </w:p>
    <w:p w14:paraId="281D561E" w14:textId="77777777" w:rsidR="0046582E" w:rsidRDefault="0046582E" w:rsidP="009C7858">
      <w:pPr>
        <w:pStyle w:val="CETBodytext"/>
        <w:rPr>
          <w:lang w:val="en-GB"/>
        </w:rPr>
      </w:pPr>
    </w:p>
    <w:p w14:paraId="6704B3FC" w14:textId="5A0766C9" w:rsidR="009E35C1" w:rsidRDefault="0046582E" w:rsidP="000E2FB3">
      <w:pPr>
        <w:pStyle w:val="CETBodytext"/>
        <w:ind w:right="-1"/>
      </w:pPr>
      <w:r w:rsidRPr="0046582E">
        <w:rPr>
          <w:lang w:val="en-GB"/>
        </w:rPr>
        <w:t xml:space="preserve">Table 2 presents a comparison </w:t>
      </w:r>
      <w:r w:rsidR="00DE647D">
        <w:rPr>
          <w:lang w:val="en-GB"/>
        </w:rPr>
        <w:t xml:space="preserve">between </w:t>
      </w:r>
      <w:r w:rsidRPr="0046582E">
        <w:rPr>
          <w:lang w:val="en-GB"/>
        </w:rPr>
        <w:t xml:space="preserve">various </w:t>
      </w:r>
      <w:proofErr w:type="spellStart"/>
      <w:r w:rsidRPr="0046582E">
        <w:rPr>
          <w:lang w:val="en-GB"/>
        </w:rPr>
        <w:t>ag</w:t>
      </w:r>
      <w:r>
        <w:rPr>
          <w:lang w:val="en-GB"/>
        </w:rPr>
        <w:t>ro</w:t>
      </w:r>
      <w:proofErr w:type="spellEnd"/>
      <w:r>
        <w:rPr>
          <w:lang w:val="en-GB"/>
        </w:rPr>
        <w:t>-waste materials and PV roots</w:t>
      </w:r>
      <w:r w:rsidR="005A7FF0">
        <w:t>.</w:t>
      </w:r>
      <w:r>
        <w:t xml:space="preserve"> It is possible to observe that </w:t>
      </w:r>
      <w:r w:rsidR="00AE2DC6">
        <w:t xml:space="preserve">there are other bio-adsorbents such as </w:t>
      </w:r>
      <w:r w:rsidR="00AE2DC6" w:rsidRPr="000B554E">
        <w:rPr>
          <w:i/>
        </w:rPr>
        <w:t xml:space="preserve">Raphia </w:t>
      </w:r>
      <w:proofErr w:type="spellStart"/>
      <w:r w:rsidR="00AE2DC6" w:rsidRPr="000B554E">
        <w:rPr>
          <w:i/>
        </w:rPr>
        <w:t>hookerie</w:t>
      </w:r>
      <w:proofErr w:type="spellEnd"/>
      <w:r w:rsidR="00AE2DC6">
        <w:t xml:space="preserve"> fruit epicarp, </w:t>
      </w:r>
      <w:r w:rsidR="00AE2DC6" w:rsidRPr="000B554E">
        <w:rPr>
          <w:i/>
        </w:rPr>
        <w:t xml:space="preserve">Artocarpus </w:t>
      </w:r>
      <w:proofErr w:type="spellStart"/>
      <w:r w:rsidR="00AE2DC6" w:rsidRPr="000B554E">
        <w:rPr>
          <w:i/>
        </w:rPr>
        <w:t>odoratissimus</w:t>
      </w:r>
      <w:proofErr w:type="spellEnd"/>
      <w:r w:rsidR="00AE2DC6">
        <w:t xml:space="preserve"> peel, </w:t>
      </w:r>
      <w:r w:rsidR="00AE2DC6" w:rsidRPr="000B554E">
        <w:rPr>
          <w:i/>
        </w:rPr>
        <w:t xml:space="preserve">Aleurites </w:t>
      </w:r>
      <w:proofErr w:type="spellStart"/>
      <w:r w:rsidR="00AE2DC6" w:rsidRPr="000B554E">
        <w:rPr>
          <w:i/>
        </w:rPr>
        <w:t>Moluccana</w:t>
      </w:r>
      <w:proofErr w:type="spellEnd"/>
      <w:r w:rsidR="00AE2DC6">
        <w:t xml:space="preserve"> waste seeds and </w:t>
      </w:r>
      <w:r w:rsidR="00AE2DC6" w:rsidRPr="00DC3643">
        <w:rPr>
          <w:i/>
          <w:lang w:val="en-GB"/>
        </w:rPr>
        <w:t>Paspalum notatum</w:t>
      </w:r>
      <w:r w:rsidR="00AE2DC6" w:rsidRPr="00DC3643">
        <w:rPr>
          <w:lang w:val="en-GB"/>
        </w:rPr>
        <w:t xml:space="preserve"> grass wast</w:t>
      </w:r>
      <w:r w:rsidR="00AE2DC6">
        <w:rPr>
          <w:lang w:val="en-GB"/>
        </w:rPr>
        <w:t>e</w:t>
      </w:r>
      <w:r w:rsidR="00AE2DC6">
        <w:t xml:space="preserve"> that show a higher </w:t>
      </w:r>
      <w:r w:rsidR="00AE2DC6" w:rsidRPr="0046582E">
        <w:rPr>
          <w:lang w:val="en-GB"/>
        </w:rPr>
        <w:t>maximum adsorption capacity</w:t>
      </w:r>
      <w:r w:rsidR="00AE2DC6">
        <w:rPr>
          <w:lang w:val="en-GB"/>
        </w:rPr>
        <w:t xml:space="preserve"> than the one of PV. However, </w:t>
      </w:r>
      <w:r w:rsidR="007E3FE7">
        <w:rPr>
          <w:lang w:val="en-GB"/>
        </w:rPr>
        <w:t xml:space="preserve">for the selection of the best adsorbent material </w:t>
      </w:r>
      <w:r w:rsidR="00AE2DC6">
        <w:rPr>
          <w:lang w:val="en-GB"/>
        </w:rPr>
        <w:t xml:space="preserve">a simple comparison between the maximum adsorption capacities is </w:t>
      </w:r>
      <w:r w:rsidR="007E3FE7">
        <w:rPr>
          <w:lang w:val="en-GB"/>
        </w:rPr>
        <w:t>not enough</w:t>
      </w:r>
      <w:r w:rsidR="00AE2DC6">
        <w:rPr>
          <w:lang w:val="en-GB"/>
        </w:rPr>
        <w:t xml:space="preserve">. </w:t>
      </w:r>
      <w:r w:rsidR="007E3FE7">
        <w:rPr>
          <w:lang w:val="en-GB"/>
        </w:rPr>
        <w:t>As a matter of fact, a key role is played by the operating conditions at which the adsorption properties are evaluated. For example, the outstanding performance of</w:t>
      </w:r>
      <w:r w:rsidR="00AE2DC6">
        <w:t xml:space="preserve"> </w:t>
      </w:r>
      <w:r w:rsidR="007E3FE7" w:rsidRPr="000B554E">
        <w:rPr>
          <w:i/>
        </w:rPr>
        <w:t xml:space="preserve">Raphia </w:t>
      </w:r>
      <w:proofErr w:type="spellStart"/>
      <w:r w:rsidR="007E3FE7" w:rsidRPr="000B554E">
        <w:rPr>
          <w:i/>
        </w:rPr>
        <w:t>hookerie</w:t>
      </w:r>
      <w:proofErr w:type="spellEnd"/>
      <w:r w:rsidR="007E3FE7">
        <w:t xml:space="preserve"> fruit epicarp were observed for a very severe pH condition (pH=3). Moreover, also the value of the Langmuir constant </w:t>
      </w:r>
      <m:oMath>
        <m:r>
          <w:rPr>
            <w:rFonts w:ascii="Cambria Math" w:hAnsi="Cambria Math"/>
          </w:rPr>
          <m:t>b</m:t>
        </m:r>
      </m:oMath>
      <w:r w:rsidR="007E3FE7">
        <w:t xml:space="preserve"> must be considered. </w:t>
      </w:r>
      <w:r w:rsidR="00732AD9">
        <w:t xml:space="preserve">In Table 2 was reported the product </w:t>
      </w:r>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max</m:t>
            </m:r>
          </m:sub>
        </m:sSub>
        <m:r>
          <w:rPr>
            <w:rFonts w:ascii="Cambria Math" w:hAnsi="Cambria Math"/>
            <w:lang w:val="en-GB"/>
          </w:rPr>
          <m:t xml:space="preserve"> b</m:t>
        </m:r>
      </m:oMath>
      <w:r w:rsidR="000E2FB3">
        <w:rPr>
          <w:lang w:val="en-GB"/>
        </w:rPr>
        <w:t xml:space="preserve"> </w:t>
      </w:r>
      <w:r w:rsidR="000E2FB3" w:rsidRPr="000E2FB3">
        <w:rPr>
          <w:lang w:val="en-GB"/>
        </w:rPr>
        <w:t xml:space="preserve">which is representative of the angular coefficient of the linear region of the isotherm for low concentrations. The data indicates that PV has the </w:t>
      </w:r>
      <w:proofErr w:type="gramStart"/>
      <w:r w:rsidR="000E2FB3" w:rsidRPr="000E2FB3">
        <w:rPr>
          <w:lang w:val="en-GB"/>
        </w:rPr>
        <w:t>second-highest</w:t>
      </w:r>
      <w:proofErr w:type="gramEnd"/>
      <w:r w:rsidR="000E2FB3" w:rsidRPr="000E2FB3">
        <w:rPr>
          <w:lang w:val="en-GB"/>
        </w:rPr>
        <w:t xml:space="preserve"> </w:t>
      </w:r>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max</m:t>
            </m:r>
          </m:sub>
        </m:sSub>
        <m:r>
          <w:rPr>
            <w:rFonts w:ascii="Cambria Math" w:hAnsi="Cambria Math"/>
            <w:lang w:val="en-GB"/>
          </w:rPr>
          <m:t xml:space="preserve"> b</m:t>
        </m:r>
      </m:oMath>
      <w:r w:rsidR="000E2FB3">
        <w:rPr>
          <w:lang w:val="en-GB"/>
        </w:rPr>
        <w:t xml:space="preserve"> </w:t>
      </w:r>
      <w:r w:rsidR="000E2FB3" w:rsidRPr="000E2FB3">
        <w:rPr>
          <w:lang w:val="en-GB"/>
        </w:rPr>
        <w:t xml:space="preserve">value, following only </w:t>
      </w:r>
      <w:r w:rsidR="000E2FB3">
        <w:t>Exhausted coffee ground</w:t>
      </w:r>
      <w:r w:rsidR="000E2FB3" w:rsidRPr="000E2FB3">
        <w:rPr>
          <w:lang w:val="en-GB"/>
        </w:rPr>
        <w:t>. Although selecting the most effective adsorbent depends o</w:t>
      </w:r>
      <w:r w:rsidR="000E2FB3">
        <w:rPr>
          <w:lang w:val="en-GB"/>
        </w:rPr>
        <w:t>n the initial concentration of R</w:t>
      </w:r>
      <w:r w:rsidR="000E2FB3" w:rsidRPr="000E2FB3">
        <w:rPr>
          <w:lang w:val="en-GB"/>
        </w:rPr>
        <w:t>B in the solution, these results suggest that PV is a pro</w:t>
      </w:r>
      <w:r w:rsidR="000E2FB3">
        <w:rPr>
          <w:lang w:val="en-GB"/>
        </w:rPr>
        <w:t>mising candidate for efficient R</w:t>
      </w:r>
      <w:r w:rsidR="000E2FB3" w:rsidRPr="000E2FB3">
        <w:rPr>
          <w:lang w:val="en-GB"/>
        </w:rPr>
        <w:t>B uptake.</w:t>
      </w:r>
    </w:p>
    <w:p w14:paraId="10C2D4EC" w14:textId="7FB55DED" w:rsidR="00371779" w:rsidRPr="00B57B36" w:rsidRDefault="00371779" w:rsidP="00371779">
      <w:pPr>
        <w:pStyle w:val="CETTabletitle"/>
        <w:jc w:val="center"/>
      </w:pPr>
      <w:r>
        <w:t>Table 2</w:t>
      </w:r>
      <w:r w:rsidRPr="00B57B36">
        <w:t xml:space="preserve">: </w:t>
      </w:r>
      <w:r w:rsidR="009A011D">
        <w:t xml:space="preserve">Operation conditions and </w:t>
      </w:r>
      <w:r>
        <w:t>L</w:t>
      </w:r>
      <w:r w:rsidR="009A011D">
        <w:t xml:space="preserve">angmuir parameters for various </w:t>
      </w:r>
      <w:proofErr w:type="spellStart"/>
      <w:r w:rsidR="009A011D">
        <w:t>agro</w:t>
      </w:r>
      <w:proofErr w:type="spellEnd"/>
      <w:r w:rsidR="009A011D">
        <w:t>-waste adsorbents.</w:t>
      </w:r>
    </w:p>
    <w:tbl>
      <w:tblPr>
        <w:tblW w:w="5000"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77"/>
        <w:gridCol w:w="518"/>
        <w:gridCol w:w="271"/>
        <w:gridCol w:w="1037"/>
        <w:gridCol w:w="773"/>
        <w:gridCol w:w="1134"/>
        <w:gridCol w:w="2177"/>
      </w:tblGrid>
      <w:tr w:rsidR="007E3FE7" w:rsidRPr="00B57B36" w14:paraId="32EE87CE" w14:textId="77777777" w:rsidTr="007E3FE7">
        <w:trPr>
          <w:jc w:val="center"/>
        </w:trPr>
        <w:tc>
          <w:tcPr>
            <w:tcW w:w="1637" w:type="pct"/>
            <w:tcBorders>
              <w:top w:val="single" w:sz="12" w:space="0" w:color="008000"/>
              <w:bottom w:val="single" w:sz="6" w:space="0" w:color="008000"/>
            </w:tcBorders>
            <w:shd w:val="clear" w:color="auto" w:fill="FFFFFF"/>
            <w:vAlign w:val="center"/>
          </w:tcPr>
          <w:p w14:paraId="1D6F1BA8" w14:textId="77777777" w:rsidR="007E3FE7" w:rsidRPr="00B57B36" w:rsidRDefault="007E3FE7" w:rsidP="007E3FE7">
            <w:pPr>
              <w:pStyle w:val="CETBodytext"/>
              <w:jc w:val="center"/>
              <w:rPr>
                <w:lang w:val="en-GB"/>
              </w:rPr>
            </w:pPr>
          </w:p>
        </w:tc>
        <w:tc>
          <w:tcPr>
            <w:tcW w:w="295" w:type="pct"/>
            <w:tcBorders>
              <w:top w:val="single" w:sz="12" w:space="0" w:color="008000"/>
              <w:bottom w:val="single" w:sz="6" w:space="0" w:color="008000"/>
            </w:tcBorders>
            <w:shd w:val="clear" w:color="auto" w:fill="FFFFFF"/>
            <w:vAlign w:val="center"/>
          </w:tcPr>
          <w:p w14:paraId="4A84BF2B" w14:textId="4CE665B4" w:rsidR="007E3FE7" w:rsidRPr="00B57B36" w:rsidRDefault="007E3FE7" w:rsidP="007E3FE7">
            <w:pPr>
              <w:pStyle w:val="CETBodytext"/>
              <w:jc w:val="center"/>
              <w:rPr>
                <w:lang w:val="en-GB"/>
              </w:rPr>
            </w:pPr>
            <w:r w:rsidRPr="00CA1E22">
              <w:rPr>
                <w:b/>
                <w:lang w:val="en-GB"/>
              </w:rPr>
              <w:t>T</w:t>
            </w:r>
            <w:r>
              <w:rPr>
                <w:lang w:val="en-GB"/>
              </w:rPr>
              <w:t xml:space="preserve"> (°C</w:t>
            </w:r>
            <w:r w:rsidRPr="0077350E">
              <w:rPr>
                <w:lang w:val="en-GB"/>
              </w:rPr>
              <w:t>)</w:t>
            </w:r>
          </w:p>
        </w:tc>
        <w:tc>
          <w:tcPr>
            <w:tcW w:w="154" w:type="pct"/>
            <w:tcBorders>
              <w:top w:val="single" w:sz="12" w:space="0" w:color="008000"/>
              <w:bottom w:val="single" w:sz="6" w:space="0" w:color="008000"/>
            </w:tcBorders>
            <w:shd w:val="clear" w:color="auto" w:fill="FFFFFF"/>
            <w:vAlign w:val="center"/>
          </w:tcPr>
          <w:p w14:paraId="61A6A4DE" w14:textId="3C15E574" w:rsidR="007E3FE7" w:rsidRPr="00CA1E22" w:rsidRDefault="007E3FE7" w:rsidP="007E3FE7">
            <w:pPr>
              <w:pStyle w:val="CETBodytext"/>
              <w:jc w:val="center"/>
              <w:rPr>
                <w:b/>
                <w:lang w:val="en-GB"/>
              </w:rPr>
            </w:pPr>
            <w:r w:rsidRPr="00CA1E22">
              <w:rPr>
                <w:b/>
                <w:lang w:val="en-GB"/>
              </w:rPr>
              <w:t>pH</w:t>
            </w:r>
          </w:p>
        </w:tc>
        <w:tc>
          <w:tcPr>
            <w:tcW w:w="590" w:type="pct"/>
            <w:tcBorders>
              <w:top w:val="single" w:sz="12" w:space="0" w:color="008000"/>
              <w:bottom w:val="single" w:sz="6" w:space="0" w:color="008000"/>
            </w:tcBorders>
            <w:shd w:val="clear" w:color="auto" w:fill="FFFFFF"/>
            <w:vAlign w:val="center"/>
          </w:tcPr>
          <w:p w14:paraId="510FC718" w14:textId="188A0D93" w:rsidR="007E3FE7" w:rsidRPr="001C17EE" w:rsidRDefault="00000000" w:rsidP="007E3FE7">
            <w:pPr>
              <w:pStyle w:val="CETBodytext"/>
              <w:jc w:val="center"/>
              <w:rPr>
                <w:rFonts w:cs="Arial"/>
                <w:b/>
                <w:i/>
                <w:vertAlign w:val="superscript"/>
                <w:lang w:val="en-GB"/>
              </w:rPr>
            </w:pPr>
            <m:oMath>
              <m:sSub>
                <m:sSubPr>
                  <m:ctrlPr>
                    <w:rPr>
                      <w:rFonts w:ascii="Cambria Math" w:hAnsi="Cambria Math"/>
                      <w:b/>
                      <w:i/>
                      <w:lang w:val="en-GB"/>
                    </w:rPr>
                  </m:ctrlPr>
                </m:sSubPr>
                <m:e>
                  <m:r>
                    <m:rPr>
                      <m:sty m:val="bi"/>
                    </m:rPr>
                    <w:rPr>
                      <w:rFonts w:ascii="Cambria Math" w:hAnsi="Cambria Math"/>
                      <w:lang w:val="en-GB"/>
                    </w:rPr>
                    <m:t>q</m:t>
                  </m:r>
                </m:e>
                <m:sub>
                  <m:r>
                    <m:rPr>
                      <m:sty m:val="bi"/>
                    </m:rPr>
                    <w:rPr>
                      <w:rFonts w:ascii="Cambria Math" w:hAnsi="Cambria Math"/>
                      <w:lang w:val="en-GB"/>
                    </w:rPr>
                    <m:t>max</m:t>
                  </m:r>
                </m:sub>
              </m:sSub>
            </m:oMath>
            <w:r w:rsidR="007E3FE7" w:rsidRPr="0077350E">
              <w:rPr>
                <w:lang w:val="en-GB"/>
              </w:rPr>
              <w:t xml:space="preserve"> (mg/g</w:t>
            </w:r>
            <w:r w:rsidR="007E3FE7" w:rsidRPr="00541B8D">
              <w:t>)</w:t>
            </w:r>
          </w:p>
        </w:tc>
        <w:tc>
          <w:tcPr>
            <w:tcW w:w="440" w:type="pct"/>
            <w:tcBorders>
              <w:top w:val="single" w:sz="12" w:space="0" w:color="008000"/>
              <w:bottom w:val="single" w:sz="6" w:space="0" w:color="008000"/>
            </w:tcBorders>
            <w:shd w:val="clear" w:color="auto" w:fill="FFFFFF"/>
            <w:vAlign w:val="center"/>
          </w:tcPr>
          <w:p w14:paraId="6555B384" w14:textId="565D40AC" w:rsidR="007E3FE7" w:rsidRPr="00696665" w:rsidRDefault="007E3FE7" w:rsidP="007E3FE7">
            <w:pPr>
              <w:pStyle w:val="CETBodytext"/>
              <w:jc w:val="center"/>
              <w:rPr>
                <w:rFonts w:cs="Arial"/>
                <w:b/>
                <w:i/>
                <w:lang w:val="en-GB"/>
              </w:rPr>
            </w:pPr>
            <m:oMath>
              <m:r>
                <m:rPr>
                  <m:sty m:val="bi"/>
                </m:rPr>
                <w:rPr>
                  <w:rFonts w:ascii="Cambria Math" w:hAnsi="Cambria Math"/>
                  <w:lang w:val="en-GB"/>
                </w:rPr>
                <m:t>b</m:t>
              </m:r>
            </m:oMath>
            <w:r w:rsidRPr="0077350E">
              <w:rPr>
                <w:lang w:val="en-GB"/>
              </w:rPr>
              <w:t xml:space="preserve"> (L/mg)</w:t>
            </w:r>
          </w:p>
        </w:tc>
        <w:tc>
          <w:tcPr>
            <w:tcW w:w="645" w:type="pct"/>
            <w:tcBorders>
              <w:top w:val="single" w:sz="12" w:space="0" w:color="008000"/>
              <w:bottom w:val="single" w:sz="6" w:space="0" w:color="008000"/>
            </w:tcBorders>
            <w:shd w:val="clear" w:color="auto" w:fill="FFFFFF"/>
            <w:vAlign w:val="center"/>
          </w:tcPr>
          <w:p w14:paraId="6A0FC349" w14:textId="111FC5B4" w:rsidR="007E3FE7" w:rsidRPr="00696665" w:rsidRDefault="00000000" w:rsidP="007E3FE7">
            <w:pPr>
              <w:pStyle w:val="CETBodytext"/>
              <w:jc w:val="center"/>
              <w:rPr>
                <w:rFonts w:cs="Arial"/>
                <w:b/>
                <w:lang w:val="en-GB"/>
              </w:rPr>
            </w:pPr>
            <m:oMathPara>
              <m:oMath>
                <m:sSub>
                  <m:sSubPr>
                    <m:ctrlPr>
                      <w:rPr>
                        <w:rFonts w:ascii="Cambria Math" w:hAnsi="Cambria Math"/>
                        <w:b/>
                        <w:i/>
                        <w:lang w:val="en-GB"/>
                      </w:rPr>
                    </m:ctrlPr>
                  </m:sSubPr>
                  <m:e>
                    <m:r>
                      <m:rPr>
                        <m:sty m:val="bi"/>
                      </m:rPr>
                      <w:rPr>
                        <w:rFonts w:ascii="Cambria Math" w:hAnsi="Cambria Math"/>
                        <w:lang w:val="en-GB"/>
                      </w:rPr>
                      <m:t>q</m:t>
                    </m:r>
                  </m:e>
                  <m:sub>
                    <m:r>
                      <m:rPr>
                        <m:sty m:val="bi"/>
                      </m:rPr>
                      <w:rPr>
                        <w:rFonts w:ascii="Cambria Math" w:hAnsi="Cambria Math"/>
                        <w:lang w:val="en-GB"/>
                      </w:rPr>
                      <m:t>max</m:t>
                    </m:r>
                  </m:sub>
                </m:sSub>
                <m:r>
                  <m:rPr>
                    <m:sty m:val="bi"/>
                  </m:rPr>
                  <w:rPr>
                    <w:rFonts w:ascii="Cambria Math" w:hAnsi="Cambria Math"/>
                    <w:lang w:val="en-GB"/>
                  </w:rPr>
                  <m:t xml:space="preserve"> b</m:t>
                </m:r>
              </m:oMath>
            </m:oMathPara>
          </w:p>
        </w:tc>
        <w:tc>
          <w:tcPr>
            <w:tcW w:w="1239" w:type="pct"/>
            <w:tcBorders>
              <w:top w:val="single" w:sz="12" w:space="0" w:color="008000"/>
              <w:bottom w:val="single" w:sz="6" w:space="0" w:color="008000"/>
            </w:tcBorders>
            <w:shd w:val="clear" w:color="auto" w:fill="FFFFFF"/>
            <w:vAlign w:val="center"/>
          </w:tcPr>
          <w:p w14:paraId="23D4B9F4" w14:textId="5FFC387B" w:rsidR="007E3FE7" w:rsidRPr="001C17EE" w:rsidRDefault="007E3FE7" w:rsidP="007E3FE7">
            <w:pPr>
              <w:pStyle w:val="CETBodytext"/>
              <w:jc w:val="center"/>
              <w:rPr>
                <w:rFonts w:cs="Arial"/>
                <w:b/>
                <w:i/>
                <w:lang w:val="en-GB"/>
              </w:rPr>
            </w:pPr>
            <w:r w:rsidRPr="00696665">
              <w:rPr>
                <w:rFonts w:cs="Arial"/>
                <w:b/>
                <w:lang w:val="en-GB"/>
              </w:rPr>
              <w:t>R</w:t>
            </w:r>
            <w:r>
              <w:rPr>
                <w:rFonts w:cs="Arial"/>
                <w:b/>
                <w:lang w:val="en-GB"/>
              </w:rPr>
              <w:t>eference</w:t>
            </w:r>
          </w:p>
        </w:tc>
      </w:tr>
      <w:tr w:rsidR="007E3FE7" w:rsidRPr="00B57B36" w14:paraId="73E0C3CB" w14:textId="77777777" w:rsidTr="007E3FE7">
        <w:trPr>
          <w:jc w:val="center"/>
        </w:trPr>
        <w:tc>
          <w:tcPr>
            <w:tcW w:w="1637" w:type="pct"/>
            <w:shd w:val="clear" w:color="auto" w:fill="FFFFFF"/>
            <w:vAlign w:val="center"/>
          </w:tcPr>
          <w:p w14:paraId="03DCAC3A" w14:textId="27F057DE" w:rsidR="007E3FE7" w:rsidRPr="00B57B36" w:rsidRDefault="007E3FE7" w:rsidP="007E3FE7">
            <w:pPr>
              <w:pStyle w:val="CETBodytext"/>
              <w:jc w:val="center"/>
              <w:rPr>
                <w:lang w:val="en-GB"/>
              </w:rPr>
            </w:pPr>
            <w:r w:rsidRPr="000B554E">
              <w:rPr>
                <w:i/>
              </w:rPr>
              <w:t xml:space="preserve">Raphia </w:t>
            </w:r>
            <w:proofErr w:type="spellStart"/>
            <w:r w:rsidRPr="000B554E">
              <w:rPr>
                <w:i/>
              </w:rPr>
              <w:t>hookerie</w:t>
            </w:r>
            <w:proofErr w:type="spellEnd"/>
            <w:r>
              <w:t xml:space="preserve"> fruit epicarp</w:t>
            </w:r>
          </w:p>
        </w:tc>
        <w:tc>
          <w:tcPr>
            <w:tcW w:w="295" w:type="pct"/>
            <w:shd w:val="clear" w:color="auto" w:fill="FFFFFF"/>
            <w:vAlign w:val="center"/>
          </w:tcPr>
          <w:p w14:paraId="43C7DE00" w14:textId="3AD3B23A" w:rsidR="007E3FE7" w:rsidRPr="00B57B36" w:rsidRDefault="007E3FE7" w:rsidP="007E3FE7">
            <w:pPr>
              <w:pStyle w:val="CETBodytext"/>
              <w:jc w:val="center"/>
              <w:rPr>
                <w:lang w:val="en-GB"/>
              </w:rPr>
            </w:pPr>
            <w:r>
              <w:rPr>
                <w:lang w:val="en-GB"/>
              </w:rPr>
              <w:t>26</w:t>
            </w:r>
          </w:p>
        </w:tc>
        <w:tc>
          <w:tcPr>
            <w:tcW w:w="154" w:type="pct"/>
            <w:shd w:val="clear" w:color="auto" w:fill="FFFFFF"/>
            <w:vAlign w:val="center"/>
          </w:tcPr>
          <w:p w14:paraId="659C70ED" w14:textId="66693821" w:rsidR="007E3FE7" w:rsidRPr="00B57B36" w:rsidRDefault="007E3FE7" w:rsidP="007E3FE7">
            <w:pPr>
              <w:pStyle w:val="CETBodytext"/>
              <w:jc w:val="center"/>
              <w:rPr>
                <w:lang w:val="en-GB"/>
              </w:rPr>
            </w:pPr>
            <w:r w:rsidRPr="00EB7C02">
              <w:rPr>
                <w:lang w:val="en-GB"/>
              </w:rPr>
              <w:t>3</w:t>
            </w:r>
          </w:p>
        </w:tc>
        <w:tc>
          <w:tcPr>
            <w:tcW w:w="590" w:type="pct"/>
            <w:shd w:val="clear" w:color="auto" w:fill="FFFFFF"/>
            <w:vAlign w:val="center"/>
          </w:tcPr>
          <w:p w14:paraId="3DA52683" w14:textId="1C53C76B" w:rsidR="007E3FE7" w:rsidRPr="00541B8D" w:rsidRDefault="007E3FE7" w:rsidP="007E3FE7">
            <w:pPr>
              <w:pStyle w:val="CETBodytext"/>
              <w:jc w:val="center"/>
            </w:pPr>
            <w:r>
              <w:t>666.6</w:t>
            </w:r>
          </w:p>
        </w:tc>
        <w:tc>
          <w:tcPr>
            <w:tcW w:w="440" w:type="pct"/>
            <w:shd w:val="clear" w:color="auto" w:fill="FFFFFF"/>
            <w:vAlign w:val="center"/>
          </w:tcPr>
          <w:p w14:paraId="03C35772" w14:textId="4926FB0E" w:rsidR="007E3FE7" w:rsidRPr="00541B8D" w:rsidRDefault="007E3FE7" w:rsidP="007E3FE7">
            <w:pPr>
              <w:pStyle w:val="CETBodytext"/>
              <w:jc w:val="center"/>
            </w:pPr>
            <w:r>
              <w:t>0.01</w:t>
            </w:r>
          </w:p>
        </w:tc>
        <w:tc>
          <w:tcPr>
            <w:tcW w:w="645" w:type="pct"/>
            <w:shd w:val="clear" w:color="auto" w:fill="FFFFFF"/>
            <w:vAlign w:val="center"/>
          </w:tcPr>
          <w:p w14:paraId="6736715A" w14:textId="241266C2" w:rsidR="007E3FE7" w:rsidRDefault="007E3FE7" w:rsidP="007E3FE7">
            <w:pPr>
              <w:pStyle w:val="CETBodytext"/>
              <w:jc w:val="center"/>
            </w:pPr>
            <w:r>
              <w:t>6.66</w:t>
            </w:r>
          </w:p>
        </w:tc>
        <w:tc>
          <w:tcPr>
            <w:tcW w:w="1239" w:type="pct"/>
            <w:shd w:val="clear" w:color="auto" w:fill="FFFFFF"/>
            <w:vAlign w:val="center"/>
          </w:tcPr>
          <w:p w14:paraId="77FE5A72" w14:textId="79C3CA57" w:rsidR="007E3FE7" w:rsidRPr="00541B8D" w:rsidRDefault="007E3FE7" w:rsidP="007E3FE7">
            <w:pPr>
              <w:pStyle w:val="CETBodytext"/>
              <w:jc w:val="center"/>
            </w:pPr>
            <w:r>
              <w:fldChar w:fldCharType="begin" w:fldLock="1"/>
            </w:r>
            <w:r>
              <w:instrText>ADDIN CSL_CITATION {"citationItems":[{"id":"ITEM-1","itemData":{"DOI":"10.1016/j.wri.2016.06.001","ISSN":"22123717","abstract":"Highly efficient low cost adsorbent was prepared from Raphia hookerie fruit epicarp. Characteristics of the prepared low cost adsorbent (RH) was established using scanning electron microscope (SEM), Fourier Transform Infra Red (FTIR) and Brunauer-Emmett-Teller (BET) surface area. RH was applied for Rhodamine B (RhB) uptake from aqueous solution. Equilibrium adsorption data were fitted using four isotherms and kinetic data tested with five kinetic models. The BET surface area obtained was 0.00351 m2/g; SEM reveals large pores that could enhance the uptake of large molecules. Freundlich isotherm best described the uptake of RhB onto RH, the maximum monolayer adsorption capacity (qmax) was 666.67 mg/g. Pseudo second order model best described the kinetics of adsorption process. Energy of adsorption (E) obtained from D-R isotherm suggests physical adsorption. Desorption efficiency follows the order H2O&gt;HCl&gt;CH3COOH. Cost analysis shows that RH is about 1143 times more economical when compared with commercial activated carbon.","author":[{"dropping-particle":"","family":"Inyinbor","given":"A. A.","non-dropping-particle":"","parse-names":false,"suffix":""},{"dropping-particle":"","family":"Adekola","given":"F. A.","non-dropping-particle":"","parse-names":false,"suffix":""},{"dropping-particle":"","family":"Olatunji","given":"G. A.","non-dropping-particle":"","parse-names":false,"suffix":""}],"container-title":"Water Resources and Industry","id":"ITEM-1","issued":{"date-parts":[["2016"]]},"page":"14-27","publisher":"Elsevier","title":"Kinetics, isotherms and thermodynamic modeling of liquid phase adsorption of Rhodamine B dye onto Raphia hookerie fruit epicarp","type":"article-journal","volume":"15"},"uris":["http://www.mendeley.com/documents/?uuid=cff29f4e-8f71-4983-96d2-5cd8b9bf9301"]}],"mendeley":{"formattedCitation":"(Inyinbor et al., 2016)","plainTextFormattedCitation":"(Inyinbor et al., 2016)","previouslyFormattedCitation":"(Inyinbor et al., 2016)"},"properties":{"noteIndex":0},"schema":"https://github.com/citation-style-language/schema/raw/master/csl-citation.json"}</w:instrText>
            </w:r>
            <w:r>
              <w:fldChar w:fldCharType="separate"/>
            </w:r>
            <w:r w:rsidRPr="002A291A">
              <w:rPr>
                <w:noProof/>
              </w:rPr>
              <w:t>(Inyinbor et al., 2016)</w:t>
            </w:r>
            <w:r>
              <w:fldChar w:fldCharType="end"/>
            </w:r>
          </w:p>
        </w:tc>
      </w:tr>
      <w:tr w:rsidR="007E3FE7" w:rsidRPr="00B57B36" w14:paraId="18878917" w14:textId="77777777" w:rsidTr="007E3FE7">
        <w:trPr>
          <w:jc w:val="center"/>
        </w:trPr>
        <w:tc>
          <w:tcPr>
            <w:tcW w:w="1637" w:type="pct"/>
            <w:shd w:val="clear" w:color="auto" w:fill="FFFFFF"/>
            <w:vAlign w:val="center"/>
          </w:tcPr>
          <w:p w14:paraId="10C430AB" w14:textId="0BCD407D" w:rsidR="007E3FE7" w:rsidRPr="00B57B36" w:rsidRDefault="007E3FE7" w:rsidP="007E3FE7">
            <w:pPr>
              <w:pStyle w:val="CETBodytext"/>
              <w:ind w:right="-1"/>
              <w:jc w:val="center"/>
              <w:rPr>
                <w:rFonts w:cs="Arial"/>
                <w:szCs w:val="18"/>
                <w:lang w:val="en-GB"/>
              </w:rPr>
            </w:pPr>
            <w:r w:rsidRPr="000B554E">
              <w:rPr>
                <w:i/>
              </w:rPr>
              <w:t xml:space="preserve">Artocarpus </w:t>
            </w:r>
            <w:proofErr w:type="spellStart"/>
            <w:r w:rsidRPr="000B554E">
              <w:rPr>
                <w:i/>
              </w:rPr>
              <w:t>odoratissimus</w:t>
            </w:r>
            <w:proofErr w:type="spellEnd"/>
            <w:r>
              <w:t xml:space="preserve"> peel</w:t>
            </w:r>
          </w:p>
        </w:tc>
        <w:tc>
          <w:tcPr>
            <w:tcW w:w="295" w:type="pct"/>
            <w:shd w:val="clear" w:color="auto" w:fill="FFFFFF"/>
            <w:vAlign w:val="center"/>
          </w:tcPr>
          <w:p w14:paraId="518BD594" w14:textId="2C74AAB7" w:rsidR="007E3FE7" w:rsidRPr="00B57B36" w:rsidRDefault="007E3FE7" w:rsidP="007E3FE7">
            <w:pPr>
              <w:pStyle w:val="CETBodytext"/>
              <w:ind w:right="-1"/>
              <w:jc w:val="center"/>
              <w:rPr>
                <w:rFonts w:cs="Arial"/>
                <w:szCs w:val="18"/>
                <w:lang w:val="en-GB"/>
              </w:rPr>
            </w:pPr>
            <w:r w:rsidRPr="00225D90">
              <w:t>25</w:t>
            </w:r>
          </w:p>
        </w:tc>
        <w:tc>
          <w:tcPr>
            <w:tcW w:w="154" w:type="pct"/>
            <w:shd w:val="clear" w:color="auto" w:fill="FFFFFF"/>
            <w:vAlign w:val="center"/>
          </w:tcPr>
          <w:p w14:paraId="7C8D7736" w14:textId="511D7043" w:rsidR="007E3FE7" w:rsidRPr="00B57B36" w:rsidRDefault="007E3FE7" w:rsidP="007E3FE7">
            <w:pPr>
              <w:pStyle w:val="CETBodytext"/>
              <w:ind w:right="-1"/>
              <w:jc w:val="center"/>
              <w:rPr>
                <w:rFonts w:cs="Arial"/>
                <w:szCs w:val="18"/>
                <w:lang w:val="en-GB"/>
              </w:rPr>
            </w:pPr>
            <w:r w:rsidRPr="00225D90">
              <w:t>7</w:t>
            </w:r>
          </w:p>
        </w:tc>
        <w:tc>
          <w:tcPr>
            <w:tcW w:w="590" w:type="pct"/>
            <w:shd w:val="clear" w:color="auto" w:fill="FFFFFF"/>
            <w:vAlign w:val="center"/>
          </w:tcPr>
          <w:p w14:paraId="5A235AC3" w14:textId="579E7120" w:rsidR="007E3FE7" w:rsidRPr="00541B8D" w:rsidRDefault="007E3FE7" w:rsidP="007E3FE7">
            <w:pPr>
              <w:pStyle w:val="CETBodytext"/>
              <w:ind w:right="-1"/>
              <w:jc w:val="center"/>
            </w:pPr>
            <w:r>
              <w:t>130.62</w:t>
            </w:r>
          </w:p>
        </w:tc>
        <w:tc>
          <w:tcPr>
            <w:tcW w:w="440" w:type="pct"/>
            <w:shd w:val="clear" w:color="auto" w:fill="FFFFFF"/>
            <w:vAlign w:val="center"/>
          </w:tcPr>
          <w:p w14:paraId="195DC654" w14:textId="2700E10E" w:rsidR="007E3FE7" w:rsidRPr="00541B8D" w:rsidRDefault="007E3FE7" w:rsidP="007E3FE7">
            <w:pPr>
              <w:pStyle w:val="CETBodytext"/>
              <w:ind w:right="-1"/>
              <w:jc w:val="center"/>
            </w:pPr>
            <w:r w:rsidRPr="002F39BE">
              <w:t>4.17</w:t>
            </w:r>
            <w:r w:rsidRPr="002F39BE">
              <w:rPr>
                <w:rFonts w:cs="Arial"/>
              </w:rPr>
              <w:t>·</w:t>
            </w:r>
            <w:r w:rsidRPr="002F39BE">
              <w:t>10</w:t>
            </w:r>
            <w:r w:rsidRPr="002F39BE">
              <w:rPr>
                <w:vertAlign w:val="superscript"/>
              </w:rPr>
              <w:t>-5</w:t>
            </w:r>
          </w:p>
        </w:tc>
        <w:tc>
          <w:tcPr>
            <w:tcW w:w="645" w:type="pct"/>
            <w:shd w:val="clear" w:color="auto" w:fill="FFFFFF"/>
            <w:vAlign w:val="center"/>
          </w:tcPr>
          <w:p w14:paraId="67F5812E" w14:textId="02A7831B" w:rsidR="007E3FE7" w:rsidRDefault="007E3FE7" w:rsidP="007E3FE7">
            <w:pPr>
              <w:pStyle w:val="CETBodytext"/>
              <w:ind w:right="-1"/>
              <w:jc w:val="center"/>
            </w:pPr>
            <w:r>
              <w:t>0.0054</w:t>
            </w:r>
          </w:p>
        </w:tc>
        <w:tc>
          <w:tcPr>
            <w:tcW w:w="1239" w:type="pct"/>
            <w:shd w:val="clear" w:color="auto" w:fill="FFFFFF"/>
            <w:vAlign w:val="center"/>
          </w:tcPr>
          <w:p w14:paraId="3D8E560A" w14:textId="2EA76C61" w:rsidR="007E3FE7" w:rsidRPr="00541B8D" w:rsidRDefault="007E3FE7" w:rsidP="007E3FE7">
            <w:pPr>
              <w:pStyle w:val="CETBodytext"/>
              <w:ind w:right="-1"/>
              <w:jc w:val="center"/>
            </w:pPr>
            <w:r>
              <w:fldChar w:fldCharType="begin" w:fldLock="1"/>
            </w:r>
            <w:r>
              <w:instrText>ADDIN CSL_CITATION {"citationItems":[{"id":"ITEM-1","itemData":{"ISSN":"20282508","abstract":"This research highlights the potential utilization of the skin of a locally abundant fruit, Artocarpusodoratissimus, also known as Tarap, for the removal of toxic Rhodamine B (RhB) dye from aqueous solution. Batch adsorption experiments carried out by varying experimental conditions indicated that the optimum conditions for adsorption of RhB on Tarap skin (TS) are 210 min shaking time and at ambient pH of 4.15. Application of experimental adsorption data on Langmuir, Freundlich and Redlich-Peterson isotherm models indicated that adsorption of RhB on the adsorbent is best described by the Langmuir model with a good maximum adsorption capacity of 131 mg g-1, a value which is much higher when compared to many reported natural adsorbents. Fourier Transform Infrared spectroscopy indicates possible involvement of functional groups such as amine, alcohol and carbonyl, in the adsorption process. Adsorption under investigation was endothermic in nature. The adsorbent is resilient to both changes in ionic strength and medium pH, and could be regenerated and reused for at least four consecutive cycles.","author":[{"dropping-particle":"","family":"Lim","given":"L. B.L.","non-dropping-particle":"","parse-names":false,"suffix":""},{"dropping-particle":"","family":"Priyantha","given":"N.","non-dropping-particle":"","parse-names":false,"suffix":""},{"dropping-particle":"","family":"Fang","given":"X. Y.","non-dropping-particle":"","parse-names":false,"suffix":""},{"dropping-particle":"","family":"Mohamad Zaidi","given":"N. A.H.","non-dropping-particle":"","parse-names":false,"suffix":""}],"container-title":"Journal of Materials and Environmental Science","id":"ITEM-1","issue":"2","issued":{"date-parts":[["2017"]]},"page":"494-502","title":"Artocarpusodoratissimus peel as a potential adsorbent in environmental remediation to remove toxic Rhodamine B dye","type":"article-journal","volume":"8"},"uris":["http://www.mendeley.com/documents/?uuid=ea2c5964-aaa2-42e2-9f69-56ba1d8c2f98"]}],"mendeley":{"formattedCitation":"(Lim et al., 2017)","plainTextFormattedCitation":"(Lim et al., 2017)","previouslyFormattedCitation":"(Lim et al., 2017)"},"properties":{"noteIndex":0},"schema":"https://github.com/citation-style-language/schema/raw/master/csl-citation.json"}</w:instrText>
            </w:r>
            <w:r>
              <w:fldChar w:fldCharType="separate"/>
            </w:r>
            <w:r w:rsidRPr="00FC4951">
              <w:rPr>
                <w:noProof/>
              </w:rPr>
              <w:t>(Lim et al., 2017)</w:t>
            </w:r>
            <w:r>
              <w:fldChar w:fldCharType="end"/>
            </w:r>
          </w:p>
        </w:tc>
      </w:tr>
      <w:tr w:rsidR="007E3FE7" w:rsidRPr="00B57B36" w14:paraId="6081D2D8" w14:textId="77777777" w:rsidTr="007E3FE7">
        <w:trPr>
          <w:jc w:val="center"/>
        </w:trPr>
        <w:tc>
          <w:tcPr>
            <w:tcW w:w="1637" w:type="pct"/>
            <w:shd w:val="clear" w:color="auto" w:fill="FFFFFF"/>
            <w:vAlign w:val="center"/>
          </w:tcPr>
          <w:p w14:paraId="6EE64135" w14:textId="4D132D33" w:rsidR="007E3FE7" w:rsidRDefault="007E3FE7" w:rsidP="007E3FE7">
            <w:pPr>
              <w:pStyle w:val="CETBodytext"/>
              <w:ind w:right="-1"/>
              <w:jc w:val="center"/>
            </w:pPr>
            <w:r w:rsidRPr="000B554E">
              <w:rPr>
                <w:i/>
              </w:rPr>
              <w:t xml:space="preserve">Aleurites </w:t>
            </w:r>
            <w:proofErr w:type="spellStart"/>
            <w:r w:rsidRPr="000B554E">
              <w:rPr>
                <w:i/>
              </w:rPr>
              <w:t>Moluccana</w:t>
            </w:r>
            <w:proofErr w:type="spellEnd"/>
            <w:r>
              <w:t xml:space="preserve"> waste seeds</w:t>
            </w:r>
          </w:p>
        </w:tc>
        <w:tc>
          <w:tcPr>
            <w:tcW w:w="295" w:type="pct"/>
            <w:shd w:val="clear" w:color="auto" w:fill="FFFFFF"/>
            <w:vAlign w:val="center"/>
          </w:tcPr>
          <w:p w14:paraId="12607835" w14:textId="3EE65C06" w:rsidR="007E3FE7" w:rsidRPr="00225D90" w:rsidRDefault="007E3FE7" w:rsidP="007E3FE7">
            <w:pPr>
              <w:pStyle w:val="CETBodytext"/>
              <w:ind w:right="-1"/>
              <w:jc w:val="center"/>
            </w:pPr>
            <w:r>
              <w:rPr>
                <w:rFonts w:cs="Arial"/>
                <w:szCs w:val="18"/>
                <w:lang w:val="en-GB"/>
              </w:rPr>
              <w:t>25</w:t>
            </w:r>
          </w:p>
        </w:tc>
        <w:tc>
          <w:tcPr>
            <w:tcW w:w="154" w:type="pct"/>
            <w:shd w:val="clear" w:color="auto" w:fill="FFFFFF"/>
            <w:vAlign w:val="center"/>
          </w:tcPr>
          <w:p w14:paraId="19F036BD" w14:textId="10FD9D03" w:rsidR="007E3FE7" w:rsidRPr="00225D90" w:rsidRDefault="007E3FE7" w:rsidP="007E3FE7">
            <w:pPr>
              <w:pStyle w:val="CETBodytext"/>
              <w:ind w:right="-1"/>
              <w:jc w:val="center"/>
            </w:pPr>
            <w:r>
              <w:rPr>
                <w:rFonts w:cs="Arial"/>
                <w:szCs w:val="18"/>
                <w:lang w:val="en-GB"/>
              </w:rPr>
              <w:t>6</w:t>
            </w:r>
          </w:p>
        </w:tc>
        <w:tc>
          <w:tcPr>
            <w:tcW w:w="590" w:type="pct"/>
            <w:shd w:val="clear" w:color="auto" w:fill="FFFFFF"/>
            <w:vAlign w:val="center"/>
          </w:tcPr>
          <w:p w14:paraId="2F70ADF4" w14:textId="18E4675E" w:rsidR="007E3FE7" w:rsidRDefault="007E3FE7" w:rsidP="007E3FE7">
            <w:pPr>
              <w:pStyle w:val="CETBodytext"/>
              <w:ind w:right="-1"/>
              <w:jc w:val="center"/>
            </w:pPr>
            <w:r>
              <w:t>81</w:t>
            </w:r>
          </w:p>
        </w:tc>
        <w:tc>
          <w:tcPr>
            <w:tcW w:w="440" w:type="pct"/>
            <w:shd w:val="clear" w:color="auto" w:fill="FFFFFF"/>
            <w:vAlign w:val="center"/>
          </w:tcPr>
          <w:p w14:paraId="10CE3373" w14:textId="75D004DC" w:rsidR="007E3FE7" w:rsidRPr="00CA1E22" w:rsidRDefault="007E3FE7" w:rsidP="007E3FE7">
            <w:pPr>
              <w:pStyle w:val="CETBodytext"/>
              <w:ind w:right="-1"/>
              <w:jc w:val="center"/>
              <w:rPr>
                <w:highlight w:val="yellow"/>
                <w:vertAlign w:val="superscript"/>
              </w:rPr>
            </w:pPr>
            <w:r>
              <w:t>0.0041</w:t>
            </w:r>
          </w:p>
        </w:tc>
        <w:tc>
          <w:tcPr>
            <w:tcW w:w="645" w:type="pct"/>
            <w:shd w:val="clear" w:color="auto" w:fill="FFFFFF"/>
            <w:vAlign w:val="center"/>
          </w:tcPr>
          <w:p w14:paraId="004D2D35" w14:textId="3D99118C" w:rsidR="007E3FE7" w:rsidRDefault="007E3FE7" w:rsidP="007E3FE7">
            <w:pPr>
              <w:pStyle w:val="CETBodytext"/>
              <w:ind w:right="-1"/>
              <w:jc w:val="center"/>
            </w:pPr>
            <w:r>
              <w:t>0.33</w:t>
            </w:r>
          </w:p>
        </w:tc>
        <w:tc>
          <w:tcPr>
            <w:tcW w:w="1239" w:type="pct"/>
            <w:shd w:val="clear" w:color="auto" w:fill="FFFFFF"/>
            <w:vAlign w:val="center"/>
          </w:tcPr>
          <w:p w14:paraId="51987308" w14:textId="5069A78A" w:rsidR="007E3FE7" w:rsidRDefault="007E3FE7" w:rsidP="007E3FE7">
            <w:pPr>
              <w:pStyle w:val="CETBodytext"/>
              <w:ind w:right="-1"/>
              <w:jc w:val="center"/>
            </w:pPr>
            <w:r>
              <w:fldChar w:fldCharType="begin" w:fldLock="1"/>
            </w:r>
            <w:r>
              <w:instrText>ADDIN CSL_CITATION {"citationItems":[{"id":"ITEM-1","itemData":{"DOI":"10.1016/j.aej.2016.03.017","ISSN":"11100168","abstract":"Removal of the cationic dyes rhodamine B (RhB) and methylene blue (MB) by waste seeds Aleurites moluccana (WAM) was studied in a batch system. The adsorbent was characterized by Fourier transform infrared spectroscopy (FTIR), thermogravimetric analysis (TGA), point of zero charge measurement, and the Boehm titration method. The effects of contact time and pH were investigated for the removal of cationic dyes. An increase in pH from 3 to 9 was accompanied by an approximately three-fold increase in the amount of dye adsorbed. The adsorptions equilibrium values were obtained and analyzed using the Langmuir, Freundlich, Sips, and Redlich-Peterson equations, the Sips isotherm being the one that showed the best correlation with the experimental values. The maximum adsorption capacities of the dyes were 178 mg/g for the MB and 117 mg/g for the RhB. The kinetic sorption was evaluated by the pseudo-first-order, pseudo-second-order, and intraparticle diffusion models, where it was observed that sorption follows the pseudo-second-order kinetic model. The study of thermodynamics showed that the adsorption is a spontaneous and endothermic process. The results indicate that waste seeds of A. moluccana could be used as a low cost material for the removal of cationic dyes from wastewater.","author":[{"dropping-particle":"","family":"Postai","given":"Debora Luiza","non-dropping-particle":"","parse-names":false,"suffix":""},{"dropping-particle":"","family":"Demarchi","given":"Carla Albertina","non-dropping-particle":"","parse-names":false,"suffix":""},{"dropping-particle":"","family":"Zanatta","given":"Francielle","non-dropping-particle":"","parse-names":false,"suffix":""},{"dropping-particle":"","family":"Melo","given":"Danielle Caroline Cipriani","non-dropping-particle":"","parse-names":false,"suffix":""},{"dropping-particle":"","family":"Rodrigues","given":"Clóvis Antonio","non-dropping-particle":"","parse-names":false,"suffix":""}],"container-title":"Alexandria Engineering Journal","id":"ITEM-1","issue":"2","issued":{"date-parts":[["2016"]]},"page":"1713-1723","title":"Adsorption of rhodamine B and methylene blue dyes using waste of seeds of Aleurites Moluccana, a low cost adsorbent","type":"article-journal","volume":"55"},"uris":["http://www.mendeley.com/documents/?uuid=65372537-ee3d-4589-9281-38d1e429930d"]}],"mendeley":{"formattedCitation":"(Postai et al., 2016)","plainTextFormattedCitation":"(Postai et al., 2016)","previouslyFormattedCitation":"(Postai et al., 2016)"},"properties":{"noteIndex":0},"schema":"https://github.com/citation-style-language/schema/raw/master/csl-citation.json"}</w:instrText>
            </w:r>
            <w:r>
              <w:fldChar w:fldCharType="separate"/>
            </w:r>
            <w:r w:rsidRPr="00CA1E22">
              <w:rPr>
                <w:noProof/>
              </w:rPr>
              <w:t>(Postai et al., 2016)</w:t>
            </w:r>
            <w:r>
              <w:fldChar w:fldCharType="end"/>
            </w:r>
          </w:p>
        </w:tc>
      </w:tr>
      <w:tr w:rsidR="007E3FE7" w:rsidRPr="00B57B36" w14:paraId="73EF371F" w14:textId="77777777" w:rsidTr="007E3FE7">
        <w:trPr>
          <w:jc w:val="center"/>
        </w:trPr>
        <w:tc>
          <w:tcPr>
            <w:tcW w:w="1637" w:type="pct"/>
            <w:shd w:val="clear" w:color="auto" w:fill="FFFFFF"/>
            <w:vAlign w:val="center"/>
          </w:tcPr>
          <w:p w14:paraId="0222A461" w14:textId="15E7B633" w:rsidR="007E3FE7" w:rsidRDefault="007E3FE7" w:rsidP="007E3FE7">
            <w:pPr>
              <w:pStyle w:val="CETBodytext"/>
              <w:ind w:right="-1"/>
              <w:jc w:val="center"/>
            </w:pPr>
            <w:r w:rsidRPr="00DC3643">
              <w:rPr>
                <w:i/>
                <w:lang w:val="en-GB"/>
              </w:rPr>
              <w:t>Paspalum notatum</w:t>
            </w:r>
            <w:r w:rsidRPr="00DC3643">
              <w:rPr>
                <w:lang w:val="en-GB"/>
              </w:rPr>
              <w:t xml:space="preserve"> grass wast</w:t>
            </w:r>
            <w:r>
              <w:rPr>
                <w:lang w:val="en-GB"/>
              </w:rPr>
              <w:t>e</w:t>
            </w:r>
          </w:p>
        </w:tc>
        <w:tc>
          <w:tcPr>
            <w:tcW w:w="295" w:type="pct"/>
            <w:shd w:val="clear" w:color="auto" w:fill="FFFFFF"/>
            <w:vAlign w:val="center"/>
          </w:tcPr>
          <w:p w14:paraId="0608C750" w14:textId="08EEA672" w:rsidR="007E3FE7" w:rsidRDefault="007E3FE7" w:rsidP="007E3FE7">
            <w:pPr>
              <w:pStyle w:val="CETBodytext"/>
              <w:ind w:right="-1"/>
              <w:jc w:val="center"/>
            </w:pPr>
            <w:r>
              <w:t>30</w:t>
            </w:r>
          </w:p>
        </w:tc>
        <w:tc>
          <w:tcPr>
            <w:tcW w:w="154" w:type="pct"/>
            <w:shd w:val="clear" w:color="auto" w:fill="FFFFFF"/>
            <w:vAlign w:val="center"/>
          </w:tcPr>
          <w:p w14:paraId="19D30E63" w14:textId="71455BFA" w:rsidR="007E3FE7" w:rsidRDefault="007E3FE7" w:rsidP="007E3FE7">
            <w:pPr>
              <w:pStyle w:val="CETBodytext"/>
              <w:ind w:right="-1"/>
              <w:jc w:val="center"/>
            </w:pPr>
            <w:r>
              <w:t>6.6</w:t>
            </w:r>
          </w:p>
        </w:tc>
        <w:tc>
          <w:tcPr>
            <w:tcW w:w="590" w:type="pct"/>
            <w:shd w:val="clear" w:color="auto" w:fill="FFFFFF"/>
            <w:vAlign w:val="center"/>
          </w:tcPr>
          <w:p w14:paraId="50DBB546" w14:textId="0099BDFC" w:rsidR="007E3FE7" w:rsidRDefault="007E3FE7" w:rsidP="007E3FE7">
            <w:pPr>
              <w:pStyle w:val="CETBodytext"/>
              <w:ind w:right="-1"/>
              <w:jc w:val="center"/>
            </w:pPr>
            <w:r>
              <w:t>54</w:t>
            </w:r>
          </w:p>
        </w:tc>
        <w:tc>
          <w:tcPr>
            <w:tcW w:w="440" w:type="pct"/>
            <w:shd w:val="clear" w:color="auto" w:fill="FFFFFF"/>
            <w:vAlign w:val="center"/>
          </w:tcPr>
          <w:p w14:paraId="17C6120D" w14:textId="7728ADE4" w:rsidR="007E3FE7" w:rsidRPr="000B554E" w:rsidRDefault="007E3FE7" w:rsidP="007E3FE7">
            <w:pPr>
              <w:pStyle w:val="CETBodytext"/>
              <w:ind w:right="-1"/>
              <w:jc w:val="center"/>
              <w:rPr>
                <w:highlight w:val="yellow"/>
              </w:rPr>
            </w:pPr>
            <w:r>
              <w:t>2.4</w:t>
            </w:r>
            <w:r w:rsidRPr="002F39BE">
              <w:rPr>
                <w:rFonts w:cs="Arial"/>
              </w:rPr>
              <w:t>·</w:t>
            </w:r>
            <w:r w:rsidRPr="002F39BE">
              <w:t>10</w:t>
            </w:r>
            <w:r w:rsidRPr="002F39BE">
              <w:rPr>
                <w:vertAlign w:val="superscript"/>
              </w:rPr>
              <w:t>-5</w:t>
            </w:r>
          </w:p>
        </w:tc>
        <w:tc>
          <w:tcPr>
            <w:tcW w:w="645" w:type="pct"/>
            <w:shd w:val="clear" w:color="auto" w:fill="FFFFFF"/>
            <w:vAlign w:val="center"/>
          </w:tcPr>
          <w:p w14:paraId="4AAC8DCC" w14:textId="16905E66" w:rsidR="007E3FE7" w:rsidRDefault="007E3FE7" w:rsidP="007E3FE7">
            <w:pPr>
              <w:pStyle w:val="CETBodytext"/>
              <w:ind w:right="-1"/>
              <w:jc w:val="center"/>
            </w:pPr>
            <w:r>
              <w:t>0.0012</w:t>
            </w:r>
          </w:p>
        </w:tc>
        <w:tc>
          <w:tcPr>
            <w:tcW w:w="1239" w:type="pct"/>
            <w:shd w:val="clear" w:color="auto" w:fill="FFFFFF"/>
            <w:vAlign w:val="center"/>
          </w:tcPr>
          <w:p w14:paraId="24AF4B79" w14:textId="2BCBF617" w:rsidR="007E3FE7" w:rsidRDefault="007E3FE7" w:rsidP="007E3FE7">
            <w:pPr>
              <w:pStyle w:val="CETBodytext"/>
              <w:ind w:right="-1"/>
              <w:jc w:val="center"/>
            </w:pPr>
            <w:r>
              <w:fldChar w:fldCharType="begin" w:fldLock="1"/>
            </w:r>
            <w:r>
              <w:instrText>ADDIN CSL_CITATION {"citationItems":[{"id":"ITEM-1","itemData":{"DOI":"10.15255/CABEQ.2020.1830","ISSN":"18465153","abstract":"The potential of Paspalum notatum grass waste to adsorb Rhodamine B dye from aqueous phase is reported in this research. The grass waste was activated and characterized through various techniques to analyze the chemical (FTIR), morphological (SEM-EDX), and thermal (TGA) changes incorporated through the activation process. The pollutant removal efficiency of the raw and modified adsorbents was studied by varying different process parameters in a batch process. The maximum capacity of adsorption which was observed for grass waste and activated grass waste was 54 mg g-1 and 72.4 mg g-1 respectively. Among the various kinetic models, the pseudo-second order model gives the best regression results. However, the intraparticle diffusion-adsorption model showed that the diffusion within pores controlled the adsorption rate. Thermodynamic analysis of this process revealed that Rhodamine B adsorption was endothermic and spontaneous in nature. The results of this study show that grass waste has the potential to be used as an adsorbent for the treatment of colored water.","author":[{"dropping-particle":"","family":"Zahir","given":"A.","non-dropping-particle":"","parse-names":false,"suffix":""},{"dropping-particle":"","family":"Aslam","given":"Z.","non-dropping-particle":"","parse-names":false,"suffix":""},{"dropping-particle":"","family":"Aslam","given":"U.","non-dropping-particle":"","parse-names":false,"suffix":""},{"dropping-particle":"","family":"Abdullah","given":"A.","non-dropping-particle":"","parse-names":false,"suffix":""},{"dropping-particle":"","family":"Ali","given":"R.","non-dropping-particle":"","parse-names":false,"suffix":""},{"dropping-particle":"","family":"Bello","given":"M. M.","non-dropping-particle":"","parse-names":false,"suffix":""}],"container-title":"Chemical and Biochemical Engineering Quarterly","id":"ITEM-1","issue":"2","issued":{"date-parts":[["2020"]]},"page":"93-104","title":"Paspalum notatum grass-waste-based adsorbent for rhodamine B removal from polluted water","type":"article-journal","volume":"34"},"uris":["http://www.mendeley.com/documents/?uuid=2f15594e-e01f-4414-a3a3-5c9b5a405bd1"]}],"mendeley":{"formattedCitation":"(Zahir et al., 2020)","plainTextFormattedCitation":"(Zahir et al., 2020)","previouslyFormattedCitation":"(Zahir et al., 2020)"},"properties":{"noteIndex":0},"schema":"https://github.com/citation-style-language/schema/raw/master/csl-citation.json"}</w:instrText>
            </w:r>
            <w:r>
              <w:fldChar w:fldCharType="separate"/>
            </w:r>
            <w:r w:rsidRPr="00DC3643">
              <w:rPr>
                <w:noProof/>
              </w:rPr>
              <w:t>(Zahir et al., 2020)</w:t>
            </w:r>
            <w:r>
              <w:fldChar w:fldCharType="end"/>
            </w:r>
          </w:p>
        </w:tc>
      </w:tr>
      <w:tr w:rsidR="007E3FE7" w:rsidRPr="00B57B36" w14:paraId="46F5FB20" w14:textId="77777777" w:rsidTr="007E3FE7">
        <w:trPr>
          <w:jc w:val="center"/>
        </w:trPr>
        <w:tc>
          <w:tcPr>
            <w:tcW w:w="1637" w:type="pct"/>
            <w:shd w:val="clear" w:color="auto" w:fill="FFFFFF"/>
            <w:vAlign w:val="center"/>
          </w:tcPr>
          <w:p w14:paraId="7164EB98" w14:textId="7083A00E" w:rsidR="007E3FE7" w:rsidRDefault="007E3FE7" w:rsidP="007E3FE7">
            <w:pPr>
              <w:pStyle w:val="CETBodytext"/>
              <w:ind w:right="-1"/>
              <w:jc w:val="center"/>
            </w:pPr>
            <w:r>
              <w:rPr>
                <w:i/>
                <w:lang w:val="en-GB"/>
              </w:rPr>
              <w:t xml:space="preserve">Pteris </w:t>
            </w:r>
            <w:proofErr w:type="spellStart"/>
            <w:r>
              <w:rPr>
                <w:i/>
                <w:lang w:val="en-GB"/>
              </w:rPr>
              <w:t>vittata</w:t>
            </w:r>
            <w:proofErr w:type="spellEnd"/>
            <w:r>
              <w:rPr>
                <w:i/>
                <w:lang w:val="en-GB"/>
              </w:rPr>
              <w:t xml:space="preserve"> </w:t>
            </w:r>
            <w:r w:rsidRPr="00EB7C02">
              <w:rPr>
                <w:lang w:val="en-GB"/>
              </w:rPr>
              <w:t>waste roots</w:t>
            </w:r>
          </w:p>
        </w:tc>
        <w:tc>
          <w:tcPr>
            <w:tcW w:w="295" w:type="pct"/>
            <w:shd w:val="clear" w:color="auto" w:fill="FFFFFF"/>
            <w:vAlign w:val="center"/>
          </w:tcPr>
          <w:p w14:paraId="47AF0AB3" w14:textId="0A4BFD6F" w:rsidR="007E3FE7" w:rsidRDefault="007E3FE7" w:rsidP="007E3FE7">
            <w:pPr>
              <w:pStyle w:val="CETBodytext"/>
              <w:ind w:right="-1"/>
              <w:jc w:val="center"/>
            </w:pPr>
            <w:r>
              <w:t>25</w:t>
            </w:r>
          </w:p>
        </w:tc>
        <w:tc>
          <w:tcPr>
            <w:tcW w:w="154" w:type="pct"/>
            <w:shd w:val="clear" w:color="auto" w:fill="FFFFFF"/>
            <w:vAlign w:val="center"/>
          </w:tcPr>
          <w:p w14:paraId="213A3ED5" w14:textId="41431763" w:rsidR="007E3FE7" w:rsidRDefault="007E3FE7" w:rsidP="007E3FE7">
            <w:pPr>
              <w:pStyle w:val="CETBodytext"/>
              <w:ind w:right="-1"/>
              <w:jc w:val="center"/>
            </w:pPr>
            <w:r>
              <w:t>7</w:t>
            </w:r>
          </w:p>
        </w:tc>
        <w:tc>
          <w:tcPr>
            <w:tcW w:w="590" w:type="pct"/>
            <w:shd w:val="clear" w:color="auto" w:fill="FFFFFF"/>
            <w:vAlign w:val="center"/>
          </w:tcPr>
          <w:p w14:paraId="528947FF" w14:textId="45D2B377" w:rsidR="007E3FE7" w:rsidRDefault="007E3FE7" w:rsidP="007E3FE7">
            <w:pPr>
              <w:pStyle w:val="CETBodytext"/>
              <w:ind w:right="-1"/>
              <w:jc w:val="center"/>
            </w:pPr>
            <w:r>
              <w:t>42.89</w:t>
            </w:r>
          </w:p>
        </w:tc>
        <w:tc>
          <w:tcPr>
            <w:tcW w:w="440" w:type="pct"/>
            <w:shd w:val="clear" w:color="auto" w:fill="FFFFFF"/>
            <w:vAlign w:val="center"/>
          </w:tcPr>
          <w:p w14:paraId="779BDA93" w14:textId="23B723BD" w:rsidR="007E3FE7" w:rsidRDefault="007E3FE7" w:rsidP="007E3FE7">
            <w:pPr>
              <w:pStyle w:val="CETBodytext"/>
              <w:ind w:right="-1"/>
              <w:jc w:val="center"/>
            </w:pPr>
            <w:r>
              <w:t>0.044</w:t>
            </w:r>
          </w:p>
        </w:tc>
        <w:tc>
          <w:tcPr>
            <w:tcW w:w="645" w:type="pct"/>
            <w:shd w:val="clear" w:color="auto" w:fill="FFFFFF"/>
            <w:vAlign w:val="center"/>
          </w:tcPr>
          <w:p w14:paraId="26443ABE" w14:textId="5FA3CD90" w:rsidR="007E3FE7" w:rsidRDefault="007E3FE7" w:rsidP="007E3FE7">
            <w:pPr>
              <w:pStyle w:val="CETBodytext"/>
              <w:ind w:right="-1"/>
              <w:jc w:val="center"/>
            </w:pPr>
            <w:r>
              <w:t>1.88</w:t>
            </w:r>
          </w:p>
        </w:tc>
        <w:tc>
          <w:tcPr>
            <w:tcW w:w="1239" w:type="pct"/>
            <w:shd w:val="clear" w:color="auto" w:fill="FFFFFF"/>
            <w:vAlign w:val="center"/>
          </w:tcPr>
          <w:p w14:paraId="311D2A8C" w14:textId="58C8B13C" w:rsidR="007E3FE7" w:rsidRDefault="007E3FE7" w:rsidP="007E3FE7">
            <w:pPr>
              <w:pStyle w:val="CETBodytext"/>
              <w:ind w:right="-1"/>
              <w:jc w:val="center"/>
            </w:pPr>
            <w:r>
              <w:t>(This study)</w:t>
            </w:r>
          </w:p>
        </w:tc>
      </w:tr>
      <w:tr w:rsidR="007E3FE7" w:rsidRPr="00B57B36" w14:paraId="68E26ACB" w14:textId="77777777" w:rsidTr="007E3FE7">
        <w:trPr>
          <w:jc w:val="center"/>
        </w:trPr>
        <w:tc>
          <w:tcPr>
            <w:tcW w:w="1637" w:type="pct"/>
            <w:shd w:val="clear" w:color="auto" w:fill="FFFFFF"/>
            <w:vAlign w:val="center"/>
          </w:tcPr>
          <w:p w14:paraId="0794B176" w14:textId="13E6BA2B" w:rsidR="007E3FE7" w:rsidRDefault="007E3FE7" w:rsidP="007E3FE7">
            <w:pPr>
              <w:pStyle w:val="CETBodytext"/>
              <w:ind w:right="-1"/>
              <w:jc w:val="center"/>
            </w:pPr>
            <w:r>
              <w:t>Exhausted coffee ground</w:t>
            </w:r>
          </w:p>
        </w:tc>
        <w:tc>
          <w:tcPr>
            <w:tcW w:w="295" w:type="pct"/>
            <w:shd w:val="clear" w:color="auto" w:fill="FFFFFF"/>
            <w:vAlign w:val="center"/>
          </w:tcPr>
          <w:p w14:paraId="6E68B8DB" w14:textId="1580CFFA" w:rsidR="007E3FE7" w:rsidRDefault="007E3FE7" w:rsidP="007E3FE7">
            <w:pPr>
              <w:pStyle w:val="CETBodytext"/>
              <w:ind w:right="-1"/>
              <w:jc w:val="center"/>
            </w:pPr>
            <w:r>
              <w:t>19</w:t>
            </w:r>
          </w:p>
        </w:tc>
        <w:tc>
          <w:tcPr>
            <w:tcW w:w="154" w:type="pct"/>
            <w:shd w:val="clear" w:color="auto" w:fill="FFFFFF"/>
            <w:vAlign w:val="center"/>
          </w:tcPr>
          <w:p w14:paraId="4288A437" w14:textId="09B760D2" w:rsidR="007E3FE7" w:rsidRDefault="007E3FE7" w:rsidP="007E3FE7">
            <w:pPr>
              <w:pStyle w:val="CETBodytext"/>
              <w:ind w:right="-1"/>
              <w:jc w:val="center"/>
            </w:pPr>
            <w:r w:rsidRPr="00EB7C02">
              <w:t>7</w:t>
            </w:r>
          </w:p>
        </w:tc>
        <w:tc>
          <w:tcPr>
            <w:tcW w:w="590" w:type="pct"/>
            <w:shd w:val="clear" w:color="auto" w:fill="FFFFFF"/>
            <w:vAlign w:val="center"/>
          </w:tcPr>
          <w:p w14:paraId="0F10B929" w14:textId="5B0A1834" w:rsidR="007E3FE7" w:rsidRDefault="007E3FE7" w:rsidP="007E3FE7">
            <w:pPr>
              <w:pStyle w:val="CETBodytext"/>
              <w:ind w:right="-1"/>
              <w:jc w:val="center"/>
            </w:pPr>
            <w:r>
              <w:t>2.51</w:t>
            </w:r>
          </w:p>
        </w:tc>
        <w:tc>
          <w:tcPr>
            <w:tcW w:w="440" w:type="pct"/>
            <w:shd w:val="clear" w:color="auto" w:fill="FFFFFF"/>
            <w:vAlign w:val="center"/>
          </w:tcPr>
          <w:p w14:paraId="0F9C11F2" w14:textId="2D4F5A69" w:rsidR="007E3FE7" w:rsidRDefault="007E3FE7" w:rsidP="007E3FE7">
            <w:pPr>
              <w:pStyle w:val="CETBodytext"/>
              <w:ind w:right="-1"/>
              <w:jc w:val="center"/>
            </w:pPr>
            <w:r w:rsidRPr="00225D90">
              <w:t>9.11</w:t>
            </w:r>
          </w:p>
        </w:tc>
        <w:tc>
          <w:tcPr>
            <w:tcW w:w="645" w:type="pct"/>
            <w:shd w:val="clear" w:color="auto" w:fill="FFFFFF"/>
            <w:vAlign w:val="center"/>
          </w:tcPr>
          <w:p w14:paraId="4822AD9A" w14:textId="7F2903F2" w:rsidR="007E3FE7" w:rsidRDefault="007E3FE7" w:rsidP="007E3FE7">
            <w:pPr>
              <w:pStyle w:val="CETBodytext"/>
              <w:ind w:right="-1"/>
              <w:jc w:val="center"/>
            </w:pPr>
            <w:r>
              <w:t>22.86</w:t>
            </w:r>
          </w:p>
        </w:tc>
        <w:tc>
          <w:tcPr>
            <w:tcW w:w="1239" w:type="pct"/>
            <w:shd w:val="clear" w:color="auto" w:fill="FFFFFF"/>
            <w:vAlign w:val="center"/>
          </w:tcPr>
          <w:p w14:paraId="71691F4B" w14:textId="228E4CBD" w:rsidR="007E3FE7" w:rsidRDefault="007E3FE7" w:rsidP="007E3FE7">
            <w:pPr>
              <w:pStyle w:val="CETBodytext"/>
              <w:ind w:right="-1"/>
              <w:jc w:val="center"/>
            </w:pPr>
            <w:r>
              <w:fldChar w:fldCharType="begin" w:fldLock="1"/>
            </w:r>
            <w:r>
              <w:instrText>ADDIN CSL_CITATION {"citationItems":[{"id":"ITEM-1","itemData":{"DOI":"10.1016/j.jscs.2013.11.005","ISSN":"13196103","abstract":"Exhausted coffee ground powder (CGP) was proved to be an efficient adsorbent for the removal of Rhodamine dyes (i.e. Rhodamine B and Rhodamine 6G) from aqueous solutions by batch adsorption experiments. The morphology, chemical structure as well as the surface property of the as-prepared CGP adsorbent were investigated by using SEM, FT-IR and contact angle meter analytical techniques. The adsorption kinetics and isotherm behaviors of Rhodamine molecules onto CGP were studied and compared using pseudo-1st, pseudo-2nd and Langmuir/Freundlich models, respectively. The maximum adsorption capacities of Rh B and Rh 6G were calculated at 5.255 and 17.369 μmol g−1 by Langmuir model fitting. The effects of temperature, ionic strength, solution volume and the co-existing anions on the sorption behavior were also investigated. Furthermore, the adsorption mechanism responsible for the efficient removal of dyes is discussed in terms of adsorption process caused by electrostatic and intermolecular forces.","author":[{"dropping-particle":"","family":"Shen","given":"Kai","non-dropping-particle":"","parse-names":false,"suffix":""},{"dropping-particle":"","family":"Gondal","given":"M. A.","non-dropping-particle":"","parse-names":false,"suffix":""}],"container-title":"Journal of Saudi Chemical Society","id":"ITEM-1","issued":{"date-parts":[["2017"]]},"page":"S120-S127","publisher":"King Saud University","title":"Removal of hazardous Rhodamine dye from water by adsorption onto exhausted coffee ground","type":"article-journal","volume":"21"},"uris":["http://www.mendeley.com/documents/?uuid=3a128c82-ddc9-43cc-927a-3ec8f0996542"]}],"mendeley":{"formattedCitation":"(Shen and Gondal, 2017)","plainTextFormattedCitation":"(Shen and Gondal, 2017)","previouslyFormattedCitation":"(Shen and Gondal, 2017)"},"properties":{"noteIndex":0},"schema":"https://github.com/citation-style-language/schema/raw/master/csl-citation.json"}</w:instrText>
            </w:r>
            <w:r>
              <w:fldChar w:fldCharType="separate"/>
            </w:r>
            <w:r w:rsidRPr="00225D90">
              <w:rPr>
                <w:noProof/>
              </w:rPr>
              <w:t>(Shen and Gondal, 2017)</w:t>
            </w:r>
            <w:r>
              <w:fldChar w:fldCharType="end"/>
            </w:r>
          </w:p>
        </w:tc>
      </w:tr>
    </w:tbl>
    <w:p w14:paraId="6B10F431" w14:textId="0474DE43" w:rsidR="009E35C1" w:rsidRDefault="009E35C1" w:rsidP="009C7858">
      <w:pPr>
        <w:pStyle w:val="CETBodytext"/>
      </w:pPr>
    </w:p>
    <w:p w14:paraId="4B58AA41" w14:textId="74047A7E" w:rsidR="008B4BB3" w:rsidRDefault="00EC3F0E" w:rsidP="00E21285">
      <w:pPr>
        <w:pStyle w:val="CETBodytext"/>
        <w:rPr>
          <w:lang w:val="en-GB"/>
        </w:rPr>
      </w:pPr>
      <w:r>
        <w:t xml:space="preserve">The mathematical model adopted to represent the kinetic behavior of the system was based on both pore and surface diffusion mechanisms within the solid. However, since the initial concertation of 5.5 mg/L was small enough to consider the isotherm in its </w:t>
      </w:r>
      <w:r w:rsidR="00E21285">
        <w:t>linear region,</w:t>
      </w:r>
      <w:r w:rsidR="000A3DE1">
        <w:t xml:space="preserve"> a modified effective diffusion could be introduced to describe the overall diffusion phenomena. In this case </w:t>
      </w:r>
      <w:r w:rsidR="00E21285">
        <w:t xml:space="preserve">the complete set of </w:t>
      </w:r>
      <w:r w:rsidR="00E21285" w:rsidRPr="00E21285">
        <w:rPr>
          <w:lang w:val="en-GB"/>
        </w:rPr>
        <w:t>integra</w:t>
      </w:r>
      <w:r w:rsidR="000A3DE1">
        <w:rPr>
          <w:lang w:val="en-GB"/>
        </w:rPr>
        <w:t>l-differential equations assume</w:t>
      </w:r>
      <w:r w:rsidR="00E21285" w:rsidRPr="00E21285">
        <w:rPr>
          <w:lang w:val="en-GB"/>
        </w:rPr>
        <w:t xml:space="preserve"> the </w:t>
      </w:r>
      <w:r w:rsidR="00E21285" w:rsidRPr="00E21285">
        <w:rPr>
          <w:lang w:val="en-GB"/>
        </w:rPr>
        <w:lastRenderedPageBreak/>
        <w:t>mathematical (but not conceptual) form of the “Homogeneous Solid Diffusion Model” (HSDM)</w:t>
      </w:r>
      <w:r w:rsidR="00E21285">
        <w:rPr>
          <w:lang w:val="en-GB"/>
        </w:rPr>
        <w:t xml:space="preserve"> developed by McKay </w:t>
      </w:r>
      <w:r w:rsidR="00E21285">
        <w:rPr>
          <w:lang w:val="en-GB"/>
        </w:rPr>
        <w:fldChar w:fldCharType="begin" w:fldLock="1"/>
      </w:r>
      <w:r w:rsidR="002D2E97">
        <w:rPr>
          <w:lang w:val="en-GB"/>
        </w:rPr>
        <w:instrText>ADDIN CSL_CITATION {"citationItems":[{"id":"ITEM-1","itemData":{"DOI":"10.1023/a:1008854304933","ISSN":"09295607","abstract":"A homogeneous solid phase diffusion model (HSDM) has been developed using a computer to predict the performance of a batch adsorber. The computer program utilises a semi-analytical solution for a two resistance model based on external mass transfer and homogeneous solid phase diffusion. The model has been successfully applied to four adsorption systems, namely, the adsorption of AB25, AR114, BB69 and BR22 onto pith. The method produces excellent correlations between experimental and theoretical concentration decay curves in batch adsorbers. The model developed presents a solution using a single solid diffusion coefficient and a single external mass transfer coefficient which are sufficient to characterise the system within a range of initial dye concentration, 25-300 mg. dm3 and solid/liquid ratios (w/v) 0.25-2.","author":[{"dropping-particle":"","family":"McKay","given":"Gordon","non-dropping-particle":"","parse-names":false,"suffix":""}],"container-title":"Adsorption","id":"ITEM-1","issue":"3-4","issued":{"date-parts":[["1998"]]},"page":"361-372","title":"Application of Surface Diffusion Model to the Adsorption of Dyes on Bagasse Pith","type":"article-journal","volume":"4"},"uris":["http://www.mendeley.com/documents/?uuid=ed3fae86-59bb-4218-8d88-3b31c6ea2adb"]},{"id":"ITEM-2","itemData":{"DOI":"10.1002/jctb.5040340604","ISSN":"1935-1836","abstract":"The adsorption of telon blue (acid blue 25) dye and deorlene yellow (basic yellow) dye on to carbon has been studied. A two-resistance mass transfer model has been developed based on film resistance and homogeneous solid phase diffusion. The model may be applied over a wider range of operating conditions than previous models since it has more extensive analytical components. The variables investigated were initial dye concentration and solid:liquid ratio, and the experimental and theoretical results were in good agreement.","author":[{"dropping-particle":"","family":"McKay","given":"Gordon","non-dropping-particle":"","parse-names":false,"suffix":""}],"container-title":"Journal of Chemical Technology and Biotechnology, Chemical Technology","id":"ITEM-2","issue":"6","issued":{"date-parts":[["1984"]]},"page":"294-310","title":"Two-Resistance Mass Transfer Models for the Adsorption of Dyestuffs From Aqueous Solutions Using Activated Carbon.","type":"article-journal","volume":"34 A"},"uris":["http://www.mendeley.com/documents/?uuid=821121a2-31dc-4bcd-8743-cccb702e2066"]}],"mendeley":{"formattedCitation":"(McKay, 1998, 1984)","plainTextFormattedCitation":"(McKay, 1998, 1984)","previouslyFormattedCitation":"(McKay, 1998, 1984)"},"properties":{"noteIndex":0},"schema":"https://github.com/citation-style-language/schema/raw/master/csl-citation.json"}</w:instrText>
      </w:r>
      <w:r w:rsidR="00E21285">
        <w:rPr>
          <w:lang w:val="en-GB"/>
        </w:rPr>
        <w:fldChar w:fldCharType="separate"/>
      </w:r>
      <w:r w:rsidR="00E21285" w:rsidRPr="00E21285">
        <w:rPr>
          <w:noProof/>
          <w:lang w:val="en-GB"/>
        </w:rPr>
        <w:t>(McKay, 1998, 1984)</w:t>
      </w:r>
      <w:r w:rsidR="00E21285">
        <w:rPr>
          <w:lang w:val="en-GB"/>
        </w:rPr>
        <w:fldChar w:fldCharType="end"/>
      </w:r>
      <w:r w:rsidR="00E21285">
        <w:rPr>
          <w:lang w:val="en-GB"/>
        </w:rPr>
        <w:t>.</w:t>
      </w:r>
      <w:r w:rsidR="000A3DE1">
        <w:rPr>
          <w:lang w:val="en-GB"/>
        </w:rPr>
        <w:t xml:space="preserve"> </w:t>
      </w:r>
      <w:r w:rsidR="008B4BB3">
        <w:rPr>
          <w:lang w:val="en-GB"/>
        </w:rPr>
        <w:t>Moreover, the following hypothesis were introduced:</w:t>
      </w:r>
    </w:p>
    <w:p w14:paraId="7D23FC33" w14:textId="7B08BD4B" w:rsidR="008B4BB3" w:rsidRPr="008B4BB3" w:rsidRDefault="00A373A2" w:rsidP="008B4BB3">
      <w:pPr>
        <w:pStyle w:val="CETBodytext"/>
        <w:numPr>
          <w:ilvl w:val="0"/>
          <w:numId w:val="28"/>
        </w:numPr>
      </w:pPr>
      <w:r>
        <w:t xml:space="preserve">the system </w:t>
      </w:r>
      <w:proofErr w:type="gramStart"/>
      <w:r w:rsidR="008B4BB3" w:rsidRPr="008B4BB3">
        <w:t>isothermal;</w:t>
      </w:r>
      <w:proofErr w:type="gramEnd"/>
    </w:p>
    <w:p w14:paraId="688F329A" w14:textId="3438CC09" w:rsidR="008B4BB3" w:rsidRPr="008B4BB3" w:rsidRDefault="00A373A2" w:rsidP="008B4BB3">
      <w:pPr>
        <w:pStyle w:val="CETBodytext"/>
        <w:numPr>
          <w:ilvl w:val="0"/>
          <w:numId w:val="28"/>
        </w:numPr>
      </w:pPr>
      <w:r>
        <w:t xml:space="preserve">perfect mixing of the liquid </w:t>
      </w:r>
      <w:proofErr w:type="gramStart"/>
      <w:r>
        <w:t>phase</w:t>
      </w:r>
      <w:r w:rsidR="008B4BB3" w:rsidRPr="008B4BB3">
        <w:t>;</w:t>
      </w:r>
      <w:proofErr w:type="gramEnd"/>
    </w:p>
    <w:p w14:paraId="5895245F" w14:textId="571FA027" w:rsidR="008B4BB3" w:rsidRPr="008B4BB3" w:rsidRDefault="008B4BB3" w:rsidP="008B4BB3">
      <w:pPr>
        <w:pStyle w:val="CETBodytext"/>
        <w:numPr>
          <w:ilvl w:val="0"/>
          <w:numId w:val="28"/>
        </w:numPr>
      </w:pPr>
      <w:r w:rsidRPr="008B4BB3">
        <w:t>cylindrical</w:t>
      </w:r>
      <w:r w:rsidR="00A373A2">
        <w:t xml:space="preserve"> solid particles of</w:t>
      </w:r>
      <w:r w:rsidRPr="008B4BB3">
        <w:t xml:space="preserve"> constant </w:t>
      </w:r>
      <w:proofErr w:type="gramStart"/>
      <w:r w:rsidRPr="008B4BB3">
        <w:t>radius;</w:t>
      </w:r>
      <w:proofErr w:type="gramEnd"/>
    </w:p>
    <w:p w14:paraId="6CA135F6" w14:textId="31B3D44B" w:rsidR="008B4BB3" w:rsidRPr="008B4BB3" w:rsidRDefault="00A373A2" w:rsidP="008B4BB3">
      <w:pPr>
        <w:pStyle w:val="CETBodytext"/>
        <w:numPr>
          <w:ilvl w:val="0"/>
          <w:numId w:val="28"/>
        </w:numPr>
      </w:pPr>
      <w:r>
        <w:t>the radius of the roots was much smaller than their length</w:t>
      </w:r>
      <w:r w:rsidR="008B4BB3" w:rsidRPr="008B4BB3">
        <w:t xml:space="preserve"> (L&gt;&gt;R</w:t>
      </w:r>
      <w:proofErr w:type="gramStart"/>
      <w:r w:rsidR="008B4BB3" w:rsidRPr="008B4BB3">
        <w:t>);</w:t>
      </w:r>
      <w:proofErr w:type="gramEnd"/>
      <w:r w:rsidR="008B4BB3" w:rsidRPr="008B4BB3">
        <w:t xml:space="preserve"> </w:t>
      </w:r>
    </w:p>
    <w:p w14:paraId="7FA01C51" w14:textId="7103A75D" w:rsidR="008B4BB3" w:rsidRPr="008B4BB3" w:rsidRDefault="00A373A2" w:rsidP="008B4BB3">
      <w:pPr>
        <w:pStyle w:val="CETBodytext"/>
        <w:numPr>
          <w:ilvl w:val="0"/>
          <w:numId w:val="28"/>
        </w:numPr>
      </w:pPr>
      <w:r>
        <w:t>adsorption occurs instantaneously</w:t>
      </w:r>
      <w:r w:rsidR="008B4BB3" w:rsidRPr="008B4BB3">
        <w:t xml:space="preserve">. </w:t>
      </w:r>
    </w:p>
    <w:p w14:paraId="787106BE" w14:textId="77777777" w:rsidR="00A373A2" w:rsidRDefault="00A373A2" w:rsidP="009C7858">
      <w:pPr>
        <w:pStyle w:val="CETBodytext"/>
        <w:rPr>
          <w:lang w:val="en-GB"/>
        </w:rPr>
      </w:pPr>
    </w:p>
    <w:p w14:paraId="515E62E7" w14:textId="34388C74" w:rsidR="009E35C1" w:rsidRPr="00E21285" w:rsidRDefault="00F12DAD" w:rsidP="009C7858">
      <w:pPr>
        <w:pStyle w:val="CETBodytext"/>
        <w:rPr>
          <w:lang w:val="en-GB"/>
        </w:rPr>
      </w:pPr>
      <w:r>
        <w:rPr>
          <w:lang w:val="en-GB"/>
        </w:rPr>
        <w:t>The kinetic model was reported below</w:t>
      </w:r>
      <w:r w:rsidR="00183294">
        <w:rPr>
          <w:lang w:val="en-GB"/>
        </w:rPr>
        <w:t xml:space="preserve"> starting from the mass balance the liquid phase (Eq. 4)</w:t>
      </w:r>
      <w:r>
        <w:rPr>
          <w:lang w:val="en-GB"/>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3"/>
        <w:gridCol w:w="674"/>
      </w:tblGrid>
      <w:tr w:rsidR="00183294" w:rsidRPr="00183294" w14:paraId="534A5BE3" w14:textId="77777777" w:rsidTr="00B32F50">
        <w:tc>
          <w:tcPr>
            <w:tcW w:w="8113" w:type="dxa"/>
            <w:vAlign w:val="center"/>
          </w:tcPr>
          <w:p w14:paraId="50C4BB7D" w14:textId="074DF650" w:rsidR="00183294" w:rsidRPr="00183294" w:rsidRDefault="00000000" w:rsidP="00A373A2">
            <w:pPr>
              <w:pStyle w:val="CETBodytext"/>
              <w:rPr>
                <w:lang w:val="en-GB"/>
              </w:rPr>
            </w:pPr>
            <m:oMathPara>
              <m:oMath>
                <m:f>
                  <m:fPr>
                    <m:ctrlPr>
                      <w:rPr>
                        <w:rFonts w:ascii="Cambria Math" w:hAnsi="Cambria Math"/>
                        <w:i/>
                        <w:lang w:val="en-GB"/>
                      </w:rPr>
                    </m:ctrlPr>
                  </m:fPr>
                  <m:num>
                    <m:r>
                      <w:rPr>
                        <w:rFonts w:ascii="Cambria Math" w:hAnsi="Cambria Math"/>
                        <w:lang w:val="en-GB"/>
                      </w:rPr>
                      <m:t>d</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L</m:t>
                        </m:r>
                      </m:sup>
                    </m:sSup>
                  </m:num>
                  <m:den>
                    <m:r>
                      <w:rPr>
                        <w:rFonts w:ascii="Cambria Math" w:hAnsi="Cambria Math"/>
                        <w:lang w:val="en-GB"/>
                      </w:rPr>
                      <m:t>dt</m:t>
                    </m:r>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L</m:t>
                    </m:r>
                  </m:sub>
                </m:sSub>
                <m:r>
                  <w:rPr>
                    <w:rFonts w:ascii="Cambria Math" w:hAnsi="Cambria Math"/>
                    <w:lang w:val="en-GB"/>
                  </w:rPr>
                  <m:t>a</m:t>
                </m:r>
                <m:d>
                  <m:dPr>
                    <m:ctrlPr>
                      <w:rPr>
                        <w:rFonts w:ascii="Cambria Math" w:hAnsi="Cambria Math"/>
                        <w:i/>
                        <w:lang w:val="en-GB"/>
                      </w:rPr>
                    </m:ctrlPr>
                  </m:dPr>
                  <m:e>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L</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L,i</m:t>
                        </m:r>
                      </m:sup>
                    </m:sSup>
                  </m:e>
                </m:d>
              </m:oMath>
            </m:oMathPara>
          </w:p>
        </w:tc>
        <w:tc>
          <w:tcPr>
            <w:tcW w:w="674" w:type="dxa"/>
            <w:vAlign w:val="center"/>
          </w:tcPr>
          <w:p w14:paraId="265984DA" w14:textId="77777777" w:rsidR="00183294" w:rsidRPr="00183294" w:rsidRDefault="00183294" w:rsidP="00183294">
            <w:pPr>
              <w:pStyle w:val="CETBodytext"/>
              <w:rPr>
                <w:lang w:val="en-GB"/>
              </w:rPr>
            </w:pPr>
            <w:r w:rsidRPr="00183294">
              <w:rPr>
                <w:lang w:val="en-GB"/>
              </w:rPr>
              <w:t>(4)</w:t>
            </w:r>
          </w:p>
        </w:tc>
      </w:tr>
    </w:tbl>
    <w:p w14:paraId="66B3F23F" w14:textId="0FE81F46" w:rsidR="00183294" w:rsidRPr="00183294" w:rsidRDefault="00183294" w:rsidP="00183294">
      <w:pPr>
        <w:pStyle w:val="CETBodytext"/>
        <w:rPr>
          <w:lang w:val="en-GB"/>
        </w:rPr>
      </w:pPr>
      <w:r>
        <w:rPr>
          <w:lang w:val="en-GB"/>
        </w:rPr>
        <w:t>Here</w:t>
      </w:r>
      <w:r w:rsidRPr="00183294">
        <w:rPr>
          <w:lang w:val="en-GB"/>
        </w:rPr>
        <w:t xml:space="preserve">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L</m:t>
            </m:r>
          </m:sup>
        </m:sSup>
      </m:oMath>
      <w:r w:rsidRPr="00183294">
        <w:rPr>
          <w:lang w:val="en-GB"/>
        </w:rPr>
        <w:t xml:space="preserve"> (mg/L) is the concentration of </w:t>
      </w:r>
      <w:r w:rsidR="00A373A2">
        <w:rPr>
          <w:lang w:val="en-GB"/>
        </w:rPr>
        <w:t>RB</w:t>
      </w:r>
      <w:r w:rsidRPr="00183294">
        <w:rPr>
          <w:lang w:val="en-GB"/>
        </w:rPr>
        <w:t xml:space="preserve"> in the liquid solution,</w:t>
      </w:r>
      <m:oMath>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L,i</m:t>
            </m:r>
          </m:sup>
        </m:sSup>
      </m:oMath>
      <w:r w:rsidRPr="00183294">
        <w:rPr>
          <w:lang w:val="en-GB"/>
        </w:rPr>
        <w:t xml:space="preserve"> (mg/L) is the </w:t>
      </w:r>
      <w:r w:rsidR="00A373A2">
        <w:rPr>
          <w:lang w:val="en-GB"/>
        </w:rPr>
        <w:t xml:space="preserve">liquid </w:t>
      </w:r>
      <w:r w:rsidRPr="00183294">
        <w:rPr>
          <w:lang w:val="en-GB"/>
        </w:rPr>
        <w:t xml:space="preserve">concentration of </w:t>
      </w:r>
      <w:r w:rsidR="00A373A2">
        <w:rPr>
          <w:lang w:val="en-GB"/>
        </w:rPr>
        <w:t>R</w:t>
      </w:r>
      <w:r w:rsidRPr="00183294">
        <w:rPr>
          <w:lang w:val="en-GB"/>
        </w:rPr>
        <w:t xml:space="preserve">B at the solid-liquid interface,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L</m:t>
            </m:r>
          </m:sub>
        </m:sSub>
      </m:oMath>
      <w:r w:rsidRPr="00183294">
        <w:rPr>
          <w:lang w:val="en-GB"/>
        </w:rPr>
        <w:t xml:space="preserve"> (cm/s) is the liquid mass transfer coefficient and </w:t>
      </w:r>
      <m:oMath>
        <m:r>
          <w:rPr>
            <w:rFonts w:ascii="Cambria Math" w:hAnsi="Cambria Math"/>
            <w:lang w:val="en-GB"/>
          </w:rPr>
          <m:t>a</m:t>
        </m:r>
      </m:oMath>
      <w:r w:rsidRPr="00183294">
        <w:rPr>
          <w:lang w:val="en-GB"/>
        </w:rPr>
        <w:t xml:space="preserve"> (cm</w:t>
      </w:r>
      <w:r w:rsidRPr="00183294">
        <w:rPr>
          <w:vertAlign w:val="superscript"/>
          <w:lang w:val="en-GB"/>
        </w:rPr>
        <w:t>2</w:t>
      </w:r>
      <w:r w:rsidRPr="00183294">
        <w:rPr>
          <w:lang w:val="en-GB"/>
        </w:rPr>
        <w:t>/mL) is the specific surface area of the solid particles per volume of liquid. The microscopic material balance for the sold phase within the material was expressed as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gridCol w:w="673"/>
      </w:tblGrid>
      <w:tr w:rsidR="00183294" w:rsidRPr="00183294" w14:paraId="020C7B83" w14:textId="77777777" w:rsidTr="00BA3E75">
        <w:tc>
          <w:tcPr>
            <w:tcW w:w="8926" w:type="dxa"/>
            <w:vAlign w:val="center"/>
          </w:tcPr>
          <w:p w14:paraId="20615279" w14:textId="7219891A" w:rsidR="00183294" w:rsidRPr="00183294" w:rsidRDefault="00000000" w:rsidP="00183294">
            <w:pPr>
              <w:pStyle w:val="CETBodytext"/>
              <w:rPr>
                <w:lang w:val="en-GB"/>
              </w:rPr>
            </w:pPr>
            <m:oMathPara>
              <m:oMath>
                <m:f>
                  <m:fPr>
                    <m:ctrlPr>
                      <w:rPr>
                        <w:rFonts w:ascii="Cambria Math" w:hAnsi="Cambria Math"/>
                        <w:i/>
                        <w:lang w:val="en-GB"/>
                      </w:rPr>
                    </m:ctrlPr>
                  </m:fPr>
                  <m:num>
                    <m:r>
                      <w:rPr>
                        <w:rFonts w:ascii="Cambria Math" w:hAnsi="Cambria Math"/>
                        <w:lang w:val="en-GB"/>
                      </w:rPr>
                      <m:t>∂q</m:t>
                    </m:r>
                  </m:num>
                  <m:den>
                    <m:r>
                      <w:rPr>
                        <w:rFonts w:ascii="Cambria Math" w:hAnsi="Cambria Math"/>
                        <w:lang w:val="en-GB"/>
                      </w:rPr>
                      <m:t>∂t</m:t>
                    </m:r>
                  </m:den>
                </m:f>
                <m:r>
                  <w:rPr>
                    <w:rFonts w:ascii="Cambria Math" w:hAnsi="Cambria Math"/>
                    <w:lang w:val="en-GB"/>
                  </w:rPr>
                  <m:t>=</m:t>
                </m:r>
                <m:sSub>
                  <m:sSubPr>
                    <m:ctrlPr>
                      <w:rPr>
                        <w:rFonts w:ascii="Cambria Math" w:hAnsi="Cambria Math"/>
                        <w:i/>
                        <w:lang w:val="en-GB"/>
                      </w:rPr>
                    </m:ctrlPr>
                  </m:sSubPr>
                  <m:e>
                    <m:r>
                      <m:rPr>
                        <m:scr m:val="script"/>
                      </m:rPr>
                      <w:rPr>
                        <w:rFonts w:ascii="Cambria Math" w:hAnsi="Cambria Math"/>
                        <w:lang w:val="en-GB"/>
                      </w:rPr>
                      <m:t>D</m:t>
                    </m:r>
                  </m:e>
                  <m:sub>
                    <m:r>
                      <w:rPr>
                        <w:rFonts w:ascii="Cambria Math" w:hAnsi="Cambria Math"/>
                        <w:lang w:val="en-GB"/>
                      </w:rPr>
                      <m:t>eff,RB</m:t>
                    </m:r>
                  </m:sub>
                </m:sSub>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1</m:t>
                        </m:r>
                      </m:num>
                      <m:den>
                        <m:r>
                          <w:rPr>
                            <w:rFonts w:ascii="Cambria Math" w:hAnsi="Cambria Math"/>
                            <w:lang w:val="en-GB"/>
                          </w:rPr>
                          <m:t>r</m:t>
                        </m:r>
                      </m:den>
                    </m:f>
                    <m:f>
                      <m:fPr>
                        <m:ctrlPr>
                          <w:rPr>
                            <w:rFonts w:ascii="Cambria Math" w:hAnsi="Cambria Math"/>
                            <w:i/>
                            <w:lang w:val="en-GB"/>
                          </w:rPr>
                        </m:ctrlPr>
                      </m:fPr>
                      <m:num>
                        <m:r>
                          <w:rPr>
                            <w:rFonts w:ascii="Cambria Math" w:hAnsi="Cambria Math"/>
                            <w:lang w:val="en-GB"/>
                          </w:rPr>
                          <m:t>∂q</m:t>
                        </m:r>
                      </m:num>
                      <m:den>
                        <m:r>
                          <w:rPr>
                            <w:rFonts w:ascii="Cambria Math" w:hAnsi="Cambria Math"/>
                            <w:lang w:val="en-GB"/>
                          </w:rPr>
                          <m:t>∂r</m:t>
                        </m:r>
                      </m:den>
                    </m:f>
                    <m:r>
                      <w:rPr>
                        <w:rFonts w:ascii="Cambria Math" w:hAnsi="Cambria Math"/>
                        <w:lang w:val="en-GB"/>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m:t>
                            </m:r>
                          </m:e>
                          <m:sup>
                            <m:r>
                              <w:rPr>
                                <w:rFonts w:ascii="Cambria Math" w:hAnsi="Cambria Math"/>
                                <w:lang w:val="en-GB"/>
                              </w:rPr>
                              <m:t>2</m:t>
                            </m:r>
                          </m:sup>
                        </m:sSup>
                        <m:r>
                          <w:rPr>
                            <w:rFonts w:ascii="Cambria Math" w:hAnsi="Cambria Math"/>
                            <w:lang w:val="en-GB"/>
                          </w:rPr>
                          <m:t>q</m:t>
                        </m:r>
                      </m:num>
                      <m:den>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2</m:t>
                            </m:r>
                          </m:sup>
                        </m:sSup>
                      </m:den>
                    </m:f>
                  </m:e>
                </m:d>
              </m:oMath>
            </m:oMathPara>
          </w:p>
        </w:tc>
        <w:tc>
          <w:tcPr>
            <w:tcW w:w="702" w:type="dxa"/>
            <w:vAlign w:val="center"/>
          </w:tcPr>
          <w:p w14:paraId="50A5C1E6" w14:textId="77777777" w:rsidR="00183294" w:rsidRPr="00183294" w:rsidRDefault="00183294" w:rsidP="00183294">
            <w:pPr>
              <w:pStyle w:val="CETBodytext"/>
              <w:rPr>
                <w:lang w:val="en-GB"/>
              </w:rPr>
            </w:pPr>
            <w:r w:rsidRPr="00183294">
              <w:rPr>
                <w:lang w:val="en-GB"/>
              </w:rPr>
              <w:t>(5)</w:t>
            </w:r>
          </w:p>
        </w:tc>
      </w:tr>
    </w:tbl>
    <w:p w14:paraId="740D912F" w14:textId="77777777" w:rsidR="003D01AB" w:rsidRDefault="003D01AB" w:rsidP="00183294">
      <w:pPr>
        <w:pStyle w:val="CETBodytext"/>
        <w:rPr>
          <w:lang w:val="en-GB"/>
        </w:rPr>
      </w:pPr>
    </w:p>
    <w:p w14:paraId="4DEF0D92" w14:textId="7399F309" w:rsidR="00183294" w:rsidRPr="00183294" w:rsidRDefault="00183294" w:rsidP="00183294">
      <w:pPr>
        <w:pStyle w:val="CETBodytext"/>
        <w:rPr>
          <w:lang w:val="en-GB"/>
        </w:rPr>
      </w:pPr>
      <w:r w:rsidRPr="00183294">
        <w:rPr>
          <w:lang w:val="en-GB"/>
        </w:rPr>
        <w:t xml:space="preserve">where </w:t>
      </w:r>
      <m:oMath>
        <m:r>
          <w:rPr>
            <w:rFonts w:ascii="Cambria Math" w:hAnsi="Cambria Math"/>
            <w:lang w:val="en-GB"/>
          </w:rPr>
          <m:t>q</m:t>
        </m:r>
      </m:oMath>
      <w:r w:rsidRPr="00183294">
        <w:rPr>
          <w:lang w:val="en-GB"/>
        </w:rPr>
        <w:t xml:space="preserve"> (mg/g) is the concentration of </w:t>
      </w:r>
      <w:r w:rsidR="00A373A2">
        <w:rPr>
          <w:lang w:val="en-GB"/>
        </w:rPr>
        <w:t>R</w:t>
      </w:r>
      <w:r w:rsidRPr="00183294">
        <w:rPr>
          <w:lang w:val="en-GB"/>
        </w:rPr>
        <w:t xml:space="preserve">B adsorbed per amount of solid and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eff,RB</m:t>
            </m:r>
          </m:sub>
        </m:sSub>
      </m:oMath>
      <w:r w:rsidRPr="00183294">
        <w:rPr>
          <w:lang w:val="en-GB"/>
        </w:rPr>
        <w:t xml:space="preserve"> (cm</w:t>
      </w:r>
      <w:r w:rsidRPr="00183294">
        <w:rPr>
          <w:vertAlign w:val="superscript"/>
          <w:lang w:val="en-GB"/>
        </w:rPr>
        <w:t>2</w:t>
      </w:r>
      <w:r w:rsidRPr="00183294">
        <w:rPr>
          <w:lang w:val="en-GB"/>
        </w:rPr>
        <w:t>/s) is the</w:t>
      </w:r>
      <w:r>
        <w:rPr>
          <w:lang w:val="en-GB"/>
        </w:rPr>
        <w:t xml:space="preserve"> modified</w:t>
      </w:r>
      <w:r w:rsidRPr="00183294">
        <w:rPr>
          <w:lang w:val="en-GB"/>
        </w:rPr>
        <w:t xml:space="preserve"> effective diffusion coefficient of </w:t>
      </w:r>
      <w:r w:rsidR="00A373A2">
        <w:rPr>
          <w:lang w:val="en-GB"/>
        </w:rPr>
        <w:t>R</w:t>
      </w:r>
      <w:r w:rsidRPr="00183294">
        <w:rPr>
          <w:lang w:val="en-GB"/>
        </w:rPr>
        <w:t>B. The microscopic balances described above were coupled to the following a macroscopic balance: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5"/>
        <w:gridCol w:w="672"/>
      </w:tblGrid>
      <w:tr w:rsidR="00183294" w:rsidRPr="00183294" w14:paraId="4B41BCD7" w14:textId="77777777" w:rsidTr="00BA3E75">
        <w:tc>
          <w:tcPr>
            <w:tcW w:w="8926" w:type="dxa"/>
            <w:vAlign w:val="center"/>
          </w:tcPr>
          <w:p w14:paraId="66E86963" w14:textId="72666B19" w:rsidR="00183294" w:rsidRPr="00183294" w:rsidRDefault="00000000" w:rsidP="00183294">
            <w:pPr>
              <w:pStyle w:val="CETBodytext"/>
              <w:rPr>
                <w:lang w:val="en-GB"/>
              </w:rPr>
            </w:pPr>
            <m:oMathPara>
              <m:oMath>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L</m:t>
                        </m:r>
                      </m:sub>
                    </m:sSub>
                  </m:num>
                  <m:den>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S</m:t>
                        </m:r>
                      </m:sub>
                    </m:sSub>
                  </m:den>
                </m:f>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in</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L</m:t>
                        </m:r>
                      </m:sup>
                    </m:sSup>
                  </m:e>
                </m:d>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π</m:t>
                    </m:r>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2</m:t>
                        </m:r>
                      </m:sup>
                    </m:sSup>
                  </m:den>
                </m:f>
                <m:nary>
                  <m:naryPr>
                    <m:limLoc m:val="subSup"/>
                    <m:ctrlPr>
                      <w:rPr>
                        <w:rFonts w:ascii="Cambria Math" w:hAnsi="Cambria Math"/>
                        <w:i/>
                        <w:lang w:val="en-GB"/>
                      </w:rPr>
                    </m:ctrlPr>
                  </m:naryPr>
                  <m:sub>
                    <m:r>
                      <w:rPr>
                        <w:rFonts w:ascii="Cambria Math" w:hAnsi="Cambria Math"/>
                        <w:lang w:val="en-GB"/>
                      </w:rPr>
                      <m:t>0</m:t>
                    </m:r>
                  </m:sub>
                  <m:sup>
                    <m:r>
                      <w:rPr>
                        <w:rFonts w:ascii="Cambria Math" w:hAnsi="Cambria Math"/>
                        <w:lang w:val="en-GB"/>
                      </w:rPr>
                      <m:t>R</m:t>
                    </m:r>
                  </m:sup>
                  <m:e>
                    <m:r>
                      <w:rPr>
                        <w:rFonts w:ascii="Cambria Math" w:hAnsi="Cambria Math"/>
                        <w:lang w:val="en-GB"/>
                      </w:rPr>
                      <m:t>q</m:t>
                    </m:r>
                    <m:d>
                      <m:dPr>
                        <m:ctrlPr>
                          <w:rPr>
                            <w:rFonts w:ascii="Cambria Math" w:hAnsi="Cambria Math"/>
                            <w:i/>
                            <w:lang w:val="en-GB"/>
                          </w:rPr>
                        </m:ctrlPr>
                      </m:dPr>
                      <m:e>
                        <m:r>
                          <w:rPr>
                            <w:rFonts w:ascii="Cambria Math" w:hAnsi="Cambria Math"/>
                            <w:lang w:val="en-GB"/>
                          </w:rPr>
                          <m:t>r</m:t>
                        </m:r>
                      </m:e>
                    </m:d>
                    <m:r>
                      <w:rPr>
                        <w:rFonts w:ascii="Cambria Math" w:hAnsi="Cambria Math"/>
                        <w:lang w:val="en-GB"/>
                      </w:rPr>
                      <m:t>2πrdr</m:t>
                    </m:r>
                  </m:e>
                </m:nary>
              </m:oMath>
            </m:oMathPara>
          </w:p>
        </w:tc>
        <w:tc>
          <w:tcPr>
            <w:tcW w:w="702" w:type="dxa"/>
            <w:vAlign w:val="center"/>
          </w:tcPr>
          <w:p w14:paraId="7D1FE283" w14:textId="22AF0B46" w:rsidR="00183294" w:rsidRPr="00183294" w:rsidRDefault="00451F63" w:rsidP="00183294">
            <w:pPr>
              <w:pStyle w:val="CETBodytext"/>
              <w:rPr>
                <w:lang w:val="en-GB"/>
              </w:rPr>
            </w:pPr>
            <w:r>
              <w:rPr>
                <w:lang w:val="en-GB"/>
              </w:rPr>
              <w:t>(6</w:t>
            </w:r>
            <w:r w:rsidR="00183294" w:rsidRPr="00183294">
              <w:rPr>
                <w:lang w:val="en-GB"/>
              </w:rPr>
              <w:t>)</w:t>
            </w:r>
          </w:p>
        </w:tc>
      </w:tr>
    </w:tbl>
    <w:p w14:paraId="33F66AAF" w14:textId="08099AAB" w:rsidR="00183294" w:rsidRDefault="00183294" w:rsidP="00183294">
      <w:pPr>
        <w:pStyle w:val="CETBodytext"/>
        <w:rPr>
          <w:lang w:val="en-GB"/>
        </w:rPr>
      </w:pPr>
      <w:r w:rsidRPr="00183294">
        <w:rPr>
          <w:lang w:val="en-GB"/>
        </w:rPr>
        <w:t xml:space="preserve">where </w:t>
      </w:r>
      <m:oMath>
        <m:r>
          <w:rPr>
            <w:rFonts w:ascii="Cambria Math" w:hAnsi="Cambria Math"/>
            <w:lang w:val="en-GB"/>
          </w:rPr>
          <m:t>R</m:t>
        </m:r>
      </m:oMath>
      <w:r w:rsidRPr="00183294">
        <w:rPr>
          <w:lang w:val="en-GB"/>
        </w:rPr>
        <w:t xml:space="preserve"> (cm) is the radius of the solid cylinder</w:t>
      </w:r>
      <w:r w:rsidR="00A373A2">
        <w:rPr>
          <w:lang w:val="en-GB"/>
        </w:rPr>
        <w:t xml:space="preserve"> and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in</m:t>
            </m:r>
          </m:sub>
        </m:sSub>
      </m:oMath>
      <w:r w:rsidR="00A373A2">
        <w:rPr>
          <w:lang w:val="en-GB"/>
        </w:rPr>
        <w:t xml:space="preserve"> is the concen</w:t>
      </w:r>
      <w:proofErr w:type="spellStart"/>
      <w:r w:rsidR="00A373A2">
        <w:rPr>
          <w:lang w:val="en-GB"/>
        </w:rPr>
        <w:t>tration</w:t>
      </w:r>
      <w:proofErr w:type="spellEnd"/>
      <w:r w:rsidR="00A373A2">
        <w:rPr>
          <w:lang w:val="en-GB"/>
        </w:rPr>
        <w:t xml:space="preserve"> of RB at the beginning of the </w:t>
      </w:r>
      <w:proofErr w:type="gramStart"/>
      <w:r w:rsidR="00A373A2">
        <w:rPr>
          <w:lang w:val="en-GB"/>
        </w:rPr>
        <w:t xml:space="preserve">test </w:t>
      </w:r>
      <w:r w:rsidRPr="00183294">
        <w:rPr>
          <w:lang w:val="en-GB"/>
        </w:rPr>
        <w:t>.</w:t>
      </w:r>
      <w:proofErr w:type="gramEnd"/>
      <w:r w:rsidRPr="00183294">
        <w:rPr>
          <w:lang w:val="en-GB"/>
        </w:rPr>
        <w:t xml:space="preserve"> The initial and boundary condition of the system were:</w:t>
      </w:r>
    </w:p>
    <w:p w14:paraId="32794D69" w14:textId="77777777" w:rsidR="00451F63" w:rsidRDefault="00451F63" w:rsidP="00183294">
      <w:pPr>
        <w:pStyle w:val="CETBodytext"/>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gridCol w:w="673"/>
      </w:tblGrid>
      <w:tr w:rsidR="00183294" w:rsidRPr="00183294" w14:paraId="4A8563CC" w14:textId="77777777" w:rsidTr="00183294">
        <w:tc>
          <w:tcPr>
            <w:tcW w:w="8114" w:type="dxa"/>
            <w:vAlign w:val="center"/>
          </w:tcPr>
          <w:p w14:paraId="0F67889B" w14:textId="31438471" w:rsidR="00183294" w:rsidRPr="00183294" w:rsidRDefault="00183294" w:rsidP="00183294">
            <w:pPr>
              <w:pStyle w:val="CETBodytext"/>
              <w:rPr>
                <w:lang w:val="en-GB"/>
              </w:rPr>
            </w:pPr>
            <m:oMathPara>
              <m:oMath>
                <m:r>
                  <w:rPr>
                    <w:rFonts w:ascii="Cambria Math" w:hAnsi="Cambria Math"/>
                    <w:lang w:val="en-GB"/>
                  </w:rPr>
                  <m:t xml:space="preserve">IC:  t=0  ∀r  q=0; </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L</m:t>
                    </m:r>
                  </m:sup>
                </m:sSup>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in</m:t>
                    </m:r>
                  </m:sub>
                </m:sSub>
                <m:r>
                  <w:rPr>
                    <w:rFonts w:ascii="Cambria Math" w:hAnsi="Cambria Math"/>
                    <w:lang w:val="en-GB"/>
                  </w:rPr>
                  <m:t xml:space="preserve">  </m:t>
                </m:r>
              </m:oMath>
            </m:oMathPara>
          </w:p>
        </w:tc>
        <w:tc>
          <w:tcPr>
            <w:tcW w:w="673" w:type="dxa"/>
            <w:vAlign w:val="center"/>
          </w:tcPr>
          <w:p w14:paraId="11F04B4C" w14:textId="53A8B329" w:rsidR="00183294" w:rsidRPr="00183294" w:rsidRDefault="00451F63" w:rsidP="00183294">
            <w:pPr>
              <w:pStyle w:val="CETBodytext"/>
              <w:rPr>
                <w:lang w:val="en-GB"/>
              </w:rPr>
            </w:pPr>
            <w:r>
              <w:rPr>
                <w:lang w:val="en-GB"/>
              </w:rPr>
              <w:t>(7</w:t>
            </w:r>
            <w:r w:rsidR="00183294" w:rsidRPr="00183294">
              <w:rPr>
                <w:lang w:val="en-GB"/>
              </w:rPr>
              <w:t>)</w:t>
            </w:r>
          </w:p>
        </w:tc>
      </w:tr>
      <w:tr w:rsidR="00183294" w:rsidRPr="00183294" w14:paraId="4DB86F23" w14:textId="77777777" w:rsidTr="00183294">
        <w:tc>
          <w:tcPr>
            <w:tcW w:w="8114" w:type="dxa"/>
            <w:vAlign w:val="center"/>
          </w:tcPr>
          <w:p w14:paraId="7A5263FF" w14:textId="240CEF12" w:rsidR="00183294" w:rsidRPr="00183294" w:rsidRDefault="00183294" w:rsidP="00A373A2">
            <w:pPr>
              <w:pStyle w:val="CETBodytext"/>
              <w:rPr>
                <w:lang w:val="en-GB"/>
              </w:rPr>
            </w:pPr>
            <m:oMathPara>
              <m:oMath>
                <m:r>
                  <w:rPr>
                    <w:rFonts w:ascii="Cambria Math" w:hAnsi="Cambria Math"/>
                    <w:lang w:val="en-GB"/>
                  </w:rPr>
                  <m:t xml:space="preserve">BC:  t&gt;0  r=0  </m:t>
                </m:r>
                <m:f>
                  <m:fPr>
                    <m:ctrlPr>
                      <w:rPr>
                        <w:rFonts w:ascii="Cambria Math" w:hAnsi="Cambria Math"/>
                        <w:i/>
                        <w:lang w:val="en-GB"/>
                      </w:rPr>
                    </m:ctrlPr>
                  </m:fPr>
                  <m:num>
                    <m:r>
                      <w:rPr>
                        <w:rFonts w:ascii="Cambria Math" w:hAnsi="Cambria Math"/>
                        <w:lang w:val="en-GB"/>
                      </w:rPr>
                      <m:t>∂q</m:t>
                    </m:r>
                  </m:num>
                  <m:den>
                    <m:r>
                      <w:rPr>
                        <w:rFonts w:ascii="Cambria Math" w:hAnsi="Cambria Math"/>
                        <w:lang w:val="en-GB"/>
                      </w:rPr>
                      <m:t>∂r</m:t>
                    </m:r>
                  </m:den>
                </m:f>
                <m:r>
                  <w:rPr>
                    <w:rFonts w:ascii="Cambria Math" w:hAnsi="Cambria Math"/>
                    <w:lang w:val="en-GB"/>
                  </w:rPr>
                  <m:t>=0;  r=R  q=</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max</m:t>
                    </m:r>
                  </m:sub>
                </m:sSub>
                <m:f>
                  <m:fPr>
                    <m:ctrlPr>
                      <w:rPr>
                        <w:rFonts w:ascii="Cambria Math" w:hAnsi="Cambria Math"/>
                        <w:i/>
                        <w:lang w:val="en-GB"/>
                      </w:rPr>
                    </m:ctrlPr>
                  </m:fPr>
                  <m:num>
                    <m:r>
                      <w:rPr>
                        <w:rFonts w:ascii="Cambria Math" w:hAnsi="Cambria Math"/>
                        <w:lang w:val="en-GB"/>
                      </w:rPr>
                      <m:t>b</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L,i</m:t>
                        </m:r>
                      </m:sup>
                    </m:sSup>
                  </m:num>
                  <m:den>
                    <m:r>
                      <w:rPr>
                        <w:rFonts w:ascii="Cambria Math" w:hAnsi="Cambria Math"/>
                        <w:lang w:val="en-GB"/>
                      </w:rPr>
                      <m:t>1+b</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L,i</m:t>
                        </m:r>
                      </m:sup>
                    </m:sSup>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max</m:t>
                    </m:r>
                  </m:sub>
                </m:sSub>
                <m:r>
                  <w:rPr>
                    <w:rFonts w:ascii="Cambria Math" w:hAnsi="Cambria Math"/>
                    <w:lang w:val="en-GB"/>
                  </w:rPr>
                  <m:t xml:space="preserve"> b</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L,i</m:t>
                    </m:r>
                  </m:sup>
                </m:sSup>
              </m:oMath>
            </m:oMathPara>
          </w:p>
        </w:tc>
        <w:tc>
          <w:tcPr>
            <w:tcW w:w="673" w:type="dxa"/>
            <w:vAlign w:val="center"/>
          </w:tcPr>
          <w:p w14:paraId="45D31423" w14:textId="0B842D4A" w:rsidR="00183294" w:rsidRPr="00183294" w:rsidRDefault="00183294" w:rsidP="00451F63">
            <w:pPr>
              <w:pStyle w:val="CETBodytext"/>
              <w:rPr>
                <w:lang w:val="en-GB"/>
              </w:rPr>
            </w:pPr>
            <w:r w:rsidRPr="00183294">
              <w:rPr>
                <w:lang w:val="en-GB"/>
              </w:rPr>
              <w:t>(</w:t>
            </w:r>
            <w:r w:rsidR="00451F63">
              <w:rPr>
                <w:lang w:val="en-GB"/>
              </w:rPr>
              <w:t>8</w:t>
            </w:r>
            <w:r w:rsidRPr="00183294">
              <w:rPr>
                <w:lang w:val="en-GB"/>
              </w:rPr>
              <w:t>)</w:t>
            </w:r>
          </w:p>
        </w:tc>
      </w:tr>
    </w:tbl>
    <w:p w14:paraId="5253A78A" w14:textId="77777777" w:rsidR="00451F63" w:rsidRDefault="00451F63" w:rsidP="00DC4795">
      <w:pPr>
        <w:pStyle w:val="CETBodytext"/>
        <w:rPr>
          <w:lang w:val="en-GB"/>
        </w:rPr>
      </w:pPr>
    </w:p>
    <w:p w14:paraId="195C348C" w14:textId="729B7E92" w:rsidR="00A22228" w:rsidRPr="00183294" w:rsidRDefault="00DC4795" w:rsidP="00DC4795">
      <w:pPr>
        <w:pStyle w:val="CETBodytext"/>
        <w:rPr>
          <w:lang w:val="en-GB"/>
        </w:rPr>
      </w:pPr>
      <w:r>
        <w:rPr>
          <w:lang w:val="en-GB"/>
        </w:rPr>
        <w:t xml:space="preserve">The values of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L</m:t>
            </m:r>
          </m:sub>
        </m:sSub>
        <m:r>
          <w:rPr>
            <w:rFonts w:ascii="Cambria Math" w:hAnsi="Cambria Math"/>
            <w:lang w:val="en-GB"/>
          </w:rPr>
          <m:t>a</m:t>
        </m:r>
      </m:oMath>
      <w:r w:rsidRPr="00183294">
        <w:rPr>
          <w:lang w:val="en-GB"/>
        </w:rPr>
        <w:t xml:space="preserve"> </w:t>
      </w:r>
      <w:proofErr w:type="gramStart"/>
      <w:r w:rsidRPr="00183294">
        <w:rPr>
          <w:lang w:val="en-GB"/>
        </w:rPr>
        <w:t>a and</w:t>
      </w:r>
      <w:proofErr w:type="gramEnd"/>
      <w:r w:rsidRPr="00183294">
        <w:rPr>
          <w:lang w:val="en-GB"/>
        </w:rPr>
        <w:t xml:space="preserve">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eff,RB</m:t>
            </m:r>
          </m:sub>
        </m:sSub>
      </m:oMath>
      <w:r>
        <w:rPr>
          <w:lang w:val="en-GB"/>
        </w:rPr>
        <w:t xml:space="preserve"> were used as adjustable parameters in order to fit the </w:t>
      </w:r>
      <w:r w:rsidRPr="00183294">
        <w:rPr>
          <w:lang w:val="en-GB"/>
        </w:rPr>
        <w:t>kinetic experimental data</w:t>
      </w:r>
      <w:r>
        <w:rPr>
          <w:lang w:val="en-GB"/>
        </w:rPr>
        <w:t xml:space="preserve"> by means of the </w:t>
      </w:r>
      <w:r w:rsidRPr="00183294">
        <w:rPr>
          <w:lang w:val="en-GB"/>
        </w:rPr>
        <w:t>maximum likelihood method</w:t>
      </w:r>
      <w:r>
        <w:rPr>
          <w:lang w:val="en-GB"/>
        </w:rPr>
        <w:t xml:space="preserve">. The latter was implemented considering a constant </w:t>
      </w:r>
      <w:r w:rsidR="00183294" w:rsidRPr="00183294">
        <w:rPr>
          <w:lang w:val="en-GB"/>
        </w:rPr>
        <w:t xml:space="preserve">error </w:t>
      </w:r>
      <w:r>
        <w:rPr>
          <w:lang w:val="en-GB"/>
        </w:rPr>
        <w:t xml:space="preserve">variance. Furthermore, </w:t>
      </w:r>
      <w:r w:rsidR="002D2E97">
        <w:rPr>
          <w:lang w:val="en-GB"/>
        </w:rPr>
        <w:t xml:space="preserve">for the simulations </w:t>
      </w:r>
      <w:r>
        <w:rPr>
          <w:lang w:val="en-GB"/>
        </w:rPr>
        <w:t xml:space="preserve">the value of the roots diameter was set at </w:t>
      </w:r>
      <w:r w:rsidRPr="00183294">
        <w:rPr>
          <w:lang w:val="en-GB"/>
        </w:rPr>
        <w:t>216 µm according to</w:t>
      </w:r>
      <w:r w:rsidR="002D2E97">
        <w:rPr>
          <w:lang w:val="en-GB"/>
        </w:rPr>
        <w:t xml:space="preserve"> previous works</w:t>
      </w:r>
      <w:r>
        <w:rPr>
          <w:lang w:val="en-GB"/>
        </w:rPr>
        <w:t xml:space="preserve"> </w:t>
      </w:r>
      <w:r w:rsidR="002D2E97">
        <w:rPr>
          <w:lang w:val="en-GB"/>
        </w:rPr>
        <w:fldChar w:fldCharType="begin" w:fldLock="1"/>
      </w:r>
      <w:r w:rsidR="00DF18B9">
        <w:rPr>
          <w:lang w:val="en-GB"/>
        </w:rPr>
        <w:instrText>ADDIN CSL_CITATION {"citationItems":[{"id":"ITEM-1","itemData":{"DOI":"10.1016/j.cherd.2022.07.025","author":[{"dropping-particle":"","family":"Mazzeo","given":"Leone","non-dropping-particle":"","parse-names":false,"suffix":""},{"dropping-particle":"","family":"Marzi","given":"Davide","non-dropping-particle":"","parse-names":false,"suffix":""},{"dropping-particle":"","family":"Irene","given":"Bavasso","non-dropping-particle":"","parse-names":false,"suffix":""},{"dropping-particle":"","family":"Bracciale","given":"Maria Paola","non-dropping-particle":"","parse-names":false,"suffix":""},{"dropping-particle":"","family":"Piemonte","given":"Vincenzo","non-dropping-particle":"","parse-names":false,"suffix":""},{"dropping-particle":"","family":"Palma","given":"Luca","non-dropping-particle":"Di","parse-names":false,"suffix":""}],"container-title":"Chemical Engineering Research and Design","id":"ITEM-1","issued":{"date-parts":[["2022"]]},"publisher":"Elsevier","title":"Characterization of waste roots from the As hyperaccumulator Pteris vittata as low-cost adsorbent for Methylene Blue removal","type":"article-journal"},"uris":["http://www.mendeley.com/documents/?uuid=2ac4d256-e501-4825-8d31-a1678b14e371"]}],"mendeley":{"formattedCitation":"(Mazzeo et al., 2022b)","plainTextFormattedCitation":"(Mazzeo et al., 2022b)","previouslyFormattedCitation":"(Mazzeo et al., 2022b)"},"properties":{"noteIndex":0},"schema":"https://github.com/citation-style-language/schema/raw/master/csl-citation.json"}</w:instrText>
      </w:r>
      <w:r w:rsidR="002D2E97">
        <w:rPr>
          <w:lang w:val="en-GB"/>
        </w:rPr>
        <w:fldChar w:fldCharType="separate"/>
      </w:r>
      <w:r w:rsidR="00861A52" w:rsidRPr="00861A52">
        <w:rPr>
          <w:noProof/>
          <w:lang w:val="en-GB"/>
        </w:rPr>
        <w:t>(Mazzeo et al., 2022b)</w:t>
      </w:r>
      <w:r w:rsidR="002D2E97">
        <w:rPr>
          <w:lang w:val="en-GB"/>
        </w:rPr>
        <w:fldChar w:fldCharType="end"/>
      </w:r>
      <w:r w:rsidR="002D2E97">
        <w:rPr>
          <w:lang w:val="en-GB"/>
        </w:rPr>
        <w:t>.</w:t>
      </w:r>
    </w:p>
    <w:p w14:paraId="456EC94E" w14:textId="4F4F4EFA" w:rsidR="005B5046" w:rsidRDefault="005B5046" w:rsidP="00FB047B">
      <w:pPr>
        <w:pStyle w:val="CETBodytext"/>
      </w:pPr>
      <w:r>
        <w:t xml:space="preserve">The results of the kinetic fitting are </w:t>
      </w:r>
      <w:r w:rsidR="000C60DF">
        <w:t>given</w:t>
      </w:r>
      <w:r>
        <w:t xml:space="preserve"> in Figure 2. </w:t>
      </w:r>
      <w:proofErr w:type="gramStart"/>
      <w:r>
        <w:t>In particular, Figure</w:t>
      </w:r>
      <w:proofErr w:type="gramEnd"/>
      <w:r>
        <w:t xml:space="preserve"> 2 a) de</w:t>
      </w:r>
      <w:r w:rsidR="00FB047B">
        <w:t xml:space="preserve">picts the kinetic of RB uptake </w:t>
      </w:r>
      <w:r>
        <w:t>for different solid dosages in terms of the ratio between the concentration of RB in the liquid solution at a certain time and the initial one</w:t>
      </w:r>
      <w:r w:rsidR="00FB047B">
        <w:t xml:space="preserve">. On the other hand, Figure 2 b) reports the values estimated values of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L</m:t>
            </m:r>
          </m:sub>
        </m:sSub>
        <m:r>
          <w:rPr>
            <w:rFonts w:ascii="Cambria Math" w:hAnsi="Cambria Math"/>
            <w:lang w:val="en-GB"/>
          </w:rPr>
          <m:t>a</m:t>
        </m:r>
      </m:oMath>
      <w:r w:rsidR="00FB047B">
        <w:rPr>
          <w:lang w:val="en-GB"/>
        </w:rPr>
        <w:t xml:space="preserve"> versus the corresponding solid </w:t>
      </w:r>
      <w:proofErr w:type="gramStart"/>
      <w:r w:rsidR="00FB047B">
        <w:rPr>
          <w:lang w:val="en-GB"/>
        </w:rPr>
        <w:t>dosage</w:t>
      </w:r>
      <w:proofErr w:type="gramEnd"/>
      <w:r w:rsidR="00E67B51">
        <w:rPr>
          <w:lang w:val="en-GB"/>
        </w:rPr>
        <w:t xml:space="preserve"> </w:t>
      </w:r>
    </w:p>
    <w:p w14:paraId="419E0DF1" w14:textId="2279583E" w:rsidR="009E35C1" w:rsidRDefault="00A22228" w:rsidP="009C7858">
      <w:pPr>
        <w:pStyle w:val="CETBodytext"/>
      </w:pPr>
      <w:r>
        <w:rPr>
          <w:noProof/>
        </w:rPr>
        <w:drawing>
          <wp:inline distT="0" distB="0" distL="0" distR="0" wp14:anchorId="56CB2F30" wp14:editId="31D52B27">
            <wp:extent cx="2734147" cy="2401897"/>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7" cy="2418219"/>
                    </a:xfrm>
                    <a:prstGeom prst="rect">
                      <a:avLst/>
                    </a:prstGeom>
                    <a:noFill/>
                  </pic:spPr>
                </pic:pic>
              </a:graphicData>
            </a:graphic>
          </wp:inline>
        </w:drawing>
      </w:r>
      <w:r w:rsidR="00816906">
        <w:rPr>
          <w:noProof/>
        </w:rPr>
        <w:drawing>
          <wp:inline distT="0" distB="0" distL="0" distR="0" wp14:anchorId="4DCB225F" wp14:editId="7C571357">
            <wp:extent cx="2733354" cy="24012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354" cy="2401200"/>
                    </a:xfrm>
                    <a:prstGeom prst="rect">
                      <a:avLst/>
                    </a:prstGeom>
                    <a:noFill/>
                  </pic:spPr>
                </pic:pic>
              </a:graphicData>
            </a:graphic>
          </wp:inline>
        </w:drawing>
      </w:r>
    </w:p>
    <w:p w14:paraId="3A7D670C" w14:textId="29591132" w:rsidR="003D01AB" w:rsidRPr="003B0F16" w:rsidRDefault="00160DA2" w:rsidP="003B0F16">
      <w:pPr>
        <w:pStyle w:val="CETBodytext"/>
        <w:rPr>
          <w:lang w:val="en-GB"/>
        </w:rPr>
      </w:pPr>
      <w:r>
        <w:rPr>
          <w:lang w:val="en-GB"/>
        </w:rPr>
        <w:t>Figure 2</w:t>
      </w:r>
      <w:r w:rsidR="003D01AB" w:rsidRPr="003D01AB">
        <w:rPr>
          <w:lang w:val="en-GB"/>
        </w:rPr>
        <w:t xml:space="preserve">: </w:t>
      </w:r>
      <w:r w:rsidR="003B0F16">
        <w:rPr>
          <w:lang w:val="en-GB"/>
        </w:rPr>
        <w:t xml:space="preserve">Kinetic data of the RB uptake (initial concentration 5.5 mg/L) at 25°C for different solid dosages (a);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L</m:t>
            </m:r>
          </m:sub>
        </m:sSub>
        <m:r>
          <w:rPr>
            <w:rFonts w:ascii="Cambria Math" w:hAnsi="Cambria Math"/>
            <w:lang w:val="en-GB"/>
          </w:rPr>
          <m:t>a</m:t>
        </m:r>
      </m:oMath>
      <w:r w:rsidR="003B0F16">
        <w:rPr>
          <w:lang w:val="en-GB"/>
        </w:rPr>
        <w:t xml:space="preserve"> versus the solid dosage together with the linear expression obtained by linear fitting and its corresponding R</w:t>
      </w:r>
      <w:r w:rsidR="003B0F16">
        <w:rPr>
          <w:vertAlign w:val="superscript"/>
          <w:lang w:val="en-GB"/>
        </w:rPr>
        <w:t>2</w:t>
      </w:r>
      <w:r w:rsidR="003B0F16">
        <w:rPr>
          <w:lang w:val="en-GB"/>
        </w:rPr>
        <w:t>.</w:t>
      </w:r>
    </w:p>
    <w:p w14:paraId="274C68FF" w14:textId="3964B6AF" w:rsidR="009E35C1" w:rsidRPr="003D01AB" w:rsidRDefault="009E35C1" w:rsidP="009C7858">
      <w:pPr>
        <w:pStyle w:val="CETBodytext"/>
        <w:rPr>
          <w:lang w:val="en-GB"/>
        </w:rPr>
      </w:pPr>
    </w:p>
    <w:p w14:paraId="3095B6B2" w14:textId="01AB4BE8" w:rsidR="00797C19" w:rsidRDefault="00797C19" w:rsidP="00797C19">
      <w:pPr>
        <w:pStyle w:val="CETBodytext"/>
      </w:pPr>
      <w:r>
        <w:rPr>
          <w:lang w:val="en-GB"/>
        </w:rPr>
        <w:t xml:space="preserve">According to Figure 2 a), it is noticeable that the kinetic model well represents the dynamic behaviour of the system. In Figure 2 b), a linear dependence of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L</m:t>
            </m:r>
          </m:sub>
        </m:sSub>
        <m:r>
          <w:rPr>
            <w:rFonts w:ascii="Cambria Math" w:hAnsi="Cambria Math"/>
            <w:lang w:val="en-GB"/>
          </w:rPr>
          <m:t>a</m:t>
        </m:r>
      </m:oMath>
      <w:r>
        <w:rPr>
          <w:lang w:val="en-GB"/>
        </w:rPr>
        <w:t xml:space="preserve"> versus the solid dosage was observed. The latter result was expected considering </w:t>
      </w:r>
      <w:proofErr w:type="gramStart"/>
      <w:r>
        <w:rPr>
          <w:lang w:val="en-GB"/>
        </w:rPr>
        <w:t>that</w:t>
      </w:r>
      <w:proofErr w:type="gramEnd"/>
      <w:r>
        <w:rPr>
          <w:lang w:val="en-GB"/>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2"/>
        <w:gridCol w:w="685"/>
      </w:tblGrid>
      <w:tr w:rsidR="00797C19" w:rsidRPr="00183294" w14:paraId="4DC4BE48" w14:textId="77777777" w:rsidTr="00797C19">
        <w:tc>
          <w:tcPr>
            <w:tcW w:w="8102" w:type="dxa"/>
            <w:vAlign w:val="center"/>
          </w:tcPr>
          <w:p w14:paraId="75EB135F" w14:textId="1CB907E3" w:rsidR="00797C19" w:rsidRPr="00183294" w:rsidRDefault="00000000" w:rsidP="00BA3E75">
            <w:pPr>
              <w:pStyle w:val="CETBodytext"/>
              <w:rPr>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L</m:t>
                    </m:r>
                  </m:sub>
                </m:sSub>
                <m:r>
                  <w:rPr>
                    <w:rFonts w:ascii="Cambria Math" w:hAnsi="Cambria Math"/>
                    <w:lang w:val="en-GB"/>
                  </w:rPr>
                  <m:t>a</m:t>
                </m:r>
                <m:r>
                  <m:rPr>
                    <m:sty m:val="p"/>
                  </m:rPr>
                  <w:rPr>
                    <w:rFonts w:ascii="Cambria Math" w:eastAsiaTheme="minorEastAsia" w:hAnsi="Cambria Math"/>
                    <w:lang w:val="en-GB"/>
                  </w:rPr>
                  <m:t xml:space="preserve"> </m:t>
                </m:r>
                <m:r>
                  <w:rPr>
                    <w:rFonts w:ascii="Cambria Math" w:eastAsiaTheme="minorEastAsia"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L</m:t>
                    </m:r>
                  </m:sub>
                </m:sSub>
                <m:f>
                  <m:fPr>
                    <m:ctrlPr>
                      <w:rPr>
                        <w:rFonts w:ascii="Cambria Math" w:hAnsi="Cambria Math"/>
                        <w:i/>
                        <w:lang w:val="en-GB"/>
                      </w:rPr>
                    </m:ctrlPr>
                  </m:fPr>
                  <m:num>
                    <m:r>
                      <w:rPr>
                        <w:rFonts w:ascii="Cambria Math" w:hAnsi="Cambria Math"/>
                        <w:lang w:val="en-GB"/>
                      </w:rPr>
                      <m:t>2</m:t>
                    </m:r>
                  </m:num>
                  <m:den>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s</m:t>
                        </m:r>
                      </m:sub>
                    </m:sSub>
                    <m:r>
                      <w:rPr>
                        <w:rFonts w:ascii="Cambria Math" w:hAnsi="Cambria Math"/>
                        <w:lang w:val="en-GB"/>
                      </w:rPr>
                      <m:t>R</m:t>
                    </m:r>
                  </m:den>
                </m:f>
                <m:r>
                  <w:rPr>
                    <w:rFonts w:ascii="Cambria Math" w:hAnsi="Cambria Math"/>
                    <w:lang w:val="en-GB"/>
                  </w:rPr>
                  <m:t>d</m:t>
                </m:r>
              </m:oMath>
            </m:oMathPara>
          </w:p>
        </w:tc>
        <w:tc>
          <w:tcPr>
            <w:tcW w:w="685" w:type="dxa"/>
            <w:vAlign w:val="center"/>
          </w:tcPr>
          <w:p w14:paraId="56531E78" w14:textId="29E6B9D6" w:rsidR="00797C19" w:rsidRPr="00183294" w:rsidRDefault="00451F63" w:rsidP="00BA3E75">
            <w:pPr>
              <w:pStyle w:val="CETBodytext"/>
              <w:rPr>
                <w:lang w:val="en-GB"/>
              </w:rPr>
            </w:pPr>
            <w:r>
              <w:rPr>
                <w:lang w:val="en-GB"/>
              </w:rPr>
              <w:t>(9</w:t>
            </w:r>
            <w:r w:rsidR="00797C19" w:rsidRPr="00183294">
              <w:rPr>
                <w:lang w:val="en-GB"/>
              </w:rPr>
              <w:t>)</w:t>
            </w:r>
          </w:p>
        </w:tc>
      </w:tr>
    </w:tbl>
    <w:p w14:paraId="6C620809" w14:textId="1937C976" w:rsidR="0096389F" w:rsidRPr="0096389F" w:rsidRDefault="00797C19" w:rsidP="00CE4EA8">
      <w:pPr>
        <w:pStyle w:val="CETBodytext"/>
        <w:rPr>
          <w:rFonts w:eastAsiaTheme="minorEastAsia"/>
          <w:lang w:val="tr-TR"/>
        </w:rPr>
      </w:pPr>
      <w:r w:rsidRPr="0077350E">
        <w:rPr>
          <w:rFonts w:eastAsiaTheme="minorEastAsia"/>
          <w:lang w:val="en-GB"/>
        </w:rPr>
        <w:t xml:space="preserve">where </w:t>
      </w:r>
      <m:oMath>
        <m:r>
          <w:rPr>
            <w:rFonts w:ascii="Cambria Math" w:hAnsi="Cambria Math"/>
            <w:lang w:val="en-GB"/>
          </w:rPr>
          <m:t>d</m:t>
        </m:r>
      </m:oMath>
      <w:r w:rsidRPr="0077350E">
        <w:rPr>
          <w:rFonts w:eastAsiaTheme="minorEastAsia"/>
          <w:lang w:val="en-GB"/>
        </w:rPr>
        <w:t xml:space="preserve"> (g/L) </w:t>
      </w:r>
      <w:r w:rsidRPr="00797C19">
        <w:rPr>
          <w:lang w:val="en-GB"/>
        </w:rPr>
        <w:t>is the solid dosage</w:t>
      </w:r>
      <w:r>
        <w:rPr>
          <w:rFonts w:eastAsiaTheme="minorEastAsia"/>
          <w:lang w:val="en-GB"/>
        </w:rPr>
        <w:t xml:space="preserve"> and </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s</m:t>
            </m:r>
          </m:sub>
        </m:sSub>
      </m:oMath>
      <w:r>
        <w:rPr>
          <w:rFonts w:eastAsiaTheme="minorEastAsia"/>
          <w:lang w:val="en-GB"/>
        </w:rPr>
        <w:t xml:space="preserve"> is the apparent density of the solid. The value of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L</m:t>
            </m:r>
          </m:sub>
        </m:sSub>
        <m:f>
          <m:fPr>
            <m:ctrlPr>
              <w:rPr>
                <w:rFonts w:ascii="Cambria Math" w:hAnsi="Cambria Math"/>
                <w:i/>
                <w:lang w:val="en-GB"/>
              </w:rPr>
            </m:ctrlPr>
          </m:fPr>
          <m:num>
            <m:r>
              <w:rPr>
                <w:rFonts w:ascii="Cambria Math" w:hAnsi="Cambria Math"/>
                <w:lang w:val="en-GB"/>
              </w:rPr>
              <m:t>2</m:t>
            </m:r>
          </m:num>
          <m:den>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s</m:t>
                </m:r>
              </m:sub>
            </m:sSub>
            <m:r>
              <w:rPr>
                <w:rFonts w:ascii="Cambria Math" w:hAnsi="Cambria Math"/>
                <w:lang w:val="en-GB"/>
              </w:rPr>
              <m:t>R</m:t>
            </m:r>
          </m:den>
        </m:f>
      </m:oMath>
      <w:r>
        <w:rPr>
          <w:rFonts w:eastAsiaTheme="minorEastAsia"/>
          <w:lang w:val="en-GB"/>
        </w:rPr>
        <w:t xml:space="preserve"> was estimated to be 480.4 </w:t>
      </w:r>
      <w:r w:rsidRPr="0077350E">
        <w:rPr>
          <w:rFonts w:eastAsiaTheme="minorEastAsia"/>
          <w:lang w:val="en-GB"/>
        </w:rPr>
        <w:t>(L g</w:t>
      </w:r>
      <w:r w:rsidRPr="0077350E">
        <w:rPr>
          <w:rFonts w:eastAsiaTheme="minorEastAsia"/>
          <w:vertAlign w:val="superscript"/>
          <w:lang w:val="en-GB"/>
        </w:rPr>
        <w:t>-1</w:t>
      </w:r>
      <w:r w:rsidRPr="0077350E">
        <w:rPr>
          <w:rFonts w:eastAsiaTheme="minorEastAsia"/>
          <w:lang w:val="en-GB"/>
        </w:rPr>
        <w:t xml:space="preserve"> min</w:t>
      </w:r>
      <w:r w:rsidRPr="0077350E">
        <w:rPr>
          <w:rFonts w:eastAsiaTheme="minorEastAsia"/>
          <w:vertAlign w:val="superscript"/>
          <w:lang w:val="en-GB"/>
        </w:rPr>
        <w:t>-1</w:t>
      </w:r>
      <w:r w:rsidRPr="0077350E">
        <w:rPr>
          <w:rFonts w:eastAsiaTheme="minorEastAsia"/>
          <w:lang w:val="en-GB"/>
        </w:rPr>
        <w:t xml:space="preserve">) </w:t>
      </w:r>
      <w:r>
        <w:rPr>
          <w:rFonts w:eastAsiaTheme="minorEastAsia"/>
          <w:lang w:val="en-GB"/>
        </w:rPr>
        <w:t xml:space="preserve">by means of a linear regression (see Figure 2 a)). </w:t>
      </w:r>
      <w:r w:rsidR="00140BD9">
        <w:rPr>
          <w:rFonts w:eastAsiaTheme="minorEastAsia"/>
          <w:lang w:val="en-GB"/>
        </w:rPr>
        <w:t xml:space="preserve">The </w:t>
      </w:r>
      <w:r w:rsidR="00140BD9">
        <w:rPr>
          <w:lang w:val="en-GB"/>
        </w:rPr>
        <w:t>modified</w:t>
      </w:r>
      <w:r w:rsidR="00140BD9" w:rsidRPr="00183294">
        <w:rPr>
          <w:lang w:val="en-GB"/>
        </w:rPr>
        <w:t xml:space="preserve"> effective diffusion coefficient</w:t>
      </w:r>
      <w:r w:rsidR="00140BD9">
        <w:rPr>
          <w:lang w:val="en-GB"/>
        </w:rPr>
        <w:t>s</w:t>
      </w:r>
      <w:r w:rsidR="00140BD9" w:rsidRPr="00183294">
        <w:rPr>
          <w:lang w:val="en-GB"/>
        </w:rPr>
        <w:t xml:space="preserve"> of </w:t>
      </w:r>
      <w:r w:rsidR="00140BD9">
        <w:rPr>
          <w:lang w:val="en-GB"/>
        </w:rPr>
        <w:t>R</w:t>
      </w:r>
      <w:r w:rsidR="00140BD9" w:rsidRPr="00183294">
        <w:rPr>
          <w:lang w:val="en-GB"/>
        </w:rPr>
        <w:t>B</w:t>
      </w:r>
      <w:r w:rsidR="00140BD9">
        <w:rPr>
          <w:lang w:val="en-GB"/>
        </w:rPr>
        <w:t xml:space="preserve"> obtained from fi</w:t>
      </w:r>
      <w:r w:rsidR="006E5FDE">
        <w:rPr>
          <w:lang w:val="en-GB"/>
        </w:rPr>
        <w:t xml:space="preserve">tting were provided in Table 3 </w:t>
      </w:r>
      <w:r w:rsidR="006C5C23">
        <w:rPr>
          <w:lang w:val="en-GB"/>
        </w:rPr>
        <w:t xml:space="preserve">together with their average value of </w:t>
      </w:r>
      <w:r w:rsidR="006E5FDE">
        <w:rPr>
          <w:rFonts w:eastAsiaTheme="minorEastAsia"/>
        </w:rPr>
        <w:t>4.48</w:t>
      </w:r>
      <w:r w:rsidR="006E5FDE">
        <w:rPr>
          <w:rFonts w:eastAsiaTheme="minorEastAsia" w:cs="Arial"/>
        </w:rPr>
        <w:t>·</w:t>
      </w:r>
      <w:r w:rsidR="006E5FDE">
        <w:rPr>
          <w:rFonts w:eastAsiaTheme="minorEastAsia"/>
        </w:rPr>
        <w:t>10</w:t>
      </w:r>
      <w:r w:rsidR="006E5FDE" w:rsidRPr="00140BD9">
        <w:rPr>
          <w:rFonts w:eastAsiaTheme="minorEastAsia"/>
          <w:vertAlign w:val="superscript"/>
        </w:rPr>
        <w:t>-9</w:t>
      </w:r>
      <w:r w:rsidR="006E5FDE">
        <w:rPr>
          <w:rFonts w:eastAsiaTheme="minorEastAsia"/>
        </w:rPr>
        <w:t xml:space="preserve"> cm</w:t>
      </w:r>
      <w:r w:rsidR="006E5FDE">
        <w:rPr>
          <w:rFonts w:eastAsiaTheme="minorEastAsia"/>
          <w:vertAlign w:val="superscript"/>
        </w:rPr>
        <w:t>2</w:t>
      </w:r>
      <w:r w:rsidR="006E5FDE">
        <w:rPr>
          <w:rFonts w:eastAsiaTheme="minorEastAsia"/>
        </w:rPr>
        <w:t xml:space="preserve">/min. </w:t>
      </w:r>
      <w:r w:rsidR="006E5FDE" w:rsidRPr="006E5FDE">
        <w:rPr>
          <w:rFonts w:eastAsiaTheme="minorEastAsia"/>
          <w:lang w:val="en-GB"/>
        </w:rPr>
        <w:t xml:space="preserve">The </w:t>
      </w:r>
      <w:r w:rsidR="006E5FDE">
        <w:rPr>
          <w:rFonts w:eastAsiaTheme="minorEastAsia"/>
          <w:lang w:val="en-GB"/>
        </w:rPr>
        <w:t xml:space="preserve">modified </w:t>
      </w:r>
      <w:r w:rsidR="006E5FDE" w:rsidRPr="006E5FDE">
        <w:rPr>
          <w:rFonts w:eastAsiaTheme="minorEastAsia"/>
          <w:lang w:val="en-GB"/>
        </w:rPr>
        <w:t>effective diffusivity's magnitude, which is approximately 10</w:t>
      </w:r>
      <w:r w:rsidR="006E5FDE" w:rsidRPr="006E5FDE">
        <w:rPr>
          <w:rFonts w:eastAsiaTheme="minorEastAsia"/>
          <w:vertAlign w:val="superscript"/>
          <w:lang w:val="en-GB"/>
        </w:rPr>
        <w:t>-8</w:t>
      </w:r>
      <w:r w:rsidR="006E5FDE" w:rsidRPr="006E5FDE">
        <w:rPr>
          <w:rFonts w:eastAsiaTheme="minorEastAsia"/>
          <w:lang w:val="en-GB"/>
        </w:rPr>
        <w:t xml:space="preserve"> cm2/min, indicates that solid surface diffusion is the primary mechanism for intra-particle mass transfer</w:t>
      </w:r>
      <w:r w:rsidR="006E5FDE">
        <w:rPr>
          <w:rFonts w:eastAsiaTheme="minorEastAsia"/>
          <w:lang w:val="en-GB"/>
        </w:rPr>
        <w:t xml:space="preserve"> </w:t>
      </w:r>
      <w:r w:rsidR="006E5FDE" w:rsidRPr="0077350E">
        <w:rPr>
          <w:rFonts w:eastAsiaTheme="minorEastAsia"/>
          <w:lang w:val="en-GB"/>
        </w:rPr>
        <w:fldChar w:fldCharType="begin" w:fldLock="1"/>
      </w:r>
      <w:r w:rsidR="006D5A03">
        <w:rPr>
          <w:rFonts w:eastAsiaTheme="minorEastAsia"/>
          <w:lang w:val="en-GB"/>
        </w:rPr>
        <w:instrText>ADDIN CSL_CITATION {"citationItems":[{"id":"ITEM-1","itemData":{"DOI":"10.1016/b978-0-12-816446-4.09991-7","ISBN":"9780128164464","abstract":"First edition. Introduction to Adsorption: Basics, Analysis, and Applications presents adsorption basics that are relevant and essential to its application, including data analysis, interpretation and design calculations. The book deliberately keeps background information to a minimum, instead comprehensively covering adsorption of liquid solutions, the difference between equilibrium individual solute uptake and surface excess, a general discussion of adsorbate uptake mechanisms and uptake rate expression, uptake steps, performance models and their generalizations, application of performance models, and design methods based on the constant behavior assumption and unused bed length concept.","author":[{"dropping-particle":"","family":"Tien","given":"Chi","non-dropping-particle":"","parse-names":false,"suffix":""}],"id":"ITEM-1","issued":{"date-parts":[["2019"]]},"number-of-pages":"i-ii","title":"Introduction to Adsorption","type":"book"},"uris":["http://www.mendeley.com/documents/?uuid=9d395256-36eb-496c-a590-331b5b7d8f5e"]}],"mendeley":{"formattedCitation":"(Tien, 2019)","plainTextFormattedCitation":"(Tien, 2019)","previouslyFormattedCitation":"(Tien, 2019)"},"properties":{"noteIndex":0},"schema":"https://github.com/citation-style-language/schema/raw/master/csl-citation.json"}</w:instrText>
      </w:r>
      <w:r w:rsidR="006E5FDE" w:rsidRPr="0077350E">
        <w:rPr>
          <w:rFonts w:eastAsiaTheme="minorEastAsia"/>
          <w:lang w:val="en-GB"/>
        </w:rPr>
        <w:fldChar w:fldCharType="separate"/>
      </w:r>
      <w:r w:rsidR="006E5FDE" w:rsidRPr="006E5FDE">
        <w:rPr>
          <w:rFonts w:eastAsiaTheme="minorEastAsia"/>
          <w:noProof/>
          <w:lang w:val="en-GB"/>
        </w:rPr>
        <w:t>(Tien, 2019)</w:t>
      </w:r>
      <w:r w:rsidR="006E5FDE" w:rsidRPr="0077350E">
        <w:rPr>
          <w:rFonts w:eastAsiaTheme="minorEastAsia"/>
          <w:lang w:val="en-GB"/>
        </w:rPr>
        <w:fldChar w:fldCharType="end"/>
      </w:r>
      <w:r w:rsidR="006E5FDE">
        <w:rPr>
          <w:rFonts w:eastAsiaTheme="minorEastAsia"/>
          <w:lang w:val="en-GB"/>
        </w:rPr>
        <w:t xml:space="preserve">. Moreover, </w:t>
      </w:r>
      <w:r w:rsidR="00CE4EA8">
        <w:rPr>
          <w:rFonts w:eastAsiaTheme="minorEastAsia"/>
          <w:lang w:val="en-GB"/>
        </w:rPr>
        <w:t xml:space="preserve">the value of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eff,RB</m:t>
            </m:r>
          </m:sub>
        </m:sSub>
      </m:oMath>
      <w:r w:rsidR="006D5A03">
        <w:rPr>
          <w:rFonts w:eastAsiaTheme="minorEastAsia"/>
          <w:lang w:val="en-GB"/>
        </w:rPr>
        <w:t xml:space="preserve"> estimated in this work resulted </w:t>
      </w:r>
      <w:r w:rsidR="006C5C23">
        <w:rPr>
          <w:rFonts w:eastAsiaTheme="minorEastAsia"/>
          <w:lang w:val="en-GB"/>
        </w:rPr>
        <w:t>almost one order of magnitude</w:t>
      </w:r>
      <w:r w:rsidR="006D5A03">
        <w:rPr>
          <w:rFonts w:eastAsiaTheme="minorEastAsia"/>
          <w:lang w:val="en-GB"/>
        </w:rPr>
        <w:t xml:space="preserve"> lower than the one of Methylene Blu</w:t>
      </w:r>
      <w:r w:rsidR="006C5C23">
        <w:rPr>
          <w:rFonts w:eastAsiaTheme="minorEastAsia"/>
          <w:lang w:val="en-GB"/>
        </w:rPr>
        <w:t>e calculated at 20°C in the paper</w:t>
      </w:r>
      <w:r w:rsidR="006D5A03">
        <w:rPr>
          <w:rFonts w:eastAsiaTheme="minorEastAsia"/>
          <w:lang w:val="en-GB"/>
        </w:rPr>
        <w:t xml:space="preserve"> of Mazzeo et al. </w:t>
      </w:r>
      <w:r w:rsidR="006D5A03">
        <w:rPr>
          <w:rFonts w:eastAsiaTheme="minorEastAsia"/>
          <w:lang w:val="en-GB"/>
        </w:rPr>
        <w:fldChar w:fldCharType="begin" w:fldLock="1"/>
      </w:r>
      <w:r w:rsidR="00DF18B9">
        <w:rPr>
          <w:rFonts w:eastAsiaTheme="minorEastAsia"/>
          <w:lang w:val="en-GB"/>
        </w:rPr>
        <w:instrText>ADDIN CSL_CITATION {"citationItems":[{"id":"ITEM-1","itemData":{"DOI":"10.1016/j.cherd.2022.07.025","author":[{"dropping-particle":"","family":"Mazzeo","given":"Leone","non-dropping-particle":"","parse-names":false,"suffix":""},{"dropping-particle":"","family":"Marzi","given":"Davide","non-dropping-particle":"","parse-names":false,"suffix":""},{"dropping-particle":"","family":"Irene","given":"Bavasso","non-dropping-particle":"","parse-names":false,"suffix":""},{"dropping-particle":"","family":"Bracciale","given":"Maria Paola","non-dropping-particle":"","parse-names":false,"suffix":""},{"dropping-particle":"","family":"Piemonte","given":"Vincenzo","non-dropping-particle":"","parse-names":false,"suffix":""},{"dropping-particle":"","family":"Palma","given":"Luca","non-dropping-particle":"Di","parse-names":false,"suffix":""}],"container-title":"Chemical Engineering Research and Design","id":"ITEM-1","issued":{"date-parts":[["2022"]]},"publisher":"Elsevier","title":"Characterization of waste roots from the As hyperaccumulator Pteris vittata as low-cost adsorbent for Methylene Blue removal","type":"article-journal"},"uris":["http://www.mendeley.com/documents/?uuid=2ac4d256-e501-4825-8d31-a1678b14e371"]}],"mendeley":{"formattedCitation":"(Mazzeo et al., 2022b)","plainTextFormattedCitation":"(Mazzeo et al., 2022b)","previouslyFormattedCitation":"(Mazzeo et al., 2022b)"},"properties":{"noteIndex":0},"schema":"https://github.com/citation-style-language/schema/raw/master/csl-citation.json"}</w:instrText>
      </w:r>
      <w:r w:rsidR="006D5A03">
        <w:rPr>
          <w:rFonts w:eastAsiaTheme="minorEastAsia"/>
          <w:lang w:val="en-GB"/>
        </w:rPr>
        <w:fldChar w:fldCharType="separate"/>
      </w:r>
      <w:r w:rsidR="00861A52" w:rsidRPr="00861A52">
        <w:rPr>
          <w:rFonts w:eastAsiaTheme="minorEastAsia"/>
          <w:noProof/>
          <w:lang w:val="en-GB"/>
        </w:rPr>
        <w:t>(Mazzeo et al., 2022b)</w:t>
      </w:r>
      <w:r w:rsidR="006D5A03">
        <w:rPr>
          <w:rFonts w:eastAsiaTheme="minorEastAsia"/>
          <w:lang w:val="en-GB"/>
        </w:rPr>
        <w:fldChar w:fldCharType="end"/>
      </w:r>
      <w:r w:rsidR="006C5C23">
        <w:rPr>
          <w:rFonts w:eastAsiaTheme="minorEastAsia"/>
          <w:lang w:val="en-GB"/>
        </w:rPr>
        <w:t xml:space="preserve">. This result could be related </w:t>
      </w:r>
      <w:r w:rsidR="00CE4EA8">
        <w:rPr>
          <w:rFonts w:eastAsiaTheme="minorEastAsia"/>
          <w:lang w:val="en-GB"/>
        </w:rPr>
        <w:t>to the higher</w:t>
      </w:r>
      <w:r w:rsidR="00CE4EA8" w:rsidRPr="00CE4EA8">
        <w:rPr>
          <w:rFonts w:eastAsiaTheme="minorEastAsia"/>
          <w:lang w:val="tr-TR"/>
        </w:rPr>
        <w:t xml:space="preserve"> </w:t>
      </w:r>
      <w:r w:rsidR="00CE4EA8">
        <w:rPr>
          <w:rFonts w:eastAsiaTheme="minorEastAsia"/>
          <w:lang w:val="tr-TR"/>
        </w:rPr>
        <w:t>molecular weight of RB with respect to MB that directly affects</w:t>
      </w:r>
      <w:r w:rsidR="00CE4EA8">
        <w:rPr>
          <w:rFonts w:eastAsiaTheme="minorEastAsia"/>
          <w:lang w:val="en-GB"/>
        </w:rPr>
        <w:t xml:space="preserve"> </w:t>
      </w:r>
      <w:r w:rsidR="00CE4EA8" w:rsidRPr="00CE4EA8">
        <w:rPr>
          <w:rFonts w:eastAsiaTheme="minorEastAsia"/>
          <w:lang w:val="tr-TR"/>
        </w:rPr>
        <w:t>the sizes of the dyes</w:t>
      </w:r>
      <w:r w:rsidR="00CE4EA8">
        <w:rPr>
          <w:rFonts w:eastAsiaTheme="minorEastAsia"/>
          <w:lang w:val="tr-TR"/>
        </w:rPr>
        <w:t xml:space="preserve"> and therfore their mobility.</w:t>
      </w:r>
    </w:p>
    <w:p w14:paraId="66759792" w14:textId="53005599" w:rsidR="00D2682C" w:rsidRPr="00B57B36" w:rsidRDefault="00D2682C" w:rsidP="00D2682C">
      <w:pPr>
        <w:pStyle w:val="CETTabletitle"/>
        <w:jc w:val="center"/>
      </w:pPr>
      <w:r>
        <w:t>Table 3</w:t>
      </w:r>
      <w:r w:rsidRPr="00B57B36">
        <w:t xml:space="preserve">: </w:t>
      </w:r>
      <w:r>
        <w:t>Estimated values of the modified</w:t>
      </w:r>
      <w:r w:rsidRPr="00183294">
        <w:t xml:space="preserve"> effective diffusion coefficient</w:t>
      </w:r>
      <w:r>
        <w:t>s</w:t>
      </w:r>
      <w:r w:rsidRPr="00183294">
        <w:t xml:space="preserve"> of </w:t>
      </w:r>
      <w:r>
        <w:t>R</w:t>
      </w:r>
      <w:r w:rsidRPr="00183294">
        <w:t>B</w:t>
      </w:r>
      <w:r>
        <w:t xml:space="preserve"> at 25°C.</w:t>
      </w:r>
    </w:p>
    <w:tbl>
      <w:tblPr>
        <w:tblW w:w="5000"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89"/>
        <w:gridCol w:w="3149"/>
        <w:gridCol w:w="3149"/>
      </w:tblGrid>
      <w:tr w:rsidR="00AD4499" w:rsidRPr="00140BD9" w14:paraId="3DD43B2A" w14:textId="61DCC53A" w:rsidTr="00AD4499">
        <w:trPr>
          <w:jc w:val="center"/>
        </w:trPr>
        <w:tc>
          <w:tcPr>
            <w:tcW w:w="1416" w:type="pct"/>
            <w:tcBorders>
              <w:top w:val="single" w:sz="12" w:space="0" w:color="008000"/>
              <w:bottom w:val="single" w:sz="6" w:space="0" w:color="008000"/>
            </w:tcBorders>
            <w:shd w:val="clear" w:color="auto" w:fill="FFFFFF"/>
            <w:vAlign w:val="center"/>
          </w:tcPr>
          <w:p w14:paraId="315898D0" w14:textId="7141AE55" w:rsidR="00AD4499" w:rsidRPr="00140BD9" w:rsidRDefault="00AD4499" w:rsidP="00140BD9">
            <w:pPr>
              <w:pStyle w:val="CETBodytext"/>
              <w:jc w:val="center"/>
              <w:rPr>
                <w:rFonts w:eastAsiaTheme="minorEastAsia"/>
              </w:rPr>
            </w:pPr>
            <w:r>
              <w:rPr>
                <w:rFonts w:eastAsiaTheme="minorEastAsia"/>
                <w:b/>
              </w:rPr>
              <w:t>Solid dosage</w:t>
            </w:r>
            <w:r>
              <w:rPr>
                <w:rFonts w:eastAsiaTheme="minorEastAsia"/>
              </w:rPr>
              <w:t xml:space="preserve"> (g/L</w:t>
            </w:r>
            <w:r w:rsidRPr="00140BD9">
              <w:rPr>
                <w:rFonts w:eastAsiaTheme="minorEastAsia"/>
              </w:rPr>
              <w:t>)</w:t>
            </w:r>
          </w:p>
        </w:tc>
        <w:tc>
          <w:tcPr>
            <w:tcW w:w="1792" w:type="pct"/>
            <w:tcBorders>
              <w:top w:val="single" w:sz="12" w:space="0" w:color="008000"/>
              <w:bottom w:val="single" w:sz="6" w:space="0" w:color="008000"/>
            </w:tcBorders>
            <w:shd w:val="clear" w:color="auto" w:fill="FFFFFF"/>
            <w:vAlign w:val="center"/>
          </w:tcPr>
          <w:p w14:paraId="2EEB2341" w14:textId="2949C65F" w:rsidR="00AD4499" w:rsidRPr="00140BD9" w:rsidRDefault="00000000" w:rsidP="00140BD9">
            <w:pPr>
              <w:pStyle w:val="CETBodytext"/>
              <w:jc w:val="center"/>
              <w:rPr>
                <w:rFonts w:eastAsiaTheme="minorEastAsia"/>
                <w:b/>
                <w:lang w:val="it-IT"/>
              </w:rPr>
            </w:pPr>
            <m:oMath>
              <m:sSub>
                <m:sSubPr>
                  <m:ctrlPr>
                    <w:rPr>
                      <w:rFonts w:ascii="Cambria Math" w:eastAsiaTheme="minorEastAsia" w:hAnsi="Cambria Math"/>
                      <w:b/>
                      <w:i/>
                      <w:lang w:val="en-GB"/>
                    </w:rPr>
                  </m:ctrlPr>
                </m:sSubPr>
                <m:e>
                  <m:r>
                    <m:rPr>
                      <m:scr m:val="script"/>
                      <m:sty m:val="bi"/>
                    </m:rPr>
                    <w:rPr>
                      <w:rFonts w:ascii="Cambria Math" w:eastAsiaTheme="minorEastAsia" w:hAnsi="Cambria Math"/>
                      <w:lang w:val="en-GB"/>
                    </w:rPr>
                    <m:t>D</m:t>
                  </m:r>
                </m:e>
                <m:sub>
                  <m:r>
                    <m:rPr>
                      <m:sty m:val="bi"/>
                    </m:rPr>
                    <w:rPr>
                      <w:rFonts w:ascii="Cambria Math" w:eastAsiaTheme="minorEastAsia" w:hAnsi="Cambria Math"/>
                      <w:lang w:val="en-GB"/>
                    </w:rPr>
                    <m:t>eff</m:t>
                  </m:r>
                  <m:r>
                    <m:rPr>
                      <m:sty m:val="bi"/>
                    </m:rPr>
                    <w:rPr>
                      <w:rFonts w:ascii="Cambria Math" w:eastAsiaTheme="minorEastAsia" w:hAnsi="Cambria Math"/>
                      <w:lang w:val="it-IT"/>
                    </w:rPr>
                    <m:t>,</m:t>
                  </m:r>
                  <m:r>
                    <m:rPr>
                      <m:sty m:val="bi"/>
                    </m:rPr>
                    <w:rPr>
                      <w:rFonts w:ascii="Cambria Math" w:eastAsiaTheme="minorEastAsia" w:hAnsi="Cambria Math"/>
                      <w:lang w:val="en-GB"/>
                    </w:rPr>
                    <m:t>RB</m:t>
                  </m:r>
                </m:sub>
              </m:sSub>
            </m:oMath>
            <w:r w:rsidR="00AD4499" w:rsidRPr="00140BD9">
              <w:rPr>
                <w:rFonts w:eastAsiaTheme="minorEastAsia"/>
                <w:b/>
                <w:lang w:val="it-IT"/>
              </w:rPr>
              <w:t>, 25°C (cm</w:t>
            </w:r>
            <w:r w:rsidR="00AD4499" w:rsidRPr="00140BD9">
              <w:rPr>
                <w:rFonts w:eastAsiaTheme="minorEastAsia"/>
                <w:b/>
                <w:vertAlign w:val="superscript"/>
                <w:lang w:val="it-IT"/>
              </w:rPr>
              <w:t>2</w:t>
            </w:r>
            <w:r w:rsidR="00AD4499" w:rsidRPr="00140BD9">
              <w:rPr>
                <w:rFonts w:eastAsiaTheme="minorEastAsia"/>
                <w:b/>
                <w:lang w:val="it-IT"/>
              </w:rPr>
              <w:t>/min)</w:t>
            </w:r>
          </w:p>
        </w:tc>
        <w:tc>
          <w:tcPr>
            <w:tcW w:w="1792" w:type="pct"/>
            <w:tcBorders>
              <w:top w:val="single" w:sz="12" w:space="0" w:color="008000"/>
              <w:bottom w:val="single" w:sz="6" w:space="0" w:color="008000"/>
            </w:tcBorders>
            <w:shd w:val="clear" w:color="auto" w:fill="FFFFFF"/>
          </w:tcPr>
          <w:p w14:paraId="6D8722A7" w14:textId="3D00DFE1" w:rsidR="00AD4499" w:rsidRPr="00140BD9" w:rsidRDefault="00AD4499" w:rsidP="00140BD9">
            <w:pPr>
              <w:pStyle w:val="CETBodytext"/>
              <w:jc w:val="center"/>
              <w:rPr>
                <w:rFonts w:cs="Arial"/>
                <w:b/>
                <w:i/>
                <w:lang w:val="en-GB"/>
              </w:rPr>
            </w:pPr>
            <w:r>
              <w:rPr>
                <w:rFonts w:cs="Arial"/>
                <w:b/>
                <w:i/>
                <w:lang w:val="en-GB"/>
              </w:rPr>
              <w:t>Bi</w:t>
            </w:r>
          </w:p>
        </w:tc>
      </w:tr>
      <w:tr w:rsidR="00AD4499" w:rsidRPr="00140BD9" w14:paraId="513824E9" w14:textId="74493FAD" w:rsidTr="00AD4499">
        <w:trPr>
          <w:jc w:val="center"/>
        </w:trPr>
        <w:tc>
          <w:tcPr>
            <w:tcW w:w="1416" w:type="pct"/>
            <w:shd w:val="clear" w:color="auto" w:fill="FFFFFF"/>
            <w:vAlign w:val="center"/>
          </w:tcPr>
          <w:p w14:paraId="05DD157A" w14:textId="5E08936B" w:rsidR="00AD4499" w:rsidRPr="00140BD9" w:rsidRDefault="00AD4499" w:rsidP="00140BD9">
            <w:pPr>
              <w:pStyle w:val="CETBodytext"/>
              <w:jc w:val="center"/>
              <w:rPr>
                <w:rFonts w:eastAsiaTheme="minorEastAsia"/>
              </w:rPr>
            </w:pPr>
            <w:r>
              <w:rPr>
                <w:rFonts w:eastAsiaTheme="minorEastAsia"/>
              </w:rPr>
              <w:t>0.187</w:t>
            </w:r>
          </w:p>
        </w:tc>
        <w:tc>
          <w:tcPr>
            <w:tcW w:w="1792" w:type="pct"/>
            <w:shd w:val="clear" w:color="auto" w:fill="FFFFFF"/>
            <w:vAlign w:val="center"/>
          </w:tcPr>
          <w:p w14:paraId="0D8DA32B" w14:textId="7A59B412" w:rsidR="00AD4499" w:rsidRPr="00140BD9" w:rsidRDefault="00AD4499" w:rsidP="00140BD9">
            <w:pPr>
              <w:pStyle w:val="CETBodytext"/>
              <w:jc w:val="center"/>
              <w:rPr>
                <w:rFonts w:eastAsiaTheme="minorEastAsia"/>
              </w:rPr>
            </w:pPr>
            <w:r>
              <w:rPr>
                <w:rFonts w:eastAsiaTheme="minorEastAsia"/>
              </w:rPr>
              <w:t>4.71</w:t>
            </w:r>
            <w:r>
              <w:rPr>
                <w:rFonts w:eastAsiaTheme="minorEastAsia" w:cs="Arial"/>
              </w:rPr>
              <w:t>·</w:t>
            </w:r>
            <w:r>
              <w:rPr>
                <w:rFonts w:eastAsiaTheme="minorEastAsia"/>
              </w:rPr>
              <w:t>10</w:t>
            </w:r>
            <w:r w:rsidRPr="00140BD9">
              <w:rPr>
                <w:rFonts w:eastAsiaTheme="minorEastAsia"/>
                <w:vertAlign w:val="superscript"/>
              </w:rPr>
              <w:t>-9</w:t>
            </w:r>
          </w:p>
        </w:tc>
        <w:tc>
          <w:tcPr>
            <w:tcW w:w="1792" w:type="pct"/>
            <w:shd w:val="clear" w:color="auto" w:fill="FFFFFF"/>
          </w:tcPr>
          <w:p w14:paraId="391CB5FA" w14:textId="1A45737B" w:rsidR="00AD4499" w:rsidRDefault="001B3EC8" w:rsidP="00140BD9">
            <w:pPr>
              <w:pStyle w:val="CETBodytext"/>
              <w:jc w:val="center"/>
              <w:rPr>
                <w:rFonts w:eastAsiaTheme="minorEastAsia"/>
              </w:rPr>
            </w:pPr>
            <w:r>
              <w:rPr>
                <w:rFonts w:eastAsiaTheme="minorEastAsia"/>
              </w:rPr>
              <w:t>7.1</w:t>
            </w:r>
            <w:r w:rsidR="0095394D">
              <w:rPr>
                <w:rFonts w:eastAsiaTheme="minorEastAsia"/>
              </w:rPr>
              <w:t>3</w:t>
            </w:r>
            <w:r>
              <w:rPr>
                <w:rFonts w:eastAsiaTheme="minorEastAsia" w:cs="Arial"/>
              </w:rPr>
              <w:t>·</w:t>
            </w:r>
            <w:r>
              <w:rPr>
                <w:rFonts w:eastAsiaTheme="minorEastAsia"/>
              </w:rPr>
              <w:t>10</w:t>
            </w:r>
            <w:r w:rsidR="0095394D">
              <w:rPr>
                <w:rFonts w:eastAsiaTheme="minorEastAsia"/>
                <w:vertAlign w:val="superscript"/>
              </w:rPr>
              <w:t>5</w:t>
            </w:r>
          </w:p>
        </w:tc>
      </w:tr>
      <w:tr w:rsidR="00AD4499" w:rsidRPr="00140BD9" w14:paraId="6280E82A" w14:textId="1D7E017A" w:rsidTr="00AD4499">
        <w:trPr>
          <w:jc w:val="center"/>
        </w:trPr>
        <w:tc>
          <w:tcPr>
            <w:tcW w:w="1416" w:type="pct"/>
            <w:tcBorders>
              <w:bottom w:val="nil"/>
            </w:tcBorders>
            <w:shd w:val="clear" w:color="auto" w:fill="FFFFFF"/>
            <w:vAlign w:val="center"/>
          </w:tcPr>
          <w:p w14:paraId="2828487A" w14:textId="35E76796" w:rsidR="00AD4499" w:rsidRPr="00140BD9" w:rsidRDefault="00AD4499" w:rsidP="00140BD9">
            <w:pPr>
              <w:pStyle w:val="CETBodytext"/>
              <w:jc w:val="center"/>
              <w:rPr>
                <w:rFonts w:eastAsiaTheme="minorEastAsia"/>
              </w:rPr>
            </w:pPr>
            <w:r>
              <w:rPr>
                <w:rFonts w:eastAsiaTheme="minorEastAsia"/>
              </w:rPr>
              <w:t>1.</w:t>
            </w:r>
            <w:r w:rsidRPr="00140BD9">
              <w:rPr>
                <w:rFonts w:eastAsiaTheme="minorEastAsia"/>
              </w:rPr>
              <w:t>25</w:t>
            </w:r>
          </w:p>
        </w:tc>
        <w:tc>
          <w:tcPr>
            <w:tcW w:w="1792" w:type="pct"/>
            <w:tcBorders>
              <w:bottom w:val="nil"/>
            </w:tcBorders>
            <w:shd w:val="clear" w:color="auto" w:fill="FFFFFF"/>
            <w:vAlign w:val="center"/>
          </w:tcPr>
          <w:p w14:paraId="2C713794" w14:textId="2DB09429" w:rsidR="00AD4499" w:rsidRPr="00140BD9" w:rsidRDefault="00AD4499" w:rsidP="00140BD9">
            <w:pPr>
              <w:pStyle w:val="CETBodytext"/>
              <w:jc w:val="center"/>
              <w:rPr>
                <w:rFonts w:eastAsiaTheme="minorEastAsia"/>
              </w:rPr>
            </w:pPr>
            <w:r>
              <w:rPr>
                <w:rFonts w:eastAsiaTheme="minorEastAsia"/>
              </w:rPr>
              <w:t>4.02</w:t>
            </w:r>
            <w:r>
              <w:rPr>
                <w:rFonts w:eastAsiaTheme="minorEastAsia" w:cs="Arial"/>
              </w:rPr>
              <w:t>·</w:t>
            </w:r>
            <w:r>
              <w:rPr>
                <w:rFonts w:eastAsiaTheme="minorEastAsia"/>
              </w:rPr>
              <w:t>10</w:t>
            </w:r>
            <w:r w:rsidRPr="00140BD9">
              <w:rPr>
                <w:rFonts w:eastAsiaTheme="minorEastAsia"/>
                <w:vertAlign w:val="superscript"/>
              </w:rPr>
              <w:t>-9</w:t>
            </w:r>
          </w:p>
        </w:tc>
        <w:tc>
          <w:tcPr>
            <w:tcW w:w="1792" w:type="pct"/>
            <w:tcBorders>
              <w:bottom w:val="nil"/>
            </w:tcBorders>
            <w:shd w:val="clear" w:color="auto" w:fill="FFFFFF"/>
          </w:tcPr>
          <w:p w14:paraId="060B6E01" w14:textId="684DC9E2" w:rsidR="00AD4499" w:rsidRDefault="0095394D" w:rsidP="00140BD9">
            <w:pPr>
              <w:pStyle w:val="CETBodytext"/>
              <w:jc w:val="center"/>
              <w:rPr>
                <w:rFonts w:eastAsiaTheme="minorEastAsia"/>
              </w:rPr>
            </w:pPr>
            <w:r>
              <w:rPr>
                <w:rFonts w:eastAsiaTheme="minorEastAsia"/>
              </w:rPr>
              <w:t>1.09</w:t>
            </w:r>
            <w:r>
              <w:rPr>
                <w:rFonts w:eastAsiaTheme="minorEastAsia" w:cs="Arial"/>
              </w:rPr>
              <w:t>·</w:t>
            </w:r>
            <w:r>
              <w:rPr>
                <w:rFonts w:eastAsiaTheme="minorEastAsia"/>
              </w:rPr>
              <w:t>10</w:t>
            </w:r>
            <w:r>
              <w:rPr>
                <w:rFonts w:eastAsiaTheme="minorEastAsia"/>
                <w:vertAlign w:val="superscript"/>
              </w:rPr>
              <w:t>7</w:t>
            </w:r>
          </w:p>
        </w:tc>
      </w:tr>
      <w:tr w:rsidR="00AD4499" w:rsidRPr="00140BD9" w14:paraId="0B9A828A" w14:textId="7F87D72E" w:rsidTr="00AD4499">
        <w:trPr>
          <w:jc w:val="center"/>
        </w:trPr>
        <w:tc>
          <w:tcPr>
            <w:tcW w:w="1416" w:type="pct"/>
            <w:tcBorders>
              <w:top w:val="nil"/>
              <w:bottom w:val="single" w:sz="4" w:space="0" w:color="00B050"/>
            </w:tcBorders>
            <w:shd w:val="clear" w:color="auto" w:fill="FFFFFF"/>
            <w:vAlign w:val="center"/>
          </w:tcPr>
          <w:p w14:paraId="636E64D6" w14:textId="097DAB8E" w:rsidR="00AD4499" w:rsidRPr="00140BD9" w:rsidRDefault="00AD4499" w:rsidP="00140BD9">
            <w:pPr>
              <w:pStyle w:val="CETBodytext"/>
              <w:jc w:val="center"/>
              <w:rPr>
                <w:rFonts w:eastAsiaTheme="minorEastAsia"/>
              </w:rPr>
            </w:pPr>
            <w:r w:rsidRPr="00140BD9">
              <w:rPr>
                <w:rFonts w:eastAsiaTheme="minorEastAsia"/>
              </w:rPr>
              <w:t>2</w:t>
            </w:r>
            <w:r>
              <w:rPr>
                <w:rFonts w:eastAsiaTheme="minorEastAsia"/>
              </w:rPr>
              <w:t>.</w:t>
            </w:r>
            <w:r w:rsidRPr="00140BD9">
              <w:rPr>
                <w:rFonts w:eastAsiaTheme="minorEastAsia"/>
              </w:rPr>
              <w:t>5</w:t>
            </w:r>
          </w:p>
        </w:tc>
        <w:tc>
          <w:tcPr>
            <w:tcW w:w="1792" w:type="pct"/>
            <w:tcBorders>
              <w:top w:val="nil"/>
              <w:bottom w:val="single" w:sz="4" w:space="0" w:color="00B050"/>
            </w:tcBorders>
            <w:shd w:val="clear" w:color="auto" w:fill="FFFFFF"/>
            <w:vAlign w:val="center"/>
          </w:tcPr>
          <w:p w14:paraId="1D1F625A" w14:textId="6A30BC36" w:rsidR="00AD4499" w:rsidRPr="00140BD9" w:rsidRDefault="00AD4499" w:rsidP="00140BD9">
            <w:pPr>
              <w:pStyle w:val="CETBodytext"/>
              <w:jc w:val="center"/>
              <w:rPr>
                <w:rFonts w:eastAsiaTheme="minorEastAsia"/>
              </w:rPr>
            </w:pPr>
            <w:r>
              <w:rPr>
                <w:rFonts w:eastAsiaTheme="minorEastAsia"/>
              </w:rPr>
              <w:t>4.72</w:t>
            </w:r>
            <w:r>
              <w:rPr>
                <w:rFonts w:eastAsiaTheme="minorEastAsia" w:cs="Arial"/>
              </w:rPr>
              <w:t>·</w:t>
            </w:r>
            <w:r>
              <w:rPr>
                <w:rFonts w:eastAsiaTheme="minorEastAsia"/>
              </w:rPr>
              <w:t>10</w:t>
            </w:r>
            <w:r w:rsidRPr="00140BD9">
              <w:rPr>
                <w:rFonts w:eastAsiaTheme="minorEastAsia"/>
                <w:vertAlign w:val="superscript"/>
              </w:rPr>
              <w:t>-9</w:t>
            </w:r>
          </w:p>
        </w:tc>
        <w:tc>
          <w:tcPr>
            <w:tcW w:w="1792" w:type="pct"/>
            <w:tcBorders>
              <w:top w:val="nil"/>
              <w:bottom w:val="single" w:sz="4" w:space="0" w:color="00B050"/>
            </w:tcBorders>
            <w:shd w:val="clear" w:color="auto" w:fill="FFFFFF"/>
          </w:tcPr>
          <w:p w14:paraId="1956F01B" w14:textId="5B9C8EA0" w:rsidR="00AD4499" w:rsidRDefault="0095394D" w:rsidP="00140BD9">
            <w:pPr>
              <w:pStyle w:val="CETBodytext"/>
              <w:jc w:val="center"/>
              <w:rPr>
                <w:rFonts w:eastAsiaTheme="minorEastAsia"/>
              </w:rPr>
            </w:pPr>
            <w:r>
              <w:rPr>
                <w:rFonts w:eastAsiaTheme="minorEastAsia"/>
              </w:rPr>
              <w:t>3.37</w:t>
            </w:r>
            <w:r>
              <w:rPr>
                <w:rFonts w:eastAsiaTheme="minorEastAsia" w:cs="Arial"/>
              </w:rPr>
              <w:t>·</w:t>
            </w:r>
            <w:r>
              <w:rPr>
                <w:rFonts w:eastAsiaTheme="minorEastAsia"/>
              </w:rPr>
              <w:t>10</w:t>
            </w:r>
            <w:r>
              <w:rPr>
                <w:rFonts w:eastAsiaTheme="minorEastAsia"/>
                <w:vertAlign w:val="superscript"/>
              </w:rPr>
              <w:t>7</w:t>
            </w:r>
          </w:p>
        </w:tc>
      </w:tr>
      <w:tr w:rsidR="00AD4499" w:rsidRPr="00140BD9" w14:paraId="5D331C8E" w14:textId="374600F8" w:rsidTr="00AD4499">
        <w:trPr>
          <w:jc w:val="center"/>
        </w:trPr>
        <w:tc>
          <w:tcPr>
            <w:tcW w:w="1416" w:type="pct"/>
            <w:tcBorders>
              <w:top w:val="single" w:sz="4" w:space="0" w:color="00B050"/>
            </w:tcBorders>
            <w:shd w:val="clear" w:color="auto" w:fill="FFFFFF"/>
            <w:vAlign w:val="center"/>
          </w:tcPr>
          <w:p w14:paraId="461AF89D" w14:textId="7084A2CD" w:rsidR="00AD4499" w:rsidRPr="00D2682C" w:rsidRDefault="00AD4499" w:rsidP="00140BD9">
            <w:pPr>
              <w:pStyle w:val="CETBodytext"/>
              <w:jc w:val="center"/>
              <w:rPr>
                <w:rFonts w:eastAsiaTheme="minorEastAsia"/>
                <w:b/>
              </w:rPr>
            </w:pPr>
            <w:r w:rsidRPr="00D2682C">
              <w:rPr>
                <w:rFonts w:eastAsiaTheme="minorEastAsia"/>
                <w:b/>
              </w:rPr>
              <w:t xml:space="preserve">Average value </w:t>
            </w:r>
            <w:r w:rsidRPr="00D2682C">
              <w:rPr>
                <w:rFonts w:eastAsiaTheme="minorEastAsia" w:cs="Arial"/>
                <w:b/>
              </w:rPr>
              <w:t>± SD</w:t>
            </w:r>
          </w:p>
        </w:tc>
        <w:tc>
          <w:tcPr>
            <w:tcW w:w="1792" w:type="pct"/>
            <w:tcBorders>
              <w:top w:val="single" w:sz="4" w:space="0" w:color="00B050"/>
            </w:tcBorders>
            <w:shd w:val="clear" w:color="auto" w:fill="FFFFFF"/>
            <w:vAlign w:val="center"/>
          </w:tcPr>
          <w:p w14:paraId="13C073EF" w14:textId="7B53957C" w:rsidR="00AD4499" w:rsidRPr="00140BD9" w:rsidRDefault="00AD4499" w:rsidP="00140BD9">
            <w:pPr>
              <w:pStyle w:val="CETBodytext"/>
              <w:jc w:val="center"/>
              <w:rPr>
                <w:rFonts w:eastAsiaTheme="minorEastAsia"/>
              </w:rPr>
            </w:pPr>
            <w:r>
              <w:rPr>
                <w:rFonts w:eastAsiaTheme="minorEastAsia"/>
              </w:rPr>
              <w:t>4.48</w:t>
            </w:r>
            <w:r>
              <w:rPr>
                <w:rFonts w:eastAsiaTheme="minorEastAsia" w:cs="Arial"/>
              </w:rPr>
              <w:t>·</w:t>
            </w:r>
            <w:r>
              <w:rPr>
                <w:rFonts w:eastAsiaTheme="minorEastAsia"/>
              </w:rPr>
              <w:t>10</w:t>
            </w:r>
            <w:r w:rsidRPr="00140BD9">
              <w:rPr>
                <w:rFonts w:eastAsiaTheme="minorEastAsia"/>
                <w:vertAlign w:val="superscript"/>
              </w:rPr>
              <w:t>-9</w:t>
            </w:r>
            <w:r>
              <w:rPr>
                <w:rFonts w:eastAsiaTheme="minorEastAsia"/>
              </w:rPr>
              <w:t xml:space="preserve"> </w:t>
            </w:r>
            <w:r>
              <w:rPr>
                <w:rFonts w:eastAsiaTheme="minorEastAsia" w:cs="Arial"/>
              </w:rPr>
              <w:t>± 4.01·</w:t>
            </w:r>
            <w:r>
              <w:rPr>
                <w:rFonts w:eastAsiaTheme="minorEastAsia"/>
              </w:rPr>
              <w:t>10</w:t>
            </w:r>
            <w:r>
              <w:rPr>
                <w:rFonts w:eastAsiaTheme="minorEastAsia"/>
                <w:vertAlign w:val="superscript"/>
              </w:rPr>
              <w:t>-10</w:t>
            </w:r>
          </w:p>
        </w:tc>
        <w:tc>
          <w:tcPr>
            <w:tcW w:w="1792" w:type="pct"/>
            <w:tcBorders>
              <w:top w:val="single" w:sz="4" w:space="0" w:color="00B050"/>
            </w:tcBorders>
            <w:shd w:val="clear" w:color="auto" w:fill="FFFFFF"/>
          </w:tcPr>
          <w:p w14:paraId="139FF6AC" w14:textId="165C48F7" w:rsidR="00AD4499" w:rsidRDefault="001B3EC8" w:rsidP="00140BD9">
            <w:pPr>
              <w:pStyle w:val="CETBodytext"/>
              <w:jc w:val="center"/>
              <w:rPr>
                <w:rFonts w:eastAsiaTheme="minorEastAsia"/>
              </w:rPr>
            </w:pPr>
            <w:r>
              <w:rPr>
                <w:rFonts w:eastAsiaTheme="minorEastAsia"/>
              </w:rPr>
              <w:t>-</w:t>
            </w:r>
          </w:p>
        </w:tc>
      </w:tr>
    </w:tbl>
    <w:p w14:paraId="6BF9A3FB" w14:textId="6314C5BC" w:rsidR="00140BD9" w:rsidRDefault="00140BD9" w:rsidP="009C7858">
      <w:pPr>
        <w:pStyle w:val="CETBodytext"/>
        <w:rPr>
          <w:rFonts w:eastAsiaTheme="minorEastAsia"/>
          <w:lang w:val="en-GB"/>
        </w:rPr>
      </w:pPr>
    </w:p>
    <w:p w14:paraId="4F83E6B9" w14:textId="0FE509DA" w:rsidR="002C4872" w:rsidRDefault="0096389F" w:rsidP="009C7858">
      <w:pPr>
        <w:pStyle w:val="CETBodytext"/>
      </w:pPr>
      <w:r>
        <w:rPr>
          <w:rFonts w:eastAsiaTheme="minorEastAsia"/>
          <w:lang w:val="en-GB"/>
        </w:rPr>
        <w:t xml:space="preserve">The controlling resistance of the adsorption kinetics was assessed by the calculation of the </w:t>
      </w:r>
      <w:proofErr w:type="spellStart"/>
      <w:r>
        <w:rPr>
          <w:rFonts w:eastAsiaTheme="minorEastAsia"/>
          <w:lang w:val="en-GB"/>
        </w:rPr>
        <w:t>Biot</w:t>
      </w:r>
      <w:proofErr w:type="spellEnd"/>
      <w:r>
        <w:rPr>
          <w:rFonts w:eastAsiaTheme="minorEastAsia"/>
          <w:lang w:val="en-GB"/>
        </w:rPr>
        <w:t xml:space="preserve"> dimensionless number. The latter is defined as the </w:t>
      </w:r>
      <w:r w:rsidRPr="0096389F">
        <w:rPr>
          <w:rFonts w:eastAsiaTheme="minorEastAsia"/>
        </w:rPr>
        <w:t>ratio between the characterist</w:t>
      </w:r>
      <w:r>
        <w:rPr>
          <w:rFonts w:eastAsiaTheme="minorEastAsia"/>
        </w:rPr>
        <w:t>ic time of solid diffusion</w:t>
      </w:r>
      <w:r w:rsidR="00DC6AA8">
        <w:rPr>
          <w:rFonts w:eastAsiaTheme="minorEastAsia"/>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τ</m:t>
            </m:r>
          </m:e>
          <m:sub>
            <m:r>
              <w:rPr>
                <w:rFonts w:ascii="Cambria Math" w:eastAsiaTheme="minorEastAsia" w:hAnsi="Cambria Math"/>
                <w:lang w:val="en-GB"/>
              </w:rPr>
              <m:t>D</m:t>
            </m:r>
          </m:sub>
        </m:sSub>
      </m:oMath>
      <w:r w:rsidR="00DC6AA8">
        <w:rPr>
          <w:rFonts w:eastAsiaTheme="minorEastAsia"/>
          <w:lang w:val="en-GB"/>
        </w:rPr>
        <w:t>)</w:t>
      </w:r>
      <w:r w:rsidRPr="0096389F">
        <w:rPr>
          <w:rFonts w:eastAsiaTheme="minorEastAsia"/>
        </w:rPr>
        <w:t xml:space="preserve"> and the characteristic time of mass transfe</w:t>
      </w:r>
      <w:r>
        <w:rPr>
          <w:rFonts w:eastAsiaTheme="minorEastAsia"/>
        </w:rPr>
        <w:t xml:space="preserve">r </w:t>
      </w:r>
      <w:r w:rsidRPr="0096389F">
        <w:rPr>
          <w:rFonts w:eastAsiaTheme="minorEastAsia"/>
        </w:rPr>
        <w:t>through the liquid film surrounding the solid particles</w:t>
      </w:r>
      <w:r w:rsidR="00DC6AA8">
        <w:rPr>
          <w:rFonts w:eastAsiaTheme="minorEastAsia"/>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τ</m:t>
            </m:r>
          </m:e>
          <m:sub>
            <m:r>
              <w:rPr>
                <w:rFonts w:ascii="Cambria Math" w:eastAsiaTheme="minorEastAsia" w:hAnsi="Cambria Math"/>
                <w:lang w:val="en-GB"/>
              </w:rPr>
              <m:t>t</m:t>
            </m:r>
          </m:sub>
        </m:sSub>
      </m:oMath>
      <w:r w:rsidR="00DC6AA8">
        <w:rPr>
          <w:rFonts w:eastAsiaTheme="minorEastAsia"/>
        </w:rPr>
        <w:t>)</w:t>
      </w:r>
      <w:r>
        <w:rPr>
          <w:rFonts w:eastAsiaTheme="minorEastAsia"/>
        </w:rPr>
        <w:t xml:space="preserve">. Further information regarding its mathematical derivation can be found in the work of </w:t>
      </w:r>
      <w:r w:rsidRPr="0096389F">
        <w:rPr>
          <w:rFonts w:eastAsiaTheme="minorEastAsia"/>
          <w:noProof/>
          <w:lang w:val="en-GB"/>
        </w:rPr>
        <w:t>Yao and Zhu</w:t>
      </w:r>
      <w:r>
        <w:rPr>
          <w:rFonts w:eastAsiaTheme="minorEastAsia"/>
        </w:rPr>
        <w:t xml:space="preserve"> </w:t>
      </w:r>
      <w:r w:rsidRPr="0077350E">
        <w:rPr>
          <w:rFonts w:eastAsiaTheme="minorEastAsia"/>
          <w:lang w:val="en-GB"/>
        </w:rPr>
        <w:fldChar w:fldCharType="begin" w:fldLock="1"/>
      </w:r>
      <w:r w:rsidR="00861A52">
        <w:rPr>
          <w:rFonts w:eastAsiaTheme="minorEastAsia"/>
          <w:lang w:val="en-GB"/>
        </w:rPr>
        <w:instrText>ADDIN CSL_CITATION {"citationItems":[{"id":"ITEM-1","itemData":{"DOI":"10.1016/j.molliq.2020.112455","ISSN":"01677322","abstract":"Pollutant adsorption from aqueous solutions is usually controlled by diffusion or mass transfer which can be external film diffusion or intraparticle diffusion or both, depending on the relative magnitude of the film and intraparticle mass transfer resistances. Traditionally the Biot number is used to characterize mass transfer controlling mechanism in adsorption. In this work a new quantitative characterization method is proposed. Specifically the average fractional film mass transfer resistance is defined and used as an indicator of the relative importance of film and intraparticle mass transfer resistances. The average fractional film mass transfer resistance varies from 0 to 1, corresponding respectively to complete intraparticle diffusion control and complete film diffusion control. Numerical simulations of batch adsorption processes are performed and the corresponding average fractional film mass transfer resistance calculated for a wide range of process parameters. Based on the simulation results a correlation is obtained between the average fractional film mass transfer resistance and the Biot number, the adsorbate partition ratio and the separation factor. It is shown that the Biot number alone is not sufficient to characterize mass transfer controlling mechanism in adsorption.","author":[{"dropping-particle":"","family":"Yao","given":"Chuncai","non-dropping-particle":"","parse-names":false,"suffix":""},{"dropping-particle":"","family":"Zhu","given":"Chenxi","non-dropping-particle":"","parse-names":false,"suffix":""}],"container-title":"Journal of Molecular Liquids","id":"ITEM-1","issued":{"date-parts":[["2020"]]},"page":"112455","publisher":"Elsevier B.V.","title":"A new method of characterizing mass transfer controlling mechanism in pollutant adsorption from aqueous solutions","type":"article-journal","volume":"301"},"uris":["http://www.mendeley.com/documents/?uuid=4586409c-397e-4208-8245-31704f260462"]}],"mendeley":{"formattedCitation":"(Yao and Zhu, 2020)","plainTextFormattedCitation":"(Yao and Zhu, 2020)","previouslyFormattedCitation":"(Yao and Zhu, 2020)"},"properties":{"noteIndex":0},"schema":"https://github.com/citation-style-language/schema/raw/master/csl-citation.json"}</w:instrText>
      </w:r>
      <w:r w:rsidRPr="0077350E">
        <w:rPr>
          <w:rFonts w:eastAsiaTheme="minorEastAsia"/>
          <w:lang w:val="en-GB"/>
        </w:rPr>
        <w:fldChar w:fldCharType="separate"/>
      </w:r>
      <w:r w:rsidRPr="0096389F">
        <w:rPr>
          <w:rFonts w:eastAsiaTheme="minorEastAsia"/>
          <w:noProof/>
          <w:lang w:val="en-GB"/>
        </w:rPr>
        <w:t>(Yao and Zhu, 2020)</w:t>
      </w:r>
      <w:r w:rsidRPr="0077350E">
        <w:rPr>
          <w:rFonts w:eastAsiaTheme="minorEastAsia"/>
          <w:lang w:val="en-GB"/>
        </w:rPr>
        <w:fldChar w:fldCharType="end"/>
      </w:r>
      <w:r w:rsidR="00854C91">
        <w:rPr>
          <w:rFonts w:eastAsiaTheme="minorEastAsia"/>
          <w:lang w:val="en-GB"/>
        </w:rPr>
        <w:t xml:space="preserve">. </w:t>
      </w:r>
      <w:r w:rsidR="00DC6AA8">
        <w:rPr>
          <w:rFonts w:eastAsiaTheme="minorEastAsia"/>
          <w:lang w:val="en-GB"/>
        </w:rPr>
        <w:t>In Table 3</w:t>
      </w:r>
      <w:r w:rsidR="00DC6AA8" w:rsidRPr="00DC6AA8">
        <w:rPr>
          <w:rFonts w:eastAsiaTheme="minorEastAsia"/>
          <w:lang w:val="en-GB"/>
        </w:rPr>
        <w:t xml:space="preserve"> were collected </w:t>
      </w:r>
      <w:r w:rsidR="00DC6AA8">
        <w:rPr>
          <w:rFonts w:eastAsiaTheme="minorEastAsia"/>
          <w:lang w:val="en-GB"/>
        </w:rPr>
        <w:t xml:space="preserve">the </w:t>
      </w:r>
      <w:r w:rsidR="00DC6AA8" w:rsidRPr="00DC6AA8">
        <w:rPr>
          <w:rFonts w:eastAsiaTheme="minorEastAsia"/>
          <w:lang w:val="en-GB"/>
        </w:rPr>
        <w:t xml:space="preserve">values of the </w:t>
      </w:r>
      <w:proofErr w:type="spellStart"/>
      <w:r w:rsidR="00DC6AA8" w:rsidRPr="00DC6AA8">
        <w:rPr>
          <w:rFonts w:eastAsiaTheme="minorEastAsia"/>
          <w:lang w:val="en-GB"/>
        </w:rPr>
        <w:t>Biot</w:t>
      </w:r>
      <w:proofErr w:type="spellEnd"/>
      <w:r w:rsidR="00DC6AA8" w:rsidRPr="00DC6AA8">
        <w:rPr>
          <w:rFonts w:eastAsiaTheme="minorEastAsia"/>
          <w:lang w:val="en-GB"/>
        </w:rPr>
        <w:t xml:space="preserve"> number (</w:t>
      </w:r>
      <m:oMath>
        <m:r>
          <w:rPr>
            <w:rFonts w:ascii="Cambria Math" w:eastAsiaTheme="minorEastAsia" w:hAnsi="Cambria Math"/>
            <w:lang w:val="en-GB"/>
          </w:rPr>
          <m:t>Bi</m:t>
        </m:r>
      </m:oMath>
      <w:r w:rsidR="00DC6AA8" w:rsidRPr="00DC6AA8">
        <w:rPr>
          <w:rFonts w:eastAsiaTheme="minorEastAsia"/>
          <w:lang w:val="en-GB"/>
        </w:rPr>
        <w:t xml:space="preserve">). For </w:t>
      </w:r>
      <w:r w:rsidR="00DC6AA8">
        <w:rPr>
          <w:rFonts w:eastAsiaTheme="minorEastAsia"/>
          <w:lang w:val="en-GB"/>
        </w:rPr>
        <w:t>all the solid dosages adopted</w:t>
      </w:r>
      <w:r w:rsidR="00DC6AA8" w:rsidRPr="00DC6AA8">
        <w:rPr>
          <w:rFonts w:eastAsiaTheme="minorEastAsia"/>
          <w:lang w:val="en-GB"/>
        </w:rPr>
        <w:t xml:space="preserve"> </w:t>
      </w:r>
      <m:oMath>
        <m:r>
          <w:rPr>
            <w:rFonts w:ascii="Cambria Math" w:eastAsiaTheme="minorEastAsia" w:hAnsi="Cambria Math"/>
            <w:lang w:val="en-GB"/>
          </w:rPr>
          <m:t>Bi≫1</m:t>
        </m:r>
      </m:oMath>
      <w:r w:rsidR="00DC6AA8" w:rsidRPr="00DC6AA8">
        <w:rPr>
          <w:rFonts w:eastAsiaTheme="minorEastAsia"/>
          <w:lang w:val="en-GB"/>
        </w:rPr>
        <w:t xml:space="preserve"> and hence </w:t>
      </w:r>
      <m:oMath>
        <m:sSub>
          <m:sSubPr>
            <m:ctrlPr>
              <w:rPr>
                <w:rFonts w:ascii="Cambria Math" w:eastAsiaTheme="minorEastAsia" w:hAnsi="Cambria Math"/>
                <w:i/>
                <w:lang w:val="en-GB"/>
              </w:rPr>
            </m:ctrlPr>
          </m:sSubPr>
          <m:e>
            <m:sSub>
              <m:sSubPr>
                <m:ctrlPr>
                  <w:rPr>
                    <w:rFonts w:ascii="Cambria Math" w:eastAsiaTheme="minorEastAsia" w:hAnsi="Cambria Math"/>
                    <w:i/>
                    <w:lang w:val="en-GB"/>
                  </w:rPr>
                </m:ctrlPr>
              </m:sSubPr>
              <m:e>
                <m:r>
                  <w:rPr>
                    <w:rFonts w:ascii="Cambria Math" w:eastAsiaTheme="minorEastAsia" w:hAnsi="Cambria Math"/>
                    <w:lang w:val="en-GB"/>
                  </w:rPr>
                  <m:t>τ</m:t>
                </m:r>
              </m:e>
              <m:sub>
                <m:r>
                  <w:rPr>
                    <w:rFonts w:ascii="Cambria Math" w:eastAsiaTheme="minorEastAsia" w:hAnsi="Cambria Math"/>
                    <w:lang w:val="en-GB"/>
                  </w:rPr>
                  <m:t>D</m:t>
                </m:r>
              </m:sub>
            </m:sSub>
            <m:r>
              <w:rPr>
                <w:rFonts w:ascii="Cambria Math" w:eastAsiaTheme="minorEastAsia" w:hAnsi="Cambria Math"/>
                <w:lang w:val="en-GB"/>
              </w:rPr>
              <m:t>&gt;&gt;τ</m:t>
            </m:r>
          </m:e>
          <m:sub>
            <m:r>
              <w:rPr>
                <w:rFonts w:ascii="Cambria Math" w:eastAsiaTheme="minorEastAsia" w:hAnsi="Cambria Math"/>
                <w:lang w:val="en-GB"/>
              </w:rPr>
              <m:t>t</m:t>
            </m:r>
          </m:sub>
        </m:sSub>
      </m:oMath>
      <w:r w:rsidR="00DC6AA8" w:rsidRPr="00DC6AA8">
        <w:rPr>
          <w:rFonts w:eastAsiaTheme="minorEastAsia"/>
          <w:lang w:val="en-GB"/>
        </w:rPr>
        <w:t xml:space="preserve"> which means that the intra-particle mass transfer is the controlling resistance of the adsorption kinetics</w:t>
      </w:r>
      <w:r w:rsidR="00DC6AA8">
        <w:rPr>
          <w:rFonts w:eastAsiaTheme="minorEastAsia"/>
          <w:lang w:val="en-GB"/>
        </w:rPr>
        <w:t>. It is important to b</w:t>
      </w:r>
      <w:r w:rsidR="00DC6AA8" w:rsidRPr="00DC6AA8">
        <w:rPr>
          <w:rFonts w:eastAsiaTheme="minorEastAsia"/>
          <w:lang w:val="en-GB"/>
        </w:rPr>
        <w:t>ear in mind that altering the root diameter is impossible, and as a result, it is not feasible to decrease the intra-particle resistance which governs the rate of mass transfer.</w:t>
      </w:r>
      <w:r w:rsidR="00DC6AA8">
        <w:rPr>
          <w:rFonts w:eastAsiaTheme="minorEastAsia"/>
          <w:lang w:val="en-GB"/>
        </w:rPr>
        <w:t xml:space="preserve"> For this reason, also in continuous applications the intra-particle resistance will play a key role.</w:t>
      </w:r>
    </w:p>
    <w:p w14:paraId="1BABE9FB" w14:textId="2264E25C" w:rsidR="00156E29" w:rsidRDefault="00156E29" w:rsidP="00156E29">
      <w:pPr>
        <w:pStyle w:val="CETHeading1"/>
      </w:pPr>
      <w:r>
        <w:t>Conclusions</w:t>
      </w:r>
    </w:p>
    <w:p w14:paraId="68748DFA" w14:textId="71AF3379" w:rsidR="00CF0393" w:rsidRPr="00533B32" w:rsidRDefault="00533B32" w:rsidP="00CF0393">
      <w:pPr>
        <w:pStyle w:val="CETBodytext"/>
      </w:pPr>
      <w:r>
        <w:t>In this work PV waste roots were tested for the removal of Rhodamine B from water. Once pre-treated (</w:t>
      </w:r>
      <w:proofErr w:type="spellStart"/>
      <w:r>
        <w:t>wased</w:t>
      </w:r>
      <w:proofErr w:type="spellEnd"/>
      <w:r>
        <w:t xml:space="preserve">) with distilled water, batch adsorption tests were run to investigate both the dynamics and the equilibrium conditions of the system. The Langmuir isotherm successfully fitted the equilibrium </w:t>
      </w:r>
      <w:proofErr w:type="gramStart"/>
      <w:r>
        <w:t>data</w:t>
      </w:r>
      <w:proofErr w:type="gramEnd"/>
      <w:r>
        <w:t xml:space="preserve"> and a maximum adsorption capacity of 42.89 mg/g was estimated. Depending on the initial concentration of the dye, PV roots showed competitive removal performances compared to other bio-adsorbents. A mathematical model was then developed to analyze the RB uptake kinetics estimating a modified effective diffusivity of </w:t>
      </w:r>
      <w:r>
        <w:rPr>
          <w:rFonts w:eastAsiaTheme="minorEastAsia"/>
        </w:rPr>
        <w:t>4.48</w:t>
      </w:r>
      <w:r>
        <w:rPr>
          <w:rFonts w:eastAsiaTheme="minorEastAsia" w:cs="Arial"/>
        </w:rPr>
        <w:t>·</w:t>
      </w:r>
      <w:r>
        <w:rPr>
          <w:rFonts w:eastAsiaTheme="minorEastAsia"/>
        </w:rPr>
        <w:t>10</w:t>
      </w:r>
      <w:r w:rsidRPr="00140BD9">
        <w:rPr>
          <w:rFonts w:eastAsiaTheme="minorEastAsia"/>
          <w:vertAlign w:val="superscript"/>
        </w:rPr>
        <w:t>-9</w:t>
      </w:r>
      <w:r>
        <w:rPr>
          <w:rFonts w:eastAsiaTheme="minorEastAsia"/>
        </w:rPr>
        <w:t xml:space="preserve"> cm</w:t>
      </w:r>
      <w:r w:rsidRPr="00533B32">
        <w:rPr>
          <w:rFonts w:eastAsiaTheme="minorEastAsia"/>
          <w:vertAlign w:val="superscript"/>
        </w:rPr>
        <w:t>2</w:t>
      </w:r>
      <w:r>
        <w:rPr>
          <w:rFonts w:eastAsiaTheme="minorEastAsia"/>
        </w:rPr>
        <w:t xml:space="preserve">/min. </w:t>
      </w:r>
      <w:r w:rsidR="00CF0393">
        <w:rPr>
          <w:rFonts w:eastAsiaTheme="minorEastAsia"/>
        </w:rPr>
        <w:t xml:space="preserve">Moreover, the controlling resistance was attributed to the intra-particle one by means of the </w:t>
      </w:r>
      <m:oMath>
        <m:r>
          <w:rPr>
            <w:rFonts w:ascii="Cambria Math" w:eastAsiaTheme="minorEastAsia" w:hAnsi="Cambria Math"/>
            <w:lang w:val="en-GB"/>
          </w:rPr>
          <m:t>Bi</m:t>
        </m:r>
      </m:oMath>
      <w:r w:rsidR="00CF0393">
        <w:rPr>
          <w:rFonts w:eastAsiaTheme="minorEastAsia"/>
          <w:lang w:val="en-GB"/>
        </w:rPr>
        <w:t xml:space="preserve"> number. The latter is a crucial result since it suggests that the solid internal resistance will play a key role for the design of continuous apparatus systems. However, further investigation on the dynamic adsorption of RB on PV roots in a fixed-bed apparatus should be conducted.</w:t>
      </w:r>
    </w:p>
    <w:p w14:paraId="0A82B708" w14:textId="3955C371" w:rsidR="00EB41B2" w:rsidRPr="00DE08DD" w:rsidRDefault="00600535" w:rsidP="000E2C20">
      <w:pPr>
        <w:pStyle w:val="CETReference"/>
        <w:rPr>
          <w:lang w:val="it-IT"/>
        </w:rPr>
      </w:pPr>
      <w:proofErr w:type="spellStart"/>
      <w:r w:rsidRPr="00DE08DD">
        <w:rPr>
          <w:lang w:val="it-IT"/>
        </w:rPr>
        <w:t>References</w:t>
      </w:r>
      <w:proofErr w:type="spellEnd"/>
    </w:p>
    <w:p w14:paraId="7986BBAB" w14:textId="29D6B936" w:rsidR="00DF18B9" w:rsidRPr="00DF18B9" w:rsidRDefault="00EB41B2" w:rsidP="00DF18B9">
      <w:pPr>
        <w:widowControl w:val="0"/>
        <w:autoSpaceDE w:val="0"/>
        <w:autoSpaceDN w:val="0"/>
        <w:adjustRightInd w:val="0"/>
        <w:spacing w:line="240" w:lineRule="auto"/>
        <w:ind w:left="480" w:hanging="480"/>
        <w:rPr>
          <w:rFonts w:cs="Arial"/>
          <w:noProof/>
          <w:szCs w:val="24"/>
        </w:rPr>
      </w:pPr>
      <w:r>
        <w:rPr>
          <w:b/>
          <w:highlight w:val="yellow"/>
        </w:rPr>
        <w:fldChar w:fldCharType="begin" w:fldLock="1"/>
      </w:r>
      <w:r w:rsidRPr="00DE08DD">
        <w:rPr>
          <w:b/>
          <w:highlight w:val="yellow"/>
          <w:lang w:val="it-IT"/>
        </w:rPr>
        <w:instrText xml:space="preserve">ADDIN Mendeley Bibliography CSL_BIBLIOGRAPHY </w:instrText>
      </w:r>
      <w:r>
        <w:rPr>
          <w:b/>
          <w:highlight w:val="yellow"/>
        </w:rPr>
        <w:fldChar w:fldCharType="separate"/>
      </w:r>
      <w:r w:rsidR="00DF18B9" w:rsidRPr="00DE08DD">
        <w:rPr>
          <w:rFonts w:cs="Arial"/>
          <w:noProof/>
          <w:szCs w:val="24"/>
          <w:lang w:val="it-IT"/>
        </w:rPr>
        <w:t xml:space="preserve">Capocelli, M., Prisciandaro, M., Piemonte, V., Barba, D., 2019. </w:t>
      </w:r>
      <w:r w:rsidR="00DF18B9" w:rsidRPr="00DF18B9">
        <w:rPr>
          <w:rFonts w:cs="Arial"/>
          <w:noProof/>
          <w:szCs w:val="24"/>
        </w:rPr>
        <w:t>A technical-economical approach to promote the water treatment &amp; reuse processes. J. Clean. Prod. 207, 85–96. https://doi.org/10.1016/j.jclepro.2018.09.135</w:t>
      </w:r>
    </w:p>
    <w:p w14:paraId="40DA75C6" w14:textId="77777777" w:rsidR="00DF18B9" w:rsidRPr="00DF18B9" w:rsidRDefault="00DF18B9" w:rsidP="00DF18B9">
      <w:pPr>
        <w:widowControl w:val="0"/>
        <w:autoSpaceDE w:val="0"/>
        <w:autoSpaceDN w:val="0"/>
        <w:adjustRightInd w:val="0"/>
        <w:spacing w:line="240" w:lineRule="auto"/>
        <w:ind w:left="480" w:hanging="480"/>
        <w:rPr>
          <w:rFonts w:cs="Arial"/>
          <w:noProof/>
          <w:szCs w:val="24"/>
        </w:rPr>
      </w:pPr>
      <w:r w:rsidRPr="00DF18B9">
        <w:rPr>
          <w:rFonts w:cs="Arial"/>
          <w:noProof/>
          <w:szCs w:val="24"/>
        </w:rPr>
        <w:t>European Environmental Agency, 2018. European waters Assessment of status and pressures 2018, Parents and Children Communicating with Society: Managing Relationships Outside of Home. Luxembourg. https://doi.org/10.2800/303664</w:t>
      </w:r>
    </w:p>
    <w:p w14:paraId="17E50114" w14:textId="77777777" w:rsidR="00DF18B9" w:rsidRPr="00DF18B9" w:rsidRDefault="00DF18B9" w:rsidP="00DF18B9">
      <w:pPr>
        <w:widowControl w:val="0"/>
        <w:autoSpaceDE w:val="0"/>
        <w:autoSpaceDN w:val="0"/>
        <w:adjustRightInd w:val="0"/>
        <w:spacing w:line="240" w:lineRule="auto"/>
        <w:ind w:left="480" w:hanging="480"/>
        <w:rPr>
          <w:rFonts w:cs="Arial"/>
          <w:noProof/>
          <w:szCs w:val="24"/>
        </w:rPr>
      </w:pPr>
      <w:r w:rsidRPr="00DF18B9">
        <w:rPr>
          <w:rFonts w:cs="Arial"/>
          <w:noProof/>
          <w:szCs w:val="24"/>
        </w:rPr>
        <w:t>Fayiga, A.O., Ma, L.Q., Santos, J., Rathinasabapathi, B., Stamps, B., Littell, R.C., 2005. Effects of arsenic species and concentrations on arsenic accumulation by different fern species in a hydroponic system. Int. J. Phytoremediation 7, 231–240. https://doi.org/10.1080/16226510500215720</w:t>
      </w:r>
    </w:p>
    <w:p w14:paraId="47670F11" w14:textId="77777777" w:rsidR="00DF18B9" w:rsidRPr="00DF18B9" w:rsidRDefault="00DF18B9" w:rsidP="00DF18B9">
      <w:pPr>
        <w:widowControl w:val="0"/>
        <w:autoSpaceDE w:val="0"/>
        <w:autoSpaceDN w:val="0"/>
        <w:adjustRightInd w:val="0"/>
        <w:spacing w:line="240" w:lineRule="auto"/>
        <w:ind w:left="480" w:hanging="480"/>
        <w:rPr>
          <w:rFonts w:cs="Arial"/>
          <w:noProof/>
          <w:szCs w:val="24"/>
        </w:rPr>
      </w:pPr>
      <w:r w:rsidRPr="00DF18B9">
        <w:rPr>
          <w:rFonts w:cs="Arial"/>
          <w:noProof/>
          <w:szCs w:val="24"/>
        </w:rPr>
        <w:t>Huang, Y., Miyauchi, K., Inoze, C., Endo, G., 2016. Development of suitable hydroponics system for phytoremediation of arseniccontaminated water using an arsenic hyperaccumulator plant Pteris vittata. Biosci. Biotechnol. Biochem. 80, 614–618. https://doi.org/10.1080/09168451.2015.1107461</w:t>
      </w:r>
    </w:p>
    <w:p w14:paraId="57B9DEDC" w14:textId="77777777" w:rsidR="00DF18B9" w:rsidRPr="00DF18B9" w:rsidRDefault="00DF18B9" w:rsidP="00DF18B9">
      <w:pPr>
        <w:widowControl w:val="0"/>
        <w:autoSpaceDE w:val="0"/>
        <w:autoSpaceDN w:val="0"/>
        <w:adjustRightInd w:val="0"/>
        <w:spacing w:line="240" w:lineRule="auto"/>
        <w:ind w:left="480" w:hanging="480"/>
        <w:rPr>
          <w:rFonts w:cs="Arial"/>
          <w:noProof/>
          <w:szCs w:val="24"/>
        </w:rPr>
      </w:pPr>
      <w:r w:rsidRPr="00DF18B9">
        <w:rPr>
          <w:rFonts w:cs="Arial"/>
          <w:noProof/>
          <w:szCs w:val="24"/>
        </w:rPr>
        <w:lastRenderedPageBreak/>
        <w:t>Inyinbor, A.A., Adekola, F.A., Olatunji, G.A., 2016. Kinetics, isotherms and thermodynamic modeling of liquid phase adsorption of Rhodamine B dye onto Raphia hookerie fruit epicarp. Water Resour. Ind. 15, 14–27. https://doi.org/10.1016/j.wri.2016.06.001</w:t>
      </w:r>
    </w:p>
    <w:p w14:paraId="10A7760A" w14:textId="77777777" w:rsidR="00DF18B9" w:rsidRPr="00DE08DD" w:rsidRDefault="00DF18B9" w:rsidP="00DF18B9">
      <w:pPr>
        <w:widowControl w:val="0"/>
        <w:autoSpaceDE w:val="0"/>
        <w:autoSpaceDN w:val="0"/>
        <w:adjustRightInd w:val="0"/>
        <w:spacing w:line="240" w:lineRule="auto"/>
        <w:ind w:left="480" w:hanging="480"/>
        <w:rPr>
          <w:rFonts w:cs="Arial"/>
          <w:noProof/>
          <w:szCs w:val="24"/>
          <w:lang w:val="it-IT"/>
        </w:rPr>
      </w:pPr>
      <w:r w:rsidRPr="00DF18B9">
        <w:rPr>
          <w:rFonts w:cs="Arial"/>
          <w:noProof/>
          <w:szCs w:val="24"/>
        </w:rPr>
        <w:t xml:space="preserve">Lim, L.B.L., Priyantha, N., Fang, X.Y., Mohamad Zaidi, N.A.H., 2017. Artocarpusodoratissimus peel as a potential adsorbent in environmental remediation to remove toxic Rhodamine B dye. </w:t>
      </w:r>
      <w:r w:rsidRPr="00DE08DD">
        <w:rPr>
          <w:rFonts w:cs="Arial"/>
          <w:noProof/>
          <w:szCs w:val="24"/>
          <w:lang w:val="it-IT"/>
        </w:rPr>
        <w:t>J. Mater. Environ. Sci. 8, 494–502.</w:t>
      </w:r>
    </w:p>
    <w:p w14:paraId="0368287D" w14:textId="77777777" w:rsidR="00DF18B9" w:rsidRPr="00DE08DD" w:rsidRDefault="00DF18B9" w:rsidP="00DF18B9">
      <w:pPr>
        <w:widowControl w:val="0"/>
        <w:autoSpaceDE w:val="0"/>
        <w:autoSpaceDN w:val="0"/>
        <w:adjustRightInd w:val="0"/>
        <w:spacing w:line="240" w:lineRule="auto"/>
        <w:ind w:left="480" w:hanging="480"/>
        <w:rPr>
          <w:rFonts w:cs="Arial"/>
          <w:noProof/>
          <w:szCs w:val="24"/>
          <w:lang w:val="it-IT"/>
        </w:rPr>
      </w:pPr>
      <w:r w:rsidRPr="00DE08DD">
        <w:rPr>
          <w:rFonts w:cs="Arial"/>
          <w:noProof/>
          <w:szCs w:val="24"/>
          <w:lang w:val="it-IT"/>
        </w:rPr>
        <w:t xml:space="preserve">Marzi, D., Antenozio, M.L., Vernazzaro, S., Sette, C., Veschetti, E., Lucentini, L., Daniele, G., Brunetti, P., Cardarelli, M., 2021. </w:t>
      </w:r>
      <w:r w:rsidRPr="00DF18B9">
        <w:rPr>
          <w:rFonts w:cs="Arial"/>
          <w:noProof/>
          <w:szCs w:val="24"/>
        </w:rPr>
        <w:t xml:space="preserve">Advanced drinking groundwater as phytofiltration by the hyperaccumulating fern pteris vittata. </w:t>
      </w:r>
      <w:r w:rsidRPr="00DE08DD">
        <w:rPr>
          <w:rFonts w:cs="Arial"/>
          <w:noProof/>
          <w:szCs w:val="24"/>
          <w:lang w:val="it-IT"/>
        </w:rPr>
        <w:t>Water (Switzerland) 13, 1–10. https://doi.org/10.3390/w13162187</w:t>
      </w:r>
    </w:p>
    <w:p w14:paraId="4DE6087E" w14:textId="77777777" w:rsidR="00DF18B9" w:rsidRPr="00DF18B9" w:rsidRDefault="00DF18B9" w:rsidP="00DF18B9">
      <w:pPr>
        <w:widowControl w:val="0"/>
        <w:autoSpaceDE w:val="0"/>
        <w:autoSpaceDN w:val="0"/>
        <w:adjustRightInd w:val="0"/>
        <w:spacing w:line="240" w:lineRule="auto"/>
        <w:ind w:left="480" w:hanging="480"/>
        <w:rPr>
          <w:rFonts w:cs="Arial"/>
          <w:noProof/>
          <w:szCs w:val="24"/>
        </w:rPr>
      </w:pPr>
      <w:r w:rsidRPr="00DE08DD">
        <w:rPr>
          <w:rFonts w:cs="Arial"/>
          <w:noProof/>
          <w:szCs w:val="24"/>
          <w:lang w:val="it-IT"/>
        </w:rPr>
        <w:t xml:space="preserve">Mazzeo, L., Bavasso, I., Bracciale, M.P., Cocchi, M., Palma, L. Di, Piemonte, V., 2020. </w:t>
      </w:r>
      <w:r w:rsidRPr="00DF18B9">
        <w:rPr>
          <w:rFonts w:cs="Arial"/>
          <w:noProof/>
          <w:szCs w:val="24"/>
        </w:rPr>
        <w:t>Yerba Mate (Ilex paraguarensis) as Bio-Adsorbent for the Removal of Methylene Blue , Remazol Brilliant Blue and Chromium Hexavalent : Thermodynamic and Kinetic Studies.</w:t>
      </w:r>
    </w:p>
    <w:p w14:paraId="0CE0B5C0" w14:textId="77777777" w:rsidR="00DF18B9" w:rsidRPr="00DE08DD" w:rsidRDefault="00DF18B9" w:rsidP="00DF18B9">
      <w:pPr>
        <w:widowControl w:val="0"/>
        <w:autoSpaceDE w:val="0"/>
        <w:autoSpaceDN w:val="0"/>
        <w:adjustRightInd w:val="0"/>
        <w:spacing w:line="240" w:lineRule="auto"/>
        <w:ind w:left="480" w:hanging="480"/>
        <w:rPr>
          <w:rFonts w:cs="Arial"/>
          <w:noProof/>
          <w:szCs w:val="24"/>
          <w:lang w:val="it-IT"/>
        </w:rPr>
      </w:pPr>
      <w:r w:rsidRPr="00DE08DD">
        <w:rPr>
          <w:rFonts w:cs="Arial"/>
          <w:noProof/>
          <w:szCs w:val="24"/>
          <w:lang w:val="it-IT"/>
        </w:rPr>
        <w:t xml:space="preserve">Mazzeo, L., Bavasso, I., Spallieri, M., Bracciale, M.P., Piemonte, V., Di Palma, L., 2022a. </w:t>
      </w:r>
      <w:r w:rsidRPr="00DF18B9">
        <w:rPr>
          <w:rFonts w:cs="Arial"/>
          <w:noProof/>
          <w:szCs w:val="24"/>
        </w:rPr>
        <w:t xml:space="preserve">Effect of Water–Ethanol Extraction as Pre-Treatment on the Adsorption Properties of Aloe vera Waste. </w:t>
      </w:r>
      <w:r w:rsidRPr="00DE08DD">
        <w:rPr>
          <w:rFonts w:cs="Arial"/>
          <w:noProof/>
          <w:szCs w:val="24"/>
          <w:lang w:val="it-IT"/>
        </w:rPr>
        <w:t>Materials (Basel). 15, 1–18. https://doi.org/10.3390/ma15165566</w:t>
      </w:r>
    </w:p>
    <w:p w14:paraId="23A9306A" w14:textId="77777777" w:rsidR="00DF18B9" w:rsidRPr="00DE08DD" w:rsidRDefault="00DF18B9" w:rsidP="00DF18B9">
      <w:pPr>
        <w:widowControl w:val="0"/>
        <w:autoSpaceDE w:val="0"/>
        <w:autoSpaceDN w:val="0"/>
        <w:adjustRightInd w:val="0"/>
        <w:spacing w:line="240" w:lineRule="auto"/>
        <w:ind w:left="480" w:hanging="480"/>
        <w:rPr>
          <w:rFonts w:cs="Arial"/>
          <w:noProof/>
          <w:szCs w:val="24"/>
          <w:lang w:val="it-IT"/>
        </w:rPr>
      </w:pPr>
      <w:r w:rsidRPr="00DE08DD">
        <w:rPr>
          <w:rFonts w:cs="Arial"/>
          <w:noProof/>
          <w:szCs w:val="24"/>
          <w:lang w:val="it-IT"/>
        </w:rPr>
        <w:t xml:space="preserve">Mazzeo, L., Marzi, D., Bavasso, I., Piemonte, V., Palma, L. Di, 2023. </w:t>
      </w:r>
      <w:r w:rsidRPr="00DF18B9">
        <w:rPr>
          <w:rFonts w:cs="Arial"/>
          <w:noProof/>
          <w:szCs w:val="24"/>
        </w:rPr>
        <w:t xml:space="preserve">Removal of Methylene Blue from Wastewater by Waste Roots from the Arsenic-Hyperaccumulator Pteris vittata : Fixed Bed Adsorption Kinetics. </w:t>
      </w:r>
      <w:r w:rsidRPr="00DE08DD">
        <w:rPr>
          <w:rFonts w:cs="Arial"/>
          <w:noProof/>
          <w:szCs w:val="24"/>
          <w:lang w:val="it-IT"/>
        </w:rPr>
        <w:t>Materials (Basel). 16, 1450. https://doi.org/10.3390/ma16041450</w:t>
      </w:r>
    </w:p>
    <w:p w14:paraId="2CB305AF" w14:textId="77777777" w:rsidR="00DF18B9" w:rsidRPr="00DF18B9" w:rsidRDefault="00DF18B9" w:rsidP="00DF18B9">
      <w:pPr>
        <w:widowControl w:val="0"/>
        <w:autoSpaceDE w:val="0"/>
        <w:autoSpaceDN w:val="0"/>
        <w:adjustRightInd w:val="0"/>
        <w:spacing w:line="240" w:lineRule="auto"/>
        <w:ind w:left="480" w:hanging="480"/>
        <w:rPr>
          <w:rFonts w:cs="Arial"/>
          <w:noProof/>
          <w:szCs w:val="24"/>
        </w:rPr>
      </w:pPr>
      <w:r w:rsidRPr="00DE08DD">
        <w:rPr>
          <w:rFonts w:cs="Arial"/>
          <w:noProof/>
          <w:szCs w:val="24"/>
          <w:lang w:val="it-IT"/>
        </w:rPr>
        <w:t xml:space="preserve">Mazzeo, L., Marzi, D., Irene, B., Bracciale, M.P., Piemonte, V., Di Palma, L., 2022b. </w:t>
      </w:r>
      <w:r w:rsidRPr="00DF18B9">
        <w:rPr>
          <w:rFonts w:cs="Arial"/>
          <w:noProof/>
          <w:szCs w:val="24"/>
        </w:rPr>
        <w:t>Characterization of waste roots from the As hyperaccumulator Pteris vittata as low-cost adsorbent for Methylene Blue removal. Chem. Eng. Res. Des. https://doi.org/10.1016/j.cherd.2022.07.025</w:t>
      </w:r>
    </w:p>
    <w:p w14:paraId="6AEDE6BC" w14:textId="77777777" w:rsidR="00DF18B9" w:rsidRPr="00DF18B9" w:rsidRDefault="00DF18B9" w:rsidP="00DF18B9">
      <w:pPr>
        <w:widowControl w:val="0"/>
        <w:autoSpaceDE w:val="0"/>
        <w:autoSpaceDN w:val="0"/>
        <w:adjustRightInd w:val="0"/>
        <w:spacing w:line="240" w:lineRule="auto"/>
        <w:ind w:left="480" w:hanging="480"/>
        <w:rPr>
          <w:rFonts w:cs="Arial"/>
          <w:noProof/>
          <w:szCs w:val="24"/>
        </w:rPr>
      </w:pPr>
      <w:r w:rsidRPr="00DF18B9">
        <w:rPr>
          <w:rFonts w:cs="Arial"/>
          <w:noProof/>
          <w:szCs w:val="24"/>
        </w:rPr>
        <w:t>McKay, G., 1998. Application of Surface Diffusion Model to the Adsorption of Dyes on Bagasse Pith. Adsorption 4, 361–372. https://doi.org/10.1023/a:1008854304933</w:t>
      </w:r>
    </w:p>
    <w:p w14:paraId="43B9A42C" w14:textId="77777777" w:rsidR="00DF18B9" w:rsidRPr="00DF18B9" w:rsidRDefault="00DF18B9" w:rsidP="00DF18B9">
      <w:pPr>
        <w:widowControl w:val="0"/>
        <w:autoSpaceDE w:val="0"/>
        <w:autoSpaceDN w:val="0"/>
        <w:adjustRightInd w:val="0"/>
        <w:spacing w:line="240" w:lineRule="auto"/>
        <w:ind w:left="480" w:hanging="480"/>
        <w:rPr>
          <w:rFonts w:cs="Arial"/>
          <w:noProof/>
          <w:szCs w:val="24"/>
        </w:rPr>
      </w:pPr>
      <w:r w:rsidRPr="00DF18B9">
        <w:rPr>
          <w:rFonts w:cs="Arial"/>
          <w:noProof/>
          <w:szCs w:val="24"/>
        </w:rPr>
        <w:t>McKay, G., 1984. Two-Resistance Mass Transfer Models for the Adsorption of Dyestuffs From Aqueous Solutions Using Activated Carbon. J. Chem. Technol. Biotechnol. Chem. Technol. 34 A, 294–310. https://doi.org/10.1002/jctb.5040340604</w:t>
      </w:r>
    </w:p>
    <w:p w14:paraId="43DBF8C9" w14:textId="77777777" w:rsidR="00DF18B9" w:rsidRPr="00DF18B9" w:rsidRDefault="00DF18B9" w:rsidP="00DF18B9">
      <w:pPr>
        <w:widowControl w:val="0"/>
        <w:autoSpaceDE w:val="0"/>
        <w:autoSpaceDN w:val="0"/>
        <w:adjustRightInd w:val="0"/>
        <w:spacing w:line="240" w:lineRule="auto"/>
        <w:ind w:left="480" w:hanging="480"/>
        <w:rPr>
          <w:rFonts w:cs="Arial"/>
          <w:noProof/>
          <w:szCs w:val="24"/>
        </w:rPr>
      </w:pPr>
      <w:r w:rsidRPr="00DE08DD">
        <w:rPr>
          <w:rFonts w:cs="Arial"/>
          <w:noProof/>
          <w:szCs w:val="24"/>
          <w:lang w:val="it-IT"/>
        </w:rPr>
        <w:t xml:space="preserve">Postai, D.L., Demarchi, C.A., Zanatta, F., Melo, D.C.C., Rodrigues, C.A., 2016. </w:t>
      </w:r>
      <w:r w:rsidRPr="00DF18B9">
        <w:rPr>
          <w:rFonts w:cs="Arial"/>
          <w:noProof/>
          <w:szCs w:val="24"/>
        </w:rPr>
        <w:t>Adsorption of rhodamine B and methylene blue dyes using waste of seeds of Aleurites Moluccana, a low cost adsorbent. Alexandria Eng. J. 55, 1713–1723. https://doi.org/10.1016/j.aej.2016.03.017</w:t>
      </w:r>
    </w:p>
    <w:p w14:paraId="68E417D3" w14:textId="77777777" w:rsidR="00DF18B9" w:rsidRPr="00DE08DD" w:rsidRDefault="00DF18B9" w:rsidP="00DF18B9">
      <w:pPr>
        <w:widowControl w:val="0"/>
        <w:autoSpaceDE w:val="0"/>
        <w:autoSpaceDN w:val="0"/>
        <w:adjustRightInd w:val="0"/>
        <w:spacing w:line="240" w:lineRule="auto"/>
        <w:ind w:left="480" w:hanging="480"/>
        <w:rPr>
          <w:rFonts w:cs="Arial"/>
          <w:noProof/>
          <w:szCs w:val="24"/>
          <w:lang w:val="it-IT"/>
        </w:rPr>
      </w:pPr>
      <w:r w:rsidRPr="00DF18B9">
        <w:rPr>
          <w:rFonts w:cs="Arial"/>
          <w:noProof/>
          <w:szCs w:val="24"/>
        </w:rPr>
        <w:t xml:space="preserve">Schwarzenbach, R.P., Egli, T., Hofstetter, T.B., Von Gunten, U., Wehrli, B., 2010. Global water pollution and human health. Annu. Rev. Environ. Resour. </w:t>
      </w:r>
      <w:r w:rsidRPr="00DE08DD">
        <w:rPr>
          <w:rFonts w:cs="Arial"/>
          <w:noProof/>
          <w:szCs w:val="24"/>
          <w:lang w:val="it-IT"/>
        </w:rPr>
        <w:t>35, 109–136. https://doi.org/10.1146/annurev-environ-100809-125342</w:t>
      </w:r>
    </w:p>
    <w:p w14:paraId="1172ED92" w14:textId="77777777" w:rsidR="00DF18B9" w:rsidRPr="00DF18B9" w:rsidRDefault="00DF18B9" w:rsidP="00DF18B9">
      <w:pPr>
        <w:widowControl w:val="0"/>
        <w:autoSpaceDE w:val="0"/>
        <w:autoSpaceDN w:val="0"/>
        <w:adjustRightInd w:val="0"/>
        <w:spacing w:line="240" w:lineRule="auto"/>
        <w:ind w:left="480" w:hanging="480"/>
        <w:rPr>
          <w:rFonts w:cs="Arial"/>
          <w:noProof/>
          <w:szCs w:val="24"/>
        </w:rPr>
      </w:pPr>
      <w:r w:rsidRPr="00DE08DD">
        <w:rPr>
          <w:rFonts w:cs="Arial"/>
          <w:noProof/>
          <w:szCs w:val="24"/>
          <w:lang w:val="it-IT"/>
        </w:rPr>
        <w:t xml:space="preserve">Shen, K., Gondal, M.A., 2017. </w:t>
      </w:r>
      <w:r w:rsidRPr="00DF18B9">
        <w:rPr>
          <w:rFonts w:cs="Arial"/>
          <w:noProof/>
          <w:szCs w:val="24"/>
        </w:rPr>
        <w:t>Removal of hazardous Rhodamine dye from water by adsorption onto exhausted coffee ground. J. Saudi Chem. Soc. 21, S120–S127. https://doi.org/10.1016/j.jscs.2013.11.005</w:t>
      </w:r>
    </w:p>
    <w:p w14:paraId="0110AD72" w14:textId="77777777" w:rsidR="00DF18B9" w:rsidRPr="00DF18B9" w:rsidRDefault="00DF18B9" w:rsidP="00DF18B9">
      <w:pPr>
        <w:widowControl w:val="0"/>
        <w:autoSpaceDE w:val="0"/>
        <w:autoSpaceDN w:val="0"/>
        <w:adjustRightInd w:val="0"/>
        <w:spacing w:line="240" w:lineRule="auto"/>
        <w:ind w:left="480" w:hanging="480"/>
        <w:rPr>
          <w:rFonts w:cs="Arial"/>
          <w:noProof/>
          <w:szCs w:val="24"/>
        </w:rPr>
      </w:pPr>
      <w:r w:rsidRPr="00DF18B9">
        <w:rPr>
          <w:rFonts w:cs="Arial"/>
          <w:noProof/>
          <w:szCs w:val="24"/>
        </w:rPr>
        <w:t>Taşar, Ş., Kaya, F., Özer, A., 2014. Biosorption of lead(II) ions from aqueous solution by peanut shells: Equilibrium, thermodynamic and kinetic studies. J. Environ. Chem. Eng. 2, 1018–1026. https://doi.org/10.1016/j.jece.2014.03.015</w:t>
      </w:r>
    </w:p>
    <w:p w14:paraId="77DA92C0" w14:textId="77777777" w:rsidR="00DF18B9" w:rsidRPr="00DF18B9" w:rsidRDefault="00DF18B9" w:rsidP="00DF18B9">
      <w:pPr>
        <w:widowControl w:val="0"/>
        <w:autoSpaceDE w:val="0"/>
        <w:autoSpaceDN w:val="0"/>
        <w:adjustRightInd w:val="0"/>
        <w:spacing w:line="240" w:lineRule="auto"/>
        <w:ind w:left="480" w:hanging="480"/>
        <w:rPr>
          <w:rFonts w:cs="Arial"/>
          <w:noProof/>
          <w:szCs w:val="24"/>
        </w:rPr>
      </w:pPr>
      <w:r w:rsidRPr="00DF18B9">
        <w:rPr>
          <w:rFonts w:cs="Arial"/>
          <w:noProof/>
          <w:szCs w:val="24"/>
        </w:rPr>
        <w:t>Tien, C., 2019. Introduction to Adsorption. https://doi.org/10.1016/b978-0-12-816446-4.09991-7</w:t>
      </w:r>
    </w:p>
    <w:p w14:paraId="173CD3A1" w14:textId="77777777" w:rsidR="00DF18B9" w:rsidRPr="00DF18B9" w:rsidRDefault="00DF18B9" w:rsidP="00DF18B9">
      <w:pPr>
        <w:widowControl w:val="0"/>
        <w:autoSpaceDE w:val="0"/>
        <w:autoSpaceDN w:val="0"/>
        <w:adjustRightInd w:val="0"/>
        <w:spacing w:line="240" w:lineRule="auto"/>
        <w:ind w:left="480" w:hanging="480"/>
        <w:rPr>
          <w:rFonts w:cs="Arial"/>
          <w:noProof/>
          <w:szCs w:val="24"/>
        </w:rPr>
      </w:pPr>
      <w:r w:rsidRPr="00DF18B9">
        <w:rPr>
          <w:rFonts w:cs="Arial"/>
          <w:noProof/>
          <w:szCs w:val="24"/>
        </w:rPr>
        <w:t>UNESCO, 2015. Water reuse: Potential for expanding the Nation’s Water Supply through Reuse of Municipal Wastewater. The National Academies Press, Washington DC, USA.</w:t>
      </w:r>
    </w:p>
    <w:p w14:paraId="138F7A84" w14:textId="77777777" w:rsidR="00DF18B9" w:rsidRPr="00DE08DD" w:rsidRDefault="00DF18B9" w:rsidP="00DF18B9">
      <w:pPr>
        <w:widowControl w:val="0"/>
        <w:autoSpaceDE w:val="0"/>
        <w:autoSpaceDN w:val="0"/>
        <w:adjustRightInd w:val="0"/>
        <w:spacing w:line="240" w:lineRule="auto"/>
        <w:ind w:left="480" w:hanging="480"/>
        <w:rPr>
          <w:rFonts w:cs="Arial"/>
          <w:noProof/>
          <w:szCs w:val="24"/>
          <w:lang w:val="it-IT"/>
        </w:rPr>
      </w:pPr>
      <w:r w:rsidRPr="00DF18B9">
        <w:rPr>
          <w:rFonts w:cs="Arial"/>
          <w:noProof/>
          <w:szCs w:val="24"/>
        </w:rPr>
        <w:t xml:space="preserve">Yao, C., Zhu, C., 2020. A new method of characterizing mass transfer controlling mechanism in pollutant adsorption from aqueous solutions. </w:t>
      </w:r>
      <w:r w:rsidRPr="00DE08DD">
        <w:rPr>
          <w:rFonts w:cs="Arial"/>
          <w:noProof/>
          <w:szCs w:val="24"/>
          <w:lang w:val="it-IT"/>
        </w:rPr>
        <w:t>J. Mol. Liq. 301, 112455. https://doi.org/10.1016/j.molliq.2020.112455</w:t>
      </w:r>
    </w:p>
    <w:p w14:paraId="025BE82F" w14:textId="77777777" w:rsidR="00DF18B9" w:rsidRPr="00DF18B9" w:rsidRDefault="00DF18B9" w:rsidP="00DF18B9">
      <w:pPr>
        <w:widowControl w:val="0"/>
        <w:autoSpaceDE w:val="0"/>
        <w:autoSpaceDN w:val="0"/>
        <w:adjustRightInd w:val="0"/>
        <w:spacing w:line="240" w:lineRule="auto"/>
        <w:ind w:left="480" w:hanging="480"/>
        <w:rPr>
          <w:rFonts w:cs="Arial"/>
          <w:noProof/>
        </w:rPr>
      </w:pPr>
      <w:r w:rsidRPr="00DE08DD">
        <w:rPr>
          <w:rFonts w:cs="Arial"/>
          <w:noProof/>
          <w:szCs w:val="24"/>
          <w:lang w:val="it-IT"/>
        </w:rPr>
        <w:t xml:space="preserve">Zahir, A., Aslam, Z., Aslam, U., Abdullah, A., Ali, R., Bello, M.M., 2020. </w:t>
      </w:r>
      <w:r w:rsidRPr="00DF18B9">
        <w:rPr>
          <w:rFonts w:cs="Arial"/>
          <w:noProof/>
          <w:szCs w:val="24"/>
        </w:rPr>
        <w:t>Paspalum notatum grass-waste-based adsorbent for rhodamine B removal from polluted water. Chem. Biochem. Eng. Q. 34, 93–104. https://doi.org/10.15255/CABEQ.2020.1830</w:t>
      </w:r>
    </w:p>
    <w:p w14:paraId="0A8071EA" w14:textId="164306E3" w:rsidR="000250CD" w:rsidRDefault="00EB41B2" w:rsidP="00DC269D">
      <w:pPr>
        <w:widowControl w:val="0"/>
        <w:autoSpaceDE w:val="0"/>
        <w:autoSpaceDN w:val="0"/>
        <w:adjustRightInd w:val="0"/>
        <w:spacing w:line="240" w:lineRule="auto"/>
        <w:ind w:left="480" w:hanging="480"/>
        <w:rPr>
          <w:b/>
          <w:highlight w:val="yellow"/>
        </w:rPr>
      </w:pPr>
      <w:r>
        <w:rPr>
          <w:b/>
          <w:highlight w:val="yellow"/>
        </w:rPr>
        <w:fldChar w:fldCharType="end"/>
      </w:r>
    </w:p>
    <w:sectPr w:rsidR="000250CD"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7DB7" w14:textId="77777777" w:rsidR="001B33E7" w:rsidRDefault="001B33E7" w:rsidP="004F5E36">
      <w:r>
        <w:separator/>
      </w:r>
    </w:p>
  </w:endnote>
  <w:endnote w:type="continuationSeparator" w:id="0">
    <w:p w14:paraId="337F48E7" w14:textId="77777777" w:rsidR="001B33E7" w:rsidRDefault="001B33E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BDEB" w14:textId="77777777" w:rsidR="001B33E7" w:rsidRDefault="001B33E7" w:rsidP="004F5E36">
      <w:r>
        <w:separator/>
      </w:r>
    </w:p>
  </w:footnote>
  <w:footnote w:type="continuationSeparator" w:id="0">
    <w:p w14:paraId="69BA7311" w14:textId="77777777" w:rsidR="001B33E7" w:rsidRDefault="001B33E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1EF2403"/>
    <w:multiLevelType w:val="hybridMultilevel"/>
    <w:tmpl w:val="6092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929DE"/>
    <w:multiLevelType w:val="hybridMultilevel"/>
    <w:tmpl w:val="EEE6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011A3"/>
    <w:multiLevelType w:val="hybridMultilevel"/>
    <w:tmpl w:val="93DE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A539D1"/>
    <w:multiLevelType w:val="hybridMultilevel"/>
    <w:tmpl w:val="66E4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7637DF"/>
    <w:multiLevelType w:val="hybridMultilevel"/>
    <w:tmpl w:val="581E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2DD0F64"/>
    <w:multiLevelType w:val="hybridMultilevel"/>
    <w:tmpl w:val="1F32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50049A"/>
    <w:multiLevelType w:val="hybridMultilevel"/>
    <w:tmpl w:val="5A3C26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5F3C31"/>
    <w:multiLevelType w:val="hybridMultilevel"/>
    <w:tmpl w:val="EBEE9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767217">
    <w:abstractNumId w:val="13"/>
  </w:num>
  <w:num w:numId="2" w16cid:durableId="2100515139">
    <w:abstractNumId w:val="8"/>
  </w:num>
  <w:num w:numId="3" w16cid:durableId="1712878803">
    <w:abstractNumId w:val="3"/>
  </w:num>
  <w:num w:numId="4" w16cid:durableId="1724403842">
    <w:abstractNumId w:val="2"/>
  </w:num>
  <w:num w:numId="5" w16cid:durableId="1587038004">
    <w:abstractNumId w:val="1"/>
  </w:num>
  <w:num w:numId="6" w16cid:durableId="1883665294">
    <w:abstractNumId w:val="0"/>
  </w:num>
  <w:num w:numId="7" w16cid:durableId="1991984128">
    <w:abstractNumId w:val="9"/>
  </w:num>
  <w:num w:numId="8" w16cid:durableId="1479109914">
    <w:abstractNumId w:val="7"/>
  </w:num>
  <w:num w:numId="9" w16cid:durableId="1414206532">
    <w:abstractNumId w:val="6"/>
  </w:num>
  <w:num w:numId="10" w16cid:durableId="1698891245">
    <w:abstractNumId w:val="5"/>
  </w:num>
  <w:num w:numId="11" w16cid:durableId="1194884741">
    <w:abstractNumId w:val="4"/>
  </w:num>
  <w:num w:numId="12" w16cid:durableId="257763261">
    <w:abstractNumId w:val="20"/>
  </w:num>
  <w:num w:numId="13" w16cid:durableId="1839810251">
    <w:abstractNumId w:val="15"/>
  </w:num>
  <w:num w:numId="14" w16cid:durableId="658002519">
    <w:abstractNumId w:val="22"/>
  </w:num>
  <w:num w:numId="15" w16cid:durableId="666832591">
    <w:abstractNumId w:val="25"/>
  </w:num>
  <w:num w:numId="16" w16cid:durableId="392391559">
    <w:abstractNumId w:val="24"/>
  </w:num>
  <w:num w:numId="17" w16cid:durableId="397558783">
    <w:abstractNumId w:val="14"/>
  </w:num>
  <w:num w:numId="18" w16cid:durableId="22560547">
    <w:abstractNumId w:val="15"/>
    <w:lvlOverride w:ilvl="0">
      <w:startOverride w:val="1"/>
    </w:lvlOverride>
  </w:num>
  <w:num w:numId="19" w16cid:durableId="83380547">
    <w:abstractNumId w:val="18"/>
  </w:num>
  <w:num w:numId="20" w16cid:durableId="269702064">
    <w:abstractNumId w:val="17"/>
  </w:num>
  <w:num w:numId="21" w16cid:durableId="1747411497">
    <w:abstractNumId w:val="16"/>
  </w:num>
  <w:num w:numId="22" w16cid:durableId="1559172851">
    <w:abstractNumId w:val="27"/>
  </w:num>
  <w:num w:numId="23" w16cid:durableId="1778257652">
    <w:abstractNumId w:val="23"/>
  </w:num>
  <w:num w:numId="24" w16cid:durableId="688410722">
    <w:abstractNumId w:val="10"/>
  </w:num>
  <w:num w:numId="25" w16cid:durableId="1725716683">
    <w:abstractNumId w:val="11"/>
  </w:num>
  <w:num w:numId="26" w16cid:durableId="1698434555">
    <w:abstractNumId w:val="19"/>
  </w:num>
  <w:num w:numId="27" w16cid:durableId="1677920305">
    <w:abstractNumId w:val="26"/>
  </w:num>
  <w:num w:numId="28" w16cid:durableId="236744037">
    <w:abstractNumId w:val="12"/>
  </w:num>
  <w:num w:numId="29" w16cid:durableId="1173785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B24"/>
    <w:rsid w:val="000027C0"/>
    <w:rsid w:val="00002F12"/>
    <w:rsid w:val="00003C8D"/>
    <w:rsid w:val="000052FB"/>
    <w:rsid w:val="000117CB"/>
    <w:rsid w:val="00014EC6"/>
    <w:rsid w:val="00015578"/>
    <w:rsid w:val="00017C68"/>
    <w:rsid w:val="000237B3"/>
    <w:rsid w:val="000250CD"/>
    <w:rsid w:val="0003148D"/>
    <w:rsid w:val="00044E92"/>
    <w:rsid w:val="00051566"/>
    <w:rsid w:val="00052F15"/>
    <w:rsid w:val="000535AA"/>
    <w:rsid w:val="000541E7"/>
    <w:rsid w:val="00054481"/>
    <w:rsid w:val="000572C1"/>
    <w:rsid w:val="00060300"/>
    <w:rsid w:val="00062A9A"/>
    <w:rsid w:val="00065058"/>
    <w:rsid w:val="00082589"/>
    <w:rsid w:val="00086525"/>
    <w:rsid w:val="00086C39"/>
    <w:rsid w:val="000A03B2"/>
    <w:rsid w:val="000A2CC3"/>
    <w:rsid w:val="000A3DE1"/>
    <w:rsid w:val="000B20F9"/>
    <w:rsid w:val="000B2C3B"/>
    <w:rsid w:val="000B554E"/>
    <w:rsid w:val="000C1F13"/>
    <w:rsid w:val="000C5709"/>
    <w:rsid w:val="000C60DF"/>
    <w:rsid w:val="000D34BE"/>
    <w:rsid w:val="000E102F"/>
    <w:rsid w:val="000E2C20"/>
    <w:rsid w:val="000E2FB3"/>
    <w:rsid w:val="000E36F1"/>
    <w:rsid w:val="000E3A73"/>
    <w:rsid w:val="000E414A"/>
    <w:rsid w:val="000F093C"/>
    <w:rsid w:val="000F11B8"/>
    <w:rsid w:val="000F3237"/>
    <w:rsid w:val="000F32C6"/>
    <w:rsid w:val="000F787B"/>
    <w:rsid w:val="001002E2"/>
    <w:rsid w:val="001163CE"/>
    <w:rsid w:val="0012091F"/>
    <w:rsid w:val="001251C2"/>
    <w:rsid w:val="00126BC2"/>
    <w:rsid w:val="001308B6"/>
    <w:rsid w:val="0013121F"/>
    <w:rsid w:val="00131FE6"/>
    <w:rsid w:val="0013263F"/>
    <w:rsid w:val="00134DE4"/>
    <w:rsid w:val="0014034D"/>
    <w:rsid w:val="00140BD9"/>
    <w:rsid w:val="0014464F"/>
    <w:rsid w:val="0014572D"/>
    <w:rsid w:val="00150E59"/>
    <w:rsid w:val="00152AA2"/>
    <w:rsid w:val="00152DE3"/>
    <w:rsid w:val="00156E29"/>
    <w:rsid w:val="00160DA2"/>
    <w:rsid w:val="00161C78"/>
    <w:rsid w:val="00164CF9"/>
    <w:rsid w:val="00165525"/>
    <w:rsid w:val="00180860"/>
    <w:rsid w:val="00183294"/>
    <w:rsid w:val="0018469B"/>
    <w:rsid w:val="00184AD6"/>
    <w:rsid w:val="001A1959"/>
    <w:rsid w:val="001A54D1"/>
    <w:rsid w:val="001A5B78"/>
    <w:rsid w:val="001B0349"/>
    <w:rsid w:val="001B2F88"/>
    <w:rsid w:val="001B33E7"/>
    <w:rsid w:val="001B3EC8"/>
    <w:rsid w:val="001B4947"/>
    <w:rsid w:val="001B65C1"/>
    <w:rsid w:val="001C17EE"/>
    <w:rsid w:val="001C684B"/>
    <w:rsid w:val="001D53FC"/>
    <w:rsid w:val="001E4060"/>
    <w:rsid w:val="001F42A5"/>
    <w:rsid w:val="001F7B9D"/>
    <w:rsid w:val="002224B4"/>
    <w:rsid w:val="00225D90"/>
    <w:rsid w:val="002319BF"/>
    <w:rsid w:val="002334E8"/>
    <w:rsid w:val="0024465B"/>
    <w:rsid w:val="002447EF"/>
    <w:rsid w:val="00246905"/>
    <w:rsid w:val="00251550"/>
    <w:rsid w:val="00262AEE"/>
    <w:rsid w:val="00263B05"/>
    <w:rsid w:val="0027221A"/>
    <w:rsid w:val="00275257"/>
    <w:rsid w:val="00275B61"/>
    <w:rsid w:val="00275F1D"/>
    <w:rsid w:val="00277067"/>
    <w:rsid w:val="00282656"/>
    <w:rsid w:val="00294C4E"/>
    <w:rsid w:val="00296B83"/>
    <w:rsid w:val="002A291A"/>
    <w:rsid w:val="002B20AB"/>
    <w:rsid w:val="002B78CE"/>
    <w:rsid w:val="002C2FB6"/>
    <w:rsid w:val="002C4872"/>
    <w:rsid w:val="002C5DDD"/>
    <w:rsid w:val="002D1AA8"/>
    <w:rsid w:val="002D2E97"/>
    <w:rsid w:val="002E7901"/>
    <w:rsid w:val="002E7D1F"/>
    <w:rsid w:val="002F39BE"/>
    <w:rsid w:val="003009B7"/>
    <w:rsid w:val="00300E56"/>
    <w:rsid w:val="003027EF"/>
    <w:rsid w:val="0030469C"/>
    <w:rsid w:val="003076EF"/>
    <w:rsid w:val="0031310C"/>
    <w:rsid w:val="003202BE"/>
    <w:rsid w:val="00321CA6"/>
    <w:rsid w:val="003248B9"/>
    <w:rsid w:val="00325385"/>
    <w:rsid w:val="00334C09"/>
    <w:rsid w:val="00353387"/>
    <w:rsid w:val="0036135F"/>
    <w:rsid w:val="00371779"/>
    <w:rsid w:val="00371F6A"/>
    <w:rsid w:val="003723D4"/>
    <w:rsid w:val="003743CB"/>
    <w:rsid w:val="00375593"/>
    <w:rsid w:val="00383F4B"/>
    <w:rsid w:val="00384CC8"/>
    <w:rsid w:val="003871FD"/>
    <w:rsid w:val="00394C30"/>
    <w:rsid w:val="003A1E30"/>
    <w:rsid w:val="003A2DF2"/>
    <w:rsid w:val="003A7D1C"/>
    <w:rsid w:val="003B0F16"/>
    <w:rsid w:val="003B304B"/>
    <w:rsid w:val="003B3146"/>
    <w:rsid w:val="003B326F"/>
    <w:rsid w:val="003C04EF"/>
    <w:rsid w:val="003D01AB"/>
    <w:rsid w:val="003E1B43"/>
    <w:rsid w:val="003F015E"/>
    <w:rsid w:val="00400414"/>
    <w:rsid w:val="00400B3E"/>
    <w:rsid w:val="00401259"/>
    <w:rsid w:val="00407D2C"/>
    <w:rsid w:val="004142B8"/>
    <w:rsid w:val="0041446B"/>
    <w:rsid w:val="004152C7"/>
    <w:rsid w:val="00423FCC"/>
    <w:rsid w:val="00426169"/>
    <w:rsid w:val="004328C0"/>
    <w:rsid w:val="00434094"/>
    <w:rsid w:val="00436356"/>
    <w:rsid w:val="0044329C"/>
    <w:rsid w:val="00451F63"/>
    <w:rsid w:val="004577FE"/>
    <w:rsid w:val="00457B9C"/>
    <w:rsid w:val="0046164A"/>
    <w:rsid w:val="004628D2"/>
    <w:rsid w:val="00462DCD"/>
    <w:rsid w:val="00464191"/>
    <w:rsid w:val="004648AD"/>
    <w:rsid w:val="0046582E"/>
    <w:rsid w:val="004660AB"/>
    <w:rsid w:val="00466B76"/>
    <w:rsid w:val="004703A9"/>
    <w:rsid w:val="00471643"/>
    <w:rsid w:val="00471CBE"/>
    <w:rsid w:val="00474E07"/>
    <w:rsid w:val="004760DE"/>
    <w:rsid w:val="00476E68"/>
    <w:rsid w:val="00477C03"/>
    <w:rsid w:val="004A004E"/>
    <w:rsid w:val="004A24CF"/>
    <w:rsid w:val="004A3C4B"/>
    <w:rsid w:val="004A6914"/>
    <w:rsid w:val="004C3D1D"/>
    <w:rsid w:val="004C7913"/>
    <w:rsid w:val="004D1627"/>
    <w:rsid w:val="004E0E0D"/>
    <w:rsid w:val="004E1DFB"/>
    <w:rsid w:val="004E4DD6"/>
    <w:rsid w:val="004F5E36"/>
    <w:rsid w:val="00504949"/>
    <w:rsid w:val="00506B3C"/>
    <w:rsid w:val="00507B47"/>
    <w:rsid w:val="00507CC9"/>
    <w:rsid w:val="005119A5"/>
    <w:rsid w:val="00516D93"/>
    <w:rsid w:val="00523271"/>
    <w:rsid w:val="005278B7"/>
    <w:rsid w:val="00532016"/>
    <w:rsid w:val="00533B32"/>
    <w:rsid w:val="0053434C"/>
    <w:rsid w:val="005346C8"/>
    <w:rsid w:val="00543D02"/>
    <w:rsid w:val="00543E7D"/>
    <w:rsid w:val="00545AB6"/>
    <w:rsid w:val="00547097"/>
    <w:rsid w:val="00547A68"/>
    <w:rsid w:val="005531C9"/>
    <w:rsid w:val="00556B48"/>
    <w:rsid w:val="005831E1"/>
    <w:rsid w:val="00584CD8"/>
    <w:rsid w:val="00585A7F"/>
    <w:rsid w:val="005A027E"/>
    <w:rsid w:val="005A3E9C"/>
    <w:rsid w:val="005A7FF0"/>
    <w:rsid w:val="005B2110"/>
    <w:rsid w:val="005B5046"/>
    <w:rsid w:val="005B61E6"/>
    <w:rsid w:val="005C30EE"/>
    <w:rsid w:val="005C77E1"/>
    <w:rsid w:val="005D188F"/>
    <w:rsid w:val="005D6A2F"/>
    <w:rsid w:val="005E1A82"/>
    <w:rsid w:val="005E794C"/>
    <w:rsid w:val="005F0A28"/>
    <w:rsid w:val="005F0E5E"/>
    <w:rsid w:val="00600535"/>
    <w:rsid w:val="00600B55"/>
    <w:rsid w:val="0060174E"/>
    <w:rsid w:val="00602049"/>
    <w:rsid w:val="0060253F"/>
    <w:rsid w:val="00610CD6"/>
    <w:rsid w:val="0061142B"/>
    <w:rsid w:val="006127BA"/>
    <w:rsid w:val="0061359B"/>
    <w:rsid w:val="00613FE8"/>
    <w:rsid w:val="006156C8"/>
    <w:rsid w:val="00620C11"/>
    <w:rsid w:val="00620DEE"/>
    <w:rsid w:val="00621F92"/>
    <w:rsid w:val="00625160"/>
    <w:rsid w:val="00625639"/>
    <w:rsid w:val="00631B33"/>
    <w:rsid w:val="006335EB"/>
    <w:rsid w:val="0064184D"/>
    <w:rsid w:val="0064328F"/>
    <w:rsid w:val="00655E3D"/>
    <w:rsid w:val="006560D4"/>
    <w:rsid w:val="00656F91"/>
    <w:rsid w:val="00660E3E"/>
    <w:rsid w:val="00662E74"/>
    <w:rsid w:val="006631ED"/>
    <w:rsid w:val="006764D2"/>
    <w:rsid w:val="00680C23"/>
    <w:rsid w:val="00685797"/>
    <w:rsid w:val="006872B8"/>
    <w:rsid w:val="00692C96"/>
    <w:rsid w:val="00693766"/>
    <w:rsid w:val="00695FF6"/>
    <w:rsid w:val="00696665"/>
    <w:rsid w:val="00696F16"/>
    <w:rsid w:val="006A0835"/>
    <w:rsid w:val="006A3281"/>
    <w:rsid w:val="006B0DB0"/>
    <w:rsid w:val="006B4888"/>
    <w:rsid w:val="006C2E45"/>
    <w:rsid w:val="006C359C"/>
    <w:rsid w:val="006C5579"/>
    <w:rsid w:val="006C5A72"/>
    <w:rsid w:val="006C5C23"/>
    <w:rsid w:val="006C5DA1"/>
    <w:rsid w:val="006C68B6"/>
    <w:rsid w:val="006C79F2"/>
    <w:rsid w:val="006D3910"/>
    <w:rsid w:val="006D4D80"/>
    <w:rsid w:val="006D5A03"/>
    <w:rsid w:val="006E5FDE"/>
    <w:rsid w:val="006E6E42"/>
    <w:rsid w:val="006E737D"/>
    <w:rsid w:val="0070058C"/>
    <w:rsid w:val="00700DEE"/>
    <w:rsid w:val="0070425E"/>
    <w:rsid w:val="00713E16"/>
    <w:rsid w:val="00720A24"/>
    <w:rsid w:val="00724060"/>
    <w:rsid w:val="00732386"/>
    <w:rsid w:val="00732AD9"/>
    <w:rsid w:val="007447F3"/>
    <w:rsid w:val="00744E3E"/>
    <w:rsid w:val="0075132F"/>
    <w:rsid w:val="0075499F"/>
    <w:rsid w:val="0076273B"/>
    <w:rsid w:val="007661C8"/>
    <w:rsid w:val="0077098D"/>
    <w:rsid w:val="0078415F"/>
    <w:rsid w:val="00794F3F"/>
    <w:rsid w:val="00797C19"/>
    <w:rsid w:val="007A14CD"/>
    <w:rsid w:val="007A46DB"/>
    <w:rsid w:val="007A6C35"/>
    <w:rsid w:val="007A7BBA"/>
    <w:rsid w:val="007B0C50"/>
    <w:rsid w:val="007B414C"/>
    <w:rsid w:val="007C1A43"/>
    <w:rsid w:val="007C6C50"/>
    <w:rsid w:val="007D3021"/>
    <w:rsid w:val="007E1A19"/>
    <w:rsid w:val="007E3FE7"/>
    <w:rsid w:val="007F2E87"/>
    <w:rsid w:val="007F7A6A"/>
    <w:rsid w:val="00802E95"/>
    <w:rsid w:val="00803CDF"/>
    <w:rsid w:val="00806E54"/>
    <w:rsid w:val="008077DE"/>
    <w:rsid w:val="00813288"/>
    <w:rsid w:val="008168FC"/>
    <w:rsid w:val="00816906"/>
    <w:rsid w:val="00820036"/>
    <w:rsid w:val="008236DD"/>
    <w:rsid w:val="008270A2"/>
    <w:rsid w:val="00830996"/>
    <w:rsid w:val="008345F1"/>
    <w:rsid w:val="00842209"/>
    <w:rsid w:val="0084750B"/>
    <w:rsid w:val="00851737"/>
    <w:rsid w:val="00854C91"/>
    <w:rsid w:val="0085747A"/>
    <w:rsid w:val="00861A52"/>
    <w:rsid w:val="00865B07"/>
    <w:rsid w:val="008667EA"/>
    <w:rsid w:val="008670DE"/>
    <w:rsid w:val="008671DC"/>
    <w:rsid w:val="00873D70"/>
    <w:rsid w:val="0087637F"/>
    <w:rsid w:val="00891262"/>
    <w:rsid w:val="00892AD5"/>
    <w:rsid w:val="00894068"/>
    <w:rsid w:val="00894BFD"/>
    <w:rsid w:val="008957EF"/>
    <w:rsid w:val="008A1512"/>
    <w:rsid w:val="008A698C"/>
    <w:rsid w:val="008B0808"/>
    <w:rsid w:val="008B3170"/>
    <w:rsid w:val="008B4BB3"/>
    <w:rsid w:val="008C0940"/>
    <w:rsid w:val="008C1FA1"/>
    <w:rsid w:val="008D433B"/>
    <w:rsid w:val="008E31EB"/>
    <w:rsid w:val="008E566E"/>
    <w:rsid w:val="008F7AB4"/>
    <w:rsid w:val="008F7F76"/>
    <w:rsid w:val="0090161A"/>
    <w:rsid w:val="00901EB6"/>
    <w:rsid w:val="009044F8"/>
    <w:rsid w:val="00904C62"/>
    <w:rsid w:val="00914116"/>
    <w:rsid w:val="00924DAC"/>
    <w:rsid w:val="009267D0"/>
    <w:rsid w:val="00927058"/>
    <w:rsid w:val="00927C84"/>
    <w:rsid w:val="00931ED7"/>
    <w:rsid w:val="00933D37"/>
    <w:rsid w:val="009450CE"/>
    <w:rsid w:val="00946B78"/>
    <w:rsid w:val="00947179"/>
    <w:rsid w:val="0095164B"/>
    <w:rsid w:val="0095394D"/>
    <w:rsid w:val="00954090"/>
    <w:rsid w:val="009573E7"/>
    <w:rsid w:val="0096389F"/>
    <w:rsid w:val="00963E05"/>
    <w:rsid w:val="00967D54"/>
    <w:rsid w:val="00981E47"/>
    <w:rsid w:val="009929C4"/>
    <w:rsid w:val="00996483"/>
    <w:rsid w:val="00996F5A"/>
    <w:rsid w:val="009A011D"/>
    <w:rsid w:val="009A37EF"/>
    <w:rsid w:val="009A48E8"/>
    <w:rsid w:val="009A5D92"/>
    <w:rsid w:val="009B041A"/>
    <w:rsid w:val="009B1FB2"/>
    <w:rsid w:val="009C0B29"/>
    <w:rsid w:val="009C1BA8"/>
    <w:rsid w:val="009C6841"/>
    <w:rsid w:val="009C7858"/>
    <w:rsid w:val="009C7C86"/>
    <w:rsid w:val="009D23A5"/>
    <w:rsid w:val="009D2CD5"/>
    <w:rsid w:val="009D2FF7"/>
    <w:rsid w:val="009E2B1E"/>
    <w:rsid w:val="009E35C1"/>
    <w:rsid w:val="009E6530"/>
    <w:rsid w:val="009E7884"/>
    <w:rsid w:val="009E788A"/>
    <w:rsid w:val="009F0E08"/>
    <w:rsid w:val="009F0F82"/>
    <w:rsid w:val="009F7F64"/>
    <w:rsid w:val="00A1441C"/>
    <w:rsid w:val="00A15BFE"/>
    <w:rsid w:val="00A1763D"/>
    <w:rsid w:val="00A17CEC"/>
    <w:rsid w:val="00A22228"/>
    <w:rsid w:val="00A258D5"/>
    <w:rsid w:val="00A27EF0"/>
    <w:rsid w:val="00A30FC7"/>
    <w:rsid w:val="00A373A2"/>
    <w:rsid w:val="00A50B20"/>
    <w:rsid w:val="00A511B4"/>
    <w:rsid w:val="00A51390"/>
    <w:rsid w:val="00A56FAC"/>
    <w:rsid w:val="00A60D13"/>
    <w:rsid w:val="00A617B6"/>
    <w:rsid w:val="00A64AA8"/>
    <w:rsid w:val="00A72745"/>
    <w:rsid w:val="00A76EFC"/>
    <w:rsid w:val="00A80239"/>
    <w:rsid w:val="00A9035D"/>
    <w:rsid w:val="00A91010"/>
    <w:rsid w:val="00A95D13"/>
    <w:rsid w:val="00A97F29"/>
    <w:rsid w:val="00AA1647"/>
    <w:rsid w:val="00AA2A93"/>
    <w:rsid w:val="00AA702E"/>
    <w:rsid w:val="00AB0964"/>
    <w:rsid w:val="00AB434D"/>
    <w:rsid w:val="00AB5011"/>
    <w:rsid w:val="00AC08A9"/>
    <w:rsid w:val="00AC182C"/>
    <w:rsid w:val="00AC2E46"/>
    <w:rsid w:val="00AC7368"/>
    <w:rsid w:val="00AD16B9"/>
    <w:rsid w:val="00AD32E7"/>
    <w:rsid w:val="00AD3A45"/>
    <w:rsid w:val="00AD4499"/>
    <w:rsid w:val="00AE2DC6"/>
    <w:rsid w:val="00AE377D"/>
    <w:rsid w:val="00AF292F"/>
    <w:rsid w:val="00B02524"/>
    <w:rsid w:val="00B0655D"/>
    <w:rsid w:val="00B102A6"/>
    <w:rsid w:val="00B111E6"/>
    <w:rsid w:val="00B1401A"/>
    <w:rsid w:val="00B17FBD"/>
    <w:rsid w:val="00B20E8D"/>
    <w:rsid w:val="00B315A6"/>
    <w:rsid w:val="00B31813"/>
    <w:rsid w:val="00B32F50"/>
    <w:rsid w:val="00B33365"/>
    <w:rsid w:val="00B50C9A"/>
    <w:rsid w:val="00B57B36"/>
    <w:rsid w:val="00B61E20"/>
    <w:rsid w:val="00B623A0"/>
    <w:rsid w:val="00B66383"/>
    <w:rsid w:val="00B6752A"/>
    <w:rsid w:val="00B70CDE"/>
    <w:rsid w:val="00B74E8E"/>
    <w:rsid w:val="00B81227"/>
    <w:rsid w:val="00B81FB2"/>
    <w:rsid w:val="00B825B6"/>
    <w:rsid w:val="00B8686D"/>
    <w:rsid w:val="00B86DCD"/>
    <w:rsid w:val="00B90CDB"/>
    <w:rsid w:val="00BA22A4"/>
    <w:rsid w:val="00BA343F"/>
    <w:rsid w:val="00BA3E75"/>
    <w:rsid w:val="00BB679B"/>
    <w:rsid w:val="00BC0BBE"/>
    <w:rsid w:val="00BC30C9"/>
    <w:rsid w:val="00BC7DDC"/>
    <w:rsid w:val="00BE09E7"/>
    <w:rsid w:val="00BE1BD8"/>
    <w:rsid w:val="00BE3E58"/>
    <w:rsid w:val="00BE63F3"/>
    <w:rsid w:val="00BF2E07"/>
    <w:rsid w:val="00C01616"/>
    <w:rsid w:val="00C0162B"/>
    <w:rsid w:val="00C076DF"/>
    <w:rsid w:val="00C12231"/>
    <w:rsid w:val="00C16B35"/>
    <w:rsid w:val="00C22968"/>
    <w:rsid w:val="00C345B1"/>
    <w:rsid w:val="00C34E7E"/>
    <w:rsid w:val="00C40142"/>
    <w:rsid w:val="00C57182"/>
    <w:rsid w:val="00C57863"/>
    <w:rsid w:val="00C60798"/>
    <w:rsid w:val="00C62E85"/>
    <w:rsid w:val="00C655FD"/>
    <w:rsid w:val="00C70F60"/>
    <w:rsid w:val="00C71FB5"/>
    <w:rsid w:val="00C721D7"/>
    <w:rsid w:val="00C80264"/>
    <w:rsid w:val="00C83BBE"/>
    <w:rsid w:val="00C84276"/>
    <w:rsid w:val="00C870A8"/>
    <w:rsid w:val="00C87B5C"/>
    <w:rsid w:val="00C91758"/>
    <w:rsid w:val="00C93EBE"/>
    <w:rsid w:val="00C94434"/>
    <w:rsid w:val="00C97351"/>
    <w:rsid w:val="00CA0D75"/>
    <w:rsid w:val="00CA1C95"/>
    <w:rsid w:val="00CA1E22"/>
    <w:rsid w:val="00CA5A9C"/>
    <w:rsid w:val="00CB2612"/>
    <w:rsid w:val="00CB5B5D"/>
    <w:rsid w:val="00CC1C4C"/>
    <w:rsid w:val="00CC763D"/>
    <w:rsid w:val="00CD5FE2"/>
    <w:rsid w:val="00CE4EA8"/>
    <w:rsid w:val="00CE7C68"/>
    <w:rsid w:val="00CF0393"/>
    <w:rsid w:val="00CF13AE"/>
    <w:rsid w:val="00CF3DF3"/>
    <w:rsid w:val="00CF528E"/>
    <w:rsid w:val="00D02B4C"/>
    <w:rsid w:val="00D040C4"/>
    <w:rsid w:val="00D062B3"/>
    <w:rsid w:val="00D10D5B"/>
    <w:rsid w:val="00D212E2"/>
    <w:rsid w:val="00D2501C"/>
    <w:rsid w:val="00D25212"/>
    <w:rsid w:val="00D25C9B"/>
    <w:rsid w:val="00D2682C"/>
    <w:rsid w:val="00D33BA6"/>
    <w:rsid w:val="00D36A95"/>
    <w:rsid w:val="00D50FC8"/>
    <w:rsid w:val="00D55F40"/>
    <w:rsid w:val="00D56607"/>
    <w:rsid w:val="00D57C84"/>
    <w:rsid w:val="00D6057D"/>
    <w:rsid w:val="00D60B17"/>
    <w:rsid w:val="00D657BC"/>
    <w:rsid w:val="00D74FEC"/>
    <w:rsid w:val="00D817AD"/>
    <w:rsid w:val="00D84576"/>
    <w:rsid w:val="00D920D2"/>
    <w:rsid w:val="00D92E6F"/>
    <w:rsid w:val="00D959B4"/>
    <w:rsid w:val="00DA1399"/>
    <w:rsid w:val="00DA24C6"/>
    <w:rsid w:val="00DA4D7B"/>
    <w:rsid w:val="00DA65A9"/>
    <w:rsid w:val="00DC269D"/>
    <w:rsid w:val="00DC3643"/>
    <w:rsid w:val="00DC3957"/>
    <w:rsid w:val="00DC4795"/>
    <w:rsid w:val="00DC6AA8"/>
    <w:rsid w:val="00DD0CEB"/>
    <w:rsid w:val="00DD3E5E"/>
    <w:rsid w:val="00DD52D5"/>
    <w:rsid w:val="00DE08DD"/>
    <w:rsid w:val="00DE264A"/>
    <w:rsid w:val="00DE647D"/>
    <w:rsid w:val="00DF18B9"/>
    <w:rsid w:val="00DF7FAB"/>
    <w:rsid w:val="00E02D18"/>
    <w:rsid w:val="00E041E7"/>
    <w:rsid w:val="00E1105A"/>
    <w:rsid w:val="00E21285"/>
    <w:rsid w:val="00E22096"/>
    <w:rsid w:val="00E23CA1"/>
    <w:rsid w:val="00E31769"/>
    <w:rsid w:val="00E35173"/>
    <w:rsid w:val="00E409A8"/>
    <w:rsid w:val="00E50C12"/>
    <w:rsid w:val="00E65B91"/>
    <w:rsid w:val="00E67B51"/>
    <w:rsid w:val="00E7209D"/>
    <w:rsid w:val="00E77223"/>
    <w:rsid w:val="00E8528B"/>
    <w:rsid w:val="00E85B94"/>
    <w:rsid w:val="00E91E9A"/>
    <w:rsid w:val="00E978D0"/>
    <w:rsid w:val="00EA4613"/>
    <w:rsid w:val="00EA4AB4"/>
    <w:rsid w:val="00EA7F91"/>
    <w:rsid w:val="00EB1523"/>
    <w:rsid w:val="00EB41B2"/>
    <w:rsid w:val="00EB6BD2"/>
    <w:rsid w:val="00EB7C02"/>
    <w:rsid w:val="00EC0E49"/>
    <w:rsid w:val="00EC3F0E"/>
    <w:rsid w:val="00EC6199"/>
    <w:rsid w:val="00ED2F8C"/>
    <w:rsid w:val="00ED5511"/>
    <w:rsid w:val="00EE0131"/>
    <w:rsid w:val="00EE20CA"/>
    <w:rsid w:val="00EE5A8F"/>
    <w:rsid w:val="00EF2394"/>
    <w:rsid w:val="00EF3990"/>
    <w:rsid w:val="00F1254C"/>
    <w:rsid w:val="00F12DAD"/>
    <w:rsid w:val="00F13883"/>
    <w:rsid w:val="00F13D2A"/>
    <w:rsid w:val="00F14B5E"/>
    <w:rsid w:val="00F24D4D"/>
    <w:rsid w:val="00F267A4"/>
    <w:rsid w:val="00F30C64"/>
    <w:rsid w:val="00F32CDB"/>
    <w:rsid w:val="00F335C7"/>
    <w:rsid w:val="00F377D2"/>
    <w:rsid w:val="00F55F1B"/>
    <w:rsid w:val="00F63A70"/>
    <w:rsid w:val="00F677D7"/>
    <w:rsid w:val="00F73E08"/>
    <w:rsid w:val="00F85E0D"/>
    <w:rsid w:val="00F91DD9"/>
    <w:rsid w:val="00FA21D0"/>
    <w:rsid w:val="00FA5F5F"/>
    <w:rsid w:val="00FA7818"/>
    <w:rsid w:val="00FA7C43"/>
    <w:rsid w:val="00FB047B"/>
    <w:rsid w:val="00FB730C"/>
    <w:rsid w:val="00FC2695"/>
    <w:rsid w:val="00FC3E03"/>
    <w:rsid w:val="00FC3FC1"/>
    <w:rsid w:val="00FC4951"/>
    <w:rsid w:val="00FC7FD2"/>
    <w:rsid w:val="00FE480D"/>
    <w:rsid w:val="00FF1BEE"/>
    <w:rsid w:val="00FF3616"/>
    <w:rsid w:val="00FF50F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58228CF0-DFC5-4A2E-A769-A31ECBA5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0A2CC3"/>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477C03"/>
    <w:rPr>
      <w:color w:val="808080"/>
    </w:rPr>
  </w:style>
  <w:style w:type="paragraph" w:styleId="Paragrafoelenco">
    <w:name w:val="List Paragraph"/>
    <w:basedOn w:val="Normale"/>
    <w:uiPriority w:val="34"/>
    <w:rsid w:val="006C6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2055">
      <w:bodyDiv w:val="1"/>
      <w:marLeft w:val="0"/>
      <w:marRight w:val="0"/>
      <w:marTop w:val="0"/>
      <w:marBottom w:val="0"/>
      <w:divBdr>
        <w:top w:val="none" w:sz="0" w:space="0" w:color="auto"/>
        <w:left w:val="none" w:sz="0" w:space="0" w:color="auto"/>
        <w:bottom w:val="none" w:sz="0" w:space="0" w:color="auto"/>
        <w:right w:val="none" w:sz="0" w:space="0" w:color="auto"/>
      </w:divBdr>
    </w:div>
    <w:div w:id="145767882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26997">
      <w:bodyDiv w:val="1"/>
      <w:marLeft w:val="0"/>
      <w:marRight w:val="0"/>
      <w:marTop w:val="0"/>
      <w:marBottom w:val="0"/>
      <w:divBdr>
        <w:top w:val="none" w:sz="0" w:space="0" w:color="auto"/>
        <w:left w:val="none" w:sz="0" w:space="0" w:color="auto"/>
        <w:bottom w:val="none" w:sz="0" w:space="0" w:color="auto"/>
        <w:right w:val="none" w:sz="0" w:space="0" w:color="auto"/>
      </w:divBdr>
      <w:divsChild>
        <w:div w:id="2143188733">
          <w:marLeft w:val="0"/>
          <w:marRight w:val="0"/>
          <w:marTop w:val="0"/>
          <w:marBottom w:val="0"/>
          <w:divBdr>
            <w:top w:val="single" w:sz="2" w:space="0" w:color="D9D9E3"/>
            <w:left w:val="single" w:sz="2" w:space="0" w:color="D9D9E3"/>
            <w:bottom w:val="single" w:sz="2" w:space="0" w:color="D9D9E3"/>
            <w:right w:val="single" w:sz="2" w:space="0" w:color="D9D9E3"/>
          </w:divBdr>
          <w:divsChild>
            <w:div w:id="1316840635">
              <w:marLeft w:val="0"/>
              <w:marRight w:val="0"/>
              <w:marTop w:val="0"/>
              <w:marBottom w:val="0"/>
              <w:divBdr>
                <w:top w:val="single" w:sz="2" w:space="0" w:color="D9D9E3"/>
                <w:left w:val="single" w:sz="2" w:space="0" w:color="D9D9E3"/>
                <w:bottom w:val="single" w:sz="2" w:space="0" w:color="D9D9E3"/>
                <w:right w:val="single" w:sz="2" w:space="0" w:color="D9D9E3"/>
              </w:divBdr>
              <w:divsChild>
                <w:div w:id="1551262736">
                  <w:marLeft w:val="0"/>
                  <w:marRight w:val="0"/>
                  <w:marTop w:val="0"/>
                  <w:marBottom w:val="0"/>
                  <w:divBdr>
                    <w:top w:val="single" w:sz="2" w:space="0" w:color="D9D9E3"/>
                    <w:left w:val="single" w:sz="2" w:space="0" w:color="D9D9E3"/>
                    <w:bottom w:val="single" w:sz="2" w:space="0" w:color="D9D9E3"/>
                    <w:right w:val="single" w:sz="2" w:space="0" w:color="D9D9E3"/>
                  </w:divBdr>
                  <w:divsChild>
                    <w:div w:id="1264412415">
                      <w:marLeft w:val="0"/>
                      <w:marRight w:val="0"/>
                      <w:marTop w:val="0"/>
                      <w:marBottom w:val="0"/>
                      <w:divBdr>
                        <w:top w:val="single" w:sz="2" w:space="0" w:color="D9D9E3"/>
                        <w:left w:val="single" w:sz="2" w:space="0" w:color="D9D9E3"/>
                        <w:bottom w:val="single" w:sz="2" w:space="0" w:color="D9D9E3"/>
                        <w:right w:val="single" w:sz="2" w:space="0" w:color="D9D9E3"/>
                      </w:divBdr>
                      <w:divsChild>
                        <w:div w:id="274215344">
                          <w:marLeft w:val="0"/>
                          <w:marRight w:val="0"/>
                          <w:marTop w:val="0"/>
                          <w:marBottom w:val="0"/>
                          <w:divBdr>
                            <w:top w:val="single" w:sz="2" w:space="0" w:color="auto"/>
                            <w:left w:val="single" w:sz="2" w:space="0" w:color="auto"/>
                            <w:bottom w:val="single" w:sz="6" w:space="0" w:color="auto"/>
                            <w:right w:val="single" w:sz="2" w:space="0" w:color="auto"/>
                          </w:divBdr>
                          <w:divsChild>
                            <w:div w:id="1052657105">
                              <w:marLeft w:val="0"/>
                              <w:marRight w:val="0"/>
                              <w:marTop w:val="100"/>
                              <w:marBottom w:val="100"/>
                              <w:divBdr>
                                <w:top w:val="single" w:sz="2" w:space="0" w:color="D9D9E3"/>
                                <w:left w:val="single" w:sz="2" w:space="0" w:color="D9D9E3"/>
                                <w:bottom w:val="single" w:sz="2" w:space="0" w:color="D9D9E3"/>
                                <w:right w:val="single" w:sz="2" w:space="0" w:color="D9D9E3"/>
                              </w:divBdr>
                              <w:divsChild>
                                <w:div w:id="1041126985">
                                  <w:marLeft w:val="0"/>
                                  <w:marRight w:val="0"/>
                                  <w:marTop w:val="0"/>
                                  <w:marBottom w:val="0"/>
                                  <w:divBdr>
                                    <w:top w:val="single" w:sz="2" w:space="0" w:color="D9D9E3"/>
                                    <w:left w:val="single" w:sz="2" w:space="0" w:color="D9D9E3"/>
                                    <w:bottom w:val="single" w:sz="2" w:space="0" w:color="D9D9E3"/>
                                    <w:right w:val="single" w:sz="2" w:space="0" w:color="D9D9E3"/>
                                  </w:divBdr>
                                  <w:divsChild>
                                    <w:div w:id="694884936">
                                      <w:marLeft w:val="0"/>
                                      <w:marRight w:val="0"/>
                                      <w:marTop w:val="0"/>
                                      <w:marBottom w:val="0"/>
                                      <w:divBdr>
                                        <w:top w:val="single" w:sz="2" w:space="0" w:color="D9D9E3"/>
                                        <w:left w:val="single" w:sz="2" w:space="0" w:color="D9D9E3"/>
                                        <w:bottom w:val="single" w:sz="2" w:space="0" w:color="D9D9E3"/>
                                        <w:right w:val="single" w:sz="2" w:space="0" w:color="D9D9E3"/>
                                      </w:divBdr>
                                      <w:divsChild>
                                        <w:div w:id="27335589">
                                          <w:marLeft w:val="0"/>
                                          <w:marRight w:val="0"/>
                                          <w:marTop w:val="0"/>
                                          <w:marBottom w:val="0"/>
                                          <w:divBdr>
                                            <w:top w:val="single" w:sz="2" w:space="0" w:color="D9D9E3"/>
                                            <w:left w:val="single" w:sz="2" w:space="0" w:color="D9D9E3"/>
                                            <w:bottom w:val="single" w:sz="2" w:space="0" w:color="D9D9E3"/>
                                            <w:right w:val="single" w:sz="2" w:space="0" w:color="D9D9E3"/>
                                          </w:divBdr>
                                          <w:divsChild>
                                            <w:div w:id="549657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2832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7C53C-EED7-4458-82A0-43583CC8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10985</Words>
  <Characters>62620</Characters>
  <Application>Microsoft Office Word</Application>
  <DocSecurity>0</DocSecurity>
  <Lines>521</Lines>
  <Paragraphs>146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Sauro Pierucci</cp:lastModifiedBy>
  <cp:revision>2</cp:revision>
  <cp:lastPrinted>2015-05-12T18:31:00Z</cp:lastPrinted>
  <dcterms:created xsi:type="dcterms:W3CDTF">2023-05-02T10:24:00Z</dcterms:created>
  <dcterms:modified xsi:type="dcterms:W3CDTF">2023-05-02T10:24:00Z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9b2917d6-4714-32ea-ba12-414afc9cd10b</vt:lpwstr>
  </property>
  <property fmtid="{D5CDD505-2E9C-101B-9397-08002B2CF9AE}" pid="6" name="Mendeley Citation Style_1">
    <vt:lpwstr>http://www.zotero.org/styles/chemical-engineering-science</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http://www.zotero.org/styles/chemical-engineering-journal</vt:lpwstr>
  </property>
  <property fmtid="{D5CDD505-2E9C-101B-9397-08002B2CF9AE}" pid="10" name="Mendeley Recent Style Name 1_1">
    <vt:lpwstr>Chemical Engineering Journal</vt:lpwstr>
  </property>
  <property fmtid="{D5CDD505-2E9C-101B-9397-08002B2CF9AE}" pid="11" name="Mendeley Recent Style Id 2_1">
    <vt:lpwstr>http://www.zotero.org/styles/chemical-engineering-science</vt:lpwstr>
  </property>
  <property fmtid="{D5CDD505-2E9C-101B-9397-08002B2CF9AE}" pid="12" name="Mendeley Recent Style Name 2_1">
    <vt:lpwstr>Chemical Engineering Science</vt:lpwstr>
  </property>
  <property fmtid="{D5CDD505-2E9C-101B-9397-08002B2CF9AE}" pid="13" name="Mendeley Recent Style Id 3_1">
    <vt:lpwstr>http://www.zotero.org/styles/ieee</vt:lpwstr>
  </property>
  <property fmtid="{D5CDD505-2E9C-101B-9397-08002B2CF9AE}" pid="14" name="Mendeley Recent Style Name 3_1">
    <vt:lpwstr>IEEE</vt:lpwstr>
  </property>
  <property fmtid="{D5CDD505-2E9C-101B-9397-08002B2CF9AE}" pid="15" name="Mendeley Recent Style Id 4_1">
    <vt:lpwstr>http://www.zotero.org/styles/journal-of-molecular-liquids</vt:lpwstr>
  </property>
  <property fmtid="{D5CDD505-2E9C-101B-9397-08002B2CF9AE}" pid="16" name="Mendeley Recent Style Name 4_1">
    <vt:lpwstr>Journal of Molecular Liquids</vt:lpwstr>
  </property>
  <property fmtid="{D5CDD505-2E9C-101B-9397-08002B2CF9AE}" pid="17" name="Mendeley Recent Style Id 5_1">
    <vt:lpwstr>http://www.zotero.org/styles/springer-basic-author-date</vt:lpwstr>
  </property>
  <property fmtid="{D5CDD505-2E9C-101B-9397-08002B2CF9AE}" pid="18" name="Mendeley Recent Style Name 5_1">
    <vt:lpwstr>Springer - Basic (author-date)</vt:lpwstr>
  </property>
  <property fmtid="{D5CDD505-2E9C-101B-9397-08002B2CF9AE}" pid="19" name="Mendeley Recent Style Id 6_1">
    <vt:lpwstr>http://www.zotero.org/styles/springer-basic-author-date-no-et-al-with-issue</vt:lpwstr>
  </property>
  <property fmtid="{D5CDD505-2E9C-101B-9397-08002B2CF9AE}" pid="20" name="Mendeley Recent Style Name 6_1">
    <vt:lpwstr>Springer - Basic (author-date, no "et al.", with issue numbers)</vt:lpwstr>
  </property>
  <property fmtid="{D5CDD505-2E9C-101B-9397-08002B2CF9AE}" pid="21" name="Mendeley Recent Style Id 7_1">
    <vt:lpwstr>http://www.zotero.org/styles/springer-basic-note</vt:lpwstr>
  </property>
  <property fmtid="{D5CDD505-2E9C-101B-9397-08002B2CF9AE}" pid="22" name="Mendeley Recent Style Name 7_1">
    <vt:lpwstr>Springer - Basic (note)</vt:lpwstr>
  </property>
  <property fmtid="{D5CDD505-2E9C-101B-9397-08002B2CF9AE}" pid="23" name="Mendeley Recent Style Id 8_1">
    <vt:lpwstr>http://www.zotero.org/styles/springer-basic-brackets-no-et-al-alphabetical</vt:lpwstr>
  </property>
  <property fmtid="{D5CDD505-2E9C-101B-9397-08002B2CF9AE}" pid="24" name="Mendeley Recent Style Name 8_1">
    <vt:lpwstr>Springer - Basic (numeric, brackets, no "et al.", alphabetical)</vt:lpwstr>
  </property>
  <property fmtid="{D5CDD505-2E9C-101B-9397-08002B2CF9AE}" pid="25" name="Mendeley Recent Style Id 9_1">
    <vt:lpwstr>http://www.zotero.org/styles/waste-and-biomass-valorization</vt:lpwstr>
  </property>
  <property fmtid="{D5CDD505-2E9C-101B-9397-08002B2CF9AE}" pid="26" name="Mendeley Recent Style Name 9_1">
    <vt:lpwstr>Waste and Biomass Valorization</vt:lpwstr>
  </property>
</Properties>
</file>