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922D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845D8BB" w:rsidR="000A03B2" w:rsidRPr="00B57B36" w:rsidRDefault="0072451C" w:rsidP="004C3D1D">
            <w:pPr>
              <w:tabs>
                <w:tab w:val="left" w:pos="-108"/>
              </w:tabs>
              <w:ind w:left="-108"/>
              <w:rPr>
                <w:rFonts w:cs="Arial"/>
                <w:b/>
                <w:bCs/>
                <w:i/>
                <w:iCs/>
                <w:color w:val="000066"/>
                <w:sz w:val="22"/>
                <w:szCs w:val="22"/>
                <w:lang w:eastAsia="it-IT"/>
              </w:rPr>
            </w:pPr>
            <w:r>
              <w:rPr>
                <w:rFonts w:cs="Arial"/>
                <w:b/>
                <w:bCs/>
                <w:i/>
                <w:iCs/>
                <w:color w:val="000066"/>
                <w:sz w:val="22"/>
                <w:szCs w:val="22"/>
                <w:lang w:eastAsia="it-IT"/>
              </w:rPr>
              <w:t>VOL</w:t>
            </w:r>
            <w:r w:rsidRPr="00B57B36">
              <w:rPr>
                <w:rFonts w:cs="Arial"/>
                <w:b/>
                <w:bCs/>
                <w:i/>
                <w:iCs/>
                <w:color w:val="000066"/>
                <w:sz w:val="22"/>
                <w:szCs w:val="22"/>
                <w:lang w:eastAsia="it-IT"/>
              </w:rPr>
              <w:t xml:space="preserve">. </w:t>
            </w:r>
            <w:r>
              <w:rPr>
                <w:rFonts w:cs="Arial"/>
                <w:b/>
                <w:bCs/>
                <w:i/>
                <w:iCs/>
                <w:color w:val="000066"/>
                <w:sz w:val="22"/>
                <w:szCs w:val="22"/>
                <w:lang w:eastAsia="it-IT"/>
              </w:rPr>
              <w:t xml:space="preserve">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922D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72451C" w14:paraId="2D1B7169" w14:textId="77777777" w:rsidTr="00B922D0">
        <w:trPr>
          <w:trHeight w:val="68"/>
          <w:jc w:val="center"/>
        </w:trPr>
        <w:tc>
          <w:tcPr>
            <w:tcW w:w="8782" w:type="dxa"/>
            <w:gridSpan w:val="2"/>
          </w:tcPr>
          <w:p w14:paraId="4B0BB442" w14:textId="125E3638" w:rsidR="00300E56" w:rsidRPr="00CF13AE" w:rsidRDefault="00300E56" w:rsidP="00EC0E49">
            <w:pPr>
              <w:tabs>
                <w:tab w:val="left" w:pos="-108"/>
              </w:tabs>
              <w:spacing w:line="140" w:lineRule="atLeast"/>
              <w:ind w:left="-108"/>
              <w:jc w:val="left"/>
              <w:rPr>
                <w:rFonts w:ascii="Tahoma" w:hAnsi="Tahoma" w:cs="Tahoma"/>
                <w:iCs/>
                <w:color w:val="333333"/>
                <w:sz w:val="14"/>
                <w:szCs w:val="14"/>
                <w:lang w:val="it-IT" w:eastAsia="it-IT"/>
              </w:rPr>
            </w:pPr>
            <w:r w:rsidRPr="00CF13AE">
              <w:rPr>
                <w:rFonts w:ascii="Tahoma" w:hAnsi="Tahoma" w:cs="Tahoma"/>
                <w:iCs/>
                <w:color w:val="333333"/>
                <w:sz w:val="14"/>
                <w:szCs w:val="14"/>
                <w:lang w:val="it-IT" w:eastAsia="it-IT"/>
              </w:rPr>
              <w:t>Guest Editors:</w:t>
            </w:r>
            <w:r w:rsidR="00904C62" w:rsidRPr="00CF13AE">
              <w:rPr>
                <w:rFonts w:ascii="Tahoma" w:hAnsi="Tahoma" w:cs="Tahoma"/>
                <w:iCs/>
                <w:color w:val="333333"/>
                <w:sz w:val="14"/>
                <w:szCs w:val="14"/>
                <w:lang w:val="it-IT" w:eastAsia="it-IT"/>
              </w:rPr>
              <w:t xml:space="preserve"> </w:t>
            </w:r>
            <w:r w:rsidR="00CF13AE" w:rsidRPr="00CF13AE">
              <w:rPr>
                <w:rFonts w:ascii="Tahoma" w:hAnsi="Tahoma" w:cs="Tahoma"/>
                <w:iCs/>
                <w:color w:val="333333"/>
                <w:sz w:val="14"/>
                <w:szCs w:val="14"/>
                <w:lang w:val="it-IT" w:eastAsia="it-IT"/>
              </w:rPr>
              <w:t xml:space="preserve">Paolo </w:t>
            </w:r>
            <w:proofErr w:type="spellStart"/>
            <w:r w:rsidR="00CF13AE" w:rsidRPr="00CF13AE">
              <w:rPr>
                <w:rFonts w:ascii="Tahoma" w:hAnsi="Tahoma" w:cs="Tahoma"/>
                <w:iCs/>
                <w:color w:val="333333"/>
                <w:sz w:val="14"/>
                <w:szCs w:val="14"/>
                <w:lang w:val="it-IT" w:eastAsia="it-IT"/>
              </w:rPr>
              <w:t>Ciambelli</w:t>
            </w:r>
            <w:proofErr w:type="spellEnd"/>
            <w:r w:rsidR="00CF13AE" w:rsidRPr="00CF13AE">
              <w:rPr>
                <w:rFonts w:ascii="Tahoma" w:hAnsi="Tahoma" w:cs="Tahoma"/>
                <w:iCs/>
                <w:color w:val="333333"/>
                <w:sz w:val="14"/>
                <w:szCs w:val="14"/>
                <w:lang w:val="it-IT" w:eastAsia="it-IT"/>
              </w:rPr>
              <w:t>, Luca D</w:t>
            </w:r>
            <w:r w:rsidR="00CF13AE">
              <w:rPr>
                <w:rFonts w:ascii="Tahoma" w:hAnsi="Tahoma" w:cs="Tahoma"/>
                <w:iCs/>
                <w:color w:val="333333"/>
                <w:sz w:val="14"/>
                <w:szCs w:val="14"/>
                <w:lang w:val="it-IT" w:eastAsia="it-IT"/>
              </w:rPr>
              <w:t>i Palma</w:t>
            </w:r>
          </w:p>
          <w:p w14:paraId="1B0F1814" w14:textId="540AE9CF" w:rsidR="000A03B2" w:rsidRPr="0072451C" w:rsidRDefault="0014464F" w:rsidP="00180860">
            <w:pPr>
              <w:tabs>
                <w:tab w:val="left" w:pos="-108"/>
              </w:tabs>
              <w:spacing w:line="140" w:lineRule="atLeast"/>
              <w:ind w:left="-108"/>
              <w:jc w:val="left"/>
              <w:rPr>
                <w:lang w:val="en-US"/>
              </w:rPr>
            </w:pPr>
            <w:r w:rsidRPr="0072451C">
              <w:rPr>
                <w:rFonts w:ascii="Tahoma" w:hAnsi="Tahoma" w:cs="Tahoma"/>
                <w:iCs/>
                <w:color w:val="333333"/>
                <w:sz w:val="14"/>
                <w:szCs w:val="14"/>
                <w:lang w:val="en-US" w:eastAsia="it-IT"/>
              </w:rPr>
              <w:t xml:space="preserve">Copyright © </w:t>
            </w:r>
            <w:r w:rsidR="00B74E8E" w:rsidRPr="0072451C">
              <w:rPr>
                <w:rFonts w:ascii="Tahoma" w:hAnsi="Tahoma" w:cs="Tahoma"/>
                <w:iCs/>
                <w:color w:val="333333"/>
                <w:sz w:val="14"/>
                <w:szCs w:val="14"/>
                <w:lang w:val="en-US" w:eastAsia="it-IT"/>
              </w:rPr>
              <w:t>2023</w:t>
            </w:r>
            <w:r w:rsidR="00CF13AE" w:rsidRPr="0072451C">
              <w:rPr>
                <w:rFonts w:ascii="Tahoma" w:hAnsi="Tahoma" w:cs="Tahoma"/>
                <w:iCs/>
                <w:color w:val="333333"/>
                <w:sz w:val="14"/>
                <w:szCs w:val="14"/>
                <w:lang w:val="en-US" w:eastAsia="it-IT"/>
              </w:rPr>
              <w:t>,</w:t>
            </w:r>
            <w:r w:rsidR="00904C62" w:rsidRPr="0072451C">
              <w:rPr>
                <w:rFonts w:ascii="Tahoma" w:hAnsi="Tahoma" w:cs="Tahoma"/>
                <w:iCs/>
                <w:color w:val="333333"/>
                <w:sz w:val="14"/>
                <w:szCs w:val="14"/>
                <w:lang w:val="en-US" w:eastAsia="it-IT"/>
              </w:rPr>
              <w:t xml:space="preserve"> AIDIC </w:t>
            </w:r>
            <w:proofErr w:type="spellStart"/>
            <w:r w:rsidR="00904C62" w:rsidRPr="0072451C">
              <w:rPr>
                <w:rFonts w:ascii="Tahoma" w:hAnsi="Tahoma" w:cs="Tahoma"/>
                <w:iCs/>
                <w:color w:val="333333"/>
                <w:sz w:val="14"/>
                <w:szCs w:val="14"/>
                <w:lang w:val="en-US" w:eastAsia="it-IT"/>
              </w:rPr>
              <w:t>Servizi</w:t>
            </w:r>
            <w:proofErr w:type="spellEnd"/>
            <w:r w:rsidR="00904C62" w:rsidRPr="0072451C">
              <w:rPr>
                <w:rFonts w:ascii="Tahoma" w:hAnsi="Tahoma" w:cs="Tahoma"/>
                <w:iCs/>
                <w:color w:val="333333"/>
                <w:sz w:val="14"/>
                <w:szCs w:val="14"/>
                <w:lang w:val="en-US" w:eastAsia="it-IT"/>
              </w:rPr>
              <w:t xml:space="preserve"> </w:t>
            </w:r>
            <w:proofErr w:type="spellStart"/>
            <w:r w:rsidR="00904C62" w:rsidRPr="0072451C">
              <w:rPr>
                <w:rFonts w:ascii="Tahoma" w:hAnsi="Tahoma" w:cs="Tahoma"/>
                <w:iCs/>
                <w:color w:val="333333"/>
                <w:sz w:val="14"/>
                <w:szCs w:val="14"/>
                <w:lang w:val="en-US" w:eastAsia="it-IT"/>
              </w:rPr>
              <w:t>S.r.l</w:t>
            </w:r>
            <w:proofErr w:type="spellEnd"/>
            <w:r w:rsidR="00904C62" w:rsidRPr="0072451C">
              <w:rPr>
                <w:rFonts w:ascii="Tahoma" w:hAnsi="Tahoma" w:cs="Tahoma"/>
                <w:iCs/>
                <w:color w:val="333333"/>
                <w:sz w:val="14"/>
                <w:szCs w:val="14"/>
                <w:lang w:val="en-US" w:eastAsia="it-IT"/>
              </w:rPr>
              <w:t>.</w:t>
            </w:r>
            <w:r w:rsidR="00300E56" w:rsidRPr="0072451C">
              <w:rPr>
                <w:rFonts w:ascii="Tahoma" w:hAnsi="Tahoma" w:cs="Tahoma"/>
                <w:iCs/>
                <w:color w:val="333333"/>
                <w:sz w:val="14"/>
                <w:szCs w:val="14"/>
                <w:lang w:val="en-US" w:eastAsia="it-IT"/>
              </w:rPr>
              <w:br/>
            </w:r>
            <w:r w:rsidR="00180860" w:rsidRPr="0072451C">
              <w:rPr>
                <w:rFonts w:ascii="Tahoma" w:hAnsi="Tahoma" w:cs="Tahoma"/>
                <w:b/>
                <w:iCs/>
                <w:color w:val="333333"/>
                <w:sz w:val="14"/>
                <w:szCs w:val="14"/>
                <w:lang w:val="en-US" w:eastAsia="it-IT"/>
              </w:rPr>
              <w:t xml:space="preserve">ISBN </w:t>
            </w:r>
            <w:r w:rsidR="0072451C" w:rsidRPr="0072451C">
              <w:rPr>
                <w:rFonts w:ascii="Tahoma" w:hAnsi="Tahoma" w:cs="Tahoma"/>
                <w:sz w:val="14"/>
                <w:szCs w:val="14"/>
                <w:lang w:val="en-US"/>
              </w:rPr>
              <w:t xml:space="preserve">979-12-81206-00-7; </w:t>
            </w:r>
            <w:r w:rsidR="00300E56" w:rsidRPr="0072451C">
              <w:rPr>
                <w:rFonts w:ascii="Tahoma" w:hAnsi="Tahoma" w:cs="Tahoma"/>
                <w:b/>
                <w:iCs/>
                <w:color w:val="333333"/>
                <w:sz w:val="14"/>
                <w:szCs w:val="14"/>
                <w:lang w:val="en-US" w:eastAsia="it-IT"/>
              </w:rPr>
              <w:t>ISSN</w:t>
            </w:r>
            <w:r w:rsidR="00B74E8E" w:rsidRPr="0072451C">
              <w:rPr>
                <w:rFonts w:ascii="Tahoma" w:hAnsi="Tahoma" w:cs="Tahoma"/>
                <w:iCs/>
                <w:color w:val="333333"/>
                <w:sz w:val="14"/>
                <w:szCs w:val="14"/>
                <w:lang w:val="en-US" w:eastAsia="it-IT"/>
              </w:rPr>
              <w:t xml:space="preserve"> </w:t>
            </w:r>
            <w:r w:rsidR="0072451C" w:rsidRPr="00B57B36">
              <w:rPr>
                <w:rFonts w:ascii="Tahoma" w:hAnsi="Tahoma" w:cs="Tahoma"/>
                <w:iCs/>
                <w:color w:val="333333"/>
                <w:sz w:val="14"/>
                <w:szCs w:val="14"/>
                <w:lang w:eastAsia="it-IT"/>
              </w:rPr>
              <w:t>2283-9216</w:t>
            </w:r>
          </w:p>
        </w:tc>
      </w:tr>
    </w:tbl>
    <w:p w14:paraId="4EB69472" w14:textId="63FD16C1" w:rsidR="000C1F13" w:rsidRPr="000C1F13" w:rsidRDefault="00B922D0" w:rsidP="00E978D0">
      <w:pPr>
        <w:pStyle w:val="CETTitle"/>
        <w:rPr>
          <w:lang w:val="en-US"/>
        </w:rPr>
      </w:pPr>
      <w:r w:rsidRPr="00B922D0">
        <w:rPr>
          <w:lang w:val="en-US"/>
        </w:rPr>
        <w:t>Characterization of albumin-functionalized silica particles as novel solid adso</w:t>
      </w:r>
      <w:r w:rsidR="00046AAA">
        <w:rPr>
          <w:lang w:val="en-US"/>
        </w:rPr>
        <w:t>rbent of bilirubin from albumin-</w:t>
      </w:r>
      <w:r w:rsidRPr="00B922D0">
        <w:rPr>
          <w:lang w:val="en-US"/>
        </w:rPr>
        <w:t>containing solution</w:t>
      </w:r>
      <w:r w:rsidR="000C1F13" w:rsidRPr="000C1F13">
        <w:rPr>
          <w:lang w:val="en-US"/>
        </w:rPr>
        <w:t>.</w:t>
      </w:r>
    </w:p>
    <w:p w14:paraId="2B3CA35C" w14:textId="30E14DD8" w:rsidR="00E978D0" w:rsidRPr="006156C8" w:rsidRDefault="006156C8" w:rsidP="00AB5011">
      <w:pPr>
        <w:pStyle w:val="CETAuthors"/>
        <w:rPr>
          <w:vertAlign w:val="superscript"/>
          <w:lang w:val="it-IT"/>
        </w:rPr>
      </w:pPr>
      <w:r w:rsidRPr="00BE09E7">
        <w:rPr>
          <w:lang w:val="it-IT"/>
        </w:rPr>
        <w:t>Leone Mazzeo</w:t>
      </w:r>
      <w:r w:rsidR="00600535" w:rsidRPr="00BE09E7">
        <w:rPr>
          <w:vertAlign w:val="superscript"/>
          <w:lang w:val="it-IT"/>
        </w:rPr>
        <w:t>a</w:t>
      </w:r>
      <w:r w:rsidR="00BE09E7" w:rsidRPr="00BE09E7">
        <w:rPr>
          <w:vertAlign w:val="superscript"/>
          <w:lang w:val="it-IT"/>
        </w:rPr>
        <w:t>,</w:t>
      </w:r>
      <w:r w:rsidRPr="00BE09E7">
        <w:rPr>
          <w:vertAlign w:val="superscript"/>
          <w:lang w:val="it-IT"/>
        </w:rPr>
        <w:t>*</w:t>
      </w:r>
      <w:r w:rsidRPr="00BE09E7">
        <w:rPr>
          <w:lang w:val="it-IT"/>
        </w:rPr>
        <w:t xml:space="preserve">, </w:t>
      </w:r>
      <w:r w:rsidR="00B922D0">
        <w:rPr>
          <w:lang w:val="it-IT"/>
        </w:rPr>
        <w:t>Tamara Boscarino</w:t>
      </w:r>
      <w:r w:rsidR="00BE09E7" w:rsidRPr="00CD2A03">
        <w:rPr>
          <w:vertAlign w:val="superscript"/>
          <w:lang w:val="it-IT"/>
        </w:rPr>
        <w:t>b</w:t>
      </w:r>
      <w:r w:rsidR="00600535" w:rsidRPr="00BE09E7">
        <w:rPr>
          <w:lang w:val="it-IT"/>
        </w:rPr>
        <w:t xml:space="preserve">, </w:t>
      </w:r>
      <w:r w:rsidR="00B922D0">
        <w:rPr>
          <w:lang w:val="it-IT"/>
        </w:rPr>
        <w:t>Alice Bertino</w:t>
      </w:r>
      <w:r w:rsidR="00B922D0">
        <w:rPr>
          <w:vertAlign w:val="superscript"/>
          <w:lang w:val="it-IT"/>
        </w:rPr>
        <w:t>a</w:t>
      </w:r>
      <w:r w:rsidR="00B922D0">
        <w:rPr>
          <w:lang w:val="it-IT"/>
        </w:rPr>
        <w:t xml:space="preserve">, Maria Beatrice </w:t>
      </w:r>
      <w:r w:rsidR="00B922D0" w:rsidRPr="00B922D0">
        <w:rPr>
          <w:lang w:val="it-IT"/>
        </w:rPr>
        <w:t>Falasconi</w:t>
      </w:r>
      <w:r w:rsidR="00B922D0">
        <w:rPr>
          <w:vertAlign w:val="superscript"/>
          <w:lang w:val="it-IT"/>
        </w:rPr>
        <w:t>a</w:t>
      </w:r>
      <w:r w:rsidR="00B922D0">
        <w:rPr>
          <w:lang w:val="it-IT"/>
        </w:rPr>
        <w:t>, Franca Abruzzese</w:t>
      </w:r>
      <w:r w:rsidR="0048609C" w:rsidRPr="0048609C">
        <w:rPr>
          <w:vertAlign w:val="superscript"/>
          <w:lang w:val="it-IT"/>
        </w:rPr>
        <w:t>c</w:t>
      </w:r>
      <w:r w:rsidR="00B922D0">
        <w:rPr>
          <w:lang w:val="it-IT"/>
        </w:rPr>
        <w:t xml:space="preserve"> </w:t>
      </w:r>
      <w:r w:rsidR="00523743">
        <w:rPr>
          <w:lang w:val="it-IT"/>
        </w:rPr>
        <w:t xml:space="preserve">and </w:t>
      </w:r>
      <w:r w:rsidR="00BE09E7" w:rsidRPr="00B922D0">
        <w:rPr>
          <w:lang w:val="it-IT"/>
        </w:rPr>
        <w:t>Vincenzo</w:t>
      </w:r>
      <w:r w:rsidR="00BE09E7" w:rsidRPr="00BE09E7">
        <w:rPr>
          <w:lang w:val="it-IT"/>
        </w:rPr>
        <w:t xml:space="preserve"> Pimeonte</w:t>
      </w:r>
      <w:r w:rsidR="00BE09E7" w:rsidRPr="00BE09E7">
        <w:rPr>
          <w:vertAlign w:val="superscript"/>
          <w:lang w:val="it-IT"/>
        </w:rPr>
        <w:t>a</w:t>
      </w:r>
      <w:r w:rsidR="00BE09E7" w:rsidRPr="00BE09E7">
        <w:rPr>
          <w:lang w:val="it-IT"/>
        </w:rPr>
        <w:t xml:space="preserve"> </w:t>
      </w:r>
    </w:p>
    <w:p w14:paraId="07735DFF" w14:textId="1813BFB5" w:rsidR="00BE09E7" w:rsidRPr="00BE09E7" w:rsidRDefault="00E978D0" w:rsidP="00E978D0">
      <w:pPr>
        <w:pStyle w:val="CETAddress"/>
      </w:pPr>
      <w:r w:rsidRPr="00B57B36">
        <w:rPr>
          <w:vertAlign w:val="superscript"/>
        </w:rPr>
        <w:t>a</w:t>
      </w:r>
      <w:r w:rsidR="00BE09E7" w:rsidRPr="00BE09E7">
        <w:rPr>
          <w:lang w:val="en-US"/>
        </w:rPr>
        <w:t>Faculty of Science and technology for sustainable Development and One Helt, Unit of Chemical-physics Fundamentals in Chemical Engineering, University Campus Bio-medico of Rome, Via Alvaro del Portillo, 21, 00128 Rome, Italy</w:t>
      </w:r>
    </w:p>
    <w:p w14:paraId="5175D5AB" w14:textId="0A1C226D" w:rsidR="00523743" w:rsidRDefault="00BE09E7" w:rsidP="009915BD">
      <w:pPr>
        <w:pStyle w:val="CETAddress"/>
        <w:rPr>
          <w:rFonts w:cs="Arial"/>
          <w:szCs w:val="18"/>
          <w:lang w:val="en-US"/>
        </w:rPr>
      </w:pPr>
      <w:r>
        <w:rPr>
          <w:rFonts w:cs="Arial"/>
          <w:szCs w:val="18"/>
          <w:vertAlign w:val="superscript"/>
        </w:rPr>
        <w:t>b</w:t>
      </w:r>
      <w:r w:rsidR="009915BD" w:rsidRPr="009915BD">
        <w:rPr>
          <w:rFonts w:cs="Arial"/>
          <w:szCs w:val="18"/>
          <w:lang w:val="en-US"/>
        </w:rPr>
        <w:t>Department of Engineering, Unit of Intelligent Health Technologies, Sustainable De</w:t>
      </w:r>
      <w:r w:rsidR="00CD2A03">
        <w:rPr>
          <w:rFonts w:cs="Arial"/>
          <w:szCs w:val="18"/>
          <w:lang w:val="en-US"/>
        </w:rPr>
        <w:t xml:space="preserve">sign Management and Assessment, </w:t>
      </w:r>
      <w:r w:rsidR="009915BD" w:rsidRPr="009915BD">
        <w:rPr>
          <w:rFonts w:cs="Arial"/>
          <w:szCs w:val="18"/>
          <w:lang w:val="en-US"/>
        </w:rPr>
        <w:t xml:space="preserve">University Campus Biomedico of Rome, Via Alvaro del Portillo, 21, 00128 Rome, Italy; </w:t>
      </w:r>
    </w:p>
    <w:p w14:paraId="74616C70" w14:textId="33A06CC8" w:rsidR="00CD2A03" w:rsidRPr="00CD2A03" w:rsidRDefault="00CD2A03" w:rsidP="00CD2A03">
      <w:pPr>
        <w:pStyle w:val="CETAddress"/>
        <w:rPr>
          <w:rFonts w:cs="Arial"/>
          <w:szCs w:val="18"/>
          <w:lang w:val="en-US"/>
        </w:rPr>
      </w:pPr>
      <w:r>
        <w:rPr>
          <w:rFonts w:cs="Arial"/>
          <w:szCs w:val="18"/>
          <w:vertAlign w:val="superscript"/>
          <w:lang w:val="en-US"/>
        </w:rPr>
        <w:t>c</w:t>
      </w:r>
      <w:r w:rsidRPr="00CD2A03">
        <w:rPr>
          <w:rFonts w:cs="Arial"/>
          <w:szCs w:val="18"/>
          <w:lang w:val="en-US"/>
        </w:rPr>
        <w:t>Department of Engineering, Unit of</w:t>
      </w:r>
      <w:r>
        <w:rPr>
          <w:rFonts w:cs="Arial"/>
          <w:szCs w:val="18"/>
          <w:lang w:val="en-US"/>
        </w:rPr>
        <w:t xml:space="preserve"> </w:t>
      </w:r>
      <w:r w:rsidRPr="00CD2A03">
        <w:rPr>
          <w:rFonts w:cs="Arial"/>
          <w:szCs w:val="18"/>
          <w:lang w:val="en-US"/>
        </w:rPr>
        <w:t>Tissue Engineering and Chemistry for Engineering</w:t>
      </w:r>
      <w:r>
        <w:rPr>
          <w:rFonts w:cs="Arial"/>
          <w:szCs w:val="18"/>
          <w:lang w:val="en-US"/>
        </w:rPr>
        <w:t xml:space="preserve">, </w:t>
      </w:r>
      <w:r w:rsidRPr="00CD2A03">
        <w:rPr>
          <w:rFonts w:cs="Arial"/>
          <w:szCs w:val="18"/>
          <w:lang w:val="en-US"/>
        </w:rPr>
        <w:t>University Campus Biomedico of Rome, Via Alvaro del Portillo, 21, 00128 Rome, Italy;</w:t>
      </w:r>
    </w:p>
    <w:p w14:paraId="37FE344F" w14:textId="22B0000D" w:rsidR="00DE08DD" w:rsidRPr="000C3905" w:rsidRDefault="00DE08DD" w:rsidP="00523743">
      <w:pPr>
        <w:pStyle w:val="CETAddress"/>
        <w:rPr>
          <w:rFonts w:cs="Arial"/>
          <w:szCs w:val="18"/>
          <w:lang w:val="en-US"/>
        </w:rPr>
      </w:pPr>
      <w:r w:rsidRPr="000C3905">
        <w:rPr>
          <w:rFonts w:cs="Arial"/>
          <w:szCs w:val="18"/>
          <w:lang w:val="en-US"/>
        </w:rPr>
        <w:t>l.mazzeo@unicampus.it</w:t>
      </w:r>
    </w:p>
    <w:p w14:paraId="564D1644" w14:textId="77777777" w:rsidR="00523743" w:rsidRPr="000C3905" w:rsidRDefault="00523743" w:rsidP="000C1F13">
      <w:pPr>
        <w:pStyle w:val="CETBodytext"/>
      </w:pPr>
    </w:p>
    <w:p w14:paraId="72C9594A" w14:textId="42EBA506" w:rsidR="00523743" w:rsidRDefault="00523743" w:rsidP="000C1F13">
      <w:pPr>
        <w:pStyle w:val="CETBodytext"/>
        <w:rPr>
          <w:lang w:val="en-GB"/>
        </w:rPr>
      </w:pPr>
      <w:r w:rsidRPr="00523743">
        <w:rPr>
          <w:lang w:val="en-GB"/>
        </w:rPr>
        <w:t xml:space="preserve">The liver is a fundamental organ that performs a wide range of life-important functions such as blood detoxification from endogenous substances. In particular, Albumin-bound toxins such as bilirubin are involved in the aetiology of many </w:t>
      </w:r>
      <w:proofErr w:type="gramStart"/>
      <w:r w:rsidRPr="00523743">
        <w:rPr>
          <w:lang w:val="en-GB"/>
        </w:rPr>
        <w:t>liver</w:t>
      </w:r>
      <w:proofErr w:type="gramEnd"/>
      <w:r w:rsidRPr="00523743">
        <w:rPr>
          <w:lang w:val="en-GB"/>
        </w:rPr>
        <w:t xml:space="preserve"> failure associated pathologies. For this reason, </w:t>
      </w:r>
      <w:proofErr w:type="gramStart"/>
      <w:r w:rsidRPr="00523743">
        <w:rPr>
          <w:lang w:val="en-GB"/>
        </w:rPr>
        <w:t>albumin based</w:t>
      </w:r>
      <w:proofErr w:type="gramEnd"/>
      <w:r w:rsidRPr="00523743">
        <w:rPr>
          <w:lang w:val="en-GB"/>
        </w:rPr>
        <w:t xml:space="preserve"> dialysis devices are crucial to provide a temporary solution for patients affected by liver diseases. Adsorption units play a key role in such apparatus for the dialysate re</w:t>
      </w:r>
      <w:r w:rsidR="00B9354E">
        <w:rPr>
          <w:lang w:val="en-GB"/>
        </w:rPr>
        <w:t>generation. In this work was 3-</w:t>
      </w:r>
      <w:r w:rsidRPr="00523743">
        <w:rPr>
          <w:lang w:val="en-GB"/>
        </w:rPr>
        <w:t>Aminopropyl-functionalized silica gel (40-63µ</w:t>
      </w:r>
      <w:r w:rsidRPr="00523743">
        <w:rPr>
          <w:rFonts w:ascii="Cambria Math" w:hAnsi="Cambria Math" w:cs="Cambria Math"/>
          <w:lang w:val="en-GB"/>
        </w:rPr>
        <w:t>𝑚</w:t>
      </w:r>
      <w:r w:rsidRPr="00523743">
        <w:rPr>
          <w:lang w:val="en-GB"/>
        </w:rPr>
        <w:t>) micro-particles bounded with albumin</w:t>
      </w:r>
      <w:r w:rsidR="00046AAA">
        <w:rPr>
          <w:lang w:val="en-GB"/>
        </w:rPr>
        <w:t xml:space="preserve"> were tested as a novel adsorbent</w:t>
      </w:r>
      <w:r w:rsidRPr="00523743">
        <w:rPr>
          <w:lang w:val="en-GB"/>
        </w:rPr>
        <w:t xml:space="preserve"> material for the removal</w:t>
      </w:r>
      <w:r w:rsidR="00046AAA">
        <w:rPr>
          <w:lang w:val="en-GB"/>
        </w:rPr>
        <w:t xml:space="preserve"> of bilirubin from an albumin-</w:t>
      </w:r>
      <w:r w:rsidRPr="00523743">
        <w:rPr>
          <w:lang w:val="en-GB"/>
        </w:rPr>
        <w:t>containing solution. Frist of all, the adsorption equilibrium of albumin on silica gel surface was experimentally investigated and a maximum adsorption capacity of 290.6 mg/g was estimated using Langmuir isotherm. Then, batch tests were performed to evaluate the equilibrium conditions for the upt</w:t>
      </w:r>
      <w:r>
        <w:rPr>
          <w:lang w:val="en-GB"/>
        </w:rPr>
        <w:t xml:space="preserve">ake of bilirubin by the albumin </w:t>
      </w:r>
      <w:r w:rsidRPr="00523743">
        <w:rPr>
          <w:lang w:val="en-GB"/>
        </w:rPr>
        <w:t xml:space="preserve">functionalized silica particles. In this case </w:t>
      </w:r>
      <w:r w:rsidR="00046AAA">
        <w:rPr>
          <w:lang w:val="en-GB"/>
        </w:rPr>
        <w:t xml:space="preserve">the behaviour of the system was best represented by </w:t>
      </w:r>
      <w:r w:rsidRPr="00523743">
        <w:rPr>
          <w:lang w:val="en-GB"/>
        </w:rPr>
        <w:t>a linear isotherm with an angular coeffic</w:t>
      </w:r>
      <w:r w:rsidR="00046AAA">
        <w:rPr>
          <w:lang w:val="en-GB"/>
        </w:rPr>
        <w:t xml:space="preserve">ient of </w:t>
      </w:r>
      <w:r w:rsidR="00AD4CBD" w:rsidRPr="00B26BCF">
        <w:t>1.91 µmol/g</w:t>
      </w:r>
      <w:r w:rsidR="00046AAA">
        <w:rPr>
          <w:lang w:val="en-GB"/>
        </w:rPr>
        <w:t xml:space="preserve">. </w:t>
      </w:r>
    </w:p>
    <w:p w14:paraId="2742570A" w14:textId="77777777" w:rsidR="00B9354E" w:rsidRDefault="00B9354E" w:rsidP="000C1F13">
      <w:pPr>
        <w:pStyle w:val="CETBodytext"/>
      </w:pPr>
    </w:p>
    <w:p w14:paraId="476B2F2E" w14:textId="6B3ABED5" w:rsidR="00600535" w:rsidRDefault="00600535" w:rsidP="00600535">
      <w:pPr>
        <w:pStyle w:val="CETHeading1"/>
        <w:rPr>
          <w:lang w:val="en-GB"/>
        </w:rPr>
      </w:pPr>
      <w:r w:rsidRPr="00B57B36">
        <w:rPr>
          <w:lang w:val="en-GB"/>
        </w:rPr>
        <w:t>Introduction</w:t>
      </w:r>
      <w:r w:rsidR="00082589">
        <w:rPr>
          <w:lang w:val="en-GB"/>
        </w:rPr>
        <w:t xml:space="preserve"> </w:t>
      </w:r>
    </w:p>
    <w:p w14:paraId="7049A4BE" w14:textId="39621F2E" w:rsidR="009F44AE" w:rsidRDefault="00020E9F" w:rsidP="00020E9F">
      <w:pPr>
        <w:pStyle w:val="CETBodytext"/>
      </w:pPr>
      <w:r w:rsidRPr="00020E9F">
        <w:t>Ensuring that the levels of toxins in the blood are properly managed is a vital concern when caring for patients with liver failure. When the liver loses its ability to detoxify, harmful substances can accumulate in the bloodstream, potentially leading to a fatal outcome if prompt action is not taken. Currently, the treatment for acute and acute-on-chronic liver failure involves using extra-corporeal devices to safely bring patients out of the acute phase or serve as a bridge to organ transplantation</w:t>
      </w:r>
      <w:r>
        <w:t xml:space="preserve"> </w:t>
      </w:r>
      <w:r w:rsidR="00EF26A4">
        <w:fldChar w:fldCharType="begin" w:fldLock="1"/>
      </w:r>
      <w:r w:rsidR="00EF26A4">
        <w:instrText>ADDIN CSL_CITATION {"citationItems":[{"id":"ITEM-1","itemData":{"DOI":"10.1136/gut.2003.024919","ISSN":"00175749","PMID":"15138219","author":[{"dropping-particle":"","family":"Jalan","given":"R.","non-dropping-particle":"","parse-names":false,"suffix":""},{"dropping-particle":"","family":"Sen","given":"S.","non-dropping-particle":"","parse-names":false,"suffix":""},{"dropping-particle":"","family":"Williams","given":"R.","non-dropping-particle":"","parse-names":false,"suffix":""}],"container-title":"Gut","id":"ITEM-1","issue":"6","issued":{"date-parts":[["2004"]]},"page":"890-898","title":"Prospects for extracorporeal liver support","type":"article-journal","volume":"53"},"uris":["http://www.mendeley.com/documents/?uuid=c07e39ed-6827-4dff-8e6c-17aff661f350"]},{"id":"ITEM-2","itemData":{"DOI":"10.1016/j.transci.2004.10.023","ISSN":"14730502","PMID":"15784456","abstract":"Apheresis may be performed with many different techniques. The basis for different therapeutic approaches lies in the pathophysiological processes present in the diseases that have to be treated. Over the years more sophisticated devices have been developed. The most frequent treatment is plasma exchange (plasmapheresis) using centrifugation or single filtration techniques. In addition cascade filtration and subsequent adsorption from plasma is done. Thereby removal is done by adsorption of molecules such as bilirubin, immunoglobulins (immunoadsorption), circulating immune complexes, various antibodies including those against blood types. Such adsorption technologies have also been developed to allow adsorption directly from a column perfused by whole blood (hemoperfusion). By combining various techniques, systems are available that allow bridging of patients with hepatic failure to transplantation (MARS, Prometheus). By adding e.g., hepatic cells to such systems, besides dialysis and adsorption, cells will help to degrade toxic molecules. Such bioreactors are in clinical use. Apheresis includes also the removal or retrieval of cells from blood for e.g., stemcell transplantation, polycythaemia or hemochromatosis. Removal of leukocytes from blood using leukocyte filters is indicated in inflammatory bowel diseases. By specifically irradiating lymphocytes and monocytes with UV light using the technique of extra corporeal photochemotherapy (ECTP) various immunological diseases are treated. On the other hand, various alternative techniques may be used for the same disorder. Thus for patients with high plasma LDL-cholesterol not responding to other lipid lowering strategic treatment, alternative therapy may be done either by cascade filtration, adsorption technology from plasma, heparin precipitation (HELP-system) or hemoperfusion. This article describes various techniques in clinical use. © 2005 Published by Elsevier Ltd.","author":[{"dropping-particle":"","family":"Stegmayr","given":"Bernd G.","non-dropping-particle":"","parse-names":false,"suffix":""}],"container-title":"Transfusion and Apheresis Science","id":"ITEM-2","issue":"2","issued":{"date-parts":[["2005"]]},"page":"209-220","title":"A survey of blood purification techniques","type":"article-journal","volume":"32"},"uris":["http://www.mendeley.com/documents/?uuid=f82fcfe5-76f2-4bc5-9eaf-8b24baee17e4"]},{"id":"ITEM-3","itemData":{"DOI":"10.1111/j.1399-3089.2006.00323.x","ISSN":"0908665X","PMID":"16925661","abstract":"Background: Currently, there is no direct treatment for hepatic failure, and patients must receive a transplant or endure prolonged hospitalization, with significant morbidity and mortality. Because of the scarcity of donor organs, liver support strategies are being developed with the aim of either supporting patients with borderline functional liver cell mass until an appropriate organ becomes available for transplantation or until their livers recover from injury. Methods: A literature review was performed using MEDLINE and library searches. Only major blood detoxification/purification devices and cell-based techniques are included in this review. Results: Currently, a number of blood purification systems and devices utilizing viable liver cells are in various stages of clinical development. Non-biological systems include plasma exchange, albumin dialysis, hemo(dia)filtration, and sorbent-based devices (charcoal, resin). These systems are able to remove toxins of hepatic failure, and their utility is limited by their inability to provide missing liver-specific functions. In contrast, hepatocyte-based devices are able to provide whole liver functions, including detoxification, biosynthesis, and biotransformation. Molecular adsorbent recycling system (MARS) blood detoxification system has been tested in thousands of patients, but additional well-conducted controlled studies are warranted to better define the role of MARS® in the treatment of patients with acute hepatic failure and acute exacerbation of chronic liver disease. HepatAssist™ was tested in a phase II/III controlled clinical trial that demonstrated safety and proof of concept for use of biological liver support systems to improve patient survival in acute hepatic failure. Conclusions: Developing an effective liver assist technology has proven difficult, because of the complexity of liver functions that must be replaced, as well as heterogeneity of the patient population. Non-biological systems may have a role in the treatment of specific forms of liver failure where the primary goal is to provide blood detoxification/purification. Biological systems appear to be useful in treating liver failure where the primary objective is to provide whole liver functions which are impaired or lost. It is suggested that there will be a role for hybrid liver support systems that offer liver cell therapy and various forms of blood purification (sorption, hemofiltration and diafiltration) to treat patients wit…","author":[{"dropping-particle":"","family":"Rozga","given":"Jacek","non-dropping-particle":"","parse-names":false,"suffix":""}],"container-title":"Xenotransplantation","id":"ITEM-3","issue":"5","issued":{"date-parts":[["2006"]]},"page":"380-389","title":"Liver support technology - An update","type":"article-journal","volume":"13"},"uris":["http://www.mendeley.com/documents/?uuid=91f701cb-8388-4b96-8aa0-19605f84b121"]}],"mendeley":{"formattedCitation":"(Jalan et al., 2004; Rozga, 2006; Stegmayr, 2005)","plainTextFormattedCitation":"(Jalan et al., 2004; Rozga, 2006; Stegmayr, 2005)","previouslyFormattedCitation":"(Jalan et al., 2004; Rozga, 2006; Stegmayr, 2005)"},"properties":{"noteIndex":0},"schema":"https://github.com/citation-style-language/schema/raw/master/csl-citation.json"}</w:instrText>
      </w:r>
      <w:r w:rsidR="00EF26A4">
        <w:fldChar w:fldCharType="separate"/>
      </w:r>
      <w:r w:rsidR="00EF26A4" w:rsidRPr="00EF26A4">
        <w:rPr>
          <w:noProof/>
        </w:rPr>
        <w:t>(Jalan et al., 2004; Rozga, 2006; Stegmayr, 2005)</w:t>
      </w:r>
      <w:r w:rsidR="00EF26A4">
        <w:fldChar w:fldCharType="end"/>
      </w:r>
      <w:r w:rsidRPr="00020E9F">
        <w:t xml:space="preserve">. </w:t>
      </w:r>
      <w:r w:rsidR="00507815">
        <w:t>The most adopted clinical option</w:t>
      </w:r>
      <w:r w:rsidR="00C369A2">
        <w:t xml:space="preserve"> for </w:t>
      </w:r>
      <w:r w:rsidR="00507815">
        <w:t xml:space="preserve">blood detoxification involves a membrane separation process that takes the name of dialysis. </w:t>
      </w:r>
      <w:r w:rsidR="00385CC4">
        <w:t xml:space="preserve">Differently from the removal of small hydrophilic toxins such as urea, conventional dialysis is not enough to remove harmful substances that are tightly bound to blood proteins </w:t>
      </w:r>
      <w:r w:rsidR="004C2D8A">
        <w:t>(</w:t>
      </w:r>
      <w:proofErr w:type="gramStart"/>
      <w:r w:rsidR="004C2D8A">
        <w:t>e.g.</w:t>
      </w:r>
      <w:proofErr w:type="gramEnd"/>
      <w:r w:rsidR="00385CC4">
        <w:t xml:space="preserve"> albumin). </w:t>
      </w:r>
      <w:r w:rsidR="00E77622">
        <w:t xml:space="preserve">Among </w:t>
      </w:r>
      <w:proofErr w:type="gramStart"/>
      <w:r w:rsidR="00E77622">
        <w:t>these class of toxins</w:t>
      </w:r>
      <w:proofErr w:type="gramEnd"/>
      <w:r w:rsidR="00E77622">
        <w:t xml:space="preserve"> there is bilirubin. The latter is one of the main components of bile and it is often used as a marker of the clinical state of liver-failure patients. </w:t>
      </w:r>
      <w:r w:rsidR="009F44AE">
        <w:rPr>
          <w:lang w:val="en-GB"/>
        </w:rPr>
        <w:t xml:space="preserve">Recognized </w:t>
      </w:r>
      <w:r w:rsidR="009F44AE" w:rsidRPr="009F44AE">
        <w:rPr>
          <w:lang w:val="en-GB"/>
        </w:rPr>
        <w:t xml:space="preserve">that </w:t>
      </w:r>
      <w:r w:rsidR="009F44AE">
        <w:rPr>
          <w:lang w:val="en-GB"/>
        </w:rPr>
        <w:t>bilirubin</w:t>
      </w:r>
      <w:r w:rsidR="009F44AE" w:rsidRPr="009F44AE">
        <w:rPr>
          <w:lang w:val="en-GB"/>
        </w:rPr>
        <w:t xml:space="preserve"> play</w:t>
      </w:r>
      <w:r w:rsidR="009F44AE">
        <w:rPr>
          <w:lang w:val="en-GB"/>
        </w:rPr>
        <w:t>s</w:t>
      </w:r>
      <w:r w:rsidR="009F44AE" w:rsidRPr="009F44AE">
        <w:rPr>
          <w:lang w:val="en-GB"/>
        </w:rPr>
        <w:t xml:space="preserve"> a </w:t>
      </w:r>
      <w:r w:rsidR="009F44AE">
        <w:rPr>
          <w:lang w:val="en-GB"/>
        </w:rPr>
        <w:t xml:space="preserve">key </w:t>
      </w:r>
      <w:r w:rsidR="009F44AE" w:rsidRPr="009F44AE">
        <w:rPr>
          <w:lang w:val="en-GB"/>
        </w:rPr>
        <w:t xml:space="preserve">role in the development of various liver-failure related conditions, distinct methods have been created to eliminate </w:t>
      </w:r>
      <w:r w:rsidR="009F44AE">
        <w:rPr>
          <w:lang w:val="en-GB"/>
        </w:rPr>
        <w:t>it together with all the other albumin-bound toxins.</w:t>
      </w:r>
    </w:p>
    <w:p w14:paraId="015F3D83" w14:textId="2878CEF5" w:rsidR="00834BD7" w:rsidRPr="0070685A" w:rsidRDefault="00832107" w:rsidP="003936EF">
      <w:pPr>
        <w:pStyle w:val="CETBodytext"/>
      </w:pPr>
      <w:r>
        <w:t xml:space="preserve">The best-known device that deals with liver failure patients is MARS </w:t>
      </w:r>
      <w:r w:rsidRPr="00832107">
        <w:t>(Molecular Adsor</w:t>
      </w:r>
      <w:r>
        <w:t xml:space="preserve">bents Recirculating System; </w:t>
      </w:r>
      <w:proofErr w:type="spellStart"/>
      <w:r>
        <w:t>Ter</w:t>
      </w:r>
      <w:r w:rsidRPr="00832107">
        <w:t>aklin</w:t>
      </w:r>
      <w:proofErr w:type="spellEnd"/>
      <w:r w:rsidRPr="00832107">
        <w:t xml:space="preserve"> AG, </w:t>
      </w:r>
      <w:proofErr w:type="spellStart"/>
      <w:r w:rsidRPr="00832107">
        <w:t>Rostok</w:t>
      </w:r>
      <w:proofErr w:type="spellEnd"/>
      <w:r w:rsidRPr="00832107">
        <w:t>, Germany, now Gambro AB, Lund, S</w:t>
      </w:r>
      <w:r>
        <w:t>weden)</w:t>
      </w:r>
      <w:r w:rsidR="003D5DC0">
        <w:t xml:space="preserve"> </w:t>
      </w:r>
      <w:r w:rsidR="003D5DC0">
        <w:fldChar w:fldCharType="begin" w:fldLock="1"/>
      </w:r>
      <w:r w:rsidR="003D5DC0">
        <w:instrText>ADDIN CSL_CITATION {"citationItems":[{"id":"ITEM-1","itemData":{"DOI":"10.1016/j.transproceed.2009.03.035","ISSN":"00411345","PMID":"19460529","abstract":"Introduction: Acute-on-chronic liver failure (ACLF) is a systemic inflammatory reaction, which is characterized by a predominantly proinflammatory cytokine profile, causing the transition from stable cirrhosis to ACLF. The aim of the present study was to evaluate the changes in several cytokines associated with inflammatory liver disease and liver regeneration among 15 ACLF patients treated with the Molecular Adsorbent Recirculating System (MARS) compared with 15 patients treated with standard medical therapy (SMT). The subjects showed various disease etiologies but similar values for Model End-stage Liver Disease scores. Methods: In the MARS group, 15 (10 male and 5 female) patients were treated with MARS (Gambro). The number of MARS applications was nine; the length of applications was 8 hours. In the SMT group; 15 (10 male and 5 female) patients were treated with SMT. The patients were monitored for 30 days from inclusion with a survival follow-up at 3 months. Statistical results were calculated with SPSS14.0 (SPSS Inc, Chicago, Ill). A P &lt; .07 was considered significant. Results: In the MARS group, we observed significant changes in the levels of Interleukin (IL)-6, IL-1, IL-10, and tumor necrosis factor (TNF)-α in association with improved hepatocyte growth factor. Patient survival at 3 months was 60%. The SMT group showed only a significant change in TNF-α (P = .03). Patient survival at 3 months was 30%. Conclusion: The MARS liver support device corrected pathophysiologies of ALF and may be used to enhance spontaneous recovery or as a bridge to transplantation. © 2009 Elsevier Inc. All rights reserved.","author":[{"dropping-particle":"","family":"Novelli","given":"Gilnardo","non-dropping-particle":"","parse-names":false,"suffix":""},{"dropping-particle":"","family":"Annesini","given":"M. C.","non-dropping-particle":"","parse-names":false,"suffix":""},{"dropping-particle":"","family":"Morabito","given":"V.","non-dropping-particle":"","parse-names":false,"suffix":""},{"dropping-particle":"","family":"Cinti","given":"P.","non-dropping-particle":"","parse-names":false,"suffix":""},{"dropping-particle":"","family":"Pugliese","given":"F.","non-dropping-particle":"","parse-names":false,"suffix":""},{"dropping-particle":"","family":"Novelli","given":"S.","non-dropping-particle":"","parse-names":false,"suffix":""},{"dropping-particle":"","family":"Piemonte","given":"V.","non-dropping-particle":"","parse-names":false,"suffix":""},{"dropping-particle":"","family":"Turchetti","given":"L.","non-dropping-particle":"","parse-names":false,"suffix":""},{"dropping-particle":"","family":"Rossi","given":"M.","non-dropping-particle":"","parse-names":false,"suffix":""},{"dropping-particle":"","family":"Berloco","given":"P. B.","non-dropping-particle":"","parse-names":false,"suffix":""}],"container-title":"Transplantation Proceedings","id":"ITEM-1","issue":"4","issued":{"date-parts":[["2009"]]},"page":"1243-1248","publisher":"Elsevier Inc.","title":"Cytokine Level Modifications: Molecular Adsorbent Recirculating System Versus Standard Medical Therapy","type":"article-journal","volume":"41"},"uris":["http://www.mendeley.com/documents/?uuid=ffe432c4-830b-4007-929b-0a358d789dbd"]},{"id":"ITEM-2","itemData":{"DOI":"10.1111/j.1744-9987.2009.00759.x","ISSN":"17449979","PMID":"19788457","abstract":"The aim of this study was to evaluate the improvement of prognostic parameters after treatment with the molecular adsorbent recirculating system (MARS) in patients with fulminant hepatitis (FH). The parameters conducive to a positive prognosis include: Glasgow Coma Scale (GCS) score ≥11, intracranial pressure (ICP) &lt;15 mm Hg or an improvement of the systolic peak flow of 25-32 cm/s via Doppler ultrasound in the middle cerebral artery, lactate level &lt;3 mmol/L, tumor necrosis factor-α &lt;20 pg/mL, interleukin (IL)-6 &lt;30 pg/mL, and a change in hemodynamic instability from hyperkinetic to normal kinetic conditions, and so define the timing (and indeed the necessity) of a liver transplant (LTx). From 1999 to 2008 we treated 45 patients with FH with MARS in the intensive care unit of our institution. We analyzed all the parameters that were statistically significant using univariate analysis and considered the patients to be candidates for inclusion in a multivariate logistic regression analysis. Thirty-six patients survived: 21 were bridged to liver transplant (the BLT group) and 15 continued the extracorporeal method until native liver recovery (the NLR group) with a positive resolution of the clinical condition. Nine patients died before transplantation due to multi-organ failure. We stratified the entire population into three different groups according to six risk factors (the percentage reduction of lactate, IL-6 and ICP, systemic vascular resistance index values, GCS &lt;9, and the number of MARS treatments): group A (0-2 risk factors), group B (3-4 risk factors), and group C (5-6 risk factors). Analyzing the prevalence of these parameters, we noted that group A perfectly corresponded to the NLR group, group B corresponded to the BLT group, and group C was composed of patients from the non-survival group; thus, we were able to select the patients who could undergo a LTx using the predictive criteria. For patients with an improvement of neurological status, cytokines, lactate, and hemodynamic parameters, LTx was no longer necessary and their treatment continued with MARS and standard medical therapy. © 2009 International Society for Apheresis.","author":[{"dropping-particle":"","family":"Novelli","given":"Gilnardo","non-dropping-particle":"","parse-names":false,"suffix":""},{"dropping-particle":"","family":"Rossi","given":"Massimo","non-dropping-particle":"","parse-names":false,"suffix":""},{"dropping-particle":"","family":"Ferretti","given":"Giancarlo","non-dropping-particle":"","parse-names":false,"suffix":""},{"dropping-particle":"","family":"Pugliese","given":"Francesco","non-dropping-particle":"","parse-names":false,"suffix":""},{"dropping-particle":"","family":"Ruberto","given":"Franco","non-dropping-particle":"","parse-names":false,"suffix":""},{"dropping-particle":"","family":"Lai","given":"Quirino","non-dropping-particle":"","parse-names":false,"suffix":""},{"dropping-particle":"","family":"Novelli","given":"Simone","non-dropping-particle":"","parse-names":false,"suffix":""},{"dropping-particle":"","family":"Piemonte","given":"Vincenzo","non-dropping-particle":"","parse-names":false,"suffix":""},{"dropping-particle":"","family":"Turchetti","given":"Luca","non-dropping-particle":"","parse-names":false,"suffix":""},{"dropping-particle":"","family":"Morabito","given":"Vincenzo","non-dropping-particle":"","parse-names":false,"suffix":""},{"dropping-particle":"","family":"Annesini","given":"Maria C.","non-dropping-particle":"","parse-names":false,"suffix":""},{"dropping-particle":"","family":"Berloco","given":"Pasquale B.","non-dropping-particle":"","parse-names":false,"suffix":""}],"container-title":"Therapeutic Apheresis and Dialysis","id":"ITEM-2","issue":"5","issued":{"date-parts":[["2009"]]},"page":"404-412","title":"Predictive criteria for the outcome of patients with acute liver failure treated with the albumin dialysis molecular adsorbent recirculating system","type":"article-journal","volume":"13"},"uris":["http://www.mendeley.com/documents/?uuid=2278cf9f-02fb-4d11-a4e4-d6377964cb77"]}],"mendeley":{"formattedCitation":"(Novelli et al., 2009a, 2009b)","plainTextFormattedCitation":"(Novelli et al., 2009a, 2009b)","previouslyFormattedCitation":"(G. Novelli et al., 2009; Gilnardo Novelli et al., 2009)"},"properties":{"noteIndex":0},"schema":"https://github.com/citation-style-language/schema/raw/master/csl-citation.json"}</w:instrText>
      </w:r>
      <w:r w:rsidR="003D5DC0">
        <w:fldChar w:fldCharType="separate"/>
      </w:r>
      <w:r w:rsidR="003D5DC0" w:rsidRPr="003D5DC0">
        <w:rPr>
          <w:noProof/>
        </w:rPr>
        <w:t>(Novelli et al., 2009a, 2009b)</w:t>
      </w:r>
      <w:r w:rsidR="003D5DC0">
        <w:fldChar w:fldCharType="end"/>
      </w:r>
      <w:r>
        <w:t xml:space="preserve">. This process </w:t>
      </w:r>
      <w:r w:rsidR="00E10361">
        <w:t>consists</w:t>
      </w:r>
      <w:r>
        <w:t xml:space="preserve"> of an </w:t>
      </w:r>
      <w:r w:rsidRPr="00E10361">
        <w:rPr>
          <w:i/>
        </w:rPr>
        <w:t>albumin dialysis</w:t>
      </w:r>
      <w:r>
        <w:t xml:space="preserve"> </w:t>
      </w:r>
      <w:r w:rsidR="00557DDA">
        <w:fldChar w:fldCharType="begin" w:fldLock="1"/>
      </w:r>
      <w:r w:rsidR="00557DDA">
        <w:instrText>ADDIN CSL_CITATION {"citationItems":[{"id":"ITEM-1","itemData":{"author":[{"dropping-particle":"","family":"Stange","given":"J.","non-dropping-particle":"","parse-names":false,"suffix":""},{"dropping-particle":"","family":"Mitzner","given":"S.","non-dropping-particle":"","parse-names":false,"suffix":""},{"dropping-particle":"","family":"Ramlow","given":"W.","non-dropping-particle":"","parse-names":false,"suffix":""},{"dropping-particle":"","family":"Gliesche","given":"T.","non-dropping-particle":"","parse-names":false,"suffix":""},{"dropping-particle":"","family":"Hickstein","given":"H.","non-dropping-particle":"","parse-names":false,"suffix":""},{"dropping-particle":"","family":"Schmidt","given":"R.","non-dropping-particle":"","parse-names":false,"suffix":""}],"container-title":"ASAIO J.","id":"ITEM-1","issue":"3","issued":{"date-parts":[["1993"]]},"page":"M621-M625","title":"A new procedure for the removal of protein bound drugs and toxins","type":"article-journal","volume":"39"},"uris":["http://www.mendeley.com/documents/?uuid=e5c85b97-ca37-45da-aabb-2d051367de0f"]},{"id":"ITEM-2","itemData":{"DOI":"10.1111/j.1525-1594.1993.tb00635.x","ISSN":"15251594","PMID":"8240075","abstract":"Abstract: The removal of protein</w:instrText>
      </w:r>
      <w:r w:rsidR="00557DDA">
        <w:rPr>
          <w:rFonts w:ascii="Cambria Math" w:hAnsi="Cambria Math" w:cs="Cambria Math"/>
        </w:rPr>
        <w:instrText>‐</w:instrText>
      </w:r>
      <w:r w:rsidR="00557DDA">
        <w:instrText>bound substances of pathogenetic relevance from blood is of therapeutic interest for drug intoxications, renal and liver failure, and metabolic disorders. Current methods using adsorbents are effective but often not specific enough. This work presents an alternative method that enables the dialyzability of albumin</w:instrText>
      </w:r>
      <w:r w:rsidR="00557DDA">
        <w:rPr>
          <w:rFonts w:ascii="Cambria Math" w:hAnsi="Cambria Math" w:cs="Cambria Math"/>
        </w:rPr>
        <w:instrText>‐</w:instrText>
      </w:r>
      <w:r w:rsidR="00557DDA">
        <w:instrText>bound toxins from plasma by the use of a high</w:instrText>
      </w:r>
      <w:r w:rsidR="00557DDA">
        <w:rPr>
          <w:rFonts w:ascii="Cambria Math" w:hAnsi="Cambria Math" w:cs="Cambria Math"/>
        </w:rPr>
        <w:instrText>‐</w:instrText>
      </w:r>
      <w:r w:rsidR="00557DDA">
        <w:instrText>flux dialyzer (F 60 Fresenius) and an albumin solution circulating on the dialysate side to increase selectively the affinity for albumin</w:instrText>
      </w:r>
      <w:r w:rsidR="00557DDA">
        <w:rPr>
          <w:rFonts w:ascii="Cambria Math" w:hAnsi="Cambria Math" w:cs="Cambria Math"/>
        </w:rPr>
        <w:instrText>‐</w:instrText>
      </w:r>
      <w:r w:rsidR="00557DDA">
        <w:instrText>bound toxins. This method resulted in effective removal of unconjugated bilirubin, drugs with a high protein</w:instrText>
      </w:r>
      <w:r w:rsidR="00557DDA">
        <w:rPr>
          <w:rFonts w:ascii="Cambria Math" w:hAnsi="Cambria Math" w:cs="Cambria Math"/>
        </w:rPr>
        <w:instrText>‐</w:instrText>
      </w:r>
      <w:r w:rsidR="00557DDA">
        <w:instrText>binding ratio (sulfobromophtalein, theophylline), and a protein</w:instrText>
      </w:r>
      <w:r w:rsidR="00557DDA">
        <w:rPr>
          <w:rFonts w:ascii="Cambria Math" w:hAnsi="Cambria Math" w:cs="Cambria Math"/>
        </w:rPr>
        <w:instrText>‐</w:instrText>
      </w:r>
      <w:r w:rsidR="00557DDA">
        <w:instrText>bound toxin (phenol). The additional removal of PBS could extend the applicability of dialysis, for example, to drug intoxications and liver failure or could improve the elimination of protein</w:instrText>
      </w:r>
      <w:r w:rsidR="00557DDA">
        <w:rPr>
          <w:rFonts w:ascii="Cambria Math" w:hAnsi="Cambria Math" w:cs="Cambria Math"/>
        </w:rPr>
        <w:instrText>‐</w:instrText>
      </w:r>
      <w:r w:rsidR="00557DDA">
        <w:instrText>bound uremic toxins in chronic renal failure. © 1993 International Society for Artificial Organs","author":[{"dropping-particle":"","family":"Stange","given":"J.","non-dropping-particle":"","parse-names":false,"suffix":""},{"dropping-particle":"","family":"Ramlow","given":"W.","non-dropping-particle":"","parse-names":false,"suffix":""},{"dropping-particle":"","family":"Mitzner","given":"S.","non-dropping-particle":"","parse-names":false,"suffix":""},{"dropping-particle":"","family":"Schmidt","given":"R.","non-dropping-particle":"","parse-names":false,"suffix":""},{"dropping-particle":"","family":"Klinkmann","given":"H.","non-dropping-particle":"","parse-names":false,"suffix":""}],"container-title":"Artificial Organs","id":"ITEM-2","issue":"9","issued":{"date-parts":[["1993"]]},"page":"809-813","title":"Dialysis against a Recycled Albumin Solution Enables the Removal of Albumin</w:instrText>
      </w:r>
      <w:r w:rsidR="00557DDA">
        <w:rPr>
          <w:rFonts w:ascii="Cambria Math" w:hAnsi="Cambria Math" w:cs="Cambria Math"/>
        </w:rPr>
        <w:instrText>‐</w:instrText>
      </w:r>
      <w:r w:rsidR="00557DDA">
        <w:instrText>Bound Toxins","type":"article-journal","volume":"17"},"uris":["http://www.mendeley.com/documents/?uuid=d812e987-dd62-4ffc-8ce8-21e044d409cd"]}],"mendeley":{"formattedCitation":"(Stange et al., 1993a, 1993b)","plainTextFormattedCitation":"(Stange et al., 1993a, 1993b)","previouslyFormattedCitation":"(Stange et al., 1993a, 1993b)"},"properties":{"noteIndex":0},"schema":"https://github.com/citation-style-language/schema/raw/master/csl-citation.json"}</w:instrText>
      </w:r>
      <w:r w:rsidR="00557DDA">
        <w:fldChar w:fldCharType="separate"/>
      </w:r>
      <w:r w:rsidR="00557DDA" w:rsidRPr="00557DDA">
        <w:rPr>
          <w:noProof/>
        </w:rPr>
        <w:t>(Stange et al., 1993a, 1993b)</w:t>
      </w:r>
      <w:r w:rsidR="00557DDA">
        <w:fldChar w:fldCharType="end"/>
      </w:r>
      <w:r w:rsidR="00557DDA">
        <w:t xml:space="preserve"> </w:t>
      </w:r>
      <w:r>
        <w:t>coupled with an adsorption</w:t>
      </w:r>
      <w:r w:rsidR="00E10361">
        <w:t xml:space="preserve"> unit. More precisely, blood detoxification occurs in a special</w:t>
      </w:r>
      <w:r w:rsidR="005435D7">
        <w:t xml:space="preserve"> dialysis module provided with an</w:t>
      </w:r>
      <w:r w:rsidR="00E10361">
        <w:t xml:space="preserve"> albumin-impregnated membrane </w:t>
      </w:r>
      <w:r w:rsidR="005435D7">
        <w:t xml:space="preserve">and a concentrated albumin solution as dialysate. The latter </w:t>
      </w:r>
      <w:r w:rsidR="00CB5C75">
        <w:t xml:space="preserve">passes through two adsorption </w:t>
      </w:r>
      <w:r w:rsidR="00673B06">
        <w:t>columns</w:t>
      </w:r>
      <w:r w:rsidR="00CB5C75">
        <w:t xml:space="preserve"> </w:t>
      </w:r>
      <w:r w:rsidR="00CB5C75">
        <w:lastRenderedPageBreak/>
        <w:t xml:space="preserve">to eliminate all albumin bound toxins. </w:t>
      </w:r>
      <w:r w:rsidR="00673B06">
        <w:t xml:space="preserve">The first one is filled with Activated Carbons (AC) while the second one contains a cholestyramine anionic-exchange resin which is responsible for the uptake of negatively charged substances such as bilirubin. </w:t>
      </w:r>
      <w:r w:rsidR="00201010">
        <w:t>T</w:t>
      </w:r>
      <w:r w:rsidR="000917B7">
        <w:t xml:space="preserve">he adsorption performances of </w:t>
      </w:r>
      <w:r w:rsidR="00E316CF">
        <w:t xml:space="preserve">solid adsorbents toward bilirubin </w:t>
      </w:r>
      <w:r w:rsidR="00201010">
        <w:t xml:space="preserve">removal were firstly investigated in clinical articles which </w:t>
      </w:r>
      <w:proofErr w:type="gramStart"/>
      <w:r w:rsidR="00201010">
        <w:t>lacked of</w:t>
      </w:r>
      <w:proofErr w:type="gramEnd"/>
      <w:r w:rsidR="00201010">
        <w:t xml:space="preserve"> a quantitative analysis that could induce to rational design criteria of the adsorption units. With this approach, the ability of Active carbons (AC) were evaluated for the removal of bilirubin from chloroform–bilirub</w:t>
      </w:r>
      <w:r w:rsidR="00AE13FD">
        <w:t xml:space="preserve">in (albumin-free) solutions </w:t>
      </w:r>
      <w:r w:rsidR="00AE13FD">
        <w:fldChar w:fldCharType="begin" w:fldLock="1"/>
      </w:r>
      <w:r w:rsidR="00AE13FD">
        <w:instrText>ADDIN CSL_CITATION {"citationItems":[{"id":"ITEM-1","itemData":{"DOI":"10.1007/BF02442650","ISSN":"01400118","PMID":"308581","abstract":"The equilibrium adsorption properties of a range of activated charcoals and polymeric resins have been measured with respect to their ability to adsorb protein-bound metabolites whose presence in the blood has been implicated in hepatic failure. Some possible reasons for the low clearances of bilirubin observed clinically are discussed. A homologous series of bile salts, differing only in their degree of protein binding, were used as marker compounds to quantify the importance of protein binding in the equilibrium properties. © 1978 IFMBE.","author":[{"dropping-particle":"","family":"Dunlop","given":"E. H.","non-dropping-particle":"","parse-names":false,"suffix":""},{"dropping-particle":"","family":"Hughes","given":"R. D.","non-dropping-particle":"","parse-names":false,"suffix":""},{"dropping-particle":"","family":"Williams","given":"R.","non-dropping-particle":"","parse-names":false,"suffix":""}],"container-title":"Medical &amp; Biological Engineering &amp; Computing","id":"ITEM-1","issue":"4","issued":{"date-parts":[["1978"]]},"page":"343-349","title":"Physico-chemical aspects of the removal of protein-bound substances by charcoal and other adsorbents of potential value in systems of artificial liver support: Part 1-Equilibrium properties","type":"article-journal","volume":"16"},"uris":["http://www.mendeley.com/documents/?uuid=b276212f-d7af-44b3-a80a-328c6f373b58"]}],"mendeley":{"formattedCitation":"(Dunlop et al., 1978)","plainTextFormattedCitation":"(Dunlop et al., 1978)","previouslyFormattedCitation":"(Dunlop et al., 1978)"},"properties":{"noteIndex":0},"schema":"https://github.com/citation-style-language/schema/raw/master/csl-citation.json"}</w:instrText>
      </w:r>
      <w:r w:rsidR="00AE13FD">
        <w:fldChar w:fldCharType="separate"/>
      </w:r>
      <w:r w:rsidR="00AE13FD" w:rsidRPr="00AE13FD">
        <w:rPr>
          <w:noProof/>
        </w:rPr>
        <w:t>(Dunlop et al., 1978)</w:t>
      </w:r>
      <w:r w:rsidR="00AE13FD">
        <w:fldChar w:fldCharType="end"/>
      </w:r>
      <w:r w:rsidR="00201010">
        <w:t>, human serum alb</w:t>
      </w:r>
      <w:r w:rsidR="00AE13FD">
        <w:t xml:space="preserve">umin–bilirubin solutions </w:t>
      </w:r>
      <w:r w:rsidR="00AE13FD">
        <w:fldChar w:fldCharType="begin" w:fldLock="1"/>
      </w:r>
      <w:r w:rsidR="00AE13FD">
        <w:instrText>ADDIN CSL_CITATION {"citationItems":[{"id":"ITEM-1","itemData":{"DOI":"10.1177/039139889101400311","ISSN":"03913988","PMID":"2045194","abstract":"The aim of this study was to clarify the relationship between the extent of activation of synthetic granula and fibrous carbons and the adsorption of bilirubin from protein solutions. The total pore volumes of granular carbons START, SCN and fibrous activated carbons ACFM were 0.9-2.2 cm3/g and 0.8-1.5 cm3/g, respectively. A parallel increase in volume and specific surface area of micropores lead to a 4-5-fold increase of bilirubin adsorption from a 3% HSA solution. About 3 mg of bilirubin per 1 ml of the working column volume is removed from the solution with a 18 mg/100 ml concentration, after 8 min contact with an adsorbent after 4 hours of perfusion. Removal of bilirubin from model solutions means the conformation of albumin molecules can be restored. Carbon adsorbents synthesized for the elimination of bilirubin from protein-containing solutions can also be called deliganding adsorbents, since under some experimental conditions they eliminate other protein-bound ligands, viz. phenols by 97-99%, bile acids by 90-92% and sodium caprylate by 89-95%.","author":[{"dropping-particle":"","family":"Nikolaev","given":"V. G.","non-dropping-particle":"","parse-names":false,"suffix":""},{"dropping-particle":"V.","family":"Sarnatskaya","given":"V.","non-dropping-particle":"","parse-names":false,"suffix":""},{"dropping-particle":"","family":"Sigal","given":"V. L.","non-dropping-particle":"","parse-names":false,"suffix":""},{"dropping-particle":"","family":"Klevtsov","given":"V. N.","non-dropping-particle":"","parse-names":false,"suffix":""},{"dropping-particle":"","family":"Makhorin","given":"K. E.","non-dropping-particle":"","parse-names":false,"suffix":""},{"dropping-particle":"","family":"Yushko","given":"L. A.","non-dropping-particle":"","parse-names":false,"suffix":""}],"container-title":"International Journal of Artificial Organs","id":"ITEM-1","issue":"3","issued":{"date-parts":[["1991"]]},"page":"179-185","title":"High-porosity activated carbons for bilirubin removal","type":"article-journal","volume":"14"},"uris":["http://www.mendeley.com/documents/?uuid=6651048b-ea17-4cf1-92f9-7f763af87cdd"]},{"id":"ITEM-2","itemData":{"DOI":"10.1081/BIO-120003192","ISSN":"10731199","PMID":"12027227","abstract":"The problem of interaction of human serum albumin (HSA), unconjugated bilirubin (UB) and high porosity activated HSGD carbons is investigated in this study. The decrease of UB to HSA molecular ratio by more than 300 times was demonstrated while the batch experiments in HSA-UB admixtures after contact with HSGD. HSGD carbons express extremely high activity for the removal of UB from HSA containing solutions (more than 100 mg of UB per 1 g of activated carbon). Ex-tempore albumin-coating of carbon surface decreases adsorbent capacity by billrubin on 21%. At the same time ex-tempore albumin-coating of HSGD carbon surface as well as blood citratization prevent platelet and leukocytes loss and clotting inside of the column. Pharmacopoeia solution of HSA containing acetyl-tryptophan or octanoate used for albumin-coating of HSGD adsorbents, becomes ligand-free and rather more active in complexing with protein-bound substances. Combination of albumin-coated HSGD carbon as haemosorbent with HSA ligand-free solution as a transfusion media seems a new prospective modality of the extracorporeal removal of protein-bound toxins.","author":[{"dropping-particle":"V.","family":"Sarnatskaya","given":"Veronika","non-dropping-particle":"","parse-names":false,"suffix":""},{"dropping-particle":"","family":"Lindup","given":"W. Edward","non-dropping-particle":"","parse-names":false,"suffix":""},{"dropping-particle":"","family":"Walther","given":"Paul","non-dropping-particle":"","parse-names":false,"suffix":""},{"dropping-particle":"","family":"Maslenny","given":"Vitaly N.","non-dropping-particle":"","parse-names":false,"suffix":""},{"dropping-particle":"","family":"Yushko","given":"Larisa A.","non-dropping-particle":"","parse-names":false,"suffix":""},{"dropping-particle":"","family":"Sidorenko","given":"Alexej S.","non-dropping-particle":"","parse-names":false,"suffix":""},{"dropping-particle":"V.","family":"Nikolaev","given":"Andrey","non-dropping-particle":"","parse-names":false,"suffix":""},{"dropping-particle":"","family":"Nikolaev","given":"Vladimir G.","non-dropping-particle":"","parse-names":false,"suffix":""}],"container-title":"Artificial Cells, Blood Substitutes, and Immobilization Biotechnology","id":"ITEM-2","issue":"2","issued":{"date-parts":[["2002"]]},"page":"113-126","title":"Albumin, bilirubin, and activated carbon: New edges of an old triangle","type":"article-journal","volume":"30"},"uris":["http://www.mendeley.com/documents/?uuid=22e49d65-edc8-41db-b491-d45501e7c73b"]},{"id":"ITEM-3","itemData":{"DOI":"10.1111/j.1744-9987.2006.00356.x","ISSN":"17449979","PMID":"16684216","abstract":"Hepatic failure is a significant medical problem which has been unsuccessfully treated by hemodialysis. However, similar therapies using recirculated dialysate regenerated by sorbents in place of single-pass dialysate have been beneficial in treating acute-on-chronic liver failure. The advantages of sorbent-based treatments include some selectivity of toxin removal and improved removal of protein-bound toxins. Activated carbon has been extensively used in detoxification systems, but has often had insufficient toxin capacity. Powdered activated carbon, because of its large surface area, can provide greater binding capacity for bilirubin and other toxins than granular carbon commonly used in detoxifying columns. Methods of using powdered carbon in extracorporeal blood treatment devices are reviewed in the present paper, including liver dialysis and a new sorbent suspension reactor (SSR); and the abilities and limitations of the SSR and columns to process protein solutions are discussed. © 2006 International Society for Apheresis.","author":[{"dropping-particle":"","family":"Ash","given":"Stephen R.","non-dropping-particle":"","parse-names":false,"suffix":""},{"dropping-particle":"","family":"Sullivan","given":"Thomas A.","non-dropping-particle":"","parse-names":false,"suffix":""},{"dropping-particle":"","family":"Carr","given":"David J.","non-dropping-particle":"","parse-names":false,"suffix":""}],"container-title":"Therapeutic Apheresis and Dialysis","id":"ITEM-3","issue":"2","issued":{"date-parts":[["2006"]]},"page":"145-153","title":"Sorbent suspensions vs. sorbent columns for extracorporeal detoxification in hepatic failure","type":"article-journal","volume":"10"},"uris":["http://www.mendeley.com/documents/?uuid=851c95a0-c086-485a-b040-993d29c9aedd"]}],"mendeley":{"formattedCitation":"(Ash et al., 2006; Nikolaev et al., 1991; Sarnatskaya et al., 2002)","plainTextFormattedCitation":"(Ash et al., 2006; Nikolaev et al., 1991; Sarnatskaya et al., 2002)","previouslyFormattedCitation":"(Ash et al., 2006; Nikolaev et al., 1991; Sarnatskaya et al., 2002)"},"properties":{"noteIndex":0},"schema":"https://github.com/citation-style-language/schema/raw/master/csl-citation.json"}</w:instrText>
      </w:r>
      <w:r w:rsidR="00AE13FD">
        <w:fldChar w:fldCharType="separate"/>
      </w:r>
      <w:r w:rsidR="00AE13FD" w:rsidRPr="00AE13FD">
        <w:rPr>
          <w:noProof/>
        </w:rPr>
        <w:t>(Ash et al., 2006; Nikolaev et al., 1991; Sarnatskaya et al., 2002)</w:t>
      </w:r>
      <w:r w:rsidR="00AE13FD">
        <w:fldChar w:fldCharType="end"/>
      </w:r>
      <w:r w:rsidR="00201010">
        <w:t>, bovine serum a</w:t>
      </w:r>
      <w:r w:rsidR="00AE13FD">
        <w:t xml:space="preserve">lbumin–bilirubin solutions </w:t>
      </w:r>
      <w:r w:rsidR="00AE13FD">
        <w:fldChar w:fldCharType="begin" w:fldLock="1"/>
      </w:r>
      <w:r w:rsidR="003936EF">
        <w:instrText>ADDIN CSL_CITATION {"citationItems":[{"id":"ITEM-1","itemData":{"author":[{"dropping-particle":"","family":"Fesenko","given":"Elena A.","non-dropping-particle":"","parse-names":false,"suffix":""},{"dropping-particle":"","family":"Gaylor","given":"John D.S.","non-dropping-particle":"","parse-names":false,"suffix":""},{"dropping-particle":"","family":"Smith","given":"E.M.","non-dropping-particle":"","parse-names":false,"suffix":""},{"dropping-particle":"","family":"Kozynchenko","given":"Oleksandr P.","non-dropping-particle":"","parse-names":false,"suffix":""},{"dropping-particle":"","family":"Courtney","given":"James M.","non-dropping-particle":"","parse-names":false,"suffix":""},{"dropping-particle":"V.","family":"Mikhalovsky","given":"Sergey","non-dropping-particle":"","parse-names":false,"suffix":""}],"container-title":"Carbon-1999","id":"ITEM-1","issue":"June 2014","issued":{"date-parts":[["1999"]]},"page":"332-333","title":"Bilirubin adsorption and catalytic oxidation on activated carbons","type":"article-journal"},"uris":["http://www.mendeley.com/documents/?uuid=4a795dca-59c1-483d-bcfe-7fd68aeaf8ae"]}],"mendeley":{"formattedCitation":"(Fesenko et al., 1999)","plainTextFormattedCitation":"(Fesenko et al., 1999)","previouslyFormattedCitation":"(Fesenko et al., 1999)"},"properties":{"noteIndex":0},"schema":"https://github.com/citation-style-language/schema/raw/master/csl-citation.json"}</w:instrText>
      </w:r>
      <w:r w:rsidR="00AE13FD">
        <w:fldChar w:fldCharType="separate"/>
      </w:r>
      <w:r w:rsidR="00AE13FD" w:rsidRPr="00AE13FD">
        <w:rPr>
          <w:noProof/>
        </w:rPr>
        <w:t>(Fesenko et al., 1999)</w:t>
      </w:r>
      <w:r w:rsidR="00AE13FD">
        <w:fldChar w:fldCharType="end"/>
      </w:r>
      <w:r w:rsidR="00201010">
        <w:t>.</w:t>
      </w:r>
      <w:r w:rsidR="003936EF">
        <w:t xml:space="preserve"> </w:t>
      </w:r>
      <w:r w:rsidR="003936EF" w:rsidRPr="00B5393B">
        <w:t xml:space="preserve">For this reason, in the works of </w:t>
      </w:r>
      <w:proofErr w:type="spellStart"/>
      <w:r w:rsidR="003936EF" w:rsidRPr="00B5393B">
        <w:t>Annesini</w:t>
      </w:r>
      <w:proofErr w:type="spellEnd"/>
      <w:r w:rsidR="003936EF" w:rsidRPr="00B5393B">
        <w:t xml:space="preserve"> et al. </w:t>
      </w:r>
      <w:r w:rsidR="003936EF" w:rsidRPr="00B5393B">
        <w:fldChar w:fldCharType="begin" w:fldLock="1"/>
      </w:r>
      <w:r w:rsidR="00BF3092" w:rsidRPr="00B5393B">
        <w:instrText>ADDIN CSL_CITATION {"citationItems":[{"id":"ITEM-1","itemData":{"DOI":"10.1016/j.bej.2007.12.010","ISSN":"1369703X","abstract":"Albumin-bound toxins are involved in the aetiology of many liver failure associated pathologies and specific processes aimed to their removal have been developed. In general, adsorption plays an important role in all of these processes. In this paper, two albumin-bound toxins (bilirubin and tryptophan) were considered and their adsorption equilibrium on activated carbon in albumin-containing solutions was investigated. The experimental results c</w:instrText>
      </w:r>
      <w:r w:rsidR="00BF3092" w:rsidRPr="00DD63C7">
        <w:instrText>learly show that the higher the albumin concentration in the liquid phase, the lower the toxin adsorbed amount. This effect was quantitatively analysed by means of a mathematical model that accounts for chemical and non-chemical interactions between albumin and toxin adsorption. © 2008 Elsevier B.V. All rights reserved.","author":[{"dropping-particle":"","family":"Annesini","given":"Maria Cristina","non-dropping-particle":"","parse-names":false,"suffix":""},{"dropping-particle":"","family":"Carlo","given":"Chiara","non-dropping-particle":"Di","parse-names":false,"suffix":""},{"dropping-particle":"","family":"Piemonte","given":"Vincenzo","non-dropping-particle":"","parse-names":false,"suffix":""},{"dropping-particle":"","family":"Turchetti","given":"Luca","non-dropping-particle":"","parse-names":false,"suffix":""}],"container-title":"Biochemical Engineering Jour</w:instrText>
      </w:r>
      <w:r w:rsidR="00BF3092" w:rsidRPr="00D3206F">
        <w:rPr>
          <w:lang w:val="it-IT"/>
        </w:rPr>
        <w:instrText>nal","id":"ITEM-1","issue":"2","issued":{"date-parts":[["2008"]]},"page":"205-210","title":"Bilirubin and tryptophan adsorption in albumin-containing solutions. I. Equilibrium isotherms on activated carbon","type":"article-journal","volume":"40"},"uris":["http://www.mendeley.com/documents/?uuid=2a705b17-72f9-4575-8457-80001cba7669"]}],"mendeley":{"formattedCitation":"(Annesini et al., 2008)","plainTextFormattedCitation":"(Annesini et al., 2008)","previouslyFormattedCitation":"(Annesini et al., 2008)"},"properties":{"noteIndex":0},"schema":"https://github.com/citation-style-language/schema/raw/master/csl-citation.json"}</w:instrText>
      </w:r>
      <w:r w:rsidR="003936EF" w:rsidRPr="00B5393B">
        <w:fldChar w:fldCharType="separate"/>
      </w:r>
      <w:r w:rsidR="003936EF" w:rsidRPr="00D3206F">
        <w:rPr>
          <w:noProof/>
          <w:lang w:val="it-IT"/>
        </w:rPr>
        <w:t>(Annesini et al., 2008)</w:t>
      </w:r>
      <w:r w:rsidR="003936EF" w:rsidRPr="00B5393B">
        <w:fldChar w:fldCharType="end"/>
      </w:r>
      <w:r w:rsidR="003936EF" w:rsidRPr="00D3206F">
        <w:rPr>
          <w:lang w:val="it-IT"/>
        </w:rPr>
        <w:t xml:space="preserve"> </w:t>
      </w:r>
      <w:r w:rsidR="00BF3092" w:rsidRPr="00B5393B">
        <w:fldChar w:fldCharType="begin" w:fldLock="1"/>
      </w:r>
      <w:r w:rsidR="00321659" w:rsidRPr="00D3206F">
        <w:rPr>
          <w:lang w:val="it-IT"/>
        </w:rPr>
        <w:instrText>ADDIN CSL_CITATION {"citationItems":[{"id":"ITEM-1","itemData":{"DOI":"10.1177/039139880502800707","ISSN":"03913988","PMID":"16049902","abstract":"Adsorption equilibrium of bilirubin onto polymeric resins is studied. Solutions containing albumin are used in order to simulate the behavior of systems for removal of albumin-bound substances from blood, serum or dialysis fluids. The effect of albumin pre-loading on the resin is also analysed. Results are explained by a chemically based model that accounts for binding reaction between albumin and bilirubin in the liquid phase. Thermodynamic equilibria and physical models are essential tools for designing adsorption columns aimed at detoxification treatments. © Wichtig Editore, 2005.","author":[{"dropping-particle":"","family":"Annesini","given":"M. C.","non-dropping-particle":"","parse-names":false,"suffix":""},{"dropping-particle":"","family":"Paola","given":"L.","non-dropping-particle":"Di","parse-names":false,"suffix":""},{"dropping-particle":"","family":"Marrelli","given":"L.","non-dropping-particle":"","parse-names":false,"suffix":""},{"dropping-particle":"","family":"Piemonte","given":"V.","non-dropping-particle":"","parse-names":false,"suffix":""},{"dropping-particle":"","family":"Turchetti","given":"L.","non-dropping-particle":"","parse-names":false,"suffix":""}],"container-title":"International Journal of Artificial Organs","id":"ITEM-1","issue":"7","issued":{"date-parts":[["2005"]]},"page":"686-693","title":"Bilirubin removal from albumin-containing solution by adsorption on polymer resin","type":"article-journal","volume":"28"},"uris":["http://www.mendeley.com/documents/?uuid=7d881e22-242b-4b64-a20f-2b61dfcc5d5d"]}],"mendeley":{"formattedCitation":"(Annesini et al., 2005)","plainTextFormattedCitation":"(Annesini et al., 2005)","previouslyFormattedCitation":"(Annesini et al., 2005)"},"properties":{"noteIndex":0},"schema":"https://github.com/citation-style-language/schema/raw/master/csl-citation.json"}</w:instrText>
      </w:r>
      <w:r w:rsidR="00BF3092" w:rsidRPr="00B5393B">
        <w:fldChar w:fldCharType="separate"/>
      </w:r>
      <w:r w:rsidR="00BF3092" w:rsidRPr="00D3206F">
        <w:rPr>
          <w:noProof/>
          <w:lang w:val="it-IT"/>
        </w:rPr>
        <w:t>(Annesini et al., 2005)</w:t>
      </w:r>
      <w:r w:rsidR="00BF3092" w:rsidRPr="00B5393B">
        <w:fldChar w:fldCharType="end"/>
      </w:r>
      <w:r w:rsidR="00BF3092" w:rsidRPr="00D3206F">
        <w:rPr>
          <w:lang w:val="it-IT"/>
        </w:rPr>
        <w:t xml:space="preserve"> </w:t>
      </w:r>
      <w:r w:rsidR="003936EF" w:rsidRPr="00D3206F">
        <w:rPr>
          <w:lang w:val="it-IT"/>
        </w:rPr>
        <w:t xml:space="preserve">a </w:t>
      </w:r>
      <w:proofErr w:type="spellStart"/>
      <w:r w:rsidR="003936EF" w:rsidRPr="00D3206F">
        <w:rPr>
          <w:lang w:val="it-IT"/>
        </w:rPr>
        <w:t>mathematical</w:t>
      </w:r>
      <w:proofErr w:type="spellEnd"/>
      <w:r w:rsidR="003936EF" w:rsidRPr="00D3206F">
        <w:rPr>
          <w:lang w:val="it-IT"/>
        </w:rPr>
        <w:t xml:space="preserve"> model </w:t>
      </w:r>
      <w:proofErr w:type="spellStart"/>
      <w:r w:rsidR="003936EF" w:rsidRPr="00D3206F">
        <w:rPr>
          <w:lang w:val="it-IT"/>
        </w:rPr>
        <w:t>was</w:t>
      </w:r>
      <w:proofErr w:type="spellEnd"/>
      <w:r w:rsidR="003936EF" w:rsidRPr="00D3206F">
        <w:rPr>
          <w:lang w:val="it-IT"/>
        </w:rPr>
        <w:t xml:space="preserve"> </w:t>
      </w:r>
      <w:proofErr w:type="spellStart"/>
      <w:r w:rsidR="003936EF" w:rsidRPr="00D3206F">
        <w:rPr>
          <w:lang w:val="it-IT"/>
        </w:rPr>
        <w:t>developed</w:t>
      </w:r>
      <w:proofErr w:type="spellEnd"/>
      <w:r w:rsidR="003936EF" w:rsidRPr="00D3206F">
        <w:rPr>
          <w:lang w:val="it-IT"/>
        </w:rPr>
        <w:t xml:space="preserve"> for the </w:t>
      </w:r>
      <w:proofErr w:type="spellStart"/>
      <w:r w:rsidR="003936EF" w:rsidRPr="00D3206F">
        <w:rPr>
          <w:lang w:val="it-IT"/>
        </w:rPr>
        <w:t>description</w:t>
      </w:r>
      <w:proofErr w:type="spellEnd"/>
      <w:r w:rsidR="003936EF" w:rsidRPr="00D3206F">
        <w:rPr>
          <w:lang w:val="it-IT"/>
        </w:rPr>
        <w:t xml:space="preserve"> of the </w:t>
      </w:r>
      <w:proofErr w:type="spellStart"/>
      <w:r w:rsidR="003936EF" w:rsidRPr="00D3206F">
        <w:rPr>
          <w:lang w:val="it-IT"/>
        </w:rPr>
        <w:t>adsorption</w:t>
      </w:r>
      <w:proofErr w:type="spellEnd"/>
      <w:r w:rsidR="003936EF" w:rsidRPr="00D3206F">
        <w:rPr>
          <w:lang w:val="it-IT"/>
        </w:rPr>
        <w:t xml:space="preserve"> </w:t>
      </w:r>
      <w:proofErr w:type="spellStart"/>
      <w:r w:rsidR="003936EF" w:rsidRPr="00D3206F">
        <w:rPr>
          <w:lang w:val="it-IT"/>
        </w:rPr>
        <w:t>equilibrium</w:t>
      </w:r>
      <w:proofErr w:type="spellEnd"/>
      <w:r w:rsidR="003936EF" w:rsidRPr="00D3206F">
        <w:rPr>
          <w:lang w:val="it-IT"/>
        </w:rPr>
        <w:t xml:space="preserve"> </w:t>
      </w:r>
      <w:proofErr w:type="spellStart"/>
      <w:r w:rsidR="003936EF" w:rsidRPr="00D3206F">
        <w:rPr>
          <w:lang w:val="it-IT"/>
        </w:rPr>
        <w:t>referred</w:t>
      </w:r>
      <w:proofErr w:type="spellEnd"/>
      <w:r w:rsidR="003936EF" w:rsidRPr="00D3206F">
        <w:rPr>
          <w:lang w:val="it-IT"/>
        </w:rPr>
        <w:t xml:space="preserve"> to the </w:t>
      </w:r>
      <w:proofErr w:type="spellStart"/>
      <w:r w:rsidR="003936EF" w:rsidRPr="00D3206F">
        <w:rPr>
          <w:lang w:val="it-IT"/>
        </w:rPr>
        <w:t>total</w:t>
      </w:r>
      <w:proofErr w:type="spellEnd"/>
      <w:r w:rsidR="003936EF" w:rsidRPr="00D3206F">
        <w:rPr>
          <w:lang w:val="it-IT"/>
        </w:rPr>
        <w:t xml:space="preserve"> </w:t>
      </w:r>
      <w:proofErr w:type="spellStart"/>
      <w:r w:rsidR="003936EF" w:rsidRPr="00D3206F">
        <w:rPr>
          <w:lang w:val="it-IT"/>
        </w:rPr>
        <w:t>bilirubin</w:t>
      </w:r>
      <w:proofErr w:type="spellEnd"/>
      <w:r w:rsidR="003936EF" w:rsidRPr="00D3206F">
        <w:rPr>
          <w:lang w:val="it-IT"/>
        </w:rPr>
        <w:t xml:space="preserve"> </w:t>
      </w:r>
      <w:proofErr w:type="spellStart"/>
      <w:r w:rsidR="003936EF" w:rsidRPr="00D3206F">
        <w:rPr>
          <w:lang w:val="it-IT"/>
        </w:rPr>
        <w:t>concentration</w:t>
      </w:r>
      <w:proofErr w:type="spellEnd"/>
      <w:r w:rsidR="003936EF" w:rsidRPr="00D3206F">
        <w:rPr>
          <w:lang w:val="it-IT"/>
        </w:rPr>
        <w:t xml:space="preserve"> for the </w:t>
      </w:r>
      <w:proofErr w:type="spellStart"/>
      <w:r w:rsidR="003936EF" w:rsidRPr="00D3206F">
        <w:rPr>
          <w:lang w:val="it-IT"/>
        </w:rPr>
        <w:t>adsorption</w:t>
      </w:r>
      <w:proofErr w:type="spellEnd"/>
      <w:r w:rsidR="003936EF" w:rsidRPr="00D3206F">
        <w:rPr>
          <w:lang w:val="it-IT"/>
        </w:rPr>
        <w:t xml:space="preserve"> on non-</w:t>
      </w:r>
      <w:proofErr w:type="spellStart"/>
      <w:r w:rsidR="003936EF" w:rsidRPr="00D3206F">
        <w:rPr>
          <w:lang w:val="it-IT"/>
        </w:rPr>
        <w:t>ionic</w:t>
      </w:r>
      <w:proofErr w:type="spellEnd"/>
      <w:r w:rsidR="003936EF" w:rsidRPr="00D3206F">
        <w:rPr>
          <w:lang w:val="it-IT"/>
        </w:rPr>
        <w:t xml:space="preserve"> </w:t>
      </w:r>
      <w:proofErr w:type="spellStart"/>
      <w:r w:rsidR="003936EF" w:rsidRPr="00D3206F">
        <w:rPr>
          <w:lang w:val="it-IT"/>
        </w:rPr>
        <w:t>polymeric</w:t>
      </w:r>
      <w:proofErr w:type="spellEnd"/>
      <w:r w:rsidR="003936EF" w:rsidRPr="00D3206F">
        <w:rPr>
          <w:lang w:val="it-IT"/>
        </w:rPr>
        <w:t xml:space="preserve"> </w:t>
      </w:r>
      <w:proofErr w:type="spellStart"/>
      <w:r w:rsidR="003936EF" w:rsidRPr="00D3206F">
        <w:rPr>
          <w:lang w:val="it-IT"/>
        </w:rPr>
        <w:t>resin</w:t>
      </w:r>
      <w:proofErr w:type="spellEnd"/>
      <w:r w:rsidR="003936EF" w:rsidRPr="00D3206F">
        <w:rPr>
          <w:lang w:val="it-IT"/>
        </w:rPr>
        <w:t xml:space="preserve"> and </w:t>
      </w:r>
      <w:proofErr w:type="spellStart"/>
      <w:r w:rsidR="003936EF" w:rsidRPr="00D3206F">
        <w:rPr>
          <w:lang w:val="it-IT"/>
        </w:rPr>
        <w:t>activated</w:t>
      </w:r>
      <w:proofErr w:type="spellEnd"/>
      <w:r w:rsidR="003936EF" w:rsidRPr="00D3206F">
        <w:rPr>
          <w:lang w:val="it-IT"/>
        </w:rPr>
        <w:t xml:space="preserve"> carbons.</w:t>
      </w:r>
      <w:r w:rsidR="003936EF" w:rsidRPr="00BF3092">
        <w:rPr>
          <w:lang w:val="it-IT"/>
        </w:rPr>
        <w:t xml:space="preserve"> </w:t>
      </w:r>
      <w:r w:rsidR="0070685A" w:rsidRPr="0070685A">
        <w:t xml:space="preserve">Moreover, in further </w:t>
      </w:r>
      <w:r w:rsidR="0070685A">
        <w:t>studies also the adsorption dynamics</w:t>
      </w:r>
      <w:r w:rsidR="00C00095">
        <w:t xml:space="preserve"> on AC in column system was investigated </w:t>
      </w:r>
      <w:r w:rsidR="00321659">
        <w:fldChar w:fldCharType="begin" w:fldLock="1"/>
      </w:r>
      <w:r w:rsidR="00463E8D">
        <w:instrText>ADDIN CSL_CITATION {"citationItems":[{"id":"ITEM-1","itemData":{"DOI":"10.1002/apj","abstract":"In this paper, kinetics of unconjugated bilirubin adsorption in fixed-bed anionic resin columns was investigated. Experimental breakthrough curves were determined at different feed flow rates and using inlet solutions with different bilirubin and albumin concentrations. A mathematical model is provided to describe the effect of albumin on bilirubin adsorption equilibrium and kinetics in a fixed-bed column. Breakthrough curves show that a significant bilirubin concentration is present in the column outlet stream even in the early operating time. This result shows that, with the flowrates used in this work, adsorption is slow with respect to the axial convection in the column and, as a consequence, bilirubin is never completely removed from the liquid phase. The results obtained in this paper may be useful for the design of liver support devices such as Molecular Adsorbent Recirculating System (MARS), which implement anion-exchange columns to remove albumin-bound toxins from concentrated albumin solutions","author":[{"dropping-particle":"","family":"Piemonte","given":"Vincenzo","non-dropping-particle":"","parse-names":false,"suffix":""},{"dropping-particle":"","family":"Trchetti","given":"Luca","non-dropping-particle":"","parse-names":false,"suffix":""},{"dropping-particle":"","family":"Annesini","given":"Maria Cristina","non-dropping-particle":"","parse-names":false,"suffix":""}],"container-title":"Asia-pacific Journal of CHemical Engineering","id":"ITEM-1","issued":{"date-parts":[["2010"]]},"page":"708-713","title":"Bilirubin removal from albumin-containing solutions: dynamic adsorption on anionic resin","type":"article-journal","volume":"5"},"uris":["http://www.mendeley.com/documents/?uuid=d59fac56-ee52-48a0-be20-bb7d462028c9"]}],"mendeley":{"formattedCitation":"(Piemonte et al., 2010)","plainTextFormattedCitation":"(Piemonte et al., 2010)","previouslyFormattedCitation":"(Piemonte et al., 2010)"},"properties":{"noteIndex":0},"schema":"https://github.com/citation-style-language/schema/raw/master/csl-citation.json"}</w:instrText>
      </w:r>
      <w:r w:rsidR="00321659">
        <w:fldChar w:fldCharType="separate"/>
      </w:r>
      <w:r w:rsidR="00321659" w:rsidRPr="00321659">
        <w:rPr>
          <w:noProof/>
        </w:rPr>
        <w:t>(Piemonte et al., 2010)</w:t>
      </w:r>
      <w:r w:rsidR="00321659">
        <w:fldChar w:fldCharType="end"/>
      </w:r>
      <w:r w:rsidR="00321659">
        <w:t>.</w:t>
      </w:r>
    </w:p>
    <w:p w14:paraId="0099D752" w14:textId="66F1C0A0" w:rsidR="003936EF" w:rsidRPr="00C00095" w:rsidRDefault="00867395" w:rsidP="00020E9F">
      <w:pPr>
        <w:pStyle w:val="CETBodytext"/>
      </w:pPr>
      <w:r>
        <w:t xml:space="preserve">In this work, the same </w:t>
      </w:r>
      <w:r w:rsidR="00E42226">
        <w:t xml:space="preserve">modeling </w:t>
      </w:r>
      <w:r>
        <w:t xml:space="preserve">approach was used to evaluate the adsorption properties of a novel solid adsorbent </w:t>
      </w:r>
      <w:r w:rsidR="00E42226">
        <w:t xml:space="preserve">made of silica particles whose surface was functionalized with albumin molecules. This strategy was adopted in order to maximize </w:t>
      </w:r>
      <w:r w:rsidR="006347A1">
        <w:t xml:space="preserve">both the selectivity and the adsorption capacity toward the uptake of albumin-bound compounds and </w:t>
      </w:r>
      <w:proofErr w:type="gramStart"/>
      <w:r w:rsidR="006347A1">
        <w:t>in particular of</w:t>
      </w:r>
      <w:proofErr w:type="gramEnd"/>
      <w:r w:rsidR="006347A1">
        <w:t xml:space="preserve"> bilirubin.</w:t>
      </w:r>
    </w:p>
    <w:p w14:paraId="1C9A0D43" w14:textId="77777777" w:rsidR="003936EF" w:rsidRPr="00C00095" w:rsidRDefault="003936EF" w:rsidP="00020E9F">
      <w:pPr>
        <w:pStyle w:val="CETBodytext"/>
      </w:pPr>
    </w:p>
    <w:p w14:paraId="4F988063" w14:textId="19A969F0" w:rsidR="00543D02" w:rsidRPr="00543D02" w:rsidRDefault="00014EC6" w:rsidP="000250CD">
      <w:pPr>
        <w:pStyle w:val="CETHeading1"/>
        <w:rPr>
          <w:lang w:val="en-GB"/>
        </w:rPr>
      </w:pPr>
      <w:r>
        <w:rPr>
          <w:lang w:val="en-GB"/>
        </w:rPr>
        <w:t>Materials and Methods</w:t>
      </w:r>
    </w:p>
    <w:p w14:paraId="2DA231BF" w14:textId="5192BD61" w:rsidR="004142B8" w:rsidRDefault="002119E4" w:rsidP="004142B8">
      <w:pPr>
        <w:pStyle w:val="CETheadingx"/>
      </w:pPr>
      <w:r>
        <w:t>Materials</w:t>
      </w:r>
    </w:p>
    <w:p w14:paraId="5200653A" w14:textId="2D7D1BEE" w:rsidR="008941D4" w:rsidRDefault="008941D4" w:rsidP="002119E4">
      <w:pPr>
        <w:pStyle w:val="CETBodytext"/>
      </w:pPr>
      <w:r w:rsidRPr="008941D4">
        <w:rPr>
          <w:lang w:val="en-GB"/>
        </w:rPr>
        <w:t>All the materials</w:t>
      </w:r>
      <w:r>
        <w:rPr>
          <w:lang w:val="en-GB"/>
        </w:rPr>
        <w:t xml:space="preserve"> and chemicals</w:t>
      </w:r>
      <w:r w:rsidRPr="008941D4">
        <w:rPr>
          <w:lang w:val="en-GB"/>
        </w:rPr>
        <w:t xml:space="preserve"> were purchased from Sigma Aldrich and all chemicals used were reagent </w:t>
      </w:r>
      <w:proofErr w:type="gramStart"/>
      <w:r w:rsidRPr="008941D4">
        <w:rPr>
          <w:lang w:val="en-GB"/>
        </w:rPr>
        <w:t>grade</w:t>
      </w:r>
      <w:proofErr w:type="gramEnd"/>
    </w:p>
    <w:p w14:paraId="41BF91AC" w14:textId="036843DF" w:rsidR="002119E4" w:rsidRDefault="002119E4" w:rsidP="002119E4">
      <w:pPr>
        <w:pStyle w:val="CETBodytext"/>
      </w:pPr>
      <w:r w:rsidRPr="002119E4">
        <w:t>Bovine serum albumin (fraction V defatted) and</w:t>
      </w:r>
      <w:r w:rsidR="00484FE3">
        <w:t xml:space="preserve"> bilirubin (mixed isomers) </w:t>
      </w:r>
      <w:r w:rsidRPr="002119E4">
        <w:t xml:space="preserve">were </w:t>
      </w:r>
      <w:r w:rsidR="00484FE3">
        <w:t xml:space="preserve">used without further purification. </w:t>
      </w:r>
    </w:p>
    <w:p w14:paraId="02E44CD0" w14:textId="33A533FB" w:rsidR="00484FE3" w:rsidRPr="00484FE3" w:rsidRDefault="00484FE3" w:rsidP="00484FE3">
      <w:pPr>
        <w:pStyle w:val="CETBodytext"/>
      </w:pPr>
      <w:r w:rsidRPr="00484FE3">
        <w:t xml:space="preserve">The solid support selected to host albumin for the adsorption of bilirubin was </w:t>
      </w:r>
      <w:r w:rsidRPr="00484FE3">
        <w:rPr>
          <w:i/>
        </w:rPr>
        <w:t>3-Aminopropyl-functionalized silica gel</w:t>
      </w:r>
      <w:r w:rsidRPr="00484FE3">
        <w:t xml:space="preserve"> (40-63</w:t>
      </w:r>
      <m:oMath>
        <m:r>
          <m:rPr>
            <m:sty m:val="p"/>
          </m:rPr>
          <w:rPr>
            <w:rFonts w:ascii="Cambria Math" w:hAnsi="Cambria Math"/>
          </w:rPr>
          <m:t>µ</m:t>
        </m:r>
        <m:r>
          <w:rPr>
            <w:rFonts w:ascii="Cambria Math" w:hAnsi="Cambria Math"/>
          </w:rPr>
          <m:t>m</m:t>
        </m:r>
      </m:oMath>
      <w:r w:rsidRPr="00484FE3">
        <w:t xml:space="preserve">), a white powder of silica microparticles with pore diameter of 60 </w:t>
      </w:r>
      <m:oMath>
        <m:acc>
          <m:accPr>
            <m:chr m:val="̇"/>
            <m:ctrlPr>
              <w:rPr>
                <w:rFonts w:ascii="Cambria Math" w:hAnsi="Cambria Math"/>
              </w:rPr>
            </m:ctrlPr>
          </m:accPr>
          <m:e>
            <m:r>
              <w:rPr>
                <w:rFonts w:ascii="Cambria Math" w:hAnsi="Cambria Math"/>
              </w:rPr>
              <m:t>A</m:t>
            </m:r>
          </m:e>
        </m:acc>
      </m:oMath>
      <w:r w:rsidRPr="00484FE3">
        <w:t>. In order to facilitate the functionalization of the silica particles with albumin chemicals</w:t>
      </w:r>
      <w:r>
        <w:t>,</w:t>
      </w:r>
      <w:r w:rsidRPr="00484FE3">
        <w:t xml:space="preserve"> promoters such as MES</w:t>
      </w:r>
      <w:r w:rsidRPr="00484FE3">
        <w:rPr>
          <w:i/>
        </w:rPr>
        <w:t xml:space="preserve"> </w:t>
      </w:r>
      <w:r w:rsidRPr="00484FE3">
        <w:t>hemisodium salt, N-(3dimethylaminopropyl)-N’-</w:t>
      </w:r>
      <w:proofErr w:type="spellStart"/>
      <w:r w:rsidRPr="00484FE3">
        <w:t>etilcarbodiimmide</w:t>
      </w:r>
      <w:proofErr w:type="spellEnd"/>
      <w:r w:rsidRPr="00484FE3">
        <w:t xml:space="preserve"> (EDC) and N-</w:t>
      </w:r>
      <w:proofErr w:type="spellStart"/>
      <w:r w:rsidRPr="00484FE3">
        <w:t>Hydroxysuccinimide</w:t>
      </w:r>
      <w:proofErr w:type="spellEnd"/>
      <w:r w:rsidRPr="00484FE3">
        <w:t xml:space="preserve"> (NHS), were employed. </w:t>
      </w:r>
    </w:p>
    <w:p w14:paraId="04963A06" w14:textId="215882F1" w:rsidR="00600535" w:rsidRDefault="0014111C" w:rsidP="00FA5F5F">
      <w:pPr>
        <w:pStyle w:val="CETheadingx"/>
      </w:pPr>
      <w:r>
        <w:t>Methods</w:t>
      </w:r>
    </w:p>
    <w:p w14:paraId="1A468D7C" w14:textId="1BE92AC7" w:rsidR="0013201F" w:rsidRDefault="0013201F" w:rsidP="0013201F">
      <w:pPr>
        <w:pStyle w:val="CETHeadingxx"/>
      </w:pPr>
      <w:r>
        <w:t>Functionalization of silica particles</w:t>
      </w:r>
    </w:p>
    <w:p w14:paraId="0261C2EF" w14:textId="59C14214" w:rsidR="001D4482" w:rsidRDefault="001D4482" w:rsidP="00672930">
      <w:pPr>
        <w:pStyle w:val="CETBodytext"/>
        <w:rPr>
          <w:lang w:val="en-GB"/>
        </w:rPr>
      </w:pPr>
      <w:r>
        <w:rPr>
          <w:lang w:val="en-GB"/>
        </w:rPr>
        <w:t xml:space="preserve">The </w:t>
      </w:r>
      <w:r w:rsidR="00672930">
        <w:rPr>
          <w:lang w:val="en-GB"/>
        </w:rPr>
        <w:t xml:space="preserve">term “functionalization” was used to indicate the creation of chemical bonds between albumin and the surface of the silica particle. From a thermodynamic point of view, this process is nothing else than a phenomenon of </w:t>
      </w:r>
      <w:r w:rsidR="00672930" w:rsidRPr="00FA18DD">
        <w:rPr>
          <w:lang w:val="en-GB"/>
        </w:rPr>
        <w:t>chemisorption</w:t>
      </w:r>
      <w:r w:rsidR="00672930">
        <w:rPr>
          <w:lang w:val="en-GB"/>
        </w:rPr>
        <w:t xml:space="preserve">. </w:t>
      </w:r>
      <w:proofErr w:type="gramStart"/>
      <w:r w:rsidR="00672930">
        <w:rPr>
          <w:lang w:val="en-GB"/>
        </w:rPr>
        <w:t>First of all</w:t>
      </w:r>
      <w:proofErr w:type="gramEnd"/>
      <w:r w:rsidR="00672930">
        <w:rPr>
          <w:lang w:val="en-GB"/>
        </w:rPr>
        <w:t xml:space="preserve">, </w:t>
      </w:r>
      <w:r w:rsidR="00672930" w:rsidRPr="0067203D">
        <w:rPr>
          <w:lang w:val="en-GB"/>
        </w:rPr>
        <w:t>100 mg of silica micro-particles</w:t>
      </w:r>
      <w:r w:rsidR="00672930">
        <w:rPr>
          <w:lang w:val="en-GB"/>
        </w:rPr>
        <w:t xml:space="preserve"> were dispersed i</w:t>
      </w:r>
      <w:r w:rsidR="00672930" w:rsidRPr="0067203D">
        <w:rPr>
          <w:lang w:val="en-GB"/>
        </w:rPr>
        <w:t>n 2 mL of MES buffer solution (pH 6.1) provided of 0.4 M and 0.1 M of EDC and NHS respectively</w:t>
      </w:r>
      <w:r w:rsidR="00672930">
        <w:rPr>
          <w:lang w:val="en-GB"/>
        </w:rPr>
        <w:t>. Secondly, different solutions with an albumin concertation ranging between 2-50</w:t>
      </w:r>
      <w:r w:rsidR="00672930" w:rsidRPr="0067203D">
        <w:rPr>
          <w:lang w:val="en-GB"/>
        </w:rPr>
        <w:t xml:space="preserve"> g/L</w:t>
      </w:r>
      <w:r w:rsidR="00672930">
        <w:rPr>
          <w:lang w:val="en-GB"/>
        </w:rPr>
        <w:t xml:space="preserve"> were prepared dissolving various amount of albumin in </w:t>
      </w:r>
      <w:r w:rsidR="00672930" w:rsidRPr="001D4482">
        <w:rPr>
          <w:lang w:val="en-GB"/>
        </w:rPr>
        <w:t xml:space="preserve">2 mL of </w:t>
      </w:r>
      <w:r w:rsidR="00672930" w:rsidRPr="005C1159">
        <w:rPr>
          <w:lang w:val="en-GB"/>
        </w:rPr>
        <w:t>phosphate buffer</w:t>
      </w:r>
      <w:r w:rsidR="00672930">
        <w:rPr>
          <w:lang w:val="en-GB"/>
        </w:rPr>
        <w:t xml:space="preserve"> saline (PBS)</w:t>
      </w:r>
      <w:r w:rsidR="00672930" w:rsidRPr="005C1159">
        <w:rPr>
          <w:lang w:val="en-GB"/>
        </w:rPr>
        <w:t xml:space="preserve"> 0.15 M at pH 7.4</w:t>
      </w:r>
      <w:r w:rsidR="00672930">
        <w:rPr>
          <w:lang w:val="en-GB"/>
        </w:rPr>
        <w:t>.</w:t>
      </w:r>
    </w:p>
    <w:p w14:paraId="6610E3D0" w14:textId="0C814ACB" w:rsidR="00672930" w:rsidRPr="00ED6F3E" w:rsidRDefault="00672930" w:rsidP="00672930">
      <w:pPr>
        <w:pStyle w:val="CETBodytext"/>
        <w:rPr>
          <w:lang w:val="en-GB"/>
        </w:rPr>
      </w:pPr>
      <w:r>
        <w:rPr>
          <w:lang w:val="en-GB"/>
        </w:rPr>
        <w:t>Adsorption tests at equilibrium were then performed</w:t>
      </w:r>
      <w:r w:rsidR="00776432">
        <w:rPr>
          <w:lang w:val="en-GB"/>
        </w:rPr>
        <w:t xml:space="preserve"> at 25°C</w:t>
      </w:r>
      <w:r w:rsidR="005C7E16">
        <w:rPr>
          <w:lang w:val="en-GB"/>
        </w:rPr>
        <w:t xml:space="preserve"> in a magnetically stirred flask</w:t>
      </w:r>
      <w:r w:rsidR="00776432">
        <w:rPr>
          <w:lang w:val="en-GB"/>
        </w:rPr>
        <w:t xml:space="preserve"> </w:t>
      </w:r>
      <w:proofErr w:type="gramStart"/>
      <w:r>
        <w:rPr>
          <w:lang w:val="en-GB"/>
        </w:rPr>
        <w:t>mixing together</w:t>
      </w:r>
      <w:proofErr w:type="gramEnd"/>
      <w:r>
        <w:rPr>
          <w:lang w:val="en-GB"/>
        </w:rPr>
        <w:t xml:space="preserve"> the </w:t>
      </w:r>
      <w:r w:rsidR="00776432">
        <w:rPr>
          <w:lang w:val="en-GB"/>
        </w:rPr>
        <w:t>above-</w:t>
      </w:r>
      <w:r>
        <w:rPr>
          <w:lang w:val="en-GB"/>
        </w:rPr>
        <w:t>mentioned solution</w:t>
      </w:r>
      <w:r w:rsidR="00776432">
        <w:rPr>
          <w:lang w:val="en-GB"/>
        </w:rPr>
        <w:t>s</w:t>
      </w:r>
      <w:r>
        <w:rPr>
          <w:lang w:val="en-GB"/>
        </w:rPr>
        <w:t xml:space="preserve"> in order to keep a fixed solid dosage of 25 g/L </w:t>
      </w:r>
      <w:r w:rsidR="00776432">
        <w:rPr>
          <w:lang w:val="en-GB"/>
        </w:rPr>
        <w:t>for</w:t>
      </w:r>
      <w:r>
        <w:rPr>
          <w:lang w:val="en-GB"/>
        </w:rPr>
        <w:t xml:space="preserve"> different albumin </w:t>
      </w:r>
      <w:r w:rsidR="00776432">
        <w:rPr>
          <w:lang w:val="en-GB"/>
        </w:rPr>
        <w:t>starting concentration (</w:t>
      </w:r>
      <w:r w:rsidRPr="0067203D">
        <w:rPr>
          <w:lang w:val="en-GB"/>
        </w:rPr>
        <w:t>1.2-25</w:t>
      </w:r>
      <w:r>
        <w:rPr>
          <w:lang w:val="en-GB"/>
        </w:rPr>
        <w:t xml:space="preserve"> g/L</w:t>
      </w:r>
      <w:r w:rsidR="00776432">
        <w:rPr>
          <w:lang w:val="en-GB"/>
        </w:rPr>
        <w:t xml:space="preserve">). </w:t>
      </w:r>
      <w:r w:rsidR="005C7E16">
        <w:rPr>
          <w:lang w:val="en-GB"/>
        </w:rPr>
        <w:t>Equilibrium tests lasted 24 h that was evaluated from preliminary runs (data not shown) to be enough time for reaching equilibrium conditions. Moreover,</w:t>
      </w:r>
      <w:r w:rsidR="00776432" w:rsidRPr="0067203D">
        <w:rPr>
          <w:lang w:val="en-GB"/>
        </w:rPr>
        <w:t xml:space="preserve"> </w:t>
      </w:r>
      <w:r w:rsidR="005C7E16">
        <w:rPr>
          <w:lang w:val="en-GB"/>
        </w:rPr>
        <w:t xml:space="preserve">for </w:t>
      </w:r>
      <w:r w:rsidR="00776432" w:rsidRPr="0067203D">
        <w:rPr>
          <w:lang w:val="en-GB"/>
        </w:rPr>
        <w:t>each test three repetitions were conducted and the</w:t>
      </w:r>
      <w:r w:rsidR="00ED6F3E">
        <w:rPr>
          <w:lang w:val="en-GB"/>
        </w:rPr>
        <w:t xml:space="preserve"> final concentration of albumin in the liquid solution was measured </w:t>
      </w:r>
      <w:r w:rsidR="00776432" w:rsidRPr="0067203D">
        <w:rPr>
          <w:lang w:val="en-GB"/>
        </w:rPr>
        <w:t>analysing the supernatant</w:t>
      </w:r>
      <w:r w:rsidR="00ED6F3E">
        <w:t xml:space="preserve"> </w:t>
      </w:r>
      <w:r w:rsidR="00ED6F3E" w:rsidRPr="00ED6F3E">
        <w:rPr>
          <w:lang w:val="en-GB"/>
        </w:rPr>
        <w:t>with the Infinite M200 PRO Tecan microplate spectrophotometer (Tecan Trading AG, Switzerland)</w:t>
      </w:r>
      <w:r w:rsidR="005C7E16">
        <w:rPr>
          <w:lang w:val="en-GB"/>
        </w:rPr>
        <w:t xml:space="preserve"> at 59</w:t>
      </w:r>
      <w:r w:rsidR="00ED6F3E" w:rsidRPr="00ED6F3E">
        <w:rPr>
          <w:lang w:val="en-GB"/>
        </w:rPr>
        <w:t>5 nm.</w:t>
      </w:r>
    </w:p>
    <w:p w14:paraId="779F2967" w14:textId="02AD7486" w:rsidR="001D4482" w:rsidRDefault="00FC0B65" w:rsidP="001D4482">
      <w:pPr>
        <w:pStyle w:val="CETBodytext"/>
        <w:rPr>
          <w:lang w:val="en-GB"/>
        </w:rPr>
      </w:pPr>
      <w:r>
        <w:rPr>
          <w:lang w:val="en-GB"/>
        </w:rPr>
        <w:t>Finally, the amount of albumin adsorbed on the silica particles was evaluated by</w:t>
      </w:r>
      <w:r w:rsidR="008A2DC5">
        <w:rPr>
          <w:lang w:val="en-GB"/>
        </w:rPr>
        <w:t xml:space="preserve"> the mass balance reported in</w:t>
      </w:r>
      <w:r>
        <w:rPr>
          <w:lang w:val="en-GB"/>
        </w:rPr>
        <w:t xml:space="preserve"> Eq. </w:t>
      </w:r>
      <w:r w:rsidR="005F545C">
        <w:rPr>
          <w:lang w:val="en-GB"/>
        </w:rPr>
        <w:t>(</w:t>
      </w:r>
      <w:r>
        <w:rPr>
          <w:lang w:val="en-GB"/>
        </w:rPr>
        <w:t>1</w:t>
      </w:r>
      <w:r w:rsidR="005F545C">
        <w:rPr>
          <w:lang w:val="en-GB"/>
        </w:rPr>
        <w:t>)</w:t>
      </w:r>
      <w:r>
        <w:rPr>
          <w:lang w:val="en-GB"/>
        </w:rPr>
        <w:t xml:space="preserve"> </w:t>
      </w:r>
      <w:r w:rsidR="00B515F8">
        <w:rPr>
          <w:lang w:val="en-GB"/>
        </w:rPr>
        <w:t xml:space="preserve">and already adopted in several works </w:t>
      </w:r>
      <w:r w:rsidR="00B515F8">
        <w:rPr>
          <w:lang w:val="en-GB"/>
        </w:rPr>
        <w:fldChar w:fldCharType="begin" w:fldLock="1"/>
      </w:r>
      <w:r w:rsidR="004606FC">
        <w:rPr>
          <w:lang w:val="en-GB"/>
        </w:rPr>
        <w:instrText>ADDIN CSL_CITATION {"citationItems":[{"id":"ITEM-1","itemData":{"DOI":"10.3390/ma15165566","ISSN":"19961944","abstract":"The adsorption properties of Aloe vera (Aloe barbadensis Miller) for the uptake of Methylene Blue (MB) from water were investigated after pre-treating the material with water–ethanol solutions at different ethanol concentrations: 0% v/v (AV0), 25% v/v (AV25), and 50% v/v (AV50). The pre-treated materials were characterized as follows: the pHZC was evaluated to be 6, 5.7, and 7.2 for AV0, AV25, and AV50, respectively; from BET-BJH analysis the mesoporous nature of the material and an increase from 108.2 (AV0) to 331.7 (AV50) m2/kg of its solid surface area was observed; TG analysis revealed a significat increase in volatile compounds from the untreated (5.4%) to the treated materials (8.9%, 10.3%, and 11.3% for AV0, AV25, and AV50, respectively). Adsorption batch tests were then performed to investigate the equilibrium, the kinetics, and the thermodynamics of the process. Results suggested that the Langmuir model was in agreement with the experimental results, and values for qmax of 199 mg/g, 311 mg/g, and 346 mg/g were calculated for AV0, AV25, and AV50, respectively. The kinetic results were used to develop a mathematical model to estimate the effective diffusion coefficient for each type of Aloe adopted. Effective diffusion coefficients of 5.43·10−7 cm2/min, 3.89·10−7 cm2/min, and 5.78·10−7 cm2/min were calculated for AV0, AV25, and AV50, respectively. It was found that pre-treatment, on the one hand, enhances the adsorption capacity of the material and on the other, reduces its affinity toward MB uptake.","author":[{"dropping-particle":"","family":"Mazzeo","given":"Leone","non-dropping-particle":"","parse-names":false,"suffix":""},{"dropping-particle":"","family":"Bavasso","given":"Irene","non-dropping-particle":"","parse-names":false,"suffix":""},{"dropping-particle":"","family":"Spallieri","given":"Melissa","non-dropping-particle":"","parse-names":false,"suffix":""},{"dropping-particle":"","family":"Bracciale","given":"Maria Paola","non-dropping-particle":"","parse-names":false,"suffix":""},{"dropping-particle":"","family":"Piemonte","given":"Vincenzo","non-dropping-particle":"","parse-names":false,"suffix":""},{"dropping-particle":"","family":"Palma","given":"Luca","non-dropping-particle":"Di","parse-names":false,"suffix":""}],"container-title":"Materials","id":"ITEM-1","issue":"16","issued":{"date-parts":[["2022"]]},"page":"1-18","title":"Effect of Water–Ethanol Extraction as Pre-Treatment on the Adsorption Properties of Aloe vera Waste","type":"article-journal","volume":"15"},"uris":["http://www.mendeley.com/documents/?uuid=331ad539-fdd1-4e21-8a9a-cfceec6ea458"]},{"id":"ITEM-2","itemData":{"DOI":"10.1016/j.cherd.2022.07.025","author":[{"dropping-particle":"","family":"Mazzeo","given":"Leone","non-dropping-particle":"","parse-names":false,"suffix":""},{"dropping-particle":"","family":"Marzi","given":"Davide","non-dropping-particle":"","parse-names":false,"suffix":""},{"dropping-particle":"","family":"Irene","given":"Bavasso","non-dropping-particle":"","parse-names":false,"suffix":""},{"dropping-particle":"","family":"Bracciale","given":"Maria Paola","non-dropping-particle":"","parse-names":false,"suffix":""},{"dropping-particle":"","family":"Piemonte","given":"Vincenzo","non-dropping-particle":"","parse-names":false,"suffix":""},{"dropping-particle":"","family":"Palma","given":"Luca","non-dropping-particle":"Di","parse-names":false,"suffix":""}],"container-title":"Chemical Engineering Research and Design","id":"ITEM-2","issued":{"date-parts":[["2022"]]},"publisher":"Elsevier","title":"Characterization of waste roots from the As hyperaccumulator Pteris vittata as low-cost adsorbent for Methylene Blue removal","type":"article-journal"},"uris":["http://www.mendeley.com/documents/?uuid=2ac4d256-e501-4825-8d31-a1678b14e371"]},{"id":"ITEM-3","itemData":{"abstract":"Yerba mate (Ilex paraguarensis, YM) was used as biomaterial for the removal of anionic and cationic compounds from wastewater. Chromium hexavalent Cr(VI), Remazol brilliant blue (RBB) and methylene blue (MB) were selected as pollutants. A calcination step was performed after the washing and drying steps to evaluate its effectiveness at increasing the adsorption capacity of the solid. Both YM and calcinated YM (CYM) were characterized by means of scanning electron microscopy (FE-SEM), Fourier transform infrared spectroscopy (FT-IR) and Brunauer–Emmett–Teller (BET) analysis. Adsorption batch tests revealed that YM was ineffective for the removal of Cr(VI) and RBB, while good results were obtained for MB (up to 80%) without pH dependency of the adsorption process, and CYM was able to remove Cr(VI) (up to 77%) and RBB (up to 65%) but not MB. The adsorption isotherm of MB on YM at 298 K was obtained experimentally and it is well represented by the Langmuir isotherm. YM’s adsorption capacity for MB was estimated to be 59.6 mg/g. Kinetic batch tests were conducted and the experimental results were fitted with a mathematical model. The low influence of temperature compared to the influence of the YM concentration on the adsorption rate was explained.","author":[{"dropping-particle":"","family":"Mazzeo","given":"Leone","non-dropping-particle":"","parse-names":false,"suffix":""},{"dropping-particle":"","family":"Bavasso","given":"Irene","non-dropping-particle":"","parse-names":false,"suffix":""},{"dropping-particle":"","family":"Bracciale","given":"Maria Paola","non-dropping-particle":"","parse-names":false,"suffix":""},{"dropping-particle":"","family":"Cocchi","given":"Marco","non-dropping-particle":"","parse-names":false,"suffix":""},{"dropping-particle":"Di","family":"Palma","given":"Luca","non-dropping-particle":"","parse-names":false,"suffix":""},{"dropping-particle":"","family":"Piemonte","given":"Vincenzo","non-dropping-particle":"","parse-names":false,"suffix":""}],"id":"ITEM-3","issued":{"date-parts":[["2020"]]},"title":"Yerba Mate (Ilex paraguarensis) as Bio-Adsorbent for the Removal of Methylene Blue , Remazol Brilliant Blue and Chromium Hexavalent : Thermodynamic and Kinetic Studies","type":"article-journal"},"uris":["http://www.mendeley.com/documents/?uuid=0fe51653-1f94-407b-9776-623286cd76cc"]}],"mendeley":{"formattedCitation":"(Mazzeo et al., 2022a, 2022b, 2020)","plainTextFormattedCitation":"(Mazzeo et al., 2022a, 2022b, 2020)","previouslyFormattedCitation":"(Mazzeo et al., 2022a, 2022b, 2020)"},"properties":{"noteIndex":0},"schema":"https://github.com/citation-style-language/schema/raw/master/csl-citation.json"}</w:instrText>
      </w:r>
      <w:r w:rsidR="00B515F8">
        <w:rPr>
          <w:lang w:val="en-GB"/>
        </w:rPr>
        <w:fldChar w:fldCharType="separate"/>
      </w:r>
      <w:r w:rsidR="00B515F8" w:rsidRPr="00B515F8">
        <w:rPr>
          <w:noProof/>
          <w:lang w:val="en-GB"/>
        </w:rPr>
        <w:t>(Mazzeo et al., 2022a, 2022b, 2020)</w:t>
      </w:r>
      <w:r w:rsidR="00B515F8">
        <w:rPr>
          <w:lang w:val="en-GB"/>
        </w:rPr>
        <w:fldChar w:fldCharType="end"/>
      </w:r>
    </w:p>
    <w:p w14:paraId="5E9E4438" w14:textId="77777777" w:rsidR="002C6C36" w:rsidRDefault="002C6C36" w:rsidP="001D4482">
      <w:pPr>
        <w:pStyle w:val="CETBodytext"/>
        <w:rPr>
          <w:lang w:val="en-GB"/>
        </w:rPr>
      </w:pPr>
    </w:p>
    <w:tbl>
      <w:tblPr>
        <w:tblW w:w="5000" w:type="pct"/>
        <w:tblLook w:val="04A0" w:firstRow="1" w:lastRow="0" w:firstColumn="1" w:lastColumn="0" w:noHBand="0" w:noVBand="1"/>
      </w:tblPr>
      <w:tblGrid>
        <w:gridCol w:w="7984"/>
        <w:gridCol w:w="803"/>
      </w:tblGrid>
      <w:tr w:rsidR="00FC0B65" w:rsidRPr="00FC0B65" w14:paraId="1DCD967D" w14:textId="77777777" w:rsidTr="00EE4615">
        <w:tc>
          <w:tcPr>
            <w:tcW w:w="7984" w:type="dxa"/>
            <w:shd w:val="clear" w:color="auto" w:fill="auto"/>
            <w:vAlign w:val="center"/>
          </w:tcPr>
          <w:p w14:paraId="2193A351" w14:textId="1CEA51B3" w:rsidR="00FC0B65" w:rsidRPr="00FC0B65" w:rsidRDefault="00000000" w:rsidP="00FC0B65">
            <w:pPr>
              <w:pStyle w:val="CETBodytext"/>
              <w:rPr>
                <w:lang w:val="en-GB"/>
              </w:rPr>
            </w:pPr>
            <m:oMathPara>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a</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V</m:t>
                    </m:r>
                  </m:num>
                  <m:den>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S</m:t>
                        </m:r>
                      </m:sub>
                    </m:sSub>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r>
                  <w:rPr>
                    <w:rFonts w:ascii="Cambria Math" w:hAnsi="Cambria Math"/>
                    <w:lang w:val="en-GB"/>
                  </w:rPr>
                  <m:t>)</m:t>
                </m:r>
              </m:oMath>
            </m:oMathPara>
          </w:p>
        </w:tc>
        <w:tc>
          <w:tcPr>
            <w:tcW w:w="803" w:type="dxa"/>
            <w:shd w:val="clear" w:color="auto" w:fill="auto"/>
            <w:vAlign w:val="center"/>
          </w:tcPr>
          <w:p w14:paraId="37ED1864" w14:textId="77777777" w:rsidR="00FC0B65" w:rsidRPr="00FC0B65" w:rsidRDefault="00FC0B65" w:rsidP="00FC0B65">
            <w:pPr>
              <w:pStyle w:val="CETBodytext"/>
              <w:rPr>
                <w:lang w:val="en-GB"/>
              </w:rPr>
            </w:pPr>
            <w:r w:rsidRPr="00FC0B65">
              <w:rPr>
                <w:lang w:val="en-GB"/>
              </w:rPr>
              <w:t>(1)</w:t>
            </w:r>
          </w:p>
        </w:tc>
      </w:tr>
    </w:tbl>
    <w:p w14:paraId="586799B1" w14:textId="77777777" w:rsidR="002C6C36" w:rsidRDefault="002C6C36" w:rsidP="00FC0B65">
      <w:pPr>
        <w:pStyle w:val="CETBodytext"/>
        <w:rPr>
          <w:lang w:val="en-GB"/>
        </w:rPr>
      </w:pPr>
    </w:p>
    <w:p w14:paraId="7312EAEF" w14:textId="12AB8059" w:rsidR="00FC0B65" w:rsidRPr="00FC0B65" w:rsidRDefault="00FC0B65" w:rsidP="00FC0B65">
      <w:pPr>
        <w:pStyle w:val="CETBodytext"/>
      </w:pPr>
      <w:r w:rsidRPr="00FC0B65">
        <w:rPr>
          <w:lang w:val="en-GB"/>
        </w:rPr>
        <w:t xml:space="preserve">where </w:t>
      </w:r>
      <m:oMath>
        <m:r>
          <w:rPr>
            <w:rFonts w:ascii="Cambria Math" w:hAnsi="Cambria Math"/>
            <w:lang w:val="en-GB"/>
          </w:rPr>
          <m:t>V</m:t>
        </m:r>
      </m:oMath>
      <w:r w:rsidRPr="00FC0B65">
        <w:rPr>
          <w:lang w:val="en-GB"/>
        </w:rPr>
        <w:t xml:space="preserve"> (mL) is the liquid volume of the solution,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S</m:t>
            </m:r>
          </m:sub>
        </m:sSub>
      </m:oMath>
      <w:r w:rsidRPr="00FC0B65">
        <w:rPr>
          <w:lang w:val="en-GB"/>
        </w:rPr>
        <w:t xml:space="preserve"> (g) is the mass of the solid adsorbent,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oMath>
      <w:r w:rsidRPr="00FC0B65">
        <w:rPr>
          <w:lang w:val="en-GB"/>
        </w:rPr>
        <w:t xml:space="preserve"> (</w:t>
      </w:r>
      <w:r w:rsidR="005F545C">
        <w:rPr>
          <w:lang w:val="en-GB"/>
        </w:rPr>
        <w:t>mg/L) is the albumin concentration</w:t>
      </w:r>
      <w:r w:rsidRPr="00FC0B65">
        <w:rPr>
          <w:lang w:val="en-GB"/>
        </w:rPr>
        <w:t xml:space="preserve"> at the beginning of the test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oMath>
      <w:r w:rsidRPr="00FC0B65">
        <w:rPr>
          <w:lang w:val="en-GB"/>
        </w:rPr>
        <w:t xml:space="preserve"> (mg/L) is the concentration</w:t>
      </w:r>
      <w:r w:rsidR="005F545C">
        <w:rPr>
          <w:lang w:val="en-GB"/>
        </w:rPr>
        <w:t xml:space="preserve"> of albumin at equilibrium.</w:t>
      </w:r>
    </w:p>
    <w:p w14:paraId="32316B68" w14:textId="4EA1E5D6" w:rsidR="0013201F" w:rsidRDefault="0013201F" w:rsidP="0013201F">
      <w:pPr>
        <w:pStyle w:val="CETHeadingxx"/>
      </w:pPr>
      <w:r>
        <w:t>Bilirubin adsorption: isotherm tests</w:t>
      </w:r>
    </w:p>
    <w:p w14:paraId="2750BBC1" w14:textId="67FC5B74" w:rsidR="00585A7F" w:rsidRDefault="004C5E34" w:rsidP="00014EC6">
      <w:pPr>
        <w:pStyle w:val="CETBodytext"/>
      </w:pPr>
      <w:r w:rsidRPr="0070636C">
        <w:t xml:space="preserve">The solubility of bilirubin in water </w:t>
      </w:r>
      <w:r w:rsidR="0021116C">
        <w:t>is very small. For this reason,</w:t>
      </w:r>
      <w:r w:rsidR="00264D5F" w:rsidRPr="0070636C">
        <w:t xml:space="preserve"> </w:t>
      </w:r>
      <w:r w:rsidR="00264D5F" w:rsidRPr="0070636C">
        <w:rPr>
          <w:lang w:val="en-GB"/>
        </w:rPr>
        <w:t>albumin–bilirubin solutions were prepared dissolving firstly bilirubin in aqueous NaOH 20 mM and then adding the albumin solution prepared in the pho</w:t>
      </w:r>
      <w:r w:rsidR="007B4986">
        <w:rPr>
          <w:lang w:val="en-GB"/>
        </w:rPr>
        <w:t xml:space="preserve">sphate buffer (PBS) 0.15 M at pH 7.4. Several solutions with a different initial bilirubin concentration </w:t>
      </w:r>
      <w:r w:rsidR="007B4986" w:rsidRPr="0067203D">
        <w:t>ranging from 15.8-58.1 mg/L</w:t>
      </w:r>
      <w:r w:rsidR="007B4986">
        <w:t xml:space="preserve"> were prepared. The latter were used to conduct the adsorption equilibrium tests at a </w:t>
      </w:r>
      <w:proofErr w:type="gramStart"/>
      <w:r w:rsidR="007B4986">
        <w:t xml:space="preserve">fixed dosage </w:t>
      </w:r>
      <w:r w:rsidR="007B4986" w:rsidRPr="0067203D">
        <w:t>adsorbent silica particles</w:t>
      </w:r>
      <w:r w:rsidR="007B4986">
        <w:t xml:space="preserve"> of 50 g/L</w:t>
      </w:r>
      <w:proofErr w:type="gramEnd"/>
      <w:r w:rsidR="007B4986">
        <w:t xml:space="preserve"> </w:t>
      </w:r>
      <w:r w:rsidR="007B4986" w:rsidRPr="0067203D">
        <w:t xml:space="preserve">The solution was magnetically stirred for at least 16 h (time enough to reach equilibrium) at pH 7.4. The samples were placed inside an incubator which kept constant the </w:t>
      </w:r>
      <w:r w:rsidR="007B4986" w:rsidRPr="0067203D">
        <w:lastRenderedPageBreak/>
        <w:t>temperature at 37°C with 95% humidity and 5% CO</w:t>
      </w:r>
      <w:r w:rsidR="007B4986" w:rsidRPr="0067203D">
        <w:rPr>
          <w:vertAlign w:val="subscript"/>
        </w:rPr>
        <w:t>2</w:t>
      </w:r>
      <w:r w:rsidR="007B4986" w:rsidRPr="0067203D">
        <w:t xml:space="preserve">. The residual concentration of bilirubin was evaluated by means of a </w:t>
      </w:r>
      <w:r w:rsidR="007B4986" w:rsidRPr="003E133B">
        <w:t>spectrophotometric analysis</w:t>
      </w:r>
      <w:r w:rsidR="007B4986" w:rsidRPr="0067203D">
        <w:t xml:space="preserve"> at the wavelength of 458 nm. Each experiment was reproduced at least three times.</w:t>
      </w:r>
    </w:p>
    <w:p w14:paraId="65910B0E" w14:textId="476403D5" w:rsidR="004E1DFB" w:rsidRDefault="00BA343F" w:rsidP="00BA343F">
      <w:pPr>
        <w:pStyle w:val="CETHeading1"/>
      </w:pPr>
      <w:r>
        <w:t>Results and discussion</w:t>
      </w:r>
    </w:p>
    <w:p w14:paraId="229C802E" w14:textId="45AC1333" w:rsidR="00D212E2" w:rsidRDefault="00904E85" w:rsidP="00D212E2">
      <w:pPr>
        <w:pStyle w:val="CETheadingx"/>
      </w:pPr>
      <w:r>
        <w:t>Functionalization of silica particles</w:t>
      </w:r>
    </w:p>
    <w:p w14:paraId="1B6250DB" w14:textId="20DF6616" w:rsidR="00611505" w:rsidRDefault="00611505" w:rsidP="00611505">
      <w:pPr>
        <w:pStyle w:val="CETBodytext"/>
      </w:pPr>
      <w:r w:rsidRPr="00611505">
        <w:t>The amount of albu</w:t>
      </w:r>
      <w:r w:rsidR="003A152A">
        <w:t xml:space="preserve">min adsorbed on the surface of </w:t>
      </w:r>
      <w:r w:rsidRPr="00611505">
        <w:t xml:space="preserve">silica particles respect to the residual albumin concentration in the liquid </w:t>
      </w:r>
      <w:r>
        <w:t xml:space="preserve">phase at equilibrium is </w:t>
      </w:r>
      <w:r w:rsidR="003E133B">
        <w:t>provided</w:t>
      </w:r>
      <w:r>
        <w:t xml:space="preserve"> in Figure 1</w:t>
      </w:r>
      <w:r w:rsidRPr="00611505">
        <w:t xml:space="preserve">. Since it was performed a chemical adsorption (peptide bonds connect albumin to silica) the experimental data were fitted using the Langmuir isotherm </w:t>
      </w:r>
      <w:r w:rsidR="003A152A">
        <w:t>reported in Eq. (2)</w:t>
      </w:r>
      <w:r w:rsidRPr="00611505">
        <w:t>:</w:t>
      </w:r>
    </w:p>
    <w:p w14:paraId="355C1410" w14:textId="77777777" w:rsidR="00347F4B" w:rsidRPr="00611505" w:rsidRDefault="00347F4B" w:rsidP="00611505">
      <w:pPr>
        <w:pStyle w:val="CETBodytext"/>
      </w:pPr>
    </w:p>
    <w:tbl>
      <w:tblPr>
        <w:tblW w:w="5000" w:type="pct"/>
        <w:tblLook w:val="04A0" w:firstRow="1" w:lastRow="0" w:firstColumn="1" w:lastColumn="0" w:noHBand="0" w:noVBand="1"/>
      </w:tblPr>
      <w:tblGrid>
        <w:gridCol w:w="7984"/>
        <w:gridCol w:w="803"/>
      </w:tblGrid>
      <w:tr w:rsidR="003A152A" w:rsidRPr="00FC0B65" w14:paraId="0B66DF88" w14:textId="77777777" w:rsidTr="00676403">
        <w:tc>
          <w:tcPr>
            <w:tcW w:w="7984" w:type="dxa"/>
            <w:shd w:val="clear" w:color="auto" w:fill="auto"/>
            <w:vAlign w:val="center"/>
          </w:tcPr>
          <w:p w14:paraId="569722A8" w14:textId="4F111464" w:rsidR="003A152A" w:rsidRPr="00FC0B65" w:rsidRDefault="00000000" w:rsidP="00676403">
            <w:pPr>
              <w:pStyle w:val="CETBodytext"/>
              <w:rPr>
                <w:lang w:val="en-GB"/>
              </w:rPr>
            </w:pPr>
            <m:oMathPara>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a</m:t>
                    </m:r>
                  </m:sub>
                </m:sSub>
                <m:r>
                  <w:rPr>
                    <w:rFonts w:ascii="Cambria Math" w:hAnsi="Cambria Math"/>
                    <w:lang w:val="en-GB"/>
                  </w:rPr>
                  <m:t xml:space="preserve">= </m:t>
                </m:r>
                <m:f>
                  <m:fPr>
                    <m:ctrlPr>
                      <w:rPr>
                        <w:rFonts w:ascii="Cambria Math" w:hAnsi="Cambria Math"/>
                        <w:i/>
                        <w:lang w:val="en-GB"/>
                      </w:rPr>
                    </m:ctrlPr>
                  </m:fPr>
                  <m:num>
                    <m:r>
                      <m:rPr>
                        <m:sty m:val="p"/>
                      </m:rPr>
                      <w:rPr>
                        <w:rFonts w:ascii="Cambria Math" w:hAnsi="Cambria Math"/>
                        <w:color w:val="FF0000"/>
                        <w:lang w:val="en-GB"/>
                      </w:rPr>
                      <m:t xml:space="preserve"> </m:t>
                    </m:r>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a</m:t>
                        </m:r>
                      </m:sub>
                      <m:sup>
                        <m:r>
                          <w:rPr>
                            <w:rFonts w:ascii="Cambria Math" w:hAnsi="Cambria Math"/>
                            <w:lang w:val="en-GB"/>
                          </w:rPr>
                          <m:t>max</m:t>
                        </m:r>
                      </m:sup>
                    </m:sSubSup>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r>
                      <m:rPr>
                        <m:sty m:val="p"/>
                      </m:rPr>
                      <w:rPr>
                        <w:rFonts w:ascii="Cambria Math" w:hAnsi="Cambria Math"/>
                        <w:lang w:val="en-GB"/>
                      </w:rPr>
                      <m:t xml:space="preserve"> </m:t>
                    </m:r>
                    <m:r>
                      <w:rPr>
                        <w:rFonts w:ascii="Cambria Math" w:hAnsi="Cambria Math"/>
                        <w:lang w:val="en-GB"/>
                      </w:rPr>
                      <m:t xml:space="preserve"> </m:t>
                    </m:r>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den>
                </m:f>
              </m:oMath>
            </m:oMathPara>
          </w:p>
        </w:tc>
        <w:tc>
          <w:tcPr>
            <w:tcW w:w="803" w:type="dxa"/>
            <w:shd w:val="clear" w:color="auto" w:fill="auto"/>
            <w:vAlign w:val="center"/>
          </w:tcPr>
          <w:p w14:paraId="7F195F38" w14:textId="7B939BA3" w:rsidR="003A152A" w:rsidRPr="00FC0B65" w:rsidRDefault="003A152A" w:rsidP="00676403">
            <w:pPr>
              <w:pStyle w:val="CETBodytext"/>
              <w:rPr>
                <w:lang w:val="en-GB"/>
              </w:rPr>
            </w:pPr>
            <w:r>
              <w:rPr>
                <w:lang w:val="en-GB"/>
              </w:rPr>
              <w:t>(2</w:t>
            </w:r>
            <w:r w:rsidRPr="00FC0B65">
              <w:rPr>
                <w:lang w:val="en-GB"/>
              </w:rPr>
              <w:t>)</w:t>
            </w:r>
          </w:p>
        </w:tc>
      </w:tr>
    </w:tbl>
    <w:p w14:paraId="7B02435E" w14:textId="77777777" w:rsidR="00347F4B" w:rsidRDefault="00347F4B" w:rsidP="007B2FD5">
      <w:pPr>
        <w:pStyle w:val="CETBodytext"/>
        <w:rPr>
          <w:lang w:val="en-GB"/>
        </w:rPr>
      </w:pPr>
    </w:p>
    <w:p w14:paraId="462BCFAE" w14:textId="78AC0FA0" w:rsidR="007B2FD5" w:rsidRDefault="003A152A" w:rsidP="007B2FD5">
      <w:pPr>
        <w:pStyle w:val="CETBodytext"/>
        <w:rPr>
          <w:lang w:val="en-GB"/>
        </w:rPr>
      </w:pPr>
      <w:r>
        <w:rPr>
          <w:lang w:val="en-GB"/>
        </w:rPr>
        <w:t>w</w:t>
      </w:r>
      <w:r w:rsidRPr="003A152A">
        <w:rPr>
          <w:lang w:val="en-GB"/>
        </w:rPr>
        <w:t xml:space="preserve">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a</m:t>
            </m:r>
          </m:sub>
        </m:sSub>
      </m:oMath>
      <w:r w:rsidRPr="003A152A">
        <w:rPr>
          <w:lang w:val="en-GB"/>
        </w:rPr>
        <w:t xml:space="preserve"> (mg/g) is the amount of albumin adsorbed for unit adsorbent mass,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oMath>
      <w:r w:rsidRPr="003A152A">
        <w:rPr>
          <w:lang w:val="en-GB"/>
        </w:rPr>
        <w:t xml:space="preserve"> (g/L) is the albumin concentration in the liquid phase at equilibrium,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a</m:t>
            </m:r>
          </m:sub>
          <m:sup>
            <m:r>
              <w:rPr>
                <w:rFonts w:ascii="Cambria Math" w:hAnsi="Cambria Math"/>
                <w:lang w:val="en-GB"/>
              </w:rPr>
              <m:t>max</m:t>
            </m:r>
          </m:sup>
        </m:sSubSup>
      </m:oMath>
      <w:r w:rsidRPr="003A152A">
        <w:rPr>
          <w:lang w:val="en-GB"/>
        </w:rPr>
        <w:t xml:space="preserve"> (mg/g) is the maximum amount of albumin adsorbed for unit of adsorbent mass and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a</m:t>
            </m:r>
          </m:sub>
        </m:sSub>
      </m:oMath>
      <w:r w:rsidRPr="003A152A">
        <w:rPr>
          <w:lang w:val="en-GB"/>
        </w:rPr>
        <w:t xml:space="preserve"> (g/L) is the reciprocal of the Langmuir constant.</w:t>
      </w:r>
      <w:r w:rsidR="007B2FD5">
        <w:rPr>
          <w:lang w:val="en-GB"/>
        </w:rPr>
        <w:t xml:space="preserve"> The experimental data were fitted using a non-linear regression using the mean least square method for the minimization of the objective function</w:t>
      </w:r>
      <w:r w:rsidR="003E133B">
        <w:rPr>
          <w:lang w:val="en-GB"/>
        </w:rPr>
        <w:t xml:space="preserve"> as</w:t>
      </w:r>
      <w:r w:rsidR="007B2FD5">
        <w:rPr>
          <w:lang w:val="en-GB"/>
        </w:rPr>
        <w:t xml:space="preserve"> reported in Eq. (3)</w:t>
      </w:r>
    </w:p>
    <w:p w14:paraId="7BE073EB" w14:textId="77777777" w:rsidR="002C6C36" w:rsidRDefault="002C6C36" w:rsidP="007B2FD5">
      <w:pPr>
        <w:pStyle w:val="CETBodytext"/>
        <w:rPr>
          <w:lang w:val="en-GB"/>
        </w:rPr>
      </w:pPr>
    </w:p>
    <w:tbl>
      <w:tblPr>
        <w:tblW w:w="5000" w:type="pct"/>
        <w:tblLook w:val="04A0" w:firstRow="1" w:lastRow="0" w:firstColumn="1" w:lastColumn="0" w:noHBand="0" w:noVBand="1"/>
      </w:tblPr>
      <w:tblGrid>
        <w:gridCol w:w="7984"/>
        <w:gridCol w:w="803"/>
      </w:tblGrid>
      <w:tr w:rsidR="007B2FD5" w:rsidRPr="007B2FD5" w14:paraId="11891070" w14:textId="77777777" w:rsidTr="007B2FD5">
        <w:tc>
          <w:tcPr>
            <w:tcW w:w="7984" w:type="dxa"/>
            <w:shd w:val="clear" w:color="auto" w:fill="auto"/>
            <w:vAlign w:val="center"/>
          </w:tcPr>
          <w:p w14:paraId="12BAF5E8" w14:textId="4FCDAFDA" w:rsidR="007B2FD5" w:rsidRPr="007B2FD5" w:rsidRDefault="007B2FD5" w:rsidP="007B2FD5">
            <w:pPr>
              <w:pStyle w:val="CETBodytext"/>
            </w:pPr>
            <m:oMathPara>
              <m:oMath>
                <m:r>
                  <w:rPr>
                    <w:rFonts w:ascii="Cambria Math" w:hAnsi="Cambria Math"/>
                  </w:rPr>
                  <m:t>∅=min</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2</m:t>
                            </m:r>
                          </m:sup>
                        </m:sSubSup>
                      </m:e>
                    </m:nary>
                  </m:e>
                </m:d>
              </m:oMath>
            </m:oMathPara>
          </w:p>
        </w:tc>
        <w:tc>
          <w:tcPr>
            <w:tcW w:w="803" w:type="dxa"/>
            <w:shd w:val="clear" w:color="auto" w:fill="auto"/>
            <w:vAlign w:val="center"/>
          </w:tcPr>
          <w:p w14:paraId="29789216" w14:textId="77777777" w:rsidR="007B2FD5" w:rsidRPr="007B2FD5" w:rsidRDefault="007B2FD5" w:rsidP="007B2FD5">
            <w:pPr>
              <w:pStyle w:val="CETBodytext"/>
            </w:pPr>
            <w:r w:rsidRPr="007B2FD5">
              <w:t>(3)</w:t>
            </w:r>
          </w:p>
        </w:tc>
      </w:tr>
    </w:tbl>
    <w:p w14:paraId="7DC91E78" w14:textId="77777777" w:rsidR="00347F4B" w:rsidRDefault="00347F4B" w:rsidP="009C7858">
      <w:pPr>
        <w:pStyle w:val="CETBodytext"/>
        <w:rPr>
          <w:lang w:val="en-GB"/>
        </w:rPr>
      </w:pPr>
    </w:p>
    <w:p w14:paraId="6D4BCF11" w14:textId="287A7AE3" w:rsidR="003E133B" w:rsidRDefault="007B2FD5" w:rsidP="009C7858">
      <w:pPr>
        <w:pStyle w:val="CETBodytext"/>
        <w:rPr>
          <w:lang w:val="en-GB"/>
        </w:rPr>
      </w:pPr>
      <w:r w:rsidRPr="007B2FD5">
        <w:rPr>
          <w:lang w:val="en-GB"/>
        </w:rPr>
        <w:t xml:space="preserve">where </w:t>
      </w:r>
      <m:oMath>
        <m:r>
          <w:rPr>
            <w:rFonts w:ascii="Cambria Math" w:hAnsi="Cambria Math"/>
            <w:lang w:val="en-GB"/>
          </w:rPr>
          <m:t>N</m:t>
        </m:r>
      </m:oMath>
      <w:r w:rsidRPr="007B2FD5">
        <w:rPr>
          <w:lang w:val="en-GB"/>
        </w:rPr>
        <w:t xml:space="preserve"> is the number of experimental points and </w:t>
      </w:r>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m:t>
            </m:r>
          </m:sub>
        </m:sSub>
      </m:oMath>
      <w:r w:rsidRPr="007B2FD5">
        <w:rPr>
          <w:lang w:val="en-GB"/>
        </w:rPr>
        <w:t xml:space="preserve"> is the error calculated by the difference of the experimental data and the values predicted by the model.</w:t>
      </w:r>
      <w:r>
        <w:rPr>
          <w:lang w:val="en-GB"/>
        </w:rPr>
        <w:t xml:space="preserve"> </w:t>
      </w:r>
      <w:r w:rsidR="003A152A" w:rsidRPr="003A152A">
        <w:rPr>
          <w:lang w:val="en-GB"/>
        </w:rPr>
        <w:t>The res</w:t>
      </w:r>
      <w:r>
        <w:rPr>
          <w:lang w:val="en-GB"/>
        </w:rPr>
        <w:t>ults outcoming from fitting we</w:t>
      </w:r>
      <w:r w:rsidR="003A152A" w:rsidRPr="003A152A">
        <w:rPr>
          <w:lang w:val="en-GB"/>
        </w:rPr>
        <w:t xml:space="preserve">re: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a</m:t>
            </m:r>
          </m:sub>
          <m:sup>
            <m:r>
              <w:rPr>
                <w:rFonts w:ascii="Cambria Math" w:hAnsi="Cambria Math"/>
                <w:lang w:val="en-GB"/>
              </w:rPr>
              <m:t>max</m:t>
            </m:r>
          </m:sup>
        </m:sSubSup>
      </m:oMath>
      <w:r w:rsidR="003A152A" w:rsidRPr="003A152A">
        <w:rPr>
          <w:lang w:val="en-GB"/>
        </w:rPr>
        <w:t>=</w:t>
      </w:r>
      <m:oMath>
        <m:r>
          <m:rPr>
            <m:sty m:val="p"/>
          </m:rPr>
          <w:rPr>
            <w:rFonts w:ascii="Cambria Math" w:hAnsi="Cambria Math"/>
            <w:lang w:val="en-GB"/>
          </w:rPr>
          <m:t>290.6</m:t>
        </m:r>
      </m:oMath>
      <w:r w:rsidR="003A152A" w:rsidRPr="003A152A">
        <w:rPr>
          <w:lang w:val="en-GB"/>
        </w:rPr>
        <w:t xml:space="preserve"> mg/g and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a</m:t>
            </m:r>
          </m:sub>
        </m:sSub>
      </m:oMath>
      <w:r w:rsidR="003A152A" w:rsidRPr="003A152A">
        <w:rPr>
          <w:lang w:val="en-GB"/>
        </w:rPr>
        <w:t>=</w:t>
      </w:r>
      <m:oMath>
        <m:r>
          <m:rPr>
            <m:sty m:val="p"/>
          </m:rPr>
          <w:rPr>
            <w:rFonts w:ascii="Cambria Math" w:hAnsi="Cambria Math"/>
            <w:lang w:val="en-GB"/>
          </w:rPr>
          <m:t>5.558</m:t>
        </m:r>
      </m:oMath>
      <w:r w:rsidR="003A152A" w:rsidRPr="003A152A">
        <w:rPr>
          <w:lang w:val="en-GB"/>
        </w:rPr>
        <w:t xml:space="preserve"> g/L. In </w:t>
      </w:r>
      <w:r w:rsidR="000E271D">
        <w:rPr>
          <w:lang w:val="en-GB"/>
        </w:rPr>
        <w:t>Figure 2</w:t>
      </w:r>
      <w:r w:rsidR="003A152A">
        <w:rPr>
          <w:lang w:val="en-GB"/>
        </w:rPr>
        <w:t xml:space="preserve"> </w:t>
      </w:r>
      <w:r w:rsidR="003A152A" w:rsidRPr="003A152A">
        <w:rPr>
          <w:lang w:val="en-GB"/>
        </w:rPr>
        <w:t xml:space="preserve">is provided a TEM </w:t>
      </w:r>
      <w:r w:rsidR="003E133B" w:rsidRPr="003A152A">
        <w:rPr>
          <w:lang w:val="en-GB"/>
        </w:rPr>
        <w:t>micrograph</w:t>
      </w:r>
      <w:r w:rsidR="003E133B">
        <w:rPr>
          <w:lang w:val="en-GB"/>
        </w:rPr>
        <w:t xml:space="preserve"> in which the presence of albumin on the micro particles surface was confirmed.</w:t>
      </w:r>
    </w:p>
    <w:p w14:paraId="0823DA12" w14:textId="77777777" w:rsidR="00611505" w:rsidRDefault="00611505" w:rsidP="009C7858">
      <w:pPr>
        <w:pStyle w:val="CETBodytext"/>
      </w:pPr>
    </w:p>
    <w:p w14:paraId="16070B5E" w14:textId="1D7D7027" w:rsidR="00904E85" w:rsidRDefault="003E133B" w:rsidP="003E133B">
      <w:pPr>
        <w:pStyle w:val="CETBodytext"/>
        <w:jc w:val="center"/>
      </w:pPr>
      <w:r>
        <w:rPr>
          <w:noProof/>
        </w:rPr>
        <w:drawing>
          <wp:inline distT="0" distB="0" distL="0" distR="0" wp14:anchorId="4DF72646" wp14:editId="7DEC9044">
            <wp:extent cx="3101935" cy="2711257"/>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6183" cy="2723710"/>
                    </a:xfrm>
                    <a:prstGeom prst="rect">
                      <a:avLst/>
                    </a:prstGeom>
                    <a:noFill/>
                  </pic:spPr>
                </pic:pic>
              </a:graphicData>
            </a:graphic>
          </wp:inline>
        </w:drawing>
      </w:r>
    </w:p>
    <w:p w14:paraId="6479A9CA" w14:textId="694512F9" w:rsidR="003E133B" w:rsidRPr="0077350E" w:rsidRDefault="003E133B" w:rsidP="00457AC4">
      <w:pPr>
        <w:pStyle w:val="CETCaption"/>
        <w:jc w:val="center"/>
      </w:pPr>
      <w:r w:rsidRPr="00B57B36">
        <w:t xml:space="preserve">Figure 1: </w:t>
      </w:r>
      <w:r w:rsidR="00AD442F" w:rsidRPr="00AD442F">
        <w:rPr>
          <w:lang w:val="en-US"/>
        </w:rPr>
        <w:t>Albumin adsorption isotherm at 25°C and pH 7.4 using silica particles.</w:t>
      </w:r>
    </w:p>
    <w:p w14:paraId="2CBA8623" w14:textId="77777777" w:rsidR="009A7311" w:rsidRDefault="009A7311" w:rsidP="009C7858">
      <w:pPr>
        <w:pStyle w:val="CETBodytext"/>
        <w:rPr>
          <w:lang w:val="en-GB"/>
        </w:rPr>
      </w:pPr>
    </w:p>
    <w:p w14:paraId="6A504DAA" w14:textId="77777777" w:rsidR="009A7311" w:rsidRDefault="009A7311" w:rsidP="009C7858">
      <w:pPr>
        <w:pStyle w:val="CETBodytext"/>
        <w:rPr>
          <w:lang w:val="en-GB"/>
        </w:rPr>
      </w:pPr>
    </w:p>
    <w:p w14:paraId="62690026" w14:textId="77777777" w:rsidR="009A7311" w:rsidRDefault="009A7311" w:rsidP="009C7858">
      <w:pPr>
        <w:pStyle w:val="CETBodytext"/>
        <w:rPr>
          <w:lang w:val="en-GB"/>
        </w:rPr>
      </w:pPr>
    </w:p>
    <w:p w14:paraId="001C6F42" w14:textId="77777777" w:rsidR="009A7311" w:rsidRDefault="009A7311" w:rsidP="009C7858">
      <w:pPr>
        <w:pStyle w:val="CETBodytext"/>
        <w:rPr>
          <w:lang w:val="en-GB"/>
        </w:rPr>
      </w:pPr>
    </w:p>
    <w:p w14:paraId="30318AC4" w14:textId="77777777" w:rsidR="009A7311" w:rsidRDefault="009A7311" w:rsidP="009C7858">
      <w:pPr>
        <w:pStyle w:val="CETBodytext"/>
        <w:rPr>
          <w:lang w:val="en-GB"/>
        </w:rPr>
      </w:pPr>
    </w:p>
    <w:p w14:paraId="1C499631" w14:textId="77777777" w:rsidR="009A7311" w:rsidRDefault="009A7311" w:rsidP="009C7858">
      <w:pPr>
        <w:pStyle w:val="CETBodytext"/>
        <w:rPr>
          <w:lang w:val="en-GB"/>
        </w:rPr>
      </w:pPr>
    </w:p>
    <w:p w14:paraId="5DD9C239" w14:textId="77777777" w:rsidR="009A7311" w:rsidRDefault="009A7311" w:rsidP="009C7858">
      <w:pPr>
        <w:pStyle w:val="CETBodytext"/>
        <w:rPr>
          <w:lang w:val="en-GB"/>
        </w:rPr>
      </w:pPr>
    </w:p>
    <w:p w14:paraId="2FD580D4" w14:textId="71916AC4" w:rsidR="00E53808" w:rsidRPr="003E133B" w:rsidRDefault="009B69CA" w:rsidP="009C7858">
      <w:pPr>
        <w:pStyle w:val="CETBodytext"/>
        <w:rPr>
          <w:lang w:val="en-GB"/>
        </w:rPr>
      </w:pPr>
      <w:r>
        <w:rPr>
          <w:noProof/>
          <w:sz w:val="24"/>
          <w:szCs w:val="24"/>
        </w:rPr>
        <w:lastRenderedPageBreak/>
        <mc:AlternateContent>
          <mc:Choice Requires="wps">
            <w:drawing>
              <wp:anchor distT="0" distB="0" distL="114300" distR="114300" simplePos="0" relativeHeight="251663360" behindDoc="0" locked="0" layoutInCell="1" allowOverlap="1" wp14:anchorId="1120AA07" wp14:editId="5E7035F9">
                <wp:simplePos x="0" y="0"/>
                <wp:positionH relativeFrom="column">
                  <wp:posOffset>3544562</wp:posOffset>
                </wp:positionH>
                <wp:positionV relativeFrom="paragraph">
                  <wp:posOffset>144780</wp:posOffset>
                </wp:positionV>
                <wp:extent cx="914400" cy="264160"/>
                <wp:effectExtent l="0" t="0" r="0" b="2540"/>
                <wp:wrapNone/>
                <wp:docPr id="19" name="Casella di testo 19"/>
                <wp:cNvGraphicFramePr/>
                <a:graphic xmlns:a="http://schemas.openxmlformats.org/drawingml/2006/main">
                  <a:graphicData uri="http://schemas.microsoft.com/office/word/2010/wordprocessingShape">
                    <wps:wsp>
                      <wps:cNvSpPr txBox="1"/>
                      <wps:spPr>
                        <a:xfrm>
                          <a:off x="0" y="0"/>
                          <a:ext cx="914400" cy="264160"/>
                        </a:xfrm>
                        <a:prstGeom prst="rect">
                          <a:avLst/>
                        </a:prstGeom>
                        <a:noFill/>
                        <a:ln w="6350">
                          <a:noFill/>
                        </a:ln>
                      </wps:spPr>
                      <wps:txbx>
                        <w:txbxContent>
                          <w:p w14:paraId="58341631" w14:textId="5AAF128A" w:rsidR="009B69CA" w:rsidRDefault="009B69CA" w:rsidP="009B69CA">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20AA07" id="_x0000_t202" coordsize="21600,21600" o:spt="202" path="m,l,21600r21600,l21600,xe">
                <v:stroke joinstyle="miter"/>
                <v:path gradientshapeok="t" o:connecttype="rect"/>
              </v:shapetype>
              <v:shape id="Casella di testo 19" o:spid="_x0000_s1026" type="#_x0000_t202" style="position:absolute;left:0;text-align:left;margin-left:279.1pt;margin-top:11.4pt;width:1in;height:20.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WnLgIAAFgEAAAOAAAAZHJzL2Uyb0RvYy54bWysVF1v2jAUfZ+0/2D5fQQYZSsiVIyKaVLV&#10;VqJTn43jQCTH17INCfv1O3YCRd2epr04177f59yb+V1ba3ZUzldkcj4aDDlTRlJRmV3Of76sP33l&#10;zAdhCqHJqJyflOd3i48f5o2dqTHtSRfKMQQxftbYnO9DsLMs83KvauEHZJWBsiRXi4Cr22WFEw2i&#10;1zobD4fTrCFXWEdSeY/X+07JFyl+WSoZnsrSq8B0zlFbSKdL5zae2WIuZjsn7L6SfRniH6qoRWWQ&#10;9BLqXgTBDq76I1RdSUeeyjCQVGdUlpVUqQd0Mxq+62azF1alXgCOtxeY/P8LKx+Pz45VBbi75cyI&#10;GhythFdaC1ZULCgfiEEFnBrrZzDfWDiE9hu18Dm/ezzG9tvS1fGLxhj0QPx0QVm1gUk83o4mkyE0&#10;EqrxdDKaJhayN2frfPiuqGZRyLkDiQlbcXzwAYXA9GwScxlaV1onIrVhTc6nn2+GyeGigYc2cIwt&#10;dKVGKbTbtu9rS8UJbTnqBsRbua6Q/EH48CwcJgL1YsrDE45SE5JQL3G2J/frb+/RHkRBy1mDCcu5&#10;wQpwpn8YEJhQwECmy+TmyxgZ3LVme60xh3pFGOERtsnKJEb7oM9i6ah+xSosY06ohJHInPNwFleh&#10;m3qsklTLZTLCCFoRHszGyhg6ghmBfWlfhbM9+gG0PdJ5EsXsHQmdbUfD8hCorBJDEd4O0x51jG8i&#10;rl+1uB/X92T19kNY/AYAAP//AwBQSwMEFAAGAAgAAAAhAIt+G9riAAAACQEAAA8AAABkcnMvZG93&#10;bnJldi54bWxMj01LAzEQhu+C/yGM4EXaxNCuZd1sUUER8YO2Ij2mm7i7dDNZkmy7/feOJz3OzMM7&#10;z1ssR9exgw2x9ajgeiqAWay8abFW8Ll5nCyAxaTR6M6jVXCyEZbl+Vmhc+OPuLKHdaoZhWDMtYIm&#10;pT7nPFaNdTpOfW+Rbt8+OJ1oDDU3QR8p3HVcCpFxp1ukD43u7UNjq/16cAr2zcvVh3h6u//Knk/h&#10;fTP4bXjdKnV5Md7dAkt2TH8w/OqTOpTktPMDmsg6BfP5QhKqQEqqQMCNkLTYKchmM+Blwf83KH8A&#10;AAD//wMAUEsBAi0AFAAGAAgAAAAhALaDOJL+AAAA4QEAABMAAAAAAAAAAAAAAAAAAAAAAFtDb250&#10;ZW50X1R5cGVzXS54bWxQSwECLQAUAAYACAAAACEAOP0h/9YAAACUAQAACwAAAAAAAAAAAAAAAAAv&#10;AQAAX3JlbHMvLnJlbHNQSwECLQAUAAYACAAAACEANoKlpy4CAABYBAAADgAAAAAAAAAAAAAAAAAu&#10;AgAAZHJzL2Uyb0RvYy54bWxQSwECLQAUAAYACAAAACEAi34b2uIAAAAJAQAADwAAAAAAAAAAAAAA&#10;AACIBAAAZHJzL2Rvd25yZXYueG1sUEsFBgAAAAAEAAQA8wAAAJcFAAAAAA==&#10;" filled="f" stroked="f" strokeweight=".5pt">
                <v:textbox>
                  <w:txbxContent>
                    <w:p w14:paraId="58341631" w14:textId="5AAF128A" w:rsidR="009B69CA" w:rsidRDefault="009B69CA" w:rsidP="009B69CA">
                      <w:r>
                        <w:t>c</w:t>
                      </w:r>
                      <w:r>
                        <w:t>)</w:t>
                      </w:r>
                    </w:p>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160A5C8D" wp14:editId="35F7FF67">
                <wp:simplePos x="0" y="0"/>
                <wp:positionH relativeFrom="column">
                  <wp:posOffset>2074545</wp:posOffset>
                </wp:positionH>
                <wp:positionV relativeFrom="paragraph">
                  <wp:posOffset>144780</wp:posOffset>
                </wp:positionV>
                <wp:extent cx="914400" cy="264160"/>
                <wp:effectExtent l="0" t="0" r="0" b="2540"/>
                <wp:wrapNone/>
                <wp:docPr id="18" name="Casella di testo 18"/>
                <wp:cNvGraphicFramePr/>
                <a:graphic xmlns:a="http://schemas.openxmlformats.org/drawingml/2006/main">
                  <a:graphicData uri="http://schemas.microsoft.com/office/word/2010/wordprocessingShape">
                    <wps:wsp>
                      <wps:cNvSpPr txBox="1"/>
                      <wps:spPr>
                        <a:xfrm>
                          <a:off x="0" y="0"/>
                          <a:ext cx="914400" cy="264160"/>
                        </a:xfrm>
                        <a:prstGeom prst="rect">
                          <a:avLst/>
                        </a:prstGeom>
                        <a:noFill/>
                        <a:ln w="6350">
                          <a:noFill/>
                        </a:ln>
                      </wps:spPr>
                      <wps:txbx>
                        <w:txbxContent>
                          <w:p w14:paraId="3AA0B101" w14:textId="2CC0D26B" w:rsidR="009B69CA" w:rsidRDefault="009B69CA" w:rsidP="009B69CA">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A5C8D" id="Casella di testo 18" o:spid="_x0000_s1027" type="#_x0000_t202" style="position:absolute;left:0;text-align:left;margin-left:163.35pt;margin-top:11.4pt;width:1in;height:20.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wFMAIAAF8EAAAOAAAAZHJzL2Uyb0RvYy54bWysVF1v2jAUfZ+0/2D5fSQwyjpEqBgV06Sq&#10;rUSnPhvHgUiOr2UbEvbrd+wARd2epr04177f59yb2V3XaHZQztdkCj4c5JwpI6mszbbgP19Wn245&#10;80GYUmgyquBH5fnd/OOHWWunakQ70qVyDEGMn7a24LsQ7DTLvNypRvgBWWWgrMg1IuDqtlnpRIvo&#10;jc5GeT7JWnKldSSV93i975V8nuJXlZLhqaq8CkwXHLWFdLp0buKZzWdiunXC7mp5KkP8QxWNqA2S&#10;XkLdiyDY3tV/hGpq6chTFQaSmoyqqpYq9YBuhvm7btY7YVXqBeB4e4HJ/7+w8vHw7FhdgjswZUQD&#10;jpbCK60FK2sWlA/EoAJOrfVTmK8tHEL3jTr4nN89HmP7XeWa+EVjDHogfrygrLrAJB6/DsfjHBoJ&#10;1WgyHk4SC9mbs3U+fFfUsCgU3IHEhK04PPiAQmB6Nom5DK1qrROR2rC24JPPN3lyuGjgoQ0cYwt9&#10;qVEK3abrWz+3saHyiO4c9XPirVzVqOFB+PAsHAYDZWPYwxOOShNy0UnibEfu19/eoz34gpazFoNW&#10;cINN4Ez/MOAxgYG5TJfxzZcRMrhrzeZaY/bNkjDJQyyVlUmM9kGfxcpR84qNWMScUAkjkbng4Swu&#10;Qz/82CipFotkhEm0IjyYtZUxdMQ04vvSvQpnTyQEsPdI54EU03dc9LY9G4t9oKpOREWUe0xP4GOK&#10;E3+njYtrcn1PVm//hflvAAAA//8DAFBLAwQUAAYACAAAACEA0FToieEAAAAJAQAADwAAAGRycy9k&#10;b3ducmV2LnhtbEyPUUvDMBDH3wW/QzjBF3GJtXRSmw4VFJGpuInsMWvOpqxJSpJu3bf3fNLHu/vx&#10;v9+/Wky2Z3sMsfNOwtVMAEPXeN25VsLn+vHyBlhMymnVe4cSjhhhUZ+eVKrU/uA+cL9KLaMQF0sl&#10;waQ0lJzHxqBVceYHdHT79sGqRGNouQ7qQOG255kQBbeqc/TBqAEfDDa71Wgl7MzLxbt4er3/Kp6P&#10;4W09+k1YbqQ8P5vuboElnNIfDL/6pA41OW396HRkvYTrrJgTKiHLqAIB+VzQYiuhyHPgdcX/N6h/&#10;AAAA//8DAFBLAQItABQABgAIAAAAIQC2gziS/gAAAOEBAAATAAAAAAAAAAAAAAAAAAAAAABbQ29u&#10;dGVudF9UeXBlc10ueG1sUEsBAi0AFAAGAAgAAAAhADj9If/WAAAAlAEAAAsAAAAAAAAAAAAAAAAA&#10;LwEAAF9yZWxzLy5yZWxzUEsBAi0AFAAGAAgAAAAhAICxTAUwAgAAXwQAAA4AAAAAAAAAAAAAAAAA&#10;LgIAAGRycy9lMm9Eb2MueG1sUEsBAi0AFAAGAAgAAAAhANBU6InhAAAACQEAAA8AAAAAAAAAAAAA&#10;AAAAigQAAGRycy9kb3ducmV2LnhtbFBLBQYAAAAABAAEAPMAAACYBQAAAAA=&#10;" filled="f" stroked="f" strokeweight=".5pt">
                <v:textbox>
                  <w:txbxContent>
                    <w:p w14:paraId="3AA0B101" w14:textId="2CC0D26B" w:rsidR="009B69CA" w:rsidRDefault="009B69CA" w:rsidP="009B69CA">
                      <w:r>
                        <w:t>b</w:t>
                      </w:r>
                      <w:r>
                        <w:t>)</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29FFC19" wp14:editId="169E1077">
                <wp:simplePos x="0" y="0"/>
                <wp:positionH relativeFrom="column">
                  <wp:posOffset>611505</wp:posOffset>
                </wp:positionH>
                <wp:positionV relativeFrom="paragraph">
                  <wp:posOffset>144780</wp:posOffset>
                </wp:positionV>
                <wp:extent cx="914400" cy="264278"/>
                <wp:effectExtent l="0" t="0" r="0" b="2540"/>
                <wp:wrapNone/>
                <wp:docPr id="17" name="Casella di testo 17"/>
                <wp:cNvGraphicFramePr/>
                <a:graphic xmlns:a="http://schemas.openxmlformats.org/drawingml/2006/main">
                  <a:graphicData uri="http://schemas.microsoft.com/office/word/2010/wordprocessingShape">
                    <wps:wsp>
                      <wps:cNvSpPr txBox="1"/>
                      <wps:spPr>
                        <a:xfrm>
                          <a:off x="0" y="0"/>
                          <a:ext cx="914400" cy="264278"/>
                        </a:xfrm>
                        <a:prstGeom prst="rect">
                          <a:avLst/>
                        </a:prstGeom>
                        <a:noFill/>
                        <a:ln w="6350">
                          <a:noFill/>
                        </a:ln>
                      </wps:spPr>
                      <wps:txbx>
                        <w:txbxContent>
                          <w:p w14:paraId="45B59753" w14:textId="23478E35" w:rsidR="009B69CA" w:rsidRDefault="009B69CA">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FFC19" id="Casella di testo 17" o:spid="_x0000_s1028" type="#_x0000_t202" style="position:absolute;left:0;text-align:left;margin-left:48.15pt;margin-top:11.4pt;width:1in;height:20.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hpMgIAAF8EAAAOAAAAZHJzL2Uyb0RvYy54bWysVE1vGjEQvVfqf7B8LwuUQIJYIkpEVSlK&#10;IpEqZ+P1wkpej2Ubdumv77MXCEp7qnoxs37j+Xhvhtl9W2t2UM5XZHI+6PU5U0ZSUZltzn++rr7c&#10;cuaDMIXQZFTOj8rz+/nnT7PGTtWQdqQL5RiCGD9tbM53Idhplnm5U7XwPbLKACzJ1SLg022zwokG&#10;0WudDfv9cdaQK6wjqbzH7UMH8nmKX5ZKhuey9CownXPUFtLp0rmJZzafienWCbur5KkM8Q9V1KIy&#10;SHoJ9SCCYHtX/RGqrqQjT2XoSaozKstKqtQDuhn0P3Sz3gmrUi8gx9sLTf7/hZVPhxfHqgLaTTgz&#10;ooZGS+GV1oIVFQvKB2KAwFNj/RTua4sHof1GLd6c7z0uY/tt6er4i8YYcDB+vLCs2sAkLu8Go1Ef&#10;iAQ0HI+Gk9sYJXt/bJ0P3xXVLBo5dxAxcSsOjz50rmeXmMvQqtI6CakNa3I+/nrTTw8uCIJrgxyx&#10;ha7UaIV206bWh+c2NlQc0Z2jbk68lasKNTwKH16Ew2CgbAx7eMZRakIuOlmc7cj9+tt99IdeQDlr&#10;MGg5N9gEzvQPAx0TGZjL9DG6mQyRwV0jm2vE7OslYZIHWCorkxn9gz6bpaP6DRuxiDkBCSOROefh&#10;bC5DN/zYKKkWi+SESbQiPJq1lTF05DTy+9q+CWdPIgSo90TngRTTD1p0vp0ai32gskpCRZY7Tk/k&#10;Y4qT1KeNi2ty/Z283v8X5r8BAAD//wMAUEsDBBQABgAIAAAAIQCLFZP04QAAAAgBAAAPAAAAZHJz&#10;L2Rvd25yZXYueG1sTI9fS8MwFMXfBb9DuIIvsiXWUrQ2HSooIv5hm8gesyY2Zc1NSdKt+/Zen/Tx&#10;nnM493eqxeR6tjchdh4lXM4FMION1x22Ej7Xj7NrYDEp1Kr3aCQcTYRFfXpSqVL7Ay7NfpVaRiUY&#10;SyXBpjSUnMfGGqfi3A8Gyfv2walEZ2i5DupA5a7nmRAFd6pD+mDVYB6saXar0UnY2ZeLD/H0dv9V&#10;PB/D+3r0m/C6kfL8bLq7BZbMlP7C8ItP6FAT09aPqCPrJdwUV5SUkGW0gPwsFyRsJRR5Dryu+P8B&#10;9Q8AAAD//wMAUEsBAi0AFAAGAAgAAAAhALaDOJL+AAAA4QEAABMAAAAAAAAAAAAAAAAAAAAAAFtD&#10;b250ZW50X1R5cGVzXS54bWxQSwECLQAUAAYACAAAACEAOP0h/9YAAACUAQAACwAAAAAAAAAAAAAA&#10;AAAvAQAAX3JlbHMvLnJlbHNQSwECLQAUAAYACAAAACEAt4aoaTICAABfBAAADgAAAAAAAAAAAAAA&#10;AAAuAgAAZHJzL2Uyb0RvYy54bWxQSwECLQAUAAYACAAAACEAixWT9OEAAAAIAQAADwAAAAAAAAAA&#10;AAAAAACMBAAAZHJzL2Rvd25yZXYueG1sUEsFBgAAAAAEAAQA8wAAAJoFAAAAAA==&#10;" filled="f" stroked="f" strokeweight=".5pt">
                <v:textbox>
                  <w:txbxContent>
                    <w:p w14:paraId="45B59753" w14:textId="23478E35" w:rsidR="009B69CA" w:rsidRDefault="009B69CA">
                      <w:r>
                        <w:t>a)</w:t>
                      </w:r>
                    </w:p>
                  </w:txbxContent>
                </v:textbox>
              </v:shape>
            </w:pict>
          </mc:Fallback>
        </mc:AlternateContent>
      </w:r>
    </w:p>
    <w:p w14:paraId="54D7C5B8" w14:textId="33B50EDC" w:rsidR="003E133B" w:rsidRPr="00E53808" w:rsidRDefault="003026E9" w:rsidP="00E53808">
      <w:pPr>
        <w:pStyle w:val="CETBodytext"/>
        <w:jc w:val="center"/>
      </w:pPr>
      <w:r w:rsidRPr="00307566">
        <w:rPr>
          <w:noProof/>
          <w:sz w:val="24"/>
          <w:szCs w:val="24"/>
        </w:rPr>
        <mc:AlternateContent>
          <mc:Choice Requires="wps">
            <w:drawing>
              <wp:anchor distT="0" distB="0" distL="114300" distR="114300" simplePos="0" relativeHeight="251667456" behindDoc="0" locked="0" layoutInCell="1" allowOverlap="1" wp14:anchorId="4407D6FA" wp14:editId="75D057E1">
                <wp:simplePos x="0" y="0"/>
                <wp:positionH relativeFrom="column">
                  <wp:posOffset>2225991</wp:posOffset>
                </wp:positionH>
                <wp:positionV relativeFrom="paragraph">
                  <wp:posOffset>971479</wp:posOffset>
                </wp:positionV>
                <wp:extent cx="109220" cy="109855"/>
                <wp:effectExtent l="0" t="0" r="24130" b="23495"/>
                <wp:wrapNone/>
                <wp:docPr id="20" name="Rettangolo 6"/>
                <wp:cNvGraphicFramePr/>
                <a:graphic xmlns:a="http://schemas.openxmlformats.org/drawingml/2006/main">
                  <a:graphicData uri="http://schemas.microsoft.com/office/word/2010/wordprocessingShape">
                    <wps:wsp>
                      <wps:cNvSpPr/>
                      <wps:spPr bwMode="auto">
                        <a:xfrm>
                          <a:off x="0" y="0"/>
                          <a:ext cx="109220" cy="109855"/>
                        </a:xfrm>
                        <a:prstGeom prst="rect">
                          <a:avLst/>
                        </a:prstGeom>
                        <a:noFill/>
                        <a:ln w="158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42245" id="Rettangolo 6" o:spid="_x0000_s1026" style="position:absolute;margin-left:175.25pt;margin-top:76.5pt;width:8.6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tjlAIAACcFAAAOAAAAZHJzL2Uyb0RvYy54bWysVE1v2zAMvQ/YfxB0X50ETT+MOkXQLsOA&#10;bi3WDj0zshwbkEVNUj66X78nOem6bodhmA8GJT6R4uOjLi53vREb7UPHtpLjo5EU2iquO7uq5NeH&#10;xbszKUIkW5Nhqyv5pIO8nL19c7F1pZ5wy6bWXiCIDeXWVbKN0ZVFEVSrewpH7LSFs2HfU8TSr4ra&#10;0xbRe1NMRqOTYsu+dp6VDgG714NTznL8ptEq3jZN0FGYSuJuMf99/i/Tv5hdULny5NpO7a9B/3CL&#10;njqLpM+hrimSWPvut1B9pzwHbuKR4r7gpumUzjWgmvHoVTX3LTmdawE5wT3TFP5fWPV5c+dFV1dy&#10;Anos9ejRFx3RsRUbFieJoK0LJXD37s7vVwGmWG4/cQ04rSPn2neN7xMHqErsMsVPzxTrXRQKm+PR&#10;+SRlUnDBPptOU4aCysNh50P8oLkXyaikRwdzcNrchDhAD5CUy/KiMwb7VBortgg6PTudIj5BTI2h&#10;CLN3KC/YlRRkVlCpij6HDGy6Oh1Pp4NfLa+MFxuCUhaLEb79zX6BpdzXFNoBl10JRqXnta2z1Wqq&#10;39taxCcHdixkL9PFel1LYTTyJysjI3Xmb5Cgx9iURGdFD0RgtYt7TlKHUk+GXi25fkJ/PA9qD04t&#10;Olz7hkK8Iw95g3+MbLzFrzGMu/HekqJl//1P+wkP1cGLYjAuIPTbmjxKMx8t9Hg+Pj5O85UXx9PT&#10;1GP/0rN86bHr/orB8xiPg1PZTPhoDmbjuX/EZM9TVrjIKuSuJNo5mFdxGGK8DErP5xmEiXIUb+y9&#10;Uyl0Iiy162H3SN7t9RRB2mc+DBaVr2Q1YNNJy3Pouumy5hK/A6vQalpgGrNq9y9HGveX64z6+b7N&#10;fgAAAP//AwBQSwMEFAAGAAgAAAAhADLU9FDeAAAACwEAAA8AAABkcnMvZG93bnJldi54bWxMj8FO&#10;wzAQRO9I/IO1SNyoTaM0URqnqpC4cIGmfIAbL0naeB3FThv+nuUEx515mp0pd4sbxBWn0HvS8LxS&#10;IJAab3tqNXweX59yECEasmbwhBq+McCuur8rTWH9jQ54rWMrOIRCYTR0MY6FlKHp0Jmw8iMSe19+&#10;cibyObXSTubG4W6Qa6U20pme+ENnRnzpsLnUs9OQHeKHn/AtP/ZLs/fr+jy/52etHx+W/RZExCX+&#10;wfBbn6tDxZ1OfiYbxKAhSVXKKBtpwqOYSDZZBuLESqYSkFUp/2+ofgAAAP//AwBQSwECLQAUAAYA&#10;CAAAACEAtoM4kv4AAADhAQAAEwAAAAAAAAAAAAAAAAAAAAAAW0NvbnRlbnRfVHlwZXNdLnhtbFBL&#10;AQItABQABgAIAAAAIQA4/SH/1gAAAJQBAAALAAAAAAAAAAAAAAAAAC8BAABfcmVscy8ucmVsc1BL&#10;AQItABQABgAIAAAAIQC2UTtjlAIAACcFAAAOAAAAAAAAAAAAAAAAAC4CAABkcnMvZTJvRG9jLnht&#10;bFBLAQItABQABgAIAAAAIQAy1PRQ3gAAAAsBAAAPAAAAAAAAAAAAAAAAAO4EAABkcnMvZG93bnJl&#10;di54bWxQSwUGAAAAAAQABADzAAAA+QUAAAAA&#10;" filled="f" strokecolor="red" strokeweight="1.25pt">
                <v:stroke joinstyle="round"/>
              </v:rect>
            </w:pict>
          </mc:Fallback>
        </mc:AlternateContent>
      </w:r>
      <w:r w:rsidRPr="00307566">
        <w:rPr>
          <w:noProof/>
          <w:sz w:val="24"/>
          <w:szCs w:val="24"/>
        </w:rPr>
        <mc:AlternateContent>
          <mc:Choice Requires="wps">
            <w:drawing>
              <wp:anchor distT="0" distB="0" distL="114300" distR="114300" simplePos="0" relativeHeight="251665408" behindDoc="0" locked="0" layoutInCell="1" allowOverlap="1" wp14:anchorId="1A6249B0" wp14:editId="7A180EE0">
                <wp:simplePos x="0" y="0"/>
                <wp:positionH relativeFrom="column">
                  <wp:posOffset>1181735</wp:posOffset>
                </wp:positionH>
                <wp:positionV relativeFrom="paragraph">
                  <wp:posOffset>20130</wp:posOffset>
                </wp:positionV>
                <wp:extent cx="109220" cy="109855"/>
                <wp:effectExtent l="0" t="0" r="24130" b="23495"/>
                <wp:wrapNone/>
                <wp:docPr id="11" name="Rettangolo 6"/>
                <wp:cNvGraphicFramePr/>
                <a:graphic xmlns:a="http://schemas.openxmlformats.org/drawingml/2006/main">
                  <a:graphicData uri="http://schemas.microsoft.com/office/word/2010/wordprocessingShape">
                    <wps:wsp>
                      <wps:cNvSpPr/>
                      <wps:spPr bwMode="auto">
                        <a:xfrm>
                          <a:off x="0" y="0"/>
                          <a:ext cx="109220" cy="109855"/>
                        </a:xfrm>
                        <a:prstGeom prst="rect">
                          <a:avLst/>
                        </a:prstGeom>
                        <a:noFill/>
                        <a:ln w="158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ECF65" id="Rettangolo 6" o:spid="_x0000_s1026" style="position:absolute;margin-left:93.05pt;margin-top:1.6pt;width:8.6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slkwIAACcFAAAOAAAAZHJzL2Uyb0RvYy54bWysVNtu2zAMfR+wfxD0vjoJml6MJkXQLsOA&#10;ri3aDn1mZDk2IIuapNz29TuSk67r9jAM84NAihQvh4e+uNx2Rqy1Dy3biRweDaTQVnHV2uVEfn2a&#10;fziTIkSyFRm2eiJ3OsjL6ft3FxtX6hE3bCrtBYLYUG7cRDYxurIogmp0R+GInbYw1uw7ilD9sqg8&#10;bRC9M8VoMDgpNuwr51npEHB73RvlNMeva63iXV0HHYWZSNQW8+nzuUhnMb2gcunJNa3al0H/UEVH&#10;rUXSl1DXFEmsfPtbqK5VngPX8UhxV3Bdt0rnHtDNcPCmm8eGnM69AJzgXmAK/y+sul3fe9FWmN1Q&#10;CksdZvSgIya2ZMPiJAG0caGE36O793stQBSLzReu4E6ryLn3be27hAG6EtsM8e4FYr2NQuFyODgf&#10;jTAIBRPks/E4ZSioPDx2PsRPmjuRhIn0mGAOTuubEHvXg0vKZXneGoN7Ko0VGwQdn52OEZ9AptpQ&#10;hNg5tBfsUgoyS7BURZ9DBjZtlZ6n18EvF1fGizWBKfP5AN++sl/cUu5rCk3vl03JjUrPK1tlqdFU&#10;fbSViDsHdCxoL1Nhna6kMBr5k5Q9I7XmbzwBj7Epic6M7oGAto17TNKE0kz6WS242mE+nnu2B6fm&#10;Lcq+oRDvyYPewB8rG+9w1IZRG+8lKRr23/90n/zBOljRDNYFgH5bkUdr5rMFH8+Hx8dpv7JyPD5N&#10;M/avLYvXFrvqrhg4g3KoLovJP5qDWHvunrHZs5QVJrIKuScS4+zFq9gvMf4MSs9m2Qkb5Sje2Een&#10;UugEWBrX0/aZvNvzKQK0Wz4sFpVvaNX7ppeWZ+B13WbOJXx7VMHVpGAbM2v3f4607q/17PXz/zb9&#10;AQAA//8DAFBLAwQUAAYACAAAACEAi9fh2twAAAAIAQAADwAAAGRycy9kb3ducmV2LnhtbEyPwU7D&#10;MBBE70j9B2uReqNOE1GiEKeqKnHhAk35ADdekpR4HdlOm/492xPcdjSj2TfldraDuKAPvSMF61UC&#10;AqlxpqdWwdfx7SkHEaImowdHqOCGAbbV4qHUhXFXOuCljq3gEgqFVtDFOBZShqZDq8PKjUjsfTtv&#10;dWTpW2m8vnK5HWSaJBtpdU/8odMj7jtsfurJKng5xE/n8T0/9nOzc2l9nj7ys1LLx3n3CiLiHP/C&#10;cMdndKiY6eQmMkEMrPPNmqMKshQE+2mSZSBO9+MZZFXK/wOqXwAAAP//AwBQSwECLQAUAAYACAAA&#10;ACEAtoM4kv4AAADhAQAAEwAAAAAAAAAAAAAAAAAAAAAAW0NvbnRlbnRfVHlwZXNdLnhtbFBLAQIt&#10;ABQABgAIAAAAIQA4/SH/1gAAAJQBAAALAAAAAAAAAAAAAAAAAC8BAABfcmVscy8ucmVsc1BLAQIt&#10;ABQABgAIAAAAIQA7gcslkwIAACcFAAAOAAAAAAAAAAAAAAAAAC4CAABkcnMvZTJvRG9jLnhtbFBL&#10;AQItABQABgAIAAAAIQCL1+Ha3AAAAAgBAAAPAAAAAAAAAAAAAAAAAO0EAABkcnMvZG93bnJldi54&#10;bWxQSwUGAAAAAAQABADzAAAA9gUAAAAA&#10;" filled="f" strokecolor="red" strokeweight="1.25pt">
                <v:stroke joinstyle="round"/>
              </v:rect>
            </w:pict>
          </mc:Fallback>
        </mc:AlternateContent>
      </w:r>
      <w:r w:rsidR="00E53808" w:rsidRPr="00841939">
        <w:rPr>
          <w:noProof/>
          <w:sz w:val="24"/>
          <w:szCs w:val="24"/>
        </w:rPr>
        <w:drawing>
          <wp:inline distT="0" distB="0" distL="0" distR="0" wp14:anchorId="7A3D92C1" wp14:editId="2733E250">
            <wp:extent cx="1440000" cy="1440180"/>
            <wp:effectExtent l="19050" t="0" r="7800" b="0"/>
            <wp:docPr id="9" name="Immagine 9"/>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180"/>
                    </a:xfrm>
                    <a:prstGeom prst="rect">
                      <a:avLst/>
                    </a:prstGeom>
                  </pic:spPr>
                </pic:pic>
              </a:graphicData>
            </a:graphic>
          </wp:inline>
        </w:drawing>
      </w:r>
      <w:r w:rsidR="00E53808" w:rsidRPr="00841939">
        <w:rPr>
          <w:noProof/>
          <w:sz w:val="24"/>
          <w:szCs w:val="24"/>
        </w:rPr>
        <w:drawing>
          <wp:inline distT="0" distB="0" distL="0" distR="0" wp14:anchorId="5D787CEA" wp14:editId="725D0694">
            <wp:extent cx="1440000" cy="1440180"/>
            <wp:effectExtent l="19050" t="0" r="7800" b="0"/>
            <wp:docPr id="15" name="Immagine 1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440180"/>
                    </a:xfrm>
                    <a:prstGeom prst="rect">
                      <a:avLst/>
                    </a:prstGeom>
                  </pic:spPr>
                </pic:pic>
              </a:graphicData>
            </a:graphic>
          </wp:inline>
        </w:drawing>
      </w:r>
      <w:r w:rsidR="00E53808" w:rsidRPr="00841939">
        <w:rPr>
          <w:noProof/>
          <w:sz w:val="24"/>
          <w:szCs w:val="24"/>
        </w:rPr>
        <w:drawing>
          <wp:inline distT="0" distB="0" distL="0" distR="0" wp14:anchorId="04866428" wp14:editId="32BCF54D">
            <wp:extent cx="1440000" cy="1440180"/>
            <wp:effectExtent l="19050" t="0" r="7800" b="0"/>
            <wp:docPr id="4" name="Immagine 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40180"/>
                    </a:xfrm>
                    <a:prstGeom prst="rect">
                      <a:avLst/>
                    </a:prstGeom>
                  </pic:spPr>
                </pic:pic>
              </a:graphicData>
            </a:graphic>
          </wp:inline>
        </w:drawing>
      </w:r>
    </w:p>
    <w:p w14:paraId="36FE0D68" w14:textId="32B766BD" w:rsidR="009B69CA" w:rsidRPr="009B69CA" w:rsidRDefault="009B69CA" w:rsidP="009B69CA">
      <w:pPr>
        <w:pStyle w:val="CETCaption"/>
        <w:jc w:val="center"/>
        <w:rPr>
          <w:b/>
          <w:bCs/>
          <w:lang w:val="en-US"/>
        </w:rPr>
      </w:pPr>
      <w:r>
        <w:t>Figure 2</w:t>
      </w:r>
      <w:r w:rsidRPr="00B57B36">
        <w:t xml:space="preserve">: </w:t>
      </w:r>
      <w:r w:rsidRPr="009B69CA">
        <w:rPr>
          <w:lang w:val="en-US"/>
        </w:rPr>
        <w:t xml:space="preserve">TEM micrography of silica particles loaded with albumin with different magnifications: </w:t>
      </w:r>
      <w:proofErr w:type="gramStart"/>
      <w:r w:rsidRPr="009B69CA">
        <w:rPr>
          <w:lang w:val="en-US"/>
        </w:rPr>
        <w:t>a)x</w:t>
      </w:r>
      <w:proofErr w:type="gramEnd"/>
      <w:r w:rsidRPr="009B69CA">
        <w:rPr>
          <w:lang w:val="en-US"/>
        </w:rPr>
        <w:t>1000; b)x10000; c)x10000</w:t>
      </w:r>
      <w:r w:rsidR="003A444E">
        <w:rPr>
          <w:lang w:val="en-US"/>
        </w:rPr>
        <w:t>0</w:t>
      </w:r>
    </w:p>
    <w:p w14:paraId="35A97D5D" w14:textId="7D802FBB" w:rsidR="00010772" w:rsidRDefault="00010772" w:rsidP="00010772">
      <w:pPr>
        <w:pStyle w:val="CETheadingx"/>
      </w:pPr>
      <w:r>
        <w:t>Bilirubin equilibrium</w:t>
      </w:r>
    </w:p>
    <w:p w14:paraId="4C360927" w14:textId="27A2D0CA" w:rsidR="003E133B" w:rsidRDefault="00A2398F" w:rsidP="009C7858">
      <w:pPr>
        <w:pStyle w:val="CETBodytext"/>
      </w:pPr>
      <w:r w:rsidRPr="00A2398F">
        <w:t>The bilirubin adsorption isotherm at 37°C on silica micro particles func</w:t>
      </w:r>
      <w:r w:rsidR="0074537F">
        <w:t>tionalized with albumin is depicted</w:t>
      </w:r>
      <w:r w:rsidRPr="00A2398F">
        <w:t xml:space="preserve"> in</w:t>
      </w:r>
      <w:r w:rsidR="0074537F">
        <w:t xml:space="preserve"> Figure 3</w:t>
      </w:r>
      <w:r w:rsidRPr="00A2398F">
        <w:t>. In this case the equilibrium concentration of bilirubin considered is referred to both the free bilirubin and the bilirubin linked with albumin in the liquid phase. For this reason, the Langmuir expression for the adsorption isotherm presents the following form:</w:t>
      </w:r>
    </w:p>
    <w:p w14:paraId="2C309E24" w14:textId="77777777" w:rsidR="00347F4B" w:rsidRDefault="00347F4B" w:rsidP="009C7858">
      <w:pPr>
        <w:pStyle w:val="CETBodytext"/>
      </w:pPr>
    </w:p>
    <w:tbl>
      <w:tblPr>
        <w:tblW w:w="5000" w:type="pct"/>
        <w:tblLook w:val="04A0" w:firstRow="1" w:lastRow="0" w:firstColumn="1" w:lastColumn="0" w:noHBand="0" w:noVBand="1"/>
      </w:tblPr>
      <w:tblGrid>
        <w:gridCol w:w="7984"/>
        <w:gridCol w:w="803"/>
      </w:tblGrid>
      <w:tr w:rsidR="00B26BCF" w:rsidRPr="00B26BCF" w14:paraId="15C33D57" w14:textId="77777777" w:rsidTr="00676403">
        <w:tc>
          <w:tcPr>
            <w:tcW w:w="7984" w:type="dxa"/>
            <w:shd w:val="clear" w:color="auto" w:fill="auto"/>
            <w:vAlign w:val="center"/>
          </w:tcPr>
          <w:p w14:paraId="735E735E" w14:textId="723B239C" w:rsidR="00B26BCF" w:rsidRPr="00B26BCF" w:rsidRDefault="00000000" w:rsidP="00B26BCF">
            <w:pPr>
              <w:pStyle w:val="CETBodytext"/>
              <w:rPr>
                <w:lang w:val="en-GB"/>
              </w:rPr>
            </w:pPr>
            <m:oMathPara>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B</m:t>
                    </m:r>
                  </m:sub>
                </m:sSub>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max</m:t>
                        </m:r>
                      </m:sub>
                      <m:sup>
                        <m:r>
                          <w:rPr>
                            <w:rFonts w:ascii="Cambria Math" w:hAnsi="Cambria Math"/>
                            <w:lang w:val="en-GB"/>
                          </w:rPr>
                          <m:t>B</m:t>
                        </m:r>
                      </m:sup>
                    </m:sSubSup>
                    <m:r>
                      <w:rPr>
                        <w:rFonts w:ascii="Cambria Math" w:hAnsi="Cambria Math"/>
                        <w:lang w:val="en-GB"/>
                      </w:rPr>
                      <m:t xml:space="preserve"> </m:t>
                    </m:r>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 xml:space="preserve">B </m:t>
                            </m:r>
                          </m:sub>
                        </m:sSub>
                        <m:r>
                          <w:rPr>
                            <w:rFonts w:ascii="Cambria Math" w:hAnsi="Cambria Math"/>
                            <w:lang w:val="en-GB"/>
                          </w:rPr>
                          <m:t>C</m:t>
                        </m:r>
                      </m:e>
                      <m:sub>
                        <m:r>
                          <w:rPr>
                            <w:rFonts w:ascii="Cambria Math" w:hAnsi="Cambria Math"/>
                            <w:lang w:val="en-GB"/>
                          </w:rPr>
                          <m:t>B</m:t>
                        </m:r>
                      </m:sub>
                    </m:sSub>
                    <m:r>
                      <w:rPr>
                        <w:rFonts w:ascii="Cambria Math" w:hAnsi="Cambria Math"/>
                        <w:lang w:val="en-GB"/>
                      </w:rPr>
                      <m:t xml:space="preserve">  </m:t>
                    </m:r>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r>
                      <w:rPr>
                        <w:rFonts w:ascii="Cambria Math" w:hAnsi="Cambria Math"/>
                        <w:lang w:val="en-GB"/>
                      </w:rPr>
                      <m:t>+</m:t>
                    </m:r>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B</m:t>
                            </m:r>
                          </m:sub>
                        </m:sSub>
                        <m:r>
                          <w:rPr>
                            <w:rFonts w:ascii="Cambria Math" w:hAnsi="Cambria Math"/>
                            <w:lang w:val="en-GB"/>
                          </w:rPr>
                          <m:t>C</m:t>
                        </m:r>
                      </m:e>
                      <m:sub>
                        <m:r>
                          <w:rPr>
                            <w:rFonts w:ascii="Cambria Math" w:hAnsi="Cambria Math"/>
                            <w:lang w:val="en-GB"/>
                          </w:rPr>
                          <m:t>B</m:t>
                        </m:r>
                      </m:sub>
                    </m:sSub>
                  </m:den>
                </m:f>
                <m:r>
                  <w:rPr>
                    <w:rFonts w:ascii="Cambria Math" w:hAnsi="Cambria Math"/>
                    <w:lang w:val="en-GB"/>
                  </w:rPr>
                  <m:t xml:space="preserve"> </m:t>
                </m:r>
              </m:oMath>
            </m:oMathPara>
          </w:p>
        </w:tc>
        <w:tc>
          <w:tcPr>
            <w:tcW w:w="803" w:type="dxa"/>
            <w:shd w:val="clear" w:color="auto" w:fill="auto"/>
            <w:vAlign w:val="center"/>
          </w:tcPr>
          <w:p w14:paraId="097CD9FC" w14:textId="1F92ECBE" w:rsidR="00B26BCF" w:rsidRPr="00B26BCF" w:rsidRDefault="00E77B7F" w:rsidP="00B26BCF">
            <w:pPr>
              <w:pStyle w:val="CETBodytext"/>
              <w:rPr>
                <w:lang w:val="en-GB"/>
              </w:rPr>
            </w:pPr>
            <w:r>
              <w:rPr>
                <w:lang w:val="en-GB"/>
              </w:rPr>
              <w:t>(4</w:t>
            </w:r>
            <w:r w:rsidR="00B26BCF" w:rsidRPr="00B26BCF">
              <w:rPr>
                <w:lang w:val="en-GB"/>
              </w:rPr>
              <w:t>)</w:t>
            </w:r>
          </w:p>
        </w:tc>
      </w:tr>
    </w:tbl>
    <w:p w14:paraId="1B3BE68F" w14:textId="77777777" w:rsidR="00347F4B" w:rsidRDefault="00347F4B" w:rsidP="00B26BCF">
      <w:pPr>
        <w:pStyle w:val="CETBodytext"/>
      </w:pPr>
    </w:p>
    <w:p w14:paraId="01F9C9CE" w14:textId="4E9427CA" w:rsidR="00B26BCF" w:rsidRDefault="00B26BCF" w:rsidP="00B26BCF">
      <w:pPr>
        <w:pStyle w:val="CETBodytext"/>
      </w:pPr>
      <w:r w:rsidRPr="00B26BCF">
        <w:t xml:space="preserve">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B</m:t>
            </m:r>
          </m:sub>
        </m:sSub>
      </m:oMath>
      <w:r w:rsidRPr="00B26BCF">
        <w:t xml:space="preserve"> (µmol/g) is the amount of bilirubin adsorbed for unit of solid adsorbent mass,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oMath>
      <w:r w:rsidRPr="00B26BCF">
        <w:t xml:space="preserve"> (µmol//L) is the total concentration of bilirubin in the liquid phase at equilibrium,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max</m:t>
            </m:r>
          </m:sub>
          <m:sup>
            <m:r>
              <w:rPr>
                <w:rFonts w:ascii="Cambria Math" w:hAnsi="Cambria Math"/>
                <w:lang w:val="en-GB"/>
              </w:rPr>
              <m:t>B</m:t>
            </m:r>
          </m:sup>
        </m:sSubSup>
      </m:oMath>
      <w:r w:rsidRPr="00B26BCF">
        <w:t xml:space="preserve"> (µmol/g) is the maximum amount of bilirubin adsorbed for unit of adsorbent mass,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oMath>
      <w:r w:rsidRPr="00B26BCF">
        <w:t xml:space="preserve"> (µmol//L) is the reciprocal of the Langmuir constant and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 xml:space="preserve">B </m:t>
            </m:r>
          </m:sub>
        </m:sSub>
      </m:oMath>
      <w:r w:rsidRPr="00B26BCF">
        <w:t xml:space="preserve"> (-) is the fraction of free bilirubin in the liquid phase. The latter depends strictly on the binding constant which regulates the formation of the co</w:t>
      </w:r>
      <w:proofErr w:type="spellStart"/>
      <w:r w:rsidRPr="00B26BCF">
        <w:t>mplex</w:t>
      </w:r>
      <w:proofErr w:type="spellEnd"/>
      <w:r w:rsidRPr="00B26BCF">
        <w:t xml:space="preserve"> albumin-bilirubin in the liquid phase. For the</w:t>
      </w:r>
      <w:r w:rsidR="0074537F">
        <w:t xml:space="preserve"> system under examination, it was</w:t>
      </w:r>
      <w:r w:rsidRPr="00B26BCF">
        <w:t xml:space="preserve"> verified</w:t>
      </w:r>
      <w:r w:rsidR="0074537F">
        <w:t xml:space="preserve"> in previous studies</w:t>
      </w:r>
      <w:r w:rsidRPr="00B26BCF">
        <w:t xml:space="preserve"> that</w:t>
      </w:r>
      <w:r w:rsidR="0074537F">
        <w:t xml:space="preserve"> </w:t>
      </w:r>
      <w:r w:rsidR="0074537F" w:rsidRPr="004606FC">
        <w:fldChar w:fldCharType="begin" w:fldLock="1"/>
      </w:r>
      <w:r w:rsidR="004606FC">
        <w:instrText>ADDIN CSL_CITATION {"citationItems":[{"id":"ITEM-1","itemData":{"DOI":"10.1007/978-1-4471-6443-2","ISBN":"9781447164425","author":[{"dropping-particle":"","family":"Annesini","given":"Maria Cristina","non-dropping-particle":"","parse-names":false,"suffix":""},{"dropping-particle":"","family":"Marrelli","given":"Luigi","non-dropping-particle":"","parse-names":false,"suffix":""},{"dropping-particle":"","family":"Piemonte","given":"Vincenzo","non-dropping-particle":"","parse-names":false,"suffix":""},{"dropping-particle":"","family":"Turchetti","given":"Luca","non-dropping-particle":"","parse-names":false,"suffix":""}],"id":"ITEM-1","issued":{"date-parts":[["2016"]]},"title":"Artificial Organ Engineering","type":"book"},"uris":["http://www.mendeley.com/documents/?uuid=b9ce1be7-8dd6-4105-9c2b-f4c5b26daf38"]}],"mendeley":{"formattedCitation":"(Annesini et al., 2016)","plainTextFormattedCitation":"(Annesini et al., 2016)","previouslyFormattedCitation":"(Annesini et al., 2016)"},"properties":{"noteIndex":0},"schema":"https://github.com/citation-style-language/schema/raw/master/csl-citation.json"}</w:instrText>
      </w:r>
      <w:r w:rsidR="0074537F" w:rsidRPr="004606FC">
        <w:fldChar w:fldCharType="separate"/>
      </w:r>
      <w:r w:rsidR="004606FC" w:rsidRPr="004606FC">
        <w:rPr>
          <w:noProof/>
        </w:rPr>
        <w:t>(Annesini et al., 2016)</w:t>
      </w:r>
      <w:r w:rsidR="0074537F" w:rsidRPr="004606FC">
        <w:fldChar w:fldCharType="end"/>
      </w:r>
      <w:r w:rsidRPr="00B26BCF">
        <w:t>:</w:t>
      </w:r>
    </w:p>
    <w:p w14:paraId="3EF37B1A" w14:textId="77777777" w:rsidR="00347F4B" w:rsidRPr="00B26BCF" w:rsidRDefault="00347F4B" w:rsidP="00B26BCF">
      <w:pPr>
        <w:pStyle w:val="CETBodytext"/>
      </w:pPr>
    </w:p>
    <w:tbl>
      <w:tblPr>
        <w:tblW w:w="5000" w:type="pct"/>
        <w:tblLook w:val="04A0" w:firstRow="1" w:lastRow="0" w:firstColumn="1" w:lastColumn="0" w:noHBand="0" w:noVBand="1"/>
      </w:tblPr>
      <w:tblGrid>
        <w:gridCol w:w="7984"/>
        <w:gridCol w:w="803"/>
      </w:tblGrid>
      <w:tr w:rsidR="00B26BCF" w:rsidRPr="00B26BCF" w14:paraId="3DB0B4BF" w14:textId="77777777" w:rsidTr="00676403">
        <w:tc>
          <w:tcPr>
            <w:tcW w:w="7984" w:type="dxa"/>
            <w:shd w:val="clear" w:color="auto" w:fill="auto"/>
            <w:vAlign w:val="center"/>
          </w:tcPr>
          <w:p w14:paraId="552E7D56" w14:textId="7D54CFB2" w:rsidR="00B26BCF" w:rsidRPr="00B26BCF" w:rsidRDefault="00000000" w:rsidP="00676403">
            <w:pPr>
              <w:pStyle w:val="CETBodytext"/>
              <w:rPr>
                <w:lang w:val="en-GB"/>
              </w:rPr>
            </w:pPr>
            <m:oMathPara>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B</m:t>
                    </m:r>
                  </m:sub>
                </m:sSub>
                <m:r>
                  <w:rPr>
                    <w:rFonts w:ascii="Cambria Math" w:hAnsi="Cambria Math"/>
                    <w:lang w:val="en-GB"/>
                  </w:rPr>
                  <m:t xml:space="preserve">= </m:t>
                </m:r>
                <m:f>
                  <m:fPr>
                    <m:ctrlPr>
                      <w:rPr>
                        <w:rFonts w:ascii="Cambria Math" w:hAnsi="Cambria Math"/>
                        <w:i/>
                        <w:lang w:val="en-GB"/>
                      </w:rPr>
                    </m:ctrlPr>
                  </m:fPr>
                  <m:num>
                    <m:r>
                      <m:rPr>
                        <m:sty m:val="p"/>
                      </m:rPr>
                      <w:rPr>
                        <w:rFonts w:ascii="Cambria Math" w:hAnsi="Cambria Math"/>
                        <w:color w:val="FF0000"/>
                        <w:lang w:val="en-GB"/>
                      </w:rPr>
                      <m:t xml:space="preserve"> </m:t>
                    </m:r>
                    <m:r>
                      <w:rPr>
                        <w:rFonts w:ascii="Cambria Math" w:hAnsi="Cambria Math"/>
                        <w:lang w:val="en-GB"/>
                      </w:rPr>
                      <m:t>1</m:t>
                    </m:r>
                    <m:r>
                      <m:rPr>
                        <m:sty m:val="p"/>
                      </m:rPr>
                      <w:rPr>
                        <w:rFonts w:ascii="Cambria Math" w:hAnsi="Cambria Math"/>
                        <w:lang w:val="en-GB"/>
                      </w:rPr>
                      <m:t xml:space="preserve"> </m:t>
                    </m:r>
                    <m:r>
                      <w:rPr>
                        <w:rFonts w:ascii="Cambria Math" w:hAnsi="Cambria Math"/>
                        <w:lang w:val="en-GB"/>
                      </w:rPr>
                      <m:t xml:space="preserve"> </m:t>
                    </m:r>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den>
                </m:f>
              </m:oMath>
            </m:oMathPara>
          </w:p>
        </w:tc>
        <w:tc>
          <w:tcPr>
            <w:tcW w:w="803" w:type="dxa"/>
            <w:shd w:val="clear" w:color="auto" w:fill="auto"/>
            <w:vAlign w:val="center"/>
          </w:tcPr>
          <w:p w14:paraId="738B2FAB" w14:textId="06ACDA74" w:rsidR="00B26BCF" w:rsidRPr="00B26BCF" w:rsidRDefault="00E77B7F" w:rsidP="00676403">
            <w:pPr>
              <w:pStyle w:val="CETBodytext"/>
              <w:rPr>
                <w:lang w:val="en-GB"/>
              </w:rPr>
            </w:pPr>
            <w:r>
              <w:rPr>
                <w:lang w:val="en-GB"/>
              </w:rPr>
              <w:t>(5</w:t>
            </w:r>
            <w:r w:rsidR="00B26BCF" w:rsidRPr="00B26BCF">
              <w:rPr>
                <w:lang w:val="en-GB"/>
              </w:rPr>
              <w:t>)</w:t>
            </w:r>
          </w:p>
        </w:tc>
      </w:tr>
      <w:tr w:rsidR="00B26BCF" w:rsidRPr="00B26BCF" w14:paraId="63595BDA" w14:textId="77777777" w:rsidTr="00B26BCF">
        <w:tc>
          <w:tcPr>
            <w:tcW w:w="7984" w:type="dxa"/>
            <w:shd w:val="clear" w:color="auto" w:fill="auto"/>
            <w:vAlign w:val="center"/>
          </w:tcPr>
          <w:p w14:paraId="3F12E684" w14:textId="55AE680A" w:rsidR="00B26BCF" w:rsidRPr="00B26BCF" w:rsidRDefault="00000000" w:rsidP="00676403">
            <w:pPr>
              <w:pStyle w:val="CETBodytext"/>
              <w:rPr>
                <w:rFonts w:ascii="Cambria Math" w:hAnsi="Cambria Math"/>
                <w:lang w:val="en-GB"/>
                <w:oMath/>
              </w:rPr>
            </w:pPr>
            <m:oMathPara>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B</m:t>
                    </m:r>
                  </m:sub>
                </m:sSub>
                <m:r>
                  <w:rPr>
                    <w:rFonts w:ascii="Cambria Math" w:hAnsi="Cambria Math"/>
                    <w:lang w:val="en-GB"/>
                  </w:rPr>
                  <m:t xml:space="preserve">= </m:t>
                </m:r>
                <m:f>
                  <m:fPr>
                    <m:ctrlPr>
                      <w:rPr>
                        <w:rFonts w:ascii="Cambria Math" w:hAnsi="Cambria Math"/>
                        <w:i/>
                        <w:lang w:val="en-GB"/>
                      </w:rPr>
                    </m:ctrlPr>
                  </m:fPr>
                  <m:num>
                    <m:r>
                      <m:rPr>
                        <m:sty m:val="p"/>
                      </m:rPr>
                      <w:rPr>
                        <w:rFonts w:ascii="Cambria Math" w:hAnsi="Cambria Math"/>
                        <w:color w:val="FF0000"/>
                        <w:lang w:val="en-GB"/>
                      </w:rPr>
                      <m:t xml:space="preserve"> </m:t>
                    </m:r>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max</m:t>
                        </m:r>
                      </m:sub>
                      <m:sup>
                        <m:r>
                          <w:rPr>
                            <w:rFonts w:ascii="Cambria Math" w:hAnsi="Cambria Math"/>
                            <w:lang w:val="en-GB"/>
                          </w:rPr>
                          <m:t>B</m:t>
                        </m:r>
                      </m:sup>
                    </m:sSubSup>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r>
                      <m:rPr>
                        <m:sty m:val="p"/>
                      </m:rPr>
                      <w:rPr>
                        <w:rFonts w:ascii="Cambria Math" w:hAnsi="Cambria Math"/>
                        <w:lang w:val="en-GB"/>
                      </w:rPr>
                      <m:t xml:space="preserve"> </m:t>
                    </m:r>
                    <m:r>
                      <w:rPr>
                        <w:rFonts w:ascii="Cambria Math" w:hAnsi="Cambria Math"/>
                        <w:lang w:val="en-GB"/>
                      </w:rPr>
                      <m:t xml:space="preserve"> </m:t>
                    </m:r>
                  </m:num>
                  <m:den>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r>
                          <w:rPr>
                            <w:rFonts w:ascii="Cambria Math" w:hAnsi="Cambria Math"/>
                            <w:lang w:val="en-GB"/>
                          </w:rPr>
                          <m:t>K</m:t>
                        </m:r>
                      </m:e>
                      <m:sub>
                        <m:r>
                          <w:rPr>
                            <w:rFonts w:ascii="Cambria Math" w:hAnsi="Cambria Math"/>
                            <w:lang w:val="en-GB"/>
                          </w:rPr>
                          <m:t>B</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den>
                </m:f>
              </m:oMath>
            </m:oMathPara>
          </w:p>
        </w:tc>
        <w:tc>
          <w:tcPr>
            <w:tcW w:w="803" w:type="dxa"/>
            <w:shd w:val="clear" w:color="auto" w:fill="auto"/>
            <w:vAlign w:val="center"/>
          </w:tcPr>
          <w:p w14:paraId="53223BB4" w14:textId="2BBCA817" w:rsidR="00B26BCF" w:rsidRPr="00B26BCF" w:rsidRDefault="00E77B7F" w:rsidP="00676403">
            <w:pPr>
              <w:pStyle w:val="CETBodytext"/>
              <w:rPr>
                <w:lang w:val="en-GB"/>
              </w:rPr>
            </w:pPr>
            <w:r>
              <w:rPr>
                <w:lang w:val="en-GB"/>
              </w:rPr>
              <w:t>(6</w:t>
            </w:r>
            <w:r w:rsidR="00B26BCF" w:rsidRPr="00B26BCF">
              <w:rPr>
                <w:lang w:val="en-GB"/>
              </w:rPr>
              <w:t>)</w:t>
            </w:r>
          </w:p>
        </w:tc>
      </w:tr>
    </w:tbl>
    <w:p w14:paraId="61145198" w14:textId="77777777" w:rsidR="00347F4B" w:rsidRDefault="00347F4B" w:rsidP="00B26BCF">
      <w:pPr>
        <w:pStyle w:val="CETBodytext"/>
      </w:pPr>
    </w:p>
    <w:p w14:paraId="1FE592CF" w14:textId="3500B8C4" w:rsidR="00B26BCF" w:rsidRDefault="00B26BCF" w:rsidP="00B26BCF">
      <w:pPr>
        <w:pStyle w:val="CETBodytext"/>
      </w:pPr>
      <w:r w:rsidRPr="00B26BCF">
        <w:t>where</w:t>
      </w:r>
      <w:r w:rsidRPr="00B26BCF">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sidRPr="00B26BCF">
        <w:rPr>
          <w:vertAlign w:val="subscript"/>
        </w:rPr>
        <w:t xml:space="preserve"> </w:t>
      </w:r>
      <w:r w:rsidRPr="00B26BCF">
        <w:t xml:space="preserve">(L/mol) is the binding constant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oMath>
      <w:r w:rsidRPr="00B26BCF">
        <w:t xml:space="preserve"> (mol/L) is the concentration of albumin in the liquid phase. As it is possible to observe in </w:t>
      </w:r>
      <w:r w:rsidRPr="00D31252">
        <w:fldChar w:fldCharType="begin"/>
      </w:r>
      <w:r w:rsidRPr="00D31252">
        <w:instrText xml:space="preserve"> REF _Ref37366555 \h  \* MERGEFORMAT </w:instrText>
      </w:r>
      <w:r w:rsidRPr="00D31252">
        <w:fldChar w:fldCharType="separate"/>
      </w:r>
      <w:r w:rsidRPr="00D31252">
        <w:t>Fig</w:t>
      </w:r>
      <w:r w:rsidR="00D31252" w:rsidRPr="00D31252">
        <w:t>ure</w:t>
      </w:r>
      <w:r w:rsidRPr="00D31252">
        <w:t xml:space="preserve"> 3</w:t>
      </w:r>
      <w:r w:rsidRPr="00D31252">
        <w:fldChar w:fldCharType="end"/>
      </w:r>
      <w:r w:rsidRPr="00D31252">
        <w:t>,</w:t>
      </w:r>
      <w:r w:rsidRPr="00B26BCF">
        <w:t xml:space="preserve"> the experimental data do not follow a Langmuir type behavior but instead a linear one. This result is perfectly in accordance with Eq. </w:t>
      </w:r>
      <w:r w:rsidR="00D31252">
        <w:t>(6</w:t>
      </w:r>
      <w:r w:rsidRPr="00B26BCF">
        <w:t xml:space="preserve">) since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sidR="00D31252" w:rsidRPr="00B26BCF">
        <w:rPr>
          <w:vertAlign w:val="subscript"/>
        </w:rPr>
        <w:t xml:space="preserve"> </w:t>
      </w:r>
      <w:r w:rsidRPr="00B26BCF">
        <w:t>=10</w:t>
      </w:r>
      <w:r w:rsidRPr="00B26BCF">
        <w:rPr>
          <w:vertAlign w:val="superscript"/>
        </w:rPr>
        <w:t>8</w:t>
      </w:r>
      <w:r w:rsidRPr="00B26BCF">
        <w:t xml:space="preserve"> M</w:t>
      </w:r>
      <w:r w:rsidRPr="00B26BCF">
        <w:rPr>
          <w:vertAlign w:val="superscript"/>
        </w:rPr>
        <w:t>-1</w:t>
      </w:r>
      <w:r w:rsidRPr="00B26BCF">
        <w:t xml:space="preserve"> </w:t>
      </w:r>
      <w:r w:rsidR="00463E8D" w:rsidRPr="004606FC">
        <w:fldChar w:fldCharType="begin" w:fldLock="1"/>
      </w:r>
      <w:r w:rsidR="004606FC">
        <w:instrText>ADDIN CSL_CITATION {"citationItems":[{"id":"ITEM-1","itemData":{"DOI":"10.1007/978-1-4471-6443-2","ISBN":"9781447164425","author":[{"dropping-particle":"","family":"Annesini","given":"Maria Cristina","non-dropping-particle":"","parse-names":false,"suffix":""},{"dropping-particle":"","family":"Marrelli","given":"Luigi","non-dropping-particle":"","parse-names":false,"suffix":""},{"dropping-particle":"","family":"Piemonte","given":"Vincenzo","non-dropping-particle":"","parse-names":false,"suffix":""},{"dropping-particle":"","family":"Turchetti","given":"Luca","non-dropping-particle":"","parse-names":false,"suffix":""}],"id":"ITEM-1","issued":{"date-parts":[["2016"]]},"title":"Artificial Organ Engineering","type":"book"},"uris":["http://www.mendeley.com/documents/?uuid=b9ce1be7-8dd6-4105-9c2b-f4c5b26daf38"]}],"mendeley":{"formattedCitation":"(Annesini et al., 2016)","plainTextFormattedCitation":"(Annesini et al., 2016)","previouslyFormattedCitation":"(Annesini et al., 2016)"},"properties":{"noteIndex":0},"schema":"https://github.com/citation-style-language/schema/raw/master/csl-citation.json"}</w:instrText>
      </w:r>
      <w:r w:rsidR="00463E8D" w:rsidRPr="004606FC">
        <w:fldChar w:fldCharType="separate"/>
      </w:r>
      <w:r w:rsidR="004606FC" w:rsidRPr="004606FC">
        <w:rPr>
          <w:noProof/>
        </w:rPr>
        <w:t>(Annesini et al., 2016)</w:t>
      </w:r>
      <w:r w:rsidR="00463E8D" w:rsidRPr="004606FC">
        <w:fldChar w:fldCharType="end"/>
      </w:r>
      <w:r w:rsidR="00463E8D">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oMath>
      <w:r w:rsidRPr="00B26BCF">
        <w:t>=5.7·10</w:t>
      </w:r>
      <w:r w:rsidRPr="00B26BCF">
        <w:rPr>
          <w:vertAlign w:val="superscript"/>
        </w:rPr>
        <w:t>-5</w:t>
      </w:r>
      <w:r w:rsidRPr="00B26BCF">
        <w:t xml:space="preserve"> M </w:t>
      </w:r>
      <w:r w:rsidRPr="00B26BCF">
        <w:rPr>
          <w:lang w:val="en-GB"/>
        </w:rPr>
        <w:t>which make possible that</w:t>
      </w:r>
      <w:r w:rsidRPr="00B26BCF">
        <w:t xml:space="preserve"> in the range of concentrations considered for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oMath>
      <w:r w:rsidRPr="00B26BCF">
        <w:t xml:space="preserve"> </w:t>
      </w:r>
      <w:r w:rsidR="00D31252">
        <w:t>that Eq. (6</w:t>
      </w:r>
      <w:r w:rsidRPr="00B26BCF">
        <w:t>) can be simplified in:</w:t>
      </w:r>
    </w:p>
    <w:p w14:paraId="6B95655D" w14:textId="77777777" w:rsidR="00347F4B" w:rsidRPr="00B26BCF" w:rsidRDefault="00347F4B" w:rsidP="00B26BCF">
      <w:pPr>
        <w:pStyle w:val="CETBodytext"/>
      </w:pPr>
    </w:p>
    <w:tbl>
      <w:tblPr>
        <w:tblW w:w="5000" w:type="pct"/>
        <w:tblLook w:val="04A0" w:firstRow="1" w:lastRow="0" w:firstColumn="1" w:lastColumn="0" w:noHBand="0" w:noVBand="1"/>
      </w:tblPr>
      <w:tblGrid>
        <w:gridCol w:w="7984"/>
        <w:gridCol w:w="803"/>
      </w:tblGrid>
      <w:tr w:rsidR="00B26BCF" w:rsidRPr="00B26BCF" w14:paraId="3DD3EE6F" w14:textId="77777777" w:rsidTr="00676403">
        <w:tc>
          <w:tcPr>
            <w:tcW w:w="7984" w:type="dxa"/>
            <w:shd w:val="clear" w:color="auto" w:fill="auto"/>
            <w:vAlign w:val="center"/>
          </w:tcPr>
          <w:p w14:paraId="69C78C2F" w14:textId="4DC315FF" w:rsidR="00B26BCF" w:rsidRPr="00B26BCF" w:rsidRDefault="00000000" w:rsidP="00B26BCF">
            <w:pPr>
              <w:pStyle w:val="CETBodytext"/>
              <w:rPr>
                <w:lang w:val="en-GB"/>
              </w:rPr>
            </w:pPr>
            <m:oMathPara>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B</m:t>
                    </m:r>
                  </m:sub>
                </m:sSub>
                <m:r>
                  <w:rPr>
                    <w:rFonts w:ascii="Cambria Math" w:hAnsi="Cambria Math"/>
                    <w:lang w:val="en-GB"/>
                  </w:rPr>
                  <m:t xml:space="preserve">≅ </m:t>
                </m:r>
                <m:f>
                  <m:fPr>
                    <m:ctrlPr>
                      <w:rPr>
                        <w:rFonts w:ascii="Cambria Math" w:hAnsi="Cambria Math"/>
                        <w:i/>
                        <w:lang w:val="en-GB"/>
                      </w:rPr>
                    </m:ctrlPr>
                  </m:fPr>
                  <m:num>
                    <m:r>
                      <m:rPr>
                        <m:sty m:val="p"/>
                      </m:rPr>
                      <w:rPr>
                        <w:rFonts w:ascii="Cambria Math" w:hAnsi="Cambria Math"/>
                        <w:color w:val="FF0000"/>
                        <w:lang w:val="en-GB"/>
                      </w:rPr>
                      <m:t xml:space="preserve"> </m:t>
                    </m:r>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max</m:t>
                        </m:r>
                      </m:sub>
                      <m:sup>
                        <m:r>
                          <w:rPr>
                            <w:rFonts w:ascii="Cambria Math" w:hAnsi="Cambria Math"/>
                            <w:lang w:val="en-GB"/>
                          </w:rPr>
                          <m:t>B</m:t>
                        </m:r>
                      </m:sup>
                    </m:sSubSup>
                    <m:r>
                      <w:rPr>
                        <w:rFonts w:ascii="Cambria Math" w:hAnsi="Cambria Math"/>
                        <w:lang w:val="en-GB"/>
                      </w:rPr>
                      <m:t xml:space="preserve"> </m:t>
                    </m:r>
                    <m:r>
                      <m:rPr>
                        <m:sty m:val="p"/>
                      </m:rPr>
                      <w:rPr>
                        <w:rFonts w:ascii="Cambria Math" w:hAnsi="Cambria Math"/>
                        <w:lang w:val="en-GB"/>
                      </w:rPr>
                      <m:t xml:space="preserve"> </m:t>
                    </m:r>
                    <m:r>
                      <w:rPr>
                        <w:rFonts w:ascii="Cambria Math" w:hAnsi="Cambria Math"/>
                        <w:lang w:val="en-GB"/>
                      </w:rPr>
                      <m:t xml:space="preserve"> </m:t>
                    </m:r>
                  </m:num>
                  <m:den>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r>
                          <w:rPr>
                            <w:rFonts w:ascii="Cambria Math" w:hAnsi="Cambria Math"/>
                            <w:lang w:val="en-GB"/>
                          </w:rPr>
                          <m:t>K</m:t>
                        </m:r>
                      </m:e>
                      <m:sub>
                        <m:r>
                          <w:rPr>
                            <w:rFonts w:ascii="Cambria Math" w:hAnsi="Cambria Math"/>
                            <w:lang w:val="en-GB"/>
                          </w:rPr>
                          <m:t>B</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den>
                </m:f>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m</m:t>
                    </m:r>
                  </m:num>
                  <m:den>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den>
                </m:f>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oMath>
            </m:oMathPara>
          </w:p>
        </w:tc>
        <w:tc>
          <w:tcPr>
            <w:tcW w:w="803" w:type="dxa"/>
            <w:shd w:val="clear" w:color="auto" w:fill="auto"/>
            <w:vAlign w:val="center"/>
          </w:tcPr>
          <w:p w14:paraId="2759DF30" w14:textId="1BB539E7" w:rsidR="00B26BCF" w:rsidRPr="00B26BCF" w:rsidRDefault="00E77B7F" w:rsidP="00B26BCF">
            <w:pPr>
              <w:pStyle w:val="CETBodytext"/>
              <w:rPr>
                <w:lang w:val="en-GB"/>
              </w:rPr>
            </w:pPr>
            <w:r>
              <w:rPr>
                <w:lang w:val="en-GB"/>
              </w:rPr>
              <w:t>(7</w:t>
            </w:r>
            <w:r w:rsidR="00B26BCF" w:rsidRPr="00B26BCF">
              <w:rPr>
                <w:lang w:val="en-GB"/>
              </w:rPr>
              <w:t>)</w:t>
            </w:r>
          </w:p>
        </w:tc>
      </w:tr>
    </w:tbl>
    <w:p w14:paraId="120AFEF8" w14:textId="77777777" w:rsidR="00347F4B" w:rsidRDefault="00347F4B" w:rsidP="00B26BCF">
      <w:pPr>
        <w:pStyle w:val="CETBodytext"/>
      </w:pPr>
    </w:p>
    <w:p w14:paraId="28986D2A" w14:textId="6628AE74" w:rsidR="00D31252" w:rsidRDefault="00B26BCF" w:rsidP="00B26BCF">
      <w:pPr>
        <w:pStyle w:val="CETBodytext"/>
      </w:pPr>
      <w:r w:rsidRPr="00B26BCF">
        <w:t>which has a linear trend</w:t>
      </w:r>
      <w:r w:rsidR="00D31252">
        <w:t xml:space="preserve"> with </w:t>
      </w:r>
      <w:r w:rsidR="00D31252" w:rsidRPr="00B26BCF">
        <w:t xml:space="preserve">respect to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oMath>
      <w:r w:rsidRPr="00B26BCF">
        <w:t xml:space="preserve"> </w:t>
      </w:r>
      <w:r w:rsidR="00D31252">
        <w:t>and</w:t>
      </w:r>
      <w:r w:rsidRPr="00B26BCF">
        <w:t xml:space="preserve"> </w:t>
      </w:r>
      <m:oMath>
        <m:r>
          <w:rPr>
            <w:rFonts w:ascii="Cambria Math" w:hAnsi="Cambria Math"/>
          </w:rPr>
          <m:t>m</m:t>
        </m:r>
      </m:oMath>
      <w:r w:rsidRPr="00B26BCF">
        <w:t xml:space="preserve"> (µmol/g)</w:t>
      </w:r>
      <w:r w:rsidR="00D31252">
        <w:t xml:space="preserve"> can be considered as</w:t>
      </w:r>
      <w:r w:rsidRPr="00B26BCF">
        <w:t xml:space="preserve"> an adjustable parameter</w:t>
      </w:r>
      <w:r w:rsidR="001241A4">
        <w:t>. In this case the experimental data were fitted by means of a line</w:t>
      </w:r>
      <w:r w:rsidR="00DE2DAB">
        <w:t>ar regression. It resulte</w:t>
      </w:r>
      <w:r w:rsidR="008D60E2">
        <w:t xml:space="preserve">d that </w:t>
      </w:r>
      <m:oMath>
        <m:r>
          <w:rPr>
            <w:rFonts w:ascii="Cambria Math" w:hAnsi="Cambria Math"/>
          </w:rPr>
          <m:t>m</m:t>
        </m:r>
      </m:oMath>
      <w:r w:rsidR="008D60E2" w:rsidRPr="00B26BCF">
        <w:t xml:space="preserve">=1.91 µmol/g </w:t>
      </w:r>
      <w:r w:rsidR="008D60E2">
        <w:t xml:space="preserve">and the </w:t>
      </w:r>
      <w:r w:rsidR="00DE2DAB">
        <w:t>regression showed an</w:t>
      </w:r>
      <w:r w:rsidR="008D60E2" w:rsidRPr="00B26BCF">
        <w:t xml:space="preserve"> R</w:t>
      </w:r>
      <w:r w:rsidR="008D60E2" w:rsidRPr="00B26BCF">
        <w:rPr>
          <w:vertAlign w:val="superscript"/>
        </w:rPr>
        <w:t>2</w:t>
      </w:r>
      <w:r w:rsidR="008D60E2" w:rsidRPr="00B26BCF">
        <w:t>=0.9426</w:t>
      </w:r>
      <w:r w:rsidR="00DE2DAB">
        <w:t xml:space="preserve"> that con</w:t>
      </w:r>
      <w:r w:rsidR="004606FC">
        <w:t xml:space="preserve">firmed the goodness of fitting. As described in the work of Mazzeo et al. </w:t>
      </w:r>
      <w:r w:rsidR="004606FC">
        <w:fldChar w:fldCharType="begin" w:fldLock="1"/>
      </w:r>
      <w:r w:rsidR="00676AEE">
        <w:instrText>ADDIN CSL_CITATION {"citationItems":[{"id":"ITEM-1","itemData":{"DOI":"10.3390/ma16041450","author":[{"dropping-particle":"","family":"Mazzeo","given":"Leone","non-dropping-particle":"","parse-names":false,"suffix":""},{"dropping-particle":"","family":"Marzi","given":"Davide","non-dropping-particle":"","parse-names":false,"suffix":""},{"dropping-particle":"","family":"Bavasso","given":"Irene","non-dropping-particle":"","parse-names":false,"suffix":""},{"dropping-particle":"","family":"Piemonte","given":"Vincenzo","non-dropping-particle":"","parse-names":false,"suffix":""},{"dropping-particle":"Di","family":"Palma","given":"Luca","non-dropping-particle":"","parse-names":false,"suffix":""}],"container-title":"Materials","id":"ITEM-1","issue":"4","issued":{"date-parts":[["2023"]]},"page":"1450","title":"Removal of Methylene Blue from Wastewater by Waste Roots from the Arsenic-Hyperaccumulator Pteris vittata : Fixed Bed Adsorption Kinetics","type":"article-journal","volume":"16"},"uris":["http://www.mendeley.com/documents/?uuid=8d3e5b0c-cc4d-4023-8c93-d7e58191c767"]}],"mendeley":{"formattedCitation":"(Mazzeo et al., 2023)","plainTextFormattedCitation":"(Mazzeo et al., 2023)","previouslyFormattedCitation":"(Mazzeo et al., 2023)"},"properties":{"noteIndex":0},"schema":"https://github.com/citation-style-language/schema/raw/master/csl-citation.json"}</w:instrText>
      </w:r>
      <w:r w:rsidR="004606FC">
        <w:fldChar w:fldCharType="separate"/>
      </w:r>
      <w:r w:rsidR="004606FC" w:rsidRPr="004606FC">
        <w:rPr>
          <w:noProof/>
        </w:rPr>
        <w:t>(Mazzeo et al., 2023)</w:t>
      </w:r>
      <w:r w:rsidR="004606FC">
        <w:fldChar w:fldCharType="end"/>
      </w:r>
      <w:r w:rsidR="004606FC">
        <w:t xml:space="preserve">, equilibrium information are crucial to proceed toward the design of a continuous apparatus. </w:t>
      </w:r>
    </w:p>
    <w:p w14:paraId="792C90D4" w14:textId="283BA95E" w:rsidR="003E133B" w:rsidRDefault="00B26BCF" w:rsidP="00B26BCF">
      <w:pPr>
        <w:pStyle w:val="CETBodytext"/>
        <w:jc w:val="center"/>
      </w:pPr>
      <w:r>
        <w:rPr>
          <w:noProof/>
        </w:rPr>
        <w:lastRenderedPageBreak/>
        <w:drawing>
          <wp:inline distT="0" distB="0" distL="0" distR="0" wp14:anchorId="122BBC36" wp14:editId="6A23D858">
            <wp:extent cx="3169920" cy="312737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502" cy="3128936"/>
                    </a:xfrm>
                    <a:prstGeom prst="rect">
                      <a:avLst/>
                    </a:prstGeom>
                    <a:noFill/>
                  </pic:spPr>
                </pic:pic>
              </a:graphicData>
            </a:graphic>
          </wp:inline>
        </w:drawing>
      </w:r>
    </w:p>
    <w:p w14:paraId="151069A1" w14:textId="4D222A22" w:rsidR="00B26BCF" w:rsidRPr="009B69CA" w:rsidRDefault="00B26BCF" w:rsidP="00B26BCF">
      <w:pPr>
        <w:pStyle w:val="CETCaption"/>
        <w:jc w:val="center"/>
        <w:rPr>
          <w:b/>
          <w:bCs/>
          <w:lang w:val="en-US"/>
        </w:rPr>
      </w:pPr>
      <w:r>
        <w:t>Figure 3</w:t>
      </w:r>
      <w:r w:rsidRPr="00B57B36">
        <w:t xml:space="preserve">: </w:t>
      </w:r>
      <w:r w:rsidRPr="00B26BCF">
        <w:rPr>
          <w:lang w:val="en-US"/>
        </w:rPr>
        <w:t>Bilirubin isotherm at 37°C using silica particles functionalized with albumin.</w:t>
      </w:r>
    </w:p>
    <w:p w14:paraId="1A9EAE9D" w14:textId="549D70BC" w:rsidR="003E133B" w:rsidRDefault="003E133B" w:rsidP="009C7858">
      <w:pPr>
        <w:pStyle w:val="CETBodytext"/>
      </w:pPr>
    </w:p>
    <w:p w14:paraId="1BABE9FB" w14:textId="2264E25C" w:rsidR="00156E29" w:rsidRDefault="00156E29" w:rsidP="00156E29">
      <w:pPr>
        <w:pStyle w:val="CETHeading1"/>
      </w:pPr>
      <w:r>
        <w:t>Conclusions</w:t>
      </w:r>
    </w:p>
    <w:p w14:paraId="5635FFCC" w14:textId="6BA92AD4" w:rsidR="00AF2420" w:rsidRDefault="007A592E" w:rsidP="00AF2420">
      <w:pPr>
        <w:pStyle w:val="CETBodytext"/>
      </w:pPr>
      <w:r>
        <w:t xml:space="preserve">In this work a novel approach for the adsorption of bilirubin from an albumin-containing solution was proposed. </w:t>
      </w:r>
      <w:proofErr w:type="gramStart"/>
      <w:r>
        <w:t>In particular</w:t>
      </w:r>
      <w:r w:rsidR="00CE502E">
        <w:t>,</w:t>
      </w:r>
      <w:r>
        <w:t xml:space="preserve"> silica</w:t>
      </w:r>
      <w:proofErr w:type="gramEnd"/>
      <w:r>
        <w:t xml:space="preserve"> mic</w:t>
      </w:r>
      <w:r w:rsidR="00CE502E">
        <w:t>r</w:t>
      </w:r>
      <w:r>
        <w:t xml:space="preserve">o-particles were functionalized with albumin in order to promote the removal of bilirubin from the liquid solution. It was found out that the chemical functionalization of the particle surface can be described by the </w:t>
      </w:r>
      <w:r w:rsidR="00AF2420">
        <w:t>Langmuir isotherm model. Moreover, a</w:t>
      </w:r>
      <w:r>
        <w:t xml:space="preserve"> maximum adsorption capacity and the reciprocal of the Langmuir constant were estimated </w:t>
      </w:r>
      <w:r w:rsidR="00AF2420">
        <w:t xml:space="preserve">to be 290.6 mg/g and 5.558 g/L </w:t>
      </w:r>
      <w:r>
        <w:t>respectively. Once verified the successful linkage between albumin and the silica particles by means of a TEM analysis, the adsorption of bilirubin was performed</w:t>
      </w:r>
      <w:r w:rsidR="00AF2420">
        <w:t xml:space="preserve"> on the functionalized particles</w:t>
      </w:r>
      <w:r>
        <w:t xml:space="preserve">. The latter </w:t>
      </w:r>
      <w:r w:rsidR="00AF2420">
        <w:t xml:space="preserve">phenomenon </w:t>
      </w:r>
      <w:r>
        <w:t xml:space="preserve">showed a linear behavior at equilibrium </w:t>
      </w:r>
      <w:r w:rsidR="00AF2420">
        <w:t xml:space="preserve">and the angular coefficient of the isotherm was evaluated to be </w:t>
      </w:r>
      <m:oMath>
        <m:r>
          <w:rPr>
            <w:rFonts w:ascii="Cambria Math" w:hAnsi="Cambria Math"/>
          </w:rPr>
          <m:t>m</m:t>
        </m:r>
      </m:oMath>
      <w:r w:rsidR="00AF2420">
        <w:t>=</w:t>
      </w:r>
      <w:r w:rsidR="00AF2420" w:rsidRPr="00B26BCF">
        <w:t>1.91 µmol/g</w:t>
      </w:r>
      <w:r w:rsidR="00AF2420">
        <w:t xml:space="preserve">. </w:t>
      </w:r>
      <w:r>
        <w:t>This article sets the basis for the application of novel material for the regeneration of the dialysate in blood detoxification application. Further studies should regard the comparison with other adsorbent materials o</w:t>
      </w:r>
      <w:r w:rsidR="00AF2420">
        <w:t>f the same field of application and experimental analysis in a continuous operation mode.</w:t>
      </w:r>
    </w:p>
    <w:p w14:paraId="0A82B708" w14:textId="3955C371" w:rsidR="00EB41B2" w:rsidRPr="00DE08DD" w:rsidRDefault="00600535" w:rsidP="000E2C20">
      <w:pPr>
        <w:pStyle w:val="CETReference"/>
        <w:rPr>
          <w:lang w:val="it-IT"/>
        </w:rPr>
      </w:pPr>
      <w:proofErr w:type="spellStart"/>
      <w:r w:rsidRPr="00DE08DD">
        <w:rPr>
          <w:lang w:val="it-IT"/>
        </w:rPr>
        <w:t>References</w:t>
      </w:r>
      <w:proofErr w:type="spellEnd"/>
    </w:p>
    <w:p w14:paraId="3D21348E" w14:textId="534544F7" w:rsidR="003D5DC0" w:rsidRPr="00D3206F" w:rsidRDefault="00EB41B2" w:rsidP="003D5DC0">
      <w:pPr>
        <w:widowControl w:val="0"/>
        <w:autoSpaceDE w:val="0"/>
        <w:autoSpaceDN w:val="0"/>
        <w:adjustRightInd w:val="0"/>
        <w:spacing w:line="240" w:lineRule="auto"/>
        <w:ind w:left="480" w:hanging="480"/>
        <w:rPr>
          <w:rFonts w:cs="Arial"/>
          <w:noProof/>
          <w:szCs w:val="24"/>
          <w:lang w:val="it-IT"/>
        </w:rPr>
      </w:pPr>
      <w:r>
        <w:rPr>
          <w:b/>
          <w:highlight w:val="yellow"/>
        </w:rPr>
        <w:fldChar w:fldCharType="begin" w:fldLock="1"/>
      </w:r>
      <w:r w:rsidRPr="00DE08DD">
        <w:rPr>
          <w:b/>
          <w:highlight w:val="yellow"/>
          <w:lang w:val="it-IT"/>
        </w:rPr>
        <w:instrText xml:space="preserve">ADDIN Mendeley Bibliography CSL_BIBLIOGRAPHY </w:instrText>
      </w:r>
      <w:r>
        <w:rPr>
          <w:b/>
          <w:highlight w:val="yellow"/>
        </w:rPr>
        <w:fldChar w:fldCharType="separate"/>
      </w:r>
      <w:r w:rsidR="003D5DC0" w:rsidRPr="00D3206F">
        <w:rPr>
          <w:rFonts w:cs="Arial"/>
          <w:noProof/>
          <w:szCs w:val="24"/>
          <w:lang w:val="it-IT"/>
        </w:rPr>
        <w:t xml:space="preserve">Annesini, M.C., Di Carlo, C., Piemonte, V., Turchetti, L., 2008. </w:t>
      </w:r>
      <w:r w:rsidR="003D5DC0" w:rsidRPr="003D5DC0">
        <w:rPr>
          <w:rFonts w:cs="Arial"/>
          <w:noProof/>
          <w:szCs w:val="24"/>
        </w:rPr>
        <w:t xml:space="preserve">Bilirubin and tryptophan adsorption in albumin-containing solutions. I. Equilibrium isotherms on activated carbon. </w:t>
      </w:r>
      <w:r w:rsidR="003D5DC0" w:rsidRPr="00D3206F">
        <w:rPr>
          <w:rFonts w:cs="Arial"/>
          <w:noProof/>
          <w:szCs w:val="24"/>
          <w:lang w:val="it-IT"/>
        </w:rPr>
        <w:t>Biochem. Eng. J. 40, 205–210. https://doi.org/10.1016/j.bej.2007.12.010</w:t>
      </w:r>
    </w:p>
    <w:p w14:paraId="3DE9FE4F" w14:textId="77777777" w:rsidR="003D5DC0" w:rsidRPr="00D3206F" w:rsidRDefault="003D5DC0" w:rsidP="003D5DC0">
      <w:pPr>
        <w:widowControl w:val="0"/>
        <w:autoSpaceDE w:val="0"/>
        <w:autoSpaceDN w:val="0"/>
        <w:adjustRightInd w:val="0"/>
        <w:spacing w:line="240" w:lineRule="auto"/>
        <w:ind w:left="480" w:hanging="480"/>
        <w:rPr>
          <w:rFonts w:cs="Arial"/>
          <w:noProof/>
          <w:szCs w:val="24"/>
          <w:lang w:val="it-IT"/>
        </w:rPr>
      </w:pPr>
      <w:r w:rsidRPr="00D3206F">
        <w:rPr>
          <w:rFonts w:cs="Arial"/>
          <w:noProof/>
          <w:szCs w:val="24"/>
          <w:lang w:val="it-IT"/>
        </w:rPr>
        <w:t xml:space="preserve">Annesini, M.C., Di Paola, L., Marrelli, L., Piemonte, V., Turchetti, L., 2005. </w:t>
      </w:r>
      <w:r w:rsidRPr="003D5DC0">
        <w:rPr>
          <w:rFonts w:cs="Arial"/>
          <w:noProof/>
          <w:szCs w:val="24"/>
        </w:rPr>
        <w:t xml:space="preserve">Bilirubin removal from albumin-containing solution by adsorption on polymer resin. </w:t>
      </w:r>
      <w:r w:rsidRPr="00D3206F">
        <w:rPr>
          <w:rFonts w:cs="Arial"/>
          <w:noProof/>
          <w:szCs w:val="24"/>
          <w:lang w:val="it-IT"/>
        </w:rPr>
        <w:t>Int. J. Artif. Organs 28, 686–693. https://doi.org/10.1177/039139880502800707</w:t>
      </w:r>
    </w:p>
    <w:p w14:paraId="54CDE48E"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D3206F">
        <w:rPr>
          <w:rFonts w:cs="Arial"/>
          <w:noProof/>
          <w:szCs w:val="24"/>
          <w:lang w:val="it-IT"/>
        </w:rPr>
        <w:t xml:space="preserve">Annesini, M.C., Marrelli, L., Piemonte, V., Turchetti, L., 2016. </w:t>
      </w:r>
      <w:r w:rsidRPr="003D5DC0">
        <w:rPr>
          <w:rFonts w:cs="Arial"/>
          <w:noProof/>
          <w:szCs w:val="24"/>
        </w:rPr>
        <w:t>Artificial Organ Engineering. https://doi.org/10.1007/978-1-4471-6443-2</w:t>
      </w:r>
    </w:p>
    <w:p w14:paraId="79C5FCD7"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3D5DC0">
        <w:rPr>
          <w:rFonts w:cs="Arial"/>
          <w:noProof/>
          <w:szCs w:val="24"/>
        </w:rPr>
        <w:t>Ash, S.R., Sullivan, T.A., Carr, D.J., 2006. Sorbent suspensions vs. sorbent columns for extracorporeal detoxification in hepatic failure. Ther. Apher. Dial. 10, 145–153. https://doi.org/10.1111/j.1744-9987.2006.00356.x</w:t>
      </w:r>
    </w:p>
    <w:p w14:paraId="3B81BB78"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3D5DC0">
        <w:rPr>
          <w:rFonts w:cs="Arial"/>
          <w:noProof/>
          <w:szCs w:val="24"/>
        </w:rPr>
        <w:t>Dunlop, E.H., Hughes, R.D., Williams, R., 1978. Physico-chemical aspects of the removal of protein-bound substances by charcoal and other adsorbents of potential value in systems of artificial liver support: Part 1-Equilibrium properties. Med. Biol. Eng. Comput. 16, 343–349. https://doi.org/10.1007/BF02442650</w:t>
      </w:r>
    </w:p>
    <w:p w14:paraId="7B01ABB4"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3D5DC0">
        <w:rPr>
          <w:rFonts w:cs="Arial"/>
          <w:noProof/>
          <w:szCs w:val="24"/>
        </w:rPr>
        <w:t>Fesenko, E.A., Gaylor, J.D.S., Smith, E.M., Kozynchenko, O.P., Courtney, J.M., Mikhalovsky, S. V., 1999. Bilirubin adsorption and catalytic oxidation on activated carbons. Carbon-1999 332–333.</w:t>
      </w:r>
    </w:p>
    <w:p w14:paraId="0A2512AD" w14:textId="77777777" w:rsidR="003D5DC0" w:rsidRPr="00D3206F" w:rsidRDefault="003D5DC0" w:rsidP="003D5DC0">
      <w:pPr>
        <w:widowControl w:val="0"/>
        <w:autoSpaceDE w:val="0"/>
        <w:autoSpaceDN w:val="0"/>
        <w:adjustRightInd w:val="0"/>
        <w:spacing w:line="240" w:lineRule="auto"/>
        <w:ind w:left="480" w:hanging="480"/>
        <w:rPr>
          <w:rFonts w:cs="Arial"/>
          <w:noProof/>
          <w:szCs w:val="24"/>
          <w:lang w:val="it-IT"/>
        </w:rPr>
      </w:pPr>
      <w:r w:rsidRPr="003D5DC0">
        <w:rPr>
          <w:rFonts w:cs="Arial"/>
          <w:noProof/>
          <w:szCs w:val="24"/>
        </w:rPr>
        <w:t xml:space="preserve">Jalan, R., Sen, S., Williams, R., 2004. Prospects for extracorporeal liver support. </w:t>
      </w:r>
      <w:r w:rsidRPr="00D3206F">
        <w:rPr>
          <w:rFonts w:cs="Arial"/>
          <w:noProof/>
          <w:szCs w:val="24"/>
          <w:lang w:val="it-IT"/>
        </w:rPr>
        <w:t>Gut 53, 890–898. https://doi.org/10.1136/gut.2003.024919</w:t>
      </w:r>
    </w:p>
    <w:p w14:paraId="4B4A3B1B"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D3206F">
        <w:rPr>
          <w:rFonts w:cs="Arial"/>
          <w:noProof/>
          <w:szCs w:val="24"/>
          <w:lang w:val="it-IT"/>
        </w:rPr>
        <w:lastRenderedPageBreak/>
        <w:t xml:space="preserve">Mazzeo, L., Bavasso, I., Bracciale, M.P., Cocchi, M., Palma, L. Di, Piemonte, V., 2020. </w:t>
      </w:r>
      <w:r w:rsidRPr="003D5DC0">
        <w:rPr>
          <w:rFonts w:cs="Arial"/>
          <w:noProof/>
          <w:szCs w:val="24"/>
        </w:rPr>
        <w:t>Yerba Mate (Ilex paraguarensis) as Bio-Adsorbent for the Removal of Methylene Blue , Remazol Brilliant Blue and Chromium Hexavalent : Thermodynamic and Kinetic Studies.</w:t>
      </w:r>
    </w:p>
    <w:p w14:paraId="79CA66DA" w14:textId="77777777" w:rsidR="003D5DC0" w:rsidRPr="00D3206F" w:rsidRDefault="003D5DC0" w:rsidP="003D5DC0">
      <w:pPr>
        <w:widowControl w:val="0"/>
        <w:autoSpaceDE w:val="0"/>
        <w:autoSpaceDN w:val="0"/>
        <w:adjustRightInd w:val="0"/>
        <w:spacing w:line="240" w:lineRule="auto"/>
        <w:ind w:left="480" w:hanging="480"/>
        <w:rPr>
          <w:rFonts w:cs="Arial"/>
          <w:noProof/>
          <w:szCs w:val="24"/>
          <w:lang w:val="it-IT"/>
        </w:rPr>
      </w:pPr>
      <w:r w:rsidRPr="00D3206F">
        <w:rPr>
          <w:rFonts w:cs="Arial"/>
          <w:noProof/>
          <w:szCs w:val="24"/>
          <w:lang w:val="it-IT"/>
        </w:rPr>
        <w:t xml:space="preserve">Mazzeo, L., Bavasso, I., Spallieri, M., Bracciale, M.P., Piemonte, V., Di Palma, L., 2022a. </w:t>
      </w:r>
      <w:r w:rsidRPr="003D5DC0">
        <w:rPr>
          <w:rFonts w:cs="Arial"/>
          <w:noProof/>
          <w:szCs w:val="24"/>
        </w:rPr>
        <w:t xml:space="preserve">Effect of Water–Ethanol Extraction as Pre-Treatment on the Adsorption Properties of Aloe vera Waste. </w:t>
      </w:r>
      <w:r w:rsidRPr="00D3206F">
        <w:rPr>
          <w:rFonts w:cs="Arial"/>
          <w:noProof/>
          <w:szCs w:val="24"/>
          <w:lang w:val="it-IT"/>
        </w:rPr>
        <w:t>Materials (Basel). 15, 1–18. https://doi.org/10.3390/ma15165566</w:t>
      </w:r>
    </w:p>
    <w:p w14:paraId="64D8B68C" w14:textId="77777777" w:rsidR="003D5DC0" w:rsidRPr="00D3206F" w:rsidRDefault="003D5DC0" w:rsidP="003D5DC0">
      <w:pPr>
        <w:widowControl w:val="0"/>
        <w:autoSpaceDE w:val="0"/>
        <w:autoSpaceDN w:val="0"/>
        <w:adjustRightInd w:val="0"/>
        <w:spacing w:line="240" w:lineRule="auto"/>
        <w:ind w:left="480" w:hanging="480"/>
        <w:rPr>
          <w:rFonts w:cs="Arial"/>
          <w:noProof/>
          <w:szCs w:val="24"/>
          <w:lang w:val="it-IT"/>
        </w:rPr>
      </w:pPr>
      <w:r w:rsidRPr="00D3206F">
        <w:rPr>
          <w:rFonts w:cs="Arial"/>
          <w:noProof/>
          <w:szCs w:val="24"/>
          <w:lang w:val="it-IT"/>
        </w:rPr>
        <w:t xml:space="preserve">Mazzeo, L., Marzi, D., Bavasso, I., Piemonte, V., Palma, L. Di, 2023. </w:t>
      </w:r>
      <w:r w:rsidRPr="003D5DC0">
        <w:rPr>
          <w:rFonts w:cs="Arial"/>
          <w:noProof/>
          <w:szCs w:val="24"/>
        </w:rPr>
        <w:t xml:space="preserve">Removal of Methylene Blue from Wastewater by Waste Roots from the Arsenic-Hyperaccumulator Pteris vittata : Fixed Bed Adsorption Kinetics. </w:t>
      </w:r>
      <w:r w:rsidRPr="00D3206F">
        <w:rPr>
          <w:rFonts w:cs="Arial"/>
          <w:noProof/>
          <w:szCs w:val="24"/>
          <w:lang w:val="it-IT"/>
        </w:rPr>
        <w:t>Materials (Basel). 16, 1450. https://doi.org/10.3390/ma16041450</w:t>
      </w:r>
    </w:p>
    <w:p w14:paraId="68E014B7"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D3206F">
        <w:rPr>
          <w:rFonts w:cs="Arial"/>
          <w:noProof/>
          <w:szCs w:val="24"/>
          <w:lang w:val="it-IT"/>
        </w:rPr>
        <w:t xml:space="preserve">Mazzeo, L., Marzi, D., Irene, B., Bracciale, M.P., Piemonte, V., Di Palma, L., 2022b. </w:t>
      </w:r>
      <w:r w:rsidRPr="003D5DC0">
        <w:rPr>
          <w:rFonts w:cs="Arial"/>
          <w:noProof/>
          <w:szCs w:val="24"/>
        </w:rPr>
        <w:t>Characterization of waste roots from the As hyperaccumulator Pteris vittata as low-cost adsorbent for Methylene Blue removal. Chem. Eng. Res. Des. https://doi.org/10.1016/j.cherd.2022.07.025</w:t>
      </w:r>
    </w:p>
    <w:p w14:paraId="778793FB" w14:textId="77777777" w:rsidR="003D5DC0" w:rsidRPr="00D3206F" w:rsidRDefault="003D5DC0" w:rsidP="003D5DC0">
      <w:pPr>
        <w:widowControl w:val="0"/>
        <w:autoSpaceDE w:val="0"/>
        <w:autoSpaceDN w:val="0"/>
        <w:adjustRightInd w:val="0"/>
        <w:spacing w:line="240" w:lineRule="auto"/>
        <w:ind w:left="480" w:hanging="480"/>
        <w:rPr>
          <w:rFonts w:cs="Arial"/>
          <w:noProof/>
          <w:szCs w:val="24"/>
          <w:lang w:val="it-IT"/>
        </w:rPr>
      </w:pPr>
      <w:r w:rsidRPr="003D5DC0">
        <w:rPr>
          <w:rFonts w:cs="Arial"/>
          <w:noProof/>
          <w:szCs w:val="24"/>
        </w:rPr>
        <w:t xml:space="preserve">Nikolaev, V.G., Sarnatskaya, V. V., Sigal, V.L., Klevtsov, V.N., Makhorin, K.E., Yushko, L.A., 1991. High-porosity activated carbons for bilirubin removal. Int. J. Artif. </w:t>
      </w:r>
      <w:r w:rsidRPr="00D3206F">
        <w:rPr>
          <w:rFonts w:cs="Arial"/>
          <w:noProof/>
          <w:szCs w:val="24"/>
          <w:lang w:val="it-IT"/>
        </w:rPr>
        <w:t>Organs 14, 179–185. https://doi.org/10.1177/039139889101400311</w:t>
      </w:r>
    </w:p>
    <w:p w14:paraId="27450CC8" w14:textId="77777777" w:rsidR="003D5DC0" w:rsidRPr="00D3206F" w:rsidRDefault="003D5DC0" w:rsidP="003D5DC0">
      <w:pPr>
        <w:widowControl w:val="0"/>
        <w:autoSpaceDE w:val="0"/>
        <w:autoSpaceDN w:val="0"/>
        <w:adjustRightInd w:val="0"/>
        <w:spacing w:line="240" w:lineRule="auto"/>
        <w:ind w:left="480" w:hanging="480"/>
        <w:rPr>
          <w:rFonts w:cs="Arial"/>
          <w:noProof/>
          <w:szCs w:val="24"/>
          <w:lang w:val="it-IT"/>
        </w:rPr>
      </w:pPr>
      <w:r w:rsidRPr="00D3206F">
        <w:rPr>
          <w:rFonts w:cs="Arial"/>
          <w:noProof/>
          <w:szCs w:val="24"/>
          <w:lang w:val="it-IT"/>
        </w:rPr>
        <w:t xml:space="preserve">Novelli, G., Annesini, M.C., Morabito, V., Cinti, P., Pugliese, F., Novelli, S., Piemonte, V., Turchetti, L., Rossi, M., Berloco, P.B., 2009a. </w:t>
      </w:r>
      <w:r w:rsidRPr="003D5DC0">
        <w:rPr>
          <w:rFonts w:cs="Arial"/>
          <w:noProof/>
          <w:szCs w:val="24"/>
        </w:rPr>
        <w:t xml:space="preserve">Cytokine Level Modifications: Molecular Adsorbent Recirculating System Versus Standard Medical Therapy. </w:t>
      </w:r>
      <w:r w:rsidRPr="00D3206F">
        <w:rPr>
          <w:rFonts w:cs="Arial"/>
          <w:noProof/>
          <w:szCs w:val="24"/>
          <w:lang w:val="it-IT"/>
        </w:rPr>
        <w:t>Transplant. Proc. 41, 1243–1248. https://doi.org/10.1016/j.transproceed.2009.03.035</w:t>
      </w:r>
    </w:p>
    <w:p w14:paraId="1F080D3B" w14:textId="77777777" w:rsidR="003D5DC0" w:rsidRPr="00D3206F" w:rsidRDefault="003D5DC0" w:rsidP="003D5DC0">
      <w:pPr>
        <w:widowControl w:val="0"/>
        <w:autoSpaceDE w:val="0"/>
        <w:autoSpaceDN w:val="0"/>
        <w:adjustRightInd w:val="0"/>
        <w:spacing w:line="240" w:lineRule="auto"/>
        <w:ind w:left="480" w:hanging="480"/>
        <w:rPr>
          <w:rFonts w:cs="Arial"/>
          <w:noProof/>
          <w:szCs w:val="24"/>
          <w:lang w:val="it-IT"/>
        </w:rPr>
      </w:pPr>
      <w:r w:rsidRPr="00D3206F">
        <w:rPr>
          <w:rFonts w:cs="Arial"/>
          <w:noProof/>
          <w:szCs w:val="24"/>
          <w:lang w:val="it-IT"/>
        </w:rPr>
        <w:t xml:space="preserve">Novelli, G., Rossi, M., Ferretti, G., Pugliese, F., Ruberto, F., Lai, Q., Novelli, S., Piemonte, V., Turchetti, L., Morabito, V., Annesini, M.C., Berloco, P.B., 2009b. </w:t>
      </w:r>
      <w:r w:rsidRPr="003D5DC0">
        <w:rPr>
          <w:rFonts w:cs="Arial"/>
          <w:noProof/>
          <w:szCs w:val="24"/>
        </w:rPr>
        <w:t xml:space="preserve">Predictive criteria for the outcome of patients with acute liver failure treated with the albumin dialysis molecular adsorbent recirculating system. </w:t>
      </w:r>
      <w:r w:rsidRPr="00D3206F">
        <w:rPr>
          <w:rFonts w:cs="Arial"/>
          <w:noProof/>
          <w:szCs w:val="24"/>
          <w:lang w:val="it-IT"/>
        </w:rPr>
        <w:t>Ther. Apher. Dial. 13, 404–412. https://doi.org/10.1111/j.1744-9987.2009.00759.x</w:t>
      </w:r>
    </w:p>
    <w:p w14:paraId="12F0493B"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D3206F">
        <w:rPr>
          <w:rFonts w:cs="Arial"/>
          <w:noProof/>
          <w:szCs w:val="24"/>
          <w:lang w:val="it-IT"/>
        </w:rPr>
        <w:t xml:space="preserve">Piemonte, V., Trchetti, L., Annesini, M.C., 2010. </w:t>
      </w:r>
      <w:r w:rsidRPr="003D5DC0">
        <w:rPr>
          <w:rFonts w:cs="Arial"/>
          <w:noProof/>
          <w:szCs w:val="24"/>
        </w:rPr>
        <w:t>Bilirubin removal from albumin-containing solutions: dynamic adsorption on anionic resin. Asia-pacific J. Chem. Eng. 5, 708–713. https://doi.org/10.1002/apj</w:t>
      </w:r>
    </w:p>
    <w:p w14:paraId="27362A23"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3D5DC0">
        <w:rPr>
          <w:rFonts w:cs="Arial"/>
          <w:noProof/>
          <w:szCs w:val="24"/>
        </w:rPr>
        <w:t>Rozga, J., 2006. Liver support technology - An update. Xenotransplantation 13, 380–389. https://doi.org/10.1111/j.1399-3089.2006.00323.x</w:t>
      </w:r>
    </w:p>
    <w:p w14:paraId="63FB420D"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3D5DC0">
        <w:rPr>
          <w:rFonts w:cs="Arial"/>
          <w:noProof/>
          <w:szCs w:val="24"/>
        </w:rPr>
        <w:t>Sarnatskaya, V. V., Lindup, W.E., Walther, P., Maslenny, V.N., Yushko, L.A., Sidorenko, A.S., Nikolaev, A. V., Nikolaev, V.G., 2002. Albumin, bilirubin, and activated carbon: New edges of an old triangle. Artif. Cells. Blood Substit. Immobil. Biotechnol. 30, 113–126. https://doi.org/10.1081/BIO-120003192</w:t>
      </w:r>
    </w:p>
    <w:p w14:paraId="3921D58C"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3D5DC0">
        <w:rPr>
          <w:rFonts w:cs="Arial"/>
          <w:noProof/>
          <w:szCs w:val="24"/>
        </w:rPr>
        <w:t>Stange, J., Mitzner, S., Ramlow, W., Gliesche, T., Hickstein, H., Schmidt, R., 1993a. A new procedure for the removal of protein bound drugs and toxins. ASAIO J. 39, M621–M625.</w:t>
      </w:r>
    </w:p>
    <w:p w14:paraId="620A3A1E" w14:textId="77777777" w:rsidR="003D5DC0" w:rsidRPr="003D5DC0" w:rsidRDefault="003D5DC0" w:rsidP="003D5DC0">
      <w:pPr>
        <w:widowControl w:val="0"/>
        <w:autoSpaceDE w:val="0"/>
        <w:autoSpaceDN w:val="0"/>
        <w:adjustRightInd w:val="0"/>
        <w:spacing w:line="240" w:lineRule="auto"/>
        <w:ind w:left="480" w:hanging="480"/>
        <w:rPr>
          <w:rFonts w:cs="Arial"/>
          <w:noProof/>
          <w:szCs w:val="24"/>
        </w:rPr>
      </w:pPr>
      <w:r w:rsidRPr="003D5DC0">
        <w:rPr>
          <w:rFonts w:cs="Arial"/>
          <w:noProof/>
          <w:szCs w:val="24"/>
        </w:rPr>
        <w:t>Stange, J., Ramlow, W., Mitzner, S., Schmidt, R., Klinkmann, H., 1993b. Dialysis against a Recycled Albumin Solution Enables the Removal of Albumin</w:t>
      </w:r>
      <w:r w:rsidRPr="003D5DC0">
        <w:rPr>
          <w:rFonts w:ascii="Cambria Math" w:hAnsi="Cambria Math" w:cs="Cambria Math"/>
          <w:noProof/>
          <w:szCs w:val="24"/>
        </w:rPr>
        <w:t>‐</w:t>
      </w:r>
      <w:r w:rsidRPr="003D5DC0">
        <w:rPr>
          <w:rFonts w:cs="Arial"/>
          <w:noProof/>
          <w:szCs w:val="24"/>
        </w:rPr>
        <w:t>Bound Toxins. Artif. Organs 17, 809–813. https://doi.org/10.1111/j.1525-1594.1993.tb00635.x</w:t>
      </w:r>
    </w:p>
    <w:p w14:paraId="3D647E12" w14:textId="77777777" w:rsidR="003D5DC0" w:rsidRPr="003D5DC0" w:rsidRDefault="003D5DC0" w:rsidP="003D5DC0">
      <w:pPr>
        <w:widowControl w:val="0"/>
        <w:autoSpaceDE w:val="0"/>
        <w:autoSpaceDN w:val="0"/>
        <w:adjustRightInd w:val="0"/>
        <w:spacing w:line="240" w:lineRule="auto"/>
        <w:ind w:left="480" w:hanging="480"/>
        <w:rPr>
          <w:rFonts w:cs="Arial"/>
          <w:noProof/>
        </w:rPr>
      </w:pPr>
      <w:r w:rsidRPr="003D5DC0">
        <w:rPr>
          <w:rFonts w:cs="Arial"/>
          <w:noProof/>
          <w:szCs w:val="24"/>
        </w:rPr>
        <w:t>Stegmayr, B.G., 2005. A survey of blood purification techniques. Transfus. Apher. Sci. 32, 209–220. https://doi.org/10.1016/j.transci.2004.10.023</w:t>
      </w:r>
    </w:p>
    <w:p w14:paraId="7950321A" w14:textId="452D55BE" w:rsidR="00504D4D" w:rsidRDefault="00EB41B2" w:rsidP="00504D4D">
      <w:pPr>
        <w:widowControl w:val="0"/>
        <w:autoSpaceDE w:val="0"/>
        <w:autoSpaceDN w:val="0"/>
        <w:adjustRightInd w:val="0"/>
        <w:spacing w:line="240" w:lineRule="auto"/>
        <w:ind w:left="480" w:hanging="480"/>
        <w:rPr>
          <w:b/>
          <w:highlight w:val="yellow"/>
        </w:rPr>
      </w:pPr>
      <w:r>
        <w:rPr>
          <w:b/>
          <w:highlight w:val="yellow"/>
        </w:rPr>
        <w:fldChar w:fldCharType="end"/>
      </w:r>
    </w:p>
    <w:sectPr w:rsidR="00504D4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77F9" w14:textId="77777777" w:rsidR="00A03155" w:rsidRDefault="00A03155" w:rsidP="004F5E36">
      <w:r>
        <w:separator/>
      </w:r>
    </w:p>
  </w:endnote>
  <w:endnote w:type="continuationSeparator" w:id="0">
    <w:p w14:paraId="34C21312" w14:textId="77777777" w:rsidR="00A03155" w:rsidRDefault="00A0315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EB5C" w14:textId="77777777" w:rsidR="00A03155" w:rsidRDefault="00A03155" w:rsidP="004F5E36">
      <w:r>
        <w:separator/>
      </w:r>
    </w:p>
  </w:footnote>
  <w:footnote w:type="continuationSeparator" w:id="0">
    <w:p w14:paraId="1CAEAED8" w14:textId="77777777" w:rsidR="00A03155" w:rsidRDefault="00A0315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EF2403"/>
    <w:multiLevelType w:val="hybridMultilevel"/>
    <w:tmpl w:val="609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929DE"/>
    <w:multiLevelType w:val="hybridMultilevel"/>
    <w:tmpl w:val="EEE6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011A3"/>
    <w:multiLevelType w:val="hybridMultilevel"/>
    <w:tmpl w:val="93DE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A539D1"/>
    <w:multiLevelType w:val="hybridMultilevel"/>
    <w:tmpl w:val="66E4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7637DF"/>
    <w:multiLevelType w:val="hybridMultilevel"/>
    <w:tmpl w:val="581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DD0F64"/>
    <w:multiLevelType w:val="hybridMultilevel"/>
    <w:tmpl w:val="1F3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50049A"/>
    <w:multiLevelType w:val="hybridMultilevel"/>
    <w:tmpl w:val="5A3C2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5F3C31"/>
    <w:multiLevelType w:val="hybridMultilevel"/>
    <w:tmpl w:val="EBEE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95544">
    <w:abstractNumId w:val="13"/>
  </w:num>
  <w:num w:numId="2" w16cid:durableId="864750802">
    <w:abstractNumId w:val="8"/>
  </w:num>
  <w:num w:numId="3" w16cid:durableId="1472475916">
    <w:abstractNumId w:val="3"/>
  </w:num>
  <w:num w:numId="4" w16cid:durableId="1249391276">
    <w:abstractNumId w:val="2"/>
  </w:num>
  <w:num w:numId="5" w16cid:durableId="1814985136">
    <w:abstractNumId w:val="1"/>
  </w:num>
  <w:num w:numId="6" w16cid:durableId="998264813">
    <w:abstractNumId w:val="0"/>
  </w:num>
  <w:num w:numId="7" w16cid:durableId="662273503">
    <w:abstractNumId w:val="9"/>
  </w:num>
  <w:num w:numId="8" w16cid:durableId="198444433">
    <w:abstractNumId w:val="7"/>
  </w:num>
  <w:num w:numId="9" w16cid:durableId="1224562660">
    <w:abstractNumId w:val="6"/>
  </w:num>
  <w:num w:numId="10" w16cid:durableId="591206229">
    <w:abstractNumId w:val="5"/>
  </w:num>
  <w:num w:numId="11" w16cid:durableId="1639454409">
    <w:abstractNumId w:val="4"/>
  </w:num>
  <w:num w:numId="12" w16cid:durableId="937912091">
    <w:abstractNumId w:val="20"/>
  </w:num>
  <w:num w:numId="13" w16cid:durableId="1838155085">
    <w:abstractNumId w:val="15"/>
  </w:num>
  <w:num w:numId="14" w16cid:durableId="470905605">
    <w:abstractNumId w:val="22"/>
  </w:num>
  <w:num w:numId="15" w16cid:durableId="991837156">
    <w:abstractNumId w:val="25"/>
  </w:num>
  <w:num w:numId="16" w16cid:durableId="224414275">
    <w:abstractNumId w:val="24"/>
  </w:num>
  <w:num w:numId="17" w16cid:durableId="1918056052">
    <w:abstractNumId w:val="14"/>
  </w:num>
  <w:num w:numId="18" w16cid:durableId="375392733">
    <w:abstractNumId w:val="15"/>
    <w:lvlOverride w:ilvl="0">
      <w:startOverride w:val="1"/>
    </w:lvlOverride>
  </w:num>
  <w:num w:numId="19" w16cid:durableId="1134520786">
    <w:abstractNumId w:val="18"/>
  </w:num>
  <w:num w:numId="20" w16cid:durableId="1771773864">
    <w:abstractNumId w:val="17"/>
  </w:num>
  <w:num w:numId="21" w16cid:durableId="926429175">
    <w:abstractNumId w:val="16"/>
  </w:num>
  <w:num w:numId="22" w16cid:durableId="900407406">
    <w:abstractNumId w:val="27"/>
  </w:num>
  <w:num w:numId="23" w16cid:durableId="285506578">
    <w:abstractNumId w:val="23"/>
  </w:num>
  <w:num w:numId="24" w16cid:durableId="1847092948">
    <w:abstractNumId w:val="10"/>
  </w:num>
  <w:num w:numId="25" w16cid:durableId="20476441">
    <w:abstractNumId w:val="11"/>
  </w:num>
  <w:num w:numId="26" w16cid:durableId="735129111">
    <w:abstractNumId w:val="19"/>
  </w:num>
  <w:num w:numId="27" w16cid:durableId="820003030">
    <w:abstractNumId w:val="26"/>
  </w:num>
  <w:num w:numId="28" w16cid:durableId="948657317">
    <w:abstractNumId w:val="12"/>
  </w:num>
  <w:num w:numId="29" w16cid:durableId="8464785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24"/>
    <w:rsid w:val="000027C0"/>
    <w:rsid w:val="00002F12"/>
    <w:rsid w:val="00003C8D"/>
    <w:rsid w:val="000052FB"/>
    <w:rsid w:val="00010772"/>
    <w:rsid w:val="000117CB"/>
    <w:rsid w:val="00011A05"/>
    <w:rsid w:val="00014EC6"/>
    <w:rsid w:val="00015578"/>
    <w:rsid w:val="00017C68"/>
    <w:rsid w:val="00020E9F"/>
    <w:rsid w:val="000237B3"/>
    <w:rsid w:val="000250CD"/>
    <w:rsid w:val="0003148D"/>
    <w:rsid w:val="00044E92"/>
    <w:rsid w:val="00046AAA"/>
    <w:rsid w:val="00051566"/>
    <w:rsid w:val="00052F15"/>
    <w:rsid w:val="000535AA"/>
    <w:rsid w:val="000541E7"/>
    <w:rsid w:val="00054481"/>
    <w:rsid w:val="000572C1"/>
    <w:rsid w:val="00060300"/>
    <w:rsid w:val="00062A9A"/>
    <w:rsid w:val="00065058"/>
    <w:rsid w:val="00082589"/>
    <w:rsid w:val="00086525"/>
    <w:rsid w:val="00086C39"/>
    <w:rsid w:val="000917B7"/>
    <w:rsid w:val="00093408"/>
    <w:rsid w:val="000A03B2"/>
    <w:rsid w:val="000A2CC3"/>
    <w:rsid w:val="000A3DE1"/>
    <w:rsid w:val="000B20F9"/>
    <w:rsid w:val="000B2C3B"/>
    <w:rsid w:val="000B554E"/>
    <w:rsid w:val="000C1F13"/>
    <w:rsid w:val="000C3905"/>
    <w:rsid w:val="000C5709"/>
    <w:rsid w:val="000C60DF"/>
    <w:rsid w:val="000D34BE"/>
    <w:rsid w:val="000E102F"/>
    <w:rsid w:val="000E271D"/>
    <w:rsid w:val="000E2C20"/>
    <w:rsid w:val="000E2FB3"/>
    <w:rsid w:val="000E36F1"/>
    <w:rsid w:val="000E3A73"/>
    <w:rsid w:val="000E414A"/>
    <w:rsid w:val="000F093C"/>
    <w:rsid w:val="000F11B8"/>
    <w:rsid w:val="000F3237"/>
    <w:rsid w:val="000F32C6"/>
    <w:rsid w:val="000F787B"/>
    <w:rsid w:val="001002E2"/>
    <w:rsid w:val="001163CE"/>
    <w:rsid w:val="0012091F"/>
    <w:rsid w:val="001241A4"/>
    <w:rsid w:val="001251C2"/>
    <w:rsid w:val="0012693C"/>
    <w:rsid w:val="00126BC2"/>
    <w:rsid w:val="001308B6"/>
    <w:rsid w:val="0013121F"/>
    <w:rsid w:val="00131FE6"/>
    <w:rsid w:val="0013201F"/>
    <w:rsid w:val="0013263F"/>
    <w:rsid w:val="00134DE4"/>
    <w:rsid w:val="0014034D"/>
    <w:rsid w:val="00140BD9"/>
    <w:rsid w:val="0014111C"/>
    <w:rsid w:val="0014464F"/>
    <w:rsid w:val="0014572D"/>
    <w:rsid w:val="00150E59"/>
    <w:rsid w:val="00152AA2"/>
    <w:rsid w:val="00152DE3"/>
    <w:rsid w:val="00156E29"/>
    <w:rsid w:val="00160DA2"/>
    <w:rsid w:val="00161C78"/>
    <w:rsid w:val="00164CF9"/>
    <w:rsid w:val="00165525"/>
    <w:rsid w:val="00180860"/>
    <w:rsid w:val="00183294"/>
    <w:rsid w:val="0018469B"/>
    <w:rsid w:val="00184AD6"/>
    <w:rsid w:val="00193FC7"/>
    <w:rsid w:val="001A1959"/>
    <w:rsid w:val="001A54D1"/>
    <w:rsid w:val="001A5B78"/>
    <w:rsid w:val="001B0349"/>
    <w:rsid w:val="001B2F88"/>
    <w:rsid w:val="001B3EC8"/>
    <w:rsid w:val="001B4947"/>
    <w:rsid w:val="001B65C1"/>
    <w:rsid w:val="001C17EE"/>
    <w:rsid w:val="001C684B"/>
    <w:rsid w:val="001D4482"/>
    <w:rsid w:val="001D53FC"/>
    <w:rsid w:val="001E4060"/>
    <w:rsid w:val="001F42A5"/>
    <w:rsid w:val="001F7B9D"/>
    <w:rsid w:val="00201010"/>
    <w:rsid w:val="0021116C"/>
    <w:rsid w:val="002119E4"/>
    <w:rsid w:val="002224B4"/>
    <w:rsid w:val="00225D90"/>
    <w:rsid w:val="00231520"/>
    <w:rsid w:val="002319BF"/>
    <w:rsid w:val="002334E8"/>
    <w:rsid w:val="0024465B"/>
    <w:rsid w:val="002447EF"/>
    <w:rsid w:val="00246905"/>
    <w:rsid w:val="00251550"/>
    <w:rsid w:val="00262AEE"/>
    <w:rsid w:val="00263B05"/>
    <w:rsid w:val="00264D5F"/>
    <w:rsid w:val="0027221A"/>
    <w:rsid w:val="00275257"/>
    <w:rsid w:val="00275B61"/>
    <w:rsid w:val="00275F1D"/>
    <w:rsid w:val="00277067"/>
    <w:rsid w:val="00282656"/>
    <w:rsid w:val="00294C4E"/>
    <w:rsid w:val="00296B83"/>
    <w:rsid w:val="002A291A"/>
    <w:rsid w:val="002B20AB"/>
    <w:rsid w:val="002B78CE"/>
    <w:rsid w:val="002C2FB6"/>
    <w:rsid w:val="002C4872"/>
    <w:rsid w:val="002C5DDD"/>
    <w:rsid w:val="002C6C36"/>
    <w:rsid w:val="002D1AA8"/>
    <w:rsid w:val="002D2E97"/>
    <w:rsid w:val="002E7901"/>
    <w:rsid w:val="002F39BE"/>
    <w:rsid w:val="003009B7"/>
    <w:rsid w:val="00300E56"/>
    <w:rsid w:val="003026E9"/>
    <w:rsid w:val="003027EF"/>
    <w:rsid w:val="0030469C"/>
    <w:rsid w:val="003076EF"/>
    <w:rsid w:val="0031310C"/>
    <w:rsid w:val="003202BE"/>
    <w:rsid w:val="00321659"/>
    <w:rsid w:val="00321CA6"/>
    <w:rsid w:val="003248B9"/>
    <w:rsid w:val="00325385"/>
    <w:rsid w:val="00334C09"/>
    <w:rsid w:val="00347F4B"/>
    <w:rsid w:val="00353387"/>
    <w:rsid w:val="0036135F"/>
    <w:rsid w:val="00371779"/>
    <w:rsid w:val="00371F6A"/>
    <w:rsid w:val="003723D4"/>
    <w:rsid w:val="003743CB"/>
    <w:rsid w:val="00375593"/>
    <w:rsid w:val="00383F4B"/>
    <w:rsid w:val="00384CC8"/>
    <w:rsid w:val="00385CC4"/>
    <w:rsid w:val="003871FD"/>
    <w:rsid w:val="003936EF"/>
    <w:rsid w:val="00394C30"/>
    <w:rsid w:val="003A152A"/>
    <w:rsid w:val="003A1E30"/>
    <w:rsid w:val="003A2DF2"/>
    <w:rsid w:val="003A444E"/>
    <w:rsid w:val="003A7D1C"/>
    <w:rsid w:val="003B0F16"/>
    <w:rsid w:val="003B304B"/>
    <w:rsid w:val="003B3146"/>
    <w:rsid w:val="003B326F"/>
    <w:rsid w:val="003C04EF"/>
    <w:rsid w:val="003C5D5E"/>
    <w:rsid w:val="003D01AB"/>
    <w:rsid w:val="003D5DC0"/>
    <w:rsid w:val="003E133B"/>
    <w:rsid w:val="003E1B43"/>
    <w:rsid w:val="003F015E"/>
    <w:rsid w:val="003F34F8"/>
    <w:rsid w:val="00400414"/>
    <w:rsid w:val="00400B3E"/>
    <w:rsid w:val="00407D2C"/>
    <w:rsid w:val="004142B8"/>
    <w:rsid w:val="0041446B"/>
    <w:rsid w:val="004152C7"/>
    <w:rsid w:val="00423FCC"/>
    <w:rsid w:val="00426169"/>
    <w:rsid w:val="004328C0"/>
    <w:rsid w:val="00434094"/>
    <w:rsid w:val="00436356"/>
    <w:rsid w:val="0044329C"/>
    <w:rsid w:val="00451F63"/>
    <w:rsid w:val="004577FE"/>
    <w:rsid w:val="00457AC4"/>
    <w:rsid w:val="00457B9C"/>
    <w:rsid w:val="004606FC"/>
    <w:rsid w:val="0046164A"/>
    <w:rsid w:val="004628D2"/>
    <w:rsid w:val="00462DCD"/>
    <w:rsid w:val="00463E8D"/>
    <w:rsid w:val="00464191"/>
    <w:rsid w:val="004648AD"/>
    <w:rsid w:val="0046582E"/>
    <w:rsid w:val="004660AB"/>
    <w:rsid w:val="00466B76"/>
    <w:rsid w:val="004679F8"/>
    <w:rsid w:val="004703A9"/>
    <w:rsid w:val="00471643"/>
    <w:rsid w:val="00471CBE"/>
    <w:rsid w:val="00474E07"/>
    <w:rsid w:val="004760DE"/>
    <w:rsid w:val="00476E68"/>
    <w:rsid w:val="00477C03"/>
    <w:rsid w:val="00484FE3"/>
    <w:rsid w:val="0048609C"/>
    <w:rsid w:val="004A004E"/>
    <w:rsid w:val="004A24CF"/>
    <w:rsid w:val="004A3C4B"/>
    <w:rsid w:val="004A6914"/>
    <w:rsid w:val="004C2D8A"/>
    <w:rsid w:val="004C3D1D"/>
    <w:rsid w:val="004C5E34"/>
    <w:rsid w:val="004C7913"/>
    <w:rsid w:val="004D1627"/>
    <w:rsid w:val="004E0E0D"/>
    <w:rsid w:val="004E1DFB"/>
    <w:rsid w:val="004E4DD6"/>
    <w:rsid w:val="004F5E36"/>
    <w:rsid w:val="00504949"/>
    <w:rsid w:val="00504D4D"/>
    <w:rsid w:val="00506B3C"/>
    <w:rsid w:val="00507815"/>
    <w:rsid w:val="00507B47"/>
    <w:rsid w:val="00507CC9"/>
    <w:rsid w:val="005119A5"/>
    <w:rsid w:val="00516D93"/>
    <w:rsid w:val="00523271"/>
    <w:rsid w:val="00523743"/>
    <w:rsid w:val="005278B7"/>
    <w:rsid w:val="00532016"/>
    <w:rsid w:val="00533B32"/>
    <w:rsid w:val="0053434C"/>
    <w:rsid w:val="005346C8"/>
    <w:rsid w:val="005435D7"/>
    <w:rsid w:val="00543D02"/>
    <w:rsid w:val="00543E7D"/>
    <w:rsid w:val="00545AB6"/>
    <w:rsid w:val="00547097"/>
    <w:rsid w:val="00547A68"/>
    <w:rsid w:val="005531C9"/>
    <w:rsid w:val="00556B48"/>
    <w:rsid w:val="00557DDA"/>
    <w:rsid w:val="005831E1"/>
    <w:rsid w:val="00584CD8"/>
    <w:rsid w:val="00585A7F"/>
    <w:rsid w:val="005A027E"/>
    <w:rsid w:val="005A3E9C"/>
    <w:rsid w:val="005A7FF0"/>
    <w:rsid w:val="005B2110"/>
    <w:rsid w:val="005B5046"/>
    <w:rsid w:val="005B61E6"/>
    <w:rsid w:val="005C1159"/>
    <w:rsid w:val="005C30EE"/>
    <w:rsid w:val="005C77E1"/>
    <w:rsid w:val="005C7E16"/>
    <w:rsid w:val="005D6A2F"/>
    <w:rsid w:val="005E1A82"/>
    <w:rsid w:val="005E794C"/>
    <w:rsid w:val="005F0A28"/>
    <w:rsid w:val="005F0E5E"/>
    <w:rsid w:val="005F545C"/>
    <w:rsid w:val="00600535"/>
    <w:rsid w:val="00600B55"/>
    <w:rsid w:val="0060174E"/>
    <w:rsid w:val="00602049"/>
    <w:rsid w:val="0060253F"/>
    <w:rsid w:val="00610CD6"/>
    <w:rsid w:val="0061142B"/>
    <w:rsid w:val="00611505"/>
    <w:rsid w:val="00611656"/>
    <w:rsid w:val="006127BA"/>
    <w:rsid w:val="0061359B"/>
    <w:rsid w:val="00613FE8"/>
    <w:rsid w:val="006156C8"/>
    <w:rsid w:val="00620C11"/>
    <w:rsid w:val="00620DEE"/>
    <w:rsid w:val="00621F92"/>
    <w:rsid w:val="00625160"/>
    <w:rsid w:val="00625639"/>
    <w:rsid w:val="00631B33"/>
    <w:rsid w:val="006335EB"/>
    <w:rsid w:val="006342A8"/>
    <w:rsid w:val="006347A1"/>
    <w:rsid w:val="0064184D"/>
    <w:rsid w:val="0064328F"/>
    <w:rsid w:val="00655E3D"/>
    <w:rsid w:val="006560D4"/>
    <w:rsid w:val="00656F91"/>
    <w:rsid w:val="00660E3E"/>
    <w:rsid w:val="00662E74"/>
    <w:rsid w:val="0067203D"/>
    <w:rsid w:val="00672930"/>
    <w:rsid w:val="00673B06"/>
    <w:rsid w:val="006764D2"/>
    <w:rsid w:val="00676AEE"/>
    <w:rsid w:val="00680C23"/>
    <w:rsid w:val="00685797"/>
    <w:rsid w:val="006872B8"/>
    <w:rsid w:val="00692C96"/>
    <w:rsid w:val="00693766"/>
    <w:rsid w:val="00695FF6"/>
    <w:rsid w:val="00696665"/>
    <w:rsid w:val="00696F16"/>
    <w:rsid w:val="006A0835"/>
    <w:rsid w:val="006A3281"/>
    <w:rsid w:val="006B0DB0"/>
    <w:rsid w:val="006B369B"/>
    <w:rsid w:val="006B4888"/>
    <w:rsid w:val="006C2E45"/>
    <w:rsid w:val="006C359C"/>
    <w:rsid w:val="006C5579"/>
    <w:rsid w:val="006C5A72"/>
    <w:rsid w:val="006C5C23"/>
    <w:rsid w:val="006C5DA1"/>
    <w:rsid w:val="006C68B6"/>
    <w:rsid w:val="006C79F2"/>
    <w:rsid w:val="006D4D80"/>
    <w:rsid w:val="006D5A03"/>
    <w:rsid w:val="006E5FDE"/>
    <w:rsid w:val="006E6E42"/>
    <w:rsid w:val="006E737D"/>
    <w:rsid w:val="0070058C"/>
    <w:rsid w:val="00700DEE"/>
    <w:rsid w:val="0070425E"/>
    <w:rsid w:val="0070636C"/>
    <w:rsid w:val="0070685A"/>
    <w:rsid w:val="00720A24"/>
    <w:rsid w:val="00722C69"/>
    <w:rsid w:val="00724060"/>
    <w:rsid w:val="0072451C"/>
    <w:rsid w:val="00732386"/>
    <w:rsid w:val="00732AD9"/>
    <w:rsid w:val="007447F3"/>
    <w:rsid w:val="00744E3E"/>
    <w:rsid w:val="0074537F"/>
    <w:rsid w:val="0075132F"/>
    <w:rsid w:val="0075499F"/>
    <w:rsid w:val="0076273B"/>
    <w:rsid w:val="007661C8"/>
    <w:rsid w:val="0077098D"/>
    <w:rsid w:val="00776432"/>
    <w:rsid w:val="0078415F"/>
    <w:rsid w:val="00797C19"/>
    <w:rsid w:val="007A14CD"/>
    <w:rsid w:val="007A46DB"/>
    <w:rsid w:val="007A592E"/>
    <w:rsid w:val="007A6C35"/>
    <w:rsid w:val="007A7BBA"/>
    <w:rsid w:val="007B0C50"/>
    <w:rsid w:val="007B2FD5"/>
    <w:rsid w:val="007B414C"/>
    <w:rsid w:val="007B4986"/>
    <w:rsid w:val="007C1A43"/>
    <w:rsid w:val="007C6C50"/>
    <w:rsid w:val="007D3021"/>
    <w:rsid w:val="007E1A19"/>
    <w:rsid w:val="007E3FE7"/>
    <w:rsid w:val="007F2E87"/>
    <w:rsid w:val="007F7A6A"/>
    <w:rsid w:val="00802E95"/>
    <w:rsid w:val="00803CDF"/>
    <w:rsid w:val="00806E54"/>
    <w:rsid w:val="008077DE"/>
    <w:rsid w:val="00813288"/>
    <w:rsid w:val="00814274"/>
    <w:rsid w:val="008168FC"/>
    <w:rsid w:val="00816906"/>
    <w:rsid w:val="00820036"/>
    <w:rsid w:val="008236DD"/>
    <w:rsid w:val="008270A2"/>
    <w:rsid w:val="00830996"/>
    <w:rsid w:val="00832107"/>
    <w:rsid w:val="008345F1"/>
    <w:rsid w:val="00834BD7"/>
    <w:rsid w:val="00842209"/>
    <w:rsid w:val="00842D1E"/>
    <w:rsid w:val="0084750B"/>
    <w:rsid w:val="00851737"/>
    <w:rsid w:val="00854C91"/>
    <w:rsid w:val="0085747A"/>
    <w:rsid w:val="00861A52"/>
    <w:rsid w:val="00865B07"/>
    <w:rsid w:val="008667EA"/>
    <w:rsid w:val="008670DE"/>
    <w:rsid w:val="008671DC"/>
    <w:rsid w:val="00867395"/>
    <w:rsid w:val="00873D70"/>
    <w:rsid w:val="0087637F"/>
    <w:rsid w:val="008861D6"/>
    <w:rsid w:val="00891262"/>
    <w:rsid w:val="00892AD5"/>
    <w:rsid w:val="00894068"/>
    <w:rsid w:val="008941D4"/>
    <w:rsid w:val="00894BFD"/>
    <w:rsid w:val="008A1512"/>
    <w:rsid w:val="008A2DC5"/>
    <w:rsid w:val="008A698C"/>
    <w:rsid w:val="008B0808"/>
    <w:rsid w:val="008B3170"/>
    <w:rsid w:val="008B4BB3"/>
    <w:rsid w:val="008C0940"/>
    <w:rsid w:val="008C1FA1"/>
    <w:rsid w:val="008D433B"/>
    <w:rsid w:val="008D60E2"/>
    <w:rsid w:val="008E31EB"/>
    <w:rsid w:val="008E566E"/>
    <w:rsid w:val="008F6C17"/>
    <w:rsid w:val="008F7AB4"/>
    <w:rsid w:val="008F7F76"/>
    <w:rsid w:val="0090161A"/>
    <w:rsid w:val="00901EB6"/>
    <w:rsid w:val="009044F8"/>
    <w:rsid w:val="00904C62"/>
    <w:rsid w:val="00904E85"/>
    <w:rsid w:val="00914116"/>
    <w:rsid w:val="00924DAC"/>
    <w:rsid w:val="009267D0"/>
    <w:rsid w:val="00927058"/>
    <w:rsid w:val="00927C84"/>
    <w:rsid w:val="00931ED7"/>
    <w:rsid w:val="00933D37"/>
    <w:rsid w:val="009450CE"/>
    <w:rsid w:val="00946B78"/>
    <w:rsid w:val="00947179"/>
    <w:rsid w:val="00947B9A"/>
    <w:rsid w:val="0095164B"/>
    <w:rsid w:val="0095394D"/>
    <w:rsid w:val="00954090"/>
    <w:rsid w:val="009573E7"/>
    <w:rsid w:val="0096389F"/>
    <w:rsid w:val="00963E05"/>
    <w:rsid w:val="00967D54"/>
    <w:rsid w:val="00980125"/>
    <w:rsid w:val="00981E47"/>
    <w:rsid w:val="009915BD"/>
    <w:rsid w:val="009929C4"/>
    <w:rsid w:val="00996483"/>
    <w:rsid w:val="00996F5A"/>
    <w:rsid w:val="009A011D"/>
    <w:rsid w:val="009A37EF"/>
    <w:rsid w:val="009A48E8"/>
    <w:rsid w:val="009A5D92"/>
    <w:rsid w:val="009A7311"/>
    <w:rsid w:val="009B041A"/>
    <w:rsid w:val="009B1FB2"/>
    <w:rsid w:val="009B69CA"/>
    <w:rsid w:val="009C0B29"/>
    <w:rsid w:val="009C1BA8"/>
    <w:rsid w:val="009C6841"/>
    <w:rsid w:val="009C7858"/>
    <w:rsid w:val="009C7C86"/>
    <w:rsid w:val="009D23A5"/>
    <w:rsid w:val="009D2CD5"/>
    <w:rsid w:val="009D2FF7"/>
    <w:rsid w:val="009E2B1E"/>
    <w:rsid w:val="009E35C1"/>
    <w:rsid w:val="009E6530"/>
    <w:rsid w:val="009E7884"/>
    <w:rsid w:val="009E788A"/>
    <w:rsid w:val="009F0E08"/>
    <w:rsid w:val="009F0F82"/>
    <w:rsid w:val="009F44AE"/>
    <w:rsid w:val="009F7F64"/>
    <w:rsid w:val="00A03155"/>
    <w:rsid w:val="00A1441C"/>
    <w:rsid w:val="00A15BFE"/>
    <w:rsid w:val="00A1763D"/>
    <w:rsid w:val="00A17CEC"/>
    <w:rsid w:val="00A22228"/>
    <w:rsid w:val="00A2398F"/>
    <w:rsid w:val="00A258D5"/>
    <w:rsid w:val="00A27EF0"/>
    <w:rsid w:val="00A30FC7"/>
    <w:rsid w:val="00A373A2"/>
    <w:rsid w:val="00A50B20"/>
    <w:rsid w:val="00A511B4"/>
    <w:rsid w:val="00A51390"/>
    <w:rsid w:val="00A56B33"/>
    <w:rsid w:val="00A56FAC"/>
    <w:rsid w:val="00A60D13"/>
    <w:rsid w:val="00A617B6"/>
    <w:rsid w:val="00A64AA8"/>
    <w:rsid w:val="00A72745"/>
    <w:rsid w:val="00A76EFC"/>
    <w:rsid w:val="00A80239"/>
    <w:rsid w:val="00A9035D"/>
    <w:rsid w:val="00A91010"/>
    <w:rsid w:val="00A95D13"/>
    <w:rsid w:val="00A97F29"/>
    <w:rsid w:val="00AA1647"/>
    <w:rsid w:val="00AA2A93"/>
    <w:rsid w:val="00AA702E"/>
    <w:rsid w:val="00AB0964"/>
    <w:rsid w:val="00AB434D"/>
    <w:rsid w:val="00AB5011"/>
    <w:rsid w:val="00AC08A9"/>
    <w:rsid w:val="00AC182C"/>
    <w:rsid w:val="00AC2E46"/>
    <w:rsid w:val="00AC3762"/>
    <w:rsid w:val="00AC7368"/>
    <w:rsid w:val="00AD16B9"/>
    <w:rsid w:val="00AD32E7"/>
    <w:rsid w:val="00AD442F"/>
    <w:rsid w:val="00AD4499"/>
    <w:rsid w:val="00AD4CBD"/>
    <w:rsid w:val="00AE0210"/>
    <w:rsid w:val="00AE13FD"/>
    <w:rsid w:val="00AE2DC6"/>
    <w:rsid w:val="00AE377D"/>
    <w:rsid w:val="00AF2420"/>
    <w:rsid w:val="00AF292F"/>
    <w:rsid w:val="00B02524"/>
    <w:rsid w:val="00B0655D"/>
    <w:rsid w:val="00B102A6"/>
    <w:rsid w:val="00B111E6"/>
    <w:rsid w:val="00B1401A"/>
    <w:rsid w:val="00B177B1"/>
    <w:rsid w:val="00B17FBD"/>
    <w:rsid w:val="00B20E8D"/>
    <w:rsid w:val="00B26BCF"/>
    <w:rsid w:val="00B315A6"/>
    <w:rsid w:val="00B31813"/>
    <w:rsid w:val="00B32F50"/>
    <w:rsid w:val="00B33365"/>
    <w:rsid w:val="00B50C9A"/>
    <w:rsid w:val="00B515F8"/>
    <w:rsid w:val="00B5393B"/>
    <w:rsid w:val="00B57B36"/>
    <w:rsid w:val="00B61E20"/>
    <w:rsid w:val="00B623A0"/>
    <w:rsid w:val="00B66383"/>
    <w:rsid w:val="00B6752A"/>
    <w:rsid w:val="00B70CDE"/>
    <w:rsid w:val="00B74E8E"/>
    <w:rsid w:val="00B81227"/>
    <w:rsid w:val="00B81FB2"/>
    <w:rsid w:val="00B825B6"/>
    <w:rsid w:val="00B8686D"/>
    <w:rsid w:val="00B86DCD"/>
    <w:rsid w:val="00B90CDB"/>
    <w:rsid w:val="00B922D0"/>
    <w:rsid w:val="00B9354E"/>
    <w:rsid w:val="00BA22A4"/>
    <w:rsid w:val="00BA343F"/>
    <w:rsid w:val="00BA3E75"/>
    <w:rsid w:val="00BB679B"/>
    <w:rsid w:val="00BC0BBE"/>
    <w:rsid w:val="00BC30C9"/>
    <w:rsid w:val="00BC7DDC"/>
    <w:rsid w:val="00BE09E7"/>
    <w:rsid w:val="00BE1BD8"/>
    <w:rsid w:val="00BE3E58"/>
    <w:rsid w:val="00BE63F3"/>
    <w:rsid w:val="00BF2E07"/>
    <w:rsid w:val="00BF3092"/>
    <w:rsid w:val="00C00095"/>
    <w:rsid w:val="00C01616"/>
    <w:rsid w:val="00C0162B"/>
    <w:rsid w:val="00C076DF"/>
    <w:rsid w:val="00C12231"/>
    <w:rsid w:val="00C16B35"/>
    <w:rsid w:val="00C22968"/>
    <w:rsid w:val="00C345B1"/>
    <w:rsid w:val="00C34E7E"/>
    <w:rsid w:val="00C369A2"/>
    <w:rsid w:val="00C40142"/>
    <w:rsid w:val="00C57182"/>
    <w:rsid w:val="00C57863"/>
    <w:rsid w:val="00C60798"/>
    <w:rsid w:val="00C62E85"/>
    <w:rsid w:val="00C655FD"/>
    <w:rsid w:val="00C70F60"/>
    <w:rsid w:val="00C71FB5"/>
    <w:rsid w:val="00C721D7"/>
    <w:rsid w:val="00C80264"/>
    <w:rsid w:val="00C83BBE"/>
    <w:rsid w:val="00C84276"/>
    <w:rsid w:val="00C861D0"/>
    <w:rsid w:val="00C870A8"/>
    <w:rsid w:val="00C87B5C"/>
    <w:rsid w:val="00C91758"/>
    <w:rsid w:val="00C93EBE"/>
    <w:rsid w:val="00C94434"/>
    <w:rsid w:val="00C97351"/>
    <w:rsid w:val="00CA0D75"/>
    <w:rsid w:val="00CA1C95"/>
    <w:rsid w:val="00CA1E22"/>
    <w:rsid w:val="00CA5A9C"/>
    <w:rsid w:val="00CB1795"/>
    <w:rsid w:val="00CB2612"/>
    <w:rsid w:val="00CB5B5D"/>
    <w:rsid w:val="00CB5C75"/>
    <w:rsid w:val="00CC1C4C"/>
    <w:rsid w:val="00CC763D"/>
    <w:rsid w:val="00CD2A03"/>
    <w:rsid w:val="00CD5FE2"/>
    <w:rsid w:val="00CE4EA8"/>
    <w:rsid w:val="00CE502E"/>
    <w:rsid w:val="00CE63CE"/>
    <w:rsid w:val="00CE7C68"/>
    <w:rsid w:val="00CF0393"/>
    <w:rsid w:val="00CF13AE"/>
    <w:rsid w:val="00CF3DF3"/>
    <w:rsid w:val="00CF528E"/>
    <w:rsid w:val="00D02B4C"/>
    <w:rsid w:val="00D040C4"/>
    <w:rsid w:val="00D062B3"/>
    <w:rsid w:val="00D10D5B"/>
    <w:rsid w:val="00D1658D"/>
    <w:rsid w:val="00D212E2"/>
    <w:rsid w:val="00D2501C"/>
    <w:rsid w:val="00D25212"/>
    <w:rsid w:val="00D25C9B"/>
    <w:rsid w:val="00D2682C"/>
    <w:rsid w:val="00D31252"/>
    <w:rsid w:val="00D3206F"/>
    <w:rsid w:val="00D33BA6"/>
    <w:rsid w:val="00D36A95"/>
    <w:rsid w:val="00D50FC8"/>
    <w:rsid w:val="00D55F40"/>
    <w:rsid w:val="00D56607"/>
    <w:rsid w:val="00D57C84"/>
    <w:rsid w:val="00D6057D"/>
    <w:rsid w:val="00D60B17"/>
    <w:rsid w:val="00D657BC"/>
    <w:rsid w:val="00D74FEC"/>
    <w:rsid w:val="00D817AD"/>
    <w:rsid w:val="00D84576"/>
    <w:rsid w:val="00D920D2"/>
    <w:rsid w:val="00D92E6F"/>
    <w:rsid w:val="00D959B4"/>
    <w:rsid w:val="00DA1399"/>
    <w:rsid w:val="00DA24C6"/>
    <w:rsid w:val="00DA4D7B"/>
    <w:rsid w:val="00DA65A9"/>
    <w:rsid w:val="00DC269D"/>
    <w:rsid w:val="00DC3643"/>
    <w:rsid w:val="00DC3957"/>
    <w:rsid w:val="00DC4795"/>
    <w:rsid w:val="00DC6AA8"/>
    <w:rsid w:val="00DD0CEB"/>
    <w:rsid w:val="00DD3E5E"/>
    <w:rsid w:val="00DD52D5"/>
    <w:rsid w:val="00DD5E06"/>
    <w:rsid w:val="00DD63C7"/>
    <w:rsid w:val="00DE08DD"/>
    <w:rsid w:val="00DE264A"/>
    <w:rsid w:val="00DE2DAB"/>
    <w:rsid w:val="00DE4F7F"/>
    <w:rsid w:val="00DE647D"/>
    <w:rsid w:val="00DF18B9"/>
    <w:rsid w:val="00DF7FAB"/>
    <w:rsid w:val="00E02D18"/>
    <w:rsid w:val="00E041E7"/>
    <w:rsid w:val="00E10361"/>
    <w:rsid w:val="00E1105A"/>
    <w:rsid w:val="00E21285"/>
    <w:rsid w:val="00E22096"/>
    <w:rsid w:val="00E23CA1"/>
    <w:rsid w:val="00E256C1"/>
    <w:rsid w:val="00E316CF"/>
    <w:rsid w:val="00E31769"/>
    <w:rsid w:val="00E35173"/>
    <w:rsid w:val="00E409A8"/>
    <w:rsid w:val="00E42226"/>
    <w:rsid w:val="00E50C12"/>
    <w:rsid w:val="00E53808"/>
    <w:rsid w:val="00E64390"/>
    <w:rsid w:val="00E65B91"/>
    <w:rsid w:val="00E67B51"/>
    <w:rsid w:val="00E7209D"/>
    <w:rsid w:val="00E77223"/>
    <w:rsid w:val="00E77622"/>
    <w:rsid w:val="00E77B7F"/>
    <w:rsid w:val="00E8528B"/>
    <w:rsid w:val="00E85B94"/>
    <w:rsid w:val="00E91E9A"/>
    <w:rsid w:val="00E978D0"/>
    <w:rsid w:val="00EA4613"/>
    <w:rsid w:val="00EA4AB4"/>
    <w:rsid w:val="00EA7F91"/>
    <w:rsid w:val="00EB1523"/>
    <w:rsid w:val="00EB41B2"/>
    <w:rsid w:val="00EB7C02"/>
    <w:rsid w:val="00EC0E49"/>
    <w:rsid w:val="00EC3F0E"/>
    <w:rsid w:val="00EC6199"/>
    <w:rsid w:val="00ED2F8C"/>
    <w:rsid w:val="00ED5511"/>
    <w:rsid w:val="00ED6F3E"/>
    <w:rsid w:val="00EE0131"/>
    <w:rsid w:val="00EE20CA"/>
    <w:rsid w:val="00EE4615"/>
    <w:rsid w:val="00EE5A8F"/>
    <w:rsid w:val="00EF0EF8"/>
    <w:rsid w:val="00EF2394"/>
    <w:rsid w:val="00EF26A4"/>
    <w:rsid w:val="00EF3990"/>
    <w:rsid w:val="00F1254C"/>
    <w:rsid w:val="00F12DAD"/>
    <w:rsid w:val="00F13883"/>
    <w:rsid w:val="00F13D2A"/>
    <w:rsid w:val="00F14B5E"/>
    <w:rsid w:val="00F24D4D"/>
    <w:rsid w:val="00F267A4"/>
    <w:rsid w:val="00F30C64"/>
    <w:rsid w:val="00F32CDB"/>
    <w:rsid w:val="00F335C7"/>
    <w:rsid w:val="00F377D2"/>
    <w:rsid w:val="00F55F1B"/>
    <w:rsid w:val="00F63A70"/>
    <w:rsid w:val="00F677D7"/>
    <w:rsid w:val="00F73E08"/>
    <w:rsid w:val="00F85972"/>
    <w:rsid w:val="00F85E0D"/>
    <w:rsid w:val="00F91DD9"/>
    <w:rsid w:val="00FA18DD"/>
    <w:rsid w:val="00FA21D0"/>
    <w:rsid w:val="00FA5F5F"/>
    <w:rsid w:val="00FA7818"/>
    <w:rsid w:val="00FA7C43"/>
    <w:rsid w:val="00FB047B"/>
    <w:rsid w:val="00FB730C"/>
    <w:rsid w:val="00FC0B65"/>
    <w:rsid w:val="00FC2695"/>
    <w:rsid w:val="00FC3E03"/>
    <w:rsid w:val="00FC3FC1"/>
    <w:rsid w:val="00FC4951"/>
    <w:rsid w:val="00FC7FD2"/>
    <w:rsid w:val="00FE480D"/>
    <w:rsid w:val="00FF1BEE"/>
    <w:rsid w:val="00FF3616"/>
    <w:rsid w:val="00FF50F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58228CF0-DFC5-4A2E-A769-A31ECBA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0A2CC3"/>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7C03"/>
    <w:rPr>
      <w:color w:val="808080"/>
    </w:rPr>
  </w:style>
  <w:style w:type="paragraph" w:styleId="Paragrafoelenco">
    <w:name w:val="List Paragraph"/>
    <w:basedOn w:val="Normale"/>
    <w:uiPriority w:val="34"/>
    <w:rsid w:val="006C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2055">
      <w:bodyDiv w:val="1"/>
      <w:marLeft w:val="0"/>
      <w:marRight w:val="0"/>
      <w:marTop w:val="0"/>
      <w:marBottom w:val="0"/>
      <w:divBdr>
        <w:top w:val="none" w:sz="0" w:space="0" w:color="auto"/>
        <w:left w:val="none" w:sz="0" w:space="0" w:color="auto"/>
        <w:bottom w:val="none" w:sz="0" w:space="0" w:color="auto"/>
        <w:right w:val="none" w:sz="0" w:space="0" w:color="auto"/>
      </w:divBdr>
    </w:div>
    <w:div w:id="145767882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6997">
      <w:bodyDiv w:val="1"/>
      <w:marLeft w:val="0"/>
      <w:marRight w:val="0"/>
      <w:marTop w:val="0"/>
      <w:marBottom w:val="0"/>
      <w:divBdr>
        <w:top w:val="none" w:sz="0" w:space="0" w:color="auto"/>
        <w:left w:val="none" w:sz="0" w:space="0" w:color="auto"/>
        <w:bottom w:val="none" w:sz="0" w:space="0" w:color="auto"/>
        <w:right w:val="none" w:sz="0" w:space="0" w:color="auto"/>
      </w:divBdr>
      <w:divsChild>
        <w:div w:id="2143188733">
          <w:marLeft w:val="0"/>
          <w:marRight w:val="0"/>
          <w:marTop w:val="0"/>
          <w:marBottom w:val="0"/>
          <w:divBdr>
            <w:top w:val="single" w:sz="2" w:space="0" w:color="D9D9E3"/>
            <w:left w:val="single" w:sz="2" w:space="0" w:color="D9D9E3"/>
            <w:bottom w:val="single" w:sz="2" w:space="0" w:color="D9D9E3"/>
            <w:right w:val="single" w:sz="2" w:space="0" w:color="D9D9E3"/>
          </w:divBdr>
          <w:divsChild>
            <w:div w:id="1316840635">
              <w:marLeft w:val="0"/>
              <w:marRight w:val="0"/>
              <w:marTop w:val="0"/>
              <w:marBottom w:val="0"/>
              <w:divBdr>
                <w:top w:val="single" w:sz="2" w:space="0" w:color="D9D9E3"/>
                <w:left w:val="single" w:sz="2" w:space="0" w:color="D9D9E3"/>
                <w:bottom w:val="single" w:sz="2" w:space="0" w:color="D9D9E3"/>
                <w:right w:val="single" w:sz="2" w:space="0" w:color="D9D9E3"/>
              </w:divBdr>
              <w:divsChild>
                <w:div w:id="1551262736">
                  <w:marLeft w:val="0"/>
                  <w:marRight w:val="0"/>
                  <w:marTop w:val="0"/>
                  <w:marBottom w:val="0"/>
                  <w:divBdr>
                    <w:top w:val="single" w:sz="2" w:space="0" w:color="D9D9E3"/>
                    <w:left w:val="single" w:sz="2" w:space="0" w:color="D9D9E3"/>
                    <w:bottom w:val="single" w:sz="2" w:space="0" w:color="D9D9E3"/>
                    <w:right w:val="single" w:sz="2" w:space="0" w:color="D9D9E3"/>
                  </w:divBdr>
                  <w:divsChild>
                    <w:div w:id="1264412415">
                      <w:marLeft w:val="0"/>
                      <w:marRight w:val="0"/>
                      <w:marTop w:val="0"/>
                      <w:marBottom w:val="0"/>
                      <w:divBdr>
                        <w:top w:val="single" w:sz="2" w:space="0" w:color="D9D9E3"/>
                        <w:left w:val="single" w:sz="2" w:space="0" w:color="D9D9E3"/>
                        <w:bottom w:val="single" w:sz="2" w:space="0" w:color="D9D9E3"/>
                        <w:right w:val="single" w:sz="2" w:space="0" w:color="D9D9E3"/>
                      </w:divBdr>
                      <w:divsChild>
                        <w:div w:id="274215344">
                          <w:marLeft w:val="0"/>
                          <w:marRight w:val="0"/>
                          <w:marTop w:val="0"/>
                          <w:marBottom w:val="0"/>
                          <w:divBdr>
                            <w:top w:val="single" w:sz="2" w:space="0" w:color="auto"/>
                            <w:left w:val="single" w:sz="2" w:space="0" w:color="auto"/>
                            <w:bottom w:val="single" w:sz="6" w:space="0" w:color="auto"/>
                            <w:right w:val="single" w:sz="2" w:space="0" w:color="auto"/>
                          </w:divBdr>
                          <w:divsChild>
                            <w:div w:id="1052657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126985">
                                  <w:marLeft w:val="0"/>
                                  <w:marRight w:val="0"/>
                                  <w:marTop w:val="0"/>
                                  <w:marBottom w:val="0"/>
                                  <w:divBdr>
                                    <w:top w:val="single" w:sz="2" w:space="0" w:color="D9D9E3"/>
                                    <w:left w:val="single" w:sz="2" w:space="0" w:color="D9D9E3"/>
                                    <w:bottom w:val="single" w:sz="2" w:space="0" w:color="D9D9E3"/>
                                    <w:right w:val="single" w:sz="2" w:space="0" w:color="D9D9E3"/>
                                  </w:divBdr>
                                  <w:divsChild>
                                    <w:div w:id="694884936">
                                      <w:marLeft w:val="0"/>
                                      <w:marRight w:val="0"/>
                                      <w:marTop w:val="0"/>
                                      <w:marBottom w:val="0"/>
                                      <w:divBdr>
                                        <w:top w:val="single" w:sz="2" w:space="0" w:color="D9D9E3"/>
                                        <w:left w:val="single" w:sz="2" w:space="0" w:color="D9D9E3"/>
                                        <w:bottom w:val="single" w:sz="2" w:space="0" w:color="D9D9E3"/>
                                        <w:right w:val="single" w:sz="2" w:space="0" w:color="D9D9E3"/>
                                      </w:divBdr>
                                      <w:divsChild>
                                        <w:div w:id="27335589">
                                          <w:marLeft w:val="0"/>
                                          <w:marRight w:val="0"/>
                                          <w:marTop w:val="0"/>
                                          <w:marBottom w:val="0"/>
                                          <w:divBdr>
                                            <w:top w:val="single" w:sz="2" w:space="0" w:color="D9D9E3"/>
                                            <w:left w:val="single" w:sz="2" w:space="0" w:color="D9D9E3"/>
                                            <w:bottom w:val="single" w:sz="2" w:space="0" w:color="D9D9E3"/>
                                            <w:right w:val="single" w:sz="2" w:space="0" w:color="D9D9E3"/>
                                          </w:divBdr>
                                          <w:divsChild>
                                            <w:div w:id="549657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2832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CF40-75C4-4081-975A-A01E0F3C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9550</Words>
  <Characters>54441</Characters>
  <Application>Microsoft Office Word</Application>
  <DocSecurity>0</DocSecurity>
  <Lines>453</Lines>
  <Paragraphs>127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 Pierucci</cp:lastModifiedBy>
  <cp:revision>2</cp:revision>
  <cp:lastPrinted>2015-05-12T18:31:00Z</cp:lastPrinted>
  <dcterms:created xsi:type="dcterms:W3CDTF">2023-04-20T08:17:00Z</dcterms:created>
  <dcterms:modified xsi:type="dcterms:W3CDTF">2023-04-20T08:17:00Z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9b2917d6-4714-32ea-ba12-414afc9cd10b</vt:lpwstr>
  </property>
  <property fmtid="{D5CDD505-2E9C-101B-9397-08002B2CF9AE}" pid="6" name="Mendeley Citation Style_1">
    <vt:lpwstr>http://www.zotero.org/styles/chemical-engineering-science</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http://www.zotero.org/styles/chemical-engineering-journal</vt:lpwstr>
  </property>
  <property fmtid="{D5CDD505-2E9C-101B-9397-08002B2CF9AE}" pid="10" name="Mendeley Recent Style Name 1_1">
    <vt:lpwstr>Chemical Engineering Journal</vt:lpwstr>
  </property>
  <property fmtid="{D5CDD505-2E9C-101B-9397-08002B2CF9AE}" pid="11" name="Mendeley Recent Style Id 2_1">
    <vt:lpwstr>http://www.zotero.org/styles/chemical-engineering-science</vt:lpwstr>
  </property>
  <property fmtid="{D5CDD505-2E9C-101B-9397-08002B2CF9AE}" pid="12" name="Mendeley Recent Style Name 2_1">
    <vt:lpwstr>Chemical Engineering Science</vt:lpwstr>
  </property>
  <property fmtid="{D5CDD505-2E9C-101B-9397-08002B2CF9AE}" pid="13" name="Mendeley Recent Style Id 3_1">
    <vt:lpwstr>http://www.zotero.org/styles/ieee</vt:lpwstr>
  </property>
  <property fmtid="{D5CDD505-2E9C-101B-9397-08002B2CF9AE}" pid="14" name="Mendeley Recent Style Name 3_1">
    <vt:lpwstr>IEEE</vt:lpwstr>
  </property>
  <property fmtid="{D5CDD505-2E9C-101B-9397-08002B2CF9AE}" pid="15" name="Mendeley Recent Style Id 4_1">
    <vt:lpwstr>http://www.zotero.org/styles/journal-of-molecular-liquids</vt:lpwstr>
  </property>
  <property fmtid="{D5CDD505-2E9C-101B-9397-08002B2CF9AE}" pid="16" name="Mendeley Recent Style Name 4_1">
    <vt:lpwstr>Journal of Molecular Liquids</vt:lpwstr>
  </property>
  <property fmtid="{D5CDD505-2E9C-101B-9397-08002B2CF9AE}" pid="17" name="Mendeley Recent Style Id 5_1">
    <vt:lpwstr>http://www.zotero.org/styles/springer-basic-author-date</vt:lpwstr>
  </property>
  <property fmtid="{D5CDD505-2E9C-101B-9397-08002B2CF9AE}" pid="18" name="Mendeley Recent Style Name 5_1">
    <vt:lpwstr>Springer - Basic (author-date)</vt:lpwstr>
  </property>
  <property fmtid="{D5CDD505-2E9C-101B-9397-08002B2CF9AE}" pid="19" name="Mendeley Recent Style Id 6_1">
    <vt:lpwstr>http://www.zotero.org/styles/springer-basic-author-date-no-et-al-with-issue</vt:lpwstr>
  </property>
  <property fmtid="{D5CDD505-2E9C-101B-9397-08002B2CF9AE}" pid="20" name="Mendeley Recent Style Name 6_1">
    <vt:lpwstr>Springer - Basic (author-date, no "et al.", with issue numbers)</vt:lpwstr>
  </property>
  <property fmtid="{D5CDD505-2E9C-101B-9397-08002B2CF9AE}" pid="21" name="Mendeley Recent Style Id 7_1">
    <vt:lpwstr>http://www.zotero.org/styles/springer-basic-note</vt:lpwstr>
  </property>
  <property fmtid="{D5CDD505-2E9C-101B-9397-08002B2CF9AE}" pid="22" name="Mendeley Recent Style Name 7_1">
    <vt:lpwstr>Springer - Basic (note)</vt:lpwstr>
  </property>
  <property fmtid="{D5CDD505-2E9C-101B-9397-08002B2CF9AE}" pid="23" name="Mendeley Recent Style Id 8_1">
    <vt:lpwstr>http://www.zotero.org/styles/springer-basic-brackets-no-et-al-alphabetical</vt:lpwstr>
  </property>
  <property fmtid="{D5CDD505-2E9C-101B-9397-08002B2CF9AE}" pid="24" name="Mendeley Recent Style Name 8_1">
    <vt:lpwstr>Springer - Basic (numeric, brackets, no "et al.", alphabetical)</vt:lpwstr>
  </property>
  <property fmtid="{D5CDD505-2E9C-101B-9397-08002B2CF9AE}" pid="25" name="Mendeley Recent Style Id 9_1">
    <vt:lpwstr>http://www.zotero.org/styles/waste-and-biomass-valorization</vt:lpwstr>
  </property>
  <property fmtid="{D5CDD505-2E9C-101B-9397-08002B2CF9AE}" pid="26" name="Mendeley Recent Style Name 9_1">
    <vt:lpwstr>Waste and Biomass Valorization</vt:lpwstr>
  </property>
</Properties>
</file>