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E851EF" w:rsidRPr="00B57B36" w:rsidTr="006D56D7">
        <w:trPr>
          <w:trHeight w:val="852"/>
          <w:jc w:val="center"/>
        </w:trPr>
        <w:tc>
          <w:tcPr>
            <w:tcW w:w="6946" w:type="dxa"/>
            <w:vMerge w:val="restart"/>
            <w:tcBorders>
              <w:right w:val="single" w:sz="4" w:space="0" w:color="auto"/>
            </w:tcBorders>
          </w:tcPr>
          <w:p w:rsidR="00E851EF" w:rsidRPr="00B57B36" w:rsidRDefault="00E851EF" w:rsidP="006D56D7">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3E676C9" wp14:editId="3B67ACAD">
                  <wp:extent cx="640080" cy="373380"/>
                  <wp:effectExtent l="0" t="0" r="7620" b="7620"/>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E851EF" w:rsidRPr="00B57B36" w:rsidRDefault="00E851EF" w:rsidP="006D56D7">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73, 2019</w:t>
            </w:r>
          </w:p>
        </w:tc>
        <w:tc>
          <w:tcPr>
            <w:tcW w:w="1843" w:type="dxa"/>
            <w:tcBorders>
              <w:left w:val="single" w:sz="4" w:space="0" w:color="auto"/>
              <w:bottom w:val="nil"/>
              <w:right w:val="single" w:sz="4" w:space="0" w:color="auto"/>
            </w:tcBorders>
          </w:tcPr>
          <w:p w:rsidR="00E851EF" w:rsidRPr="00B57B36" w:rsidRDefault="00E851EF" w:rsidP="006D56D7">
            <w:pPr>
              <w:spacing w:line="140" w:lineRule="atLeast"/>
              <w:jc w:val="right"/>
              <w:rPr>
                <w:rFonts w:cs="Arial"/>
                <w:sz w:val="14"/>
                <w:szCs w:val="14"/>
              </w:rPr>
            </w:pPr>
            <w:r w:rsidRPr="00B57B36">
              <w:rPr>
                <w:rFonts w:cs="Arial"/>
                <w:sz w:val="14"/>
                <w:szCs w:val="14"/>
              </w:rPr>
              <w:t>A publication of</w:t>
            </w:r>
          </w:p>
          <w:p w:rsidR="00E851EF" w:rsidRPr="00B57B36" w:rsidRDefault="00E851EF" w:rsidP="006D56D7">
            <w:pPr>
              <w:jc w:val="right"/>
            </w:pPr>
            <w:r w:rsidRPr="00B57B36">
              <w:rPr>
                <w:noProof/>
                <w:lang w:val="it-IT" w:eastAsia="it-IT"/>
              </w:rPr>
              <w:drawing>
                <wp:inline distT="0" distB="0" distL="0" distR="0" wp14:anchorId="13583068" wp14:editId="3945CB2A">
                  <wp:extent cx="670560" cy="358140"/>
                  <wp:effectExtent l="0" t="0" r="0" b="3810"/>
                  <wp:docPr id="9" name="Immagine 9"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851EF" w:rsidRPr="00B57B36" w:rsidTr="006D56D7">
        <w:trPr>
          <w:trHeight w:val="567"/>
          <w:jc w:val="center"/>
        </w:trPr>
        <w:tc>
          <w:tcPr>
            <w:tcW w:w="6946" w:type="dxa"/>
            <w:vMerge/>
            <w:tcBorders>
              <w:right w:val="single" w:sz="4" w:space="0" w:color="auto"/>
            </w:tcBorders>
          </w:tcPr>
          <w:p w:rsidR="00E851EF" w:rsidRPr="00B57B36" w:rsidRDefault="00E851EF" w:rsidP="006D56D7">
            <w:pPr>
              <w:tabs>
                <w:tab w:val="left" w:pos="-108"/>
              </w:tabs>
            </w:pPr>
          </w:p>
        </w:tc>
        <w:tc>
          <w:tcPr>
            <w:tcW w:w="1843" w:type="dxa"/>
            <w:tcBorders>
              <w:left w:val="single" w:sz="4" w:space="0" w:color="auto"/>
              <w:bottom w:val="nil"/>
              <w:right w:val="single" w:sz="4" w:space="0" w:color="auto"/>
            </w:tcBorders>
          </w:tcPr>
          <w:p w:rsidR="00E851EF" w:rsidRPr="00B57B36" w:rsidRDefault="00E851EF" w:rsidP="006D56D7">
            <w:pPr>
              <w:spacing w:line="140" w:lineRule="atLeast"/>
              <w:jc w:val="right"/>
              <w:rPr>
                <w:rFonts w:cs="Arial"/>
                <w:sz w:val="14"/>
                <w:szCs w:val="14"/>
              </w:rPr>
            </w:pPr>
            <w:r w:rsidRPr="00B57B36">
              <w:rPr>
                <w:rFonts w:cs="Arial"/>
                <w:sz w:val="14"/>
                <w:szCs w:val="14"/>
              </w:rPr>
              <w:t>The Italian Association</w:t>
            </w:r>
          </w:p>
          <w:p w:rsidR="00E851EF" w:rsidRPr="00B57B36" w:rsidRDefault="00E851EF" w:rsidP="006D56D7">
            <w:pPr>
              <w:spacing w:line="140" w:lineRule="atLeast"/>
              <w:jc w:val="right"/>
              <w:rPr>
                <w:rFonts w:cs="Arial"/>
                <w:sz w:val="14"/>
                <w:szCs w:val="14"/>
              </w:rPr>
            </w:pPr>
            <w:r w:rsidRPr="00B57B36">
              <w:rPr>
                <w:rFonts w:cs="Arial"/>
                <w:sz w:val="14"/>
                <w:szCs w:val="14"/>
              </w:rPr>
              <w:t>of Chemical Engineering</w:t>
            </w:r>
          </w:p>
          <w:p w:rsidR="00E851EF" w:rsidRPr="00B57B36" w:rsidRDefault="00E851EF" w:rsidP="006D56D7">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E851EF" w:rsidRPr="00B57B36" w:rsidTr="006D56D7">
        <w:trPr>
          <w:trHeight w:val="68"/>
          <w:jc w:val="center"/>
        </w:trPr>
        <w:tc>
          <w:tcPr>
            <w:tcW w:w="8789" w:type="dxa"/>
            <w:gridSpan w:val="2"/>
          </w:tcPr>
          <w:p w:rsidR="00E851EF" w:rsidRPr="006F0401" w:rsidRDefault="00E851EF" w:rsidP="006D56D7">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 xml:space="preserve">: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 xml:space="preserve">Paolo </w:t>
            </w:r>
            <w:proofErr w:type="spellStart"/>
            <w:r w:rsidRPr="006F0401">
              <w:rPr>
                <w:rFonts w:ascii="Tahoma" w:hAnsi="Tahoma" w:cs="Tahoma"/>
                <w:bCs/>
                <w:color w:val="0D0D0D" w:themeColor="text1" w:themeTint="F2"/>
                <w:sz w:val="14"/>
                <w:szCs w:val="14"/>
                <w:lang w:val="it-IT"/>
              </w:rPr>
              <w:t>Ciambelli</w:t>
            </w:r>
            <w:proofErr w:type="spellEnd"/>
            <w:r w:rsidRPr="006F0401">
              <w:rPr>
                <w:rFonts w:ascii="Tahoma" w:hAnsi="Tahoma" w:cs="Tahoma"/>
                <w:bCs/>
                <w:color w:val="0D0D0D" w:themeColor="text1" w:themeTint="F2"/>
                <w:sz w:val="14"/>
                <w:szCs w:val="14"/>
                <w:lang w:val="it-IT"/>
              </w:rPr>
              <w:t xml:space="preserve">, Carmelo </w:t>
            </w:r>
            <w:proofErr w:type="spellStart"/>
            <w:r w:rsidRPr="006F0401">
              <w:rPr>
                <w:rFonts w:ascii="Tahoma" w:hAnsi="Tahoma" w:cs="Tahoma"/>
                <w:bCs/>
                <w:color w:val="0D0D0D" w:themeColor="text1" w:themeTint="F2"/>
                <w:sz w:val="14"/>
                <w:szCs w:val="14"/>
                <w:lang w:val="it-IT"/>
              </w:rPr>
              <w:t>Sunseri</w:t>
            </w:r>
            <w:proofErr w:type="spellEnd"/>
          </w:p>
          <w:p w:rsidR="00E851EF" w:rsidRPr="00B57B36" w:rsidRDefault="00E851EF" w:rsidP="006D56D7">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70</w:t>
            </w:r>
            <w:r w:rsidRPr="00131FAB">
              <w:rPr>
                <w:rFonts w:ascii="Tahoma" w:hAnsi="Tahoma" w:cs="Tahoma"/>
                <w:sz w:val="14"/>
                <w:szCs w:val="14"/>
              </w:rPr>
              <w:t>-</w:t>
            </w:r>
            <w:r>
              <w:rPr>
                <w:rFonts w:ascii="Tahoma" w:hAnsi="Tahoma" w:cs="Tahoma"/>
                <w:sz w:val="14"/>
                <w:szCs w:val="14"/>
              </w:rPr>
              <w:t>9</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E851EF" w:rsidRDefault="00E851EF" w:rsidP="00E851EF">
      <w:pPr>
        <w:pStyle w:val="CETTitle"/>
      </w:pPr>
      <w:r w:rsidRPr="0090002D">
        <w:t xml:space="preserve">CFD </w:t>
      </w:r>
      <w:r>
        <w:t>M</w:t>
      </w:r>
      <w:r w:rsidRPr="0090002D">
        <w:t xml:space="preserve">odel of </w:t>
      </w:r>
      <w:r>
        <w:t>A</w:t>
      </w:r>
      <w:r w:rsidRPr="0090002D">
        <w:t xml:space="preserve">gitated </w:t>
      </w:r>
      <w:r>
        <w:t>V</w:t>
      </w:r>
      <w:r w:rsidRPr="0090002D">
        <w:t xml:space="preserve">essel for the </w:t>
      </w:r>
      <w:r>
        <w:t>R</w:t>
      </w:r>
      <w:r w:rsidRPr="0090002D">
        <w:t xml:space="preserve">emoval of Cr(VI) by </w:t>
      </w:r>
      <w:r>
        <w:t>N</w:t>
      </w:r>
      <w:r w:rsidRPr="0090002D">
        <w:t>ano-</w:t>
      </w:r>
      <w:r>
        <w:t>Hematite</w:t>
      </w:r>
      <w:r w:rsidRPr="0090002D">
        <w:t xml:space="preserve"> </w:t>
      </w:r>
      <w:r>
        <w:t>P</w:t>
      </w:r>
      <w:r w:rsidRPr="0090002D">
        <w:t>articles</w:t>
      </w:r>
    </w:p>
    <w:p w:rsidR="00E851EF" w:rsidRPr="0090002D" w:rsidRDefault="00E851EF" w:rsidP="00E851EF">
      <w:pPr>
        <w:pStyle w:val="CETAuthors"/>
        <w:rPr>
          <w:lang w:val="it-IT"/>
        </w:rPr>
      </w:pPr>
      <w:r w:rsidRPr="0090002D">
        <w:rPr>
          <w:lang w:val="it-IT"/>
        </w:rPr>
        <w:t>Giorgio Vilardi*, Marco Stoller, Luca Di Palma</w:t>
      </w:r>
      <w:r>
        <w:rPr>
          <w:lang w:val="it-IT"/>
        </w:rPr>
        <w:t>,</w:t>
      </w:r>
      <w:r w:rsidRPr="0090002D">
        <w:rPr>
          <w:lang w:val="it-IT"/>
        </w:rPr>
        <w:t xml:space="preserve"> Nicola Verdone</w:t>
      </w:r>
    </w:p>
    <w:p w:rsidR="00E851EF" w:rsidRPr="009A750C" w:rsidRDefault="00E851EF" w:rsidP="00056847">
      <w:pPr>
        <w:pStyle w:val="CETAddress"/>
        <w:rPr>
          <w:rStyle w:val="CETAddressCarattere"/>
          <w:b/>
        </w:rPr>
      </w:pPr>
      <w:proofErr w:type="spellStart"/>
      <w:r w:rsidRPr="003060FA">
        <w:rPr>
          <w:lang w:val="it-IT"/>
        </w:rPr>
        <w:t>University</w:t>
      </w:r>
      <w:proofErr w:type="spellEnd"/>
      <w:r w:rsidRPr="003060FA">
        <w:rPr>
          <w:lang w:val="it-IT"/>
        </w:rPr>
        <w:t xml:space="preserve"> of Rome “La Sapienza”, </w:t>
      </w:r>
      <w:proofErr w:type="spellStart"/>
      <w:r w:rsidRPr="003060FA">
        <w:rPr>
          <w:lang w:val="it-IT"/>
        </w:rPr>
        <w:t>Dept</w:t>
      </w:r>
      <w:proofErr w:type="spellEnd"/>
      <w:r w:rsidRPr="003060FA">
        <w:rPr>
          <w:lang w:val="it-IT"/>
        </w:rPr>
        <w:t xml:space="preserve">. of </w:t>
      </w:r>
      <w:proofErr w:type="spellStart"/>
      <w:r w:rsidRPr="003060FA">
        <w:rPr>
          <w:lang w:val="it-IT"/>
        </w:rPr>
        <w:t>Chemical</w:t>
      </w:r>
      <w:proofErr w:type="spellEnd"/>
      <w:r w:rsidRPr="003060FA">
        <w:rPr>
          <w:lang w:val="it-IT"/>
        </w:rPr>
        <w:t xml:space="preserve"> </w:t>
      </w:r>
      <w:proofErr w:type="spellStart"/>
      <w:r w:rsidRPr="003060FA">
        <w:rPr>
          <w:lang w:val="it-IT"/>
        </w:rPr>
        <w:t>Materials</w:t>
      </w:r>
      <w:proofErr w:type="spellEnd"/>
      <w:r w:rsidRPr="003060FA">
        <w:rPr>
          <w:lang w:val="it-IT"/>
        </w:rPr>
        <w:t xml:space="preserve"> </w:t>
      </w:r>
      <w:proofErr w:type="spellStart"/>
      <w:r w:rsidRPr="003060FA">
        <w:rPr>
          <w:lang w:val="it-IT"/>
        </w:rPr>
        <w:t>Environmental</w:t>
      </w:r>
      <w:proofErr w:type="spellEnd"/>
      <w:r w:rsidRPr="003060FA">
        <w:rPr>
          <w:lang w:val="it-IT"/>
        </w:rPr>
        <w:t xml:space="preserve"> </w:t>
      </w:r>
      <w:proofErr w:type="spellStart"/>
      <w:r w:rsidRPr="003060FA">
        <w:rPr>
          <w:lang w:val="it-IT"/>
        </w:rPr>
        <w:t>Eng</w:t>
      </w:r>
      <w:proofErr w:type="spellEnd"/>
      <w:r>
        <w:rPr>
          <w:lang w:val="it-IT"/>
        </w:rPr>
        <w:t>.,</w:t>
      </w:r>
      <w:r w:rsidRPr="003060FA">
        <w:rPr>
          <w:lang w:val="it-IT"/>
        </w:rPr>
        <w:t xml:space="preserve"> Via </w:t>
      </w:r>
      <w:proofErr w:type="spellStart"/>
      <w:r w:rsidRPr="003060FA">
        <w:rPr>
          <w:lang w:val="it-IT"/>
        </w:rPr>
        <w:t>Eudossiana</w:t>
      </w:r>
      <w:proofErr w:type="spellEnd"/>
      <w:r w:rsidRPr="003060FA">
        <w:rPr>
          <w:lang w:val="it-IT"/>
        </w:rPr>
        <w:t xml:space="preserve"> 18, 00184 </w:t>
      </w:r>
      <w:r w:rsidRPr="009A750C">
        <w:rPr>
          <w:rStyle w:val="CETAddressCarattere"/>
        </w:rPr>
        <w:t>Rome, Italy</w:t>
      </w:r>
    </w:p>
    <w:p w:rsidR="00E851EF" w:rsidRDefault="00E851EF" w:rsidP="00056847">
      <w:pPr>
        <w:pStyle w:val="CETemail"/>
        <w:rPr>
          <w:lang w:val="it-IT"/>
        </w:rPr>
      </w:pPr>
      <w:r w:rsidRPr="009A750C">
        <w:rPr>
          <w:lang w:val="it-IT"/>
        </w:rPr>
        <w:t>giorgio.vilardi@uniroma1.it</w:t>
      </w:r>
    </w:p>
    <w:p w:rsidR="00325B77" w:rsidRPr="00325B77" w:rsidRDefault="0090002D" w:rsidP="00325B77">
      <w:pPr>
        <w:pStyle w:val="CETBodytext"/>
      </w:pPr>
      <w:bookmarkStart w:id="0" w:name="_GoBack"/>
      <w:bookmarkEnd w:id="0"/>
      <w:r w:rsidRPr="0090002D">
        <w:t xml:space="preserve">The mixing operation and design of agitated vessels for various chemical engineering applications may still represent a challenge due to the complexity of hydrodynamic fields established inside the reaction system. Computational Fluid Dynamics (CFD) is considered a valuable tool for the investigation of the complex turbulent flow field proper of mechanically agitated vessel (MAV). The use of CFD may effectively support the process engineer for the selection of the most proper impeller/vessel geometry and operative conditions to achieve homogeneous and fully turbulent conditions. In this work, experimental tests and CFD simulations were performed to study the Cr(VI) removal efficiency through </w:t>
      </w:r>
      <w:proofErr w:type="spellStart"/>
      <w:r w:rsidRPr="0090002D">
        <w:t>nano</w:t>
      </w:r>
      <w:proofErr w:type="spellEnd"/>
      <w:r w:rsidRPr="0090002D">
        <w:t>-</w:t>
      </w:r>
      <w:r w:rsidR="005617C4">
        <w:t>hematite</w:t>
      </w:r>
      <w:r w:rsidRPr="0090002D">
        <w:t xml:space="preserve"> particles (</w:t>
      </w:r>
      <w:proofErr w:type="spellStart"/>
      <w:r w:rsidRPr="0090002D">
        <w:t>n</w:t>
      </w:r>
      <w:r w:rsidR="005617C4">
        <w:t>H</w:t>
      </w:r>
      <w:r w:rsidR="007B3F00">
        <w:t>P</w:t>
      </w:r>
      <w:proofErr w:type="spellEnd"/>
      <w:r w:rsidRPr="0090002D">
        <w:t xml:space="preserve">) in MAV.  More in detail, </w:t>
      </w:r>
      <w:r w:rsidR="00385529">
        <w:t>some</w:t>
      </w:r>
      <w:r w:rsidRPr="0090002D">
        <w:t xml:space="preserve"> solutions of Cr(VI) were treated using lab-made </w:t>
      </w:r>
      <w:proofErr w:type="spellStart"/>
      <w:r w:rsidRPr="0090002D">
        <w:t>n</w:t>
      </w:r>
      <w:r w:rsidR="005617C4">
        <w:t>H</w:t>
      </w:r>
      <w:r w:rsidR="007B3F00">
        <w:t>P</w:t>
      </w:r>
      <w:proofErr w:type="spellEnd"/>
      <w:r w:rsidRPr="0090002D">
        <w:t>, produced by a spinning disk reactor, in lab-scale agitated vessel and the kinetic of the removal process was experimentally studied varying the reactor/impeller configuration (impeller geometry) and the impeller rotational velocity. The obtained results were interpreted according to a CFD model of the system hydrodynamic field based on the k-</w:t>
      </w:r>
      <w:r w:rsidRPr="0090002D">
        <w:rPr>
          <w:rFonts w:ascii="Symbol" w:hAnsi="Symbol"/>
        </w:rPr>
        <w:t></w:t>
      </w:r>
      <w:r w:rsidRPr="0090002D">
        <w:t xml:space="preserve"> turbulent model whereas the kinetic data were fitted to a suitable mass transfer kinetic model.</w:t>
      </w:r>
    </w:p>
    <w:p w:rsidR="00600535" w:rsidRPr="00B57B36" w:rsidRDefault="00600535" w:rsidP="00600535">
      <w:pPr>
        <w:pStyle w:val="CETHeading1"/>
        <w:rPr>
          <w:lang w:val="en-GB"/>
        </w:rPr>
      </w:pPr>
      <w:r w:rsidRPr="00B57B36">
        <w:rPr>
          <w:lang w:val="en-GB"/>
        </w:rPr>
        <w:t>Introduction</w:t>
      </w:r>
    </w:p>
    <w:p w:rsidR="001A0F7E" w:rsidRDefault="004C05D0" w:rsidP="00600535">
      <w:pPr>
        <w:pStyle w:val="CETBodytext"/>
        <w:rPr>
          <w:lang w:val="en-GB"/>
        </w:rPr>
      </w:pPr>
      <w:r>
        <w:rPr>
          <w:lang w:val="en-GB"/>
        </w:rPr>
        <w:t>Wastewater treatment still represents a severe issue in Europe</w:t>
      </w:r>
      <w:r w:rsidR="00992BD5">
        <w:rPr>
          <w:lang w:val="en-GB"/>
        </w:rPr>
        <w:t xml:space="preserve"> (</w:t>
      </w:r>
      <w:proofErr w:type="spellStart"/>
      <w:r w:rsidR="00992BD5">
        <w:rPr>
          <w:lang w:val="en-GB"/>
        </w:rPr>
        <w:t>Patterer</w:t>
      </w:r>
      <w:proofErr w:type="spellEnd"/>
      <w:r w:rsidR="00992BD5">
        <w:rPr>
          <w:lang w:val="en-GB"/>
        </w:rPr>
        <w:t xml:space="preserve"> et al., 2017)</w:t>
      </w:r>
      <w:r>
        <w:rPr>
          <w:lang w:val="en-GB"/>
        </w:rPr>
        <w:t xml:space="preserve"> and various researchers have been developed </w:t>
      </w:r>
      <w:proofErr w:type="spellStart"/>
      <w:r>
        <w:rPr>
          <w:lang w:val="en-GB"/>
        </w:rPr>
        <w:t>nano</w:t>
      </w:r>
      <w:proofErr w:type="spellEnd"/>
      <w:r>
        <w:rPr>
          <w:lang w:val="en-GB"/>
        </w:rPr>
        <w:t>-based technology to deals with it (</w:t>
      </w:r>
      <w:proofErr w:type="spellStart"/>
      <w:r>
        <w:rPr>
          <w:lang w:val="en-GB"/>
        </w:rPr>
        <w:t>Bavasso</w:t>
      </w:r>
      <w:proofErr w:type="spellEnd"/>
      <w:r>
        <w:rPr>
          <w:lang w:val="en-GB"/>
        </w:rPr>
        <w:t xml:space="preserve"> et al., 2018a). </w:t>
      </w:r>
      <w:r w:rsidR="00154302">
        <w:rPr>
          <w:lang w:val="en-GB"/>
        </w:rPr>
        <w:t>In the last decade the number of applications of nanostructured materials has growth remarkably in various fields, such as chemicals production (</w:t>
      </w:r>
      <w:proofErr w:type="spellStart"/>
      <w:r w:rsidR="00154302">
        <w:rPr>
          <w:lang w:val="en-GB"/>
        </w:rPr>
        <w:t>Konuray</w:t>
      </w:r>
      <w:proofErr w:type="spellEnd"/>
      <w:r w:rsidR="00154302">
        <w:rPr>
          <w:lang w:val="en-GB"/>
        </w:rPr>
        <w:t xml:space="preserve"> et al., 2017), materials improvement (Genova et al., 2017), materials modification (</w:t>
      </w:r>
      <w:proofErr w:type="spellStart"/>
      <w:r w:rsidR="00F92199">
        <w:rPr>
          <w:lang w:val="en-GB"/>
        </w:rPr>
        <w:t>Stoller</w:t>
      </w:r>
      <w:proofErr w:type="spellEnd"/>
      <w:r w:rsidR="00F92199">
        <w:rPr>
          <w:lang w:val="en-GB"/>
        </w:rPr>
        <w:t xml:space="preserve"> et al., 2018</w:t>
      </w:r>
      <w:r w:rsidR="00154302">
        <w:rPr>
          <w:lang w:val="en-GB"/>
        </w:rPr>
        <w:t xml:space="preserve">), catalysis (Di </w:t>
      </w:r>
      <w:proofErr w:type="spellStart"/>
      <w:r w:rsidR="00154302">
        <w:rPr>
          <w:lang w:val="en-GB"/>
        </w:rPr>
        <w:t>Pascasio</w:t>
      </w:r>
      <w:proofErr w:type="spellEnd"/>
      <w:r w:rsidR="00154302">
        <w:rPr>
          <w:lang w:val="en-GB"/>
        </w:rPr>
        <w:t xml:space="preserve"> et al., 2016) and environmental processes.</w:t>
      </w:r>
      <w:r>
        <w:rPr>
          <w:lang w:val="en-GB"/>
        </w:rPr>
        <w:t xml:space="preserve"> Considering the latter processes, valuable studies have been published regarding the use of iron-based nanoparticles (</w:t>
      </w:r>
      <w:proofErr w:type="spellStart"/>
      <w:r>
        <w:rPr>
          <w:lang w:val="en-GB"/>
        </w:rPr>
        <w:t>Bavasso</w:t>
      </w:r>
      <w:proofErr w:type="spellEnd"/>
      <w:r>
        <w:rPr>
          <w:lang w:val="en-GB"/>
        </w:rPr>
        <w:t xml:space="preserve"> et al., 2018b) also for the modification of membranes used to treat highly polluted wastewaters (</w:t>
      </w:r>
      <w:proofErr w:type="spellStart"/>
      <w:r>
        <w:rPr>
          <w:lang w:val="en-GB"/>
        </w:rPr>
        <w:t>Bavasso</w:t>
      </w:r>
      <w:proofErr w:type="spellEnd"/>
      <w:r>
        <w:rPr>
          <w:lang w:val="en-GB"/>
        </w:rPr>
        <w:t xml:space="preserve"> et al., 2017). Hexavalent Chromium (Cr(VI)) is one of the most hazardous compounds present in the Mediterranean Area</w:t>
      </w:r>
      <w:r w:rsidR="005617C4">
        <w:rPr>
          <w:lang w:val="en-GB"/>
        </w:rPr>
        <w:t>, considering its high carcinogenic potential and elevated mobility in environmental media (</w:t>
      </w:r>
      <w:proofErr w:type="spellStart"/>
      <w:r w:rsidR="005617C4">
        <w:rPr>
          <w:lang w:val="en-GB"/>
        </w:rPr>
        <w:t>Acar</w:t>
      </w:r>
      <w:proofErr w:type="spellEnd"/>
      <w:r w:rsidR="005617C4">
        <w:rPr>
          <w:lang w:val="en-GB"/>
        </w:rPr>
        <w:t xml:space="preserve"> and </w:t>
      </w:r>
      <w:proofErr w:type="spellStart"/>
      <w:r w:rsidR="005617C4">
        <w:rPr>
          <w:lang w:val="en-GB"/>
        </w:rPr>
        <w:t>Malkoc</w:t>
      </w:r>
      <w:proofErr w:type="spellEnd"/>
      <w:r w:rsidR="005617C4">
        <w:rPr>
          <w:lang w:val="en-GB"/>
        </w:rPr>
        <w:t xml:space="preserve">, 2004). </w:t>
      </w:r>
      <w:r w:rsidR="005C09F2">
        <w:rPr>
          <w:lang w:val="en-GB"/>
        </w:rPr>
        <w:t>Cr(VI) is very soluble in water and tends to generate oxyanions species in a wide range of pH and concentrations, thus Cr(VI) species are mainly present as anions in aqueous environments</w:t>
      </w:r>
      <w:r w:rsidR="00A719F9">
        <w:rPr>
          <w:lang w:val="en-GB"/>
        </w:rPr>
        <w:t xml:space="preserve">. The use of </w:t>
      </w:r>
      <w:proofErr w:type="spellStart"/>
      <w:r w:rsidR="00A719F9">
        <w:rPr>
          <w:lang w:val="en-GB"/>
        </w:rPr>
        <w:t>nano</w:t>
      </w:r>
      <w:proofErr w:type="spellEnd"/>
      <w:r w:rsidR="00A719F9">
        <w:rPr>
          <w:lang w:val="en-GB"/>
        </w:rPr>
        <w:t>-sorbent materials for the removal of heavy metals represents an important field of nanotechnology application (</w:t>
      </w:r>
      <w:proofErr w:type="spellStart"/>
      <w:r w:rsidR="00A719F9">
        <w:rPr>
          <w:lang w:val="en-GB"/>
        </w:rPr>
        <w:t>Stoller</w:t>
      </w:r>
      <w:proofErr w:type="spellEnd"/>
      <w:r w:rsidR="00A719F9">
        <w:rPr>
          <w:lang w:val="en-GB"/>
        </w:rPr>
        <w:t xml:space="preserve"> et al., 2017), and iron-based </w:t>
      </w:r>
      <w:proofErr w:type="spellStart"/>
      <w:r w:rsidR="00A719F9">
        <w:rPr>
          <w:lang w:val="en-GB"/>
        </w:rPr>
        <w:t>nano</w:t>
      </w:r>
      <w:proofErr w:type="spellEnd"/>
      <w:r w:rsidR="00A719F9">
        <w:rPr>
          <w:lang w:val="en-GB"/>
        </w:rPr>
        <w:t>-materials have already proved to be very efficient towards the removal of heavy metals such as Cr(VI) species (Xiao et al., 2015).</w:t>
      </w:r>
      <w:r w:rsidR="00164165">
        <w:rPr>
          <w:lang w:val="en-GB"/>
        </w:rPr>
        <w:t xml:space="preserve"> Most studies reported remarkable Cr(VI) sorption capacities by the use of </w:t>
      </w:r>
      <w:proofErr w:type="spellStart"/>
      <w:r w:rsidR="00164165">
        <w:rPr>
          <w:lang w:val="en-GB"/>
        </w:rPr>
        <w:t>nano</w:t>
      </w:r>
      <w:proofErr w:type="spellEnd"/>
      <w:r w:rsidR="00164165">
        <w:rPr>
          <w:lang w:val="en-GB"/>
        </w:rPr>
        <w:t>-iron oxides materials, such as magnetite (</w:t>
      </w:r>
      <w:r w:rsidR="00164165" w:rsidRPr="00164165">
        <w:rPr>
          <w:lang w:val="en-GB"/>
        </w:rPr>
        <w:t>149.3 mg/g</w:t>
      </w:r>
      <w:r w:rsidR="001A0F7E">
        <w:rPr>
          <w:lang w:val="en-GB"/>
        </w:rPr>
        <w:t xml:space="preserve"> at 25°C</w:t>
      </w:r>
      <w:r w:rsidR="00164165">
        <w:rPr>
          <w:lang w:val="en-GB"/>
        </w:rPr>
        <w:t xml:space="preserve"> (Chen et al., 2018)), </w:t>
      </w:r>
      <w:proofErr w:type="spellStart"/>
      <w:r w:rsidR="00164165">
        <w:rPr>
          <w:lang w:val="en-GB"/>
        </w:rPr>
        <w:t>maghemite</w:t>
      </w:r>
      <w:proofErr w:type="spellEnd"/>
      <w:r w:rsidR="00164165">
        <w:rPr>
          <w:lang w:val="en-GB"/>
        </w:rPr>
        <w:t xml:space="preserve"> (38.57 mg/g </w:t>
      </w:r>
      <w:r w:rsidR="001A0F7E">
        <w:rPr>
          <w:lang w:val="en-GB"/>
        </w:rPr>
        <w:t xml:space="preserve">at 25°C </w:t>
      </w:r>
      <w:r w:rsidR="00164165">
        <w:rPr>
          <w:lang w:val="en-GB"/>
        </w:rPr>
        <w:t>(</w:t>
      </w:r>
      <w:proofErr w:type="spellStart"/>
      <w:r w:rsidR="00164165" w:rsidRPr="00164165">
        <w:t>Nematollahzadeh</w:t>
      </w:r>
      <w:proofErr w:type="spellEnd"/>
      <w:r w:rsidR="00164165">
        <w:t xml:space="preserve"> et al., 2015)) and hematite (1</w:t>
      </w:r>
      <w:r w:rsidR="001A0F7E">
        <w:t>40</w:t>
      </w:r>
      <w:r w:rsidR="00164165">
        <w:t>.</w:t>
      </w:r>
      <w:r w:rsidR="001A0F7E">
        <w:t>4</w:t>
      </w:r>
      <w:r w:rsidR="00164165">
        <w:t xml:space="preserve"> </w:t>
      </w:r>
      <w:r w:rsidR="00453778">
        <w:t xml:space="preserve">mg/g </w:t>
      </w:r>
      <w:r w:rsidR="00164165">
        <w:t xml:space="preserve">at </w:t>
      </w:r>
      <w:r w:rsidR="001A0F7E">
        <w:t>2</w:t>
      </w:r>
      <w:r w:rsidR="00164165">
        <w:t>0°C</w:t>
      </w:r>
      <w:r w:rsidR="005D7BB7">
        <w:t xml:space="preserve"> (Singh et al., 1993))</w:t>
      </w:r>
      <w:r w:rsidR="001A0F7E">
        <w:t xml:space="preserve"> working in magnetically stirred tanks, using liquid volumes in the range 50-150 </w:t>
      </w:r>
      <w:proofErr w:type="spellStart"/>
      <w:r w:rsidR="001A0F7E">
        <w:t>mL.</w:t>
      </w:r>
      <w:proofErr w:type="spellEnd"/>
      <w:r w:rsidR="001A0F7E">
        <w:t xml:space="preserve"> Therefore, no data obtained using scalable equipment, such as Rushton equipped stirred tank used in the present work, have been provided in literature. The performances in sorption processes are strongly influenced by the hydrodynamic field established inside the reactor vessel, since mass transfer rate depends not only on the system geometry, chemical nature of the compounds and operative conditions (temperature, pressure etc.) but it is strongly related to the Reynolds number, i.e. to the flow regime </w:t>
      </w:r>
      <w:r w:rsidR="00D770B8">
        <w:t>(</w:t>
      </w:r>
      <w:proofErr w:type="spellStart"/>
      <w:r w:rsidR="00D770B8">
        <w:t>Scargiali</w:t>
      </w:r>
      <w:proofErr w:type="spellEnd"/>
      <w:r w:rsidR="00D770B8">
        <w:t xml:space="preserve"> et al., 2014)</w:t>
      </w:r>
      <w:r w:rsidR="001A0F7E">
        <w:t>.</w:t>
      </w:r>
      <w:r w:rsidR="00A23661">
        <w:t xml:space="preserve"> To this aim, the present study reports some experimental data about the kinetic of Cr(VI) sorption by lab-made </w:t>
      </w:r>
      <w:proofErr w:type="spellStart"/>
      <w:r w:rsidR="00A23661">
        <w:t>nano</w:t>
      </w:r>
      <w:proofErr w:type="spellEnd"/>
      <w:r w:rsidR="00A23661">
        <w:t xml:space="preserve">-hematite particles in Rushton equipped agitated vessel, providing some interpretation of the </w:t>
      </w:r>
      <w:r w:rsidR="00A23661">
        <w:lastRenderedPageBreak/>
        <w:t>obtained modelling results</w:t>
      </w:r>
      <w:r w:rsidR="008F0324">
        <w:t>, such as mass transfer coefficient,</w:t>
      </w:r>
      <w:r w:rsidR="00A23661">
        <w:t xml:space="preserve"> through computational fluid dynamic modelling of the established flow field in the vessel, varying the impeller rotational velocity.</w:t>
      </w:r>
    </w:p>
    <w:p w:rsidR="00600535" w:rsidRPr="00B57B36" w:rsidRDefault="00960675" w:rsidP="00600535">
      <w:pPr>
        <w:pStyle w:val="CETHeading1"/>
        <w:tabs>
          <w:tab w:val="clear" w:pos="360"/>
          <w:tab w:val="right" w:pos="7100"/>
        </w:tabs>
        <w:jc w:val="both"/>
        <w:rPr>
          <w:lang w:val="en-GB"/>
        </w:rPr>
      </w:pPr>
      <w:r>
        <w:rPr>
          <w:lang w:val="en-GB"/>
        </w:rPr>
        <w:t>Materials and Methods</w:t>
      </w:r>
    </w:p>
    <w:p w:rsidR="00600535" w:rsidRPr="00B57B36" w:rsidRDefault="00960675" w:rsidP="00FA5F5F">
      <w:pPr>
        <w:pStyle w:val="CETheadingx"/>
      </w:pPr>
      <w:r>
        <w:t>Materials</w:t>
      </w:r>
    </w:p>
    <w:p w:rsidR="00960675" w:rsidRDefault="00960675" w:rsidP="00600535">
      <w:pPr>
        <w:pStyle w:val="CETBodytext"/>
        <w:rPr>
          <w:lang w:val="en-GB"/>
        </w:rPr>
      </w:pPr>
      <w:r w:rsidRPr="00960675">
        <w:rPr>
          <w:lang w:val="en-GB"/>
        </w:rPr>
        <w:t>All the reagents were purchased from Sigma Aldrich (Milan)</w:t>
      </w:r>
      <w:r w:rsidR="00F36AD6">
        <w:rPr>
          <w:lang w:val="en-GB"/>
        </w:rPr>
        <w:t xml:space="preserve"> and were of analytical grade or higher</w:t>
      </w:r>
      <w:r w:rsidRPr="00960675">
        <w:rPr>
          <w:lang w:val="en-GB"/>
        </w:rPr>
        <w:t xml:space="preserve">. The solutions were prepared in deionized water. The following reagents were used in the experiments: </w:t>
      </w:r>
      <w:proofErr w:type="spellStart"/>
      <w:r w:rsidRPr="00960675">
        <w:rPr>
          <w:lang w:val="en-GB"/>
        </w:rPr>
        <w:t>NaOH</w:t>
      </w:r>
      <w:proofErr w:type="spellEnd"/>
      <w:r w:rsidRPr="00960675">
        <w:rPr>
          <w:lang w:val="en-GB"/>
        </w:rPr>
        <w:t xml:space="preserve">, </w:t>
      </w:r>
      <w:proofErr w:type="spellStart"/>
      <w:r w:rsidR="00AB31B4">
        <w:rPr>
          <w:lang w:val="en-GB"/>
        </w:rPr>
        <w:t>NaCl</w:t>
      </w:r>
      <w:proofErr w:type="spellEnd"/>
      <w:r w:rsidR="00AB31B4">
        <w:rPr>
          <w:lang w:val="en-GB"/>
        </w:rPr>
        <w:t>,</w:t>
      </w:r>
      <w:r w:rsidRPr="00960675">
        <w:rPr>
          <w:lang w:val="en-GB"/>
        </w:rPr>
        <w:t xml:space="preserve"> K</w:t>
      </w:r>
      <w:r w:rsidRPr="00960675">
        <w:rPr>
          <w:vertAlign w:val="subscript"/>
          <w:lang w:val="en-GB"/>
        </w:rPr>
        <w:t>2</w:t>
      </w:r>
      <w:r w:rsidRPr="00960675">
        <w:rPr>
          <w:lang w:val="en-GB"/>
        </w:rPr>
        <w:t>Cr</w:t>
      </w:r>
      <w:r w:rsidRPr="00960675">
        <w:rPr>
          <w:vertAlign w:val="subscript"/>
          <w:lang w:val="en-GB"/>
        </w:rPr>
        <w:t>2</w:t>
      </w:r>
      <w:r w:rsidRPr="00960675">
        <w:rPr>
          <w:lang w:val="en-GB"/>
        </w:rPr>
        <w:t>O</w:t>
      </w:r>
      <w:r w:rsidRPr="00385529">
        <w:rPr>
          <w:vertAlign w:val="subscript"/>
          <w:lang w:val="en-GB"/>
        </w:rPr>
        <w:t>7</w:t>
      </w:r>
      <w:r w:rsidRPr="00960675">
        <w:rPr>
          <w:lang w:val="en-GB"/>
        </w:rPr>
        <w:t>, FeCl</w:t>
      </w:r>
      <w:r w:rsidRPr="00960675">
        <w:rPr>
          <w:vertAlign w:val="subscript"/>
          <w:lang w:val="en-GB"/>
        </w:rPr>
        <w:t>3</w:t>
      </w:r>
      <w:r w:rsidRPr="00960675">
        <w:rPr>
          <w:lang w:val="en-GB"/>
        </w:rPr>
        <w:t>·6H</w:t>
      </w:r>
      <w:r w:rsidRPr="00960675">
        <w:rPr>
          <w:vertAlign w:val="subscript"/>
          <w:lang w:val="en-GB"/>
        </w:rPr>
        <w:t>2</w:t>
      </w:r>
      <w:r w:rsidRPr="00960675">
        <w:rPr>
          <w:lang w:val="en-GB"/>
        </w:rPr>
        <w:t xml:space="preserve">O, </w:t>
      </w:r>
      <w:r w:rsidR="002C3F10">
        <w:rPr>
          <w:lang w:val="en-GB"/>
        </w:rPr>
        <w:t>(</w:t>
      </w:r>
      <w:r w:rsidRPr="00960675">
        <w:rPr>
          <w:lang w:val="en-GB"/>
        </w:rPr>
        <w:t>NH</w:t>
      </w:r>
      <w:r w:rsidRPr="00960675">
        <w:rPr>
          <w:vertAlign w:val="subscript"/>
          <w:lang w:val="en-GB"/>
        </w:rPr>
        <w:t>4</w:t>
      </w:r>
      <w:r w:rsidR="002C3F10">
        <w:rPr>
          <w:lang w:val="en-GB"/>
        </w:rPr>
        <w:t>)</w:t>
      </w:r>
      <w:r w:rsidR="002C3F10" w:rsidRPr="002C3F10">
        <w:rPr>
          <w:vertAlign w:val="subscript"/>
          <w:lang w:val="en-GB"/>
        </w:rPr>
        <w:t>2</w:t>
      </w:r>
      <w:r w:rsidR="002C3F10">
        <w:rPr>
          <w:lang w:val="en-GB"/>
        </w:rPr>
        <w:t>CO</w:t>
      </w:r>
      <w:r w:rsidR="002C3F10" w:rsidRPr="002C3F10">
        <w:rPr>
          <w:vertAlign w:val="subscript"/>
          <w:lang w:val="en-GB"/>
        </w:rPr>
        <w:t>3</w:t>
      </w:r>
      <w:r w:rsidR="002C3F10" w:rsidRPr="002C3F10">
        <w:rPr>
          <w:lang w:val="en-GB"/>
        </w:rPr>
        <w:t>,</w:t>
      </w:r>
      <w:r w:rsidRPr="00960675">
        <w:rPr>
          <w:lang w:val="en-GB"/>
        </w:rPr>
        <w:t xml:space="preserve"> </w:t>
      </w:r>
      <w:proofErr w:type="spellStart"/>
      <w:r w:rsidRPr="00960675">
        <w:rPr>
          <w:lang w:val="en-GB"/>
        </w:rPr>
        <w:t>Diphenylcarbazide</w:t>
      </w:r>
      <w:proofErr w:type="spellEnd"/>
      <w:r w:rsidRPr="00960675">
        <w:rPr>
          <w:lang w:val="en-GB"/>
        </w:rPr>
        <w:t>, and H</w:t>
      </w:r>
      <w:r w:rsidRPr="00960675">
        <w:rPr>
          <w:vertAlign w:val="subscript"/>
          <w:lang w:val="en-GB"/>
        </w:rPr>
        <w:t>2</w:t>
      </w:r>
      <w:r w:rsidRPr="00960675">
        <w:rPr>
          <w:lang w:val="en-GB"/>
        </w:rPr>
        <w:t>SO</w:t>
      </w:r>
      <w:r w:rsidRPr="00960675">
        <w:rPr>
          <w:vertAlign w:val="subscript"/>
          <w:lang w:val="en-GB"/>
        </w:rPr>
        <w:t>4</w:t>
      </w:r>
      <w:r w:rsidRPr="00960675">
        <w:rPr>
          <w:lang w:val="en-GB"/>
        </w:rPr>
        <w:t>.</w:t>
      </w:r>
      <w:r>
        <w:rPr>
          <w:lang w:val="en-GB"/>
        </w:rPr>
        <w:t xml:space="preserve"> The chromium salt was dissolved in deionized water to prepare a solution with an initial Cr(VI) concentration equal to 20 mg/L, whereas the </w:t>
      </w:r>
      <w:proofErr w:type="spellStart"/>
      <w:r w:rsidR="00F36AD6">
        <w:rPr>
          <w:lang w:val="en-GB"/>
        </w:rPr>
        <w:t>NaOH</w:t>
      </w:r>
      <w:proofErr w:type="spellEnd"/>
      <w:r w:rsidR="00F36AD6">
        <w:rPr>
          <w:lang w:val="en-GB"/>
        </w:rPr>
        <w:t xml:space="preserve"> and</w:t>
      </w:r>
      <w:r>
        <w:rPr>
          <w:lang w:val="en-GB"/>
        </w:rPr>
        <w:t xml:space="preserve"> </w:t>
      </w:r>
      <w:r w:rsidR="00F36AD6" w:rsidRPr="00960675">
        <w:rPr>
          <w:lang w:val="en-GB"/>
        </w:rPr>
        <w:t>H</w:t>
      </w:r>
      <w:r w:rsidR="00F36AD6" w:rsidRPr="00960675">
        <w:rPr>
          <w:vertAlign w:val="subscript"/>
          <w:lang w:val="en-GB"/>
        </w:rPr>
        <w:t>2</w:t>
      </w:r>
      <w:r w:rsidR="00F36AD6" w:rsidRPr="00960675">
        <w:rPr>
          <w:lang w:val="en-GB"/>
        </w:rPr>
        <w:t>SO</w:t>
      </w:r>
      <w:r w:rsidR="00F36AD6" w:rsidRPr="00960675">
        <w:rPr>
          <w:vertAlign w:val="subscript"/>
          <w:lang w:val="en-GB"/>
        </w:rPr>
        <w:t>4</w:t>
      </w:r>
      <w:r w:rsidR="00F36AD6">
        <w:rPr>
          <w:vertAlign w:val="subscript"/>
          <w:lang w:val="en-GB"/>
        </w:rPr>
        <w:t xml:space="preserve"> </w:t>
      </w:r>
      <w:r>
        <w:rPr>
          <w:lang w:val="en-GB"/>
        </w:rPr>
        <w:t>solutions were diluted up to 0.1 M and subsequently used to modify the pH</w:t>
      </w:r>
      <w:r w:rsidR="008F0324">
        <w:rPr>
          <w:lang w:val="en-GB"/>
        </w:rPr>
        <w:t xml:space="preserve"> of the prepared solutions</w:t>
      </w:r>
      <w:r w:rsidR="002C3F10">
        <w:rPr>
          <w:lang w:val="en-GB"/>
        </w:rPr>
        <w:t xml:space="preserve"> used for the sorption experiments</w:t>
      </w:r>
      <w:r w:rsidR="00713870">
        <w:rPr>
          <w:lang w:val="en-GB"/>
        </w:rPr>
        <w:t xml:space="preserve">, measured by a </w:t>
      </w:r>
      <w:proofErr w:type="spellStart"/>
      <w:r w:rsidR="00713870">
        <w:rPr>
          <w:lang w:val="en-GB"/>
        </w:rPr>
        <w:t>Crison</w:t>
      </w:r>
      <w:proofErr w:type="spellEnd"/>
      <w:r w:rsidR="00713870">
        <w:rPr>
          <w:lang w:val="en-GB"/>
        </w:rPr>
        <w:t xml:space="preserve"> pH-meter</w:t>
      </w:r>
      <w:r>
        <w:rPr>
          <w:lang w:val="en-GB"/>
        </w:rPr>
        <w:t xml:space="preserve">. </w:t>
      </w:r>
    </w:p>
    <w:p w:rsidR="00600535" w:rsidRPr="00B57B36" w:rsidRDefault="008F0324" w:rsidP="00FA5F5F">
      <w:pPr>
        <w:pStyle w:val="CETheadingx"/>
      </w:pPr>
      <w:r>
        <w:t>Nano-Hematite particles production</w:t>
      </w:r>
    </w:p>
    <w:p w:rsidR="00960675" w:rsidRPr="00960675" w:rsidRDefault="00057C6E" w:rsidP="00960675">
      <w:pPr>
        <w:pStyle w:val="CETBodytext"/>
      </w:pPr>
      <w:r>
        <w:t xml:space="preserve">The </w:t>
      </w:r>
      <w:proofErr w:type="spellStart"/>
      <w:r>
        <w:t>nHP</w:t>
      </w:r>
      <w:proofErr w:type="spellEnd"/>
      <w:r>
        <w:t xml:space="preserve"> were synthetized according to </w:t>
      </w:r>
      <w:r w:rsidR="002C3F10">
        <w:t>Xiao et al. (2015). In brief, t</w:t>
      </w:r>
      <w:r w:rsidR="002330C4">
        <w:t>he</w:t>
      </w:r>
      <w:r w:rsidR="002C3F10">
        <w:t xml:space="preserve"> </w:t>
      </w:r>
      <w:r w:rsidR="002C3F10">
        <w:rPr>
          <w:lang w:val="en-GB"/>
        </w:rPr>
        <w:t>(</w:t>
      </w:r>
      <w:r w:rsidR="002C3F10" w:rsidRPr="00960675">
        <w:rPr>
          <w:lang w:val="en-GB"/>
        </w:rPr>
        <w:t>NH</w:t>
      </w:r>
      <w:r w:rsidR="002C3F10" w:rsidRPr="00960675">
        <w:rPr>
          <w:vertAlign w:val="subscript"/>
          <w:lang w:val="en-GB"/>
        </w:rPr>
        <w:t>4</w:t>
      </w:r>
      <w:r w:rsidR="002C3F10">
        <w:rPr>
          <w:lang w:val="en-GB"/>
        </w:rPr>
        <w:t>)</w:t>
      </w:r>
      <w:r w:rsidR="002C3F10" w:rsidRPr="002C3F10">
        <w:rPr>
          <w:vertAlign w:val="subscript"/>
          <w:lang w:val="en-GB"/>
        </w:rPr>
        <w:t>2</w:t>
      </w:r>
      <w:r w:rsidR="002C3F10">
        <w:rPr>
          <w:lang w:val="en-GB"/>
        </w:rPr>
        <w:t>CO</w:t>
      </w:r>
      <w:r w:rsidR="002C3F10" w:rsidRPr="002C3F10">
        <w:rPr>
          <w:vertAlign w:val="subscript"/>
          <w:lang w:val="en-GB"/>
        </w:rPr>
        <w:t>3</w:t>
      </w:r>
      <w:r w:rsidR="002330C4">
        <w:t xml:space="preserve"> </w:t>
      </w:r>
      <w:r w:rsidR="002C3F10" w:rsidRPr="002C3F10">
        <w:t>was dripped into</w:t>
      </w:r>
      <w:r w:rsidR="002C3F10">
        <w:t xml:space="preserve"> </w:t>
      </w:r>
      <w:r w:rsidR="002C3F10" w:rsidRPr="00960675">
        <w:rPr>
          <w:lang w:val="en-GB"/>
        </w:rPr>
        <w:t>FeCl</w:t>
      </w:r>
      <w:r w:rsidR="002C3F10" w:rsidRPr="00960675">
        <w:rPr>
          <w:vertAlign w:val="subscript"/>
          <w:lang w:val="en-GB"/>
        </w:rPr>
        <w:t>3</w:t>
      </w:r>
      <w:r w:rsidR="002C3F10" w:rsidRPr="00960675">
        <w:rPr>
          <w:lang w:val="en-GB"/>
        </w:rPr>
        <w:t>·6H</w:t>
      </w:r>
      <w:r w:rsidR="002C3F10" w:rsidRPr="00960675">
        <w:rPr>
          <w:vertAlign w:val="subscript"/>
          <w:lang w:val="en-GB"/>
        </w:rPr>
        <w:t>2</w:t>
      </w:r>
      <w:r w:rsidR="002C3F10" w:rsidRPr="00960675">
        <w:rPr>
          <w:lang w:val="en-GB"/>
        </w:rPr>
        <w:t>O</w:t>
      </w:r>
      <w:r w:rsidR="002C3F10" w:rsidRPr="002C3F10">
        <w:t xml:space="preserve"> solution by titration device</w:t>
      </w:r>
      <w:r w:rsidR="002C3F10">
        <w:t xml:space="preserve"> using a molar ratio </w:t>
      </w:r>
      <w:r w:rsidR="002C3F10">
        <w:rPr>
          <w:lang w:val="en-GB"/>
        </w:rPr>
        <w:t>CO</w:t>
      </w:r>
      <w:r w:rsidR="002C3F10" w:rsidRPr="002C3F10">
        <w:rPr>
          <w:vertAlign w:val="subscript"/>
          <w:lang w:val="en-GB"/>
        </w:rPr>
        <w:t>3</w:t>
      </w:r>
      <w:r w:rsidR="002C3F10" w:rsidRPr="002C3F10">
        <w:rPr>
          <w:vertAlign w:val="superscript"/>
        </w:rPr>
        <w:t>2-</w:t>
      </w:r>
      <w:r w:rsidR="002C3F10">
        <w:t>/Fe(III)=3.</w:t>
      </w:r>
      <w:r w:rsidR="002C3F10" w:rsidRPr="002C3F10">
        <w:t xml:space="preserve"> The concentration and</w:t>
      </w:r>
      <w:r w:rsidR="002C3F10">
        <w:t xml:space="preserve"> </w:t>
      </w:r>
      <w:r w:rsidR="002C3F10" w:rsidRPr="002C3F10">
        <w:t>volume of FeCl</w:t>
      </w:r>
      <w:r w:rsidR="002C3F10" w:rsidRPr="002C3F10">
        <w:rPr>
          <w:vertAlign w:val="subscript"/>
        </w:rPr>
        <w:t>3</w:t>
      </w:r>
      <w:r w:rsidR="002C3F10" w:rsidRPr="002C3F10">
        <w:t>·6H</w:t>
      </w:r>
      <w:r w:rsidR="002C3F10" w:rsidRPr="002C3F10">
        <w:rPr>
          <w:vertAlign w:val="subscript"/>
        </w:rPr>
        <w:t>2</w:t>
      </w:r>
      <w:r w:rsidR="002C3F10" w:rsidRPr="002C3F10">
        <w:t xml:space="preserve">O was 1 </w:t>
      </w:r>
      <w:r w:rsidR="002C3F10">
        <w:t>M</w:t>
      </w:r>
      <w:r w:rsidR="002C3F10" w:rsidRPr="002C3F10">
        <w:t xml:space="preserve"> and 0.2 L, </w:t>
      </w:r>
      <w:r w:rsidR="002C3F10">
        <w:t>whereas those of</w:t>
      </w:r>
      <w:r w:rsidR="002C3F10" w:rsidRPr="002C3F10">
        <w:t xml:space="preserve"> </w:t>
      </w:r>
      <w:r w:rsidR="002C3F10">
        <w:rPr>
          <w:lang w:val="en-GB"/>
        </w:rPr>
        <w:t>(</w:t>
      </w:r>
      <w:r w:rsidR="002C3F10" w:rsidRPr="00960675">
        <w:rPr>
          <w:lang w:val="en-GB"/>
        </w:rPr>
        <w:t>NH</w:t>
      </w:r>
      <w:r w:rsidR="002C3F10" w:rsidRPr="00960675">
        <w:rPr>
          <w:vertAlign w:val="subscript"/>
          <w:lang w:val="en-GB"/>
        </w:rPr>
        <w:t>4</w:t>
      </w:r>
      <w:r w:rsidR="002C3F10">
        <w:rPr>
          <w:lang w:val="en-GB"/>
        </w:rPr>
        <w:t>)</w:t>
      </w:r>
      <w:r w:rsidR="002C3F10" w:rsidRPr="002C3F10">
        <w:rPr>
          <w:vertAlign w:val="subscript"/>
          <w:lang w:val="en-GB"/>
        </w:rPr>
        <w:t>2</w:t>
      </w:r>
      <w:r w:rsidR="002C3F10">
        <w:rPr>
          <w:lang w:val="en-GB"/>
        </w:rPr>
        <w:t>CO</w:t>
      </w:r>
      <w:r w:rsidR="002C3F10" w:rsidRPr="002C3F10">
        <w:rPr>
          <w:vertAlign w:val="subscript"/>
          <w:lang w:val="en-GB"/>
        </w:rPr>
        <w:t>3</w:t>
      </w:r>
      <w:r w:rsidR="002C3F10">
        <w:t xml:space="preserve"> </w:t>
      </w:r>
      <w:r w:rsidR="002C3F10" w:rsidRPr="002C3F10">
        <w:t>solution added for reaction w</w:t>
      </w:r>
      <w:r w:rsidR="002C3F10">
        <w:t xml:space="preserve">ere </w:t>
      </w:r>
      <w:r w:rsidR="002C3F10" w:rsidRPr="002C3F10">
        <w:t>3</w:t>
      </w:r>
      <w:r w:rsidR="002C3F10">
        <w:t xml:space="preserve"> M </w:t>
      </w:r>
      <w:r w:rsidR="002C3F10" w:rsidRPr="002C3F10">
        <w:t>and 0.1 L. At the same time, ethanol was added in order to avoid</w:t>
      </w:r>
      <w:r w:rsidR="002C3F10">
        <w:t xml:space="preserve"> </w:t>
      </w:r>
      <w:r w:rsidR="002C3F10" w:rsidRPr="002C3F10">
        <w:t>the aggregation of Fe(OH)</w:t>
      </w:r>
      <w:r w:rsidR="002C3F10" w:rsidRPr="002C3F10">
        <w:rPr>
          <w:vertAlign w:val="subscript"/>
        </w:rPr>
        <w:t>3</w:t>
      </w:r>
      <w:r w:rsidR="002C3F10" w:rsidRPr="002C3F10">
        <w:t xml:space="preserve">, </w:t>
      </w:r>
      <w:r w:rsidR="002C3F10">
        <w:t>making</w:t>
      </w:r>
      <w:r w:rsidR="002C3F10" w:rsidRPr="002C3F10">
        <w:t xml:space="preserve"> the solid–liquid ratio at 1:2. And then the solid phase precipitates were washed</w:t>
      </w:r>
      <w:r w:rsidR="002C3F10">
        <w:t xml:space="preserve"> </w:t>
      </w:r>
      <w:r w:rsidR="002C3F10" w:rsidRPr="002C3F10">
        <w:t>alternately with deionized water and alcohol. The</w:t>
      </w:r>
      <w:r w:rsidR="00EF5EB4">
        <w:t xml:space="preserve"> </w:t>
      </w:r>
      <w:r w:rsidR="002C3F10" w:rsidRPr="002C3F10">
        <w:t>crude product would be obtained after filtration with vacuum and dried in the drying oven</w:t>
      </w:r>
      <w:r w:rsidR="00EF5EB4">
        <w:t xml:space="preserve"> for 2 hours at 200 °C. </w:t>
      </w:r>
      <w:r w:rsidR="007B515E">
        <w:t xml:space="preserve">The </w:t>
      </w:r>
      <w:proofErr w:type="spellStart"/>
      <w:r w:rsidR="00EF5EB4">
        <w:t>nHP</w:t>
      </w:r>
      <w:proofErr w:type="spellEnd"/>
      <w:r w:rsidR="00EF5EB4">
        <w:t xml:space="preserve"> </w:t>
      </w:r>
      <w:r w:rsidR="00960675" w:rsidRPr="00960675">
        <w:t>were then characterized by Dynamic Light Scattering</w:t>
      </w:r>
      <w:r w:rsidR="00465AC2">
        <w:t xml:space="preserve"> (Brookhaven)</w:t>
      </w:r>
      <w:r w:rsidR="00960675" w:rsidRPr="00960675">
        <w:t xml:space="preserve">, showing a mean dimension of </w:t>
      </w:r>
      <w:r w:rsidR="00EF5EB4">
        <w:t>46</w:t>
      </w:r>
      <w:r w:rsidR="00960675" w:rsidRPr="00960675">
        <w:t xml:space="preserve"> ± </w:t>
      </w:r>
      <w:r w:rsidR="00EF5EB4">
        <w:t>1</w:t>
      </w:r>
      <w:r w:rsidR="00960675" w:rsidRPr="00960675">
        <w:t>.</w:t>
      </w:r>
      <w:r w:rsidR="00EF5EB4">
        <w:t>8</w:t>
      </w:r>
      <w:r w:rsidR="00960675" w:rsidRPr="00960675">
        <w:t xml:space="preserve"> nm</w:t>
      </w:r>
      <w:r w:rsidR="002330C4">
        <w:t>.</w:t>
      </w:r>
      <w:r w:rsidR="00AB31B4">
        <w:t xml:space="preserve"> </w:t>
      </w:r>
      <w:r w:rsidR="00AB31B4" w:rsidRPr="00AB31B4">
        <w:rPr>
          <w:lang w:val="en-GB"/>
        </w:rPr>
        <w:t xml:space="preserve">Point of Zero Charge (PZC), was determined by suspending different material amounts (0.01, 0.1, 1, 5, 10, 20 % </w:t>
      </w:r>
      <w:proofErr w:type="spellStart"/>
      <w:r w:rsidR="00AB31B4" w:rsidRPr="00AB31B4">
        <w:rPr>
          <w:lang w:val="en-GB"/>
        </w:rPr>
        <w:t>wt</w:t>
      </w:r>
      <w:proofErr w:type="spellEnd"/>
      <w:r w:rsidR="00AB31B4" w:rsidRPr="00AB31B4">
        <w:rPr>
          <w:lang w:val="en-GB"/>
        </w:rPr>
        <w:t xml:space="preserve">) in 0.1 M </w:t>
      </w:r>
      <w:proofErr w:type="spellStart"/>
      <w:r w:rsidR="00AB31B4" w:rsidRPr="00AB31B4">
        <w:rPr>
          <w:lang w:val="en-GB"/>
        </w:rPr>
        <w:t>NaCl</w:t>
      </w:r>
      <w:proofErr w:type="spellEnd"/>
      <w:r w:rsidR="00AB31B4" w:rsidRPr="00AB31B4">
        <w:rPr>
          <w:lang w:val="en-GB"/>
        </w:rPr>
        <w:t xml:space="preserve"> solution and measuring the solution pH after 24 h of contact time, according to (</w:t>
      </w:r>
      <w:r w:rsidR="00AB31B4">
        <w:rPr>
          <w:lang w:val="en-GB"/>
        </w:rPr>
        <w:t>Chung et al., 2012</w:t>
      </w:r>
      <w:r w:rsidR="00AB31B4" w:rsidRPr="00AB31B4">
        <w:rPr>
          <w:lang w:val="en-GB"/>
        </w:rPr>
        <w:t>).</w:t>
      </w:r>
      <w:r w:rsidR="00AB31B4">
        <w:rPr>
          <w:lang w:val="en-GB"/>
        </w:rPr>
        <w:t xml:space="preserve"> </w:t>
      </w:r>
      <w:r w:rsidR="007B515E">
        <w:rPr>
          <w:lang w:val="en-GB"/>
        </w:rPr>
        <w:t xml:space="preserve">The pH of zero charge measured was equal to </w:t>
      </w:r>
      <w:r w:rsidR="003333B3">
        <w:rPr>
          <w:lang w:val="en-GB"/>
        </w:rPr>
        <w:t>8.3</w:t>
      </w:r>
      <w:r w:rsidR="007B515E">
        <w:rPr>
          <w:lang w:val="en-GB"/>
        </w:rPr>
        <w:t xml:space="preserve"> that was close to the value of </w:t>
      </w:r>
      <w:r w:rsidR="00EF5EB4">
        <w:rPr>
          <w:lang w:val="en-GB"/>
        </w:rPr>
        <w:t>8.</w:t>
      </w:r>
      <w:r w:rsidR="003333B3">
        <w:rPr>
          <w:lang w:val="en-GB"/>
        </w:rPr>
        <w:t>2</w:t>
      </w:r>
      <w:r w:rsidR="007B515E">
        <w:rPr>
          <w:lang w:val="en-GB"/>
        </w:rPr>
        <w:t xml:space="preserve"> reported by </w:t>
      </w:r>
      <w:proofErr w:type="spellStart"/>
      <w:r w:rsidR="003333B3">
        <w:rPr>
          <w:lang w:val="en-GB"/>
        </w:rPr>
        <w:t>He</w:t>
      </w:r>
      <w:proofErr w:type="spellEnd"/>
      <w:r w:rsidR="007B515E">
        <w:rPr>
          <w:lang w:val="en-GB"/>
        </w:rPr>
        <w:t xml:space="preserve"> et al. (20</w:t>
      </w:r>
      <w:r w:rsidR="003333B3">
        <w:rPr>
          <w:lang w:val="en-GB"/>
        </w:rPr>
        <w:t>09</w:t>
      </w:r>
      <w:r w:rsidR="007B515E">
        <w:rPr>
          <w:lang w:val="en-GB"/>
        </w:rPr>
        <w:t>)</w:t>
      </w:r>
      <w:r w:rsidR="003333B3">
        <w:rPr>
          <w:lang w:val="en-GB"/>
        </w:rPr>
        <w:t xml:space="preserve"> for </w:t>
      </w:r>
      <w:proofErr w:type="spellStart"/>
      <w:r w:rsidR="003333B3">
        <w:rPr>
          <w:lang w:val="en-GB"/>
        </w:rPr>
        <w:t>nHP</w:t>
      </w:r>
      <w:proofErr w:type="spellEnd"/>
      <w:r w:rsidR="003333B3">
        <w:rPr>
          <w:lang w:val="en-GB"/>
        </w:rPr>
        <w:t xml:space="preserve"> of 32 nm</w:t>
      </w:r>
      <w:r w:rsidR="00AB31B4">
        <w:rPr>
          <w:lang w:val="en-GB"/>
        </w:rPr>
        <w:t>.</w:t>
      </w:r>
    </w:p>
    <w:p w:rsidR="00600535" w:rsidRPr="00B57B36" w:rsidRDefault="002330C4" w:rsidP="00FA5F5F">
      <w:pPr>
        <w:pStyle w:val="CETheadingx"/>
      </w:pPr>
      <w:r>
        <w:t>Experiment</w:t>
      </w:r>
      <w:r w:rsidR="00056C81">
        <w:t>al set up</w:t>
      </w:r>
    </w:p>
    <w:p w:rsidR="00600535" w:rsidRPr="00D44025" w:rsidRDefault="00DA3B6B" w:rsidP="00D44025">
      <w:pPr>
        <w:pStyle w:val="CETBodytext"/>
        <w:rPr>
          <w:lang w:val="en-GB"/>
        </w:rPr>
      </w:pPr>
      <w:r>
        <w:rPr>
          <w:lang w:val="en-GB"/>
        </w:rPr>
        <w:t>The kinetic sorption tests were conducted in a baffled stirred tank reactor, equipped with a Rushton turbine</w:t>
      </w:r>
      <w:r w:rsidR="003060FA">
        <w:rPr>
          <w:lang w:val="en-GB"/>
        </w:rPr>
        <w:t xml:space="preserve">, varying the impeller velocity (8.3, 12.5, 16.6 and 20.8 </w:t>
      </w:r>
      <w:proofErr w:type="spellStart"/>
      <w:r w:rsidR="003060FA">
        <w:rPr>
          <w:lang w:val="en-GB"/>
        </w:rPr>
        <w:t>rps</w:t>
      </w:r>
      <w:proofErr w:type="spellEnd"/>
      <w:r w:rsidR="00FF3015">
        <w:rPr>
          <w:lang w:val="en-GB"/>
        </w:rPr>
        <w:t>, i.e. 500, 750, 1000 and 1250 rpm</w:t>
      </w:r>
      <w:r w:rsidR="003060FA">
        <w:rPr>
          <w:lang w:val="en-GB"/>
        </w:rPr>
        <w:t>)</w:t>
      </w:r>
      <w:r>
        <w:rPr>
          <w:lang w:val="en-GB"/>
        </w:rPr>
        <w:t xml:space="preserve">. The dimension of the tank diameter, T (m), was </w:t>
      </w:r>
      <w:r w:rsidR="00F93C7C">
        <w:rPr>
          <w:lang w:val="en-GB"/>
        </w:rPr>
        <w:t xml:space="preserve">0.123 </w:t>
      </w:r>
      <w:r>
        <w:rPr>
          <w:lang w:val="en-GB"/>
        </w:rPr>
        <w:t>m, whereas the liquid height, H(m) was fixed equal to T. The impeller diameter, D</w:t>
      </w:r>
      <w:r w:rsidRPr="008154B9">
        <w:rPr>
          <w:vertAlign w:val="subscript"/>
          <w:lang w:val="en-GB"/>
        </w:rPr>
        <w:t>i</w:t>
      </w:r>
      <w:r>
        <w:rPr>
          <w:lang w:val="en-GB"/>
        </w:rPr>
        <w:t xml:space="preserve"> (m) and the clearance, C(m) was fixed equal to 0.33T.</w:t>
      </w:r>
      <w:r w:rsidR="0046234E">
        <w:rPr>
          <w:lang w:val="en-GB"/>
        </w:rPr>
        <w:t xml:space="preserve"> The number of baffles was 4 and their dimension was 0.1T. </w:t>
      </w:r>
      <w:r>
        <w:rPr>
          <w:lang w:val="en-GB"/>
        </w:rPr>
        <w:t>The experiments were conducted at 25°C and pH=3.5, according to preliminary tests where the optimal pH has already been investigated</w:t>
      </w:r>
      <w:r w:rsidR="002E24F1">
        <w:rPr>
          <w:lang w:val="en-GB"/>
        </w:rPr>
        <w:t xml:space="preserve"> and considering the high pH o</w:t>
      </w:r>
      <w:r w:rsidR="00F93C7C">
        <w:rPr>
          <w:lang w:val="en-GB"/>
        </w:rPr>
        <w:t>f</w:t>
      </w:r>
      <w:r w:rsidR="002E24F1">
        <w:rPr>
          <w:lang w:val="en-GB"/>
        </w:rPr>
        <w:t xml:space="preserve"> zero charge of the material</w:t>
      </w:r>
      <w:r>
        <w:rPr>
          <w:lang w:val="en-GB"/>
        </w:rPr>
        <w:t xml:space="preserve">. The initial Cr(VI) concentration was fixed to 20 mg/L whereas the </w:t>
      </w:r>
      <w:proofErr w:type="spellStart"/>
      <w:r>
        <w:rPr>
          <w:lang w:val="en-GB"/>
        </w:rPr>
        <w:t>nHP</w:t>
      </w:r>
      <w:proofErr w:type="spellEnd"/>
      <w:r>
        <w:rPr>
          <w:lang w:val="en-GB"/>
        </w:rPr>
        <w:t xml:space="preserve"> concentration was 6 g/L, according to the Cr(VI)/sorbent concentration used by Xiao et al (2015). The tests were conducted with two identical reactors, and at selected time steps</w:t>
      </w:r>
      <w:r w:rsidR="00FF3015">
        <w:rPr>
          <w:lang w:val="en-GB"/>
        </w:rPr>
        <w:t>,</w:t>
      </w:r>
      <w:r>
        <w:rPr>
          <w:lang w:val="en-GB"/>
        </w:rPr>
        <w:t xml:space="preserve"> the same liquid aliquot was withdrawn from the two reactors. The former was used</w:t>
      </w:r>
      <w:r w:rsidR="0046234E">
        <w:rPr>
          <w:lang w:val="en-GB"/>
        </w:rPr>
        <w:t xml:space="preserve"> to re-fill the first reactor, to keep its volume constant and to avoid the variation of the hydrodynamic field, whereas the second one was used for the analysis. T</w:t>
      </w:r>
      <w:r w:rsidR="00DC3938">
        <w:rPr>
          <w:lang w:val="en-GB"/>
        </w:rPr>
        <w:t xml:space="preserve">he </w:t>
      </w:r>
      <w:proofErr w:type="spellStart"/>
      <w:r w:rsidR="0046234E">
        <w:rPr>
          <w:lang w:val="en-GB"/>
        </w:rPr>
        <w:t>nHP</w:t>
      </w:r>
      <w:proofErr w:type="spellEnd"/>
      <w:r w:rsidR="00DC3938">
        <w:rPr>
          <w:lang w:val="en-GB"/>
        </w:rPr>
        <w:t xml:space="preserve"> were separated through an ultra-centrifuge (14000 rpm for 5 min) and the liquid phase was withdrawn to proceed with the Cr(VI) measure through </w:t>
      </w:r>
      <w:proofErr w:type="spellStart"/>
      <w:r w:rsidR="00DC3938">
        <w:rPr>
          <w:lang w:val="en-GB"/>
        </w:rPr>
        <w:t>dyphenyl</w:t>
      </w:r>
      <w:proofErr w:type="spellEnd"/>
      <w:r w:rsidR="00DC3938">
        <w:rPr>
          <w:lang w:val="en-GB"/>
        </w:rPr>
        <w:t>-carbazide method (</w:t>
      </w:r>
      <w:r w:rsidR="00F92199">
        <w:rPr>
          <w:lang w:val="en-GB"/>
        </w:rPr>
        <w:t>Di Palma et al., 2018</w:t>
      </w:r>
      <w:r w:rsidR="00DC3938">
        <w:rPr>
          <w:lang w:val="en-GB"/>
        </w:rPr>
        <w:t>).</w:t>
      </w:r>
    </w:p>
    <w:p w:rsidR="00AB5011" w:rsidRPr="00B57B36" w:rsidRDefault="00DC3938" w:rsidP="00FA5F5F">
      <w:pPr>
        <w:pStyle w:val="CETheadingx"/>
      </w:pPr>
      <w:r>
        <w:t>Data analysis and m</w:t>
      </w:r>
      <w:r w:rsidR="00475176">
        <w:t>athematical modeling</w:t>
      </w:r>
    </w:p>
    <w:p w:rsidR="002973CC" w:rsidRDefault="002973CC" w:rsidP="002973CC">
      <w:pPr>
        <w:pStyle w:val="CETBodytext"/>
      </w:pPr>
      <w:r>
        <w:t>The kinetic sorption data were fitted to the following mass-transfer model:</w:t>
      </w:r>
    </w:p>
    <w:p w:rsidR="00342BA0" w:rsidRPr="00342BA0" w:rsidRDefault="0092411D" w:rsidP="002973CC">
      <w:pPr>
        <w:pStyle w:val="CETBodytext"/>
      </w:pPr>
      <m:oMathPara>
        <m:oMath>
          <m:sSub>
            <m:sSubPr>
              <m:ctrlPr>
                <w:rPr>
                  <w:rFonts w:ascii="Cambria Math" w:hAnsi="Cambria Math"/>
                  <w:i/>
                </w:rPr>
              </m:ctrlPr>
            </m:sSubPr>
            <m:e>
              <m:r>
                <w:rPr>
                  <w:rFonts w:ascii="Cambria Math" w:hAnsi="Cambria Math"/>
                </w:rPr>
                <m:t>V</m:t>
              </m:r>
            </m:e>
            <m:sub>
              <m:r>
                <w:rPr>
                  <w:rFonts w:ascii="Cambria Math" w:hAnsi="Cambria Math"/>
                </w:rPr>
                <m:t>T</m:t>
              </m:r>
            </m:sub>
          </m:sSub>
          <m:f>
            <m:fPr>
              <m:ctrlPr>
                <w:rPr>
                  <w:rFonts w:ascii="Cambria Math" w:hAnsi="Cambria Math"/>
                  <w:i/>
                </w:rPr>
              </m:ctrlPr>
            </m:fPr>
            <m:num>
              <m:r>
                <w:rPr>
                  <w:rFonts w:ascii="Cambria Math" w:hAnsi="Cambria Math"/>
                </w:rPr>
                <m:t>dCr(VI)</m:t>
              </m:r>
            </m:num>
            <m:den>
              <m:r>
                <w:rPr>
                  <w:rFonts w:ascii="Cambria Math" w:hAnsi="Cambria Math"/>
                </w:rPr>
                <m:t>dt</m:t>
              </m:r>
            </m:den>
          </m:f>
          <m:r>
            <w:rPr>
              <w:rFonts w:ascii="Cambria Math" w:hAnsi="Cambria Math"/>
            </w:rPr>
            <m:t>=-m</m:t>
          </m:r>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 xml:space="preserve">                                                                                                                                                                             (1)</m:t>
          </m:r>
        </m:oMath>
      </m:oMathPara>
    </w:p>
    <w:p w:rsidR="00342BA0" w:rsidRPr="00342BA0" w:rsidRDefault="0092411D" w:rsidP="002973CC">
      <w:pPr>
        <w:pStyle w:val="CETBodytext"/>
      </w:pPr>
      <m:oMathPara>
        <m:oMath>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βa</m:t>
              </m:r>
              <m:sSub>
                <m:sSubPr>
                  <m:ctrlPr>
                    <w:rPr>
                      <w:rFonts w:ascii="Cambria Math" w:hAnsi="Cambria Math"/>
                      <w:i/>
                    </w:rPr>
                  </m:ctrlPr>
                </m:sSubPr>
                <m:e>
                  <m:r>
                    <w:rPr>
                      <w:rFonts w:ascii="Cambria Math" w:hAnsi="Cambria Math"/>
                    </w:rPr>
                    <m:t>k</m:t>
                  </m:r>
                </m:e>
                <m:sub>
                  <m:r>
                    <w:rPr>
                      <w:rFonts w:ascii="Cambria Math" w:hAnsi="Cambria Math"/>
                    </w:rPr>
                    <m:t>L</m:t>
                  </m:r>
                </m:sub>
              </m:sSub>
            </m:num>
            <m:den>
              <m:sSub>
                <m:sSubPr>
                  <m:ctrlPr>
                    <w:rPr>
                      <w:rFonts w:ascii="Cambria Math" w:hAnsi="Cambria Math"/>
                      <w:i/>
                    </w:rPr>
                  </m:ctrlPr>
                </m:sSubPr>
                <m:e>
                  <m:r>
                    <w:rPr>
                      <w:rFonts w:ascii="Cambria Math" w:hAnsi="Cambria Math"/>
                    </w:rPr>
                    <m:t>ρ</m:t>
                  </m:r>
                </m:e>
                <m:sub>
                  <m:r>
                    <w:rPr>
                      <w:rFonts w:ascii="Cambria Math" w:hAnsi="Cambria Math"/>
                    </w:rPr>
                    <m:t>p</m:t>
                  </m:r>
                </m:sub>
              </m:sSub>
            </m:den>
          </m:f>
          <m:d>
            <m:dPr>
              <m:ctrlPr>
                <w:rPr>
                  <w:rFonts w:ascii="Cambria Math" w:hAnsi="Cambria Math"/>
                  <w:i/>
                </w:rPr>
              </m:ctrlPr>
            </m:dPr>
            <m:e>
              <m:r>
                <w:rPr>
                  <w:rFonts w:ascii="Cambria Math" w:hAnsi="Cambria Math"/>
                </w:rPr>
                <m:t>Cr</m:t>
              </m:r>
              <m:d>
                <m:dPr>
                  <m:ctrlPr>
                    <w:rPr>
                      <w:rFonts w:ascii="Cambria Math" w:hAnsi="Cambria Math"/>
                      <w:i/>
                    </w:rPr>
                  </m:ctrlPr>
                </m:dPr>
                <m:e>
                  <m:r>
                    <w:rPr>
                      <w:rFonts w:ascii="Cambria Math" w:hAnsi="Cambria Math"/>
                    </w:rPr>
                    <m:t>VI</m:t>
                  </m:r>
                </m:e>
              </m:d>
              <m:r>
                <w:rPr>
                  <w:rFonts w:ascii="Cambria Math" w:hAnsi="Cambria Math"/>
                </w:rPr>
                <m:t>-</m:t>
              </m:r>
              <m:sSup>
                <m:sSupPr>
                  <m:ctrlPr>
                    <w:rPr>
                      <w:rFonts w:ascii="Cambria Math" w:hAnsi="Cambria Math"/>
                      <w:i/>
                    </w:rPr>
                  </m:ctrlPr>
                </m:sSupPr>
                <m:e>
                  <m:r>
                    <w:rPr>
                      <w:rFonts w:ascii="Cambria Math" w:hAnsi="Cambria Math"/>
                    </w:rPr>
                    <m:t>Cr(VI)</m:t>
                  </m:r>
                </m:e>
                <m:sup>
                  <m:r>
                    <w:rPr>
                      <w:rFonts w:ascii="Cambria Math" w:hAnsi="Cambria Math"/>
                    </w:rPr>
                    <m:t>eq</m:t>
                  </m:r>
                </m:sup>
              </m:sSup>
            </m:e>
          </m:d>
          <m:r>
            <w:rPr>
              <w:rFonts w:ascii="Cambria Math" w:hAnsi="Cambria Math"/>
            </w:rPr>
            <m:t xml:space="preserve">                                                                                                                                                         (2)</m:t>
          </m:r>
        </m:oMath>
      </m:oMathPara>
    </w:p>
    <w:p w:rsidR="00342BA0" w:rsidRPr="00A51709" w:rsidRDefault="0092411D" w:rsidP="002973CC">
      <w:pPr>
        <w:pStyle w:val="CETBodytext"/>
      </w:pPr>
      <m:oMathPara>
        <m:oMath>
          <m:sSup>
            <m:sSupPr>
              <m:ctrlPr>
                <w:rPr>
                  <w:rFonts w:ascii="Cambria Math" w:hAnsi="Cambria Math"/>
                  <w:i/>
                </w:rPr>
              </m:ctrlPr>
            </m:sSupPr>
            <m:e>
              <m:r>
                <w:rPr>
                  <w:rFonts w:ascii="Cambria Math" w:hAnsi="Cambria Math"/>
                </w:rPr>
                <m:t>Cr(VI)</m:t>
              </m:r>
            </m:e>
            <m:sup>
              <m:r>
                <w:rPr>
                  <w:rFonts w:ascii="Cambria Math" w:hAnsi="Cambria Math"/>
                </w:rPr>
                <m:t>eq</m:t>
              </m:r>
            </m:sup>
          </m:sSup>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b</m:t>
              </m:r>
              <m:d>
                <m:dPr>
                  <m:ctrlPr>
                    <w:rPr>
                      <w:rFonts w:ascii="Cambria Math" w:hAnsi="Cambria Math"/>
                      <w:i/>
                    </w:rPr>
                  </m:ctrlPr>
                </m:dPr>
                <m:e>
                  <m:r>
                    <w:rPr>
                      <w:rFonts w:ascii="Cambria Math" w:hAnsi="Cambria Math"/>
                    </w:rPr>
                    <m:t>q-</m:t>
                  </m:r>
                  <m:sSub>
                    <m:sSubPr>
                      <m:ctrlPr>
                        <w:rPr>
                          <w:rFonts w:ascii="Cambria Math" w:hAnsi="Cambria Math"/>
                          <w:i/>
                        </w:rPr>
                      </m:ctrlPr>
                    </m:sSubPr>
                    <m:e>
                      <m:r>
                        <w:rPr>
                          <w:rFonts w:ascii="Cambria Math" w:hAnsi="Cambria Math"/>
                        </w:rPr>
                        <m:t>q</m:t>
                      </m:r>
                    </m:e>
                    <m:sub>
                      <m:r>
                        <w:rPr>
                          <w:rFonts w:ascii="Cambria Math" w:hAnsi="Cambria Math"/>
                        </w:rPr>
                        <m:t>max</m:t>
                      </m:r>
                    </m:sub>
                  </m:sSub>
                </m:e>
              </m:d>
            </m:den>
          </m:f>
          <m:r>
            <w:rPr>
              <w:rFonts w:ascii="Cambria Math" w:hAnsi="Cambria Math"/>
            </w:rPr>
            <m:t xml:space="preserve">                                                                                                                                                                   (3)</m:t>
          </m:r>
        </m:oMath>
      </m:oMathPara>
    </w:p>
    <w:p w:rsidR="00A51709" w:rsidRDefault="00A51709" w:rsidP="002973CC">
      <w:pPr>
        <w:pStyle w:val="CETBodytext"/>
      </w:pPr>
      <m:oMathPara>
        <m:oMath>
          <m:r>
            <w:rPr>
              <w:rFonts w:ascii="Cambria Math" w:hAnsi="Cambria Math"/>
            </w:rPr>
            <m:t>t=0,  Cr</m:t>
          </m:r>
          <m:d>
            <m:dPr>
              <m:ctrlPr>
                <w:rPr>
                  <w:rFonts w:ascii="Cambria Math" w:hAnsi="Cambria Math"/>
                  <w:i/>
                </w:rPr>
              </m:ctrlPr>
            </m:dPr>
            <m:e>
              <m:r>
                <w:rPr>
                  <w:rFonts w:ascii="Cambria Math" w:hAnsi="Cambria Math"/>
                </w:rPr>
                <m:t>VI</m:t>
              </m:r>
            </m:e>
          </m:d>
          <m:r>
            <w:rPr>
              <w:rFonts w:ascii="Cambria Math" w:hAnsi="Cambria Math"/>
            </w:rPr>
            <m:t>=Cr(VI</m:t>
          </m:r>
          <m:sSub>
            <m:sSubPr>
              <m:ctrlPr>
                <w:rPr>
                  <w:rFonts w:ascii="Cambria Math" w:hAnsi="Cambria Math"/>
                  <w:i/>
                </w:rPr>
              </m:ctrlPr>
            </m:sSubPr>
            <m:e>
              <m:r>
                <w:rPr>
                  <w:rFonts w:ascii="Cambria Math" w:hAnsi="Cambria Math"/>
                </w:rPr>
                <m:t>)</m:t>
              </m:r>
            </m:e>
            <m:sub>
              <m:r>
                <w:rPr>
                  <w:rFonts w:ascii="Cambria Math" w:hAnsi="Cambria Math"/>
                </w:rPr>
                <m:t>0</m:t>
              </m:r>
            </m:sub>
          </m:sSub>
          <m:r>
            <w:rPr>
              <w:rFonts w:ascii="Cambria Math" w:hAnsi="Cambria Math"/>
            </w:rPr>
            <m:t xml:space="preserve">  and  q=0                                                                                                                                         (4)</m:t>
          </m:r>
        </m:oMath>
      </m:oMathPara>
    </w:p>
    <w:p w:rsidR="003060FA" w:rsidRDefault="00342BA0" w:rsidP="002973CC">
      <w:pPr>
        <w:pStyle w:val="CETBodytext"/>
      </w:pPr>
      <w:r>
        <w:t>w</w:t>
      </w:r>
      <w:r w:rsidR="002973CC">
        <w:t>here</w:t>
      </w:r>
      <w:r>
        <w:t xml:space="preserve"> </w:t>
      </w:r>
      <w:r w:rsidRPr="002E24F1">
        <w:rPr>
          <w:lang w:val="en-GB"/>
        </w:rPr>
        <w:t>V</w:t>
      </w:r>
      <w:r w:rsidRPr="002E24F1">
        <w:rPr>
          <w:vertAlign w:val="subscript"/>
          <w:lang w:val="en-GB"/>
        </w:rPr>
        <w:t>T</w:t>
      </w:r>
      <w:r w:rsidRPr="002E24F1">
        <w:rPr>
          <w:lang w:val="en-GB"/>
        </w:rPr>
        <w:t xml:space="preserve"> (m</w:t>
      </w:r>
      <w:r w:rsidRPr="002E24F1">
        <w:rPr>
          <w:vertAlign w:val="superscript"/>
          <w:lang w:val="en-GB"/>
        </w:rPr>
        <w:t>3</w:t>
      </w:r>
      <w:r w:rsidRPr="002E24F1">
        <w:rPr>
          <w:lang w:val="en-GB"/>
        </w:rPr>
        <w:t>) is the liquid volume in the tank</w:t>
      </w:r>
      <w:r>
        <w:rPr>
          <w:lang w:val="en-GB"/>
        </w:rPr>
        <w:t xml:space="preserve">, </w:t>
      </w:r>
      <w:r w:rsidR="00172DEE">
        <w:rPr>
          <w:lang w:val="en-GB"/>
        </w:rPr>
        <w:t>a (m</w:t>
      </w:r>
      <w:r w:rsidR="00172DEE" w:rsidRPr="00172DEE">
        <w:rPr>
          <w:vertAlign w:val="superscript"/>
          <w:lang w:val="en-GB"/>
        </w:rPr>
        <w:t>2</w:t>
      </w:r>
      <w:r w:rsidR="00172DEE">
        <w:rPr>
          <w:lang w:val="en-GB"/>
        </w:rPr>
        <w:t>/m</w:t>
      </w:r>
      <w:r w:rsidR="00172DEE" w:rsidRPr="00172DEE">
        <w:rPr>
          <w:vertAlign w:val="superscript"/>
          <w:lang w:val="en-GB"/>
        </w:rPr>
        <w:t>3</w:t>
      </w:r>
      <w:r w:rsidR="00172DEE">
        <w:rPr>
          <w:lang w:val="en-GB"/>
        </w:rPr>
        <w:t xml:space="preserve">) is the ratio between liquid film surface onto the particle and the liquid volume in the reactor, </w:t>
      </w:r>
      <w:r>
        <w:rPr>
          <w:lang w:val="en-GB"/>
        </w:rPr>
        <w:t xml:space="preserve">m (g) is the sorbent mass, q (mg/g) is the Cr(VI) mass </w:t>
      </w:r>
      <w:proofErr w:type="spellStart"/>
      <w:r>
        <w:rPr>
          <w:lang w:val="en-GB"/>
        </w:rPr>
        <w:t>sorbed</w:t>
      </w:r>
      <w:proofErr w:type="spellEnd"/>
      <w:r>
        <w:rPr>
          <w:lang w:val="en-GB"/>
        </w:rPr>
        <w:t xml:space="preserve"> onto the sorbent material per unit of sorbent mass, </w:t>
      </w:r>
      <w:r w:rsidRPr="0096476B">
        <w:rPr>
          <w:rFonts w:ascii="Symbol" w:hAnsi="Symbol"/>
          <w:lang w:val="en-GB"/>
        </w:rPr>
        <w:t></w:t>
      </w:r>
      <w:r>
        <w:rPr>
          <w:lang w:val="en-GB"/>
        </w:rPr>
        <w:t xml:space="preserve"> is the sorbent porosity</w:t>
      </w:r>
      <w:r w:rsidR="008C5BDB">
        <w:rPr>
          <w:lang w:val="en-GB"/>
        </w:rPr>
        <w:t xml:space="preserve"> (equal to </w:t>
      </w:r>
      <w:r w:rsidR="00625BAA">
        <w:rPr>
          <w:lang w:val="en-GB"/>
        </w:rPr>
        <w:t xml:space="preserve">0.2 from </w:t>
      </w:r>
      <w:proofErr w:type="spellStart"/>
      <w:r w:rsidR="00625BAA">
        <w:rPr>
          <w:lang w:val="en-GB"/>
        </w:rPr>
        <w:t>Adegoke</w:t>
      </w:r>
      <w:proofErr w:type="spellEnd"/>
      <w:r w:rsidR="00625BAA">
        <w:rPr>
          <w:lang w:val="en-GB"/>
        </w:rPr>
        <w:t xml:space="preserve"> et al (2014)</w:t>
      </w:r>
      <w:r>
        <w:rPr>
          <w:lang w:val="en-GB"/>
        </w:rPr>
        <w:t xml:space="preserve">, </w:t>
      </w:r>
      <w:proofErr w:type="spellStart"/>
      <w:r>
        <w:rPr>
          <w:lang w:val="en-GB"/>
        </w:rPr>
        <w:t>d</w:t>
      </w:r>
      <w:r w:rsidRPr="003060FA">
        <w:rPr>
          <w:vertAlign w:val="subscript"/>
          <w:lang w:val="en-GB"/>
        </w:rPr>
        <w:t>p</w:t>
      </w:r>
      <w:proofErr w:type="spellEnd"/>
      <w:r>
        <w:rPr>
          <w:lang w:val="en-GB"/>
        </w:rPr>
        <w:t xml:space="preserve"> (m) is the sorbent mean size</w:t>
      </w:r>
      <w:r w:rsidR="0096476B">
        <w:rPr>
          <w:lang w:val="en-GB"/>
        </w:rPr>
        <w:t xml:space="preserve">, </w:t>
      </w:r>
      <w:r w:rsidR="0096476B" w:rsidRPr="0096476B">
        <w:rPr>
          <w:rFonts w:ascii="Symbol" w:hAnsi="Symbol"/>
          <w:lang w:val="en-GB"/>
        </w:rPr>
        <w:t></w:t>
      </w:r>
      <w:r w:rsidR="0096476B" w:rsidRPr="0096476B">
        <w:rPr>
          <w:vertAlign w:val="subscript"/>
          <w:lang w:val="en-GB"/>
        </w:rPr>
        <w:t>p</w:t>
      </w:r>
      <w:r w:rsidR="0096476B">
        <w:rPr>
          <w:lang w:val="en-GB"/>
        </w:rPr>
        <w:t xml:space="preserve"> (kg/m</w:t>
      </w:r>
      <w:r w:rsidR="0096476B" w:rsidRPr="0096476B">
        <w:rPr>
          <w:vertAlign w:val="superscript"/>
          <w:lang w:val="en-GB"/>
        </w:rPr>
        <w:t>3</w:t>
      </w:r>
      <w:r w:rsidR="0096476B">
        <w:rPr>
          <w:lang w:val="en-GB"/>
        </w:rPr>
        <w:t>) is the sorbent particle density</w:t>
      </w:r>
      <w:r w:rsidR="00042EAD">
        <w:rPr>
          <w:lang w:val="en-GB"/>
        </w:rPr>
        <w:t xml:space="preserve"> (equal to 1</w:t>
      </w:r>
      <w:r w:rsidR="009161E3">
        <w:rPr>
          <w:lang w:val="en-GB"/>
        </w:rPr>
        <w:t xml:space="preserve">.857E+06 </w:t>
      </w:r>
      <w:r w:rsidR="00625BAA">
        <w:rPr>
          <w:lang w:val="en-GB"/>
        </w:rPr>
        <w:t>g/m</w:t>
      </w:r>
      <w:r w:rsidR="00625BAA" w:rsidRPr="00625BAA">
        <w:rPr>
          <w:vertAlign w:val="superscript"/>
          <w:lang w:val="en-GB"/>
        </w:rPr>
        <w:t>3</w:t>
      </w:r>
      <w:r w:rsidR="00625BAA">
        <w:rPr>
          <w:lang w:val="en-GB"/>
        </w:rPr>
        <w:t xml:space="preserve"> from </w:t>
      </w:r>
      <w:proofErr w:type="spellStart"/>
      <w:r w:rsidR="00625BAA">
        <w:rPr>
          <w:lang w:val="en-GB"/>
        </w:rPr>
        <w:t>Adegoke</w:t>
      </w:r>
      <w:proofErr w:type="spellEnd"/>
      <w:r w:rsidR="00625BAA">
        <w:rPr>
          <w:lang w:val="en-GB"/>
        </w:rPr>
        <w:t xml:space="preserve"> et al (2014))</w:t>
      </w:r>
      <w:r w:rsidR="0096476B">
        <w:rPr>
          <w:lang w:val="en-GB"/>
        </w:rPr>
        <w:t>,</w:t>
      </w:r>
      <w:r>
        <w:t xml:space="preserve"> C</w:t>
      </w:r>
      <w:r w:rsidR="003060FA">
        <w:t>r(VI)</w:t>
      </w:r>
      <w:proofErr w:type="spellStart"/>
      <w:r w:rsidRPr="003060FA">
        <w:rPr>
          <w:vertAlign w:val="superscript"/>
        </w:rPr>
        <w:t>eq</w:t>
      </w:r>
      <w:proofErr w:type="spellEnd"/>
      <w:r>
        <w:t xml:space="preserve"> (mg/L) is the equilibrium Cr(VI) concentration </w:t>
      </w:r>
      <w:r w:rsidR="003060FA">
        <w:t xml:space="preserve">according to Langmuir model, b (L/mg) is the Langmuir equilibrium constant </w:t>
      </w:r>
      <w:r w:rsidR="00625BAA">
        <w:t xml:space="preserve">(equal to 0.08 L/mg from </w:t>
      </w:r>
      <w:proofErr w:type="spellStart"/>
      <w:r w:rsidR="00625BAA">
        <w:t>Adegoke</w:t>
      </w:r>
      <w:proofErr w:type="spellEnd"/>
      <w:r w:rsidR="00625BAA">
        <w:t xml:space="preserve"> et al (2014)) </w:t>
      </w:r>
      <w:r w:rsidR="003060FA">
        <w:t xml:space="preserve">and </w:t>
      </w:r>
      <w:proofErr w:type="spellStart"/>
      <w:r w:rsidR="003060FA">
        <w:t>q</w:t>
      </w:r>
      <w:r w:rsidR="003060FA" w:rsidRPr="003060FA">
        <w:rPr>
          <w:vertAlign w:val="subscript"/>
        </w:rPr>
        <w:t>max</w:t>
      </w:r>
      <w:proofErr w:type="spellEnd"/>
      <w:r w:rsidR="003060FA">
        <w:t xml:space="preserve"> (mg/g) is the maximum sorption capacity of the sorbent according to Langmuir model</w:t>
      </w:r>
      <w:r w:rsidR="00625BAA">
        <w:t xml:space="preserve"> (equal to 28.6 mg/g from </w:t>
      </w:r>
      <w:proofErr w:type="spellStart"/>
      <w:r w:rsidR="00625BAA">
        <w:t>Adegoke</w:t>
      </w:r>
      <w:proofErr w:type="spellEnd"/>
      <w:r w:rsidR="00625BAA">
        <w:t xml:space="preserve"> et al (2014))</w:t>
      </w:r>
      <w:r w:rsidR="003060FA">
        <w:t>.</w:t>
      </w:r>
    </w:p>
    <w:p w:rsidR="003060FA" w:rsidRDefault="003060FA" w:rsidP="002973CC">
      <w:pPr>
        <w:pStyle w:val="CETBodytext"/>
      </w:pPr>
      <w:r>
        <w:t xml:space="preserve">The </w:t>
      </w:r>
      <w:proofErr w:type="spellStart"/>
      <w:r>
        <w:t>k</w:t>
      </w:r>
      <w:r w:rsidRPr="003060FA">
        <w:rPr>
          <w:vertAlign w:val="subscript"/>
        </w:rPr>
        <w:t>L</w:t>
      </w:r>
      <w:proofErr w:type="spellEnd"/>
      <w:r>
        <w:t xml:space="preserve"> can be correlated to </w:t>
      </w:r>
      <w:r w:rsidR="0096476B">
        <w:t xml:space="preserve">particle </w:t>
      </w:r>
      <w:r>
        <w:t xml:space="preserve">Re and </w:t>
      </w:r>
      <w:proofErr w:type="spellStart"/>
      <w:r>
        <w:t>Sc</w:t>
      </w:r>
      <w:proofErr w:type="spellEnd"/>
      <w:r>
        <w:t xml:space="preserve"> number according to </w:t>
      </w:r>
      <w:proofErr w:type="spellStart"/>
      <w:r>
        <w:t>Armenante</w:t>
      </w:r>
      <w:proofErr w:type="spellEnd"/>
      <w:r>
        <w:t xml:space="preserve"> and Kirwan (1989):</w:t>
      </w:r>
    </w:p>
    <w:p w:rsidR="003060FA" w:rsidRPr="0096476B" w:rsidRDefault="0092411D" w:rsidP="002973CC">
      <w:pPr>
        <w:pStyle w:val="CETBodytext"/>
      </w:pPr>
      <m:oMathPara>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Cr(VI)</m:t>
                  </m:r>
                </m:sub>
              </m:sSub>
            </m:num>
            <m:den>
              <m:sSub>
                <m:sSubPr>
                  <m:ctrlPr>
                    <w:rPr>
                      <w:rFonts w:ascii="Cambria Math" w:hAnsi="Cambria Math"/>
                      <w:i/>
                    </w:rPr>
                  </m:ctrlPr>
                </m:sSubPr>
                <m:e>
                  <m:r>
                    <w:rPr>
                      <w:rFonts w:ascii="Cambria Math" w:hAnsi="Cambria Math"/>
                    </w:rPr>
                    <m:t>d</m:t>
                  </m:r>
                </m:e>
                <m:sub>
                  <m:r>
                    <w:rPr>
                      <w:rFonts w:ascii="Cambria Math" w:hAnsi="Cambria Math"/>
                    </w:rPr>
                    <m:t>p</m:t>
                  </m:r>
                </m:sub>
              </m:sSub>
            </m:den>
          </m:f>
          <m:d>
            <m:dPr>
              <m:begChr m:val="["/>
              <m:endChr m:val="]"/>
              <m:ctrlPr>
                <w:rPr>
                  <w:rFonts w:ascii="Cambria Math" w:hAnsi="Cambria Math"/>
                  <w:i/>
                </w:rPr>
              </m:ctrlPr>
            </m:dPr>
            <m:e>
              <m:r>
                <w:rPr>
                  <w:rFonts w:ascii="Cambria Math" w:hAnsi="Cambria Math"/>
                </w:rPr>
                <m:t>2+0.52</m:t>
              </m:r>
              <m:sSup>
                <m:sSupPr>
                  <m:ctrlPr>
                    <w:rPr>
                      <w:rFonts w:ascii="Cambria Math" w:hAnsi="Cambria Math"/>
                      <w:i/>
                    </w:rPr>
                  </m:ctrlPr>
                </m:sSupPr>
                <m:e>
                  <m:sSub>
                    <m:sSubPr>
                      <m:ctrlPr>
                        <w:rPr>
                          <w:rFonts w:ascii="Cambria Math" w:hAnsi="Cambria Math"/>
                          <w:i/>
                        </w:rPr>
                      </m:ctrlPr>
                    </m:sSubPr>
                    <m:e>
                      <m:r>
                        <w:rPr>
                          <w:rFonts w:ascii="Cambria Math" w:hAnsi="Cambria Math"/>
                        </w:rPr>
                        <m:t>Re</m:t>
                      </m:r>
                    </m:e>
                    <m:sub>
                      <m:r>
                        <w:rPr>
                          <w:rFonts w:ascii="Cambria Math" w:hAnsi="Cambria Math"/>
                        </w:rPr>
                        <m:t>p</m:t>
                      </m:r>
                    </m:sub>
                  </m:sSub>
                </m:e>
                <m:sup>
                  <m:r>
                    <w:rPr>
                      <w:rFonts w:ascii="Cambria Math" w:hAnsi="Cambria Math"/>
                    </w:rPr>
                    <m:t>0.52</m:t>
                  </m:r>
                </m:sup>
              </m:sSup>
              <m:sSup>
                <m:sSupPr>
                  <m:ctrlPr>
                    <w:rPr>
                      <w:rFonts w:ascii="Cambria Math" w:hAnsi="Cambria Math"/>
                      <w:i/>
                    </w:rPr>
                  </m:ctrlPr>
                </m:sSupPr>
                <m:e>
                  <m:r>
                    <w:rPr>
                      <w:rFonts w:ascii="Cambria Math" w:hAnsi="Cambria Math"/>
                    </w:rPr>
                    <m:t>Sc</m:t>
                  </m:r>
                </m:e>
                <m:sup>
                  <m:r>
                    <w:rPr>
                      <w:rFonts w:ascii="Cambria Math" w:hAnsi="Cambria Math"/>
                    </w:rPr>
                    <m:t>1/3</m:t>
                  </m:r>
                </m:sup>
              </m:sSup>
            </m:e>
          </m:d>
          <m:r>
            <w:rPr>
              <w:rFonts w:ascii="Cambria Math" w:hAnsi="Cambria Math"/>
            </w:rPr>
            <m:t xml:space="preserve">                                                                                                                                                   (5)</m:t>
          </m:r>
        </m:oMath>
      </m:oMathPara>
    </w:p>
    <w:p w:rsidR="0096476B" w:rsidRPr="0096476B" w:rsidRDefault="0092411D" w:rsidP="002973CC">
      <w:pPr>
        <w:pStyle w:val="CETBodytext"/>
      </w:pPr>
      <m:oMathPara>
        <m:oMath>
          <m:sSub>
            <m:sSubPr>
              <m:ctrlPr>
                <w:rPr>
                  <w:rFonts w:ascii="Cambria Math" w:hAnsi="Cambria Math"/>
                  <w:i/>
                </w:rPr>
              </m:ctrlPr>
            </m:sSubPr>
            <m:e>
              <m:r>
                <w:rPr>
                  <w:rFonts w:ascii="Cambria Math" w:hAnsi="Cambria Math"/>
                </w:rPr>
                <m:t>Re</m:t>
              </m:r>
            </m:e>
            <m:sub>
              <m:r>
                <w:rPr>
                  <w:rFonts w:ascii="Cambria Math" w:hAnsi="Cambria Math"/>
                </w:rPr>
                <m:t>p</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ε</m:t>
                  </m:r>
                </m:e>
                <m:sup>
                  <m:r>
                    <w:rPr>
                      <w:rFonts w:ascii="Cambria Math" w:hAnsi="Cambria Math"/>
                    </w:rPr>
                    <m:t>1/3</m:t>
                  </m:r>
                </m:sup>
              </m:sSup>
              <m:sSubSup>
                <m:sSubSupPr>
                  <m:ctrlPr>
                    <w:rPr>
                      <w:rFonts w:ascii="Cambria Math" w:hAnsi="Cambria Math"/>
                      <w:i/>
                    </w:rPr>
                  </m:ctrlPr>
                </m:sSubSupPr>
                <m:e>
                  <m:r>
                    <w:rPr>
                      <w:rFonts w:ascii="Cambria Math" w:hAnsi="Cambria Math"/>
                    </w:rPr>
                    <m:t>d</m:t>
                  </m:r>
                </m:e>
                <m:sub>
                  <m:r>
                    <w:rPr>
                      <w:rFonts w:ascii="Cambria Math" w:hAnsi="Cambria Math"/>
                    </w:rPr>
                    <m:t>p</m:t>
                  </m:r>
                </m:sub>
                <m:sup>
                  <m:r>
                    <w:rPr>
                      <w:rFonts w:ascii="Cambria Math" w:hAnsi="Cambria Math"/>
                    </w:rPr>
                    <m:t>4/3</m:t>
                  </m:r>
                </m:sup>
              </m:sSubSup>
            </m:num>
            <m:den>
              <m:r>
                <w:rPr>
                  <w:rFonts w:ascii="Cambria Math" w:hAnsi="Cambria Math"/>
                </w:rPr>
                <m:t>υ</m:t>
              </m:r>
            </m:den>
          </m:f>
          <m:r>
            <w:rPr>
              <w:rFonts w:ascii="Cambria Math" w:hAnsi="Cambria Math"/>
            </w:rPr>
            <m:t xml:space="preserve">                                                                                                                                                                                         (6)</m:t>
          </m:r>
        </m:oMath>
      </m:oMathPara>
    </w:p>
    <w:p w:rsidR="0096476B" w:rsidRDefault="0096476B" w:rsidP="002973CC">
      <w:pPr>
        <w:pStyle w:val="CETBodytext"/>
      </w:pPr>
      <m:oMathPara>
        <m:oMath>
          <m:r>
            <w:rPr>
              <w:rFonts w:ascii="Cambria Math" w:hAnsi="Cambria Math"/>
            </w:rPr>
            <m:t>Sc=</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Cr(VI)</m:t>
                  </m:r>
                </m:sub>
              </m:sSub>
            </m:num>
            <m:den>
              <m:r>
                <w:rPr>
                  <w:rFonts w:ascii="Cambria Math" w:hAnsi="Cambria Math"/>
                </w:rPr>
                <m:t>υ</m:t>
              </m:r>
            </m:den>
          </m:f>
          <m:r>
            <w:rPr>
              <w:rFonts w:ascii="Cambria Math" w:hAnsi="Cambria Math"/>
            </w:rPr>
            <m:t xml:space="preserve">                                                                                                                                                                                              (7)</m:t>
          </m:r>
        </m:oMath>
      </m:oMathPara>
    </w:p>
    <w:p w:rsidR="002E24F1" w:rsidRDefault="0096476B" w:rsidP="002973CC">
      <w:pPr>
        <w:pStyle w:val="CETBodytext"/>
      </w:pPr>
      <w:r>
        <w:t xml:space="preserve">where </w:t>
      </w:r>
      <w:proofErr w:type="spellStart"/>
      <w:r>
        <w:t>D</w:t>
      </w:r>
      <w:r w:rsidRPr="00C46D16">
        <w:rPr>
          <w:vertAlign w:val="subscript"/>
        </w:rPr>
        <w:t>Cr</w:t>
      </w:r>
      <w:proofErr w:type="spellEnd"/>
      <w:r w:rsidRPr="00C46D16">
        <w:rPr>
          <w:vertAlign w:val="subscript"/>
        </w:rPr>
        <w:t>(VI)</w:t>
      </w:r>
      <w:r>
        <w:t xml:space="preserve"> (m</w:t>
      </w:r>
      <w:r w:rsidRPr="0096476B">
        <w:rPr>
          <w:vertAlign w:val="superscript"/>
        </w:rPr>
        <w:t>2</w:t>
      </w:r>
      <w:r>
        <w:t xml:space="preserve">/s) is the bulk diffusion coefficient of Cr(VI) species, </w:t>
      </w:r>
      <w:r w:rsidRPr="0096476B">
        <w:rPr>
          <w:rFonts w:ascii="Symbol" w:hAnsi="Symbol"/>
        </w:rPr>
        <w:t></w:t>
      </w:r>
      <w:r>
        <w:t xml:space="preserve"> (m</w:t>
      </w:r>
      <w:r w:rsidRPr="0096476B">
        <w:rPr>
          <w:vertAlign w:val="superscript"/>
        </w:rPr>
        <w:t>2</w:t>
      </w:r>
      <w:r>
        <w:t xml:space="preserve">/s) is the kinematic viscosity of the liquid and </w:t>
      </w:r>
      <w:r w:rsidR="002E24F1" w:rsidRPr="002973CC">
        <w:rPr>
          <w:rFonts w:ascii="Symbol" w:hAnsi="Symbol"/>
        </w:rPr>
        <w:t></w:t>
      </w:r>
      <w:r w:rsidR="002E24F1" w:rsidRPr="002973CC">
        <w:t xml:space="preserve"> (W/kg or m</w:t>
      </w:r>
      <w:r w:rsidR="002E24F1" w:rsidRPr="002973CC">
        <w:rPr>
          <w:vertAlign w:val="superscript"/>
        </w:rPr>
        <w:t>2</w:t>
      </w:r>
      <w:r w:rsidR="002E24F1" w:rsidRPr="002973CC">
        <w:t>/s</w:t>
      </w:r>
      <w:r w:rsidR="002E24F1" w:rsidRPr="002973CC">
        <w:rPr>
          <w:vertAlign w:val="superscript"/>
        </w:rPr>
        <w:t>3</w:t>
      </w:r>
      <w:r w:rsidR="002E24F1" w:rsidRPr="002973CC">
        <w:t>) is the local turbulent dissipated energy rate</w:t>
      </w:r>
      <w:r w:rsidR="002E24F1">
        <w:t>.</w:t>
      </w:r>
      <w:r w:rsidR="004623D4">
        <w:t xml:space="preserve"> The model was implemented in </w:t>
      </w:r>
      <w:proofErr w:type="spellStart"/>
      <w:r w:rsidR="004623D4">
        <w:t>gPROMS</w:t>
      </w:r>
      <w:proofErr w:type="spellEnd"/>
      <w:r w:rsidR="004623D4">
        <w:t xml:space="preserve"> environment and numerically solved</w:t>
      </w:r>
      <w:r w:rsidR="00CC2EEC">
        <w:t xml:space="preserve">, with </w:t>
      </w:r>
      <w:proofErr w:type="spellStart"/>
      <w:r w:rsidR="00CC2EEC">
        <w:t>k</w:t>
      </w:r>
      <w:r w:rsidR="00CC2EEC" w:rsidRPr="00CC2EEC">
        <w:rPr>
          <w:vertAlign w:val="subscript"/>
        </w:rPr>
        <w:t>L</w:t>
      </w:r>
      <w:proofErr w:type="spellEnd"/>
      <w:r w:rsidR="00CC2EEC">
        <w:t xml:space="preserve"> and a as model parameters</w:t>
      </w:r>
      <w:r w:rsidR="00F92199">
        <w:t xml:space="preserve"> (White and </w:t>
      </w:r>
      <w:proofErr w:type="spellStart"/>
      <w:r w:rsidR="00F92199">
        <w:t>Verdone</w:t>
      </w:r>
      <w:proofErr w:type="spellEnd"/>
      <w:r w:rsidR="00F92199">
        <w:t xml:space="preserve"> 2000)</w:t>
      </w:r>
      <w:r w:rsidR="004623D4">
        <w:t>.</w:t>
      </w:r>
    </w:p>
    <w:p w:rsidR="002973CC" w:rsidRPr="002973CC" w:rsidRDefault="002973CC" w:rsidP="002973CC">
      <w:pPr>
        <w:pStyle w:val="CETBodytext"/>
      </w:pPr>
      <w:r>
        <w:t xml:space="preserve">The kinetic sorption model equations were coupled with the fluid dynamic model equations through the </w:t>
      </w:r>
      <w:r w:rsidR="002E24F1">
        <w:t xml:space="preserve">relation between </w:t>
      </w:r>
      <w:proofErr w:type="spellStart"/>
      <w:r w:rsidR="002E24F1">
        <w:t>k</w:t>
      </w:r>
      <w:r w:rsidR="002E24F1" w:rsidRPr="002E24F1">
        <w:rPr>
          <w:vertAlign w:val="subscript"/>
        </w:rPr>
        <w:t>L</w:t>
      </w:r>
      <w:proofErr w:type="spellEnd"/>
      <w:r w:rsidR="002E24F1">
        <w:t xml:space="preserve"> and </w:t>
      </w:r>
      <w:r w:rsidR="002E24F1" w:rsidRPr="002E24F1">
        <w:rPr>
          <w:rFonts w:ascii="Symbol" w:hAnsi="Symbol"/>
        </w:rPr>
        <w:t></w:t>
      </w:r>
      <w:r w:rsidR="002E24F1">
        <w:t xml:space="preserve">. </w:t>
      </w:r>
      <w:r w:rsidRPr="002973CC">
        <w:t xml:space="preserve">The hydrodynamic </w:t>
      </w:r>
      <w:r w:rsidR="002E24F1" w:rsidRPr="002973CC">
        <w:t>behavior</w:t>
      </w:r>
      <w:r w:rsidRPr="002973CC">
        <w:t xml:space="preserve"> of a turbulent incompressible fluid</w:t>
      </w:r>
      <w:r w:rsidR="00CD343A">
        <w:t xml:space="preserve"> (the impeller Reynolds number, Re=NDi</w:t>
      </w:r>
      <w:r w:rsidR="00CD343A" w:rsidRPr="00CD343A">
        <w:rPr>
          <w:vertAlign w:val="superscript"/>
        </w:rPr>
        <w:t>2</w:t>
      </w:r>
      <w:r w:rsidR="00CD343A">
        <w:t>/</w:t>
      </w:r>
      <w:r w:rsidR="00CD343A" w:rsidRPr="00CD343A">
        <w:rPr>
          <w:rFonts w:ascii="Symbol" w:hAnsi="Symbol"/>
        </w:rPr>
        <w:t></w:t>
      </w:r>
      <w:r w:rsidR="00CD343A">
        <w:t>, was in the range 1.4-3.5 E+04)</w:t>
      </w:r>
      <w:r w:rsidRPr="002973CC">
        <w:t xml:space="preserve"> is governed by the </w:t>
      </w:r>
      <w:proofErr w:type="spellStart"/>
      <w:r w:rsidRPr="002973CC">
        <w:t>Navier</w:t>
      </w:r>
      <w:proofErr w:type="spellEnd"/>
      <w:r w:rsidRPr="002973CC">
        <w:t xml:space="preserve">-Stokes equations that can be time-averaged generating the RANS (Reynolds Averaged </w:t>
      </w:r>
      <w:proofErr w:type="spellStart"/>
      <w:r w:rsidRPr="002973CC">
        <w:t>Navier</w:t>
      </w:r>
      <w:proofErr w:type="spellEnd"/>
      <w:r w:rsidRPr="002973CC">
        <w:t xml:space="preserve">-Stokes) equations for the velocity </w:t>
      </w:r>
      <w:r w:rsidRPr="002973CC">
        <w:rPr>
          <w:b/>
        </w:rPr>
        <w:t>u</w:t>
      </w:r>
      <w:r w:rsidRPr="002973CC">
        <w:t xml:space="preserve"> (vector) and pressure p</w:t>
      </w:r>
      <w:r w:rsidR="0096476B">
        <w:t xml:space="preserve"> (Pa)</w:t>
      </w:r>
      <w:r w:rsidRPr="002973CC">
        <w:t>:</w:t>
      </w:r>
    </w:p>
    <w:p w:rsidR="002973CC" w:rsidRPr="002973CC" w:rsidRDefault="0092411D" w:rsidP="002973CC">
      <w:pPr>
        <w:pStyle w:val="CETBodytext"/>
      </w:pPr>
      <m:oMathPara>
        <m:oMath>
          <m:f>
            <m:fPr>
              <m:ctrlPr>
                <w:rPr>
                  <w:rFonts w:ascii="Cambria Math" w:hAnsi="Cambria Math"/>
                  <w:i/>
                </w:rPr>
              </m:ctrlPr>
            </m:fPr>
            <m:num>
              <m:r>
                <w:rPr>
                  <w:rFonts w:ascii="Cambria Math" w:hAnsi="Cambria Math"/>
                </w:rPr>
                <m:t>∂</m:t>
              </m:r>
              <m:r>
                <m:rPr>
                  <m:sty m:val="bi"/>
                </m:rPr>
                <w:rPr>
                  <w:rFonts w:ascii="Cambria Math" w:hAnsi="Cambria Math"/>
                </w:rPr>
                <m:t>u</m:t>
              </m:r>
            </m:num>
            <m:den>
              <m:r>
                <w:rPr>
                  <w:rFonts w:ascii="Cambria Math" w:hAnsi="Cambria Math"/>
                </w:rPr>
                <m:t>∂t</m:t>
              </m:r>
            </m:den>
          </m:f>
          <m: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ν+</m:t>
                  </m:r>
                  <m:sSub>
                    <m:sSubPr>
                      <m:ctrlPr>
                        <w:rPr>
                          <w:rFonts w:ascii="Cambria Math" w:hAnsi="Cambria Math"/>
                          <w:i/>
                        </w:rPr>
                      </m:ctrlPr>
                    </m:sSubPr>
                    <m:e>
                      <m:r>
                        <w:rPr>
                          <w:rFonts w:ascii="Cambria Math" w:hAnsi="Cambria Math"/>
                        </w:rPr>
                        <m:t>ν</m:t>
                      </m:r>
                    </m:e>
                    <m:sub>
                      <m:r>
                        <w:rPr>
                          <w:rFonts w:ascii="Cambria Math" w:hAnsi="Cambria Math"/>
                        </w:rPr>
                        <m:t>T</m:t>
                      </m:r>
                    </m:sub>
                  </m:sSub>
                </m:e>
              </m:d>
              <m:d>
                <m:dPr>
                  <m:begChr m:val="["/>
                  <m:endChr m:val="]"/>
                  <m:ctrlPr>
                    <w:rPr>
                      <w:rFonts w:ascii="Cambria Math" w:hAnsi="Cambria Math"/>
                      <w:i/>
                    </w:rPr>
                  </m:ctrlPr>
                </m:dPr>
                <m:e>
                  <m:r>
                    <m:rPr>
                      <m:sty m:val="p"/>
                    </m:rP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sSup>
                    <m:sSupPr>
                      <m:ctrlPr>
                        <w:rPr>
                          <w:rFonts w:ascii="Cambria Math" w:hAnsi="Cambria Math"/>
                          <w:i/>
                        </w:rPr>
                      </m:ctrlPr>
                    </m:sSupPr>
                    <m:e>
                      <m:r>
                        <m:rPr>
                          <m:sty m:val="bi"/>
                        </m:rPr>
                        <w:rPr>
                          <w:rFonts w:ascii="Cambria Math" w:hAnsi="Cambria Math"/>
                        </w:rPr>
                        <m:t>u</m:t>
                      </m:r>
                    </m:e>
                    <m:sup>
                      <m:r>
                        <w:rPr>
                          <w:rFonts w:ascii="Cambria Math" w:hAnsi="Cambria Math"/>
                        </w:rPr>
                        <m:t>T</m:t>
                      </m:r>
                    </m:sup>
                  </m:sSup>
                </m:e>
              </m:d>
            </m:e>
          </m:d>
          <m:r>
            <w:rPr>
              <w:rFonts w:ascii="Cambria Math" w:hAnsi="Cambria Math"/>
            </w:rPr>
            <m:t xml:space="preserve">                                                                                                                               (8)</m:t>
          </m:r>
        </m:oMath>
      </m:oMathPara>
    </w:p>
    <w:p w:rsidR="002973CC" w:rsidRPr="002973CC" w:rsidRDefault="002973CC" w:rsidP="002973CC">
      <w:pPr>
        <w:pStyle w:val="CETBodytext"/>
      </w:pPr>
      <m:oMathPara>
        <m:oMath>
          <m:r>
            <m:rPr>
              <m:sty m:val="p"/>
            </m:rPr>
            <w:rPr>
              <w:rFonts w:ascii="Cambria Math" w:hAnsi="Cambria Math"/>
            </w:rPr>
            <m:t>∇</m:t>
          </m:r>
          <m:r>
            <w:rPr>
              <w:rFonts w:ascii="Cambria Math" w:hAnsi="Cambria Math"/>
            </w:rPr>
            <m:t>∙</m:t>
          </m:r>
          <m:r>
            <m:rPr>
              <m:sty m:val="bi"/>
            </m:rPr>
            <w:rPr>
              <w:rFonts w:ascii="Cambria Math" w:hAnsi="Cambria Math"/>
            </w:rPr>
            <m:t>u</m:t>
          </m:r>
          <m:r>
            <w:rPr>
              <w:rFonts w:ascii="Cambria Math" w:hAnsi="Cambria Math"/>
            </w:rPr>
            <m:t>=0                                                                                                                                                                                                      (9)</m:t>
          </m:r>
        </m:oMath>
      </m:oMathPara>
    </w:p>
    <w:p w:rsidR="002973CC" w:rsidRPr="002973CC" w:rsidRDefault="002973CC" w:rsidP="002973CC">
      <w:pPr>
        <w:pStyle w:val="CETBodytext"/>
      </w:pPr>
      <w:r w:rsidRPr="002973CC">
        <w:t xml:space="preserve">where </w:t>
      </w:r>
      <w:r w:rsidRPr="002973CC">
        <w:rPr>
          <w:rFonts w:ascii="Symbol" w:hAnsi="Symbol"/>
        </w:rPr>
        <w:t></w:t>
      </w:r>
      <w:r w:rsidRPr="002973CC">
        <w:rPr>
          <w:vertAlign w:val="subscript"/>
        </w:rPr>
        <w:t>T</w:t>
      </w:r>
      <w:r w:rsidRPr="002973CC">
        <w:t xml:space="preserve"> (m</w:t>
      </w:r>
      <w:r w:rsidRPr="002973CC">
        <w:rPr>
          <w:vertAlign w:val="superscript"/>
        </w:rPr>
        <w:t>2</w:t>
      </w:r>
      <w:r w:rsidRPr="002973CC">
        <w:t xml:space="preserve">/s) is the turbulent eddy viscosity which is supposed to emulate the effect of unresolved velocity fluctuations. To close the RANS additional equations and hypotheses are necessary; in particular, the turbulence was modelled using a standard </w:t>
      </w:r>
      <w:r w:rsidRPr="002973CC">
        <w:rPr>
          <w:iCs/>
        </w:rPr>
        <w:t>k</w:t>
      </w:r>
      <w:r w:rsidRPr="002973CC">
        <w:t>–</w:t>
      </w:r>
      <w:r w:rsidRPr="002973CC">
        <w:rPr>
          <w:rFonts w:ascii="Symbol" w:hAnsi="Symbol"/>
        </w:rPr>
        <w:t></w:t>
      </w:r>
      <w:r w:rsidRPr="002973CC">
        <w:rPr>
          <w:rFonts w:ascii="Symbol" w:hAnsi="Symbol"/>
        </w:rPr>
        <w:t></w:t>
      </w:r>
      <w:r w:rsidRPr="002973CC">
        <w:t>model for which the transport equations are given by the following PDE (Partial Differential Equation) system:</w:t>
      </w:r>
    </w:p>
    <w:p w:rsidR="002973CC" w:rsidRPr="002973CC" w:rsidRDefault="0092411D" w:rsidP="002973CC">
      <w:pPr>
        <w:pStyle w:val="CETBodytext"/>
      </w:pPr>
      <m:oMathPara>
        <m:oMath>
          <m:f>
            <m:fPr>
              <m:ctrlPr>
                <w:rPr>
                  <w:rFonts w:ascii="Cambria Math" w:hAnsi="Cambria Math"/>
                  <w:i/>
                </w:rPr>
              </m:ctrlPr>
            </m:fPr>
            <m:num>
              <m:r>
                <w:rPr>
                  <w:rFonts w:ascii="Cambria Math" w:hAnsi="Cambria Math"/>
                </w:rPr>
                <m:t>∂k</m:t>
              </m:r>
            </m:num>
            <m:den>
              <m:r>
                <w:rPr>
                  <w:rFonts w:ascii="Cambria Math" w:hAnsi="Cambria Math"/>
                </w:rPr>
                <m:t>∂t</m:t>
              </m:r>
            </m:den>
          </m:f>
          <m:r>
            <w:rPr>
              <w:rFonts w:ascii="Cambria Math" w:hAnsi="Cambria Math"/>
            </w:rPr>
            <m:t>+</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k</m:t>
              </m:r>
              <m:r>
                <m:rPr>
                  <m:sty m:val="bi"/>
                </m:rPr>
                <w:rPr>
                  <w:rFonts w:ascii="Cambria Math" w:hAnsi="Cambria Math"/>
                </w:rPr>
                <m:t>u-</m:t>
              </m:r>
              <m:f>
                <m:fPr>
                  <m:ctrlPr>
                    <w:rPr>
                      <w:rFonts w:ascii="Cambria Math" w:hAnsi="Cambria Math"/>
                      <w:i/>
                    </w:rPr>
                  </m:ctrlPr>
                </m:fPr>
                <m:num>
                  <m:sSub>
                    <m:sSubPr>
                      <m:ctrlPr>
                        <w:rPr>
                          <w:rFonts w:ascii="Cambria Math" w:hAnsi="Cambria Math"/>
                          <w:i/>
                        </w:rPr>
                      </m:ctrlPr>
                    </m:sSubPr>
                    <m:e>
                      <m:r>
                        <w:rPr>
                          <w:rFonts w:ascii="Cambria Math" w:hAnsi="Cambria Math"/>
                        </w:rPr>
                        <m:t>ν</m:t>
                      </m:r>
                    </m:e>
                    <m:sub>
                      <m:r>
                        <w:rPr>
                          <w:rFonts w:ascii="Cambria Math" w:hAnsi="Cambria Math"/>
                        </w:rPr>
                        <m:t>T</m:t>
                      </m:r>
                    </m:sub>
                  </m:sSub>
                </m:num>
                <m:den>
                  <m:sSub>
                    <m:sSubPr>
                      <m:ctrlPr>
                        <w:rPr>
                          <w:rFonts w:ascii="Cambria Math" w:hAnsi="Cambria Math"/>
                          <w:i/>
                        </w:rPr>
                      </m:ctrlPr>
                    </m:sSubPr>
                    <m:e>
                      <m:r>
                        <w:rPr>
                          <w:rFonts w:ascii="Cambria Math" w:hAnsi="Cambria Math"/>
                        </w:rPr>
                        <m:t>σ</m:t>
                      </m:r>
                    </m:e>
                    <m:sub>
                      <m:r>
                        <w:rPr>
                          <w:rFonts w:ascii="Cambria Math" w:hAnsi="Cambria Math"/>
                        </w:rPr>
                        <m:t>k</m:t>
                      </m:r>
                    </m:sub>
                  </m:sSub>
                </m:den>
              </m:f>
              <m:r>
                <m:rPr>
                  <m:sty m:val="p"/>
                </m:rPr>
                <w:rPr>
                  <w:rFonts w:ascii="Cambria Math" w:hAnsi="Cambria Math"/>
                </w:rPr>
                <m:t>∇</m:t>
              </m:r>
              <m:r>
                <w:rPr>
                  <w:rFonts w:ascii="Cambria Math" w:hAnsi="Cambria Math"/>
                </w:rPr>
                <m:t>k</m:t>
              </m:r>
            </m:e>
          </m:d>
          <m:r>
            <w:rPr>
              <w:rFonts w:ascii="Cambria Math" w:hAnsi="Cambria Math"/>
            </w:rPr>
            <m:t>+ε=</m:t>
          </m:r>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 xml:space="preserve">                                                                                                                                                        (10)</m:t>
          </m:r>
        </m:oMath>
      </m:oMathPara>
    </w:p>
    <w:p w:rsidR="002973CC" w:rsidRPr="002973CC" w:rsidRDefault="0092411D" w:rsidP="002973CC">
      <w:pPr>
        <w:pStyle w:val="CETBodytext"/>
      </w:pPr>
      <m:oMathPara>
        <m:oMath>
          <m:f>
            <m:fPr>
              <m:ctrlPr>
                <w:rPr>
                  <w:rFonts w:ascii="Cambria Math" w:hAnsi="Cambria Math"/>
                  <w:i/>
                </w:rPr>
              </m:ctrlPr>
            </m:fPr>
            <m:num>
              <m:r>
                <w:rPr>
                  <w:rFonts w:ascii="Cambria Math" w:hAnsi="Cambria Math"/>
                </w:rPr>
                <m:t>∂</m:t>
              </m:r>
              <m:r>
                <w:rPr>
                  <w:rFonts w:ascii="Cambria Math" w:hAnsi="Cambria Math"/>
                </w:rPr>
                <m:t>ε</m:t>
              </m:r>
            </m:num>
            <m:den>
              <m:r>
                <w:rPr>
                  <w:rFonts w:ascii="Cambria Math" w:hAnsi="Cambria Math"/>
                </w:rPr>
                <m:t>∂t</m:t>
              </m:r>
            </m:den>
          </m:f>
          <m:r>
            <w:rPr>
              <w:rFonts w:ascii="Cambria Math" w:hAnsi="Cambria Math"/>
            </w:rPr>
            <m:t>+</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ε</m:t>
              </m:r>
              <m:r>
                <m:rPr>
                  <m:sty m:val="bi"/>
                </m:rPr>
                <w:rPr>
                  <w:rFonts w:ascii="Cambria Math" w:hAnsi="Cambria Math"/>
                </w:rPr>
                <m:t>u-</m:t>
              </m:r>
              <m:f>
                <m:fPr>
                  <m:ctrlPr>
                    <w:rPr>
                      <w:rFonts w:ascii="Cambria Math" w:hAnsi="Cambria Math"/>
                      <w:i/>
                    </w:rPr>
                  </m:ctrlPr>
                </m:fPr>
                <m:num>
                  <m:sSub>
                    <m:sSubPr>
                      <m:ctrlPr>
                        <w:rPr>
                          <w:rFonts w:ascii="Cambria Math" w:hAnsi="Cambria Math"/>
                          <w:i/>
                        </w:rPr>
                      </m:ctrlPr>
                    </m:sSubPr>
                    <m:e>
                      <m:r>
                        <w:rPr>
                          <w:rFonts w:ascii="Cambria Math" w:hAnsi="Cambria Math"/>
                        </w:rPr>
                        <m:t>ν</m:t>
                      </m:r>
                    </m:e>
                    <m:sub>
                      <m:r>
                        <w:rPr>
                          <w:rFonts w:ascii="Cambria Math" w:hAnsi="Cambria Math"/>
                        </w:rPr>
                        <m:t>T</m:t>
                      </m:r>
                    </m:sub>
                  </m:sSub>
                </m:num>
                <m:den>
                  <m:sSub>
                    <m:sSubPr>
                      <m:ctrlPr>
                        <w:rPr>
                          <w:rFonts w:ascii="Cambria Math" w:hAnsi="Cambria Math"/>
                          <w:i/>
                        </w:rPr>
                      </m:ctrlPr>
                    </m:sSubPr>
                    <m:e>
                      <m:r>
                        <w:rPr>
                          <w:rFonts w:ascii="Cambria Math" w:hAnsi="Cambria Math"/>
                        </w:rPr>
                        <m:t>σ</m:t>
                      </m:r>
                    </m:e>
                    <m:sub>
                      <m:r>
                        <w:rPr>
                          <w:rFonts w:ascii="Cambria Math" w:hAnsi="Cambria Math"/>
                        </w:rPr>
                        <m:t>ε</m:t>
                      </m:r>
                    </m:sub>
                  </m:sSub>
                </m:den>
              </m:f>
              <m:r>
                <m:rPr>
                  <m:sty m:val="p"/>
                </m:rPr>
                <w:rPr>
                  <w:rFonts w:ascii="Cambria Math" w:hAnsi="Cambria Math"/>
                </w:rPr>
                <m:t>∇</m:t>
              </m:r>
              <m:r>
                <w:rPr>
                  <w:rFonts w:ascii="Cambria Math" w:hAnsi="Cambria Math"/>
                </w:rPr>
                <m:t>ε</m:t>
              </m:r>
            </m:e>
          </m:d>
          <m:r>
            <w:rPr>
              <w:rFonts w:ascii="Cambria Math" w:hAnsi="Cambria Math"/>
            </w:rPr>
            <m:t>=</m:t>
          </m:r>
          <m:f>
            <m:fPr>
              <m:ctrlPr>
                <w:rPr>
                  <w:rFonts w:ascii="Cambria Math" w:hAnsi="Cambria Math"/>
                  <w:i/>
                </w:rPr>
              </m:ctrlPr>
            </m:fPr>
            <m:num>
              <m:r>
                <w:rPr>
                  <w:rFonts w:ascii="Cambria Math" w:hAnsi="Cambria Math"/>
                </w:rPr>
                <m:t>ε</m:t>
              </m:r>
            </m:num>
            <m:den>
              <m:r>
                <w:rPr>
                  <w:rFonts w:ascii="Cambria Math" w:hAnsi="Cambria Math"/>
                </w:rPr>
                <m:t>k</m:t>
              </m:r>
            </m:den>
          </m:f>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ε</m:t>
              </m:r>
            </m:e>
          </m:d>
          <m:r>
            <w:rPr>
              <w:rFonts w:ascii="Cambria Math" w:hAnsi="Cambria Math"/>
            </w:rPr>
            <m:t xml:space="preserve">                                                                                                                                         (11)</m:t>
          </m:r>
        </m:oMath>
      </m:oMathPara>
    </w:p>
    <w:p w:rsidR="00A7582A" w:rsidRDefault="002973CC" w:rsidP="002E24F1">
      <w:pPr>
        <w:pStyle w:val="CETBodytext"/>
        <w:rPr>
          <w:lang w:val="en-GB"/>
        </w:rPr>
      </w:pPr>
      <w:r w:rsidRPr="002973CC">
        <w:t xml:space="preserve">where </w:t>
      </w:r>
      <w:r w:rsidRPr="002973CC">
        <w:rPr>
          <w:rFonts w:ascii="Symbol" w:hAnsi="Symbol"/>
        </w:rPr>
        <w:t></w:t>
      </w:r>
      <w:r w:rsidRPr="002973CC">
        <w:rPr>
          <w:vertAlign w:val="subscript"/>
        </w:rPr>
        <w:t>T</w:t>
      </w:r>
      <w:r w:rsidRPr="002973CC">
        <w:t>=C</w:t>
      </w:r>
      <w:r w:rsidRPr="002973CC">
        <w:rPr>
          <w:rFonts w:ascii="Symbol" w:hAnsi="Symbol"/>
          <w:vertAlign w:val="subscript"/>
        </w:rPr>
        <w:t></w:t>
      </w:r>
      <w:r w:rsidRPr="002973CC">
        <w:t>k</w:t>
      </w:r>
      <w:r w:rsidRPr="002973CC">
        <w:rPr>
          <w:vertAlign w:val="superscript"/>
        </w:rPr>
        <w:t>2</w:t>
      </w:r>
      <w:r w:rsidRPr="002973CC">
        <w:t>/</w:t>
      </w:r>
      <w:r w:rsidRPr="002973CC">
        <w:rPr>
          <w:rFonts w:ascii="Symbol" w:hAnsi="Symbol"/>
        </w:rPr>
        <w:t></w:t>
      </w:r>
      <w:r w:rsidRPr="002973CC">
        <w:rPr>
          <w:rFonts w:ascii="Symbol" w:hAnsi="Symbol"/>
        </w:rPr>
        <w:t></w:t>
      </w:r>
      <w:r w:rsidRPr="002973CC">
        <w:t xml:space="preserve">is the turbulent viscosity, </w:t>
      </w:r>
      <w:r w:rsidRPr="002973CC">
        <w:rPr>
          <w:lang w:val="en"/>
        </w:rPr>
        <w:t>k (J/kg or m</w:t>
      </w:r>
      <w:r w:rsidRPr="002973CC">
        <w:rPr>
          <w:vertAlign w:val="superscript"/>
          <w:lang w:val="en"/>
        </w:rPr>
        <w:t>2</w:t>
      </w:r>
      <w:r w:rsidRPr="002973CC">
        <w:rPr>
          <w:lang w:val="en"/>
        </w:rPr>
        <w:t>/s</w:t>
      </w:r>
      <w:r w:rsidRPr="002973CC">
        <w:rPr>
          <w:vertAlign w:val="superscript"/>
          <w:lang w:val="en"/>
        </w:rPr>
        <w:t>2</w:t>
      </w:r>
      <w:r w:rsidRPr="002973CC">
        <w:rPr>
          <w:lang w:val="en"/>
        </w:rPr>
        <w:t>) is the turbulent kinetic energy</w:t>
      </w:r>
      <w:r w:rsidRPr="002973CC">
        <w:t xml:space="preserve">, </w:t>
      </w:r>
      <w:proofErr w:type="spellStart"/>
      <w:r w:rsidRPr="002973CC">
        <w:t>P</w:t>
      </w:r>
      <w:r w:rsidRPr="002973CC">
        <w:rPr>
          <w:vertAlign w:val="subscript"/>
        </w:rPr>
        <w:t>k</w:t>
      </w:r>
      <w:proofErr w:type="spellEnd"/>
      <w:r w:rsidRPr="002973CC">
        <w:t>=</w:t>
      </w:r>
      <w:r w:rsidRPr="002973CC">
        <w:rPr>
          <w:rFonts w:ascii="Symbol" w:hAnsi="Symbol"/>
        </w:rPr>
        <w:t></w:t>
      </w:r>
      <w:r w:rsidRPr="002973CC">
        <w:rPr>
          <w:vertAlign w:val="subscript"/>
        </w:rPr>
        <w:t>T</w:t>
      </w:r>
      <w:r w:rsidRPr="002973CC">
        <w:t>/2</w:t>
      </w:r>
      <m:oMath>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sSup>
                  <m:sSupPr>
                    <m:ctrlPr>
                      <w:rPr>
                        <w:rFonts w:ascii="Cambria Math" w:hAnsi="Cambria Math"/>
                        <w:i/>
                      </w:rPr>
                    </m:ctrlPr>
                  </m:sSupPr>
                  <m:e>
                    <m:r>
                      <m:rPr>
                        <m:sty m:val="bi"/>
                      </m:rPr>
                      <w:rPr>
                        <w:rFonts w:ascii="Cambria Math" w:hAnsi="Cambria Math"/>
                      </w:rPr>
                      <m:t>u</m:t>
                    </m:r>
                  </m:e>
                  <m:sup>
                    <m:r>
                      <w:rPr>
                        <w:rFonts w:ascii="Cambria Math" w:hAnsi="Cambria Math"/>
                      </w:rPr>
                      <m:t>T</m:t>
                    </m:r>
                  </m:sup>
                </m:sSup>
              </m:e>
            </m:d>
          </m:e>
          <m:sup>
            <m:r>
              <w:rPr>
                <w:rFonts w:ascii="Cambria Math" w:hAnsi="Cambria Math"/>
              </w:rPr>
              <m:t>2</m:t>
            </m:r>
          </m:sup>
        </m:sSup>
      </m:oMath>
      <w:r w:rsidRPr="002973CC">
        <w:t>. The last two terms are responsible for dissipation and production of turbulent kinetic energy, respectively, whereas the default values of the above-reported empirical constants are as follows: C</w:t>
      </w:r>
      <w:r w:rsidRPr="002973CC">
        <w:rPr>
          <w:vertAlign w:val="subscript"/>
          <w:lang w:val="it-IT"/>
        </w:rPr>
        <w:t>μ</w:t>
      </w:r>
      <w:r w:rsidRPr="002973CC">
        <w:t>=0.09, C</w:t>
      </w:r>
      <w:r w:rsidRPr="002973CC">
        <w:rPr>
          <w:vertAlign w:val="subscript"/>
        </w:rPr>
        <w:t>1</w:t>
      </w:r>
      <w:r w:rsidRPr="002973CC">
        <w:t>=1.44, C</w:t>
      </w:r>
      <w:r w:rsidRPr="002973CC">
        <w:rPr>
          <w:vertAlign w:val="subscript"/>
        </w:rPr>
        <w:t>2</w:t>
      </w:r>
      <w:r w:rsidRPr="002973CC">
        <w:t xml:space="preserve">=1.92, </w:t>
      </w:r>
      <w:r w:rsidRPr="002973CC">
        <w:rPr>
          <w:rFonts w:ascii="Symbol" w:hAnsi="Symbol"/>
        </w:rPr>
        <w:t></w:t>
      </w:r>
      <w:r w:rsidRPr="002973CC">
        <w:rPr>
          <w:vertAlign w:val="subscript"/>
        </w:rPr>
        <w:t>k</w:t>
      </w:r>
      <w:r w:rsidRPr="002973CC">
        <w:t xml:space="preserve">=1.0, </w:t>
      </w:r>
      <w:r w:rsidRPr="002973CC">
        <w:rPr>
          <w:rFonts w:ascii="Symbol" w:hAnsi="Symbol"/>
        </w:rPr>
        <w:t></w:t>
      </w:r>
      <w:r w:rsidRPr="002973CC">
        <w:rPr>
          <w:rFonts w:ascii="Symbol" w:hAnsi="Symbol"/>
          <w:vertAlign w:val="subscript"/>
        </w:rPr>
        <w:t></w:t>
      </w:r>
      <w:r w:rsidRPr="002973CC">
        <w:t>=1.3. The system can be solved with proper initial and boundary conditions, already implemented in the software codex</w:t>
      </w:r>
      <w:r>
        <w:t xml:space="preserve"> (</w:t>
      </w:r>
      <w:proofErr w:type="spellStart"/>
      <w:r>
        <w:t>Comsol</w:t>
      </w:r>
      <w:proofErr w:type="spellEnd"/>
      <w:r>
        <w:t xml:space="preserve"> Multiphysics)</w:t>
      </w:r>
      <w:r w:rsidRPr="002973CC">
        <w:t xml:space="preserve">. </w:t>
      </w:r>
      <w:r>
        <w:t xml:space="preserve">The fluid dynamic model was built considering the </w:t>
      </w:r>
      <w:proofErr w:type="spellStart"/>
      <w:r>
        <w:t>nHP</w:t>
      </w:r>
      <w:proofErr w:type="spellEnd"/>
      <w:r>
        <w:t xml:space="preserve"> dispersion in the Cr(VI) solution as a monophasic fluid, since the particle size was small enough to consider this approximation.</w:t>
      </w:r>
      <w:r w:rsidR="002E24F1">
        <w:t xml:space="preserve"> </w:t>
      </w:r>
      <w:r w:rsidR="00005CFF" w:rsidRPr="00005CFF">
        <w:rPr>
          <w:lang w:val="en-GB"/>
        </w:rPr>
        <w:t>The mesh</w:t>
      </w:r>
      <w:r w:rsidR="00A7582A">
        <w:rPr>
          <w:lang w:val="en-GB"/>
        </w:rPr>
        <w:t xml:space="preserve"> (see Figure 1)</w:t>
      </w:r>
      <w:r w:rsidR="00005CFF" w:rsidRPr="00005CFF">
        <w:rPr>
          <w:lang w:val="en-GB"/>
        </w:rPr>
        <w:t xml:space="preserve"> was composed by 461600 volume elements, 16374 surface elements and 1164 boundary elements</w:t>
      </w:r>
      <w:r w:rsidR="00005CFF">
        <w:rPr>
          <w:lang w:val="en-GB"/>
        </w:rPr>
        <w:t xml:space="preserve">; </w:t>
      </w:r>
      <w:r w:rsidR="00005CFF" w:rsidRPr="00005CFF">
        <w:rPr>
          <w:lang w:val="en-GB"/>
        </w:rPr>
        <w:t xml:space="preserve">Impeller region (less than </w:t>
      </w:r>
      <w:r w:rsidR="00005CFF">
        <w:rPr>
          <w:lang w:val="en-GB"/>
        </w:rPr>
        <w:t>2</w:t>
      </w:r>
      <w:r w:rsidR="00005CFF" w:rsidRPr="00005CFF">
        <w:rPr>
          <w:lang w:val="en-GB"/>
        </w:rPr>
        <w:t>% of tank volume) was meshed with more than 1</w:t>
      </w:r>
      <w:r w:rsidR="00005CFF">
        <w:rPr>
          <w:lang w:val="en-GB"/>
        </w:rPr>
        <w:t>0</w:t>
      </w:r>
      <w:r w:rsidR="00005CFF" w:rsidRPr="00005CFF">
        <w:rPr>
          <w:lang w:val="en-GB"/>
        </w:rPr>
        <w:t>% of the total grid size used for the full tank in order to resolve the steep gradients in the impeller region</w:t>
      </w:r>
      <w:r w:rsidR="00005CFF">
        <w:rPr>
          <w:lang w:val="en-GB"/>
        </w:rPr>
        <w:t xml:space="preserve"> (</w:t>
      </w:r>
      <w:r w:rsidR="00005CFF" w:rsidRPr="00005CFF">
        <w:rPr>
          <w:lang w:val="en-GB"/>
        </w:rPr>
        <w:t>as well as the regions near vessel wall and baffle were more densely meshed</w:t>
      </w:r>
      <w:r w:rsidR="00005CFF">
        <w:rPr>
          <w:lang w:val="en-GB"/>
        </w:rPr>
        <w:t>)</w:t>
      </w:r>
      <w:r w:rsidR="00005CFF" w:rsidRPr="00005CFF">
        <w:rPr>
          <w:lang w:val="en-GB"/>
        </w:rPr>
        <w:t>.</w:t>
      </w:r>
    </w:p>
    <w:p w:rsidR="00A7582A" w:rsidRDefault="004623D4" w:rsidP="002E24F1">
      <w:pPr>
        <w:pStyle w:val="CETBodytext"/>
      </w:pPr>
      <w:r>
        <w:rPr>
          <w:noProof/>
          <w:lang w:val="it-IT" w:eastAsia="it-IT"/>
        </w:rPr>
        <w:drawing>
          <wp:inline distT="0" distB="0" distL="0" distR="0">
            <wp:extent cx="1943100" cy="151387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911" cy="1531650"/>
                    </a:xfrm>
                    <a:prstGeom prst="rect">
                      <a:avLst/>
                    </a:prstGeom>
                  </pic:spPr>
                </pic:pic>
              </a:graphicData>
            </a:graphic>
          </wp:inline>
        </w:drawing>
      </w:r>
    </w:p>
    <w:p w:rsidR="00A7582A" w:rsidRPr="00A7582A" w:rsidRDefault="00A7582A" w:rsidP="002E24F1">
      <w:pPr>
        <w:pStyle w:val="CETBodytext"/>
        <w:rPr>
          <w:i/>
        </w:rPr>
      </w:pPr>
      <w:r w:rsidRPr="00A7582A">
        <w:rPr>
          <w:i/>
        </w:rPr>
        <w:t xml:space="preserve">Figure 1: mesh built in </w:t>
      </w:r>
      <w:proofErr w:type="spellStart"/>
      <w:r w:rsidRPr="00A7582A">
        <w:rPr>
          <w:i/>
        </w:rPr>
        <w:t>Comsol</w:t>
      </w:r>
      <w:proofErr w:type="spellEnd"/>
      <w:r w:rsidRPr="00A7582A">
        <w:rPr>
          <w:i/>
        </w:rPr>
        <w:t xml:space="preserve"> software.</w:t>
      </w:r>
    </w:p>
    <w:p w:rsidR="00A7582A" w:rsidRDefault="00A7582A" w:rsidP="002E24F1">
      <w:pPr>
        <w:pStyle w:val="CETBodytext"/>
      </w:pPr>
    </w:p>
    <w:p w:rsidR="002E24F1" w:rsidRDefault="002E24F1" w:rsidP="002E24F1">
      <w:pPr>
        <w:pStyle w:val="CETBodytext"/>
      </w:pPr>
      <w:r>
        <w:t xml:space="preserve">The predicted </w:t>
      </w:r>
      <w:r w:rsidRPr="00D4712F">
        <w:rPr>
          <w:rFonts w:ascii="Symbol" w:hAnsi="Symbol"/>
        </w:rPr>
        <w:t></w:t>
      </w:r>
      <w:r>
        <w:t xml:space="preserve"> values were used to estimate the </w:t>
      </w:r>
      <w:proofErr w:type="spellStart"/>
      <w:r>
        <w:t>k</w:t>
      </w:r>
      <w:r w:rsidRPr="002E24F1">
        <w:rPr>
          <w:vertAlign w:val="subscript"/>
        </w:rPr>
        <w:t>L</w:t>
      </w:r>
      <w:proofErr w:type="spellEnd"/>
      <w:r>
        <w:t xml:space="preserve"> variation in the agitated liquid volume. The maximum predicted </w:t>
      </w:r>
      <w:r w:rsidRPr="00D4712F">
        <w:rPr>
          <w:rFonts w:ascii="Symbol" w:hAnsi="Symbol"/>
        </w:rPr>
        <w:t></w:t>
      </w:r>
      <w:r>
        <w:t xml:space="preserve"> value was also compared with that calculated according to the following correlation</w:t>
      </w:r>
      <w:r w:rsidR="00ED236D">
        <w:t xml:space="preserve"> </w:t>
      </w:r>
      <w:r w:rsidR="00342BA0">
        <w:t>(</w:t>
      </w:r>
      <w:r w:rsidR="00342BA0" w:rsidRPr="00342BA0">
        <w:rPr>
          <w:lang w:val="en-GB"/>
        </w:rPr>
        <w:t xml:space="preserve">Mc </w:t>
      </w:r>
      <w:proofErr w:type="spellStart"/>
      <w:r w:rsidR="00342BA0" w:rsidRPr="00342BA0">
        <w:rPr>
          <w:lang w:val="en-GB"/>
        </w:rPr>
        <w:t>Cabe</w:t>
      </w:r>
      <w:proofErr w:type="spellEnd"/>
      <w:r w:rsidR="00342BA0">
        <w:rPr>
          <w:lang w:val="en-GB"/>
        </w:rPr>
        <w:t xml:space="preserve"> et al., 1993)</w:t>
      </w:r>
      <w:r>
        <w:t>:</w:t>
      </w:r>
    </w:p>
    <w:p w:rsidR="002E24F1" w:rsidRPr="002E24F1" w:rsidRDefault="0092411D" w:rsidP="002E24F1">
      <w:pPr>
        <w:pStyle w:val="CETBodytext"/>
      </w:pPr>
      <m:oMathPara>
        <m:oMath>
          <m:sSub>
            <m:sSubPr>
              <m:ctrlPr>
                <w:rPr>
                  <w:rFonts w:ascii="Cambria Math" w:hAnsi="Cambria Math"/>
                  <w:i/>
                </w:rPr>
              </m:ctrlPr>
            </m:sSubPr>
            <m:e>
              <m:r>
                <w:rPr>
                  <w:rFonts w:ascii="Cambria Math" w:hAnsi="Cambria Math"/>
                </w:rPr>
                <m:t>ε</m:t>
              </m:r>
            </m:e>
            <m:sub>
              <m:r>
                <w:rPr>
                  <w:rFonts w:ascii="Cambria Math" w:hAnsi="Cambria Math"/>
                </w:rPr>
                <m:t>cal</m:t>
              </m:r>
            </m:sub>
          </m:sSub>
          <m:r>
            <w:rPr>
              <w:rFonts w:ascii="Cambria Math" w:hAnsi="Cambria Math"/>
            </w:rPr>
            <m:t>=20</m:t>
          </m:r>
          <m:sSub>
            <m:sSubPr>
              <m:ctrlPr>
                <w:rPr>
                  <w:rFonts w:ascii="Cambria Math" w:hAnsi="Cambria Math"/>
                  <w:i/>
                </w:rPr>
              </m:ctrlPr>
            </m:sSubPr>
            <m:e>
              <m:r>
                <w:rPr>
                  <w:rFonts w:ascii="Cambria Math" w:hAnsi="Cambria Math"/>
                </w:rPr>
                <m:t>ε</m:t>
              </m:r>
            </m:e>
            <m:sub>
              <m:r>
                <w:rPr>
                  <w:rFonts w:ascii="Cambria Math" w:hAnsi="Cambria Math"/>
                </w:rPr>
                <m:t>g</m:t>
              </m:r>
            </m:sub>
          </m:sSub>
          <m:r>
            <w:rPr>
              <w:rFonts w:ascii="Cambria Math" w:hAnsi="Cambria Math"/>
            </w:rPr>
            <m:t>=20</m:t>
          </m:r>
          <m:f>
            <m:fPr>
              <m:ctrlPr>
                <w:rPr>
                  <w:rFonts w:ascii="Cambria Math" w:hAnsi="Cambria Math"/>
                  <w:i/>
                </w:rPr>
              </m:ctrlPr>
            </m:fPr>
            <m:num>
              <m:r>
                <w:rPr>
                  <w:rFonts w:ascii="Cambria Math" w:hAnsi="Cambria Math"/>
                </w:rPr>
                <m:t>P</m:t>
              </m:r>
            </m:num>
            <m:den>
              <m:sSub>
                <m:sSubPr>
                  <m:ctrlPr>
                    <w:rPr>
                      <w:rFonts w:ascii="Cambria Math" w:hAnsi="Cambria Math"/>
                      <w:i/>
                    </w:rPr>
                  </m:ctrlPr>
                </m:sSubPr>
                <m:e>
                  <m:r>
                    <w:rPr>
                      <w:rFonts w:ascii="Cambria Math" w:hAnsi="Cambria Math"/>
                    </w:rPr>
                    <m:t>V</m:t>
                  </m:r>
                </m:e>
                <m:sub>
                  <m:r>
                    <w:rPr>
                      <w:rFonts w:ascii="Cambria Math" w:hAnsi="Cambria Math"/>
                    </w:rPr>
                    <m:t>T</m:t>
                  </m:r>
                </m:sub>
              </m:sSub>
              <m:sSub>
                <m:sSubPr>
                  <m:ctrlPr>
                    <w:rPr>
                      <w:rFonts w:ascii="Cambria Math" w:hAnsi="Cambria Math"/>
                      <w:i/>
                    </w:rPr>
                  </m:ctrlPr>
                </m:sSubPr>
                <m:e>
                  <m:r>
                    <w:rPr>
                      <w:rFonts w:ascii="Cambria Math" w:hAnsi="Cambria Math"/>
                    </w:rPr>
                    <m:t>ρ</m:t>
                  </m:r>
                </m:e>
                <m:sub>
                  <m:r>
                    <w:rPr>
                      <w:rFonts w:ascii="Cambria Math" w:hAnsi="Cambria Math"/>
                    </w:rPr>
                    <m:t>L</m:t>
                  </m:r>
                </m:sub>
              </m:sSub>
            </m:den>
          </m:f>
          <m:r>
            <w:rPr>
              <w:rFonts w:ascii="Cambria Math" w:hAnsi="Cambria Math"/>
            </w:rPr>
            <m:t>=20</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m:t>
                  </m:r>
                </m:sub>
              </m:sSub>
              <m:sSup>
                <m:sSupPr>
                  <m:ctrlPr>
                    <w:rPr>
                      <w:rFonts w:ascii="Cambria Math" w:hAnsi="Cambria Math"/>
                      <w:i/>
                    </w:rPr>
                  </m:ctrlPr>
                </m:sSupPr>
                <m:e>
                  <m:r>
                    <w:rPr>
                      <w:rFonts w:ascii="Cambria Math" w:hAnsi="Cambria Math"/>
                    </w:rPr>
                    <m:t>N</m:t>
                  </m:r>
                </m:e>
                <m:sup>
                  <m:r>
                    <w:rPr>
                      <w:rFonts w:ascii="Cambria Math" w:hAnsi="Cambria Math"/>
                    </w:rPr>
                    <m:t>3</m:t>
                  </m:r>
                </m:sup>
              </m:sSup>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5</m:t>
                  </m:r>
                </m:sup>
              </m:sSubSup>
            </m:num>
            <m:den>
              <m:sSub>
                <m:sSubPr>
                  <m:ctrlPr>
                    <w:rPr>
                      <w:rFonts w:ascii="Cambria Math" w:hAnsi="Cambria Math"/>
                      <w:i/>
                    </w:rPr>
                  </m:ctrlPr>
                </m:sSubPr>
                <m:e>
                  <m:r>
                    <w:rPr>
                      <w:rFonts w:ascii="Cambria Math" w:hAnsi="Cambria Math"/>
                    </w:rPr>
                    <m:t>V</m:t>
                  </m:r>
                </m:e>
                <m:sub>
                  <m:r>
                    <w:rPr>
                      <w:rFonts w:ascii="Cambria Math" w:hAnsi="Cambria Math"/>
                    </w:rPr>
                    <m:t>T</m:t>
                  </m:r>
                </m:sub>
              </m:sSub>
            </m:den>
          </m:f>
          <m:r>
            <w:rPr>
              <w:rFonts w:ascii="Cambria Math" w:hAnsi="Cambria Math"/>
            </w:rPr>
            <m:t xml:space="preserve">                                                                                                                                            (12)</m:t>
          </m:r>
        </m:oMath>
      </m:oMathPara>
    </w:p>
    <w:p w:rsidR="002E24F1" w:rsidRDefault="002E24F1" w:rsidP="002E24F1">
      <w:pPr>
        <w:pStyle w:val="CETBodytext"/>
        <w:rPr>
          <w:lang w:val="en-GB"/>
        </w:rPr>
      </w:pPr>
      <w:r>
        <w:rPr>
          <w:lang w:val="en-GB"/>
        </w:rPr>
        <w:t xml:space="preserve">where </w:t>
      </w:r>
      <w:r w:rsidRPr="002E24F1">
        <w:rPr>
          <w:lang w:val="en-GB"/>
        </w:rPr>
        <w:t>P (</w:t>
      </w:r>
      <w:r w:rsidR="00625BAA">
        <w:rPr>
          <w:lang w:val="en-GB"/>
        </w:rPr>
        <w:t>W)</w:t>
      </w:r>
      <w:r w:rsidRPr="002E24F1">
        <w:rPr>
          <w:lang w:val="en-GB"/>
        </w:rPr>
        <w:t xml:space="preserve"> is the power required to drive the impeller, </w:t>
      </w:r>
      <w:r w:rsidRPr="002E24F1">
        <w:rPr>
          <w:rFonts w:ascii="Symbol" w:hAnsi="Symbol"/>
          <w:lang w:val="en-GB"/>
        </w:rPr>
        <w:t></w:t>
      </w:r>
      <w:r w:rsidRPr="002E24F1">
        <w:rPr>
          <w:vertAlign w:val="subscript"/>
          <w:lang w:val="en-GB"/>
        </w:rPr>
        <w:t>g</w:t>
      </w:r>
      <w:r w:rsidRPr="002E24F1">
        <w:rPr>
          <w:lang w:val="en-GB"/>
        </w:rPr>
        <w:t xml:space="preserve"> (m</w:t>
      </w:r>
      <w:r w:rsidRPr="002E24F1">
        <w:rPr>
          <w:vertAlign w:val="superscript"/>
          <w:lang w:val="en-GB"/>
        </w:rPr>
        <w:t>2</w:t>
      </w:r>
      <w:r w:rsidRPr="002E24F1">
        <w:rPr>
          <w:lang w:val="en-GB"/>
        </w:rPr>
        <w:t xml:space="preserve"> s</w:t>
      </w:r>
      <w:r w:rsidRPr="002E24F1">
        <w:rPr>
          <w:vertAlign w:val="superscript"/>
          <w:lang w:val="en-GB"/>
        </w:rPr>
        <w:t>-3</w:t>
      </w:r>
      <w:r w:rsidRPr="002E24F1">
        <w:rPr>
          <w:lang w:val="en-GB"/>
        </w:rPr>
        <w:t>) is the turbulent kinetic energy dissipation rate referred to the tank (usually one or two order of magnitude lower in comparison to the value observed close to the impeller)</w:t>
      </w:r>
      <w:r>
        <w:rPr>
          <w:lang w:val="en-GB"/>
        </w:rPr>
        <w:t>, N (</w:t>
      </w:r>
      <w:proofErr w:type="spellStart"/>
      <w:r>
        <w:rPr>
          <w:lang w:val="en-GB"/>
        </w:rPr>
        <w:t>rps</w:t>
      </w:r>
      <w:proofErr w:type="spellEnd"/>
      <w:r>
        <w:rPr>
          <w:lang w:val="en-GB"/>
        </w:rPr>
        <w:t>) is the impeller velocity and N</w:t>
      </w:r>
      <w:r w:rsidRPr="007E3DA6">
        <w:rPr>
          <w:vertAlign w:val="subscript"/>
          <w:lang w:val="en-GB"/>
        </w:rPr>
        <w:t>p</w:t>
      </w:r>
      <w:r>
        <w:rPr>
          <w:lang w:val="en-GB"/>
        </w:rPr>
        <w:t xml:space="preserve"> is the impeller power number (for a Rushton impeller and </w:t>
      </w:r>
      <w:r w:rsidRPr="002E24F1">
        <w:rPr>
          <w:lang w:val="en-GB"/>
        </w:rPr>
        <w:t>for Re&gt;2000 N</w:t>
      </w:r>
      <w:r w:rsidRPr="002E24F1">
        <w:rPr>
          <w:vertAlign w:val="subscript"/>
          <w:lang w:val="en-GB"/>
        </w:rPr>
        <w:t>p</w:t>
      </w:r>
      <w:r>
        <w:rPr>
          <w:vertAlign w:val="subscript"/>
          <w:lang w:val="en-GB"/>
        </w:rPr>
        <w:t xml:space="preserve"> </w:t>
      </w:r>
      <w:r>
        <w:rPr>
          <w:lang w:val="en-GB"/>
        </w:rPr>
        <w:t xml:space="preserve">is constant and equal to </w:t>
      </w:r>
      <w:r w:rsidRPr="002E24F1">
        <w:rPr>
          <w:lang w:val="en-GB"/>
        </w:rPr>
        <w:t>5</w:t>
      </w:r>
      <w:r w:rsidR="00342BA0">
        <w:rPr>
          <w:lang w:val="en-GB"/>
        </w:rPr>
        <w:t xml:space="preserve"> (Mc </w:t>
      </w:r>
      <w:proofErr w:type="spellStart"/>
      <w:r w:rsidR="00342BA0">
        <w:rPr>
          <w:lang w:val="en-GB"/>
        </w:rPr>
        <w:t>Cabe</w:t>
      </w:r>
      <w:proofErr w:type="spellEnd"/>
      <w:r w:rsidR="00342BA0">
        <w:rPr>
          <w:lang w:val="en-GB"/>
        </w:rPr>
        <w:t xml:space="preserve"> et al., 1993)</w:t>
      </w:r>
      <w:r>
        <w:rPr>
          <w:lang w:val="en-GB"/>
        </w:rPr>
        <w:t>)</w:t>
      </w:r>
      <w:r w:rsidRPr="002E24F1">
        <w:rPr>
          <w:lang w:val="en-GB"/>
        </w:rPr>
        <w:t>.</w:t>
      </w:r>
      <w:r w:rsidR="00005CFF">
        <w:rPr>
          <w:lang w:val="en-GB"/>
        </w:rPr>
        <w:t xml:space="preserve"> </w:t>
      </w:r>
    </w:p>
    <w:p w:rsidR="00600535" w:rsidRDefault="007D05D6" w:rsidP="00600535">
      <w:pPr>
        <w:pStyle w:val="CETHeading1"/>
        <w:rPr>
          <w:lang w:val="en-GB"/>
        </w:rPr>
      </w:pPr>
      <w:r>
        <w:rPr>
          <w:lang w:val="en-GB"/>
        </w:rPr>
        <w:lastRenderedPageBreak/>
        <w:t>Results and Discussion</w:t>
      </w:r>
    </w:p>
    <w:p w:rsidR="007D05D6" w:rsidRDefault="00515831" w:rsidP="007D05D6">
      <w:pPr>
        <w:pStyle w:val="CETheadingx"/>
      </w:pPr>
      <w:r>
        <w:t xml:space="preserve">Influence of </w:t>
      </w:r>
      <w:r w:rsidR="00A7582A">
        <w:t>impeller rotational velocity on Cr(VI) removal</w:t>
      </w:r>
    </w:p>
    <w:p w:rsidR="007D05D6" w:rsidRDefault="007D05D6" w:rsidP="007D05D6">
      <w:pPr>
        <w:pStyle w:val="CETBodytext"/>
      </w:pPr>
      <w:r>
        <w:t xml:space="preserve">Figure </w:t>
      </w:r>
      <w:r w:rsidR="00A7582A">
        <w:t>2</w:t>
      </w:r>
      <w:r>
        <w:t xml:space="preserve"> displays the obtained </w:t>
      </w:r>
      <w:r w:rsidR="00A7582A">
        <w:t>kinetic data at different N values.</w:t>
      </w:r>
    </w:p>
    <w:p w:rsidR="00A92D2C" w:rsidRDefault="00A92D2C" w:rsidP="007D05D6">
      <w:pPr>
        <w:pStyle w:val="CETBodytext"/>
      </w:pPr>
    </w:p>
    <w:p w:rsidR="007D05D6" w:rsidRDefault="00EA0DFC" w:rsidP="007D05D6">
      <w:pPr>
        <w:pStyle w:val="CETBodytext"/>
      </w:pPr>
      <w:r>
        <w:rPr>
          <w:noProof/>
          <w:lang w:val="it-IT" w:eastAsia="it-IT"/>
        </w:rPr>
        <w:drawing>
          <wp:inline distT="0" distB="0" distL="0" distR="0" wp14:anchorId="10AD5C82" wp14:editId="1D4179AF">
            <wp:extent cx="3382768" cy="2257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93575" cy="2264637"/>
                    </a:xfrm>
                    <a:prstGeom prst="rect">
                      <a:avLst/>
                    </a:prstGeom>
                  </pic:spPr>
                </pic:pic>
              </a:graphicData>
            </a:graphic>
          </wp:inline>
        </w:drawing>
      </w:r>
    </w:p>
    <w:p w:rsidR="007D05D6" w:rsidRPr="00A16173" w:rsidRDefault="00A16173" w:rsidP="007D05D6">
      <w:pPr>
        <w:pStyle w:val="CETBodytext"/>
        <w:rPr>
          <w:i/>
        </w:rPr>
      </w:pPr>
      <w:r w:rsidRPr="00A16173">
        <w:rPr>
          <w:i/>
        </w:rPr>
        <w:t xml:space="preserve">Figure </w:t>
      </w:r>
      <w:r w:rsidR="00A7582A">
        <w:rPr>
          <w:i/>
        </w:rPr>
        <w:t>2</w:t>
      </w:r>
      <w:r w:rsidRPr="00A16173">
        <w:rPr>
          <w:i/>
        </w:rPr>
        <w:t xml:space="preserve">: </w:t>
      </w:r>
      <w:r w:rsidR="003F49CD">
        <w:rPr>
          <w:i/>
        </w:rPr>
        <w:t>Cr(VI) equilibrium data over time at different impeller velocity</w:t>
      </w:r>
      <w:r w:rsidRPr="00A16173">
        <w:rPr>
          <w:i/>
        </w:rPr>
        <w:t xml:space="preserve"> (temperature=25°C, Cr(VI)</w:t>
      </w:r>
      <w:r w:rsidRPr="00A16173">
        <w:rPr>
          <w:i/>
          <w:vertAlign w:val="subscript"/>
        </w:rPr>
        <w:t>0</w:t>
      </w:r>
      <w:r w:rsidRPr="00A16173">
        <w:rPr>
          <w:i/>
        </w:rPr>
        <w:t xml:space="preserve">=20 mg/L, </w:t>
      </w:r>
      <w:proofErr w:type="spellStart"/>
      <w:r w:rsidR="003F49CD">
        <w:rPr>
          <w:i/>
        </w:rPr>
        <w:t>nHP</w:t>
      </w:r>
      <w:proofErr w:type="spellEnd"/>
      <w:r w:rsidR="003F49CD">
        <w:rPr>
          <w:i/>
        </w:rPr>
        <w:t xml:space="preserve"> concentration=6 g/L</w:t>
      </w:r>
      <w:r w:rsidRPr="00A16173">
        <w:rPr>
          <w:i/>
        </w:rPr>
        <w:t>).</w:t>
      </w:r>
    </w:p>
    <w:p w:rsidR="00A16173" w:rsidRDefault="00A16173" w:rsidP="007D05D6">
      <w:pPr>
        <w:pStyle w:val="CETBodytext"/>
      </w:pPr>
    </w:p>
    <w:p w:rsidR="00502AFB" w:rsidRDefault="003F49CD" w:rsidP="007D05D6">
      <w:pPr>
        <w:pStyle w:val="CETBodytext"/>
      </w:pPr>
      <w:r>
        <w:t>It can be clearly observed from the above reported graphs that an increase in the impeller velocity led to an increase of the final Cr(VI) removal efficiency, without varying the trends</w:t>
      </w:r>
      <w:r w:rsidR="00BB26BA">
        <w:t xml:space="preserve">. </w:t>
      </w:r>
      <w:r>
        <w:t xml:space="preserve">More in detail, </w:t>
      </w:r>
      <w:r w:rsidR="00BB26BA">
        <w:t xml:space="preserve">the Cr(VI) removal efficiency </w:t>
      </w:r>
      <w:r w:rsidR="00FF3015">
        <w:t>values were 79.5, 86, 90.8 and 94% for N=500, 750, 1000 and 1250 rpm, respectively.</w:t>
      </w:r>
      <w:r w:rsidR="008C5BDB">
        <w:t xml:space="preserve"> Another important result was that the asymptote of Cr(VI) concentration was reached </w:t>
      </w:r>
      <w:r w:rsidR="00625BAA">
        <w:t>before 300 min when the N value was increased from 500 up to 1000 rpm, since the asymptotic Cr(VI) concentration value was reached after 180 min.</w:t>
      </w:r>
      <w:r w:rsidR="00DF29A6">
        <w:t xml:space="preserve"> Similar results have been reported by other authors, </w:t>
      </w:r>
      <w:r w:rsidR="002F112E">
        <w:t xml:space="preserve">where Cr(VI) removal up to 85% have been reached using 3 g/L of </w:t>
      </w:r>
      <w:proofErr w:type="spellStart"/>
      <w:r w:rsidR="002F112E">
        <w:t>nHP</w:t>
      </w:r>
      <w:proofErr w:type="spellEnd"/>
      <w:r w:rsidR="002F112E">
        <w:t xml:space="preserve"> in acid environment (Liu et al., 2010).</w:t>
      </w:r>
    </w:p>
    <w:p w:rsidR="00FF3015" w:rsidRDefault="00625BAA" w:rsidP="007D05D6">
      <w:pPr>
        <w:pStyle w:val="CETBodytext"/>
      </w:pPr>
      <w:r>
        <w:t xml:space="preserve">Through </w:t>
      </w:r>
      <w:proofErr w:type="spellStart"/>
      <w:r>
        <w:t>Eqs</w:t>
      </w:r>
      <w:proofErr w:type="spellEnd"/>
      <w:r>
        <w:t>. (5), (6), (7) and (12) a first evaluation of the N influence on the mass transfer process efficiency was performed, as reported in figure 3.</w:t>
      </w:r>
    </w:p>
    <w:p w:rsidR="00625BAA" w:rsidRDefault="00CD343A" w:rsidP="007D05D6">
      <w:pPr>
        <w:pStyle w:val="CETBodytext"/>
      </w:pPr>
      <w:r>
        <w:t xml:space="preserve"> </w:t>
      </w:r>
      <w:r w:rsidR="007707C4">
        <w:rPr>
          <w:noProof/>
          <w:lang w:val="it-IT" w:eastAsia="it-IT"/>
        </w:rPr>
        <w:drawing>
          <wp:inline distT="0" distB="0" distL="0" distR="0" wp14:anchorId="08AC997E" wp14:editId="0B71108B">
            <wp:extent cx="3557701" cy="23812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6141" cy="2420365"/>
                    </a:xfrm>
                    <a:prstGeom prst="rect">
                      <a:avLst/>
                    </a:prstGeom>
                  </pic:spPr>
                </pic:pic>
              </a:graphicData>
            </a:graphic>
          </wp:inline>
        </w:drawing>
      </w:r>
    </w:p>
    <w:p w:rsidR="00625BAA" w:rsidRPr="00CD343A" w:rsidRDefault="00CD343A" w:rsidP="007D05D6">
      <w:pPr>
        <w:pStyle w:val="CETBodytext"/>
        <w:rPr>
          <w:i/>
        </w:rPr>
      </w:pPr>
      <w:r w:rsidRPr="00CD343A">
        <w:rPr>
          <w:i/>
        </w:rPr>
        <w:t xml:space="preserve">Figure 3: </w:t>
      </w:r>
      <w:r w:rsidRPr="00CD343A">
        <w:rPr>
          <w:rFonts w:ascii="Symbol" w:hAnsi="Symbol"/>
          <w:i/>
        </w:rPr>
        <w:t></w:t>
      </w:r>
      <w:r w:rsidRPr="00CD343A">
        <w:rPr>
          <w:i/>
        </w:rPr>
        <w:t xml:space="preserve"> and </w:t>
      </w:r>
      <w:proofErr w:type="spellStart"/>
      <w:r w:rsidRPr="00CD343A">
        <w:rPr>
          <w:i/>
        </w:rPr>
        <w:t>k</w:t>
      </w:r>
      <w:r w:rsidRPr="00CD343A">
        <w:rPr>
          <w:i/>
          <w:vertAlign w:val="subscript"/>
        </w:rPr>
        <w:t>L</w:t>
      </w:r>
      <w:proofErr w:type="spellEnd"/>
      <w:r w:rsidRPr="00CD343A">
        <w:rPr>
          <w:i/>
        </w:rPr>
        <w:t xml:space="preserve"> values obtained from empirical correlations.</w:t>
      </w:r>
    </w:p>
    <w:p w:rsidR="00FF3015" w:rsidRDefault="00FF3015" w:rsidP="007D05D6">
      <w:pPr>
        <w:pStyle w:val="CETBodytext"/>
      </w:pPr>
    </w:p>
    <w:p w:rsidR="00A16173" w:rsidRDefault="00CD343A" w:rsidP="00587BF1">
      <w:pPr>
        <w:pStyle w:val="CETBodytext"/>
      </w:pPr>
      <w:r>
        <w:t xml:space="preserve">As expected, the </w:t>
      </w:r>
      <w:r w:rsidRPr="00CD343A">
        <w:rPr>
          <w:rFonts w:ascii="Symbol" w:hAnsi="Symbol"/>
        </w:rPr>
        <w:t></w:t>
      </w:r>
      <w:r>
        <w:t xml:space="preserve"> and </w:t>
      </w:r>
      <w:proofErr w:type="spellStart"/>
      <w:r>
        <w:t>k</w:t>
      </w:r>
      <w:r w:rsidRPr="00CD343A">
        <w:rPr>
          <w:vertAlign w:val="subscript"/>
        </w:rPr>
        <w:t>L</w:t>
      </w:r>
      <w:proofErr w:type="spellEnd"/>
      <w:r>
        <w:t xml:space="preserve"> increased with N increase. However, the </w:t>
      </w:r>
      <w:proofErr w:type="spellStart"/>
      <w:r>
        <w:t>k</w:t>
      </w:r>
      <w:r w:rsidRPr="0025610A">
        <w:rPr>
          <w:vertAlign w:val="subscript"/>
        </w:rPr>
        <w:t>L</w:t>
      </w:r>
      <w:proofErr w:type="spellEnd"/>
      <w:r>
        <w:t xml:space="preserve"> increase was quite restrained (about 3% from N=500 up to N=1250 rpm) in comparison with the Cr(VI) removal efficiency enhancement (from 79.5 to 94%) implying that the hydrodynamic conditions variation </w:t>
      </w:r>
      <w:r w:rsidR="00D64955">
        <w:t>influence on the process should be quantified with more suitable parameters. For instance, the turbulent dissipated energy rate increase</w:t>
      </w:r>
      <w:r w:rsidR="0021559E">
        <w:t>,</w:t>
      </w:r>
      <w:r w:rsidR="00D64955">
        <w:t xml:space="preserve"> better justified the overall process efficiency improvement, since it</w:t>
      </w:r>
      <w:r w:rsidR="007E3DA6">
        <w:t xml:space="preserve"> increased from 4.6 up to 71.7 W</w:t>
      </w:r>
      <w:r w:rsidR="00D64955">
        <w:t xml:space="preserve">/kg, passing from N=500 up to N=1250 rpm. Indeed, it is well known that larger e values led to higher mixing efficiency, therefore to higher mass transfer rate in agitated liquid/solid systems (Paul et al., 2004). </w:t>
      </w:r>
      <w:r w:rsidR="00587BF1">
        <w:t xml:space="preserve">From </w:t>
      </w:r>
      <w:r w:rsidR="00E5620F">
        <w:t xml:space="preserve">the </w:t>
      </w:r>
      <w:r w:rsidR="00587BF1">
        <w:t xml:space="preserve">CFD simulations the </w:t>
      </w:r>
      <w:r w:rsidR="00587BF1">
        <w:lastRenderedPageBreak/>
        <w:t xml:space="preserve">distribution of both </w:t>
      </w:r>
      <w:r w:rsidR="00587BF1" w:rsidRPr="00E5620F">
        <w:rPr>
          <w:rFonts w:ascii="Symbol" w:hAnsi="Symbol"/>
        </w:rPr>
        <w:t></w:t>
      </w:r>
      <w:r w:rsidR="00587BF1">
        <w:t xml:space="preserve"> and </w:t>
      </w:r>
      <w:proofErr w:type="spellStart"/>
      <w:r w:rsidR="00587BF1">
        <w:t>k</w:t>
      </w:r>
      <w:r w:rsidR="00587BF1" w:rsidRPr="00E5620F">
        <w:rPr>
          <w:vertAlign w:val="subscript"/>
        </w:rPr>
        <w:t>L</w:t>
      </w:r>
      <w:proofErr w:type="spellEnd"/>
      <w:r w:rsidR="00587BF1">
        <w:t xml:space="preserve"> </w:t>
      </w:r>
      <w:r w:rsidR="00E5620F">
        <w:t xml:space="preserve">in the tank liquid volume for N=500 and N=1250 rpm </w:t>
      </w:r>
      <w:r w:rsidR="00587BF1">
        <w:t>was obtained and reported in Figure 4.</w:t>
      </w:r>
      <w:r>
        <w:t xml:space="preserve"> </w:t>
      </w:r>
      <w:r w:rsidR="00BB26BA">
        <w:t xml:space="preserve"> </w:t>
      </w:r>
    </w:p>
    <w:p w:rsidR="00A92D2C" w:rsidRDefault="00A92D2C" w:rsidP="007D05D6">
      <w:pPr>
        <w:pStyle w:val="CETBodytext"/>
      </w:pPr>
    </w:p>
    <w:p w:rsidR="00A16173" w:rsidRDefault="007436AD" w:rsidP="007D05D6">
      <w:pPr>
        <w:pStyle w:val="CETBodytext"/>
      </w:pPr>
      <w:r>
        <w:rPr>
          <w:noProof/>
          <w:lang w:val="it-IT" w:eastAsia="it-IT"/>
        </w:rPr>
        <w:drawing>
          <wp:inline distT="0" distB="0" distL="0" distR="0" wp14:anchorId="73B1A95F" wp14:editId="4A93007D">
            <wp:extent cx="2565173" cy="20478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8412" cy="2074411"/>
                    </a:xfrm>
                    <a:prstGeom prst="rect">
                      <a:avLst/>
                    </a:prstGeom>
                  </pic:spPr>
                </pic:pic>
              </a:graphicData>
            </a:graphic>
          </wp:inline>
        </w:drawing>
      </w:r>
      <w:r w:rsidR="00F92199">
        <w:rPr>
          <w:noProof/>
        </w:rPr>
        <w:t xml:space="preserve">                      </w:t>
      </w:r>
      <w:r>
        <w:rPr>
          <w:noProof/>
          <w:lang w:val="it-IT" w:eastAsia="it-IT"/>
        </w:rPr>
        <w:drawing>
          <wp:inline distT="0" distB="0" distL="0" distR="0" wp14:anchorId="766E1F02" wp14:editId="308ED72B">
            <wp:extent cx="2217367" cy="20764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8521" cy="2114988"/>
                    </a:xfrm>
                    <a:prstGeom prst="rect">
                      <a:avLst/>
                    </a:prstGeom>
                  </pic:spPr>
                </pic:pic>
              </a:graphicData>
            </a:graphic>
          </wp:inline>
        </w:drawing>
      </w:r>
    </w:p>
    <w:p w:rsidR="00A16173" w:rsidRDefault="00A16173" w:rsidP="00A16173">
      <w:pPr>
        <w:pStyle w:val="CETBodytext"/>
        <w:rPr>
          <w:i/>
        </w:rPr>
      </w:pPr>
      <w:r>
        <w:rPr>
          <w:i/>
        </w:rPr>
        <w:t xml:space="preserve">Figure </w:t>
      </w:r>
      <w:r w:rsidR="00587BF1">
        <w:rPr>
          <w:i/>
        </w:rPr>
        <w:t>4</w:t>
      </w:r>
      <w:r w:rsidRPr="00A16173">
        <w:rPr>
          <w:i/>
        </w:rPr>
        <w:t xml:space="preserve">: </w:t>
      </w:r>
      <w:r w:rsidR="00E5620F" w:rsidRPr="005F3D84">
        <w:rPr>
          <w:rFonts w:ascii="Symbol" w:hAnsi="Symbol"/>
          <w:i/>
        </w:rPr>
        <w:t></w:t>
      </w:r>
      <w:r w:rsidR="00E5620F">
        <w:rPr>
          <w:i/>
        </w:rPr>
        <w:t xml:space="preserve"> and </w:t>
      </w:r>
      <w:proofErr w:type="spellStart"/>
      <w:r w:rsidR="00E5620F">
        <w:rPr>
          <w:i/>
        </w:rPr>
        <w:t>k</w:t>
      </w:r>
      <w:r w:rsidR="00E5620F" w:rsidRPr="005F3D84">
        <w:rPr>
          <w:i/>
          <w:vertAlign w:val="subscript"/>
        </w:rPr>
        <w:t>L</w:t>
      </w:r>
      <w:proofErr w:type="spellEnd"/>
      <w:r w:rsidR="00E5620F">
        <w:rPr>
          <w:i/>
        </w:rPr>
        <w:t xml:space="preserve"> values for N=</w:t>
      </w:r>
      <w:r w:rsidR="0036236C">
        <w:rPr>
          <w:i/>
        </w:rPr>
        <w:t>12</w:t>
      </w:r>
      <w:r w:rsidR="00E5620F">
        <w:rPr>
          <w:i/>
        </w:rPr>
        <w:t xml:space="preserve">50 </w:t>
      </w:r>
      <w:r w:rsidR="007E3DA6">
        <w:rPr>
          <w:i/>
        </w:rPr>
        <w:t xml:space="preserve">rpm </w:t>
      </w:r>
      <w:r w:rsidR="00E5620F">
        <w:rPr>
          <w:i/>
        </w:rPr>
        <w:t>(</w:t>
      </w:r>
      <w:proofErr w:type="spellStart"/>
      <w:r w:rsidR="00E5620F">
        <w:rPr>
          <w:i/>
        </w:rPr>
        <w:t>a,b</w:t>
      </w:r>
      <w:proofErr w:type="spellEnd"/>
      <w:r w:rsidR="00E5620F">
        <w:rPr>
          <w:i/>
        </w:rPr>
        <w:t>)</w:t>
      </w:r>
      <w:r w:rsidR="007436AD">
        <w:rPr>
          <w:i/>
        </w:rPr>
        <w:t>.</w:t>
      </w:r>
    </w:p>
    <w:p w:rsidR="00A16173" w:rsidRDefault="00A16173" w:rsidP="00A16173">
      <w:pPr>
        <w:pStyle w:val="CETBodytext"/>
        <w:rPr>
          <w:i/>
        </w:rPr>
      </w:pPr>
    </w:p>
    <w:p w:rsidR="009B5087" w:rsidRPr="00A16173" w:rsidRDefault="007436AD" w:rsidP="00F81824">
      <w:pPr>
        <w:pStyle w:val="CETBodytext"/>
      </w:pPr>
      <w:r>
        <w:t xml:space="preserve">The mass transfer coefficient values predicted from the model were in agreement with those estimated by empirical correlations. Indeed, the CFD model calculated a distribution of both </w:t>
      </w:r>
      <w:r w:rsidRPr="00EA0DFC">
        <w:rPr>
          <w:rFonts w:ascii="Symbol" w:hAnsi="Symbol"/>
        </w:rPr>
        <w:t></w:t>
      </w:r>
      <w:r>
        <w:t xml:space="preserve"> and </w:t>
      </w:r>
      <w:proofErr w:type="spellStart"/>
      <w:r>
        <w:t>k</w:t>
      </w:r>
      <w:r w:rsidRPr="00EA0DFC">
        <w:rPr>
          <w:vertAlign w:val="subscript"/>
        </w:rPr>
        <w:t>L</w:t>
      </w:r>
      <w:proofErr w:type="spellEnd"/>
      <w:r>
        <w:t xml:space="preserve"> values, where the maximum</w:t>
      </w:r>
      <w:r w:rsidR="00EA0DFC">
        <w:t xml:space="preserve"> </w:t>
      </w:r>
      <w:proofErr w:type="spellStart"/>
      <w:r w:rsidR="00EA0DFC">
        <w:t>k</w:t>
      </w:r>
      <w:r w:rsidR="00EA0DFC" w:rsidRPr="00EA0DFC">
        <w:rPr>
          <w:vertAlign w:val="subscript"/>
        </w:rPr>
        <w:t>L</w:t>
      </w:r>
      <w:proofErr w:type="spellEnd"/>
      <w:r>
        <w:t xml:space="preserve"> value</w:t>
      </w:r>
      <w:r w:rsidR="00EA0DFC">
        <w:t xml:space="preserve"> on the impeller tips (2.61 m/s</w:t>
      </w:r>
      <w:r w:rsidR="00116993">
        <w:t xml:space="preserve"> x 10</w:t>
      </w:r>
      <w:r w:rsidR="00116993" w:rsidRPr="00116993">
        <w:rPr>
          <w:vertAlign w:val="superscript"/>
        </w:rPr>
        <w:t>-2</w:t>
      </w:r>
      <w:r w:rsidR="00EA0DFC">
        <w:t xml:space="preserve">), was very close to the 2.88 </w:t>
      </w:r>
      <w:r w:rsidR="007E3DA6">
        <w:t>x 10</w:t>
      </w:r>
      <w:r w:rsidR="007E3DA6" w:rsidRPr="007E3DA6">
        <w:rPr>
          <w:vertAlign w:val="superscript"/>
        </w:rPr>
        <w:t>-2</w:t>
      </w:r>
      <w:r w:rsidR="007E3DA6" w:rsidRPr="007E3DA6">
        <w:t xml:space="preserve"> </w:t>
      </w:r>
      <w:r w:rsidR="007E3DA6">
        <w:t xml:space="preserve">m/s </w:t>
      </w:r>
      <w:r w:rsidR="00EA0DFC">
        <w:t>previously calculated.</w:t>
      </w:r>
    </w:p>
    <w:p w:rsidR="00A16173" w:rsidRPr="007D05D6" w:rsidRDefault="00A16173" w:rsidP="007D05D6">
      <w:pPr>
        <w:pStyle w:val="CETBodytext"/>
      </w:pPr>
    </w:p>
    <w:p w:rsidR="007D05D6" w:rsidRPr="00B57B36" w:rsidRDefault="007D05D6" w:rsidP="007D05D6">
      <w:pPr>
        <w:pStyle w:val="CETheadingx"/>
      </w:pPr>
      <w:r>
        <w:t xml:space="preserve">Kinetic </w:t>
      </w:r>
      <w:r w:rsidR="00587BF1">
        <w:t>data modelling</w:t>
      </w:r>
    </w:p>
    <w:p w:rsidR="007D05D6" w:rsidRDefault="00A92D2C" w:rsidP="007D05D6">
      <w:pPr>
        <w:pStyle w:val="CETBodytext"/>
        <w:rPr>
          <w:lang w:val="en-GB"/>
        </w:rPr>
      </w:pPr>
      <w:r>
        <w:rPr>
          <w:lang w:val="en-GB"/>
        </w:rPr>
        <w:t xml:space="preserve">Figure </w:t>
      </w:r>
      <w:r w:rsidR="00587BF1">
        <w:rPr>
          <w:lang w:val="en-GB"/>
        </w:rPr>
        <w:t>5</w:t>
      </w:r>
      <w:r>
        <w:rPr>
          <w:lang w:val="en-GB"/>
        </w:rPr>
        <w:t xml:space="preserve"> shows the kinetic </w:t>
      </w:r>
      <w:r w:rsidR="00E5620F">
        <w:rPr>
          <w:lang w:val="en-GB"/>
        </w:rPr>
        <w:t>mass transfer model fitted on the experimental data</w:t>
      </w:r>
      <w:r w:rsidR="005549B7">
        <w:rPr>
          <w:lang w:val="en-GB"/>
        </w:rPr>
        <w:t xml:space="preserve"> and the </w:t>
      </w:r>
      <w:r w:rsidR="00EA6FDB">
        <w:rPr>
          <w:lang w:val="en-GB"/>
        </w:rPr>
        <w:t xml:space="preserve">relation between regressed </w:t>
      </w:r>
      <w:proofErr w:type="spellStart"/>
      <w:r w:rsidR="00EA6FDB">
        <w:rPr>
          <w:lang w:val="en-GB"/>
        </w:rPr>
        <w:t>k</w:t>
      </w:r>
      <w:r w:rsidR="00EA6FDB" w:rsidRPr="00EA6FDB">
        <w:rPr>
          <w:vertAlign w:val="subscript"/>
          <w:lang w:val="en-GB"/>
        </w:rPr>
        <w:t>L</w:t>
      </w:r>
      <w:proofErr w:type="spellEnd"/>
      <w:r w:rsidR="00EA6FDB">
        <w:rPr>
          <w:lang w:val="en-GB"/>
        </w:rPr>
        <w:t xml:space="preserve"> and N</w:t>
      </w:r>
      <w:r>
        <w:rPr>
          <w:lang w:val="en-GB"/>
        </w:rPr>
        <w:t>.</w:t>
      </w:r>
    </w:p>
    <w:p w:rsidR="00A92D2C" w:rsidRDefault="00A92D2C" w:rsidP="007D05D6">
      <w:pPr>
        <w:pStyle w:val="CETBodytext"/>
        <w:rPr>
          <w:lang w:val="en-GB"/>
        </w:rPr>
      </w:pPr>
    </w:p>
    <w:p w:rsidR="00A92D2C" w:rsidRDefault="00D555EA" w:rsidP="007D05D6">
      <w:pPr>
        <w:pStyle w:val="CETBodytext"/>
        <w:rPr>
          <w:lang w:val="en-GB"/>
        </w:rPr>
      </w:pPr>
      <w:r>
        <w:rPr>
          <w:noProof/>
          <w:lang w:val="it-IT" w:eastAsia="it-IT"/>
        </w:rPr>
        <w:drawing>
          <wp:inline distT="0" distB="0" distL="0" distR="0" wp14:anchorId="0F2AC71D" wp14:editId="712FA324">
            <wp:extent cx="2790825" cy="17739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6172" cy="1790082"/>
                    </a:xfrm>
                    <a:prstGeom prst="rect">
                      <a:avLst/>
                    </a:prstGeom>
                  </pic:spPr>
                </pic:pic>
              </a:graphicData>
            </a:graphic>
          </wp:inline>
        </w:drawing>
      </w:r>
      <w:r w:rsidR="00116993">
        <w:rPr>
          <w:noProof/>
          <w:lang w:val="it-IT" w:eastAsia="it-IT"/>
        </w:rPr>
        <w:drawing>
          <wp:inline distT="0" distB="0" distL="0" distR="0" wp14:anchorId="05178614" wp14:editId="4B34B8F6">
            <wp:extent cx="2781300" cy="1784128"/>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11241" cy="1803334"/>
                    </a:xfrm>
                    <a:prstGeom prst="rect">
                      <a:avLst/>
                    </a:prstGeom>
                  </pic:spPr>
                </pic:pic>
              </a:graphicData>
            </a:graphic>
          </wp:inline>
        </w:drawing>
      </w:r>
    </w:p>
    <w:p w:rsidR="00A92D2C" w:rsidRDefault="00A92D2C" w:rsidP="00A92D2C">
      <w:pPr>
        <w:pStyle w:val="CETBodytext"/>
        <w:rPr>
          <w:i/>
        </w:rPr>
      </w:pPr>
      <w:r>
        <w:rPr>
          <w:i/>
        </w:rPr>
        <w:t xml:space="preserve">Figure </w:t>
      </w:r>
      <w:r w:rsidR="00E5620F">
        <w:rPr>
          <w:i/>
        </w:rPr>
        <w:t>5</w:t>
      </w:r>
      <w:r w:rsidRPr="00A16173">
        <w:rPr>
          <w:i/>
        </w:rPr>
        <w:t xml:space="preserve">: </w:t>
      </w:r>
      <w:r w:rsidR="00E5620F">
        <w:rPr>
          <w:i/>
        </w:rPr>
        <w:t>results of mass-transfer model fitting on experimental data</w:t>
      </w:r>
      <w:r w:rsidR="00EA6FDB">
        <w:rPr>
          <w:i/>
        </w:rPr>
        <w:t xml:space="preserve"> (a) and regression </w:t>
      </w:r>
      <w:proofErr w:type="spellStart"/>
      <w:r w:rsidR="00EA6FDB">
        <w:rPr>
          <w:i/>
        </w:rPr>
        <w:t>k</w:t>
      </w:r>
      <w:r w:rsidR="00EA6FDB" w:rsidRPr="00EA6FDB">
        <w:rPr>
          <w:i/>
          <w:vertAlign w:val="subscript"/>
        </w:rPr>
        <w:t>L</w:t>
      </w:r>
      <w:proofErr w:type="spellEnd"/>
      <w:r w:rsidR="00EA6FDB">
        <w:rPr>
          <w:i/>
        </w:rPr>
        <w:t xml:space="preserve"> relation with</w:t>
      </w:r>
      <w:r w:rsidR="00E5620F">
        <w:rPr>
          <w:i/>
        </w:rPr>
        <w:t xml:space="preserve"> impeller velocity</w:t>
      </w:r>
      <w:r w:rsidR="00EA6FDB">
        <w:rPr>
          <w:i/>
        </w:rPr>
        <w:t xml:space="preserve"> (b)</w:t>
      </w:r>
      <w:r w:rsidR="00E5620F">
        <w:rPr>
          <w:i/>
        </w:rPr>
        <w:t>.</w:t>
      </w:r>
    </w:p>
    <w:p w:rsidR="00A92D2C" w:rsidRDefault="00A92D2C" w:rsidP="007D05D6">
      <w:pPr>
        <w:pStyle w:val="CETBodytext"/>
      </w:pPr>
    </w:p>
    <w:p w:rsidR="004A0713" w:rsidRDefault="00A51709" w:rsidP="007D05D6">
      <w:pPr>
        <w:pStyle w:val="CETBodytext"/>
      </w:pPr>
      <w:r>
        <w:t xml:space="preserve">The model was able to describe the overall experimental data trend, </w:t>
      </w:r>
      <w:r w:rsidR="00116993">
        <w:t>particularly</w:t>
      </w:r>
      <w:r>
        <w:t xml:space="preserve"> for higher impeller velocity, since the R</w:t>
      </w:r>
      <w:r w:rsidRPr="00116993">
        <w:rPr>
          <w:vertAlign w:val="superscript"/>
        </w:rPr>
        <w:t>2</w:t>
      </w:r>
      <w:r>
        <w:t xml:space="preserve"> coefficient increased from 0.9 to 0.99 when the impeller velocity passed from 500 up to 1250 rpm. Regarding the regressed </w:t>
      </w:r>
      <w:proofErr w:type="spellStart"/>
      <w:r>
        <w:t>k</w:t>
      </w:r>
      <w:r w:rsidRPr="00116993">
        <w:rPr>
          <w:vertAlign w:val="subscript"/>
        </w:rPr>
        <w:t>L</w:t>
      </w:r>
      <w:proofErr w:type="spellEnd"/>
      <w:r>
        <w:t xml:space="preserve"> values, the</w:t>
      </w:r>
      <w:r w:rsidR="00116993">
        <w:t>ir order of magnitude was the same of those calculated through Eq. (5)</w:t>
      </w:r>
      <w:r>
        <w:t xml:space="preserve"> </w:t>
      </w:r>
      <w:r w:rsidR="00116993">
        <w:t>and the regressed power law was characterized by the same order for N and similar coefficient. Another important result was the quasi-linear trend between regressed a values and N, that was in line with the expectations.</w:t>
      </w:r>
    </w:p>
    <w:p w:rsidR="007D05D6" w:rsidRPr="00B57B36" w:rsidRDefault="007D05D6" w:rsidP="007D05D6">
      <w:pPr>
        <w:pStyle w:val="CETHeading1"/>
        <w:rPr>
          <w:lang w:val="en-GB"/>
        </w:rPr>
      </w:pPr>
      <w:r w:rsidRPr="00B57B36">
        <w:rPr>
          <w:lang w:val="en-GB"/>
        </w:rPr>
        <w:t>Conclusions</w:t>
      </w:r>
    </w:p>
    <w:p w:rsidR="00600535" w:rsidRPr="00B57B36" w:rsidRDefault="00472160" w:rsidP="00600535">
      <w:pPr>
        <w:pStyle w:val="CETBodytext"/>
        <w:rPr>
          <w:lang w:val="en-GB"/>
        </w:rPr>
      </w:pPr>
      <w:r>
        <w:rPr>
          <w:lang w:val="en-GB"/>
        </w:rPr>
        <w:t xml:space="preserve">Hematite nanoparticles were synthetized by </w:t>
      </w:r>
      <w:r w:rsidR="002B12E4">
        <w:rPr>
          <w:lang w:val="en-GB"/>
        </w:rPr>
        <w:t xml:space="preserve">lab-scale equipment, showing a mean size of 46 nm and unimodal distribution. The nanoparticles were employed in a Rushton equipped stirred tank reactor to remove Cr(VI) in synthetic wastewaters. The results at increasing impeller velocity values showed the suitability of this nanomaterial towards Cr(VI) removal by sorption mechanism. In detail, the variation of impeller velocity in the range 500-1250 rpm, at fixed geometry, pH=3.5, Cr(VI)=20 mg/L and </w:t>
      </w:r>
      <w:proofErr w:type="spellStart"/>
      <w:r w:rsidR="002B12E4">
        <w:rPr>
          <w:lang w:val="en-GB"/>
        </w:rPr>
        <w:t>nHP</w:t>
      </w:r>
      <w:proofErr w:type="spellEnd"/>
      <w:r w:rsidR="002B12E4">
        <w:rPr>
          <w:lang w:val="en-GB"/>
        </w:rPr>
        <w:t xml:space="preserve">=6 g/L, led to 79.5, 86, 90.8 and </w:t>
      </w:r>
      <w:r w:rsidR="002B12E4">
        <w:rPr>
          <w:lang w:val="en-GB"/>
        </w:rPr>
        <w:lastRenderedPageBreak/>
        <w:t xml:space="preserve">94% of Cr(VI) removal efficiencies. The kinetic experiments showed that the Cr(VI) removal asymptotic value was reached at 300 min for N=500 and 750 rpm, whereas decreased to 240 min for N=100 rpm and to 120 min for N=1250 rpm. The employed mass-transfer model was able to describe the overall phenomenon and the regressed </w:t>
      </w:r>
      <w:proofErr w:type="spellStart"/>
      <w:r w:rsidR="002B12E4">
        <w:rPr>
          <w:lang w:val="en-GB"/>
        </w:rPr>
        <w:t>k</w:t>
      </w:r>
      <w:r w:rsidR="002B12E4" w:rsidRPr="002B12E4">
        <w:rPr>
          <w:vertAlign w:val="subscript"/>
          <w:lang w:val="en-GB"/>
        </w:rPr>
        <w:t>L</w:t>
      </w:r>
      <w:proofErr w:type="spellEnd"/>
      <w:r w:rsidR="002B12E4">
        <w:rPr>
          <w:lang w:val="en-GB"/>
        </w:rPr>
        <w:t xml:space="preserve"> values were in agreement with those obtained by CFD simulations and by empirical correlations.</w:t>
      </w:r>
      <w:r w:rsidR="004A5830">
        <w:rPr>
          <w:lang w:val="en-GB"/>
        </w:rPr>
        <w:t xml:space="preserve"> </w:t>
      </w:r>
    </w:p>
    <w:p w:rsidR="00600535" w:rsidRPr="00B57B36" w:rsidRDefault="00600535" w:rsidP="004A0713">
      <w:pPr>
        <w:pStyle w:val="CETReference"/>
      </w:pPr>
      <w:r w:rsidRPr="00B57B36">
        <w:t xml:space="preserve">References </w:t>
      </w:r>
    </w:p>
    <w:p w:rsidR="005617C4" w:rsidRDefault="005617C4" w:rsidP="003A34A4">
      <w:pPr>
        <w:pStyle w:val="CETReferencetext"/>
      </w:pPr>
      <w:proofErr w:type="spellStart"/>
      <w:r w:rsidRPr="005617C4">
        <w:t>Acar</w:t>
      </w:r>
      <w:proofErr w:type="spellEnd"/>
      <w:r w:rsidRPr="005617C4">
        <w:t xml:space="preserve"> F. N., </w:t>
      </w:r>
      <w:proofErr w:type="spellStart"/>
      <w:r w:rsidRPr="005617C4">
        <w:t>Malkoc</w:t>
      </w:r>
      <w:proofErr w:type="spellEnd"/>
      <w:r w:rsidRPr="005617C4">
        <w:t xml:space="preserve"> E.</w:t>
      </w:r>
      <w:r>
        <w:t xml:space="preserve">, </w:t>
      </w:r>
      <w:r w:rsidRPr="005617C4">
        <w:t>2004</w:t>
      </w:r>
      <w:r>
        <w:t>,</w:t>
      </w:r>
      <w:r w:rsidRPr="005617C4">
        <w:t xml:space="preserve"> The removal of chromium (VI) from aqueous solutions by Fagus </w:t>
      </w:r>
      <w:proofErr w:type="spellStart"/>
      <w:r w:rsidRPr="005617C4">
        <w:t>orientalis</w:t>
      </w:r>
      <w:proofErr w:type="spellEnd"/>
      <w:r w:rsidRPr="005617C4">
        <w:t xml:space="preserve"> L</w:t>
      </w:r>
      <w:r>
        <w:t>,</w:t>
      </w:r>
      <w:r w:rsidRPr="005617C4">
        <w:t xml:space="preserve"> </w:t>
      </w:r>
      <w:proofErr w:type="spellStart"/>
      <w:r w:rsidRPr="005617C4">
        <w:rPr>
          <w:iCs/>
        </w:rPr>
        <w:t>Bioresource</w:t>
      </w:r>
      <w:proofErr w:type="spellEnd"/>
      <w:r w:rsidRPr="005617C4">
        <w:rPr>
          <w:iCs/>
        </w:rPr>
        <w:t xml:space="preserve"> technology</w:t>
      </w:r>
      <w:r w:rsidRPr="005617C4">
        <w:t xml:space="preserve">, </w:t>
      </w:r>
      <w:r w:rsidRPr="005617C4">
        <w:rPr>
          <w:iCs/>
        </w:rPr>
        <w:t>94</w:t>
      </w:r>
      <w:r w:rsidRPr="005617C4">
        <w:t>(1), 13-15.</w:t>
      </w:r>
    </w:p>
    <w:p w:rsidR="009F039A" w:rsidRPr="00D64955" w:rsidRDefault="009F039A" w:rsidP="009F039A">
      <w:pPr>
        <w:pStyle w:val="CETReferencetext"/>
      </w:pPr>
      <w:proofErr w:type="spellStart"/>
      <w:r w:rsidRPr="00D64955">
        <w:t>Adegoke</w:t>
      </w:r>
      <w:proofErr w:type="spellEnd"/>
      <w:r w:rsidRPr="00D64955">
        <w:t xml:space="preserve"> H. I., </w:t>
      </w:r>
      <w:proofErr w:type="spellStart"/>
      <w:r w:rsidRPr="00D64955">
        <w:t>AmooAdekola</w:t>
      </w:r>
      <w:proofErr w:type="spellEnd"/>
      <w:r w:rsidRPr="00D64955">
        <w:t xml:space="preserve"> F., </w:t>
      </w:r>
      <w:proofErr w:type="spellStart"/>
      <w:r w:rsidRPr="00D64955">
        <w:t>Fatoki</w:t>
      </w:r>
      <w:proofErr w:type="spellEnd"/>
      <w:r w:rsidRPr="00D64955">
        <w:t xml:space="preserve"> O. S., </w:t>
      </w:r>
      <w:proofErr w:type="spellStart"/>
      <w:r w:rsidRPr="00D64955">
        <w:t>Ximba</w:t>
      </w:r>
      <w:proofErr w:type="spellEnd"/>
      <w:r w:rsidRPr="00D64955">
        <w:t xml:space="preserve"> B. J., 2014, Adsorption of Cr (VI) on synthetic hematite nanoparticles of different morphologies, </w:t>
      </w:r>
      <w:r w:rsidRPr="00D64955">
        <w:rPr>
          <w:iCs/>
        </w:rPr>
        <w:t>Korean Journal of Chemical Engineering</w:t>
      </w:r>
      <w:r w:rsidRPr="00D64955">
        <w:t xml:space="preserve">, </w:t>
      </w:r>
      <w:r w:rsidRPr="00D64955">
        <w:rPr>
          <w:iCs/>
        </w:rPr>
        <w:t>31</w:t>
      </w:r>
      <w:r w:rsidRPr="00D64955">
        <w:t>(1), 142-154.</w:t>
      </w:r>
    </w:p>
    <w:p w:rsidR="009F039A" w:rsidRDefault="009F039A" w:rsidP="009F039A">
      <w:pPr>
        <w:pStyle w:val="CETReferencetext"/>
      </w:pPr>
      <w:proofErr w:type="spellStart"/>
      <w:r w:rsidRPr="00C46D16">
        <w:t>Armenante</w:t>
      </w:r>
      <w:proofErr w:type="spellEnd"/>
      <w:r w:rsidRPr="00C46D16">
        <w:t xml:space="preserve"> P. M., Kirwan D. J.</w:t>
      </w:r>
      <w:r>
        <w:t>,</w:t>
      </w:r>
      <w:r w:rsidRPr="00C46D16">
        <w:t xml:space="preserve"> 1989</w:t>
      </w:r>
      <w:r>
        <w:t>,</w:t>
      </w:r>
      <w:r w:rsidRPr="00C46D16">
        <w:t xml:space="preserve"> Mass transfer to </w:t>
      </w:r>
      <w:proofErr w:type="spellStart"/>
      <w:r w:rsidRPr="00C46D16">
        <w:t>microparticles</w:t>
      </w:r>
      <w:proofErr w:type="spellEnd"/>
      <w:r w:rsidRPr="00C46D16">
        <w:t xml:space="preserve"> in agitated systems</w:t>
      </w:r>
      <w:r>
        <w:t>,</w:t>
      </w:r>
      <w:r w:rsidRPr="00C46D16">
        <w:t xml:space="preserve"> </w:t>
      </w:r>
      <w:r w:rsidRPr="00C63548">
        <w:rPr>
          <w:iCs/>
        </w:rPr>
        <w:t>Chemical Engineering Science</w:t>
      </w:r>
      <w:r w:rsidRPr="00C63548">
        <w:t xml:space="preserve">, </w:t>
      </w:r>
      <w:r w:rsidRPr="00C63548">
        <w:rPr>
          <w:iCs/>
        </w:rPr>
        <w:t>44</w:t>
      </w:r>
      <w:r w:rsidRPr="00C63548">
        <w:t>(12),</w:t>
      </w:r>
      <w:r w:rsidRPr="00C46D16">
        <w:t xml:space="preserve"> 2781-2796.</w:t>
      </w:r>
    </w:p>
    <w:p w:rsidR="003A34A4" w:rsidRPr="003A34A4" w:rsidRDefault="003A34A4" w:rsidP="003A34A4">
      <w:pPr>
        <w:pStyle w:val="CETReferencetext"/>
      </w:pPr>
      <w:proofErr w:type="spellStart"/>
      <w:r w:rsidRPr="003A34A4">
        <w:rPr>
          <w:lang w:val="en-US"/>
        </w:rPr>
        <w:t>Bavasso</w:t>
      </w:r>
      <w:proofErr w:type="spellEnd"/>
      <w:r w:rsidRPr="003A34A4">
        <w:rPr>
          <w:lang w:val="en-US"/>
        </w:rPr>
        <w:t xml:space="preserve"> I., </w:t>
      </w:r>
      <w:proofErr w:type="spellStart"/>
      <w:r w:rsidRPr="003A34A4">
        <w:rPr>
          <w:lang w:val="en-US"/>
        </w:rPr>
        <w:t>Montanaro</w:t>
      </w:r>
      <w:proofErr w:type="spellEnd"/>
      <w:r w:rsidRPr="003A34A4">
        <w:rPr>
          <w:lang w:val="en-US"/>
        </w:rPr>
        <w:t xml:space="preserve"> D., </w:t>
      </w:r>
      <w:proofErr w:type="spellStart"/>
      <w:r w:rsidRPr="003A34A4">
        <w:rPr>
          <w:lang w:val="en-US"/>
        </w:rPr>
        <w:t>Petrucci</w:t>
      </w:r>
      <w:proofErr w:type="spellEnd"/>
      <w:r w:rsidRPr="003A34A4">
        <w:rPr>
          <w:lang w:val="en-US"/>
        </w:rPr>
        <w:t xml:space="preserve"> E., Di Palma L., 2017, Shortcut biological nitrogen removal (</w:t>
      </w:r>
      <w:proofErr w:type="spellStart"/>
      <w:r w:rsidRPr="003A34A4">
        <w:rPr>
          <w:lang w:val="en-US"/>
        </w:rPr>
        <w:t>sbnr</w:t>
      </w:r>
      <w:proofErr w:type="spellEnd"/>
      <w:r w:rsidRPr="003A34A4">
        <w:rPr>
          <w:lang w:val="en-US"/>
        </w:rPr>
        <w:t>) in microbial fuel cells (</w:t>
      </w:r>
      <w:proofErr w:type="spellStart"/>
      <w:r w:rsidRPr="003A34A4">
        <w:rPr>
          <w:lang w:val="en-US"/>
        </w:rPr>
        <w:t>mfcs</w:t>
      </w:r>
      <w:proofErr w:type="spellEnd"/>
      <w:r w:rsidRPr="003A34A4">
        <w:rPr>
          <w:lang w:val="en-US"/>
        </w:rPr>
        <w:t xml:space="preserve">), </w:t>
      </w:r>
      <w:r w:rsidRPr="003A34A4">
        <w:rPr>
          <w:iCs/>
        </w:rPr>
        <w:t>Chemical Engineering Transactions</w:t>
      </w:r>
      <w:r w:rsidRPr="003A34A4">
        <w:t xml:space="preserve">, </w:t>
      </w:r>
      <w:r w:rsidRPr="003A34A4">
        <w:rPr>
          <w:iCs/>
        </w:rPr>
        <w:t>57</w:t>
      </w:r>
      <w:r w:rsidRPr="003A34A4">
        <w:t>, 727-732.</w:t>
      </w:r>
    </w:p>
    <w:p w:rsidR="005C09F2" w:rsidRDefault="005C09F2" w:rsidP="003A34A4">
      <w:pPr>
        <w:pStyle w:val="CETReferencetext"/>
      </w:pPr>
      <w:proofErr w:type="spellStart"/>
      <w:r w:rsidRPr="005C09F2">
        <w:rPr>
          <w:lang w:val="en-US"/>
        </w:rPr>
        <w:t>Bavasso</w:t>
      </w:r>
      <w:proofErr w:type="spellEnd"/>
      <w:r w:rsidRPr="005C09F2">
        <w:rPr>
          <w:lang w:val="en-US"/>
        </w:rPr>
        <w:t xml:space="preserve"> I., </w:t>
      </w:r>
      <w:proofErr w:type="spellStart"/>
      <w:r w:rsidRPr="005C09F2">
        <w:rPr>
          <w:lang w:val="en-US"/>
        </w:rPr>
        <w:t>Montanaro</w:t>
      </w:r>
      <w:proofErr w:type="spellEnd"/>
      <w:r w:rsidRPr="005C09F2">
        <w:rPr>
          <w:lang w:val="en-US"/>
        </w:rPr>
        <w:t xml:space="preserve"> D., </w:t>
      </w:r>
      <w:proofErr w:type="spellStart"/>
      <w:r w:rsidRPr="005C09F2">
        <w:rPr>
          <w:lang w:val="en-US"/>
        </w:rPr>
        <w:t>Petrucci</w:t>
      </w:r>
      <w:proofErr w:type="spellEnd"/>
      <w:r w:rsidRPr="005C09F2">
        <w:rPr>
          <w:lang w:val="en-US"/>
        </w:rPr>
        <w:t xml:space="preserve"> E., Di Palma L., 2018</w:t>
      </w:r>
      <w:r w:rsidR="009F039A">
        <w:rPr>
          <w:lang w:val="en-US"/>
        </w:rPr>
        <w:t>a</w:t>
      </w:r>
      <w:r>
        <w:rPr>
          <w:lang w:val="en-US"/>
        </w:rPr>
        <w:t>,</w:t>
      </w:r>
      <w:r w:rsidRPr="005C09F2">
        <w:rPr>
          <w:lang w:val="en-US"/>
        </w:rPr>
        <w:t xml:space="preserve"> </w:t>
      </w:r>
      <w:r w:rsidRPr="005C09F2">
        <w:t xml:space="preserve">Shortcut Biological Nitrogen Removal (SBNR) in an MFC Anode Chamber under </w:t>
      </w:r>
      <w:proofErr w:type="spellStart"/>
      <w:r w:rsidRPr="005C09F2">
        <w:t>Microaerobic</w:t>
      </w:r>
      <w:proofErr w:type="spellEnd"/>
      <w:r w:rsidRPr="005C09F2">
        <w:t xml:space="preserve"> Conditions: The Effect of C/N Ratio and Kinetic Study</w:t>
      </w:r>
      <w:r>
        <w:t>,</w:t>
      </w:r>
      <w:r w:rsidRPr="005C09F2">
        <w:t xml:space="preserve"> </w:t>
      </w:r>
      <w:r w:rsidRPr="005C09F2">
        <w:rPr>
          <w:iCs/>
        </w:rPr>
        <w:t>Sustainability</w:t>
      </w:r>
      <w:r w:rsidRPr="005C09F2">
        <w:t xml:space="preserve">, </w:t>
      </w:r>
      <w:r w:rsidRPr="005C09F2">
        <w:rPr>
          <w:iCs/>
        </w:rPr>
        <w:t>10</w:t>
      </w:r>
      <w:r w:rsidRPr="005C09F2">
        <w:t>(4), 1062.</w:t>
      </w:r>
    </w:p>
    <w:p w:rsidR="003A34A4" w:rsidRPr="003A34A4" w:rsidRDefault="003A34A4" w:rsidP="003A34A4">
      <w:pPr>
        <w:pStyle w:val="CETReferencetext"/>
        <w:rPr>
          <w:lang w:val="en-US"/>
        </w:rPr>
      </w:pPr>
      <w:proofErr w:type="spellStart"/>
      <w:r w:rsidRPr="003A34A4">
        <w:rPr>
          <w:lang w:val="en-US"/>
        </w:rPr>
        <w:t>Bavasso</w:t>
      </w:r>
      <w:proofErr w:type="spellEnd"/>
      <w:r w:rsidRPr="003A34A4">
        <w:rPr>
          <w:lang w:val="en-US"/>
        </w:rPr>
        <w:t xml:space="preserve"> I., </w:t>
      </w:r>
      <w:proofErr w:type="spellStart"/>
      <w:r w:rsidRPr="003A34A4">
        <w:rPr>
          <w:lang w:val="en-US"/>
        </w:rPr>
        <w:t>Verdone</w:t>
      </w:r>
      <w:proofErr w:type="spellEnd"/>
      <w:r w:rsidRPr="003A34A4">
        <w:rPr>
          <w:lang w:val="en-US"/>
        </w:rPr>
        <w:t xml:space="preserve"> N., Di Palma L., 2018</w:t>
      </w:r>
      <w:r w:rsidR="005617C4">
        <w:rPr>
          <w:lang w:val="en-US"/>
        </w:rPr>
        <w:t>b</w:t>
      </w:r>
      <w:r w:rsidRPr="003A34A4">
        <w:rPr>
          <w:lang w:val="en-US"/>
        </w:rPr>
        <w:t xml:space="preserve">, </w:t>
      </w:r>
      <w:r w:rsidRPr="003A34A4">
        <w:t xml:space="preserve">Cr(VI) Removal by Green-Synthetized Iron-Based Nanoparticles: Effect of Cr(VI) Concentration and pH Condition on Adsorption Process, </w:t>
      </w:r>
      <w:r w:rsidRPr="003A34A4">
        <w:rPr>
          <w:lang w:val="en-US"/>
        </w:rPr>
        <w:t xml:space="preserve">Chemical Engineering Transactions, 70, </w:t>
      </w:r>
      <w:r w:rsidRPr="003A34A4">
        <w:t>469-474</w:t>
      </w:r>
      <w:r w:rsidRPr="003A34A4">
        <w:rPr>
          <w:lang w:val="en-US"/>
        </w:rPr>
        <w:t xml:space="preserve">. </w:t>
      </w:r>
    </w:p>
    <w:p w:rsidR="00164165" w:rsidRDefault="00164165" w:rsidP="00B64D0F">
      <w:pPr>
        <w:pStyle w:val="CETReferencetext"/>
      </w:pPr>
      <w:r w:rsidRPr="00164165">
        <w:rPr>
          <w:lang w:val="en-US"/>
        </w:rPr>
        <w:t>Chen Y. H., Liu D. Y., Lee J. F., 2018</w:t>
      </w:r>
      <w:r>
        <w:rPr>
          <w:lang w:val="en-US"/>
        </w:rPr>
        <w:t>,</w:t>
      </w:r>
      <w:r w:rsidRPr="00164165">
        <w:rPr>
          <w:lang w:val="en-US"/>
        </w:rPr>
        <w:t xml:space="preserve"> </w:t>
      </w:r>
      <w:r w:rsidRPr="00164165">
        <w:t>Study of Cr (VI) adsorption onto magnetite nanoparticles using synchrotron-based X-ray absorption spectroscopy</w:t>
      </w:r>
      <w:r>
        <w:t>,</w:t>
      </w:r>
      <w:r w:rsidRPr="00164165">
        <w:t xml:space="preserve"> </w:t>
      </w:r>
      <w:r w:rsidRPr="00164165">
        <w:rPr>
          <w:iCs/>
        </w:rPr>
        <w:t>Physics and Chemistry of Minerals</w:t>
      </w:r>
      <w:r w:rsidRPr="00164165">
        <w:t xml:space="preserve">, </w:t>
      </w:r>
      <w:r>
        <w:t>45, 907-913</w:t>
      </w:r>
      <w:r w:rsidRPr="00164165">
        <w:t>.</w:t>
      </w:r>
    </w:p>
    <w:p w:rsidR="00A936DB" w:rsidRDefault="00A936DB" w:rsidP="00BB5FEF">
      <w:pPr>
        <w:pStyle w:val="CETReferencetext"/>
      </w:pPr>
      <w:r w:rsidRPr="00A936DB">
        <w:rPr>
          <w:lang w:val="en-US"/>
        </w:rPr>
        <w:t xml:space="preserve">Di </w:t>
      </w:r>
      <w:proofErr w:type="spellStart"/>
      <w:r w:rsidRPr="00A936DB">
        <w:rPr>
          <w:lang w:val="en-US"/>
        </w:rPr>
        <w:t>Pascasio</w:t>
      </w:r>
      <w:proofErr w:type="spellEnd"/>
      <w:r w:rsidRPr="00A936DB">
        <w:rPr>
          <w:lang w:val="en-US"/>
        </w:rPr>
        <w:t xml:space="preserve"> F., Genova V., </w:t>
      </w:r>
      <w:proofErr w:type="spellStart"/>
      <w:r w:rsidRPr="00A936DB">
        <w:rPr>
          <w:lang w:val="en-US"/>
        </w:rPr>
        <w:t>Gozzi</w:t>
      </w:r>
      <w:proofErr w:type="spellEnd"/>
      <w:r w:rsidRPr="00A936DB">
        <w:rPr>
          <w:lang w:val="en-US"/>
        </w:rPr>
        <w:t xml:space="preserve"> D., </w:t>
      </w:r>
      <w:proofErr w:type="spellStart"/>
      <w:r w:rsidRPr="00A936DB">
        <w:rPr>
          <w:lang w:val="en-US"/>
        </w:rPr>
        <w:t>Latini</w:t>
      </w:r>
      <w:proofErr w:type="spellEnd"/>
      <w:r w:rsidRPr="00A936DB">
        <w:rPr>
          <w:lang w:val="en-US"/>
        </w:rPr>
        <w:t xml:space="preserve"> A., </w:t>
      </w:r>
      <w:proofErr w:type="spellStart"/>
      <w:r w:rsidRPr="00A936DB">
        <w:rPr>
          <w:lang w:val="en-US"/>
        </w:rPr>
        <w:t>Lazzarini</w:t>
      </w:r>
      <w:proofErr w:type="spellEnd"/>
      <w:r w:rsidRPr="00A936DB">
        <w:rPr>
          <w:lang w:val="en-US"/>
        </w:rPr>
        <w:t xml:space="preserve"> L., 2016, </w:t>
      </w:r>
      <w:r w:rsidRPr="00A936DB">
        <w:t xml:space="preserve">High temperatures gas-solid reactivity of </w:t>
      </w:r>
      <w:proofErr w:type="spellStart"/>
      <w:r w:rsidRPr="00A936DB">
        <w:t>aluminum</w:t>
      </w:r>
      <w:proofErr w:type="spellEnd"/>
      <w:r w:rsidRPr="00A936DB">
        <w:t>-carbon nanotubes composites</w:t>
      </w:r>
      <w:r>
        <w:t>,</w:t>
      </w:r>
      <w:r w:rsidRPr="00A936DB">
        <w:t xml:space="preserve"> </w:t>
      </w:r>
      <w:proofErr w:type="spellStart"/>
      <w:r w:rsidRPr="00A936DB">
        <w:rPr>
          <w:iCs/>
        </w:rPr>
        <w:t>Thermochimica</w:t>
      </w:r>
      <w:proofErr w:type="spellEnd"/>
      <w:r w:rsidRPr="00A936DB">
        <w:rPr>
          <w:iCs/>
        </w:rPr>
        <w:t xml:space="preserve"> </w:t>
      </w:r>
      <w:proofErr w:type="spellStart"/>
      <w:r w:rsidRPr="00A936DB">
        <w:rPr>
          <w:iCs/>
        </w:rPr>
        <w:t>Acta</w:t>
      </w:r>
      <w:proofErr w:type="spellEnd"/>
      <w:r w:rsidRPr="00A936DB">
        <w:t xml:space="preserve">, </w:t>
      </w:r>
      <w:r w:rsidRPr="00A936DB">
        <w:rPr>
          <w:iCs/>
        </w:rPr>
        <w:t>640</w:t>
      </w:r>
      <w:r w:rsidRPr="00A936DB">
        <w:t>, 8-18.</w:t>
      </w:r>
    </w:p>
    <w:p w:rsidR="00F92199" w:rsidRPr="00F92199" w:rsidRDefault="00F92199" w:rsidP="00F92199">
      <w:pPr>
        <w:pStyle w:val="CETReferencetext"/>
        <w:rPr>
          <w:lang w:val="en-US"/>
        </w:rPr>
      </w:pPr>
      <w:r w:rsidRPr="00F92199">
        <w:rPr>
          <w:lang w:val="en-US"/>
        </w:rPr>
        <w:t xml:space="preserve">Di Palma L., </w:t>
      </w:r>
      <w:proofErr w:type="spellStart"/>
      <w:r w:rsidRPr="00F92199">
        <w:rPr>
          <w:lang w:val="en-US"/>
        </w:rPr>
        <w:t>Verdone</w:t>
      </w:r>
      <w:proofErr w:type="spellEnd"/>
      <w:r w:rsidRPr="00F92199">
        <w:rPr>
          <w:lang w:val="en-US"/>
        </w:rPr>
        <w:t xml:space="preserve"> N., </w:t>
      </w:r>
      <w:proofErr w:type="spellStart"/>
      <w:r w:rsidRPr="00F92199">
        <w:rPr>
          <w:lang w:val="en-US"/>
        </w:rPr>
        <w:t>Vilardi</w:t>
      </w:r>
      <w:proofErr w:type="spellEnd"/>
      <w:r w:rsidRPr="00F92199">
        <w:rPr>
          <w:lang w:val="en-US"/>
        </w:rPr>
        <w:t xml:space="preserve"> G., 2018, </w:t>
      </w:r>
      <w:r w:rsidRPr="00F92199">
        <w:t xml:space="preserve">Kinetic </w:t>
      </w:r>
      <w:proofErr w:type="spellStart"/>
      <w:r w:rsidRPr="00F92199">
        <w:t>Modeling</w:t>
      </w:r>
      <w:proofErr w:type="spellEnd"/>
      <w:r w:rsidRPr="00F92199">
        <w:t xml:space="preserve"> of Cr(VI) Reduction by </w:t>
      </w:r>
      <w:proofErr w:type="spellStart"/>
      <w:r w:rsidRPr="00F92199">
        <w:t>nZVI</w:t>
      </w:r>
      <w:proofErr w:type="spellEnd"/>
      <w:r w:rsidRPr="00F92199">
        <w:t xml:space="preserve"> in Soil: The Influence of Organic Matter and Manganese Oxide, </w:t>
      </w:r>
      <w:r w:rsidRPr="00F92199">
        <w:rPr>
          <w:lang w:val="en-US"/>
        </w:rPr>
        <w:t>Bulletin of Environmental Contamination and Toxicology, 101,  692-697.</w:t>
      </w:r>
    </w:p>
    <w:p w:rsidR="00A936DB" w:rsidRDefault="00A936DB" w:rsidP="00BB5FEF">
      <w:pPr>
        <w:pStyle w:val="CETReferencetext"/>
      </w:pPr>
      <w:r w:rsidRPr="00A936DB">
        <w:rPr>
          <w:lang w:val="en-US"/>
        </w:rPr>
        <w:t xml:space="preserve">Genova V., Marini D., Valente M., </w:t>
      </w:r>
      <w:proofErr w:type="spellStart"/>
      <w:r w:rsidRPr="00A936DB">
        <w:rPr>
          <w:lang w:val="en-US"/>
        </w:rPr>
        <w:t>Marra</w:t>
      </w:r>
      <w:proofErr w:type="spellEnd"/>
      <w:r w:rsidRPr="00A936DB">
        <w:rPr>
          <w:lang w:val="en-US"/>
        </w:rPr>
        <w:t xml:space="preserve"> F., </w:t>
      </w:r>
      <w:proofErr w:type="spellStart"/>
      <w:r w:rsidRPr="00A936DB">
        <w:rPr>
          <w:lang w:val="en-US"/>
        </w:rPr>
        <w:t>Pulci</w:t>
      </w:r>
      <w:proofErr w:type="spellEnd"/>
      <w:r w:rsidRPr="00A936DB">
        <w:rPr>
          <w:lang w:val="en-US"/>
        </w:rPr>
        <w:t xml:space="preserve"> G., 2017</w:t>
      </w:r>
      <w:r>
        <w:rPr>
          <w:lang w:val="en-US"/>
        </w:rPr>
        <w:t>,</w:t>
      </w:r>
      <w:r w:rsidRPr="00A936DB">
        <w:rPr>
          <w:lang w:val="en-US"/>
        </w:rPr>
        <w:t xml:space="preserve"> </w:t>
      </w:r>
      <w:r w:rsidRPr="00A936DB">
        <w:t xml:space="preserve">Nanostructured Nickel Film Deposition on Carbon </w:t>
      </w:r>
      <w:proofErr w:type="spellStart"/>
      <w:r w:rsidRPr="00A936DB">
        <w:t>Fibers</w:t>
      </w:r>
      <w:proofErr w:type="spellEnd"/>
      <w:r w:rsidRPr="00A936DB">
        <w:t xml:space="preserve"> for Improving Reinforcement-matrix Interface in Metal Matrix Composites</w:t>
      </w:r>
      <w:r>
        <w:t>,</w:t>
      </w:r>
      <w:r w:rsidRPr="00A936DB">
        <w:t xml:space="preserve"> </w:t>
      </w:r>
      <w:r w:rsidRPr="00A936DB">
        <w:rPr>
          <w:iCs/>
        </w:rPr>
        <w:t>Chemical Engineering Transactions</w:t>
      </w:r>
      <w:r w:rsidRPr="00A936DB">
        <w:t xml:space="preserve">, </w:t>
      </w:r>
      <w:r w:rsidRPr="00A936DB">
        <w:rPr>
          <w:iCs/>
        </w:rPr>
        <w:t>60</w:t>
      </w:r>
      <w:r w:rsidRPr="00A936DB">
        <w:t>, 73-78.</w:t>
      </w:r>
    </w:p>
    <w:p w:rsidR="009F039A" w:rsidRDefault="009F039A" w:rsidP="009F039A">
      <w:pPr>
        <w:pStyle w:val="CETReferencetext"/>
      </w:pPr>
      <w:r w:rsidRPr="003333B3">
        <w:t>He Y. T., Wan J., Tokunaga T.</w:t>
      </w:r>
      <w:r>
        <w:t xml:space="preserve">, </w:t>
      </w:r>
      <w:r w:rsidRPr="003333B3">
        <w:t>2008</w:t>
      </w:r>
      <w:r>
        <w:t>,</w:t>
      </w:r>
      <w:r w:rsidRPr="003333B3">
        <w:t xml:space="preserve"> Kinetic stability of hematite nanoparticles: the effect of particle sizes</w:t>
      </w:r>
      <w:r>
        <w:t>,</w:t>
      </w:r>
      <w:r w:rsidRPr="003333B3">
        <w:t xml:space="preserve"> </w:t>
      </w:r>
      <w:r w:rsidRPr="003333B3">
        <w:rPr>
          <w:iCs/>
        </w:rPr>
        <w:t>Journal of nanoparticle research</w:t>
      </w:r>
      <w:r w:rsidRPr="003333B3">
        <w:t xml:space="preserve">, </w:t>
      </w:r>
      <w:r w:rsidRPr="003333B3">
        <w:rPr>
          <w:iCs/>
        </w:rPr>
        <w:t>10</w:t>
      </w:r>
      <w:r w:rsidRPr="003333B3">
        <w:t>, 321-332.</w:t>
      </w:r>
    </w:p>
    <w:p w:rsidR="00A936DB" w:rsidRDefault="00A936DB" w:rsidP="00BC6A48">
      <w:pPr>
        <w:pStyle w:val="CETReferencetext"/>
      </w:pPr>
      <w:proofErr w:type="spellStart"/>
      <w:r w:rsidRPr="00A936DB">
        <w:t>Konuray</w:t>
      </w:r>
      <w:proofErr w:type="spellEnd"/>
      <w:r w:rsidRPr="00A936DB">
        <w:t xml:space="preserve"> A. O., </w:t>
      </w:r>
      <w:proofErr w:type="spellStart"/>
      <w:r w:rsidRPr="00A936DB">
        <w:t>Liendo</w:t>
      </w:r>
      <w:proofErr w:type="spellEnd"/>
      <w:r w:rsidRPr="00A936DB">
        <w:t xml:space="preserve"> F., </w:t>
      </w:r>
      <w:proofErr w:type="spellStart"/>
      <w:r w:rsidRPr="00A936DB">
        <w:t>Fernández-Francos</w:t>
      </w:r>
      <w:proofErr w:type="spellEnd"/>
      <w:r w:rsidRPr="00A936DB">
        <w:t xml:space="preserve"> X., Serra À., </w:t>
      </w:r>
      <w:proofErr w:type="spellStart"/>
      <w:r w:rsidRPr="00A936DB">
        <w:t>Sangermano</w:t>
      </w:r>
      <w:proofErr w:type="spellEnd"/>
      <w:r w:rsidRPr="00A936DB">
        <w:t xml:space="preserve"> M., </w:t>
      </w:r>
      <w:proofErr w:type="spellStart"/>
      <w:r w:rsidRPr="00A936DB">
        <w:t>Ramis</w:t>
      </w:r>
      <w:proofErr w:type="spellEnd"/>
      <w:r w:rsidRPr="00A936DB">
        <w:t xml:space="preserve"> X.</w:t>
      </w:r>
      <w:r>
        <w:t xml:space="preserve">, </w:t>
      </w:r>
      <w:r w:rsidRPr="00A936DB">
        <w:t>2017</w:t>
      </w:r>
      <w:r>
        <w:t>,</w:t>
      </w:r>
      <w:r w:rsidRPr="00A936DB">
        <w:t xml:space="preserve"> Sequential curing of thiol-acetoacetate-acrylate thermosets by latent Michael addition reactions</w:t>
      </w:r>
      <w:r>
        <w:t>,</w:t>
      </w:r>
      <w:r w:rsidRPr="00A936DB">
        <w:t xml:space="preserve"> </w:t>
      </w:r>
      <w:r w:rsidRPr="00A936DB">
        <w:rPr>
          <w:iCs/>
        </w:rPr>
        <w:t>Polymer</w:t>
      </w:r>
      <w:r w:rsidRPr="00A936DB">
        <w:t xml:space="preserve">, </w:t>
      </w:r>
      <w:r w:rsidRPr="00A936DB">
        <w:rPr>
          <w:iCs/>
        </w:rPr>
        <w:t>113</w:t>
      </w:r>
      <w:r w:rsidRPr="00A936DB">
        <w:t>, 193-199.</w:t>
      </w:r>
    </w:p>
    <w:p w:rsidR="002F112E" w:rsidRDefault="002F112E" w:rsidP="00BC6A48">
      <w:pPr>
        <w:pStyle w:val="CETReferencetext"/>
      </w:pPr>
      <w:r w:rsidRPr="002F112E">
        <w:rPr>
          <w:lang w:val="en-US"/>
        </w:rPr>
        <w:t>Liu T. Y., Zhao L., Tan X., Liu S. J., Li J. J., Qi Y., Mao G. Z., 2010</w:t>
      </w:r>
      <w:r>
        <w:rPr>
          <w:lang w:val="en-US"/>
        </w:rPr>
        <w:t>,</w:t>
      </w:r>
      <w:r w:rsidRPr="002F112E">
        <w:rPr>
          <w:lang w:val="en-US"/>
        </w:rPr>
        <w:t xml:space="preserve"> </w:t>
      </w:r>
      <w:r w:rsidRPr="002F112E">
        <w:t>Effects of physicochemical factors on Cr (VI) removal from leachate by zero-valent iron and α-Fe2O3 nanoparticles</w:t>
      </w:r>
      <w:r>
        <w:t>,</w:t>
      </w:r>
      <w:r w:rsidRPr="002F112E">
        <w:t xml:space="preserve"> </w:t>
      </w:r>
      <w:r w:rsidRPr="002F112E">
        <w:rPr>
          <w:iCs/>
        </w:rPr>
        <w:t>Water Science and Technology</w:t>
      </w:r>
      <w:r w:rsidRPr="002F112E">
        <w:t xml:space="preserve">, </w:t>
      </w:r>
      <w:r w:rsidRPr="002F112E">
        <w:rPr>
          <w:iCs/>
        </w:rPr>
        <w:t>61</w:t>
      </w:r>
      <w:r w:rsidRPr="002F112E">
        <w:t>(11), 2759-2767.</w:t>
      </w:r>
    </w:p>
    <w:p w:rsidR="009F039A" w:rsidRPr="00BB5FEF" w:rsidRDefault="009F039A" w:rsidP="009F039A">
      <w:pPr>
        <w:pStyle w:val="CETReferencetext"/>
      </w:pPr>
      <w:r w:rsidRPr="00342BA0">
        <w:t xml:space="preserve">Mc </w:t>
      </w:r>
      <w:proofErr w:type="spellStart"/>
      <w:r w:rsidRPr="00342BA0">
        <w:t>Cabe</w:t>
      </w:r>
      <w:proofErr w:type="spellEnd"/>
      <w:r w:rsidRPr="009F039A">
        <w:t xml:space="preserve"> </w:t>
      </w:r>
      <w:r w:rsidRPr="00342BA0">
        <w:t>W.L., Smith</w:t>
      </w:r>
      <w:r w:rsidRPr="009F039A">
        <w:t xml:space="preserve"> </w:t>
      </w:r>
      <w:r w:rsidRPr="00342BA0">
        <w:t xml:space="preserve">J.C., </w:t>
      </w:r>
      <w:proofErr w:type="spellStart"/>
      <w:r w:rsidRPr="00342BA0">
        <w:t>Harriott</w:t>
      </w:r>
      <w:proofErr w:type="spellEnd"/>
      <w:r w:rsidRPr="009F039A">
        <w:t xml:space="preserve"> </w:t>
      </w:r>
      <w:r w:rsidRPr="00342BA0">
        <w:t>P., Unit Operations of Chemical Engineering, McGraw-Hill, 1993.</w:t>
      </w:r>
    </w:p>
    <w:p w:rsidR="009F039A" w:rsidRDefault="009F039A" w:rsidP="009F039A">
      <w:pPr>
        <w:pStyle w:val="CETReferencetext"/>
      </w:pPr>
      <w:r w:rsidRPr="00D64955">
        <w:rPr>
          <w:lang w:val="en-US"/>
        </w:rPr>
        <w:t xml:space="preserve">Paul E. L., </w:t>
      </w:r>
      <w:proofErr w:type="spellStart"/>
      <w:r w:rsidRPr="00D64955">
        <w:rPr>
          <w:lang w:val="en-US"/>
        </w:rPr>
        <w:t>Atiemo-Obeng</w:t>
      </w:r>
      <w:proofErr w:type="spellEnd"/>
      <w:r w:rsidRPr="00D64955">
        <w:rPr>
          <w:lang w:val="en-US"/>
        </w:rPr>
        <w:t xml:space="preserve"> V. A., </w:t>
      </w:r>
      <w:proofErr w:type="spellStart"/>
      <w:r w:rsidRPr="00D64955">
        <w:rPr>
          <w:lang w:val="en-US"/>
        </w:rPr>
        <w:t>Kresta</w:t>
      </w:r>
      <w:proofErr w:type="spellEnd"/>
      <w:r w:rsidRPr="00D64955">
        <w:rPr>
          <w:lang w:val="en-US"/>
        </w:rPr>
        <w:t xml:space="preserve"> S. M., </w:t>
      </w:r>
      <w:r w:rsidRPr="00D64955">
        <w:t xml:space="preserve">2004, </w:t>
      </w:r>
      <w:r w:rsidRPr="00D64955">
        <w:rPr>
          <w:iCs/>
        </w:rPr>
        <w:t>Handbook of industrial mixing: science and practice</w:t>
      </w:r>
      <w:r>
        <w:rPr>
          <w:iCs/>
        </w:rPr>
        <w:t>,</w:t>
      </w:r>
      <w:r w:rsidRPr="00D64955">
        <w:t xml:space="preserve"> John Wiley &amp; Sons.</w:t>
      </w:r>
    </w:p>
    <w:p w:rsidR="00992BD5" w:rsidRDefault="00992BD5" w:rsidP="009F039A">
      <w:pPr>
        <w:pStyle w:val="CETReferencetext"/>
      </w:pPr>
      <w:proofErr w:type="spellStart"/>
      <w:r w:rsidRPr="00992BD5">
        <w:t>Patterer</w:t>
      </w:r>
      <w:proofErr w:type="spellEnd"/>
      <w:r w:rsidRPr="00992BD5">
        <w:t xml:space="preserve"> M. S., </w:t>
      </w:r>
      <w:proofErr w:type="spellStart"/>
      <w:r w:rsidRPr="00992BD5">
        <w:t>Bavasso</w:t>
      </w:r>
      <w:proofErr w:type="spellEnd"/>
      <w:r w:rsidRPr="00992BD5">
        <w:t xml:space="preserve"> I., </w:t>
      </w:r>
      <w:proofErr w:type="spellStart"/>
      <w:r w:rsidRPr="00992BD5">
        <w:t>Sambeth</w:t>
      </w:r>
      <w:proofErr w:type="spellEnd"/>
      <w:r w:rsidRPr="00992BD5">
        <w:t xml:space="preserve"> J. E., Medici F.</w:t>
      </w:r>
      <w:r>
        <w:t xml:space="preserve">, </w:t>
      </w:r>
      <w:r w:rsidRPr="00992BD5">
        <w:t>2017</w:t>
      </w:r>
      <w:r>
        <w:t>,</w:t>
      </w:r>
      <w:r w:rsidRPr="00992BD5">
        <w:t xml:space="preserve"> Cadmium removal from </w:t>
      </w:r>
      <w:proofErr w:type="spellStart"/>
      <w:r w:rsidRPr="00992BD5">
        <w:t>acqueous</w:t>
      </w:r>
      <w:proofErr w:type="spellEnd"/>
      <w:r w:rsidRPr="00992BD5">
        <w:t xml:space="preserve"> solution by adsorption on spent coffee grounds</w:t>
      </w:r>
      <w:r>
        <w:t xml:space="preserve">, Chemical Engineering Transactions, 60, </w:t>
      </w:r>
      <w:r w:rsidRPr="00992BD5">
        <w:t>157-162.</w:t>
      </w:r>
    </w:p>
    <w:p w:rsidR="00D770B8" w:rsidRDefault="00D770B8" w:rsidP="00BC6A48">
      <w:pPr>
        <w:pStyle w:val="CETReferencetext"/>
      </w:pPr>
      <w:proofErr w:type="spellStart"/>
      <w:r w:rsidRPr="00D770B8">
        <w:rPr>
          <w:lang w:val="en-US"/>
        </w:rPr>
        <w:t>Scargiali</w:t>
      </w:r>
      <w:proofErr w:type="spellEnd"/>
      <w:r w:rsidRPr="00D770B8">
        <w:rPr>
          <w:lang w:val="en-US"/>
        </w:rPr>
        <w:t xml:space="preserve"> F., </w:t>
      </w:r>
      <w:proofErr w:type="spellStart"/>
      <w:r w:rsidRPr="00D770B8">
        <w:rPr>
          <w:lang w:val="en-US"/>
        </w:rPr>
        <w:t>Busciglio</w:t>
      </w:r>
      <w:proofErr w:type="spellEnd"/>
      <w:r w:rsidRPr="00D770B8">
        <w:rPr>
          <w:lang w:val="en-US"/>
        </w:rPr>
        <w:t xml:space="preserve"> A., </w:t>
      </w:r>
      <w:proofErr w:type="spellStart"/>
      <w:r w:rsidRPr="00D770B8">
        <w:rPr>
          <w:lang w:val="en-US"/>
        </w:rPr>
        <w:t>Grisafi</w:t>
      </w:r>
      <w:proofErr w:type="spellEnd"/>
      <w:r w:rsidRPr="00D770B8">
        <w:rPr>
          <w:lang w:val="en-US"/>
        </w:rPr>
        <w:t xml:space="preserve"> F., </w:t>
      </w:r>
      <w:proofErr w:type="spellStart"/>
      <w:r w:rsidRPr="00D770B8">
        <w:rPr>
          <w:lang w:val="en-US"/>
        </w:rPr>
        <w:t>Brucato</w:t>
      </w:r>
      <w:proofErr w:type="spellEnd"/>
      <w:r w:rsidRPr="00D770B8">
        <w:rPr>
          <w:lang w:val="en-US"/>
        </w:rPr>
        <w:t xml:space="preserve"> A., 2014</w:t>
      </w:r>
      <w:r>
        <w:rPr>
          <w:lang w:val="en-US"/>
        </w:rPr>
        <w:t>,</w:t>
      </w:r>
      <w:r w:rsidRPr="00D770B8">
        <w:rPr>
          <w:lang w:val="en-US"/>
        </w:rPr>
        <w:t xml:space="preserve"> </w:t>
      </w:r>
      <w:r w:rsidRPr="00D770B8">
        <w:t xml:space="preserve">Mass transfer and hydrodynamic characteristics of </w:t>
      </w:r>
      <w:proofErr w:type="spellStart"/>
      <w:r w:rsidRPr="00D770B8">
        <w:t>unbaffled</w:t>
      </w:r>
      <w:proofErr w:type="spellEnd"/>
      <w:r w:rsidRPr="00D770B8">
        <w:t xml:space="preserve"> stirred bio-reactors: influence of impeller design</w:t>
      </w:r>
      <w:r>
        <w:t>,</w:t>
      </w:r>
      <w:r w:rsidRPr="00D770B8">
        <w:t xml:space="preserve"> </w:t>
      </w:r>
      <w:r w:rsidRPr="00D770B8">
        <w:rPr>
          <w:iCs/>
        </w:rPr>
        <w:t>Biochemical engineering journal</w:t>
      </w:r>
      <w:r w:rsidRPr="00D770B8">
        <w:t xml:space="preserve">, </w:t>
      </w:r>
      <w:r w:rsidRPr="00D770B8">
        <w:rPr>
          <w:iCs/>
        </w:rPr>
        <w:t>82</w:t>
      </w:r>
      <w:r w:rsidRPr="00D770B8">
        <w:t xml:space="preserve">, 41-47. </w:t>
      </w:r>
    </w:p>
    <w:p w:rsidR="005D7BB7" w:rsidRDefault="005D7BB7" w:rsidP="00BC6A48">
      <w:pPr>
        <w:pStyle w:val="CETReferencetext"/>
        <w:rPr>
          <w:bCs/>
        </w:rPr>
      </w:pPr>
      <w:r w:rsidRPr="000C0407">
        <w:t xml:space="preserve">Singh </w:t>
      </w:r>
      <w:r w:rsidR="000C0407" w:rsidRPr="000C0407">
        <w:t xml:space="preserve">D. B., Gupta G. S., Prasad G., </w:t>
      </w:r>
      <w:proofErr w:type="spellStart"/>
      <w:r w:rsidR="000C0407" w:rsidRPr="000C0407">
        <w:t>Rupainwar</w:t>
      </w:r>
      <w:proofErr w:type="spellEnd"/>
      <w:r w:rsidR="000C0407" w:rsidRPr="000C0407">
        <w:t xml:space="preserve"> D. C., 1993, </w:t>
      </w:r>
      <w:r w:rsidR="000C0407" w:rsidRPr="000C0407">
        <w:rPr>
          <w:bCs/>
        </w:rPr>
        <w:t>The Use of Hematite for Chromium(VI) Removal, Journal of Environmental Science and Health. Part A: Environmental Science and Engineering and Toxicology</w:t>
      </w:r>
      <w:r w:rsidR="000C0407">
        <w:rPr>
          <w:bCs/>
        </w:rPr>
        <w:t xml:space="preserve">, 28, </w:t>
      </w:r>
      <w:r w:rsidR="000C0407" w:rsidRPr="000C0407">
        <w:rPr>
          <w:bCs/>
        </w:rPr>
        <w:t>1813-1826</w:t>
      </w:r>
      <w:r w:rsidR="000C0407">
        <w:rPr>
          <w:bCs/>
        </w:rPr>
        <w:t>.</w:t>
      </w:r>
    </w:p>
    <w:p w:rsidR="00F92199" w:rsidRPr="00F92199" w:rsidRDefault="00F92199" w:rsidP="00F92199">
      <w:pPr>
        <w:pStyle w:val="CETReferencetext"/>
        <w:rPr>
          <w:bCs/>
        </w:rPr>
      </w:pPr>
      <w:proofErr w:type="spellStart"/>
      <w:r w:rsidRPr="00F92199">
        <w:rPr>
          <w:bCs/>
        </w:rPr>
        <w:t>Stoller</w:t>
      </w:r>
      <w:proofErr w:type="spellEnd"/>
      <w:r w:rsidRPr="00F92199">
        <w:rPr>
          <w:bCs/>
        </w:rPr>
        <w:t xml:space="preserve"> M., Di Palma L., </w:t>
      </w:r>
      <w:proofErr w:type="spellStart"/>
      <w:r w:rsidRPr="00F92199">
        <w:rPr>
          <w:bCs/>
        </w:rPr>
        <w:t>Vuppala</w:t>
      </w:r>
      <w:proofErr w:type="spellEnd"/>
      <w:r w:rsidRPr="00F92199">
        <w:rPr>
          <w:bCs/>
        </w:rPr>
        <w:t xml:space="preserve"> S., </w:t>
      </w:r>
      <w:proofErr w:type="spellStart"/>
      <w:r w:rsidRPr="00F92199">
        <w:rPr>
          <w:bCs/>
        </w:rPr>
        <w:t>Verdone</w:t>
      </w:r>
      <w:proofErr w:type="spellEnd"/>
      <w:r w:rsidRPr="00F92199">
        <w:rPr>
          <w:bCs/>
        </w:rPr>
        <w:t xml:space="preserve"> N., </w:t>
      </w:r>
      <w:proofErr w:type="spellStart"/>
      <w:r w:rsidRPr="00F92199">
        <w:rPr>
          <w:bCs/>
        </w:rPr>
        <w:t>Vilardi</w:t>
      </w:r>
      <w:proofErr w:type="spellEnd"/>
      <w:r w:rsidRPr="00F92199">
        <w:rPr>
          <w:bCs/>
        </w:rPr>
        <w:t xml:space="preserve"> G., 2018, Process intensification techniques for the production of </w:t>
      </w:r>
      <w:proofErr w:type="spellStart"/>
      <w:r w:rsidRPr="00F92199">
        <w:rPr>
          <w:bCs/>
        </w:rPr>
        <w:t>nano</w:t>
      </w:r>
      <w:proofErr w:type="spellEnd"/>
      <w:r w:rsidRPr="00F92199">
        <w:rPr>
          <w:bCs/>
        </w:rPr>
        <w:t>-and submicronic particles for food and medical applications, Current Pharmaceutical Design, 24, 2329-2338.</w:t>
      </w:r>
    </w:p>
    <w:p w:rsidR="00F92199" w:rsidRDefault="00F92199" w:rsidP="00BC6A48">
      <w:pPr>
        <w:pStyle w:val="CETReferencetext"/>
        <w:rPr>
          <w:bCs/>
        </w:rPr>
      </w:pPr>
      <w:r w:rsidRPr="00F92199">
        <w:rPr>
          <w:bCs/>
        </w:rPr>
        <w:t xml:space="preserve">White D. A., </w:t>
      </w:r>
      <w:proofErr w:type="spellStart"/>
      <w:r w:rsidRPr="00F92199">
        <w:rPr>
          <w:bCs/>
        </w:rPr>
        <w:t>Verdone</w:t>
      </w:r>
      <w:proofErr w:type="spellEnd"/>
      <w:r w:rsidRPr="00F92199">
        <w:rPr>
          <w:bCs/>
        </w:rPr>
        <w:t xml:space="preserve"> N., 2000, Numerical modelling of sedimentation processes, Chemical Engineering Science, 55, 2213-2222.</w:t>
      </w:r>
    </w:p>
    <w:p w:rsidR="003A34A4" w:rsidRDefault="00A719F9" w:rsidP="00BB5FEF">
      <w:pPr>
        <w:pStyle w:val="CETReferencetext"/>
      </w:pPr>
      <w:r w:rsidRPr="00A719F9">
        <w:rPr>
          <w:lang w:val="en-US"/>
        </w:rPr>
        <w:t>Xiao Q., Sun Y., Zhang J., Li Q., 2015</w:t>
      </w:r>
      <w:r>
        <w:rPr>
          <w:lang w:val="en-US"/>
        </w:rPr>
        <w:t>,</w:t>
      </w:r>
      <w:r w:rsidRPr="00A719F9">
        <w:rPr>
          <w:lang w:val="en-US"/>
        </w:rPr>
        <w:t xml:space="preserve"> </w:t>
      </w:r>
      <w:r w:rsidRPr="00A719F9">
        <w:t xml:space="preserve">Size-dependent of chromium (VI) adsorption on </w:t>
      </w:r>
      <w:proofErr w:type="spellStart"/>
      <w:r w:rsidRPr="00A719F9">
        <w:t>nano</w:t>
      </w:r>
      <w:proofErr w:type="spellEnd"/>
      <w:r w:rsidRPr="00A719F9">
        <w:t xml:space="preserve"> α-Fe2O3 surface</w:t>
      </w:r>
      <w:r>
        <w:t>,</w:t>
      </w:r>
      <w:r w:rsidRPr="00A719F9">
        <w:t xml:space="preserve"> </w:t>
      </w:r>
      <w:r w:rsidRPr="00A719F9">
        <w:rPr>
          <w:iCs/>
        </w:rPr>
        <w:t>Applied Surface Science</w:t>
      </w:r>
      <w:r w:rsidRPr="00A719F9">
        <w:t xml:space="preserve">, </w:t>
      </w:r>
      <w:r w:rsidRPr="00A719F9">
        <w:rPr>
          <w:iCs/>
        </w:rPr>
        <w:t>356</w:t>
      </w:r>
      <w:r w:rsidRPr="00A719F9">
        <w:t>, 18-23.</w:t>
      </w:r>
    </w:p>
    <w:p w:rsidR="009F039A" w:rsidRPr="00D64955" w:rsidRDefault="009F039A">
      <w:pPr>
        <w:pStyle w:val="CETReferencetext"/>
      </w:pPr>
    </w:p>
    <w:sectPr w:rsidR="009F039A" w:rsidRPr="00D6495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1D" w:rsidRDefault="0092411D" w:rsidP="004F5E36">
      <w:r>
        <w:separator/>
      </w:r>
    </w:p>
  </w:endnote>
  <w:endnote w:type="continuationSeparator" w:id="0">
    <w:p w:rsidR="0092411D" w:rsidRDefault="009241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1D" w:rsidRDefault="0092411D" w:rsidP="004F5E36">
      <w:r>
        <w:separator/>
      </w:r>
    </w:p>
  </w:footnote>
  <w:footnote w:type="continuationSeparator" w:id="0">
    <w:p w:rsidR="0092411D" w:rsidRDefault="0092411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CFF"/>
    <w:rsid w:val="00010F40"/>
    <w:rsid w:val="000117CB"/>
    <w:rsid w:val="00015A74"/>
    <w:rsid w:val="0003148D"/>
    <w:rsid w:val="0003539B"/>
    <w:rsid w:val="00042EAD"/>
    <w:rsid w:val="00047D7F"/>
    <w:rsid w:val="00051566"/>
    <w:rsid w:val="00056847"/>
    <w:rsid w:val="00056C81"/>
    <w:rsid w:val="00057C6E"/>
    <w:rsid w:val="00062369"/>
    <w:rsid w:val="00062A9A"/>
    <w:rsid w:val="00065058"/>
    <w:rsid w:val="000741E1"/>
    <w:rsid w:val="00086C39"/>
    <w:rsid w:val="000A03B2"/>
    <w:rsid w:val="000B138B"/>
    <w:rsid w:val="000C0407"/>
    <w:rsid w:val="000D093E"/>
    <w:rsid w:val="000D34BE"/>
    <w:rsid w:val="000E102F"/>
    <w:rsid w:val="000E36F1"/>
    <w:rsid w:val="000E3A73"/>
    <w:rsid w:val="000E414A"/>
    <w:rsid w:val="000F093C"/>
    <w:rsid w:val="000F16BD"/>
    <w:rsid w:val="000F787B"/>
    <w:rsid w:val="001106C6"/>
    <w:rsid w:val="00116993"/>
    <w:rsid w:val="0012091F"/>
    <w:rsid w:val="00126BC2"/>
    <w:rsid w:val="001308B6"/>
    <w:rsid w:val="0013121F"/>
    <w:rsid w:val="00131FAB"/>
    <w:rsid w:val="00131FE6"/>
    <w:rsid w:val="0013263F"/>
    <w:rsid w:val="00134DE4"/>
    <w:rsid w:val="0014034D"/>
    <w:rsid w:val="001442F7"/>
    <w:rsid w:val="00150E59"/>
    <w:rsid w:val="00152DE3"/>
    <w:rsid w:val="00154302"/>
    <w:rsid w:val="00164165"/>
    <w:rsid w:val="00164CF9"/>
    <w:rsid w:val="00172DEE"/>
    <w:rsid w:val="00184AD6"/>
    <w:rsid w:val="001A0F7E"/>
    <w:rsid w:val="001A5878"/>
    <w:rsid w:val="001B0349"/>
    <w:rsid w:val="001B65C1"/>
    <w:rsid w:val="001C684B"/>
    <w:rsid w:val="001D53FC"/>
    <w:rsid w:val="001E4528"/>
    <w:rsid w:val="001F42A5"/>
    <w:rsid w:val="001F7B9D"/>
    <w:rsid w:val="002016F4"/>
    <w:rsid w:val="0021559E"/>
    <w:rsid w:val="002223CE"/>
    <w:rsid w:val="002224B4"/>
    <w:rsid w:val="0022379E"/>
    <w:rsid w:val="002330C4"/>
    <w:rsid w:val="002447EF"/>
    <w:rsid w:val="00247490"/>
    <w:rsid w:val="00251550"/>
    <w:rsid w:val="0025610A"/>
    <w:rsid w:val="00263B05"/>
    <w:rsid w:val="0027221A"/>
    <w:rsid w:val="00275B61"/>
    <w:rsid w:val="00282656"/>
    <w:rsid w:val="00296B83"/>
    <w:rsid w:val="002973CC"/>
    <w:rsid w:val="002A1EB1"/>
    <w:rsid w:val="002A388D"/>
    <w:rsid w:val="002B12E4"/>
    <w:rsid w:val="002B78CE"/>
    <w:rsid w:val="002C2FB6"/>
    <w:rsid w:val="002C3F10"/>
    <w:rsid w:val="002E24F1"/>
    <w:rsid w:val="002E70B3"/>
    <w:rsid w:val="002F112E"/>
    <w:rsid w:val="003009B7"/>
    <w:rsid w:val="00300E56"/>
    <w:rsid w:val="0030469C"/>
    <w:rsid w:val="003060FA"/>
    <w:rsid w:val="00321CA6"/>
    <w:rsid w:val="00325B77"/>
    <w:rsid w:val="003333B3"/>
    <w:rsid w:val="00334C09"/>
    <w:rsid w:val="003365E3"/>
    <w:rsid w:val="00341AA9"/>
    <w:rsid w:val="00342BA0"/>
    <w:rsid w:val="00342CC8"/>
    <w:rsid w:val="0036236C"/>
    <w:rsid w:val="003723D4"/>
    <w:rsid w:val="00384CC8"/>
    <w:rsid w:val="00384E22"/>
    <w:rsid w:val="00385529"/>
    <w:rsid w:val="003871FD"/>
    <w:rsid w:val="00387403"/>
    <w:rsid w:val="003A1E30"/>
    <w:rsid w:val="003A34A4"/>
    <w:rsid w:val="003A7D1C"/>
    <w:rsid w:val="003B304B"/>
    <w:rsid w:val="003B3146"/>
    <w:rsid w:val="003B60F3"/>
    <w:rsid w:val="003F015E"/>
    <w:rsid w:val="003F49CD"/>
    <w:rsid w:val="00400414"/>
    <w:rsid w:val="00405F3B"/>
    <w:rsid w:val="0041446B"/>
    <w:rsid w:val="0044329C"/>
    <w:rsid w:val="00453778"/>
    <w:rsid w:val="004577FE"/>
    <w:rsid w:val="00457B9C"/>
    <w:rsid w:val="0046164A"/>
    <w:rsid w:val="0046234E"/>
    <w:rsid w:val="004623D4"/>
    <w:rsid w:val="004628D2"/>
    <w:rsid w:val="00462DCD"/>
    <w:rsid w:val="004648AD"/>
    <w:rsid w:val="00465AC2"/>
    <w:rsid w:val="004703A9"/>
    <w:rsid w:val="00472160"/>
    <w:rsid w:val="00475176"/>
    <w:rsid w:val="004760DE"/>
    <w:rsid w:val="004A004E"/>
    <w:rsid w:val="004A0713"/>
    <w:rsid w:val="004A24CF"/>
    <w:rsid w:val="004A5830"/>
    <w:rsid w:val="004B6721"/>
    <w:rsid w:val="004C05D0"/>
    <w:rsid w:val="004C3D1D"/>
    <w:rsid w:val="004C7796"/>
    <w:rsid w:val="004C7913"/>
    <w:rsid w:val="004E4DD6"/>
    <w:rsid w:val="004F5E36"/>
    <w:rsid w:val="00502AFB"/>
    <w:rsid w:val="00507B47"/>
    <w:rsid w:val="00507CC9"/>
    <w:rsid w:val="005119A5"/>
    <w:rsid w:val="00515831"/>
    <w:rsid w:val="00522E3F"/>
    <w:rsid w:val="005278B7"/>
    <w:rsid w:val="00532016"/>
    <w:rsid w:val="005346C8"/>
    <w:rsid w:val="00543E7D"/>
    <w:rsid w:val="00547A68"/>
    <w:rsid w:val="005531C9"/>
    <w:rsid w:val="005549B7"/>
    <w:rsid w:val="005617C4"/>
    <w:rsid w:val="005710F7"/>
    <w:rsid w:val="00587BF1"/>
    <w:rsid w:val="005B2110"/>
    <w:rsid w:val="005B61E6"/>
    <w:rsid w:val="005C09F2"/>
    <w:rsid w:val="005C77E1"/>
    <w:rsid w:val="005D10C7"/>
    <w:rsid w:val="005D1E5D"/>
    <w:rsid w:val="005D6A2F"/>
    <w:rsid w:val="005D7BB7"/>
    <w:rsid w:val="005E1A82"/>
    <w:rsid w:val="005E3259"/>
    <w:rsid w:val="005E794C"/>
    <w:rsid w:val="005F0A28"/>
    <w:rsid w:val="005F0E5E"/>
    <w:rsid w:val="005F3D84"/>
    <w:rsid w:val="00600535"/>
    <w:rsid w:val="00610CD6"/>
    <w:rsid w:val="00620DEE"/>
    <w:rsid w:val="00621F92"/>
    <w:rsid w:val="00625639"/>
    <w:rsid w:val="00625BAA"/>
    <w:rsid w:val="00631B33"/>
    <w:rsid w:val="00636162"/>
    <w:rsid w:val="0064184D"/>
    <w:rsid w:val="006422CC"/>
    <w:rsid w:val="00653F5F"/>
    <w:rsid w:val="00654A9F"/>
    <w:rsid w:val="00656B6E"/>
    <w:rsid w:val="00660E3E"/>
    <w:rsid w:val="00662E74"/>
    <w:rsid w:val="00680C23"/>
    <w:rsid w:val="00693766"/>
    <w:rsid w:val="006A3281"/>
    <w:rsid w:val="006B4888"/>
    <w:rsid w:val="006C2E45"/>
    <w:rsid w:val="006C359C"/>
    <w:rsid w:val="006C5579"/>
    <w:rsid w:val="006E737D"/>
    <w:rsid w:val="006F0401"/>
    <w:rsid w:val="0070195D"/>
    <w:rsid w:val="00713870"/>
    <w:rsid w:val="00720A24"/>
    <w:rsid w:val="00732386"/>
    <w:rsid w:val="00733AA7"/>
    <w:rsid w:val="007436AD"/>
    <w:rsid w:val="007447F3"/>
    <w:rsid w:val="0075499F"/>
    <w:rsid w:val="007661C8"/>
    <w:rsid w:val="007707C4"/>
    <w:rsid w:val="0077098D"/>
    <w:rsid w:val="00774679"/>
    <w:rsid w:val="007931FA"/>
    <w:rsid w:val="007A0A09"/>
    <w:rsid w:val="007A7BBA"/>
    <w:rsid w:val="007B0C50"/>
    <w:rsid w:val="007B3F00"/>
    <w:rsid w:val="007B515E"/>
    <w:rsid w:val="007C1A43"/>
    <w:rsid w:val="007D05D6"/>
    <w:rsid w:val="007D45DD"/>
    <w:rsid w:val="007E1DC6"/>
    <w:rsid w:val="007E3DA6"/>
    <w:rsid w:val="00813288"/>
    <w:rsid w:val="008154B9"/>
    <w:rsid w:val="008168FC"/>
    <w:rsid w:val="00830996"/>
    <w:rsid w:val="008345F1"/>
    <w:rsid w:val="00844C16"/>
    <w:rsid w:val="00865B07"/>
    <w:rsid w:val="008667EA"/>
    <w:rsid w:val="0087637F"/>
    <w:rsid w:val="008904B9"/>
    <w:rsid w:val="00892AD5"/>
    <w:rsid w:val="008A1512"/>
    <w:rsid w:val="008C5BDB"/>
    <w:rsid w:val="008D32B9"/>
    <w:rsid w:val="008D3FB5"/>
    <w:rsid w:val="008D433B"/>
    <w:rsid w:val="008D64A7"/>
    <w:rsid w:val="008E566E"/>
    <w:rsid w:val="008F0324"/>
    <w:rsid w:val="008F34A1"/>
    <w:rsid w:val="0090002D"/>
    <w:rsid w:val="0090161A"/>
    <w:rsid w:val="00901EB6"/>
    <w:rsid w:val="00904C62"/>
    <w:rsid w:val="009161E3"/>
    <w:rsid w:val="0092411D"/>
    <w:rsid w:val="00924DAC"/>
    <w:rsid w:val="00927058"/>
    <w:rsid w:val="0093759E"/>
    <w:rsid w:val="009450CE"/>
    <w:rsid w:val="00947179"/>
    <w:rsid w:val="0095164B"/>
    <w:rsid w:val="00954090"/>
    <w:rsid w:val="009573E7"/>
    <w:rsid w:val="00960675"/>
    <w:rsid w:val="00963E05"/>
    <w:rsid w:val="0096476B"/>
    <w:rsid w:val="00967D54"/>
    <w:rsid w:val="00992BD5"/>
    <w:rsid w:val="00996483"/>
    <w:rsid w:val="00996F5A"/>
    <w:rsid w:val="009A0A3E"/>
    <w:rsid w:val="009B041A"/>
    <w:rsid w:val="009B5087"/>
    <w:rsid w:val="009C7C86"/>
    <w:rsid w:val="009D2FF7"/>
    <w:rsid w:val="009E7884"/>
    <w:rsid w:val="009E788A"/>
    <w:rsid w:val="009F039A"/>
    <w:rsid w:val="009F0E08"/>
    <w:rsid w:val="00A16173"/>
    <w:rsid w:val="00A1763D"/>
    <w:rsid w:val="00A17CEC"/>
    <w:rsid w:val="00A23661"/>
    <w:rsid w:val="00A273E5"/>
    <w:rsid w:val="00A27EF0"/>
    <w:rsid w:val="00A31071"/>
    <w:rsid w:val="00A50B20"/>
    <w:rsid w:val="00A51390"/>
    <w:rsid w:val="00A51709"/>
    <w:rsid w:val="00A51A4C"/>
    <w:rsid w:val="00A60D13"/>
    <w:rsid w:val="00A719F9"/>
    <w:rsid w:val="00A72745"/>
    <w:rsid w:val="00A754D4"/>
    <w:rsid w:val="00A7582A"/>
    <w:rsid w:val="00A76EFC"/>
    <w:rsid w:val="00A91010"/>
    <w:rsid w:val="00A92D2C"/>
    <w:rsid w:val="00A936DB"/>
    <w:rsid w:val="00A94F96"/>
    <w:rsid w:val="00A97F29"/>
    <w:rsid w:val="00AA702E"/>
    <w:rsid w:val="00AA71E7"/>
    <w:rsid w:val="00AB0964"/>
    <w:rsid w:val="00AB31B4"/>
    <w:rsid w:val="00AB5011"/>
    <w:rsid w:val="00AC7368"/>
    <w:rsid w:val="00AD16B9"/>
    <w:rsid w:val="00AE1796"/>
    <w:rsid w:val="00AE377D"/>
    <w:rsid w:val="00B0248E"/>
    <w:rsid w:val="00B17FBD"/>
    <w:rsid w:val="00B2307F"/>
    <w:rsid w:val="00B315A6"/>
    <w:rsid w:val="00B31813"/>
    <w:rsid w:val="00B33365"/>
    <w:rsid w:val="00B47288"/>
    <w:rsid w:val="00B512A3"/>
    <w:rsid w:val="00B57B36"/>
    <w:rsid w:val="00B64D0F"/>
    <w:rsid w:val="00B8686D"/>
    <w:rsid w:val="00BB26BA"/>
    <w:rsid w:val="00BB5FEF"/>
    <w:rsid w:val="00BC30C9"/>
    <w:rsid w:val="00BC6A48"/>
    <w:rsid w:val="00BD5787"/>
    <w:rsid w:val="00BE3E58"/>
    <w:rsid w:val="00BE5291"/>
    <w:rsid w:val="00C01616"/>
    <w:rsid w:val="00C0162B"/>
    <w:rsid w:val="00C02C45"/>
    <w:rsid w:val="00C24FD8"/>
    <w:rsid w:val="00C345B1"/>
    <w:rsid w:val="00C40142"/>
    <w:rsid w:val="00C46D16"/>
    <w:rsid w:val="00C51F8F"/>
    <w:rsid w:val="00C52FAD"/>
    <w:rsid w:val="00C57182"/>
    <w:rsid w:val="00C57863"/>
    <w:rsid w:val="00C63548"/>
    <w:rsid w:val="00C655FD"/>
    <w:rsid w:val="00C72A4B"/>
    <w:rsid w:val="00C7559C"/>
    <w:rsid w:val="00C870A8"/>
    <w:rsid w:val="00C94434"/>
    <w:rsid w:val="00CA0D75"/>
    <w:rsid w:val="00CA1C95"/>
    <w:rsid w:val="00CA5A9C"/>
    <w:rsid w:val="00CC2EEC"/>
    <w:rsid w:val="00CC7FD2"/>
    <w:rsid w:val="00CD343A"/>
    <w:rsid w:val="00CD3517"/>
    <w:rsid w:val="00CD5FE2"/>
    <w:rsid w:val="00CE7C68"/>
    <w:rsid w:val="00D02B4C"/>
    <w:rsid w:val="00D040C4"/>
    <w:rsid w:val="00D37289"/>
    <w:rsid w:val="00D44025"/>
    <w:rsid w:val="00D4712F"/>
    <w:rsid w:val="00D52D48"/>
    <w:rsid w:val="00D555EA"/>
    <w:rsid w:val="00D57B51"/>
    <w:rsid w:val="00D57C84"/>
    <w:rsid w:val="00D6057D"/>
    <w:rsid w:val="00D61307"/>
    <w:rsid w:val="00D64955"/>
    <w:rsid w:val="00D770B8"/>
    <w:rsid w:val="00D84576"/>
    <w:rsid w:val="00DA1399"/>
    <w:rsid w:val="00DA24C6"/>
    <w:rsid w:val="00DA3B6B"/>
    <w:rsid w:val="00DA4D7B"/>
    <w:rsid w:val="00DB0CD3"/>
    <w:rsid w:val="00DC1470"/>
    <w:rsid w:val="00DC3938"/>
    <w:rsid w:val="00DE264A"/>
    <w:rsid w:val="00DE59E9"/>
    <w:rsid w:val="00DF29A6"/>
    <w:rsid w:val="00E02D18"/>
    <w:rsid w:val="00E03AC6"/>
    <w:rsid w:val="00E041E7"/>
    <w:rsid w:val="00E06790"/>
    <w:rsid w:val="00E23CA1"/>
    <w:rsid w:val="00E409A8"/>
    <w:rsid w:val="00E50C12"/>
    <w:rsid w:val="00E5620F"/>
    <w:rsid w:val="00E65B91"/>
    <w:rsid w:val="00E7209D"/>
    <w:rsid w:val="00E765C2"/>
    <w:rsid w:val="00E77223"/>
    <w:rsid w:val="00E851EF"/>
    <w:rsid w:val="00E8528B"/>
    <w:rsid w:val="00E85B94"/>
    <w:rsid w:val="00E94CAC"/>
    <w:rsid w:val="00E951A7"/>
    <w:rsid w:val="00E978D0"/>
    <w:rsid w:val="00EA0DFC"/>
    <w:rsid w:val="00EA4613"/>
    <w:rsid w:val="00EA6FDB"/>
    <w:rsid w:val="00EA7F91"/>
    <w:rsid w:val="00EB1523"/>
    <w:rsid w:val="00EC0E49"/>
    <w:rsid w:val="00EC1975"/>
    <w:rsid w:val="00EC7234"/>
    <w:rsid w:val="00ED236D"/>
    <w:rsid w:val="00ED70FC"/>
    <w:rsid w:val="00EE0131"/>
    <w:rsid w:val="00EE084B"/>
    <w:rsid w:val="00EF5EB4"/>
    <w:rsid w:val="00F155B2"/>
    <w:rsid w:val="00F30C64"/>
    <w:rsid w:val="00F32CDB"/>
    <w:rsid w:val="00F36AD6"/>
    <w:rsid w:val="00F63A70"/>
    <w:rsid w:val="00F81824"/>
    <w:rsid w:val="00F92199"/>
    <w:rsid w:val="00F93C7C"/>
    <w:rsid w:val="00FA21D0"/>
    <w:rsid w:val="00FA5F5F"/>
    <w:rsid w:val="00FB730C"/>
    <w:rsid w:val="00FC2695"/>
    <w:rsid w:val="00FC3E03"/>
    <w:rsid w:val="00FC3FC1"/>
    <w:rsid w:val="00FF301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2421">
      <w:bodyDiv w:val="1"/>
      <w:marLeft w:val="0"/>
      <w:marRight w:val="0"/>
      <w:marTop w:val="0"/>
      <w:marBottom w:val="0"/>
      <w:divBdr>
        <w:top w:val="none" w:sz="0" w:space="0" w:color="auto"/>
        <w:left w:val="none" w:sz="0" w:space="0" w:color="auto"/>
        <w:bottom w:val="none" w:sz="0" w:space="0" w:color="auto"/>
        <w:right w:val="none" w:sz="0" w:space="0" w:color="auto"/>
      </w:divBdr>
      <w:divsChild>
        <w:div w:id="73277848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843">
      <w:bodyDiv w:val="1"/>
      <w:marLeft w:val="0"/>
      <w:marRight w:val="0"/>
      <w:marTop w:val="0"/>
      <w:marBottom w:val="0"/>
      <w:divBdr>
        <w:top w:val="none" w:sz="0" w:space="0" w:color="auto"/>
        <w:left w:val="none" w:sz="0" w:space="0" w:color="auto"/>
        <w:bottom w:val="none" w:sz="0" w:space="0" w:color="auto"/>
        <w:right w:val="none" w:sz="0" w:space="0" w:color="auto"/>
      </w:divBdr>
      <w:divsChild>
        <w:div w:id="751270118">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963">
      <w:bodyDiv w:val="1"/>
      <w:marLeft w:val="0"/>
      <w:marRight w:val="0"/>
      <w:marTop w:val="0"/>
      <w:marBottom w:val="0"/>
      <w:divBdr>
        <w:top w:val="none" w:sz="0" w:space="0" w:color="auto"/>
        <w:left w:val="none" w:sz="0" w:space="0" w:color="auto"/>
        <w:bottom w:val="none" w:sz="0" w:space="0" w:color="auto"/>
        <w:right w:val="none" w:sz="0" w:space="0" w:color="auto"/>
      </w:divBdr>
    </w:div>
    <w:div w:id="994990660">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4">
          <w:marLeft w:val="0"/>
          <w:marRight w:val="0"/>
          <w:marTop w:val="0"/>
          <w:marBottom w:val="0"/>
          <w:divBdr>
            <w:top w:val="none" w:sz="0" w:space="0" w:color="auto"/>
            <w:left w:val="none" w:sz="0" w:space="0" w:color="auto"/>
            <w:bottom w:val="none" w:sz="0" w:space="0" w:color="auto"/>
            <w:right w:val="none" w:sz="0" w:space="0" w:color="auto"/>
          </w:divBdr>
        </w:div>
      </w:divsChild>
    </w:div>
    <w:div w:id="1448889878">
      <w:bodyDiv w:val="1"/>
      <w:marLeft w:val="0"/>
      <w:marRight w:val="0"/>
      <w:marTop w:val="0"/>
      <w:marBottom w:val="0"/>
      <w:divBdr>
        <w:top w:val="none" w:sz="0" w:space="0" w:color="auto"/>
        <w:left w:val="none" w:sz="0" w:space="0" w:color="auto"/>
        <w:bottom w:val="none" w:sz="0" w:space="0" w:color="auto"/>
        <w:right w:val="none" w:sz="0" w:space="0" w:color="auto"/>
      </w:divBdr>
    </w:div>
    <w:div w:id="1557810874">
      <w:bodyDiv w:val="1"/>
      <w:marLeft w:val="0"/>
      <w:marRight w:val="0"/>
      <w:marTop w:val="0"/>
      <w:marBottom w:val="0"/>
      <w:divBdr>
        <w:top w:val="none" w:sz="0" w:space="0" w:color="auto"/>
        <w:left w:val="none" w:sz="0" w:space="0" w:color="auto"/>
        <w:bottom w:val="none" w:sz="0" w:space="0" w:color="auto"/>
        <w:right w:val="none" w:sz="0" w:space="0" w:color="auto"/>
      </w:divBdr>
    </w:div>
    <w:div w:id="1577321777">
      <w:bodyDiv w:val="1"/>
      <w:marLeft w:val="0"/>
      <w:marRight w:val="0"/>
      <w:marTop w:val="0"/>
      <w:marBottom w:val="0"/>
      <w:divBdr>
        <w:top w:val="none" w:sz="0" w:space="0" w:color="auto"/>
        <w:left w:val="none" w:sz="0" w:space="0" w:color="auto"/>
        <w:bottom w:val="none" w:sz="0" w:space="0" w:color="auto"/>
        <w:right w:val="none" w:sz="0" w:space="0" w:color="auto"/>
      </w:divBdr>
    </w:div>
    <w:div w:id="1618443422">
      <w:bodyDiv w:val="1"/>
      <w:marLeft w:val="0"/>
      <w:marRight w:val="0"/>
      <w:marTop w:val="0"/>
      <w:marBottom w:val="0"/>
      <w:divBdr>
        <w:top w:val="none" w:sz="0" w:space="0" w:color="auto"/>
        <w:left w:val="none" w:sz="0" w:space="0" w:color="auto"/>
        <w:bottom w:val="none" w:sz="0" w:space="0" w:color="auto"/>
        <w:right w:val="none" w:sz="0" w:space="0" w:color="auto"/>
      </w:divBdr>
      <w:divsChild>
        <w:div w:id="4957666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9176">
      <w:bodyDiv w:val="1"/>
      <w:marLeft w:val="0"/>
      <w:marRight w:val="0"/>
      <w:marTop w:val="0"/>
      <w:marBottom w:val="0"/>
      <w:divBdr>
        <w:top w:val="none" w:sz="0" w:space="0" w:color="auto"/>
        <w:left w:val="none" w:sz="0" w:space="0" w:color="auto"/>
        <w:bottom w:val="none" w:sz="0" w:space="0" w:color="auto"/>
        <w:right w:val="none" w:sz="0" w:space="0" w:color="auto"/>
      </w:divBdr>
    </w:div>
    <w:div w:id="1959020532">
      <w:bodyDiv w:val="1"/>
      <w:marLeft w:val="0"/>
      <w:marRight w:val="0"/>
      <w:marTop w:val="0"/>
      <w:marBottom w:val="0"/>
      <w:divBdr>
        <w:top w:val="none" w:sz="0" w:space="0" w:color="auto"/>
        <w:left w:val="none" w:sz="0" w:space="0" w:color="auto"/>
        <w:bottom w:val="none" w:sz="0" w:space="0" w:color="auto"/>
        <w:right w:val="none" w:sz="0" w:space="0" w:color="auto"/>
      </w:divBdr>
      <w:divsChild>
        <w:div w:id="193208664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F191-BB45-4DC1-974E-8AFBF587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3345</Words>
  <Characters>19067</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4</cp:revision>
  <cp:lastPrinted>2015-05-12T18:31:00Z</cp:lastPrinted>
  <dcterms:created xsi:type="dcterms:W3CDTF">2019-04-13T09:58:00Z</dcterms:created>
  <dcterms:modified xsi:type="dcterms:W3CDTF">2019-04-15T13:54:00Z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