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2A490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464352">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proofErr w:type="spellEnd"/>
            <w:r w:rsidRPr="008531D2">
              <w:rPr>
                <w:rFonts w:ascii="Tahoma" w:hAnsi="Tahoma" w:cs="Tahoma"/>
                <w:iCs/>
                <w:color w:val="333333"/>
                <w:sz w:val="14"/>
                <w:szCs w:val="14"/>
                <w:lang w:val="it-IT" w:eastAsia="it-IT"/>
              </w:rPr>
              <w:t>:</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xml:space="preserve">, Carmelo </w:t>
            </w:r>
            <w:proofErr w:type="spellStart"/>
            <w:r w:rsidR="008531D2" w:rsidRPr="006F0401">
              <w:rPr>
                <w:rFonts w:ascii="Tahoma" w:hAnsi="Tahoma" w:cs="Tahoma"/>
                <w:bCs/>
                <w:color w:val="0D0D0D" w:themeColor="text1" w:themeTint="F2"/>
                <w:sz w:val="14"/>
                <w:szCs w:val="14"/>
                <w:lang w:val="it-IT"/>
              </w:rPr>
              <w:t>Sunseri</w:t>
            </w:r>
            <w:proofErr w:type="spellEnd"/>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464352">
              <w:rPr>
                <w:rFonts w:ascii="Tahoma" w:hAnsi="Tahoma" w:cs="Tahoma"/>
                <w:sz w:val="14"/>
                <w:szCs w:val="14"/>
              </w:rPr>
              <w:t>70</w:t>
            </w:r>
            <w:r w:rsidR="008D32B9" w:rsidRPr="00131FAB">
              <w:rPr>
                <w:rFonts w:ascii="Tahoma" w:hAnsi="Tahoma" w:cs="Tahoma"/>
                <w:sz w:val="14"/>
                <w:szCs w:val="14"/>
              </w:rPr>
              <w:t>-</w:t>
            </w:r>
            <w:r w:rsidR="00464352">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94249E" w:rsidP="00E978D0">
      <w:pPr>
        <w:pStyle w:val="CETTitle"/>
      </w:pPr>
      <w:r w:rsidRPr="0094249E">
        <w:lastRenderedPageBreak/>
        <w:t>H</w:t>
      </w:r>
      <w:r w:rsidRPr="0094249E">
        <w:rPr>
          <w:vertAlign w:val="subscript"/>
        </w:rPr>
        <w:t>2</w:t>
      </w:r>
      <w:r w:rsidR="00464352">
        <w:t xml:space="preserve"> Generation via Ethanol R</w:t>
      </w:r>
      <w:r w:rsidRPr="0094249E">
        <w:t>eforming over CeO</w:t>
      </w:r>
      <w:r w:rsidRPr="0094249E">
        <w:rPr>
          <w:vertAlign w:val="subscript"/>
        </w:rPr>
        <w:t>2</w:t>
      </w:r>
      <w:r w:rsidRPr="0094249E">
        <w:t>-SiO</w:t>
      </w:r>
      <w:r w:rsidRPr="0094249E">
        <w:rPr>
          <w:vertAlign w:val="subscript"/>
        </w:rPr>
        <w:t>2</w:t>
      </w:r>
      <w:r w:rsidR="00464352">
        <w:t xml:space="preserve"> Based C</w:t>
      </w:r>
      <w:r w:rsidRPr="0094249E">
        <w:t>atalysts</w:t>
      </w:r>
    </w:p>
    <w:p w:rsidR="00E978D0" w:rsidRPr="0094249E" w:rsidRDefault="0094249E" w:rsidP="002A490C">
      <w:pPr>
        <w:pStyle w:val="CETAuthors"/>
        <w:rPr>
          <w:lang w:val="it-IT"/>
        </w:rPr>
      </w:pPr>
      <w:r w:rsidRPr="0094249E">
        <w:rPr>
          <w:lang w:val="it-IT"/>
        </w:rPr>
        <w:t>Vincenzo Palma</w:t>
      </w:r>
      <w:r w:rsidR="00600535" w:rsidRPr="0094249E">
        <w:rPr>
          <w:lang w:val="it-IT"/>
        </w:rPr>
        <w:t xml:space="preserve">, </w:t>
      </w:r>
      <w:r w:rsidRPr="0094249E">
        <w:rPr>
          <w:lang w:val="it-IT"/>
        </w:rPr>
        <w:t>Concetta Ruocco</w:t>
      </w:r>
      <w:r w:rsidR="00600535" w:rsidRPr="0094249E">
        <w:rPr>
          <w:lang w:val="it-IT"/>
        </w:rPr>
        <w:t xml:space="preserve">*, </w:t>
      </w:r>
      <w:r w:rsidRPr="0094249E">
        <w:rPr>
          <w:lang w:val="it-IT"/>
        </w:rPr>
        <w:t>Antonio Ricca</w:t>
      </w:r>
    </w:p>
    <w:p w:rsidR="00E978D0" w:rsidRPr="00B57B36" w:rsidRDefault="0094249E" w:rsidP="00E978D0">
      <w:pPr>
        <w:pStyle w:val="CETAddress"/>
      </w:pPr>
      <w:r w:rsidRPr="0094249E">
        <w:t>Department of Industrial Engineering, University of Salerno, Via Giovanni Paolo II 132, 84084, Fisciano (SA) Italy</w:t>
      </w:r>
      <w:r w:rsidR="00E978D0" w:rsidRPr="00B57B36">
        <w:t xml:space="preserve"> </w:t>
      </w:r>
    </w:p>
    <w:p w:rsidR="00E978D0" w:rsidRPr="00B57B36" w:rsidRDefault="0094249E" w:rsidP="00E978D0">
      <w:pPr>
        <w:pStyle w:val="CETemail"/>
      </w:pPr>
      <w:r>
        <w:t>cruocco@unisa.it</w:t>
      </w:r>
    </w:p>
    <w:p w:rsidR="00F11ED3" w:rsidRPr="00464352" w:rsidRDefault="00F11ED3" w:rsidP="00464352">
      <w:pPr>
        <w:pStyle w:val="CETListbullets"/>
        <w:ind w:left="0" w:firstLine="0"/>
        <w:rPr>
          <w:color w:val="000000" w:themeColor="text1"/>
        </w:rPr>
      </w:pPr>
      <w:r w:rsidRPr="00464352">
        <w:rPr>
          <w:color w:val="000000" w:themeColor="text1"/>
        </w:rPr>
        <w:t xml:space="preserve">In this paper, the renewable hydrogen generation through oxidative steam reforming </w:t>
      </w:r>
      <w:r w:rsidR="009E425E" w:rsidRPr="00464352">
        <w:rPr>
          <w:color w:val="000000" w:themeColor="text1"/>
        </w:rPr>
        <w:t xml:space="preserve">of ethanol has been investigated </w:t>
      </w:r>
      <w:r w:rsidR="006F4452" w:rsidRPr="00464352">
        <w:rPr>
          <w:color w:val="000000" w:themeColor="text1"/>
        </w:rPr>
        <w:t>over bimetallic Pt-Ni/CeO</w:t>
      </w:r>
      <w:r w:rsidR="006F4452" w:rsidRPr="00464352">
        <w:rPr>
          <w:color w:val="000000" w:themeColor="text1"/>
          <w:vertAlign w:val="subscript"/>
        </w:rPr>
        <w:t>2</w:t>
      </w:r>
      <w:r w:rsidR="006F4452" w:rsidRPr="00464352">
        <w:rPr>
          <w:color w:val="000000" w:themeColor="text1"/>
        </w:rPr>
        <w:t>-SiO</w:t>
      </w:r>
      <w:r w:rsidR="006F4452" w:rsidRPr="00464352">
        <w:rPr>
          <w:color w:val="000000" w:themeColor="text1"/>
          <w:vertAlign w:val="subscript"/>
        </w:rPr>
        <w:t>2</w:t>
      </w:r>
      <w:r w:rsidR="006F4452" w:rsidRPr="00464352">
        <w:rPr>
          <w:color w:val="000000" w:themeColor="text1"/>
        </w:rPr>
        <w:t xml:space="preserve"> catalysts, prepared by sequential wet impregnation at different loadings of noble metals (0-3 </w:t>
      </w:r>
      <w:proofErr w:type="spellStart"/>
      <w:r w:rsidR="006F4452" w:rsidRPr="00464352">
        <w:rPr>
          <w:color w:val="000000" w:themeColor="text1"/>
        </w:rPr>
        <w:t>wt</w:t>
      </w:r>
      <w:proofErr w:type="spellEnd"/>
      <w:r w:rsidR="006F4452" w:rsidRPr="00464352">
        <w:rPr>
          <w:color w:val="000000" w:themeColor="text1"/>
        </w:rPr>
        <w:t>%); temperature ranged from 300 to 600°C and the</w:t>
      </w:r>
      <w:r w:rsidR="009E425E" w:rsidRPr="00464352">
        <w:rPr>
          <w:color w:val="000000" w:themeColor="text1"/>
        </w:rPr>
        <w:t xml:space="preserve"> H</w:t>
      </w:r>
      <w:r w:rsidR="009E425E" w:rsidRPr="00464352">
        <w:rPr>
          <w:color w:val="000000" w:themeColor="text1"/>
          <w:vertAlign w:val="subscript"/>
        </w:rPr>
        <w:t>2</w:t>
      </w:r>
      <w:r w:rsidR="009E425E" w:rsidRPr="00464352">
        <w:rPr>
          <w:color w:val="000000" w:themeColor="text1"/>
        </w:rPr>
        <w:t>O/C</w:t>
      </w:r>
      <w:r w:rsidR="009E425E" w:rsidRPr="00464352">
        <w:rPr>
          <w:color w:val="000000" w:themeColor="text1"/>
          <w:vertAlign w:val="subscript"/>
        </w:rPr>
        <w:t>2</w:t>
      </w:r>
      <w:r w:rsidR="009E425E" w:rsidRPr="00464352">
        <w:rPr>
          <w:color w:val="000000" w:themeColor="text1"/>
        </w:rPr>
        <w:t>H</w:t>
      </w:r>
      <w:r w:rsidR="009E425E" w:rsidRPr="00464352">
        <w:rPr>
          <w:color w:val="000000" w:themeColor="text1"/>
          <w:vertAlign w:val="subscript"/>
        </w:rPr>
        <w:t>5</w:t>
      </w:r>
      <w:r w:rsidR="009E425E" w:rsidRPr="00464352">
        <w:rPr>
          <w:color w:val="000000" w:themeColor="text1"/>
        </w:rPr>
        <w:t xml:space="preserve">OH </w:t>
      </w:r>
      <w:r w:rsidR="006F4452" w:rsidRPr="00464352">
        <w:rPr>
          <w:color w:val="000000" w:themeColor="text1"/>
        </w:rPr>
        <w:t xml:space="preserve">as well as </w:t>
      </w:r>
      <w:r w:rsidR="009E425E" w:rsidRPr="00464352">
        <w:rPr>
          <w:color w:val="000000" w:themeColor="text1"/>
        </w:rPr>
        <w:t>O</w:t>
      </w:r>
      <w:r w:rsidR="009E425E" w:rsidRPr="00464352">
        <w:rPr>
          <w:color w:val="000000" w:themeColor="text1"/>
          <w:vertAlign w:val="subscript"/>
        </w:rPr>
        <w:t>2</w:t>
      </w:r>
      <w:r w:rsidR="009E425E" w:rsidRPr="00464352">
        <w:rPr>
          <w:color w:val="000000" w:themeColor="text1"/>
        </w:rPr>
        <w:t>/C</w:t>
      </w:r>
      <w:r w:rsidR="009E425E" w:rsidRPr="00464352">
        <w:rPr>
          <w:color w:val="000000" w:themeColor="text1"/>
          <w:vertAlign w:val="subscript"/>
        </w:rPr>
        <w:t>2</w:t>
      </w:r>
      <w:r w:rsidR="009E425E" w:rsidRPr="00464352">
        <w:rPr>
          <w:color w:val="000000" w:themeColor="text1"/>
        </w:rPr>
        <w:t>H</w:t>
      </w:r>
      <w:r w:rsidR="009E425E" w:rsidRPr="00464352">
        <w:rPr>
          <w:color w:val="000000" w:themeColor="text1"/>
          <w:vertAlign w:val="subscript"/>
        </w:rPr>
        <w:t>5</w:t>
      </w:r>
      <w:r w:rsidR="009E425E" w:rsidRPr="00464352">
        <w:rPr>
          <w:color w:val="000000" w:themeColor="text1"/>
        </w:rPr>
        <w:t xml:space="preserve">OH </w:t>
      </w:r>
      <w:r w:rsidR="006F4452" w:rsidRPr="00464352">
        <w:rPr>
          <w:color w:val="000000" w:themeColor="text1"/>
        </w:rPr>
        <w:t>ratios were fixed, respectively, to 4 and 0.5.</w:t>
      </w:r>
      <w:r w:rsidRPr="00464352">
        <w:rPr>
          <w:color w:val="000000" w:themeColor="text1"/>
        </w:rPr>
        <w:t xml:space="preserve"> The samples were characterized by BET, XRD and TPR analysis. Despite the very low contact time selected (25 </w:t>
      </w:r>
      <w:proofErr w:type="spellStart"/>
      <w:r w:rsidRPr="00464352">
        <w:rPr>
          <w:color w:val="000000" w:themeColor="text1"/>
        </w:rPr>
        <w:t>ms</w:t>
      </w:r>
      <w:proofErr w:type="spellEnd"/>
      <w:r w:rsidRPr="00464352">
        <w:rPr>
          <w:color w:val="000000" w:themeColor="text1"/>
        </w:rPr>
        <w:t xml:space="preserve">), all the bimetallic samples displayed ethanol conversions higher than 50% above 450°C; however, the selectivity in hydrogen generation decreased with the Pt content. It indicates that low platinum loading are sufficient to assure a promising performance for the investigated reaction, thus assuring a considerable reduction of the catalyst cost. An experimental kinetic investigation was also carried </w:t>
      </w:r>
      <w:r w:rsidR="009E425E" w:rsidRPr="00464352">
        <w:rPr>
          <w:color w:val="000000" w:themeColor="text1"/>
        </w:rPr>
        <w:t>out on the most interesting bimetallic sample in comparison with the monometallic catalyst in order to predict the evolution of product species with reaction temperature.</w:t>
      </w:r>
    </w:p>
    <w:p w:rsidR="00600535" w:rsidRPr="00464352" w:rsidRDefault="00600535" w:rsidP="00600535">
      <w:pPr>
        <w:pStyle w:val="CETHeading1"/>
        <w:rPr>
          <w:color w:val="000000" w:themeColor="text1"/>
          <w:lang w:val="en-GB"/>
        </w:rPr>
      </w:pPr>
      <w:r w:rsidRPr="00464352">
        <w:rPr>
          <w:color w:val="000000" w:themeColor="text1"/>
          <w:lang w:val="en-GB"/>
        </w:rPr>
        <w:t>Introduction</w:t>
      </w:r>
    </w:p>
    <w:p w:rsidR="00DC295A" w:rsidRPr="00464352" w:rsidRDefault="001D188F" w:rsidP="00600535">
      <w:pPr>
        <w:pStyle w:val="CETBodytext"/>
        <w:rPr>
          <w:color w:val="000000" w:themeColor="text1"/>
          <w:lang w:val="en-GB"/>
        </w:rPr>
      </w:pPr>
      <w:r w:rsidRPr="00464352">
        <w:rPr>
          <w:color w:val="000000" w:themeColor="text1"/>
          <w:lang w:val="en-GB"/>
        </w:rPr>
        <w:t>The research activities focused on the production of energy carriers from bio-resources are attracting increasing interest, due to the gradual depletion of fossil fuel reserves and the efforts to control environmental pollution</w:t>
      </w:r>
      <w:r w:rsidR="002315B4" w:rsidRPr="00464352">
        <w:rPr>
          <w:color w:val="000000" w:themeColor="text1"/>
          <w:lang w:val="en-GB"/>
        </w:rPr>
        <w:t xml:space="preserve"> (Hernández et al., 2018)</w:t>
      </w:r>
      <w:r w:rsidRPr="00464352">
        <w:rPr>
          <w:color w:val="000000" w:themeColor="text1"/>
          <w:lang w:val="en-GB"/>
        </w:rPr>
        <w:t>. For example, b</w:t>
      </w:r>
      <w:r w:rsidR="009E425E" w:rsidRPr="00464352">
        <w:rPr>
          <w:color w:val="000000" w:themeColor="text1"/>
          <w:lang w:val="en-GB"/>
        </w:rPr>
        <w:t xml:space="preserve">ioethanol produced from biomass is considered to be </w:t>
      </w:r>
      <w:r w:rsidRPr="00464352">
        <w:rPr>
          <w:color w:val="000000" w:themeColor="text1"/>
          <w:lang w:val="en-GB"/>
        </w:rPr>
        <w:t xml:space="preserve">a promising source both for the production of transportation fuels and to fulfil the increasing demand of hydrogen for use in fuel cells. </w:t>
      </w:r>
      <w:r w:rsidR="002315B4" w:rsidRPr="00464352">
        <w:rPr>
          <w:color w:val="000000" w:themeColor="text1"/>
          <w:lang w:val="en-GB"/>
        </w:rPr>
        <w:t xml:space="preserve">Bioethanol is more attractive compared to methane because of its </w:t>
      </w:r>
      <w:r w:rsidR="00967EDB" w:rsidRPr="00464352">
        <w:rPr>
          <w:color w:val="000000" w:themeColor="text1"/>
          <w:lang w:val="en-GB"/>
        </w:rPr>
        <w:t xml:space="preserve">easy storage, low toxicity and its </w:t>
      </w:r>
      <w:r w:rsidR="002315B4" w:rsidRPr="00464352">
        <w:rPr>
          <w:color w:val="000000" w:themeColor="text1"/>
          <w:lang w:val="en-GB"/>
        </w:rPr>
        <w:t xml:space="preserve">potential to be produced in a more economic and competitive </w:t>
      </w:r>
      <w:r w:rsidR="00967EDB" w:rsidRPr="00464352">
        <w:rPr>
          <w:color w:val="000000" w:themeColor="text1"/>
          <w:lang w:val="en-GB"/>
        </w:rPr>
        <w:t>manner from non-edible lignocellulose. Bioethanol conversion via steam reforming is an attractive route for the valorisation of this biofuel. In fact, the energy demanding water separation units necessary for upgrading bioethanol as fuel can be avoided and the theoretically produced hydrogen per mole of reacted ethanol is very high compare</w:t>
      </w:r>
      <w:r w:rsidR="00D15C6D" w:rsidRPr="00464352">
        <w:rPr>
          <w:color w:val="000000" w:themeColor="text1"/>
          <w:lang w:val="en-GB"/>
        </w:rPr>
        <w:t>d to other conversion processes (</w:t>
      </w:r>
      <w:proofErr w:type="spellStart"/>
      <w:r w:rsidR="00D15C6D" w:rsidRPr="00464352">
        <w:rPr>
          <w:color w:val="000000" w:themeColor="text1"/>
          <w:lang w:val="en-GB"/>
        </w:rPr>
        <w:t>Mulewa</w:t>
      </w:r>
      <w:proofErr w:type="spellEnd"/>
      <w:r w:rsidR="00D15C6D" w:rsidRPr="00464352">
        <w:rPr>
          <w:color w:val="000000" w:themeColor="text1"/>
          <w:lang w:val="en-GB"/>
        </w:rPr>
        <w:t xml:space="preserve"> et al., 2017). Despite the choice of steam to ethanol ratios higher than the stoichiometric values can mitigate catalyst deactivation by coke deposition and assure improved hydrogen </w:t>
      </w:r>
      <w:proofErr w:type="spellStart"/>
      <w:r w:rsidR="00D15C6D" w:rsidRPr="00464352">
        <w:rPr>
          <w:color w:val="000000" w:themeColor="text1"/>
          <w:lang w:val="en-GB"/>
        </w:rPr>
        <w:t>selectivties</w:t>
      </w:r>
      <w:proofErr w:type="spellEnd"/>
      <w:r w:rsidR="00D15C6D" w:rsidRPr="00464352">
        <w:rPr>
          <w:color w:val="000000" w:themeColor="text1"/>
          <w:lang w:val="en-GB"/>
        </w:rPr>
        <w:t>, the occurrence of unwanted pathways may negatively affect H</w:t>
      </w:r>
      <w:r w:rsidR="00D15C6D" w:rsidRPr="00464352">
        <w:rPr>
          <w:color w:val="000000" w:themeColor="text1"/>
          <w:vertAlign w:val="subscript"/>
          <w:lang w:val="en-GB"/>
        </w:rPr>
        <w:t>2</w:t>
      </w:r>
      <w:r w:rsidR="00D15C6D" w:rsidRPr="00464352">
        <w:rPr>
          <w:color w:val="000000" w:themeColor="text1"/>
          <w:lang w:val="en-GB"/>
        </w:rPr>
        <w:t xml:space="preserve"> production rate due to the formation of secondary products (including acetone, acetaldehyde and ethylene)</w:t>
      </w:r>
      <w:r w:rsidR="00186463" w:rsidRPr="00464352">
        <w:rPr>
          <w:color w:val="000000" w:themeColor="text1"/>
          <w:lang w:val="en-GB"/>
        </w:rPr>
        <w:t xml:space="preserve"> (Montero et al., 2014)</w:t>
      </w:r>
      <w:r w:rsidR="00D15C6D" w:rsidRPr="00464352">
        <w:rPr>
          <w:color w:val="000000" w:themeColor="text1"/>
          <w:lang w:val="en-GB"/>
        </w:rPr>
        <w:t xml:space="preserve">. Thus, </w:t>
      </w:r>
      <w:r w:rsidR="00BE7EB0" w:rsidRPr="00464352">
        <w:rPr>
          <w:color w:val="000000" w:themeColor="text1"/>
          <w:lang w:val="en-GB"/>
        </w:rPr>
        <w:t xml:space="preserve">the development of ethanol steam reforming at an industrial scale requires the formulation highly active and selective catalysts. On the other hand, ethanol steam reforming is highly endothermic and </w:t>
      </w:r>
      <w:r w:rsidR="006A6145" w:rsidRPr="00464352">
        <w:rPr>
          <w:color w:val="000000" w:themeColor="text1"/>
          <w:lang w:val="en-GB"/>
        </w:rPr>
        <w:t xml:space="preserve">the </w:t>
      </w:r>
      <w:r w:rsidR="00BE7EB0" w:rsidRPr="00464352">
        <w:rPr>
          <w:color w:val="000000" w:themeColor="text1"/>
          <w:lang w:val="en-GB"/>
        </w:rPr>
        <w:t xml:space="preserve">addition </w:t>
      </w:r>
      <w:r w:rsidR="00B31C9E" w:rsidRPr="00464352">
        <w:rPr>
          <w:color w:val="000000" w:themeColor="text1"/>
          <w:lang w:val="en-GB"/>
        </w:rPr>
        <w:t xml:space="preserve">of </w:t>
      </w:r>
      <w:r w:rsidR="00BE7EB0" w:rsidRPr="00464352">
        <w:rPr>
          <w:color w:val="000000" w:themeColor="text1"/>
          <w:lang w:val="en-GB"/>
        </w:rPr>
        <w:t xml:space="preserve">energy supply is </w:t>
      </w:r>
      <w:r w:rsidR="006A6145" w:rsidRPr="00464352">
        <w:rPr>
          <w:color w:val="000000" w:themeColor="text1"/>
          <w:lang w:val="en-GB"/>
        </w:rPr>
        <w:t>needed</w:t>
      </w:r>
      <w:r w:rsidR="00BE7EB0" w:rsidRPr="00464352">
        <w:rPr>
          <w:color w:val="000000" w:themeColor="text1"/>
          <w:lang w:val="en-GB"/>
        </w:rPr>
        <w:t xml:space="preserve"> </w:t>
      </w:r>
      <w:r w:rsidR="006A6145" w:rsidRPr="00464352">
        <w:rPr>
          <w:color w:val="000000" w:themeColor="text1"/>
          <w:lang w:val="en-GB"/>
        </w:rPr>
        <w:t xml:space="preserve">which, together with the necessary high operation temperatures, leads to a considerable increase of both fixed and operative costs. At that end, oxidative steam reforming of ethanol provides a viable route to eliminate external heat </w:t>
      </w:r>
      <w:r w:rsidR="00B31C9E" w:rsidRPr="00464352">
        <w:rPr>
          <w:color w:val="000000" w:themeColor="text1"/>
          <w:lang w:val="en-GB"/>
        </w:rPr>
        <w:t>requirements</w:t>
      </w:r>
      <w:r w:rsidR="006A6145" w:rsidRPr="00464352">
        <w:rPr>
          <w:color w:val="000000" w:themeColor="text1"/>
          <w:lang w:val="en-GB"/>
        </w:rPr>
        <w:t>. Moreover, the addition of O</w:t>
      </w:r>
      <w:r w:rsidR="006A6145" w:rsidRPr="00464352">
        <w:rPr>
          <w:color w:val="000000" w:themeColor="text1"/>
          <w:vertAlign w:val="subscript"/>
          <w:lang w:val="en-GB"/>
        </w:rPr>
        <w:t>2</w:t>
      </w:r>
      <w:r w:rsidR="006A6145" w:rsidRPr="00464352">
        <w:rPr>
          <w:color w:val="000000" w:themeColor="text1"/>
          <w:lang w:val="en-GB"/>
        </w:rPr>
        <w:t xml:space="preserve"> to the ethanol/water vapours reduces the risk of carbon formation on catalyst surface, promoting, at the same time, the oxidation of coke already deposited</w:t>
      </w:r>
      <w:r w:rsidR="004A7F58" w:rsidRPr="00464352">
        <w:rPr>
          <w:color w:val="000000" w:themeColor="text1"/>
          <w:lang w:val="en-GB"/>
        </w:rPr>
        <w:t xml:space="preserve"> (Morales </w:t>
      </w:r>
      <w:r w:rsidR="00801B92" w:rsidRPr="00464352">
        <w:rPr>
          <w:color w:val="000000" w:themeColor="text1"/>
          <w:lang w:val="en-GB"/>
        </w:rPr>
        <w:t xml:space="preserve">and </w:t>
      </w:r>
      <w:proofErr w:type="spellStart"/>
      <w:r w:rsidR="00801B92" w:rsidRPr="00464352">
        <w:rPr>
          <w:color w:val="000000" w:themeColor="text1"/>
          <w:lang w:val="en-GB"/>
        </w:rPr>
        <w:t>Segarra</w:t>
      </w:r>
      <w:proofErr w:type="spellEnd"/>
      <w:r w:rsidR="004A7F58" w:rsidRPr="00464352">
        <w:rPr>
          <w:color w:val="000000" w:themeColor="text1"/>
          <w:lang w:val="en-GB"/>
        </w:rPr>
        <w:t>, 2015)</w:t>
      </w:r>
      <w:r w:rsidR="006A6145" w:rsidRPr="00464352">
        <w:rPr>
          <w:color w:val="000000" w:themeColor="text1"/>
          <w:lang w:val="en-GB"/>
        </w:rPr>
        <w:t xml:space="preserve">. </w:t>
      </w:r>
      <w:r w:rsidR="004A7F58" w:rsidRPr="00464352">
        <w:rPr>
          <w:color w:val="000000" w:themeColor="text1"/>
          <w:lang w:val="en-GB"/>
        </w:rPr>
        <w:t>Oxidative steam reforming of ethanol has been investigated over numerous monometallic and bimetallic formulations (</w:t>
      </w:r>
      <w:proofErr w:type="spellStart"/>
      <w:r w:rsidR="004A7F58" w:rsidRPr="00464352">
        <w:rPr>
          <w:color w:val="000000" w:themeColor="text1"/>
          <w:lang w:val="en-GB"/>
        </w:rPr>
        <w:t>Baruah</w:t>
      </w:r>
      <w:proofErr w:type="spellEnd"/>
      <w:r w:rsidR="004A7F58" w:rsidRPr="00464352">
        <w:rPr>
          <w:color w:val="000000" w:themeColor="text1"/>
          <w:lang w:val="en-GB"/>
        </w:rPr>
        <w:t xml:space="preserve"> et al., 2015). </w:t>
      </w:r>
      <w:r w:rsidR="00DC295A" w:rsidRPr="00464352">
        <w:rPr>
          <w:color w:val="000000" w:themeColor="text1"/>
          <w:lang w:val="en-GB"/>
        </w:rPr>
        <w:t xml:space="preserve">The employment of catalyst containing more than one active species, in fact, was shown to improve catalyst activity and stability for ethanol reforming (Palma et al., 2015). </w:t>
      </w:r>
    </w:p>
    <w:p w:rsidR="00600535" w:rsidRPr="00464352" w:rsidRDefault="00DC295A" w:rsidP="00600535">
      <w:pPr>
        <w:pStyle w:val="CETBodytext"/>
        <w:rPr>
          <w:color w:val="000000" w:themeColor="text1"/>
          <w:lang w:val="en-GB"/>
        </w:rPr>
      </w:pPr>
      <w:r w:rsidRPr="00464352">
        <w:rPr>
          <w:color w:val="000000" w:themeColor="text1"/>
          <w:lang w:val="en-GB"/>
        </w:rPr>
        <w:t>In our previous work, we demonstrated that a bimetallic 3wt% Pt-10wt% Ni catalyst supported on CeO</w:t>
      </w:r>
      <w:r w:rsidRPr="00464352">
        <w:rPr>
          <w:color w:val="000000" w:themeColor="text1"/>
          <w:vertAlign w:val="subscript"/>
          <w:lang w:val="en-GB"/>
        </w:rPr>
        <w:t>2</w:t>
      </w:r>
      <w:r w:rsidRPr="00464352">
        <w:rPr>
          <w:color w:val="000000" w:themeColor="text1"/>
          <w:lang w:val="en-GB"/>
        </w:rPr>
        <w:t>-SiO</w:t>
      </w:r>
      <w:r w:rsidRPr="00464352">
        <w:rPr>
          <w:color w:val="000000" w:themeColor="text1"/>
          <w:vertAlign w:val="subscript"/>
          <w:lang w:val="en-GB"/>
        </w:rPr>
        <w:t>2</w:t>
      </w:r>
      <w:r w:rsidRPr="00464352">
        <w:rPr>
          <w:color w:val="000000" w:themeColor="text1"/>
          <w:lang w:val="en-GB"/>
        </w:rPr>
        <w:t xml:space="preserve"> is able to assure carbon formation rates among the lowest found in the recent literature</w:t>
      </w:r>
      <w:r w:rsidR="00D25E72" w:rsidRPr="00464352">
        <w:rPr>
          <w:color w:val="000000" w:themeColor="text1"/>
          <w:lang w:val="en-GB"/>
        </w:rPr>
        <w:t xml:space="preserve"> (Palma et al., 2017)</w:t>
      </w:r>
      <w:r w:rsidRPr="00464352">
        <w:rPr>
          <w:color w:val="000000" w:themeColor="text1"/>
          <w:lang w:val="en-GB"/>
        </w:rPr>
        <w:t>. However, the platinum content in the catalyst can strongly affect its final cost. T</w:t>
      </w:r>
      <w:r w:rsidR="0090720C" w:rsidRPr="00464352">
        <w:rPr>
          <w:color w:val="000000" w:themeColor="text1"/>
          <w:lang w:val="en-GB"/>
        </w:rPr>
        <w:t>h</w:t>
      </w:r>
      <w:r w:rsidRPr="00464352">
        <w:rPr>
          <w:color w:val="000000" w:themeColor="text1"/>
          <w:lang w:val="en-GB"/>
        </w:rPr>
        <w:t>us, in the attempt to develop less expensive formulation</w:t>
      </w:r>
      <w:r w:rsidR="00B31C9E" w:rsidRPr="00464352">
        <w:rPr>
          <w:color w:val="000000" w:themeColor="text1"/>
          <w:lang w:val="en-GB"/>
        </w:rPr>
        <w:t>s</w:t>
      </w:r>
      <w:r w:rsidRPr="00464352">
        <w:rPr>
          <w:color w:val="000000" w:themeColor="text1"/>
          <w:lang w:val="en-GB"/>
        </w:rPr>
        <w:t xml:space="preserve">, in the present work, Pt content was varied in the interval 0-3 </w:t>
      </w:r>
      <w:proofErr w:type="spellStart"/>
      <w:r w:rsidRPr="00464352">
        <w:rPr>
          <w:color w:val="000000" w:themeColor="text1"/>
          <w:lang w:val="en-GB"/>
        </w:rPr>
        <w:t>wt</w:t>
      </w:r>
      <w:proofErr w:type="spellEnd"/>
      <w:r w:rsidRPr="00464352">
        <w:rPr>
          <w:color w:val="000000" w:themeColor="text1"/>
          <w:lang w:val="en-GB"/>
        </w:rPr>
        <w:t xml:space="preserve">% and its effect </w:t>
      </w:r>
      <w:r w:rsidRPr="00464352">
        <w:rPr>
          <w:color w:val="000000" w:themeColor="text1"/>
          <w:lang w:val="en-GB"/>
        </w:rPr>
        <w:lastRenderedPageBreak/>
        <w:t xml:space="preserve">on catalyst activity </w:t>
      </w:r>
      <w:r w:rsidR="0090720C" w:rsidRPr="00464352">
        <w:rPr>
          <w:color w:val="000000" w:themeColor="text1"/>
          <w:lang w:val="en-GB"/>
        </w:rPr>
        <w:t xml:space="preserve">for oxidative steam reforming of ethanol (OESR) </w:t>
      </w:r>
      <w:r w:rsidRPr="00464352">
        <w:rPr>
          <w:color w:val="000000" w:themeColor="text1"/>
          <w:lang w:val="en-GB"/>
        </w:rPr>
        <w:t xml:space="preserve">was </w:t>
      </w:r>
      <w:r w:rsidR="00B31C9E" w:rsidRPr="00464352">
        <w:rPr>
          <w:color w:val="000000" w:themeColor="text1"/>
          <w:lang w:val="en-GB"/>
        </w:rPr>
        <w:t>investigated</w:t>
      </w:r>
      <w:r w:rsidRPr="00464352">
        <w:rPr>
          <w:color w:val="000000" w:themeColor="text1"/>
          <w:lang w:val="en-GB"/>
        </w:rPr>
        <w:t xml:space="preserve">. A kinetic </w:t>
      </w:r>
      <w:r w:rsidR="00B31C9E" w:rsidRPr="00464352">
        <w:rPr>
          <w:color w:val="000000" w:themeColor="text1"/>
          <w:lang w:val="en-GB"/>
        </w:rPr>
        <w:t>analysis</w:t>
      </w:r>
      <w:r w:rsidRPr="00464352">
        <w:rPr>
          <w:color w:val="000000" w:themeColor="text1"/>
          <w:lang w:val="en-GB"/>
        </w:rPr>
        <w:t xml:space="preserve"> was also carried out on the most promising sample, studied in compari</w:t>
      </w:r>
      <w:r w:rsidR="0090720C" w:rsidRPr="00464352">
        <w:rPr>
          <w:color w:val="000000" w:themeColor="text1"/>
          <w:lang w:val="en-GB"/>
        </w:rPr>
        <w:t>son with the monometallic Ni-based catalyst</w:t>
      </w:r>
      <w:r w:rsidRPr="00464352">
        <w:rPr>
          <w:color w:val="000000" w:themeColor="text1"/>
          <w:lang w:val="en-GB"/>
        </w:rPr>
        <w:t>.</w:t>
      </w:r>
      <w:r w:rsidR="001128D4" w:rsidRPr="00464352">
        <w:rPr>
          <w:color w:val="000000" w:themeColor="text1"/>
          <w:lang w:val="en-GB"/>
        </w:rPr>
        <w:t xml:space="preserve"> </w:t>
      </w:r>
    </w:p>
    <w:p w:rsidR="00600535" w:rsidRPr="00464352" w:rsidRDefault="00D25E72" w:rsidP="00600535">
      <w:pPr>
        <w:pStyle w:val="CETHeading1"/>
        <w:tabs>
          <w:tab w:val="right" w:pos="7100"/>
        </w:tabs>
        <w:jc w:val="both"/>
        <w:rPr>
          <w:color w:val="000000" w:themeColor="text1"/>
          <w:lang w:val="en-GB"/>
        </w:rPr>
      </w:pPr>
      <w:r w:rsidRPr="00464352">
        <w:rPr>
          <w:color w:val="000000" w:themeColor="text1"/>
          <w:lang w:val="en-GB"/>
        </w:rPr>
        <w:t>Experimental</w:t>
      </w:r>
    </w:p>
    <w:p w:rsidR="00600535" w:rsidRPr="00464352" w:rsidRDefault="00D25E72" w:rsidP="00857619">
      <w:pPr>
        <w:pStyle w:val="CETheadingx"/>
        <w:rPr>
          <w:color w:val="000000" w:themeColor="text1"/>
        </w:rPr>
      </w:pPr>
      <w:r w:rsidRPr="00464352">
        <w:rPr>
          <w:color w:val="000000" w:themeColor="text1"/>
        </w:rPr>
        <w:t>C</w:t>
      </w:r>
      <w:r w:rsidR="001128D4" w:rsidRPr="00464352">
        <w:rPr>
          <w:color w:val="000000" w:themeColor="text1"/>
        </w:rPr>
        <w:t>atalyst preparation and characterization</w:t>
      </w:r>
    </w:p>
    <w:p w:rsidR="004577FE" w:rsidRPr="00464352" w:rsidRDefault="001128D4" w:rsidP="001128D4">
      <w:pPr>
        <w:pStyle w:val="CETListbullets"/>
        <w:ind w:left="0" w:firstLine="0"/>
        <w:rPr>
          <w:color w:val="000000" w:themeColor="text1"/>
        </w:rPr>
      </w:pPr>
      <w:r w:rsidRPr="00464352">
        <w:rPr>
          <w:color w:val="000000" w:themeColor="text1"/>
        </w:rPr>
        <w:t>The CeO</w:t>
      </w:r>
      <w:r w:rsidRPr="00464352">
        <w:rPr>
          <w:color w:val="000000" w:themeColor="text1"/>
          <w:vertAlign w:val="subscript"/>
        </w:rPr>
        <w:t>2</w:t>
      </w:r>
      <w:r w:rsidRPr="00464352">
        <w:rPr>
          <w:color w:val="000000" w:themeColor="text1"/>
        </w:rPr>
        <w:t>-SiO</w:t>
      </w:r>
      <w:r w:rsidRPr="00464352">
        <w:rPr>
          <w:color w:val="000000" w:themeColor="text1"/>
          <w:vertAlign w:val="subscript"/>
        </w:rPr>
        <w:t>2</w:t>
      </w:r>
      <w:r w:rsidRPr="00464352">
        <w:rPr>
          <w:color w:val="000000" w:themeColor="text1"/>
        </w:rPr>
        <w:t xml:space="preserve"> mixed oxide was prepared by impregnation of calcined </w:t>
      </w:r>
      <w:r w:rsidR="00634B37" w:rsidRPr="00464352">
        <w:rPr>
          <w:color w:val="000000" w:themeColor="text1"/>
        </w:rPr>
        <w:t xml:space="preserve">mesoporous </w:t>
      </w:r>
      <w:r w:rsidRPr="00464352">
        <w:rPr>
          <w:color w:val="000000" w:themeColor="text1"/>
        </w:rPr>
        <w:t>silica gel (</w:t>
      </w:r>
      <w:proofErr w:type="spellStart"/>
      <w:r w:rsidRPr="00464352">
        <w:rPr>
          <w:color w:val="000000" w:themeColor="text1"/>
        </w:rPr>
        <w:t>SigmaAldrich</w:t>
      </w:r>
      <w:proofErr w:type="spellEnd"/>
      <w:r w:rsidRPr="00464352">
        <w:rPr>
          <w:color w:val="000000" w:themeColor="text1"/>
        </w:rPr>
        <w:t xml:space="preserve">, 90-115 </w:t>
      </w:r>
      <w:r w:rsidRPr="00464352">
        <w:rPr>
          <w:rFonts w:cs="Arial"/>
          <w:color w:val="000000" w:themeColor="text1"/>
        </w:rPr>
        <w:t>µ</w:t>
      </w:r>
      <w:r w:rsidRPr="00464352">
        <w:rPr>
          <w:color w:val="000000" w:themeColor="text1"/>
        </w:rPr>
        <w:t>m) with a cerium nitrate (</w:t>
      </w:r>
      <w:proofErr w:type="spellStart"/>
      <w:r w:rsidRPr="00464352">
        <w:rPr>
          <w:color w:val="000000" w:themeColor="text1"/>
        </w:rPr>
        <w:t>Strem</w:t>
      </w:r>
      <w:proofErr w:type="spellEnd"/>
      <w:r w:rsidRPr="00464352">
        <w:rPr>
          <w:color w:val="000000" w:themeColor="text1"/>
        </w:rPr>
        <w:t xml:space="preserve"> Chemicals) solution at 80°C for 2 hours. After filtration, the solid was dried at 120°C and calcined in air at 600°C for 3 hours. Platinum was deposited on the Ni/CeO</w:t>
      </w:r>
      <w:r w:rsidRPr="00464352">
        <w:rPr>
          <w:color w:val="000000" w:themeColor="text1"/>
          <w:vertAlign w:val="subscript"/>
        </w:rPr>
        <w:t>2</w:t>
      </w:r>
      <w:r w:rsidRPr="00464352">
        <w:rPr>
          <w:color w:val="000000" w:themeColor="text1"/>
        </w:rPr>
        <w:t>-SiO</w:t>
      </w:r>
      <w:r w:rsidRPr="00464352">
        <w:rPr>
          <w:color w:val="000000" w:themeColor="text1"/>
          <w:vertAlign w:val="subscript"/>
        </w:rPr>
        <w:t>2</w:t>
      </w:r>
      <w:r w:rsidRPr="00464352">
        <w:rPr>
          <w:color w:val="000000" w:themeColor="text1"/>
        </w:rPr>
        <w:t xml:space="preserve"> sample through a further impregnation-drying-calcination step starting from a solution of platinum chloride (</w:t>
      </w:r>
      <w:proofErr w:type="spellStart"/>
      <w:r w:rsidRPr="00464352">
        <w:rPr>
          <w:color w:val="000000" w:themeColor="text1"/>
        </w:rPr>
        <w:t>Strem</w:t>
      </w:r>
      <w:proofErr w:type="spellEnd"/>
      <w:r w:rsidRPr="00464352">
        <w:rPr>
          <w:color w:val="000000" w:themeColor="text1"/>
        </w:rPr>
        <w:t xml:space="preserve"> Chemicals)</w:t>
      </w:r>
      <w:r w:rsidR="00BF55C7" w:rsidRPr="00464352">
        <w:rPr>
          <w:color w:val="000000" w:themeColor="text1"/>
        </w:rPr>
        <w:t xml:space="preserve">. Four samples were prepared at platinum contents of 0.5, 1, 2 and 3 </w:t>
      </w:r>
      <w:proofErr w:type="spellStart"/>
      <w:r w:rsidR="00BF55C7" w:rsidRPr="00464352">
        <w:rPr>
          <w:color w:val="000000" w:themeColor="text1"/>
        </w:rPr>
        <w:t>wt</w:t>
      </w:r>
      <w:proofErr w:type="spellEnd"/>
      <w:r w:rsidR="00BF55C7" w:rsidRPr="00464352">
        <w:rPr>
          <w:color w:val="000000" w:themeColor="text1"/>
        </w:rPr>
        <w:t>% and were denoted as 0.5Pt10Ni, 1Pt10Ni, 2Pt10Ni, 3Pt10Ni; the monometallic Ni/CeO</w:t>
      </w:r>
      <w:r w:rsidR="00BF55C7" w:rsidRPr="00464352">
        <w:rPr>
          <w:color w:val="000000" w:themeColor="text1"/>
          <w:vertAlign w:val="subscript"/>
        </w:rPr>
        <w:t>2</w:t>
      </w:r>
      <w:r w:rsidR="00BF55C7" w:rsidRPr="00464352">
        <w:rPr>
          <w:color w:val="000000" w:themeColor="text1"/>
        </w:rPr>
        <w:t>-SiO</w:t>
      </w:r>
      <w:r w:rsidR="00BF55C7" w:rsidRPr="00464352">
        <w:rPr>
          <w:color w:val="000000" w:themeColor="text1"/>
          <w:vertAlign w:val="subscript"/>
        </w:rPr>
        <w:t>2</w:t>
      </w:r>
      <w:r w:rsidR="00BF55C7" w:rsidRPr="00464352">
        <w:rPr>
          <w:color w:val="000000" w:themeColor="text1"/>
        </w:rPr>
        <w:t xml:space="preserve"> catalyst was indicated as 10Ni.</w:t>
      </w:r>
    </w:p>
    <w:p w:rsidR="00BF55C7" w:rsidRPr="00464352" w:rsidRDefault="00BF55C7" w:rsidP="001128D4">
      <w:pPr>
        <w:pStyle w:val="CETListbullets"/>
        <w:ind w:left="0" w:firstLine="0"/>
        <w:rPr>
          <w:color w:val="000000" w:themeColor="text1"/>
        </w:rPr>
      </w:pPr>
      <w:r w:rsidRPr="00464352">
        <w:rPr>
          <w:color w:val="000000" w:themeColor="text1"/>
        </w:rPr>
        <w:t xml:space="preserve">The specific surface area of the catalysts was determined by the BET method using a </w:t>
      </w:r>
      <w:proofErr w:type="spellStart"/>
      <w:r w:rsidRPr="00464352">
        <w:rPr>
          <w:color w:val="000000" w:themeColor="text1"/>
        </w:rPr>
        <w:t>Sorptometer</w:t>
      </w:r>
      <w:proofErr w:type="spellEnd"/>
      <w:r w:rsidRPr="00464352">
        <w:rPr>
          <w:color w:val="000000" w:themeColor="text1"/>
        </w:rPr>
        <w:t xml:space="preserve"> 1040 “Kelvin” from </w:t>
      </w:r>
      <w:proofErr w:type="spellStart"/>
      <w:r w:rsidRPr="00464352">
        <w:rPr>
          <w:color w:val="000000" w:themeColor="text1"/>
        </w:rPr>
        <w:t>Costech</w:t>
      </w:r>
      <w:proofErr w:type="spellEnd"/>
      <w:r w:rsidRPr="00464352">
        <w:rPr>
          <w:color w:val="000000" w:themeColor="text1"/>
        </w:rPr>
        <w:t xml:space="preserve"> Analytical Technologies; before the analysis, the samples were degassed at 150°C for 1 hour.</w:t>
      </w:r>
    </w:p>
    <w:p w:rsidR="00BF55C7" w:rsidRPr="00464352" w:rsidRDefault="00BF55C7" w:rsidP="001128D4">
      <w:pPr>
        <w:pStyle w:val="CETListbullets"/>
        <w:ind w:left="0" w:firstLine="0"/>
        <w:rPr>
          <w:color w:val="000000" w:themeColor="text1"/>
        </w:rPr>
      </w:pPr>
      <w:r w:rsidRPr="00464352">
        <w:rPr>
          <w:color w:val="000000" w:themeColor="text1"/>
        </w:rPr>
        <w:t xml:space="preserve">Powder X-ray diffraction (XRD) patterns were collected on </w:t>
      </w:r>
      <w:r w:rsidR="00C1003D" w:rsidRPr="00464352">
        <w:rPr>
          <w:color w:val="000000" w:themeColor="text1"/>
        </w:rPr>
        <w:t>a Brooker D8 using a scanning range of 20-80°.</w:t>
      </w:r>
    </w:p>
    <w:p w:rsidR="00C1003D" w:rsidRPr="00464352" w:rsidRDefault="00C1003D" w:rsidP="00C1003D">
      <w:pPr>
        <w:pStyle w:val="CETListbullets"/>
        <w:ind w:left="0" w:firstLine="0"/>
        <w:rPr>
          <w:color w:val="000000" w:themeColor="text1"/>
        </w:rPr>
      </w:pPr>
      <w:r w:rsidRPr="00464352">
        <w:rPr>
          <w:color w:val="000000" w:themeColor="text1"/>
        </w:rPr>
        <w:t>H</w:t>
      </w:r>
      <w:r w:rsidRPr="00464352">
        <w:rPr>
          <w:color w:val="000000" w:themeColor="text1"/>
          <w:vertAlign w:val="subscript"/>
        </w:rPr>
        <w:t>2</w:t>
      </w:r>
      <w:r w:rsidRPr="00464352">
        <w:rPr>
          <w:color w:val="000000" w:themeColor="text1"/>
        </w:rPr>
        <w:t xml:space="preserve"> temperature programmed reduction (TPR) was performed in situ in the laboratory apparatus described in Par. 2.2. The analysis was carried out by increasing the catalyst temperature from 25 to 700 °C 5 at 10 °C/min under a 5%H</w:t>
      </w:r>
      <w:r w:rsidRPr="00464352">
        <w:rPr>
          <w:color w:val="000000" w:themeColor="text1"/>
          <w:vertAlign w:val="subscript"/>
        </w:rPr>
        <w:t>2</w:t>
      </w:r>
      <w:r w:rsidRPr="00464352">
        <w:rPr>
          <w:color w:val="000000" w:themeColor="text1"/>
        </w:rPr>
        <w:t>/N</w:t>
      </w:r>
      <w:r w:rsidRPr="00464352">
        <w:rPr>
          <w:color w:val="000000" w:themeColor="text1"/>
          <w:vertAlign w:val="subscript"/>
        </w:rPr>
        <w:t>2</w:t>
      </w:r>
      <w:r w:rsidRPr="00464352">
        <w:rPr>
          <w:color w:val="000000" w:themeColor="text1"/>
        </w:rPr>
        <w:t xml:space="preserve"> flow.</w:t>
      </w:r>
      <w:r w:rsidR="006F4452" w:rsidRPr="00464352">
        <w:rPr>
          <w:color w:val="000000" w:themeColor="text1"/>
        </w:rPr>
        <w:t xml:space="preserve"> Starting from the area under the reduction peaks, it was possible to evaluate the experimental H</w:t>
      </w:r>
      <w:r w:rsidR="006F4452" w:rsidRPr="00464352">
        <w:rPr>
          <w:color w:val="000000" w:themeColor="text1"/>
          <w:vertAlign w:val="subscript"/>
        </w:rPr>
        <w:t>2</w:t>
      </w:r>
      <w:r w:rsidR="006F4452" w:rsidRPr="00464352">
        <w:rPr>
          <w:color w:val="000000" w:themeColor="text1"/>
        </w:rPr>
        <w:t xml:space="preserve"> uptake; a comparison with the theoretical consumption (calculated on the basis of Ni as well as Pt loadings) was also provided.</w:t>
      </w:r>
    </w:p>
    <w:p w:rsidR="00600535" w:rsidRPr="00464352" w:rsidRDefault="001128D4" w:rsidP="00857619">
      <w:pPr>
        <w:pStyle w:val="CETheadingx"/>
        <w:rPr>
          <w:color w:val="000000" w:themeColor="text1"/>
        </w:rPr>
      </w:pPr>
      <w:r w:rsidRPr="00464352">
        <w:rPr>
          <w:color w:val="000000" w:themeColor="text1"/>
        </w:rPr>
        <w:t>Laboratory apparatus and procedure</w:t>
      </w:r>
    </w:p>
    <w:p w:rsidR="00600535" w:rsidRPr="00464352" w:rsidRDefault="00C1003D" w:rsidP="00C1003D">
      <w:pPr>
        <w:pStyle w:val="CETListbullets"/>
        <w:ind w:left="0" w:firstLine="0"/>
        <w:rPr>
          <w:color w:val="000000" w:themeColor="text1"/>
        </w:rPr>
      </w:pPr>
      <w:r w:rsidRPr="00464352">
        <w:rPr>
          <w:color w:val="000000" w:themeColor="text1"/>
        </w:rPr>
        <w:t xml:space="preserve">Catalyst activity tests were conducted in a fixed-bed stainless steel reactor at atmospheric pressure. Typically, the catalyst (0.6 g, 180-355 </w:t>
      </w:r>
      <w:r w:rsidRPr="00464352">
        <w:rPr>
          <w:rFonts w:cs="Arial"/>
          <w:color w:val="000000" w:themeColor="text1"/>
        </w:rPr>
        <w:t>µ</w:t>
      </w:r>
      <w:r w:rsidR="008A0C71" w:rsidRPr="00464352">
        <w:rPr>
          <w:color w:val="000000" w:themeColor="text1"/>
        </w:rPr>
        <w:t xml:space="preserve">m) diluted with quartz (dilution ratio of 2, 500-710 </w:t>
      </w:r>
      <w:r w:rsidR="008A0C71" w:rsidRPr="00464352">
        <w:rPr>
          <w:rFonts w:cs="Arial"/>
          <w:color w:val="000000" w:themeColor="text1"/>
        </w:rPr>
        <w:t>µ</w:t>
      </w:r>
      <w:r w:rsidR="008A0C71" w:rsidRPr="00464352">
        <w:rPr>
          <w:color w:val="000000" w:themeColor="text1"/>
        </w:rPr>
        <w:t>m) was loaded and sandwiched between two quartz flakes. After catalyst reduction in situ, the water/ethanol mixture (molar ratio of 4) was sent to a boiler for vaporization at a rate of 32 g</w:t>
      </w:r>
      <w:r w:rsidR="008A0C71" w:rsidRPr="00464352">
        <w:rPr>
          <w:rFonts w:cs="Arial"/>
          <w:color w:val="000000" w:themeColor="text1"/>
        </w:rPr>
        <w:t>∙</w:t>
      </w:r>
      <w:r w:rsidR="008A0C71" w:rsidRPr="00464352">
        <w:rPr>
          <w:color w:val="000000" w:themeColor="text1"/>
        </w:rPr>
        <w:t>h</w:t>
      </w:r>
      <w:r w:rsidR="008A0C71" w:rsidRPr="00464352">
        <w:rPr>
          <w:color w:val="000000" w:themeColor="text1"/>
          <w:vertAlign w:val="superscript"/>
        </w:rPr>
        <w:t>-1</w:t>
      </w:r>
      <w:r w:rsidR="008A0C71" w:rsidRPr="00464352">
        <w:rPr>
          <w:color w:val="000000" w:themeColor="text1"/>
        </w:rPr>
        <w:t>; nitrogen (55 % by volume of the reacting mixture) was used as carrier gas and air was fed within the reactor (in correspondence of the catalytic bed) through an independent line. Activity measurements were performed between 300 and 600°C under a Weight Hourly Space Velocity (WHSV) of 62 h</w:t>
      </w:r>
      <w:r w:rsidR="008A0C71" w:rsidRPr="00464352">
        <w:rPr>
          <w:color w:val="000000" w:themeColor="text1"/>
          <w:vertAlign w:val="superscript"/>
        </w:rPr>
        <w:t>-1</w:t>
      </w:r>
      <w:r w:rsidR="008A0C71" w:rsidRPr="00464352">
        <w:rPr>
          <w:color w:val="000000" w:themeColor="text1"/>
        </w:rPr>
        <w:t xml:space="preserve"> (corresponding to a contact time of 25 </w:t>
      </w:r>
      <w:proofErr w:type="spellStart"/>
      <w:r w:rsidR="008A0C71" w:rsidRPr="00464352">
        <w:rPr>
          <w:color w:val="000000" w:themeColor="text1"/>
        </w:rPr>
        <w:t>ms</w:t>
      </w:r>
      <w:proofErr w:type="spellEnd"/>
      <w:r w:rsidR="008A0C71" w:rsidRPr="00464352">
        <w:rPr>
          <w:color w:val="000000" w:themeColor="text1"/>
        </w:rPr>
        <w:t xml:space="preserve">); these very stressful conditions were selected to evaluate catalytic performances far from equilibrium. The reaction products were monitored online using an FT-IR Spectrophotometer (IGS </w:t>
      </w:r>
      <w:proofErr w:type="spellStart"/>
      <w:r w:rsidR="008A0C71" w:rsidRPr="00464352">
        <w:rPr>
          <w:color w:val="000000" w:themeColor="text1"/>
        </w:rPr>
        <w:t>Antaris</w:t>
      </w:r>
      <w:proofErr w:type="spellEnd"/>
      <w:r w:rsidR="008A0C71" w:rsidRPr="00464352">
        <w:rPr>
          <w:color w:val="000000" w:themeColor="text1"/>
        </w:rPr>
        <w:t xml:space="preserve"> from </w:t>
      </w:r>
      <w:proofErr w:type="spellStart"/>
      <w:r w:rsidR="008A0C71" w:rsidRPr="00464352">
        <w:rPr>
          <w:color w:val="000000" w:themeColor="text1"/>
        </w:rPr>
        <w:t>ThermoScientific</w:t>
      </w:r>
      <w:proofErr w:type="spellEnd"/>
      <w:r w:rsidR="008A0C71" w:rsidRPr="00464352">
        <w:rPr>
          <w:color w:val="000000" w:themeColor="text1"/>
        </w:rPr>
        <w:t>); then, the mixture was passed through a cold trap and, after the separation of condensable species (water and un-reacted ethanol), was se</w:t>
      </w:r>
      <w:r w:rsidR="00B31C9E" w:rsidRPr="00464352">
        <w:rPr>
          <w:color w:val="000000" w:themeColor="text1"/>
        </w:rPr>
        <w:t>n</w:t>
      </w:r>
      <w:r w:rsidR="008A0C71" w:rsidRPr="00464352">
        <w:rPr>
          <w:color w:val="000000" w:themeColor="text1"/>
        </w:rPr>
        <w:t xml:space="preserve">t to an ABB block made up of a </w:t>
      </w:r>
      <w:proofErr w:type="spellStart"/>
      <w:r w:rsidR="008A0C71" w:rsidRPr="00464352">
        <w:rPr>
          <w:color w:val="000000" w:themeColor="text1"/>
        </w:rPr>
        <w:t>thermoconductivity</w:t>
      </w:r>
      <w:proofErr w:type="spellEnd"/>
      <w:r w:rsidR="008A0C71" w:rsidRPr="00464352">
        <w:rPr>
          <w:color w:val="000000" w:themeColor="text1"/>
        </w:rPr>
        <w:t xml:space="preserve"> </w:t>
      </w:r>
      <w:r w:rsidR="004C17AE" w:rsidRPr="00464352">
        <w:rPr>
          <w:color w:val="000000" w:themeColor="text1"/>
        </w:rPr>
        <w:t xml:space="preserve">and </w:t>
      </w:r>
      <w:r w:rsidR="00B31C9E" w:rsidRPr="00464352">
        <w:rPr>
          <w:color w:val="000000" w:themeColor="text1"/>
        </w:rPr>
        <w:t xml:space="preserve">a </w:t>
      </w:r>
      <w:r w:rsidR="004C17AE" w:rsidRPr="00464352">
        <w:rPr>
          <w:color w:val="000000" w:themeColor="text1"/>
        </w:rPr>
        <w:t xml:space="preserve">paramagnetic </w:t>
      </w:r>
      <w:r w:rsidR="008A0C71" w:rsidRPr="00464352">
        <w:rPr>
          <w:color w:val="000000" w:themeColor="text1"/>
        </w:rPr>
        <w:t xml:space="preserve">analyser </w:t>
      </w:r>
      <w:r w:rsidR="004C17AE" w:rsidRPr="00464352">
        <w:rPr>
          <w:color w:val="000000" w:themeColor="text1"/>
        </w:rPr>
        <w:t>for the evaluation of hydrogen and oxygen contents, respectively. The performances of the investigated catalysts were evaluated through the conversion of ethanol (Eq.1), hydrogen yield (Eq. 2) and C-containing species yield (CO, CO</w:t>
      </w:r>
      <w:r w:rsidR="004C17AE" w:rsidRPr="00464352">
        <w:rPr>
          <w:color w:val="000000" w:themeColor="text1"/>
          <w:vertAlign w:val="subscript"/>
        </w:rPr>
        <w:t>2</w:t>
      </w:r>
      <w:r w:rsidR="004C17AE" w:rsidRPr="00464352">
        <w:rPr>
          <w:color w:val="000000" w:themeColor="text1"/>
        </w:rPr>
        <w:t>, CH</w:t>
      </w:r>
      <w:r w:rsidR="004C17AE" w:rsidRPr="00464352">
        <w:rPr>
          <w:color w:val="000000" w:themeColor="text1"/>
          <w:vertAlign w:val="subscript"/>
        </w:rPr>
        <w:t>4</w:t>
      </w:r>
      <w:r w:rsidR="004C17AE" w:rsidRPr="00464352">
        <w:rPr>
          <w:color w:val="000000" w:themeColor="text1"/>
        </w:rPr>
        <w:t>, Eq.3).</w:t>
      </w:r>
    </w:p>
    <w:tbl>
      <w:tblPr>
        <w:tblW w:w="5000" w:type="pct"/>
        <w:tblLook w:val="04A0" w:firstRow="1" w:lastRow="0" w:firstColumn="1" w:lastColumn="0" w:noHBand="0" w:noVBand="1"/>
      </w:tblPr>
      <w:tblGrid>
        <w:gridCol w:w="8137"/>
        <w:gridCol w:w="866"/>
      </w:tblGrid>
      <w:tr w:rsidR="00464352" w:rsidRPr="00464352" w:rsidTr="00857619">
        <w:tc>
          <w:tcPr>
            <w:tcW w:w="7942" w:type="dxa"/>
            <w:shd w:val="clear" w:color="auto" w:fill="auto"/>
            <w:vAlign w:val="center"/>
          </w:tcPr>
          <w:p w:rsidR="004C17AE" w:rsidRPr="00464352" w:rsidRDefault="004C17AE" w:rsidP="00857619">
            <w:pPr>
              <w:pStyle w:val="CETEquation"/>
              <w:rPr>
                <w:color w:val="000000" w:themeColor="text1"/>
              </w:rPr>
            </w:pPr>
            <w:r w:rsidRPr="00464352">
              <w:rPr>
                <w:noProof/>
                <w:color w:val="000000" w:themeColor="text1"/>
                <w:lang w:val="it-IT" w:eastAsia="it-IT"/>
              </w:rPr>
              <w:drawing>
                <wp:inline distT="0" distB="0" distL="0" distR="0" wp14:anchorId="39BD6E70" wp14:editId="33429C80">
                  <wp:extent cx="3408884" cy="3730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84" r="12031" b="12947"/>
                          <a:stretch/>
                        </pic:blipFill>
                        <pic:spPr bwMode="auto">
                          <a:xfrm>
                            <a:off x="0" y="0"/>
                            <a:ext cx="3409386" cy="3731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5" w:type="dxa"/>
            <w:shd w:val="clear" w:color="auto" w:fill="auto"/>
            <w:vAlign w:val="center"/>
          </w:tcPr>
          <w:p w:rsidR="004C17AE" w:rsidRPr="00464352" w:rsidRDefault="004C17AE" w:rsidP="00F1496F">
            <w:pPr>
              <w:pStyle w:val="CETEquation"/>
              <w:jc w:val="right"/>
              <w:rPr>
                <w:color w:val="000000" w:themeColor="text1"/>
              </w:rPr>
            </w:pPr>
            <w:r w:rsidRPr="00464352">
              <w:rPr>
                <w:color w:val="000000" w:themeColor="text1"/>
              </w:rPr>
              <w:t>(1)</w:t>
            </w:r>
          </w:p>
        </w:tc>
      </w:tr>
      <w:tr w:rsidR="00464352" w:rsidRPr="00464352" w:rsidTr="00857619">
        <w:tc>
          <w:tcPr>
            <w:tcW w:w="7942" w:type="dxa"/>
            <w:shd w:val="clear" w:color="auto" w:fill="auto"/>
            <w:vAlign w:val="center"/>
          </w:tcPr>
          <w:p w:rsidR="004C17AE" w:rsidRPr="00464352" w:rsidRDefault="004C17AE" w:rsidP="00857619">
            <w:pPr>
              <w:pStyle w:val="CETEquation"/>
              <w:rPr>
                <w:noProof/>
                <w:color w:val="000000" w:themeColor="text1"/>
                <w:lang w:val="it-IT" w:eastAsia="it-IT"/>
              </w:rPr>
            </w:pPr>
            <w:r w:rsidRPr="00464352">
              <w:rPr>
                <w:noProof/>
                <w:color w:val="000000" w:themeColor="text1"/>
                <w:lang w:val="it-IT" w:eastAsia="it-IT"/>
              </w:rPr>
              <w:drawing>
                <wp:inline distT="0" distB="0" distL="0" distR="0" wp14:anchorId="16B0659E" wp14:editId="08372669">
                  <wp:extent cx="2040941" cy="35112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053" t="3930" r="27291" b="14088"/>
                          <a:stretch/>
                        </pic:blipFill>
                        <pic:spPr bwMode="auto">
                          <a:xfrm>
                            <a:off x="0" y="0"/>
                            <a:ext cx="2042490" cy="3513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5" w:type="dxa"/>
            <w:shd w:val="clear" w:color="auto" w:fill="auto"/>
            <w:vAlign w:val="center"/>
          </w:tcPr>
          <w:p w:rsidR="004C17AE" w:rsidRPr="00464352" w:rsidRDefault="00857619" w:rsidP="00F1496F">
            <w:pPr>
              <w:pStyle w:val="CETEquation"/>
              <w:jc w:val="right"/>
              <w:rPr>
                <w:color w:val="000000" w:themeColor="text1"/>
              </w:rPr>
            </w:pPr>
            <w:r w:rsidRPr="00464352">
              <w:rPr>
                <w:color w:val="000000" w:themeColor="text1"/>
              </w:rPr>
              <w:t>(2)</w:t>
            </w:r>
          </w:p>
        </w:tc>
      </w:tr>
      <w:tr w:rsidR="00464352" w:rsidRPr="00464352" w:rsidTr="00857619">
        <w:tc>
          <w:tcPr>
            <w:tcW w:w="7942" w:type="dxa"/>
            <w:shd w:val="clear" w:color="auto" w:fill="auto"/>
            <w:vAlign w:val="center"/>
          </w:tcPr>
          <w:p w:rsidR="004C17AE" w:rsidRPr="00464352" w:rsidRDefault="004C17AE" w:rsidP="00857619">
            <w:pPr>
              <w:pStyle w:val="CETEquation"/>
              <w:rPr>
                <w:noProof/>
                <w:color w:val="000000" w:themeColor="text1"/>
                <w:lang w:val="it-IT" w:eastAsia="it-IT"/>
              </w:rPr>
            </w:pPr>
            <w:r w:rsidRPr="00464352">
              <w:rPr>
                <w:noProof/>
                <w:color w:val="000000" w:themeColor="text1"/>
                <w:lang w:val="it-IT" w:eastAsia="it-IT"/>
              </w:rPr>
              <w:drawing>
                <wp:inline distT="0" distB="0" distL="0" distR="0" wp14:anchorId="3D4F7171" wp14:editId="2BBFD9CA">
                  <wp:extent cx="2231136" cy="35112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497" t="676" r="23436" b="17350"/>
                          <a:stretch/>
                        </pic:blipFill>
                        <pic:spPr bwMode="auto">
                          <a:xfrm>
                            <a:off x="0" y="0"/>
                            <a:ext cx="2232599" cy="3513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5" w:type="dxa"/>
            <w:shd w:val="clear" w:color="auto" w:fill="auto"/>
            <w:vAlign w:val="center"/>
          </w:tcPr>
          <w:p w:rsidR="004C17AE" w:rsidRPr="00464352" w:rsidRDefault="00857619" w:rsidP="00F1496F">
            <w:pPr>
              <w:pStyle w:val="CETEquation"/>
              <w:jc w:val="right"/>
              <w:rPr>
                <w:color w:val="000000" w:themeColor="text1"/>
              </w:rPr>
            </w:pPr>
            <w:r w:rsidRPr="00464352">
              <w:rPr>
                <w:color w:val="000000" w:themeColor="text1"/>
              </w:rPr>
              <w:t>(3)</w:t>
            </w:r>
          </w:p>
        </w:tc>
      </w:tr>
    </w:tbl>
    <w:p w:rsidR="00857619" w:rsidRPr="00464352" w:rsidRDefault="00857619" w:rsidP="00857619">
      <w:pPr>
        <w:pStyle w:val="CETHeading1"/>
        <w:rPr>
          <w:color w:val="000000" w:themeColor="text1"/>
        </w:rPr>
      </w:pPr>
      <w:r w:rsidRPr="00464352">
        <w:rPr>
          <w:color w:val="000000" w:themeColor="text1"/>
        </w:rPr>
        <w:t>Results and discussion</w:t>
      </w:r>
    </w:p>
    <w:p w:rsidR="00AB5011" w:rsidRPr="00464352" w:rsidRDefault="00471F02" w:rsidP="00857619">
      <w:pPr>
        <w:pStyle w:val="CETheadingx"/>
        <w:rPr>
          <w:color w:val="000000" w:themeColor="text1"/>
        </w:rPr>
      </w:pPr>
      <w:r w:rsidRPr="00464352">
        <w:rPr>
          <w:color w:val="000000" w:themeColor="text1"/>
        </w:rPr>
        <w:t>Catalysts properties</w:t>
      </w:r>
    </w:p>
    <w:p w:rsidR="00367FBB" w:rsidRPr="00464352" w:rsidRDefault="00471F02" w:rsidP="00367FBB">
      <w:pPr>
        <w:pStyle w:val="CETListbullets"/>
        <w:ind w:left="227"/>
        <w:rPr>
          <w:color w:val="000000" w:themeColor="text1"/>
        </w:rPr>
      </w:pPr>
      <w:r w:rsidRPr="00464352">
        <w:rPr>
          <w:color w:val="000000" w:themeColor="text1"/>
        </w:rPr>
        <w:t>Table 1 summarizes the results of catalyst c</w:t>
      </w:r>
      <w:r w:rsidR="00367FBB" w:rsidRPr="00464352">
        <w:rPr>
          <w:color w:val="000000" w:themeColor="text1"/>
        </w:rPr>
        <w:t xml:space="preserve">haracterization in terms of BET, </w:t>
      </w:r>
      <w:r w:rsidRPr="00464352">
        <w:rPr>
          <w:color w:val="000000" w:themeColor="text1"/>
        </w:rPr>
        <w:t xml:space="preserve">XRD </w:t>
      </w:r>
      <w:r w:rsidR="00367FBB" w:rsidRPr="00464352">
        <w:rPr>
          <w:color w:val="000000" w:themeColor="text1"/>
        </w:rPr>
        <w:t>and TPR measurements.</w:t>
      </w:r>
    </w:p>
    <w:p w:rsidR="00AB5011" w:rsidRPr="00464352" w:rsidRDefault="00471F02" w:rsidP="00260724">
      <w:pPr>
        <w:pStyle w:val="CETListbullets"/>
        <w:ind w:left="0" w:firstLine="0"/>
        <w:rPr>
          <w:color w:val="000000" w:themeColor="text1"/>
        </w:rPr>
      </w:pPr>
      <w:r w:rsidRPr="00464352">
        <w:rPr>
          <w:color w:val="000000" w:themeColor="text1"/>
        </w:rPr>
        <w:t xml:space="preserve">The specific surface areas of the catalysts were denoted as </w:t>
      </w:r>
      <w:r w:rsidRPr="00464352">
        <w:rPr>
          <w:i/>
          <w:color w:val="000000" w:themeColor="text1"/>
        </w:rPr>
        <w:t>S</w:t>
      </w:r>
      <w:r w:rsidRPr="00464352">
        <w:rPr>
          <w:i/>
          <w:color w:val="000000" w:themeColor="text1"/>
          <w:vertAlign w:val="subscript"/>
        </w:rPr>
        <w:t>BET</w:t>
      </w:r>
      <w:r w:rsidR="00367FBB" w:rsidRPr="00464352">
        <w:rPr>
          <w:color w:val="000000" w:themeColor="text1"/>
        </w:rPr>
        <w:t xml:space="preserve"> while the average size of the </w:t>
      </w:r>
      <w:r w:rsidRPr="00464352">
        <w:rPr>
          <w:color w:val="000000" w:themeColor="text1"/>
        </w:rPr>
        <w:t xml:space="preserve">crystallites with </w:t>
      </w:r>
      <w:r w:rsidRPr="00464352">
        <w:rPr>
          <w:i/>
          <w:color w:val="000000" w:themeColor="text1"/>
        </w:rPr>
        <w:t>d</w:t>
      </w:r>
      <w:r w:rsidRPr="00464352">
        <w:rPr>
          <w:color w:val="000000" w:themeColor="text1"/>
        </w:rPr>
        <w:t>.</w:t>
      </w:r>
      <w:r w:rsidR="00634B37" w:rsidRPr="00464352">
        <w:rPr>
          <w:color w:val="000000" w:themeColor="text1"/>
        </w:rPr>
        <w:t xml:space="preserve"> All the investigated catalysts displayed very high values of S</w:t>
      </w:r>
      <w:r w:rsidR="00634B37" w:rsidRPr="00464352">
        <w:rPr>
          <w:color w:val="000000" w:themeColor="text1"/>
          <w:vertAlign w:val="subscript"/>
        </w:rPr>
        <w:t>BET</w:t>
      </w:r>
      <w:r w:rsidR="00634B37" w:rsidRPr="00464352">
        <w:rPr>
          <w:color w:val="000000" w:themeColor="text1"/>
        </w:rPr>
        <w:t xml:space="preserve"> and only a slight decrease in the specific surface areas was observed as a result of the platinum content growth, ascribable to the </w:t>
      </w:r>
      <w:proofErr w:type="spellStart"/>
      <w:r w:rsidR="00634B37" w:rsidRPr="00464352">
        <w:rPr>
          <w:color w:val="000000" w:themeColor="text1"/>
        </w:rPr>
        <w:t>PtO</w:t>
      </w:r>
      <w:r w:rsidR="00634B37" w:rsidRPr="00464352">
        <w:rPr>
          <w:color w:val="000000" w:themeColor="text1"/>
          <w:vertAlign w:val="subscript"/>
        </w:rPr>
        <w:t>X</w:t>
      </w:r>
      <w:proofErr w:type="spellEnd"/>
      <w:r w:rsidR="00634B37" w:rsidRPr="00464352">
        <w:rPr>
          <w:color w:val="000000" w:themeColor="text1"/>
        </w:rPr>
        <w:t xml:space="preserve"> particles penetration in the </w:t>
      </w:r>
      <w:proofErr w:type="spellStart"/>
      <w:r w:rsidR="00634B37" w:rsidRPr="00464352">
        <w:rPr>
          <w:color w:val="000000" w:themeColor="text1"/>
        </w:rPr>
        <w:t>mesopores</w:t>
      </w:r>
      <w:proofErr w:type="spellEnd"/>
      <w:r w:rsidR="00634B37" w:rsidRPr="00464352">
        <w:rPr>
          <w:color w:val="000000" w:themeColor="text1"/>
        </w:rPr>
        <w:t xml:space="preserve"> of the support (Singh et al, 2017). </w:t>
      </w:r>
      <w:r w:rsidR="00260724" w:rsidRPr="00464352">
        <w:rPr>
          <w:color w:val="000000" w:themeColor="text1"/>
        </w:rPr>
        <w:t>XRD patterns of the CeO</w:t>
      </w:r>
      <w:r w:rsidR="00260724" w:rsidRPr="00464352">
        <w:rPr>
          <w:color w:val="000000" w:themeColor="text1"/>
          <w:vertAlign w:val="subscript"/>
        </w:rPr>
        <w:t>2</w:t>
      </w:r>
      <w:r w:rsidR="00260724" w:rsidRPr="00464352">
        <w:rPr>
          <w:color w:val="000000" w:themeColor="text1"/>
        </w:rPr>
        <w:t>-SiO</w:t>
      </w:r>
      <w:r w:rsidR="00260724" w:rsidRPr="00464352">
        <w:rPr>
          <w:color w:val="000000" w:themeColor="text1"/>
          <w:vertAlign w:val="subscript"/>
        </w:rPr>
        <w:t>2</w:t>
      </w:r>
      <w:r w:rsidR="00260724" w:rsidRPr="00464352">
        <w:rPr>
          <w:color w:val="000000" w:themeColor="text1"/>
        </w:rPr>
        <w:t xml:space="preserve"> based catalysts (Figure 1 </w:t>
      </w:r>
      <w:r w:rsidR="000F01B1" w:rsidRPr="00464352">
        <w:rPr>
          <w:color w:val="000000" w:themeColor="text1"/>
        </w:rPr>
        <w:t>(</w:t>
      </w:r>
      <w:r w:rsidR="00260724" w:rsidRPr="00464352">
        <w:rPr>
          <w:color w:val="000000" w:themeColor="text1"/>
        </w:rPr>
        <w:t>a)</w:t>
      </w:r>
      <w:r w:rsidR="000F01B1" w:rsidRPr="00464352">
        <w:rPr>
          <w:color w:val="000000" w:themeColor="text1"/>
        </w:rPr>
        <w:t>)</w:t>
      </w:r>
      <w:r w:rsidR="00260724" w:rsidRPr="00464352">
        <w:rPr>
          <w:color w:val="000000" w:themeColor="text1"/>
        </w:rPr>
        <w:t xml:space="preserve"> mainly presented the four characteristic peaks located at 2</w:t>
      </w:r>
      <w:r w:rsidR="00260724" w:rsidRPr="00464352">
        <w:rPr>
          <w:rFonts w:cs="Arial"/>
          <w:color w:val="000000" w:themeColor="text1"/>
        </w:rPr>
        <w:t>Ѳ</w:t>
      </w:r>
      <w:r w:rsidR="00260724" w:rsidRPr="00464352">
        <w:rPr>
          <w:color w:val="000000" w:themeColor="text1"/>
        </w:rPr>
        <w:t xml:space="preserve"> of 28.9°, 33.2°, 48.0° and </w:t>
      </w:r>
      <w:r w:rsidR="00260724" w:rsidRPr="00464352">
        <w:rPr>
          <w:color w:val="000000" w:themeColor="text1"/>
        </w:rPr>
        <w:lastRenderedPageBreak/>
        <w:t xml:space="preserve">56.6° corresponding to (1 11),(2 00), (2 2 0), (311), respectively, which can be ascribed to the </w:t>
      </w:r>
      <w:r w:rsidR="00367FBB" w:rsidRPr="00464352">
        <w:rPr>
          <w:color w:val="000000" w:themeColor="text1"/>
        </w:rPr>
        <w:t xml:space="preserve">cubic </w:t>
      </w:r>
      <w:r w:rsidR="00260724" w:rsidRPr="00464352">
        <w:rPr>
          <w:color w:val="000000" w:themeColor="text1"/>
        </w:rPr>
        <w:t>structure of CeO</w:t>
      </w:r>
      <w:r w:rsidR="00260724" w:rsidRPr="00464352">
        <w:rPr>
          <w:color w:val="000000" w:themeColor="text1"/>
          <w:vertAlign w:val="subscript"/>
        </w:rPr>
        <w:t>2</w:t>
      </w:r>
      <w:r w:rsidR="00260724" w:rsidRPr="00464352">
        <w:rPr>
          <w:color w:val="000000" w:themeColor="text1"/>
        </w:rPr>
        <w:t xml:space="preserve"> and sharp peaks at 2θ of 37.46°</w:t>
      </w:r>
      <w:r w:rsidR="00367FBB" w:rsidRPr="00464352">
        <w:rPr>
          <w:color w:val="000000" w:themeColor="text1"/>
        </w:rPr>
        <w:t xml:space="preserve"> and </w:t>
      </w:r>
      <w:r w:rsidR="00260724" w:rsidRPr="00464352">
        <w:rPr>
          <w:color w:val="000000" w:themeColor="text1"/>
        </w:rPr>
        <w:t xml:space="preserve">43.54°, </w:t>
      </w:r>
      <w:r w:rsidR="00367FBB" w:rsidRPr="00464352">
        <w:rPr>
          <w:color w:val="000000" w:themeColor="text1"/>
        </w:rPr>
        <w:t>relative to (1 1 1) and</w:t>
      </w:r>
      <w:r w:rsidR="00260724" w:rsidRPr="00464352">
        <w:rPr>
          <w:color w:val="000000" w:themeColor="text1"/>
        </w:rPr>
        <w:t xml:space="preserve"> (2 0 0</w:t>
      </w:r>
      <w:r w:rsidR="00367FBB" w:rsidRPr="00464352">
        <w:rPr>
          <w:color w:val="000000" w:themeColor="text1"/>
        </w:rPr>
        <w:t xml:space="preserve">) </w:t>
      </w:r>
      <w:r w:rsidR="00260724" w:rsidRPr="00464352">
        <w:rPr>
          <w:color w:val="000000" w:themeColor="text1"/>
        </w:rPr>
        <w:t>crystal</w:t>
      </w:r>
      <w:r w:rsidR="00367FBB" w:rsidRPr="00464352">
        <w:rPr>
          <w:color w:val="000000" w:themeColor="text1"/>
        </w:rPr>
        <w:t xml:space="preserve"> </w:t>
      </w:r>
      <w:r w:rsidR="00260724" w:rsidRPr="00464352">
        <w:rPr>
          <w:color w:val="000000" w:themeColor="text1"/>
        </w:rPr>
        <w:t xml:space="preserve">planes of </w:t>
      </w:r>
      <w:proofErr w:type="spellStart"/>
      <w:r w:rsidR="00260724" w:rsidRPr="00464352">
        <w:rPr>
          <w:color w:val="000000" w:themeColor="text1"/>
        </w:rPr>
        <w:t>NiO</w:t>
      </w:r>
      <w:proofErr w:type="spellEnd"/>
      <w:r w:rsidR="00260724" w:rsidRPr="00464352">
        <w:rPr>
          <w:color w:val="000000" w:themeColor="text1"/>
        </w:rPr>
        <w:t xml:space="preserve"> phase</w:t>
      </w:r>
      <w:r w:rsidR="00367FBB" w:rsidRPr="00464352">
        <w:rPr>
          <w:color w:val="000000" w:themeColor="text1"/>
        </w:rPr>
        <w:t xml:space="preserve"> (Siang </w:t>
      </w:r>
      <w:r w:rsidR="00801B92" w:rsidRPr="00464352">
        <w:rPr>
          <w:color w:val="000000" w:themeColor="text1"/>
        </w:rPr>
        <w:t>and Vo</w:t>
      </w:r>
      <w:r w:rsidR="00367FBB" w:rsidRPr="00464352">
        <w:rPr>
          <w:color w:val="000000" w:themeColor="text1"/>
        </w:rPr>
        <w:t xml:space="preserve">, 2017). However, no obvious signals of </w:t>
      </w:r>
      <w:r w:rsidR="00C1317C" w:rsidRPr="00464352">
        <w:rPr>
          <w:color w:val="000000" w:themeColor="text1"/>
        </w:rPr>
        <w:t>platinum phase</w:t>
      </w:r>
      <w:r w:rsidR="00367FBB" w:rsidRPr="00464352">
        <w:rPr>
          <w:color w:val="000000" w:themeColor="text1"/>
        </w:rPr>
        <w:t xml:space="preserve"> were observed indicating highly dispersed </w:t>
      </w:r>
      <w:r w:rsidR="00D14A7A" w:rsidRPr="00464352">
        <w:rPr>
          <w:color w:val="000000" w:themeColor="text1"/>
        </w:rPr>
        <w:t>and</w:t>
      </w:r>
      <w:r w:rsidR="00367FBB" w:rsidRPr="00464352">
        <w:rPr>
          <w:color w:val="000000" w:themeColor="text1"/>
        </w:rPr>
        <w:t xml:space="preserve"> </w:t>
      </w:r>
      <w:r w:rsidR="00D14A7A" w:rsidRPr="00464352">
        <w:rPr>
          <w:color w:val="000000" w:themeColor="text1"/>
        </w:rPr>
        <w:t xml:space="preserve">very small crystallites of </w:t>
      </w:r>
      <w:proofErr w:type="spellStart"/>
      <w:r w:rsidR="00D14A7A" w:rsidRPr="00464352">
        <w:rPr>
          <w:color w:val="000000" w:themeColor="text1"/>
        </w:rPr>
        <w:t>PtO</w:t>
      </w:r>
      <w:r w:rsidR="00D14A7A" w:rsidRPr="00464352">
        <w:rPr>
          <w:color w:val="000000" w:themeColor="text1"/>
          <w:vertAlign w:val="subscript"/>
        </w:rPr>
        <w:t>x</w:t>
      </w:r>
      <w:proofErr w:type="spellEnd"/>
      <w:r w:rsidR="00D14A7A" w:rsidRPr="00464352">
        <w:rPr>
          <w:color w:val="000000" w:themeColor="text1"/>
        </w:rPr>
        <w:t xml:space="preserve"> (</w:t>
      </w:r>
      <w:r w:rsidR="00367FBB" w:rsidRPr="00464352">
        <w:rPr>
          <w:color w:val="000000" w:themeColor="text1"/>
        </w:rPr>
        <w:t>the detection</w:t>
      </w:r>
      <w:r w:rsidR="00D14A7A" w:rsidRPr="00464352">
        <w:rPr>
          <w:color w:val="000000" w:themeColor="text1"/>
        </w:rPr>
        <w:t xml:space="preserve"> limit of XRD is normally</w:t>
      </w:r>
      <w:r w:rsidR="00367FBB" w:rsidRPr="00464352">
        <w:rPr>
          <w:color w:val="000000" w:themeColor="text1"/>
        </w:rPr>
        <w:t xml:space="preserve"> above</w:t>
      </w:r>
      <w:r w:rsidR="00D14A7A" w:rsidRPr="00464352">
        <w:rPr>
          <w:color w:val="000000" w:themeColor="text1"/>
        </w:rPr>
        <w:t xml:space="preserve"> </w:t>
      </w:r>
      <w:r w:rsidR="00367FBB" w:rsidRPr="00464352">
        <w:rPr>
          <w:color w:val="000000" w:themeColor="text1"/>
        </w:rPr>
        <w:t>3</w:t>
      </w:r>
      <w:r w:rsidR="00D14A7A" w:rsidRPr="00464352">
        <w:rPr>
          <w:color w:val="000000" w:themeColor="text1"/>
        </w:rPr>
        <w:t xml:space="preserve"> </w:t>
      </w:r>
      <w:r w:rsidR="00367FBB" w:rsidRPr="00464352">
        <w:rPr>
          <w:color w:val="000000" w:themeColor="text1"/>
        </w:rPr>
        <w:t>nm</w:t>
      </w:r>
      <w:r w:rsidR="00D14A7A" w:rsidRPr="00464352">
        <w:rPr>
          <w:color w:val="000000" w:themeColor="text1"/>
        </w:rPr>
        <w:t xml:space="preserve"> (Zhao et al., 2018)). The average size of CeO</w:t>
      </w:r>
      <w:r w:rsidR="00D14A7A" w:rsidRPr="00464352">
        <w:rPr>
          <w:color w:val="000000" w:themeColor="text1"/>
          <w:vertAlign w:val="subscript"/>
        </w:rPr>
        <w:t>2</w:t>
      </w:r>
      <w:r w:rsidR="00D14A7A" w:rsidRPr="00464352">
        <w:rPr>
          <w:color w:val="000000" w:themeColor="text1"/>
        </w:rPr>
        <w:t xml:space="preserve"> particles (7-8 nm) was unaffected by Pt loading growth while a slight effect was observed on </w:t>
      </w:r>
      <w:proofErr w:type="spellStart"/>
      <w:r w:rsidR="00D14A7A" w:rsidRPr="00464352">
        <w:rPr>
          <w:color w:val="000000" w:themeColor="text1"/>
        </w:rPr>
        <w:t>NiO</w:t>
      </w:r>
      <w:proofErr w:type="spellEnd"/>
      <w:r w:rsidR="00D14A7A" w:rsidRPr="00464352">
        <w:rPr>
          <w:color w:val="000000" w:themeColor="text1"/>
        </w:rPr>
        <w:t xml:space="preserve"> particles.</w:t>
      </w:r>
    </w:p>
    <w:p w:rsidR="00471F02" w:rsidRPr="00464352" w:rsidRDefault="00471F02" w:rsidP="00471F02">
      <w:pPr>
        <w:keepNext/>
        <w:tabs>
          <w:tab w:val="clear" w:pos="7100"/>
        </w:tabs>
        <w:spacing w:before="240" w:after="80" w:line="240" w:lineRule="exact"/>
        <w:jc w:val="left"/>
        <w:rPr>
          <w:i/>
          <w:color w:val="000000" w:themeColor="text1"/>
        </w:rPr>
      </w:pPr>
      <w:r w:rsidRPr="00464352">
        <w:rPr>
          <w:i/>
          <w:color w:val="000000" w:themeColor="text1"/>
        </w:rPr>
        <w:t>Table 1: Physiochemical properties and TPR results for the monometallic and bimetallic catalysts.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2197"/>
        <w:gridCol w:w="2198"/>
      </w:tblGrid>
      <w:tr w:rsidR="00464352" w:rsidRPr="00464352" w:rsidTr="00026562">
        <w:tc>
          <w:tcPr>
            <w:tcW w:w="1134" w:type="dxa"/>
            <w:tcBorders>
              <w:top w:val="single" w:sz="12" w:space="0" w:color="008000"/>
              <w:bottom w:val="single" w:sz="6" w:space="0" w:color="008000"/>
            </w:tcBorders>
            <w:shd w:val="clear" w:color="auto" w:fill="FFFFFF"/>
          </w:tcPr>
          <w:p w:rsidR="00026562" w:rsidRPr="00464352" w:rsidRDefault="00026562" w:rsidP="00F1496F">
            <w:pPr>
              <w:rPr>
                <w:color w:val="000000" w:themeColor="text1"/>
              </w:rPr>
            </w:pPr>
            <w:r w:rsidRPr="00464352">
              <w:rPr>
                <w:color w:val="000000" w:themeColor="text1"/>
              </w:rPr>
              <w:t>Sample</w:t>
            </w:r>
          </w:p>
        </w:tc>
        <w:tc>
          <w:tcPr>
            <w:tcW w:w="1134" w:type="dxa"/>
            <w:tcBorders>
              <w:top w:val="single" w:sz="12" w:space="0" w:color="008000"/>
              <w:bottom w:val="single" w:sz="6" w:space="0" w:color="008000"/>
            </w:tcBorders>
            <w:shd w:val="clear" w:color="auto" w:fill="FFFFFF"/>
          </w:tcPr>
          <w:p w:rsidR="00026562" w:rsidRPr="00464352" w:rsidRDefault="00026562" w:rsidP="00F1496F">
            <w:pPr>
              <w:rPr>
                <w:color w:val="000000" w:themeColor="text1"/>
              </w:rPr>
            </w:pPr>
            <w:r w:rsidRPr="00464352">
              <w:rPr>
                <w:color w:val="000000" w:themeColor="text1"/>
              </w:rPr>
              <w:t>S</w:t>
            </w:r>
            <w:r w:rsidRPr="00464352">
              <w:rPr>
                <w:color w:val="000000" w:themeColor="text1"/>
                <w:vertAlign w:val="subscript"/>
              </w:rPr>
              <w:t>BET</w:t>
            </w:r>
            <w:r w:rsidRPr="00464352">
              <w:rPr>
                <w:color w:val="000000" w:themeColor="text1"/>
              </w:rPr>
              <w:t xml:space="preserve"> (m</w:t>
            </w:r>
            <w:r w:rsidRPr="00464352">
              <w:rPr>
                <w:color w:val="000000" w:themeColor="text1"/>
                <w:vertAlign w:val="superscript"/>
              </w:rPr>
              <w:t>2</w:t>
            </w:r>
            <w:r w:rsidRPr="00464352">
              <w:rPr>
                <w:rFonts w:cs="Arial"/>
                <w:color w:val="000000" w:themeColor="text1"/>
              </w:rPr>
              <w:t>∙</w:t>
            </w:r>
            <w:r w:rsidRPr="00464352">
              <w:rPr>
                <w:color w:val="000000" w:themeColor="text1"/>
              </w:rPr>
              <w:t>g</w:t>
            </w:r>
            <w:r w:rsidRPr="00464352">
              <w:rPr>
                <w:color w:val="000000" w:themeColor="text1"/>
                <w:vertAlign w:val="superscript"/>
              </w:rPr>
              <w:t>-1</w:t>
            </w:r>
            <w:r w:rsidRPr="00464352">
              <w:rPr>
                <w:color w:val="000000" w:themeColor="text1"/>
              </w:rPr>
              <w:t>)</w:t>
            </w:r>
          </w:p>
        </w:tc>
        <w:tc>
          <w:tcPr>
            <w:tcW w:w="1134" w:type="dxa"/>
            <w:tcBorders>
              <w:top w:val="single" w:sz="12" w:space="0" w:color="008000"/>
              <w:bottom w:val="single" w:sz="6" w:space="0" w:color="008000"/>
            </w:tcBorders>
            <w:shd w:val="clear" w:color="auto" w:fill="FFFFFF"/>
          </w:tcPr>
          <w:p w:rsidR="00026562" w:rsidRPr="00464352" w:rsidRDefault="00026562" w:rsidP="00F1496F">
            <w:pPr>
              <w:rPr>
                <w:color w:val="000000" w:themeColor="text1"/>
              </w:rPr>
            </w:pPr>
            <w:r w:rsidRPr="00464352">
              <w:rPr>
                <w:color w:val="000000" w:themeColor="text1"/>
              </w:rPr>
              <w:t>d</w:t>
            </w:r>
            <w:r w:rsidRPr="00464352">
              <w:rPr>
                <w:color w:val="000000" w:themeColor="text1"/>
                <w:vertAlign w:val="subscript"/>
              </w:rPr>
              <w:t>CeO2</w:t>
            </w:r>
            <w:r w:rsidRPr="00464352">
              <w:rPr>
                <w:color w:val="000000" w:themeColor="text1"/>
              </w:rPr>
              <w:t xml:space="preserve"> (nm)</w:t>
            </w:r>
          </w:p>
        </w:tc>
        <w:tc>
          <w:tcPr>
            <w:tcW w:w="1134" w:type="dxa"/>
            <w:tcBorders>
              <w:top w:val="single" w:sz="12" w:space="0" w:color="008000"/>
              <w:bottom w:val="single" w:sz="6" w:space="0" w:color="008000"/>
            </w:tcBorders>
            <w:shd w:val="clear" w:color="auto" w:fill="FFFFFF"/>
          </w:tcPr>
          <w:p w:rsidR="00026562" w:rsidRPr="00464352" w:rsidRDefault="00026562" w:rsidP="00F1496F">
            <w:pPr>
              <w:ind w:right="-1"/>
              <w:rPr>
                <w:rFonts w:cs="Arial"/>
                <w:color w:val="000000" w:themeColor="text1"/>
                <w:szCs w:val="18"/>
              </w:rPr>
            </w:pPr>
            <w:proofErr w:type="spellStart"/>
            <w:r w:rsidRPr="00464352">
              <w:rPr>
                <w:rFonts w:cs="Arial"/>
                <w:color w:val="000000" w:themeColor="text1"/>
                <w:szCs w:val="18"/>
              </w:rPr>
              <w:t>d</w:t>
            </w:r>
            <w:r w:rsidRPr="00464352">
              <w:rPr>
                <w:rFonts w:cs="Arial"/>
                <w:color w:val="000000" w:themeColor="text1"/>
                <w:szCs w:val="18"/>
                <w:vertAlign w:val="subscript"/>
              </w:rPr>
              <w:t>NiO</w:t>
            </w:r>
            <w:proofErr w:type="spellEnd"/>
            <w:r w:rsidRPr="00464352">
              <w:rPr>
                <w:rFonts w:cs="Arial"/>
                <w:color w:val="000000" w:themeColor="text1"/>
                <w:szCs w:val="18"/>
              </w:rPr>
              <w:t xml:space="preserve"> (nm)</w:t>
            </w:r>
          </w:p>
        </w:tc>
        <w:tc>
          <w:tcPr>
            <w:tcW w:w="2197" w:type="dxa"/>
            <w:tcBorders>
              <w:top w:val="single" w:sz="12" w:space="0" w:color="008000"/>
              <w:bottom w:val="single" w:sz="6" w:space="0" w:color="008000"/>
            </w:tcBorders>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H</w:t>
            </w:r>
            <w:r w:rsidRPr="00464352">
              <w:rPr>
                <w:rFonts w:cs="Arial"/>
                <w:color w:val="000000" w:themeColor="text1"/>
                <w:szCs w:val="18"/>
                <w:vertAlign w:val="subscript"/>
              </w:rPr>
              <w:t>2</w:t>
            </w:r>
            <w:r w:rsidRPr="00464352">
              <w:rPr>
                <w:rFonts w:cs="Arial"/>
                <w:color w:val="000000" w:themeColor="text1"/>
                <w:szCs w:val="18"/>
              </w:rPr>
              <w:t xml:space="preserve"> theoretical uptake (µ</w:t>
            </w:r>
            <w:r w:rsidRPr="00464352">
              <w:rPr>
                <w:rFonts w:cs="Arial"/>
                <w:color w:val="000000" w:themeColor="text1"/>
                <w:szCs w:val="18"/>
                <w:vertAlign w:val="subscript"/>
              </w:rPr>
              <w:t>molH2</w:t>
            </w:r>
            <w:r w:rsidRPr="00464352">
              <w:rPr>
                <w:rFonts w:cs="Arial"/>
                <w:color w:val="000000" w:themeColor="text1"/>
                <w:szCs w:val="18"/>
              </w:rPr>
              <w:t>·g</w:t>
            </w:r>
            <w:r w:rsidRPr="00464352">
              <w:rPr>
                <w:rFonts w:cs="Arial"/>
                <w:color w:val="000000" w:themeColor="text1"/>
                <w:szCs w:val="18"/>
                <w:vertAlign w:val="subscript"/>
              </w:rPr>
              <w:t>cat</w:t>
            </w:r>
            <w:r w:rsidRPr="00464352">
              <w:rPr>
                <w:rFonts w:cs="Arial"/>
                <w:color w:val="000000" w:themeColor="text1"/>
                <w:szCs w:val="18"/>
                <w:vertAlign w:val="superscript"/>
              </w:rPr>
              <w:t>-1)</w:t>
            </w:r>
          </w:p>
        </w:tc>
        <w:tc>
          <w:tcPr>
            <w:tcW w:w="2198" w:type="dxa"/>
            <w:tcBorders>
              <w:top w:val="single" w:sz="12" w:space="0" w:color="008000"/>
              <w:bottom w:val="single" w:sz="6" w:space="0" w:color="008000"/>
            </w:tcBorders>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H</w:t>
            </w:r>
            <w:r w:rsidRPr="00464352">
              <w:rPr>
                <w:rFonts w:cs="Arial"/>
                <w:color w:val="000000" w:themeColor="text1"/>
                <w:szCs w:val="18"/>
                <w:vertAlign w:val="subscript"/>
              </w:rPr>
              <w:t>2</w:t>
            </w:r>
            <w:r w:rsidRPr="00464352">
              <w:rPr>
                <w:rFonts w:cs="Arial"/>
                <w:color w:val="000000" w:themeColor="text1"/>
                <w:szCs w:val="18"/>
              </w:rPr>
              <w:t xml:space="preserve"> experimental uptake </w:t>
            </w:r>
          </w:p>
          <w:p w:rsidR="00026562" w:rsidRPr="00464352" w:rsidRDefault="00026562" w:rsidP="00F1496F">
            <w:pPr>
              <w:ind w:right="-1"/>
              <w:rPr>
                <w:rFonts w:cs="Arial"/>
                <w:color w:val="000000" w:themeColor="text1"/>
                <w:szCs w:val="18"/>
              </w:rPr>
            </w:pPr>
            <w:r w:rsidRPr="00464352">
              <w:rPr>
                <w:rFonts w:cs="Arial"/>
                <w:color w:val="000000" w:themeColor="text1"/>
                <w:szCs w:val="18"/>
              </w:rPr>
              <w:t>(µ</w:t>
            </w:r>
            <w:r w:rsidRPr="00464352">
              <w:rPr>
                <w:rFonts w:cs="Arial"/>
                <w:color w:val="000000" w:themeColor="text1"/>
                <w:szCs w:val="18"/>
                <w:vertAlign w:val="subscript"/>
              </w:rPr>
              <w:t>molH2</w:t>
            </w:r>
            <w:r w:rsidRPr="00464352">
              <w:rPr>
                <w:rFonts w:cs="Arial"/>
                <w:color w:val="000000" w:themeColor="text1"/>
                <w:szCs w:val="18"/>
              </w:rPr>
              <w:t>·g</w:t>
            </w:r>
            <w:r w:rsidRPr="00464352">
              <w:rPr>
                <w:rFonts w:cs="Arial"/>
                <w:color w:val="000000" w:themeColor="text1"/>
                <w:szCs w:val="18"/>
                <w:vertAlign w:val="subscript"/>
              </w:rPr>
              <w:t>cat</w:t>
            </w:r>
            <w:r w:rsidRPr="00464352">
              <w:rPr>
                <w:rFonts w:cs="Arial"/>
                <w:color w:val="000000" w:themeColor="text1"/>
                <w:szCs w:val="18"/>
                <w:vertAlign w:val="superscript"/>
              </w:rPr>
              <w:t>-1</w:t>
            </w:r>
            <w:r w:rsidRPr="00464352">
              <w:rPr>
                <w:rFonts w:cs="Arial"/>
                <w:color w:val="000000" w:themeColor="text1"/>
                <w:szCs w:val="18"/>
              </w:rPr>
              <w:t>)</w:t>
            </w:r>
          </w:p>
        </w:tc>
      </w:tr>
      <w:tr w:rsidR="00464352" w:rsidRPr="00464352" w:rsidTr="00026562">
        <w:tc>
          <w:tcPr>
            <w:tcW w:w="1134" w:type="dxa"/>
            <w:shd w:val="clear" w:color="auto" w:fill="FFFFFF"/>
          </w:tcPr>
          <w:p w:rsidR="00026562" w:rsidRPr="00464352" w:rsidRDefault="00026562" w:rsidP="00F1496F">
            <w:pPr>
              <w:rPr>
                <w:color w:val="000000" w:themeColor="text1"/>
              </w:rPr>
            </w:pPr>
            <w:r w:rsidRPr="00464352">
              <w:rPr>
                <w:color w:val="000000" w:themeColor="text1"/>
              </w:rPr>
              <w:t>10Ni</w:t>
            </w:r>
          </w:p>
        </w:tc>
        <w:tc>
          <w:tcPr>
            <w:tcW w:w="1134" w:type="dxa"/>
            <w:shd w:val="clear" w:color="auto" w:fill="FFFFFF"/>
          </w:tcPr>
          <w:p w:rsidR="00026562" w:rsidRPr="00464352" w:rsidRDefault="00026562" w:rsidP="00F1496F">
            <w:pPr>
              <w:rPr>
                <w:color w:val="000000" w:themeColor="text1"/>
              </w:rPr>
            </w:pPr>
            <w:r w:rsidRPr="00464352">
              <w:rPr>
                <w:color w:val="000000" w:themeColor="text1"/>
              </w:rPr>
              <w:t>259</w:t>
            </w:r>
          </w:p>
        </w:tc>
        <w:tc>
          <w:tcPr>
            <w:tcW w:w="1134" w:type="dxa"/>
            <w:shd w:val="clear" w:color="auto" w:fill="FFFFFF"/>
          </w:tcPr>
          <w:p w:rsidR="00026562" w:rsidRPr="00464352" w:rsidRDefault="00026562" w:rsidP="00F1496F">
            <w:pPr>
              <w:rPr>
                <w:color w:val="000000" w:themeColor="text1"/>
              </w:rPr>
            </w:pPr>
            <w:r w:rsidRPr="00464352">
              <w:rPr>
                <w:color w:val="000000" w:themeColor="text1"/>
              </w:rPr>
              <w:t>8</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12</w:t>
            </w:r>
          </w:p>
        </w:tc>
        <w:tc>
          <w:tcPr>
            <w:tcW w:w="2197"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1704</w:t>
            </w:r>
          </w:p>
        </w:tc>
        <w:tc>
          <w:tcPr>
            <w:tcW w:w="2198" w:type="dxa"/>
            <w:shd w:val="clear" w:color="auto" w:fill="FFFFFF"/>
          </w:tcPr>
          <w:p w:rsidR="00026562" w:rsidRPr="00464352" w:rsidRDefault="00634B37" w:rsidP="00F1496F">
            <w:pPr>
              <w:ind w:right="-1"/>
              <w:rPr>
                <w:rFonts w:cs="Arial"/>
                <w:color w:val="000000" w:themeColor="text1"/>
                <w:szCs w:val="18"/>
              </w:rPr>
            </w:pPr>
            <w:r w:rsidRPr="00464352">
              <w:rPr>
                <w:rFonts w:cs="Arial"/>
                <w:color w:val="000000" w:themeColor="text1"/>
                <w:szCs w:val="18"/>
              </w:rPr>
              <w:t>2590</w:t>
            </w:r>
          </w:p>
        </w:tc>
      </w:tr>
      <w:tr w:rsidR="00464352" w:rsidRPr="00464352" w:rsidTr="00026562">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0.5Pt10Ni</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256</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7</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10</w:t>
            </w:r>
          </w:p>
        </w:tc>
        <w:tc>
          <w:tcPr>
            <w:tcW w:w="2197"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1755</w:t>
            </w:r>
          </w:p>
        </w:tc>
        <w:tc>
          <w:tcPr>
            <w:tcW w:w="2198" w:type="dxa"/>
            <w:shd w:val="clear" w:color="auto" w:fill="FFFFFF"/>
          </w:tcPr>
          <w:p w:rsidR="00026562" w:rsidRPr="00464352" w:rsidRDefault="00634B37" w:rsidP="00F1496F">
            <w:pPr>
              <w:ind w:right="-1"/>
              <w:rPr>
                <w:rFonts w:cs="Arial"/>
                <w:color w:val="000000" w:themeColor="text1"/>
                <w:szCs w:val="18"/>
              </w:rPr>
            </w:pPr>
            <w:r w:rsidRPr="00464352">
              <w:rPr>
                <w:rFonts w:cs="Arial"/>
                <w:color w:val="000000" w:themeColor="text1"/>
                <w:szCs w:val="18"/>
              </w:rPr>
              <w:t>2953</w:t>
            </w:r>
          </w:p>
        </w:tc>
      </w:tr>
      <w:tr w:rsidR="00464352" w:rsidRPr="00464352" w:rsidTr="00026562">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1Pt10Ni</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254</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7</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11</w:t>
            </w:r>
          </w:p>
        </w:tc>
        <w:tc>
          <w:tcPr>
            <w:tcW w:w="2197"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1806</w:t>
            </w:r>
          </w:p>
        </w:tc>
        <w:tc>
          <w:tcPr>
            <w:tcW w:w="2198" w:type="dxa"/>
            <w:shd w:val="clear" w:color="auto" w:fill="FFFFFF"/>
          </w:tcPr>
          <w:p w:rsidR="00026562" w:rsidRPr="00464352" w:rsidRDefault="00634B37" w:rsidP="00F1496F">
            <w:pPr>
              <w:ind w:right="-1"/>
              <w:rPr>
                <w:rFonts w:cs="Arial"/>
                <w:color w:val="000000" w:themeColor="text1"/>
                <w:szCs w:val="18"/>
              </w:rPr>
            </w:pPr>
            <w:r w:rsidRPr="00464352">
              <w:rPr>
                <w:rFonts w:cs="Arial"/>
                <w:color w:val="000000" w:themeColor="text1"/>
                <w:szCs w:val="18"/>
              </w:rPr>
              <w:t>3051</w:t>
            </w:r>
          </w:p>
        </w:tc>
      </w:tr>
      <w:tr w:rsidR="00464352" w:rsidRPr="00464352" w:rsidTr="00026562">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2Pt10Ni</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242</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7</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12</w:t>
            </w:r>
          </w:p>
        </w:tc>
        <w:tc>
          <w:tcPr>
            <w:tcW w:w="2197"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1909</w:t>
            </w:r>
          </w:p>
        </w:tc>
        <w:tc>
          <w:tcPr>
            <w:tcW w:w="2198" w:type="dxa"/>
            <w:shd w:val="clear" w:color="auto" w:fill="FFFFFF"/>
          </w:tcPr>
          <w:p w:rsidR="00026562" w:rsidRPr="00464352" w:rsidRDefault="00634B37" w:rsidP="00F1496F">
            <w:pPr>
              <w:ind w:right="-1"/>
              <w:rPr>
                <w:rFonts w:cs="Arial"/>
                <w:color w:val="000000" w:themeColor="text1"/>
                <w:szCs w:val="18"/>
              </w:rPr>
            </w:pPr>
            <w:r w:rsidRPr="00464352">
              <w:rPr>
                <w:rFonts w:cs="Arial"/>
                <w:color w:val="000000" w:themeColor="text1"/>
                <w:szCs w:val="18"/>
              </w:rPr>
              <w:t>3245</w:t>
            </w:r>
          </w:p>
        </w:tc>
      </w:tr>
      <w:tr w:rsidR="00464352" w:rsidRPr="00464352" w:rsidTr="00026562">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3Pt10Ni</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229</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7</w:t>
            </w:r>
          </w:p>
        </w:tc>
        <w:tc>
          <w:tcPr>
            <w:tcW w:w="1134"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12</w:t>
            </w:r>
          </w:p>
        </w:tc>
        <w:tc>
          <w:tcPr>
            <w:tcW w:w="2197" w:type="dxa"/>
            <w:shd w:val="clear" w:color="auto" w:fill="FFFFFF"/>
          </w:tcPr>
          <w:p w:rsidR="00026562" w:rsidRPr="00464352" w:rsidRDefault="00026562" w:rsidP="00F1496F">
            <w:pPr>
              <w:ind w:right="-1"/>
              <w:rPr>
                <w:rFonts w:cs="Arial"/>
                <w:color w:val="000000" w:themeColor="text1"/>
                <w:szCs w:val="18"/>
              </w:rPr>
            </w:pPr>
            <w:r w:rsidRPr="00464352">
              <w:rPr>
                <w:rFonts w:cs="Arial"/>
                <w:color w:val="000000" w:themeColor="text1"/>
                <w:szCs w:val="18"/>
              </w:rPr>
              <w:t>2011</w:t>
            </w:r>
          </w:p>
        </w:tc>
        <w:tc>
          <w:tcPr>
            <w:tcW w:w="2198" w:type="dxa"/>
            <w:shd w:val="clear" w:color="auto" w:fill="FFFFFF"/>
          </w:tcPr>
          <w:p w:rsidR="00026562" w:rsidRPr="00464352" w:rsidRDefault="00634B37" w:rsidP="00F1496F">
            <w:pPr>
              <w:ind w:right="-1"/>
              <w:rPr>
                <w:rFonts w:cs="Arial"/>
                <w:color w:val="000000" w:themeColor="text1"/>
                <w:szCs w:val="18"/>
              </w:rPr>
            </w:pPr>
            <w:r w:rsidRPr="00464352">
              <w:rPr>
                <w:rFonts w:cs="Arial"/>
                <w:color w:val="000000" w:themeColor="text1"/>
                <w:szCs w:val="18"/>
              </w:rPr>
              <w:t>3457</w:t>
            </w:r>
          </w:p>
        </w:tc>
      </w:tr>
    </w:tbl>
    <w:p w:rsidR="00471F02" w:rsidRPr="00464352" w:rsidRDefault="00471F02" w:rsidP="00471F02">
      <w:pPr>
        <w:pStyle w:val="CETReferencetext"/>
        <w:rPr>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06"/>
      </w:tblGrid>
      <w:tr w:rsidR="00464352" w:rsidRPr="00464352" w:rsidTr="00C2590F">
        <w:tc>
          <w:tcPr>
            <w:tcW w:w="4388" w:type="dxa"/>
          </w:tcPr>
          <w:p w:rsidR="00D14A7A" w:rsidRPr="00464352" w:rsidRDefault="00535ACA" w:rsidP="00471F02">
            <w:pPr>
              <w:pStyle w:val="CETListbullets"/>
              <w:ind w:left="0" w:firstLine="0"/>
              <w:rPr>
                <w:color w:val="000000" w:themeColor="text1"/>
              </w:rPr>
            </w:pPr>
            <w:r w:rsidRPr="00464352">
              <w:rPr>
                <w:noProof/>
                <w:color w:val="000000" w:themeColor="text1"/>
                <w:lang w:val="it-IT" w:eastAsia="it-IT"/>
              </w:rPr>
              <w:drawing>
                <wp:inline distT="0" distB="0" distL="0" distR="0" wp14:anchorId="0FD4B9F4" wp14:editId="6EEE6C27">
                  <wp:extent cx="2756545" cy="180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6545" cy="1800000"/>
                          </a:xfrm>
                          <a:prstGeom prst="rect">
                            <a:avLst/>
                          </a:prstGeom>
                          <a:noFill/>
                          <a:ln>
                            <a:noFill/>
                          </a:ln>
                        </pic:spPr>
                      </pic:pic>
                    </a:graphicData>
                  </a:graphic>
                </wp:inline>
              </w:drawing>
            </w:r>
          </w:p>
        </w:tc>
        <w:tc>
          <w:tcPr>
            <w:tcW w:w="4389" w:type="dxa"/>
          </w:tcPr>
          <w:p w:rsidR="00D14A7A" w:rsidRPr="00464352" w:rsidRDefault="00364D8D" w:rsidP="00471F02">
            <w:pPr>
              <w:pStyle w:val="CETListbullets"/>
              <w:ind w:left="0" w:firstLine="0"/>
              <w:rPr>
                <w:color w:val="000000" w:themeColor="text1"/>
              </w:rPr>
            </w:pPr>
            <w:r w:rsidRPr="00464352">
              <w:rPr>
                <w:noProof/>
                <w:color w:val="000000" w:themeColor="text1"/>
                <w:lang w:val="it-IT" w:eastAsia="it-IT"/>
              </w:rPr>
              <w:drawing>
                <wp:inline distT="0" distB="0" distL="0" distR="0" wp14:anchorId="509FB5FA" wp14:editId="1A15213F">
                  <wp:extent cx="2755858" cy="1800000"/>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5858" cy="1800000"/>
                          </a:xfrm>
                          <a:prstGeom prst="rect">
                            <a:avLst/>
                          </a:prstGeom>
                          <a:noFill/>
                          <a:ln>
                            <a:noFill/>
                          </a:ln>
                        </pic:spPr>
                      </pic:pic>
                    </a:graphicData>
                  </a:graphic>
                </wp:inline>
              </w:drawing>
            </w:r>
          </w:p>
        </w:tc>
      </w:tr>
    </w:tbl>
    <w:p w:rsidR="00471F02" w:rsidRPr="00464352" w:rsidRDefault="00D14A7A" w:rsidP="00464352">
      <w:pPr>
        <w:pStyle w:val="CETCaption"/>
      </w:pPr>
      <w:r w:rsidRPr="00464352">
        <w:t xml:space="preserve">Figure 1: XRD patterns </w:t>
      </w:r>
      <w:r w:rsidR="00535ACA" w:rsidRPr="00464352">
        <w:t xml:space="preserve">(a) </w:t>
      </w:r>
      <w:r w:rsidRPr="00464352">
        <w:t xml:space="preserve">and H2-TPR profiles </w:t>
      </w:r>
      <w:r w:rsidR="00535ACA" w:rsidRPr="00464352">
        <w:t xml:space="preserve">(b) </w:t>
      </w:r>
      <w:r w:rsidRPr="00464352">
        <w:t>of the CeO2-SiO2 supported catalysts.</w:t>
      </w:r>
    </w:p>
    <w:p w:rsidR="000D42D1" w:rsidRPr="00464352" w:rsidRDefault="000F01B1" w:rsidP="00C2590F">
      <w:pPr>
        <w:pStyle w:val="CETCaption"/>
        <w:spacing w:before="0"/>
        <w:rPr>
          <w:rFonts w:cs="Arial"/>
          <w:i w:val="0"/>
          <w:color w:val="000000" w:themeColor="text1"/>
          <w:szCs w:val="18"/>
        </w:rPr>
      </w:pPr>
      <w:r w:rsidRPr="00464352">
        <w:rPr>
          <w:i w:val="0"/>
          <w:color w:val="000000" w:themeColor="text1"/>
        </w:rPr>
        <w:t>TPR profiles of Pt-based bimetallic catalysts are shown in Figure 1 (b) in comparison with the reduction curve recorded over the Ni/CeO</w:t>
      </w:r>
      <w:r w:rsidRPr="00464352">
        <w:rPr>
          <w:i w:val="0"/>
          <w:color w:val="000000" w:themeColor="text1"/>
          <w:vertAlign w:val="subscript"/>
        </w:rPr>
        <w:t>2</w:t>
      </w:r>
      <w:r w:rsidRPr="00464352">
        <w:rPr>
          <w:i w:val="0"/>
          <w:color w:val="000000" w:themeColor="text1"/>
        </w:rPr>
        <w:t>-SiO</w:t>
      </w:r>
      <w:r w:rsidRPr="00464352">
        <w:rPr>
          <w:i w:val="0"/>
          <w:color w:val="000000" w:themeColor="text1"/>
          <w:vertAlign w:val="subscript"/>
        </w:rPr>
        <w:t>2</w:t>
      </w:r>
      <w:r w:rsidRPr="00464352">
        <w:rPr>
          <w:i w:val="0"/>
          <w:color w:val="000000" w:themeColor="text1"/>
        </w:rPr>
        <w:t xml:space="preserve"> sample. Two major reduction peaks are observed for every bimetallic catalyst, corresponding to the reduction of </w:t>
      </w:r>
      <w:r w:rsidR="00C1317C" w:rsidRPr="00464352">
        <w:rPr>
          <w:i w:val="0"/>
          <w:color w:val="000000" w:themeColor="text1"/>
        </w:rPr>
        <w:t>platinum</w:t>
      </w:r>
      <w:r w:rsidRPr="00464352">
        <w:rPr>
          <w:i w:val="0"/>
          <w:color w:val="000000" w:themeColor="text1"/>
        </w:rPr>
        <w:t xml:space="preserve"> and </w:t>
      </w:r>
      <w:r w:rsidR="00C1317C" w:rsidRPr="00464352">
        <w:rPr>
          <w:i w:val="0"/>
          <w:color w:val="000000" w:themeColor="text1"/>
        </w:rPr>
        <w:t>nickel</w:t>
      </w:r>
      <w:r w:rsidRPr="00464352">
        <w:rPr>
          <w:i w:val="0"/>
          <w:color w:val="000000" w:themeColor="text1"/>
        </w:rPr>
        <w:t xml:space="preserve"> </w:t>
      </w:r>
      <w:r w:rsidR="000D42D1" w:rsidRPr="00464352">
        <w:rPr>
          <w:i w:val="0"/>
          <w:color w:val="000000" w:themeColor="text1"/>
        </w:rPr>
        <w:t>oxides</w:t>
      </w:r>
      <w:r w:rsidR="00B01F9A" w:rsidRPr="00464352">
        <w:rPr>
          <w:i w:val="0"/>
          <w:color w:val="000000" w:themeColor="text1"/>
        </w:rPr>
        <w:t xml:space="preserve"> (Nishikawa et al., 2008)</w:t>
      </w:r>
      <w:r w:rsidRPr="00464352">
        <w:rPr>
          <w:i w:val="0"/>
          <w:color w:val="000000" w:themeColor="text1"/>
        </w:rPr>
        <w:t xml:space="preserve">. Two peaks </w:t>
      </w:r>
      <w:r w:rsidR="000D42D1" w:rsidRPr="00464352">
        <w:rPr>
          <w:i w:val="0"/>
          <w:color w:val="000000" w:themeColor="text1"/>
        </w:rPr>
        <w:t xml:space="preserve">with a shoulder at high temperatures </w:t>
      </w:r>
      <w:r w:rsidRPr="00464352">
        <w:rPr>
          <w:i w:val="0"/>
          <w:color w:val="000000" w:themeColor="text1"/>
        </w:rPr>
        <w:t xml:space="preserve">were also observed for the monometallic </w:t>
      </w:r>
      <w:r w:rsidR="00C1317C" w:rsidRPr="00464352">
        <w:rPr>
          <w:i w:val="0"/>
          <w:color w:val="000000" w:themeColor="text1"/>
        </w:rPr>
        <w:t>Ni/CeO</w:t>
      </w:r>
      <w:r w:rsidR="00C1317C" w:rsidRPr="00464352">
        <w:rPr>
          <w:i w:val="0"/>
          <w:color w:val="000000" w:themeColor="text1"/>
          <w:vertAlign w:val="subscript"/>
        </w:rPr>
        <w:t>2</w:t>
      </w:r>
      <w:r w:rsidR="00C1317C" w:rsidRPr="00464352">
        <w:rPr>
          <w:i w:val="0"/>
          <w:color w:val="000000" w:themeColor="text1"/>
        </w:rPr>
        <w:t>-SiO</w:t>
      </w:r>
      <w:r w:rsidR="00C1317C" w:rsidRPr="00464352">
        <w:rPr>
          <w:i w:val="0"/>
          <w:color w:val="000000" w:themeColor="text1"/>
          <w:vertAlign w:val="subscript"/>
        </w:rPr>
        <w:t>2</w:t>
      </w:r>
      <w:r w:rsidRPr="00464352">
        <w:rPr>
          <w:i w:val="0"/>
          <w:color w:val="000000" w:themeColor="text1"/>
        </w:rPr>
        <w:t xml:space="preserve"> sample, </w:t>
      </w:r>
      <w:r w:rsidR="000D42D1" w:rsidRPr="00464352">
        <w:rPr>
          <w:i w:val="0"/>
          <w:color w:val="000000" w:themeColor="text1"/>
        </w:rPr>
        <w:t xml:space="preserve">suggesting that three types of </w:t>
      </w:r>
      <w:proofErr w:type="spellStart"/>
      <w:r w:rsidR="000D42D1" w:rsidRPr="00464352">
        <w:rPr>
          <w:i w:val="0"/>
          <w:color w:val="000000" w:themeColor="text1"/>
        </w:rPr>
        <w:t>NiO</w:t>
      </w:r>
      <w:proofErr w:type="spellEnd"/>
      <w:r w:rsidR="000D42D1" w:rsidRPr="00464352">
        <w:rPr>
          <w:i w:val="0"/>
          <w:color w:val="000000" w:themeColor="text1"/>
        </w:rPr>
        <w:t xml:space="preserve"> </w:t>
      </w:r>
      <w:r w:rsidR="00386B73" w:rsidRPr="00464352">
        <w:rPr>
          <w:i w:val="0"/>
          <w:color w:val="000000" w:themeColor="text1"/>
        </w:rPr>
        <w:t xml:space="preserve">species are present: aggregated </w:t>
      </w:r>
      <w:proofErr w:type="spellStart"/>
      <w:r w:rsidR="00386B73" w:rsidRPr="00464352">
        <w:rPr>
          <w:i w:val="0"/>
          <w:color w:val="000000" w:themeColor="text1"/>
        </w:rPr>
        <w:t>NiO</w:t>
      </w:r>
      <w:proofErr w:type="spellEnd"/>
      <w:r w:rsidR="00386B73" w:rsidRPr="00464352">
        <w:rPr>
          <w:i w:val="0"/>
          <w:color w:val="000000" w:themeColor="text1"/>
        </w:rPr>
        <w:t xml:space="preserve">, highly dispersed </w:t>
      </w:r>
      <w:proofErr w:type="spellStart"/>
      <w:r w:rsidR="00386B73" w:rsidRPr="00464352">
        <w:rPr>
          <w:i w:val="0"/>
          <w:color w:val="000000" w:themeColor="text1"/>
        </w:rPr>
        <w:t>NiO</w:t>
      </w:r>
      <w:proofErr w:type="spellEnd"/>
      <w:r w:rsidR="00386B73" w:rsidRPr="00464352">
        <w:rPr>
          <w:i w:val="0"/>
          <w:color w:val="000000" w:themeColor="text1"/>
        </w:rPr>
        <w:t xml:space="preserve"> with strong interaction with the CeO</w:t>
      </w:r>
      <w:r w:rsidR="00386B73" w:rsidRPr="00464352">
        <w:rPr>
          <w:i w:val="0"/>
          <w:color w:val="000000" w:themeColor="text1"/>
          <w:vertAlign w:val="subscript"/>
        </w:rPr>
        <w:t>2</w:t>
      </w:r>
      <w:r w:rsidR="00386B73" w:rsidRPr="00464352">
        <w:rPr>
          <w:i w:val="0"/>
          <w:color w:val="000000" w:themeColor="text1"/>
        </w:rPr>
        <w:t xml:space="preserve"> support and </w:t>
      </w:r>
      <w:proofErr w:type="spellStart"/>
      <w:r w:rsidR="00386B73" w:rsidRPr="00464352">
        <w:rPr>
          <w:i w:val="0"/>
          <w:color w:val="000000" w:themeColor="text1"/>
        </w:rPr>
        <w:t>NiO</w:t>
      </w:r>
      <w:proofErr w:type="spellEnd"/>
      <w:r w:rsidR="00386B73" w:rsidRPr="00464352">
        <w:rPr>
          <w:i w:val="0"/>
          <w:color w:val="000000" w:themeColor="text1"/>
        </w:rPr>
        <w:t xml:space="preserve"> incorporated into the ceria lattice (Du et al., 2012). The </w:t>
      </w:r>
      <w:r w:rsidR="001E35A8" w:rsidRPr="00464352">
        <w:rPr>
          <w:i w:val="0"/>
          <w:color w:val="000000" w:themeColor="text1"/>
        </w:rPr>
        <w:t xml:space="preserve">comparison between theoretical and experimental </w:t>
      </w:r>
      <w:r w:rsidR="00C1317C" w:rsidRPr="00464352">
        <w:rPr>
          <w:i w:val="0"/>
          <w:color w:val="000000" w:themeColor="text1"/>
        </w:rPr>
        <w:t xml:space="preserve">hydrogen </w:t>
      </w:r>
      <w:r w:rsidR="001E35A8" w:rsidRPr="00464352">
        <w:rPr>
          <w:i w:val="0"/>
          <w:color w:val="000000" w:themeColor="text1"/>
        </w:rPr>
        <w:t xml:space="preserve">consumption revealed that the </w:t>
      </w:r>
      <w:r w:rsidR="00386B73" w:rsidRPr="00464352">
        <w:rPr>
          <w:i w:val="0"/>
          <w:color w:val="000000" w:themeColor="text1"/>
        </w:rPr>
        <w:t xml:space="preserve">interactions of </w:t>
      </w:r>
      <w:proofErr w:type="spellStart"/>
      <w:r w:rsidR="00386B73" w:rsidRPr="00464352">
        <w:rPr>
          <w:i w:val="0"/>
          <w:color w:val="000000" w:themeColor="text1"/>
        </w:rPr>
        <w:t>NiO</w:t>
      </w:r>
      <w:proofErr w:type="spellEnd"/>
      <w:r w:rsidR="00386B73" w:rsidRPr="00464352">
        <w:rPr>
          <w:i w:val="0"/>
          <w:color w:val="000000" w:themeColor="text1"/>
        </w:rPr>
        <w:t xml:space="preserve"> particles with the support</w:t>
      </w:r>
      <w:r w:rsidR="001E35A8" w:rsidRPr="00464352">
        <w:rPr>
          <w:i w:val="0"/>
          <w:color w:val="000000" w:themeColor="text1"/>
        </w:rPr>
        <w:t xml:space="preserve"> promotes CeO</w:t>
      </w:r>
      <w:r w:rsidR="001E35A8" w:rsidRPr="00464352">
        <w:rPr>
          <w:i w:val="0"/>
          <w:color w:val="000000" w:themeColor="text1"/>
          <w:vertAlign w:val="subscript"/>
        </w:rPr>
        <w:t>2</w:t>
      </w:r>
      <w:r w:rsidR="001E35A8" w:rsidRPr="00464352">
        <w:rPr>
          <w:i w:val="0"/>
          <w:color w:val="000000" w:themeColor="text1"/>
        </w:rPr>
        <w:t xml:space="preserve"> reduction. In fact, due to the occurrence of </w:t>
      </w:r>
      <w:proofErr w:type="spellStart"/>
      <w:r w:rsidR="001E35A8" w:rsidRPr="00464352">
        <w:rPr>
          <w:i w:val="0"/>
          <w:color w:val="000000" w:themeColor="text1"/>
        </w:rPr>
        <w:t>spillover</w:t>
      </w:r>
      <w:proofErr w:type="spellEnd"/>
      <w:r w:rsidR="001E35A8" w:rsidRPr="00464352">
        <w:rPr>
          <w:i w:val="0"/>
          <w:color w:val="000000" w:themeColor="text1"/>
        </w:rPr>
        <w:t xml:space="preserve"> phenomena</w:t>
      </w:r>
      <w:r w:rsidR="00181301" w:rsidRPr="00464352">
        <w:rPr>
          <w:i w:val="0"/>
          <w:color w:val="000000" w:themeColor="text1"/>
        </w:rPr>
        <w:t xml:space="preserve"> (</w:t>
      </w:r>
      <w:proofErr w:type="spellStart"/>
      <w:r w:rsidR="00181301" w:rsidRPr="00464352">
        <w:rPr>
          <w:i w:val="0"/>
          <w:color w:val="000000" w:themeColor="text1"/>
        </w:rPr>
        <w:t>Takeguchi</w:t>
      </w:r>
      <w:proofErr w:type="spellEnd"/>
      <w:r w:rsidR="00181301" w:rsidRPr="00464352">
        <w:rPr>
          <w:i w:val="0"/>
          <w:color w:val="000000" w:themeColor="text1"/>
        </w:rPr>
        <w:t xml:space="preserve"> et al., 2001)</w:t>
      </w:r>
      <w:r w:rsidR="001E35A8" w:rsidRPr="00464352">
        <w:rPr>
          <w:i w:val="0"/>
          <w:color w:val="000000" w:themeColor="text1"/>
        </w:rPr>
        <w:t>, H</w:t>
      </w:r>
      <w:r w:rsidR="001E35A8" w:rsidRPr="00464352">
        <w:rPr>
          <w:i w:val="0"/>
          <w:color w:val="000000" w:themeColor="text1"/>
          <w:vertAlign w:val="subscript"/>
        </w:rPr>
        <w:t>2</w:t>
      </w:r>
      <w:r w:rsidR="001E35A8" w:rsidRPr="00464352">
        <w:rPr>
          <w:i w:val="0"/>
          <w:color w:val="000000" w:themeColor="text1"/>
        </w:rPr>
        <w:t xml:space="preserve"> uptake is higher than the expected value (2590 vs 1704 </w:t>
      </w:r>
      <w:r w:rsidR="001E35A8" w:rsidRPr="00464352">
        <w:rPr>
          <w:rFonts w:cs="Arial"/>
          <w:i w:val="0"/>
          <w:color w:val="000000" w:themeColor="text1"/>
          <w:szCs w:val="18"/>
        </w:rPr>
        <w:t>µmol</w:t>
      </w:r>
      <w:r w:rsidR="001E35A8" w:rsidRPr="00464352">
        <w:rPr>
          <w:rFonts w:cs="Arial"/>
          <w:i w:val="0"/>
          <w:color w:val="000000" w:themeColor="text1"/>
          <w:szCs w:val="18"/>
          <w:vertAlign w:val="subscript"/>
        </w:rPr>
        <w:t>H2</w:t>
      </w:r>
      <w:r w:rsidR="001E35A8" w:rsidRPr="00464352">
        <w:rPr>
          <w:rFonts w:cs="Arial"/>
          <w:i w:val="0"/>
          <w:color w:val="000000" w:themeColor="text1"/>
          <w:szCs w:val="18"/>
        </w:rPr>
        <w:t>·g</w:t>
      </w:r>
      <w:r w:rsidR="001E35A8" w:rsidRPr="00464352">
        <w:rPr>
          <w:rFonts w:cs="Arial"/>
          <w:i w:val="0"/>
          <w:color w:val="000000" w:themeColor="text1"/>
          <w:szCs w:val="18"/>
          <w:vertAlign w:val="subscript"/>
        </w:rPr>
        <w:t>cat</w:t>
      </w:r>
      <w:r w:rsidR="001E35A8" w:rsidRPr="00464352">
        <w:rPr>
          <w:rFonts w:cs="Arial"/>
          <w:i w:val="0"/>
          <w:color w:val="000000" w:themeColor="text1"/>
          <w:szCs w:val="18"/>
          <w:vertAlign w:val="superscript"/>
        </w:rPr>
        <w:t>-1</w:t>
      </w:r>
      <w:r w:rsidR="001E35A8" w:rsidRPr="00464352">
        <w:rPr>
          <w:rFonts w:cs="Arial"/>
          <w:i w:val="0"/>
          <w:color w:val="000000" w:themeColor="text1"/>
          <w:szCs w:val="18"/>
        </w:rPr>
        <w:t>)</w:t>
      </w:r>
      <w:r w:rsidR="00181301" w:rsidRPr="00464352">
        <w:rPr>
          <w:rFonts w:cs="Arial"/>
          <w:i w:val="0"/>
          <w:color w:val="000000" w:themeColor="text1"/>
          <w:szCs w:val="18"/>
        </w:rPr>
        <w:t>.</w:t>
      </w:r>
      <w:r w:rsidR="00364D8D" w:rsidRPr="00464352">
        <w:rPr>
          <w:rFonts w:cs="Arial"/>
          <w:i w:val="0"/>
          <w:color w:val="000000" w:themeColor="text1"/>
          <w:szCs w:val="18"/>
        </w:rPr>
        <w:t xml:space="preserve"> The </w:t>
      </w:r>
      <w:r w:rsidR="00C1317C" w:rsidRPr="00464352">
        <w:rPr>
          <w:rFonts w:cs="Arial"/>
          <w:i w:val="0"/>
          <w:color w:val="000000" w:themeColor="text1"/>
          <w:szCs w:val="18"/>
        </w:rPr>
        <w:t>effect of platinum</w:t>
      </w:r>
      <w:r w:rsidR="00B01F9A" w:rsidRPr="00464352">
        <w:rPr>
          <w:rFonts w:cs="Arial"/>
          <w:i w:val="0"/>
          <w:color w:val="000000" w:themeColor="text1"/>
          <w:szCs w:val="18"/>
        </w:rPr>
        <w:t xml:space="preserve"> </w:t>
      </w:r>
      <w:r w:rsidR="00364D8D" w:rsidRPr="00464352">
        <w:rPr>
          <w:rFonts w:cs="Arial"/>
          <w:i w:val="0"/>
          <w:color w:val="000000" w:themeColor="text1"/>
          <w:szCs w:val="18"/>
        </w:rPr>
        <w:t>deposition on the Ni/CeO</w:t>
      </w:r>
      <w:r w:rsidR="00364D8D" w:rsidRPr="00464352">
        <w:rPr>
          <w:rFonts w:cs="Arial"/>
          <w:i w:val="0"/>
          <w:color w:val="000000" w:themeColor="text1"/>
          <w:szCs w:val="18"/>
          <w:vertAlign w:val="subscript"/>
        </w:rPr>
        <w:t>2</w:t>
      </w:r>
      <w:r w:rsidR="00364D8D" w:rsidRPr="00464352">
        <w:rPr>
          <w:rFonts w:cs="Arial"/>
          <w:i w:val="0"/>
          <w:color w:val="000000" w:themeColor="text1"/>
          <w:szCs w:val="18"/>
        </w:rPr>
        <w:t>-SiO</w:t>
      </w:r>
      <w:r w:rsidR="00364D8D" w:rsidRPr="00464352">
        <w:rPr>
          <w:rFonts w:cs="Arial"/>
          <w:i w:val="0"/>
          <w:color w:val="000000" w:themeColor="text1"/>
          <w:szCs w:val="18"/>
          <w:vertAlign w:val="subscript"/>
        </w:rPr>
        <w:t>2</w:t>
      </w:r>
      <w:r w:rsidR="00364D8D" w:rsidRPr="00464352">
        <w:rPr>
          <w:rFonts w:cs="Arial"/>
          <w:i w:val="0"/>
          <w:color w:val="000000" w:themeColor="text1"/>
          <w:szCs w:val="18"/>
        </w:rPr>
        <w:t xml:space="preserve"> catalyst </w:t>
      </w:r>
      <w:r w:rsidR="00B01F9A" w:rsidRPr="00464352">
        <w:rPr>
          <w:rFonts w:cs="Arial"/>
          <w:i w:val="0"/>
          <w:color w:val="000000" w:themeColor="text1"/>
          <w:szCs w:val="18"/>
        </w:rPr>
        <w:t>was</w:t>
      </w:r>
      <w:r w:rsidR="00364D8D" w:rsidRPr="00464352">
        <w:rPr>
          <w:rFonts w:cs="Arial"/>
          <w:i w:val="0"/>
          <w:color w:val="000000" w:themeColor="text1"/>
          <w:szCs w:val="18"/>
        </w:rPr>
        <w:t xml:space="preserve"> </w:t>
      </w:r>
      <w:r w:rsidR="00B01F9A" w:rsidRPr="00464352">
        <w:rPr>
          <w:rFonts w:cs="Arial"/>
          <w:i w:val="0"/>
          <w:color w:val="000000" w:themeColor="text1"/>
          <w:szCs w:val="18"/>
        </w:rPr>
        <w:t>the</w:t>
      </w:r>
      <w:r w:rsidR="00364D8D" w:rsidRPr="00464352">
        <w:rPr>
          <w:rFonts w:cs="Arial"/>
          <w:i w:val="0"/>
          <w:color w:val="000000" w:themeColor="text1"/>
          <w:szCs w:val="18"/>
        </w:rPr>
        <w:t xml:space="preserve"> leftward shift of reduction peaks, which became more pronounced with the increase of noble metal loading</w:t>
      </w:r>
      <w:r w:rsidR="00B31C9E" w:rsidRPr="00464352">
        <w:rPr>
          <w:rFonts w:cs="Arial"/>
          <w:i w:val="0"/>
          <w:color w:val="000000" w:themeColor="text1"/>
          <w:szCs w:val="18"/>
        </w:rPr>
        <w:t>, as well as a growth in the total hydrogen consumption</w:t>
      </w:r>
      <w:r w:rsidR="00364D8D" w:rsidRPr="00464352">
        <w:rPr>
          <w:rFonts w:cs="Arial"/>
          <w:i w:val="0"/>
          <w:color w:val="000000" w:themeColor="text1"/>
          <w:szCs w:val="18"/>
        </w:rPr>
        <w:t>.</w:t>
      </w:r>
      <w:r w:rsidR="00770028" w:rsidRPr="00464352">
        <w:rPr>
          <w:rFonts w:cs="Arial"/>
          <w:i w:val="0"/>
          <w:color w:val="000000" w:themeColor="text1"/>
          <w:szCs w:val="18"/>
        </w:rPr>
        <w:t xml:space="preserve"> This result suggests that higher </w:t>
      </w:r>
      <w:r w:rsidR="00C1317C" w:rsidRPr="00464352">
        <w:rPr>
          <w:rFonts w:cs="Arial"/>
          <w:i w:val="0"/>
          <w:color w:val="000000" w:themeColor="text1"/>
          <w:szCs w:val="18"/>
        </w:rPr>
        <w:t>platinum</w:t>
      </w:r>
      <w:r w:rsidR="00770028" w:rsidRPr="00464352">
        <w:rPr>
          <w:rFonts w:cs="Arial"/>
          <w:i w:val="0"/>
          <w:color w:val="000000" w:themeColor="text1"/>
          <w:szCs w:val="18"/>
        </w:rPr>
        <w:t xml:space="preserve"> contents reduce the Ni-CeO</w:t>
      </w:r>
      <w:r w:rsidR="00770028" w:rsidRPr="00464352">
        <w:rPr>
          <w:rFonts w:cs="Arial"/>
          <w:i w:val="0"/>
          <w:color w:val="000000" w:themeColor="text1"/>
          <w:szCs w:val="18"/>
          <w:vertAlign w:val="subscript"/>
        </w:rPr>
        <w:t>2</w:t>
      </w:r>
      <w:r w:rsidR="00770028" w:rsidRPr="00464352">
        <w:rPr>
          <w:rFonts w:cs="Arial"/>
          <w:i w:val="0"/>
          <w:color w:val="000000" w:themeColor="text1"/>
          <w:szCs w:val="18"/>
        </w:rPr>
        <w:t xml:space="preserve"> degree of interaction</w:t>
      </w:r>
      <w:r w:rsidR="00367FE7" w:rsidRPr="00464352">
        <w:rPr>
          <w:rFonts w:cs="Arial"/>
          <w:i w:val="0"/>
          <w:color w:val="000000" w:themeColor="text1"/>
          <w:szCs w:val="18"/>
        </w:rPr>
        <w:t>, due to the formation of a Pt-Ni alloy (Palma et al., 2015)</w:t>
      </w:r>
      <w:r w:rsidR="002650FF" w:rsidRPr="00464352">
        <w:rPr>
          <w:rFonts w:cs="Arial"/>
          <w:i w:val="0"/>
          <w:color w:val="000000" w:themeColor="text1"/>
          <w:szCs w:val="18"/>
        </w:rPr>
        <w:t xml:space="preserve">: in fact, the reduction of </w:t>
      </w:r>
      <w:r w:rsidR="00367FE7" w:rsidRPr="00464352">
        <w:rPr>
          <w:rFonts w:cs="Arial"/>
          <w:i w:val="0"/>
          <w:color w:val="000000" w:themeColor="text1"/>
          <w:szCs w:val="18"/>
        </w:rPr>
        <w:t xml:space="preserve">the </w:t>
      </w:r>
      <w:r w:rsidR="002650FF" w:rsidRPr="00464352">
        <w:rPr>
          <w:rFonts w:cs="Arial"/>
          <w:i w:val="0"/>
          <w:color w:val="000000" w:themeColor="text1"/>
          <w:szCs w:val="18"/>
        </w:rPr>
        <w:t>non-noble metal</w:t>
      </w:r>
      <w:r w:rsidR="00367FE7" w:rsidRPr="00464352">
        <w:rPr>
          <w:rFonts w:cs="Arial"/>
          <w:i w:val="0"/>
          <w:color w:val="000000" w:themeColor="text1"/>
          <w:szCs w:val="18"/>
        </w:rPr>
        <w:t>, driven by the diffusion of hydrogen molecules from the just reduced Pt particles towards the very close nickel phase,</w:t>
      </w:r>
      <w:r w:rsidR="002650FF" w:rsidRPr="00464352">
        <w:rPr>
          <w:rFonts w:cs="Arial"/>
          <w:i w:val="0"/>
          <w:color w:val="000000" w:themeColor="text1"/>
          <w:szCs w:val="18"/>
        </w:rPr>
        <w:t xml:space="preserve"> is progressively observed at lower temperatures</w:t>
      </w:r>
      <w:r w:rsidR="00770028" w:rsidRPr="00464352">
        <w:rPr>
          <w:rFonts w:cs="Arial"/>
          <w:i w:val="0"/>
          <w:color w:val="000000" w:themeColor="text1"/>
          <w:szCs w:val="18"/>
        </w:rPr>
        <w:t xml:space="preserve">. </w:t>
      </w:r>
      <w:r w:rsidR="00B01F9A" w:rsidRPr="00464352">
        <w:rPr>
          <w:rFonts w:cs="Arial"/>
          <w:i w:val="0"/>
          <w:color w:val="000000" w:themeColor="text1"/>
          <w:szCs w:val="18"/>
        </w:rPr>
        <w:t xml:space="preserve">The growth in </w:t>
      </w:r>
      <w:r w:rsidR="00C1317C" w:rsidRPr="00464352">
        <w:rPr>
          <w:rFonts w:cs="Arial"/>
          <w:i w:val="0"/>
          <w:color w:val="000000" w:themeColor="text1"/>
          <w:szCs w:val="18"/>
        </w:rPr>
        <w:t xml:space="preserve">platinum </w:t>
      </w:r>
      <w:r w:rsidR="00B01F9A" w:rsidRPr="00464352">
        <w:rPr>
          <w:rFonts w:cs="Arial"/>
          <w:i w:val="0"/>
          <w:color w:val="000000" w:themeColor="text1"/>
          <w:szCs w:val="18"/>
        </w:rPr>
        <w:t>content also assured higher catalyst reducibility, as attested by the H</w:t>
      </w:r>
      <w:r w:rsidR="00B01F9A" w:rsidRPr="00464352">
        <w:rPr>
          <w:rFonts w:cs="Arial"/>
          <w:i w:val="0"/>
          <w:color w:val="000000" w:themeColor="text1"/>
          <w:szCs w:val="18"/>
          <w:vertAlign w:val="subscript"/>
        </w:rPr>
        <w:t>2</w:t>
      </w:r>
      <w:r w:rsidR="00B01F9A" w:rsidRPr="00464352">
        <w:rPr>
          <w:rFonts w:cs="Arial"/>
          <w:i w:val="0"/>
          <w:color w:val="000000" w:themeColor="text1"/>
          <w:szCs w:val="18"/>
        </w:rPr>
        <w:t xml:space="preserve"> uptake data reported in Table 1: in the case of 3Pt10Ni</w:t>
      </w:r>
      <w:r w:rsidR="00C1317C" w:rsidRPr="00464352">
        <w:rPr>
          <w:rFonts w:cs="Arial"/>
          <w:i w:val="0"/>
          <w:color w:val="000000" w:themeColor="text1"/>
          <w:szCs w:val="18"/>
        </w:rPr>
        <w:t>/CeO</w:t>
      </w:r>
      <w:r w:rsidR="00C1317C" w:rsidRPr="00464352">
        <w:rPr>
          <w:rFonts w:cs="Arial"/>
          <w:i w:val="0"/>
          <w:color w:val="000000" w:themeColor="text1"/>
          <w:szCs w:val="18"/>
          <w:vertAlign w:val="subscript"/>
        </w:rPr>
        <w:t>2</w:t>
      </w:r>
      <w:r w:rsidR="00C1317C" w:rsidRPr="00464352">
        <w:rPr>
          <w:rFonts w:cs="Arial"/>
          <w:i w:val="0"/>
          <w:color w:val="000000" w:themeColor="text1"/>
          <w:szCs w:val="18"/>
        </w:rPr>
        <w:t>-SiO</w:t>
      </w:r>
      <w:r w:rsidR="00C1317C" w:rsidRPr="00464352">
        <w:rPr>
          <w:rFonts w:cs="Arial"/>
          <w:i w:val="0"/>
          <w:color w:val="000000" w:themeColor="text1"/>
          <w:szCs w:val="18"/>
          <w:vertAlign w:val="subscript"/>
        </w:rPr>
        <w:t>2</w:t>
      </w:r>
      <w:r w:rsidR="00B01F9A" w:rsidRPr="00464352">
        <w:rPr>
          <w:rFonts w:cs="Arial"/>
          <w:i w:val="0"/>
          <w:color w:val="000000" w:themeColor="text1"/>
          <w:szCs w:val="18"/>
        </w:rPr>
        <w:t xml:space="preserve"> catalyst, the H</w:t>
      </w:r>
      <w:r w:rsidR="00B01F9A" w:rsidRPr="00464352">
        <w:rPr>
          <w:rFonts w:cs="Arial"/>
          <w:i w:val="0"/>
          <w:color w:val="000000" w:themeColor="text1"/>
          <w:szCs w:val="18"/>
          <w:vertAlign w:val="subscript"/>
        </w:rPr>
        <w:t>2</w:t>
      </w:r>
      <w:r w:rsidR="00B01F9A" w:rsidRPr="00464352">
        <w:rPr>
          <w:rFonts w:cs="Arial"/>
          <w:i w:val="0"/>
          <w:color w:val="000000" w:themeColor="text1"/>
          <w:szCs w:val="18"/>
        </w:rPr>
        <w:t xml:space="preserve"> consumption reached 3457 µmol</w:t>
      </w:r>
      <w:r w:rsidR="00B01F9A" w:rsidRPr="00464352">
        <w:rPr>
          <w:rFonts w:cs="Arial"/>
          <w:i w:val="0"/>
          <w:color w:val="000000" w:themeColor="text1"/>
          <w:szCs w:val="18"/>
          <w:vertAlign w:val="subscript"/>
        </w:rPr>
        <w:t>H2</w:t>
      </w:r>
      <w:r w:rsidR="00B01F9A" w:rsidRPr="00464352">
        <w:rPr>
          <w:rFonts w:cs="Arial"/>
          <w:i w:val="0"/>
          <w:color w:val="000000" w:themeColor="text1"/>
          <w:szCs w:val="18"/>
        </w:rPr>
        <w:t>·g</w:t>
      </w:r>
      <w:r w:rsidR="00B01F9A" w:rsidRPr="00464352">
        <w:rPr>
          <w:rFonts w:cs="Arial"/>
          <w:i w:val="0"/>
          <w:color w:val="000000" w:themeColor="text1"/>
          <w:szCs w:val="18"/>
          <w:vertAlign w:val="subscript"/>
        </w:rPr>
        <w:t>cat</w:t>
      </w:r>
      <w:r w:rsidR="00B01F9A" w:rsidRPr="00464352">
        <w:rPr>
          <w:rFonts w:cs="Arial"/>
          <w:i w:val="0"/>
          <w:color w:val="000000" w:themeColor="text1"/>
          <w:szCs w:val="18"/>
          <w:vertAlign w:val="superscript"/>
        </w:rPr>
        <w:t>-1</w:t>
      </w:r>
      <w:r w:rsidR="00C1317C" w:rsidRPr="00464352">
        <w:rPr>
          <w:rFonts w:cs="Arial"/>
          <w:i w:val="0"/>
          <w:color w:val="000000" w:themeColor="text1"/>
          <w:szCs w:val="18"/>
        </w:rPr>
        <w:t>, against a predicted value of 2011 µmol</w:t>
      </w:r>
      <w:r w:rsidR="00C1317C" w:rsidRPr="00464352">
        <w:rPr>
          <w:rFonts w:cs="Arial"/>
          <w:i w:val="0"/>
          <w:color w:val="000000" w:themeColor="text1"/>
          <w:szCs w:val="18"/>
          <w:vertAlign w:val="subscript"/>
        </w:rPr>
        <w:t>H2</w:t>
      </w:r>
      <w:r w:rsidR="00C1317C" w:rsidRPr="00464352">
        <w:rPr>
          <w:rFonts w:cs="Arial"/>
          <w:i w:val="0"/>
          <w:color w:val="000000" w:themeColor="text1"/>
          <w:szCs w:val="18"/>
        </w:rPr>
        <w:t>·g</w:t>
      </w:r>
      <w:r w:rsidR="00C1317C" w:rsidRPr="00464352">
        <w:rPr>
          <w:rFonts w:cs="Arial"/>
          <w:i w:val="0"/>
          <w:color w:val="000000" w:themeColor="text1"/>
          <w:szCs w:val="18"/>
          <w:vertAlign w:val="subscript"/>
        </w:rPr>
        <w:t>cat</w:t>
      </w:r>
      <w:r w:rsidR="00C1317C" w:rsidRPr="00464352">
        <w:rPr>
          <w:rFonts w:cs="Arial"/>
          <w:i w:val="0"/>
          <w:color w:val="000000" w:themeColor="text1"/>
          <w:szCs w:val="18"/>
          <w:vertAlign w:val="superscript"/>
        </w:rPr>
        <w:t>-1</w:t>
      </w:r>
      <w:r w:rsidR="00B01F9A" w:rsidRPr="00464352">
        <w:rPr>
          <w:rFonts w:cs="Arial"/>
          <w:i w:val="0"/>
          <w:color w:val="000000" w:themeColor="text1"/>
          <w:szCs w:val="18"/>
        </w:rPr>
        <w:t>.</w:t>
      </w:r>
    </w:p>
    <w:p w:rsidR="003A08F9" w:rsidRPr="00464352" w:rsidRDefault="003A08F9" w:rsidP="003A08F9">
      <w:pPr>
        <w:pStyle w:val="CETheadingx"/>
        <w:rPr>
          <w:color w:val="000000" w:themeColor="text1"/>
        </w:rPr>
      </w:pPr>
      <w:r w:rsidRPr="00464352">
        <w:rPr>
          <w:color w:val="000000" w:themeColor="text1"/>
        </w:rPr>
        <w:t>Activity of CeO</w:t>
      </w:r>
      <w:r w:rsidRPr="00464352">
        <w:rPr>
          <w:color w:val="000000" w:themeColor="text1"/>
          <w:vertAlign w:val="subscript"/>
        </w:rPr>
        <w:t>2</w:t>
      </w:r>
      <w:r w:rsidRPr="00464352">
        <w:rPr>
          <w:color w:val="000000" w:themeColor="text1"/>
        </w:rPr>
        <w:t>-SiO</w:t>
      </w:r>
      <w:r w:rsidRPr="00464352">
        <w:rPr>
          <w:color w:val="000000" w:themeColor="text1"/>
          <w:vertAlign w:val="subscript"/>
        </w:rPr>
        <w:t>2</w:t>
      </w:r>
      <w:r w:rsidRPr="00464352">
        <w:rPr>
          <w:color w:val="000000" w:themeColor="text1"/>
        </w:rPr>
        <w:t xml:space="preserve"> based catalysts and kinetic evaluations</w:t>
      </w:r>
    </w:p>
    <w:p w:rsidR="00A15EF1" w:rsidRPr="00464352" w:rsidRDefault="003A08F9" w:rsidP="0051180F">
      <w:pPr>
        <w:pStyle w:val="CETCaption"/>
        <w:spacing w:before="0" w:after="0"/>
        <w:rPr>
          <w:i w:val="0"/>
          <w:color w:val="000000" w:themeColor="text1"/>
        </w:rPr>
      </w:pPr>
      <w:r w:rsidRPr="00464352">
        <w:rPr>
          <w:i w:val="0"/>
          <w:color w:val="000000" w:themeColor="text1"/>
        </w:rPr>
        <w:t xml:space="preserve">The catalytic performances of Ni and </w:t>
      </w:r>
      <w:proofErr w:type="spellStart"/>
      <w:r w:rsidRPr="00464352">
        <w:rPr>
          <w:i w:val="0"/>
          <w:color w:val="000000" w:themeColor="text1"/>
        </w:rPr>
        <w:t>PtNi</w:t>
      </w:r>
      <w:proofErr w:type="spellEnd"/>
      <w:r w:rsidRPr="00464352">
        <w:rPr>
          <w:i w:val="0"/>
          <w:color w:val="000000" w:themeColor="text1"/>
        </w:rPr>
        <w:t xml:space="preserve"> catalysts for oxidative steam reforming of ethanol are preliminary compared in terms of ethanol conversion and hydrogen yield (Figure 2).</w:t>
      </w:r>
      <w:r w:rsidR="0090720C" w:rsidRPr="00464352">
        <w:rPr>
          <w:i w:val="0"/>
          <w:color w:val="000000" w:themeColor="text1"/>
        </w:rPr>
        <w:t xml:space="preserve"> </w:t>
      </w:r>
      <w:r w:rsidR="00257657" w:rsidRPr="00464352">
        <w:rPr>
          <w:i w:val="0"/>
          <w:color w:val="000000" w:themeColor="text1"/>
        </w:rPr>
        <w:t>Despite the reaction system operates far from equilibrium (Liu et al., 2008) for all the investigated catalysts, the trend of X</w:t>
      </w:r>
      <w:r w:rsidR="00257657" w:rsidRPr="00464352">
        <w:rPr>
          <w:i w:val="0"/>
          <w:color w:val="000000" w:themeColor="text1"/>
          <w:vertAlign w:val="subscript"/>
        </w:rPr>
        <w:t>C2H5OH</w:t>
      </w:r>
      <w:r w:rsidR="00257657" w:rsidRPr="00464352">
        <w:rPr>
          <w:i w:val="0"/>
          <w:color w:val="000000" w:themeColor="text1"/>
        </w:rPr>
        <w:t xml:space="preserve"> and Y</w:t>
      </w:r>
      <w:r w:rsidR="00257657" w:rsidRPr="00464352">
        <w:rPr>
          <w:i w:val="0"/>
          <w:color w:val="000000" w:themeColor="text1"/>
          <w:vertAlign w:val="subscript"/>
        </w:rPr>
        <w:t>H2</w:t>
      </w:r>
      <w:r w:rsidR="00257657" w:rsidRPr="00464352">
        <w:rPr>
          <w:i w:val="0"/>
          <w:color w:val="000000" w:themeColor="text1"/>
        </w:rPr>
        <w:t xml:space="preserve"> follows thermodynamic predictions: by increasing the reaction temperature, the endothermic steam reforming pathways are favoured, thus improving ethanol conversion and hydrogen production rates. In fact, at 600°C, all the samples assured total ethanol conversion and H</w:t>
      </w:r>
      <w:r w:rsidR="00257657" w:rsidRPr="00464352">
        <w:rPr>
          <w:i w:val="0"/>
          <w:color w:val="000000" w:themeColor="text1"/>
          <w:vertAlign w:val="subscript"/>
        </w:rPr>
        <w:t>2</w:t>
      </w:r>
      <w:r w:rsidR="00257657" w:rsidRPr="00464352">
        <w:rPr>
          <w:i w:val="0"/>
          <w:color w:val="000000" w:themeColor="text1"/>
        </w:rPr>
        <w:t xml:space="preserve"> yield was close to 50%. The addition of Pt, whatever the selected content, positively affected catalyst performances, improving the behaviour of the monometallic </w:t>
      </w:r>
      <w:r w:rsidR="00257657" w:rsidRPr="00464352">
        <w:rPr>
          <w:i w:val="0"/>
          <w:color w:val="000000" w:themeColor="text1"/>
        </w:rPr>
        <w:lastRenderedPageBreak/>
        <w:t xml:space="preserve">sample. </w:t>
      </w:r>
      <w:r w:rsidR="00105051" w:rsidRPr="00464352">
        <w:rPr>
          <w:i w:val="0"/>
          <w:color w:val="000000" w:themeColor="text1"/>
        </w:rPr>
        <w:t>However, it is worthwhile noting that the increase of noble metal content has a detrimental effect on both X</w:t>
      </w:r>
      <w:r w:rsidR="00105051" w:rsidRPr="00464352">
        <w:rPr>
          <w:i w:val="0"/>
          <w:color w:val="000000" w:themeColor="text1"/>
          <w:vertAlign w:val="subscript"/>
        </w:rPr>
        <w:t>C2H5OH</w:t>
      </w:r>
      <w:r w:rsidR="00105051" w:rsidRPr="00464352">
        <w:rPr>
          <w:i w:val="0"/>
          <w:color w:val="000000" w:themeColor="text1"/>
        </w:rPr>
        <w:t xml:space="preserve"> and Y</w:t>
      </w:r>
      <w:r w:rsidR="00105051" w:rsidRPr="00464352">
        <w:rPr>
          <w:i w:val="0"/>
          <w:color w:val="000000" w:themeColor="text1"/>
          <w:vertAlign w:val="subscript"/>
        </w:rPr>
        <w:t>H2</w:t>
      </w:r>
      <w:r w:rsidR="00105051" w:rsidRPr="00464352">
        <w:rPr>
          <w:i w:val="0"/>
          <w:color w:val="000000" w:themeColor="text1"/>
        </w:rPr>
        <w:t>: the worst result</w:t>
      </w:r>
      <w:r w:rsidR="003C568D" w:rsidRPr="00464352">
        <w:rPr>
          <w:i w:val="0"/>
          <w:color w:val="000000" w:themeColor="text1"/>
        </w:rPr>
        <w:t>s</w:t>
      </w:r>
      <w:r w:rsidR="00105051" w:rsidRPr="00464352">
        <w:rPr>
          <w:i w:val="0"/>
          <w:color w:val="000000" w:themeColor="text1"/>
        </w:rPr>
        <w:t>, in fact, were recorded over the 3Pt10Ni/CeO</w:t>
      </w:r>
      <w:r w:rsidR="00105051" w:rsidRPr="00464352">
        <w:rPr>
          <w:i w:val="0"/>
          <w:color w:val="000000" w:themeColor="text1"/>
          <w:vertAlign w:val="subscript"/>
        </w:rPr>
        <w:t>2</w:t>
      </w:r>
      <w:r w:rsidR="00105051" w:rsidRPr="00464352">
        <w:rPr>
          <w:i w:val="0"/>
          <w:color w:val="000000" w:themeColor="text1"/>
        </w:rPr>
        <w:t>-SiO</w:t>
      </w:r>
      <w:r w:rsidR="00105051" w:rsidRPr="00464352">
        <w:rPr>
          <w:i w:val="0"/>
          <w:color w:val="000000" w:themeColor="text1"/>
          <w:vertAlign w:val="subscript"/>
        </w:rPr>
        <w:t>2</w:t>
      </w:r>
      <w:r w:rsidR="00105051" w:rsidRPr="00464352">
        <w:rPr>
          <w:i w:val="0"/>
          <w:color w:val="000000" w:themeColor="text1"/>
        </w:rPr>
        <w:t xml:space="preserve"> sample.</w:t>
      </w:r>
      <w:r w:rsidR="003C568D" w:rsidRPr="00464352">
        <w:rPr>
          <w:i w:val="0"/>
          <w:color w:val="000000" w:themeColor="text1"/>
        </w:rPr>
        <w:t xml:space="preserve"> On the other hand, the results displayed in Figure 2 demonstrate that very low Pt loadings are sufficient to allow the highest H</w:t>
      </w:r>
      <w:r w:rsidR="003C568D" w:rsidRPr="00464352">
        <w:rPr>
          <w:i w:val="0"/>
          <w:color w:val="000000" w:themeColor="text1"/>
          <w:vertAlign w:val="subscript"/>
        </w:rPr>
        <w:t>2</w:t>
      </w:r>
      <w:r w:rsidR="003C568D" w:rsidRPr="00464352">
        <w:rPr>
          <w:i w:val="0"/>
          <w:color w:val="000000" w:themeColor="text1"/>
        </w:rPr>
        <w:t xml:space="preserve"> yields above 400°C. The </w:t>
      </w:r>
      <w:r w:rsidR="00C040A9" w:rsidRPr="00464352">
        <w:rPr>
          <w:i w:val="0"/>
          <w:color w:val="000000" w:themeColor="text1"/>
        </w:rPr>
        <w:t xml:space="preserve">activity results obtained over the </w:t>
      </w:r>
      <w:r w:rsidR="003C568D" w:rsidRPr="00464352">
        <w:rPr>
          <w:i w:val="0"/>
          <w:color w:val="000000" w:themeColor="text1"/>
        </w:rPr>
        <w:t xml:space="preserve">0.5Pt10Ni </w:t>
      </w:r>
      <w:r w:rsidR="0051180F" w:rsidRPr="00464352">
        <w:rPr>
          <w:i w:val="0"/>
          <w:color w:val="000000" w:themeColor="text1"/>
        </w:rPr>
        <w:t>catalysts</w:t>
      </w:r>
      <w:r w:rsidR="003C568D" w:rsidRPr="00464352">
        <w:rPr>
          <w:i w:val="0"/>
          <w:color w:val="000000" w:themeColor="text1"/>
        </w:rPr>
        <w:t xml:space="preserve">, in fact, </w:t>
      </w:r>
      <w:r w:rsidR="0051180F" w:rsidRPr="00464352">
        <w:rPr>
          <w:i w:val="0"/>
          <w:color w:val="000000" w:themeColor="text1"/>
        </w:rPr>
        <w:t>were the most interesting and this formulation was selected to carry out a kinetic investigation; the 10Ni sample was also employed in this study for comparison.</w:t>
      </w:r>
    </w:p>
    <w:p w:rsidR="0051180F" w:rsidRPr="00464352" w:rsidRDefault="0051180F" w:rsidP="0090720C">
      <w:pPr>
        <w:pStyle w:val="CETCaption"/>
        <w:spacing w:before="0"/>
        <w:rPr>
          <w:i w:val="0"/>
          <w:color w:val="000000" w:themeColor="text1"/>
        </w:rPr>
      </w:pPr>
      <w:r w:rsidRPr="00464352">
        <w:rPr>
          <w:i w:val="0"/>
          <w:color w:val="000000" w:themeColor="text1"/>
        </w:rPr>
        <w:t>The kinetic model developed to simulate and analyse the experimental results of oxidative steam reforming of ethanol reforming over Ni-based catalysts is described by the reaction pathway reported in Eq.</w:t>
      </w:r>
      <w:r w:rsidR="00F9457A" w:rsidRPr="00464352">
        <w:rPr>
          <w:i w:val="0"/>
          <w:color w:val="000000" w:themeColor="text1"/>
        </w:rPr>
        <w:t>4-7. Methane oxidation (Eq. 5) is an instantaneous and irreversible reaction with no influence on the kinetic study</w:t>
      </w:r>
      <w:r w:rsidR="00F51A1F" w:rsidRPr="00464352">
        <w:rPr>
          <w:i w:val="0"/>
          <w:color w:val="000000" w:themeColor="text1"/>
        </w:rPr>
        <w:t xml:space="preserve"> (McIntosh </w:t>
      </w:r>
      <w:r w:rsidR="00801B92" w:rsidRPr="00464352">
        <w:rPr>
          <w:i w:val="0"/>
          <w:color w:val="000000" w:themeColor="text1"/>
        </w:rPr>
        <w:t xml:space="preserve">and van den </w:t>
      </w:r>
      <w:proofErr w:type="spellStart"/>
      <w:r w:rsidR="00801B92" w:rsidRPr="00464352">
        <w:rPr>
          <w:i w:val="0"/>
          <w:color w:val="000000" w:themeColor="text1"/>
        </w:rPr>
        <w:t>Bossche</w:t>
      </w:r>
      <w:proofErr w:type="spellEnd"/>
      <w:r w:rsidR="00F51A1F" w:rsidRPr="00464352">
        <w:rPr>
          <w:i w:val="0"/>
          <w:color w:val="000000" w:themeColor="text1"/>
        </w:rPr>
        <w:t>, 2011)</w:t>
      </w:r>
      <w:r w:rsidR="00F9457A" w:rsidRPr="00464352">
        <w:rPr>
          <w:i w:val="0"/>
          <w:color w:val="000000" w:themeColor="text1"/>
        </w:rPr>
        <w:t>. Ethanol decomposition was described through a power-low reaction rate (</w:t>
      </w:r>
      <w:proofErr w:type="spellStart"/>
      <w:r w:rsidR="00F9457A" w:rsidRPr="00464352">
        <w:rPr>
          <w:i w:val="0"/>
          <w:color w:val="000000" w:themeColor="text1"/>
        </w:rPr>
        <w:t>Ciambelli</w:t>
      </w:r>
      <w:proofErr w:type="spellEnd"/>
      <w:r w:rsidR="00F9457A" w:rsidRPr="00464352">
        <w:rPr>
          <w:i w:val="0"/>
          <w:color w:val="000000" w:themeColor="text1"/>
        </w:rPr>
        <w:t xml:space="preserve"> et al.</w:t>
      </w:r>
      <w:r w:rsidR="00F51A1F" w:rsidRPr="00464352">
        <w:rPr>
          <w:i w:val="0"/>
          <w:color w:val="000000" w:themeColor="text1"/>
        </w:rPr>
        <w:t>, 2010</w:t>
      </w:r>
      <w:r w:rsidR="00F9457A" w:rsidRPr="00464352">
        <w:rPr>
          <w:i w:val="0"/>
          <w:color w:val="000000" w:themeColor="text1"/>
        </w:rPr>
        <w:t xml:space="preserve">) while the model proposed by Xu </w:t>
      </w:r>
      <w:r w:rsidR="00801B92" w:rsidRPr="00464352">
        <w:rPr>
          <w:i w:val="0"/>
          <w:color w:val="000000" w:themeColor="text1"/>
        </w:rPr>
        <w:t xml:space="preserve">and </w:t>
      </w:r>
      <w:proofErr w:type="spellStart"/>
      <w:r w:rsidR="00801B92" w:rsidRPr="00464352">
        <w:rPr>
          <w:i w:val="0"/>
          <w:color w:val="000000" w:themeColor="text1"/>
        </w:rPr>
        <w:t>Froment</w:t>
      </w:r>
      <w:proofErr w:type="spellEnd"/>
      <w:r w:rsidR="00F9457A" w:rsidRPr="00464352">
        <w:rPr>
          <w:i w:val="0"/>
          <w:color w:val="000000" w:themeColor="text1"/>
        </w:rPr>
        <w:t xml:space="preserve"> (</w:t>
      </w:r>
      <w:r w:rsidR="00F51A1F" w:rsidRPr="00464352">
        <w:rPr>
          <w:i w:val="0"/>
          <w:color w:val="000000" w:themeColor="text1"/>
        </w:rPr>
        <w:t>1989</w:t>
      </w:r>
      <w:r w:rsidR="00F9457A" w:rsidRPr="00464352">
        <w:rPr>
          <w:i w:val="0"/>
          <w:color w:val="000000" w:themeColor="text1"/>
        </w:rPr>
        <w:t xml:space="preserve">) was assumed for Eq. 6-7. The expression for the reaction rates are reported in Table 2. </w:t>
      </w:r>
      <w:proofErr w:type="spellStart"/>
      <w:r w:rsidR="00F9457A" w:rsidRPr="00464352">
        <w:rPr>
          <w:i w:val="0"/>
          <w:color w:val="000000" w:themeColor="text1"/>
        </w:rPr>
        <w:t>k</w:t>
      </w:r>
      <w:r w:rsidR="00F9457A" w:rsidRPr="00464352">
        <w:rPr>
          <w:i w:val="0"/>
          <w:color w:val="000000" w:themeColor="text1"/>
          <w:vertAlign w:val="subscript"/>
        </w:rPr>
        <w:t>CO</w:t>
      </w:r>
      <w:proofErr w:type="spellEnd"/>
      <w:r w:rsidR="00F9457A" w:rsidRPr="00464352">
        <w:rPr>
          <w:i w:val="0"/>
          <w:color w:val="000000" w:themeColor="text1"/>
        </w:rPr>
        <w:t>, k</w:t>
      </w:r>
      <w:r w:rsidR="00F9457A" w:rsidRPr="00464352">
        <w:rPr>
          <w:i w:val="0"/>
          <w:color w:val="000000" w:themeColor="text1"/>
          <w:vertAlign w:val="subscript"/>
        </w:rPr>
        <w:t>H2</w:t>
      </w:r>
      <w:r w:rsidR="00F9457A" w:rsidRPr="00464352">
        <w:rPr>
          <w:i w:val="0"/>
          <w:color w:val="000000" w:themeColor="text1"/>
        </w:rPr>
        <w:t>, k</w:t>
      </w:r>
      <w:r w:rsidR="00F9457A" w:rsidRPr="00464352">
        <w:rPr>
          <w:i w:val="0"/>
          <w:color w:val="000000" w:themeColor="text1"/>
          <w:vertAlign w:val="subscript"/>
        </w:rPr>
        <w:t>CH4</w:t>
      </w:r>
      <w:r w:rsidR="00F9457A" w:rsidRPr="00464352">
        <w:rPr>
          <w:i w:val="0"/>
          <w:color w:val="000000" w:themeColor="text1"/>
        </w:rPr>
        <w:t xml:space="preserve"> and k</w:t>
      </w:r>
      <w:r w:rsidR="00F9457A" w:rsidRPr="00464352">
        <w:rPr>
          <w:i w:val="0"/>
          <w:color w:val="000000" w:themeColor="text1"/>
          <w:vertAlign w:val="subscript"/>
        </w:rPr>
        <w:t>H2O</w:t>
      </w:r>
      <w:r w:rsidR="00F9457A" w:rsidRPr="00464352">
        <w:rPr>
          <w:i w:val="0"/>
          <w:color w:val="000000" w:themeColor="text1"/>
        </w:rPr>
        <w:t xml:space="preserve"> indicates the adsorption constants while </w:t>
      </w:r>
      <w:proofErr w:type="spellStart"/>
      <w:r w:rsidR="00F9457A" w:rsidRPr="00464352">
        <w:rPr>
          <w:i w:val="0"/>
          <w:color w:val="000000" w:themeColor="text1"/>
        </w:rPr>
        <w:t>K</w:t>
      </w:r>
      <w:r w:rsidR="00F9457A" w:rsidRPr="00464352">
        <w:rPr>
          <w:i w:val="0"/>
          <w:color w:val="000000" w:themeColor="text1"/>
          <w:vertAlign w:val="subscript"/>
        </w:rPr>
        <w:t>eqi</w:t>
      </w:r>
      <w:proofErr w:type="spellEnd"/>
      <w:r w:rsidR="00F9457A" w:rsidRPr="00464352">
        <w:rPr>
          <w:i w:val="0"/>
          <w:color w:val="000000" w:themeColor="text1"/>
        </w:rPr>
        <w:t xml:space="preserve"> refers to the equilibrium constants of the reactions, calculated by means of the software </w:t>
      </w:r>
      <w:proofErr w:type="spellStart"/>
      <w:r w:rsidR="00F9457A" w:rsidRPr="00464352">
        <w:rPr>
          <w:i w:val="0"/>
          <w:color w:val="000000" w:themeColor="text1"/>
        </w:rPr>
        <w:t>Gaseq</w:t>
      </w:r>
      <w:proofErr w:type="spellEnd"/>
      <w:r w:rsidR="00F9457A" w:rsidRPr="00464352">
        <w:rPr>
          <w:i w:val="0"/>
          <w:color w:val="000000" w:themeColor="text1"/>
        </w:rPr>
        <w:t>.</w:t>
      </w:r>
      <w:r w:rsidR="00E82A77" w:rsidRPr="00464352">
        <w:rPr>
          <w:i w:val="0"/>
          <w:color w:val="000000" w:themeColor="text1"/>
        </w:rPr>
        <w:t xml:space="preserve"> The Euler method was used to solve the mass balance equations over the length of an isothermal catalytic bed; the kinetic parameters were optimized by the means of a least square analysis based on the minimization of the sum of the residual squares of the experimental and predicted molar fractions.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464352" w:rsidRPr="00464352" w:rsidTr="0090720C">
        <w:tc>
          <w:tcPr>
            <w:tcW w:w="2983" w:type="dxa"/>
          </w:tcPr>
          <w:p w:rsidR="00A15EF1" w:rsidRPr="00464352" w:rsidRDefault="00A15EF1" w:rsidP="00A15EF1">
            <w:pPr>
              <w:pStyle w:val="CETCaption"/>
              <w:spacing w:before="0" w:after="0"/>
              <w:rPr>
                <w:i w:val="0"/>
                <w:color w:val="000000" w:themeColor="text1"/>
              </w:rPr>
            </w:pPr>
            <w:r w:rsidRPr="00464352">
              <w:rPr>
                <w:i w:val="0"/>
                <w:noProof/>
                <w:color w:val="000000" w:themeColor="text1"/>
                <w:lang w:val="it-IT" w:eastAsia="it-IT"/>
              </w:rPr>
              <w:drawing>
                <wp:inline distT="0" distB="0" distL="0" distR="0" wp14:anchorId="169F367E" wp14:editId="74FA4F7F">
                  <wp:extent cx="2754327" cy="1800000"/>
                  <wp:effectExtent l="0" t="0" r="825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4327" cy="1800000"/>
                          </a:xfrm>
                          <a:prstGeom prst="rect">
                            <a:avLst/>
                          </a:prstGeom>
                          <a:noFill/>
                          <a:ln>
                            <a:noFill/>
                          </a:ln>
                        </pic:spPr>
                      </pic:pic>
                    </a:graphicData>
                  </a:graphic>
                </wp:inline>
              </w:drawing>
            </w:r>
          </w:p>
        </w:tc>
        <w:tc>
          <w:tcPr>
            <w:tcW w:w="5794" w:type="dxa"/>
          </w:tcPr>
          <w:p w:rsidR="00A15EF1" w:rsidRPr="00464352" w:rsidRDefault="0090720C" w:rsidP="00A15EF1">
            <w:pPr>
              <w:pStyle w:val="CETCaption"/>
              <w:spacing w:before="0" w:after="0"/>
              <w:rPr>
                <w:i w:val="0"/>
                <w:color w:val="000000" w:themeColor="text1"/>
              </w:rPr>
            </w:pPr>
            <w:r w:rsidRPr="00464352">
              <w:rPr>
                <w:i w:val="0"/>
                <w:noProof/>
                <w:color w:val="000000" w:themeColor="text1"/>
                <w:lang w:val="it-IT" w:eastAsia="it-IT"/>
              </w:rPr>
              <w:drawing>
                <wp:inline distT="0" distB="0" distL="0" distR="0" wp14:anchorId="303F382A" wp14:editId="045A79F4">
                  <wp:extent cx="2754327" cy="1800000"/>
                  <wp:effectExtent l="0" t="0" r="825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4327" cy="1800000"/>
                          </a:xfrm>
                          <a:prstGeom prst="rect">
                            <a:avLst/>
                          </a:prstGeom>
                          <a:noFill/>
                          <a:ln>
                            <a:noFill/>
                          </a:ln>
                        </pic:spPr>
                      </pic:pic>
                    </a:graphicData>
                  </a:graphic>
                </wp:inline>
              </w:drawing>
            </w:r>
          </w:p>
        </w:tc>
      </w:tr>
    </w:tbl>
    <w:p w:rsidR="0090720C" w:rsidRPr="00464352" w:rsidRDefault="0090720C" w:rsidP="00464352">
      <w:pPr>
        <w:pStyle w:val="CETCaption"/>
      </w:pPr>
      <w:r w:rsidRPr="00464352">
        <w:t>Figure 2: Ethanol conversion (a) and hydrogen yield (b) during OESR; H2O/C2H5OH=4, O2/C2H5OH=0.5, T=300-600°C, WHSV=62 h-1.</w:t>
      </w:r>
    </w:p>
    <w:tbl>
      <w:tblPr>
        <w:tblW w:w="5000" w:type="pct"/>
        <w:tblLook w:val="04A0" w:firstRow="1" w:lastRow="0" w:firstColumn="1" w:lastColumn="0" w:noHBand="0" w:noVBand="1"/>
      </w:tblPr>
      <w:tblGrid>
        <w:gridCol w:w="8137"/>
        <w:gridCol w:w="866"/>
      </w:tblGrid>
      <w:tr w:rsidR="00464352" w:rsidRPr="00464352" w:rsidTr="00125304">
        <w:tc>
          <w:tcPr>
            <w:tcW w:w="7942" w:type="dxa"/>
            <w:shd w:val="clear" w:color="auto" w:fill="auto"/>
            <w:vAlign w:val="center"/>
          </w:tcPr>
          <w:p w:rsidR="0051180F" w:rsidRPr="00464352" w:rsidRDefault="0051180F" w:rsidP="00125304">
            <w:pPr>
              <w:pStyle w:val="CETEquation"/>
              <w:rPr>
                <w:color w:val="000000" w:themeColor="text1"/>
              </w:rPr>
            </w:pPr>
            <w:r w:rsidRPr="00464352">
              <w:rPr>
                <w:noProof/>
                <w:color w:val="000000" w:themeColor="text1"/>
                <w:lang w:val="it-IT" w:eastAsia="it-IT"/>
              </w:rPr>
              <w:drawing>
                <wp:inline distT="0" distB="0" distL="0" distR="0" wp14:anchorId="537F7D9C" wp14:editId="5D029B0B">
                  <wp:extent cx="2938123" cy="198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108" t="16374" r="6398" b="17398"/>
                          <a:stretch/>
                        </pic:blipFill>
                        <pic:spPr bwMode="auto">
                          <a:xfrm>
                            <a:off x="0" y="0"/>
                            <a:ext cx="2938123" cy="198000"/>
                          </a:xfrm>
                          <a:prstGeom prst="rect">
                            <a:avLst/>
                          </a:prstGeom>
                          <a:ln>
                            <a:noFill/>
                          </a:ln>
                          <a:extLst>
                            <a:ext uri="{53640926-AAD7-44D8-BBD7-CCE9431645EC}">
                              <a14:shadowObscured xmlns:a14="http://schemas.microsoft.com/office/drawing/2010/main"/>
                            </a:ext>
                          </a:extLst>
                        </pic:spPr>
                      </pic:pic>
                    </a:graphicData>
                  </a:graphic>
                </wp:inline>
              </w:drawing>
            </w:r>
            <w:r w:rsidR="00F9457A" w:rsidRPr="00464352">
              <w:rPr>
                <w:color w:val="000000" w:themeColor="text1"/>
              </w:rPr>
              <w:t xml:space="preserve">     (r1)</w:t>
            </w:r>
          </w:p>
        </w:tc>
        <w:tc>
          <w:tcPr>
            <w:tcW w:w="845" w:type="dxa"/>
            <w:shd w:val="clear" w:color="auto" w:fill="auto"/>
            <w:vAlign w:val="center"/>
          </w:tcPr>
          <w:p w:rsidR="0051180F" w:rsidRPr="00464352" w:rsidRDefault="00F9457A" w:rsidP="00125304">
            <w:pPr>
              <w:pStyle w:val="CETEquation"/>
              <w:jc w:val="right"/>
              <w:rPr>
                <w:color w:val="000000" w:themeColor="text1"/>
              </w:rPr>
            </w:pPr>
            <w:r w:rsidRPr="00464352">
              <w:rPr>
                <w:color w:val="000000" w:themeColor="text1"/>
              </w:rPr>
              <w:t>(4</w:t>
            </w:r>
            <w:r w:rsidR="0051180F" w:rsidRPr="00464352">
              <w:rPr>
                <w:color w:val="000000" w:themeColor="text1"/>
              </w:rPr>
              <w:t>)</w:t>
            </w:r>
          </w:p>
        </w:tc>
      </w:tr>
      <w:tr w:rsidR="00464352" w:rsidRPr="00464352" w:rsidTr="00125304">
        <w:tc>
          <w:tcPr>
            <w:tcW w:w="7942" w:type="dxa"/>
            <w:shd w:val="clear" w:color="auto" w:fill="auto"/>
            <w:vAlign w:val="center"/>
          </w:tcPr>
          <w:p w:rsidR="0051180F" w:rsidRPr="00464352" w:rsidRDefault="00F9457A" w:rsidP="00125304">
            <w:pPr>
              <w:pStyle w:val="CETEquation"/>
              <w:rPr>
                <w:noProof/>
                <w:color w:val="000000" w:themeColor="text1"/>
                <w:lang w:val="it-IT" w:eastAsia="it-IT"/>
              </w:rPr>
            </w:pPr>
            <w:r w:rsidRPr="00464352">
              <w:rPr>
                <w:noProof/>
                <w:color w:val="000000" w:themeColor="text1"/>
                <w:lang w:val="it-IT" w:eastAsia="it-IT"/>
              </w:rPr>
              <w:drawing>
                <wp:inline distT="0" distB="0" distL="0" distR="0" wp14:anchorId="1B33B2A9" wp14:editId="2959B1EC">
                  <wp:extent cx="3021028" cy="18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010" t="3620"/>
                          <a:stretch/>
                        </pic:blipFill>
                        <pic:spPr bwMode="auto">
                          <a:xfrm>
                            <a:off x="0" y="0"/>
                            <a:ext cx="3021028" cy="180000"/>
                          </a:xfrm>
                          <a:prstGeom prst="rect">
                            <a:avLst/>
                          </a:prstGeom>
                          <a:ln>
                            <a:noFill/>
                          </a:ln>
                          <a:extLst>
                            <a:ext uri="{53640926-AAD7-44D8-BBD7-CCE9431645EC}">
                              <a14:shadowObscured xmlns:a14="http://schemas.microsoft.com/office/drawing/2010/main"/>
                            </a:ext>
                          </a:extLst>
                        </pic:spPr>
                      </pic:pic>
                    </a:graphicData>
                  </a:graphic>
                </wp:inline>
              </w:drawing>
            </w:r>
            <w:r w:rsidRPr="00464352">
              <w:rPr>
                <w:noProof/>
                <w:color w:val="000000" w:themeColor="text1"/>
                <w:lang w:val="it-IT" w:eastAsia="it-IT"/>
              </w:rPr>
              <w:t xml:space="preserve">     (r2)</w:t>
            </w:r>
          </w:p>
        </w:tc>
        <w:tc>
          <w:tcPr>
            <w:tcW w:w="845" w:type="dxa"/>
            <w:shd w:val="clear" w:color="auto" w:fill="auto"/>
            <w:vAlign w:val="center"/>
          </w:tcPr>
          <w:p w:rsidR="0051180F" w:rsidRPr="00464352" w:rsidRDefault="0051180F" w:rsidP="00F9457A">
            <w:pPr>
              <w:pStyle w:val="CETEquation"/>
              <w:jc w:val="right"/>
              <w:rPr>
                <w:color w:val="000000" w:themeColor="text1"/>
              </w:rPr>
            </w:pPr>
            <w:r w:rsidRPr="00464352">
              <w:rPr>
                <w:color w:val="000000" w:themeColor="text1"/>
              </w:rPr>
              <w:t>(</w:t>
            </w:r>
            <w:r w:rsidR="00F9457A" w:rsidRPr="00464352">
              <w:rPr>
                <w:color w:val="000000" w:themeColor="text1"/>
              </w:rPr>
              <w:t>5</w:t>
            </w:r>
            <w:r w:rsidRPr="00464352">
              <w:rPr>
                <w:color w:val="000000" w:themeColor="text1"/>
              </w:rPr>
              <w:t>)</w:t>
            </w:r>
          </w:p>
        </w:tc>
      </w:tr>
      <w:tr w:rsidR="00464352" w:rsidRPr="00464352" w:rsidTr="00125304">
        <w:tc>
          <w:tcPr>
            <w:tcW w:w="7942" w:type="dxa"/>
            <w:shd w:val="clear" w:color="auto" w:fill="auto"/>
            <w:vAlign w:val="center"/>
          </w:tcPr>
          <w:p w:rsidR="0051180F" w:rsidRPr="00464352" w:rsidRDefault="00F9457A" w:rsidP="00125304">
            <w:pPr>
              <w:pStyle w:val="CETEquation"/>
              <w:rPr>
                <w:noProof/>
                <w:color w:val="000000" w:themeColor="text1"/>
                <w:lang w:val="it-IT" w:eastAsia="it-IT"/>
              </w:rPr>
            </w:pPr>
            <w:r w:rsidRPr="00464352">
              <w:rPr>
                <w:noProof/>
                <w:color w:val="000000" w:themeColor="text1"/>
                <w:lang w:val="it-IT" w:eastAsia="it-IT"/>
              </w:rPr>
              <w:drawing>
                <wp:inline distT="0" distB="0" distL="0" distR="0" wp14:anchorId="78DFE83E" wp14:editId="40DD7834">
                  <wp:extent cx="2899675" cy="18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58" t="1828" r="515"/>
                          <a:stretch/>
                        </pic:blipFill>
                        <pic:spPr bwMode="auto">
                          <a:xfrm>
                            <a:off x="0" y="0"/>
                            <a:ext cx="2899675" cy="180000"/>
                          </a:xfrm>
                          <a:prstGeom prst="rect">
                            <a:avLst/>
                          </a:prstGeom>
                          <a:ln>
                            <a:noFill/>
                          </a:ln>
                          <a:extLst>
                            <a:ext uri="{53640926-AAD7-44D8-BBD7-CCE9431645EC}">
                              <a14:shadowObscured xmlns:a14="http://schemas.microsoft.com/office/drawing/2010/main"/>
                            </a:ext>
                          </a:extLst>
                        </pic:spPr>
                      </pic:pic>
                    </a:graphicData>
                  </a:graphic>
                </wp:inline>
              </w:drawing>
            </w:r>
            <w:r w:rsidRPr="00464352">
              <w:rPr>
                <w:noProof/>
                <w:color w:val="000000" w:themeColor="text1"/>
                <w:lang w:val="it-IT" w:eastAsia="it-IT"/>
              </w:rPr>
              <w:t xml:space="preserve">     (r3)</w:t>
            </w:r>
          </w:p>
        </w:tc>
        <w:tc>
          <w:tcPr>
            <w:tcW w:w="845" w:type="dxa"/>
            <w:shd w:val="clear" w:color="auto" w:fill="auto"/>
            <w:vAlign w:val="center"/>
          </w:tcPr>
          <w:p w:rsidR="0051180F" w:rsidRPr="00464352" w:rsidRDefault="0051180F" w:rsidP="00F9457A">
            <w:pPr>
              <w:pStyle w:val="CETEquation"/>
              <w:jc w:val="right"/>
              <w:rPr>
                <w:color w:val="000000" w:themeColor="text1"/>
              </w:rPr>
            </w:pPr>
            <w:r w:rsidRPr="00464352">
              <w:rPr>
                <w:color w:val="000000" w:themeColor="text1"/>
              </w:rPr>
              <w:t>(</w:t>
            </w:r>
            <w:r w:rsidR="00F9457A" w:rsidRPr="00464352">
              <w:rPr>
                <w:color w:val="000000" w:themeColor="text1"/>
              </w:rPr>
              <w:t>6</w:t>
            </w:r>
            <w:r w:rsidRPr="00464352">
              <w:rPr>
                <w:color w:val="000000" w:themeColor="text1"/>
              </w:rPr>
              <w:t>)</w:t>
            </w:r>
          </w:p>
        </w:tc>
      </w:tr>
      <w:tr w:rsidR="00464352" w:rsidRPr="00464352" w:rsidTr="00125304">
        <w:tc>
          <w:tcPr>
            <w:tcW w:w="7942" w:type="dxa"/>
            <w:shd w:val="clear" w:color="auto" w:fill="auto"/>
            <w:vAlign w:val="center"/>
          </w:tcPr>
          <w:p w:rsidR="00F9457A" w:rsidRPr="00464352" w:rsidRDefault="00F9457A" w:rsidP="00125304">
            <w:pPr>
              <w:pStyle w:val="CETEquation"/>
              <w:rPr>
                <w:noProof/>
                <w:color w:val="000000" w:themeColor="text1"/>
                <w:lang w:val="it-IT" w:eastAsia="it-IT"/>
              </w:rPr>
            </w:pPr>
            <w:r w:rsidRPr="00464352">
              <w:rPr>
                <w:noProof/>
                <w:color w:val="000000" w:themeColor="text1"/>
                <w:lang w:val="it-IT" w:eastAsia="it-IT"/>
              </w:rPr>
              <w:drawing>
                <wp:inline distT="0" distB="0" distL="0" distR="0" wp14:anchorId="66071BAA" wp14:editId="39BD39AD">
                  <wp:extent cx="3038403" cy="1800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543" b="30735"/>
                          <a:stretch/>
                        </pic:blipFill>
                        <pic:spPr bwMode="auto">
                          <a:xfrm>
                            <a:off x="0" y="0"/>
                            <a:ext cx="3038403" cy="180000"/>
                          </a:xfrm>
                          <a:prstGeom prst="rect">
                            <a:avLst/>
                          </a:prstGeom>
                          <a:ln>
                            <a:noFill/>
                          </a:ln>
                          <a:extLst>
                            <a:ext uri="{53640926-AAD7-44D8-BBD7-CCE9431645EC}">
                              <a14:shadowObscured xmlns:a14="http://schemas.microsoft.com/office/drawing/2010/main"/>
                            </a:ext>
                          </a:extLst>
                        </pic:spPr>
                      </pic:pic>
                    </a:graphicData>
                  </a:graphic>
                </wp:inline>
              </w:drawing>
            </w:r>
            <w:r w:rsidRPr="00464352">
              <w:rPr>
                <w:noProof/>
                <w:color w:val="000000" w:themeColor="text1"/>
                <w:lang w:val="it-IT" w:eastAsia="it-IT"/>
              </w:rPr>
              <w:t xml:space="preserve">     (r4)</w:t>
            </w:r>
          </w:p>
        </w:tc>
        <w:tc>
          <w:tcPr>
            <w:tcW w:w="845" w:type="dxa"/>
            <w:shd w:val="clear" w:color="auto" w:fill="auto"/>
            <w:vAlign w:val="center"/>
          </w:tcPr>
          <w:p w:rsidR="00F9457A" w:rsidRPr="00464352" w:rsidRDefault="00F9457A" w:rsidP="00F9457A">
            <w:pPr>
              <w:pStyle w:val="CETEquation"/>
              <w:jc w:val="right"/>
              <w:rPr>
                <w:color w:val="000000" w:themeColor="text1"/>
              </w:rPr>
            </w:pPr>
            <w:r w:rsidRPr="00464352">
              <w:rPr>
                <w:color w:val="000000" w:themeColor="text1"/>
              </w:rPr>
              <w:t>(7)</w:t>
            </w:r>
          </w:p>
        </w:tc>
      </w:tr>
    </w:tbl>
    <w:p w:rsidR="00A37A27" w:rsidRPr="00464352" w:rsidRDefault="00A37A27" w:rsidP="00A37A27">
      <w:pPr>
        <w:pStyle w:val="CETCaption"/>
        <w:spacing w:after="0"/>
        <w:rPr>
          <w:i w:val="0"/>
          <w:color w:val="000000" w:themeColor="text1"/>
        </w:rPr>
      </w:pPr>
      <w:r w:rsidRPr="00464352">
        <w:rPr>
          <w:i w:val="0"/>
          <w:color w:val="000000" w:themeColor="text1"/>
        </w:rPr>
        <w:t>Figure 3 compares the experimental points and the curves predicted by the model for the 0.5Pt10Ni and 10Ni catalyst. The model assures a fairly good agreement with the experimental data, especially at high temperatures. Below 500°C, a reduced predictive capacity of the model is observed, which can be linked to the non-completion of carbon balances: due to the very low contact time selected, coke deposition occurred, thus reducing CO, CO</w:t>
      </w:r>
      <w:r w:rsidRPr="00464352">
        <w:rPr>
          <w:i w:val="0"/>
          <w:color w:val="000000" w:themeColor="text1"/>
          <w:vertAlign w:val="subscript"/>
        </w:rPr>
        <w:t>2</w:t>
      </w:r>
      <w:r w:rsidRPr="00464352">
        <w:rPr>
          <w:i w:val="0"/>
          <w:color w:val="000000" w:themeColor="text1"/>
        </w:rPr>
        <w:t xml:space="preserve"> and CH</w:t>
      </w:r>
      <w:r w:rsidRPr="00464352">
        <w:rPr>
          <w:i w:val="0"/>
          <w:color w:val="000000" w:themeColor="text1"/>
          <w:vertAlign w:val="subscript"/>
        </w:rPr>
        <w:t>4</w:t>
      </w:r>
      <w:r w:rsidRPr="00464352">
        <w:rPr>
          <w:i w:val="0"/>
          <w:color w:val="000000" w:themeColor="text1"/>
        </w:rPr>
        <w:t xml:space="preserve"> yields. </w:t>
      </w:r>
    </w:p>
    <w:p w:rsidR="00C1317C" w:rsidRPr="00464352" w:rsidRDefault="00A37A27" w:rsidP="00464352">
      <w:pPr>
        <w:pStyle w:val="CETCaption"/>
        <w:spacing w:before="0"/>
        <w:rPr>
          <w:i w:val="0"/>
          <w:color w:val="000000" w:themeColor="text1"/>
        </w:rPr>
      </w:pPr>
      <w:r w:rsidRPr="00464352">
        <w:rPr>
          <w:i w:val="0"/>
          <w:color w:val="000000" w:themeColor="text1"/>
        </w:rPr>
        <w:t>The kinetic investigation allowed evaluating the pre-exponential factors (</w:t>
      </w:r>
      <w:proofErr w:type="spellStart"/>
      <w:r w:rsidRPr="00464352">
        <w:rPr>
          <w:i w:val="0"/>
          <w:color w:val="000000" w:themeColor="text1"/>
        </w:rPr>
        <w:t>k</w:t>
      </w:r>
      <w:r w:rsidRPr="00464352">
        <w:rPr>
          <w:i w:val="0"/>
          <w:color w:val="000000" w:themeColor="text1"/>
          <w:vertAlign w:val="subscript"/>
        </w:rPr>
        <w:t>o</w:t>
      </w:r>
      <w:proofErr w:type="spellEnd"/>
      <w:r w:rsidRPr="00464352">
        <w:rPr>
          <w:i w:val="0"/>
          <w:color w:val="000000" w:themeColor="text1"/>
        </w:rPr>
        <w:t>) and the activation energies (</w:t>
      </w:r>
      <w:proofErr w:type="spellStart"/>
      <w:r w:rsidRPr="00464352">
        <w:rPr>
          <w:i w:val="0"/>
          <w:color w:val="000000" w:themeColor="text1"/>
        </w:rPr>
        <w:t>E</w:t>
      </w:r>
      <w:r w:rsidRPr="00464352">
        <w:rPr>
          <w:i w:val="0"/>
          <w:color w:val="000000" w:themeColor="text1"/>
          <w:vertAlign w:val="subscript"/>
        </w:rPr>
        <w:t>a</w:t>
      </w:r>
      <w:proofErr w:type="spellEnd"/>
      <w:r w:rsidRPr="00464352">
        <w:rPr>
          <w:i w:val="0"/>
          <w:color w:val="000000" w:themeColor="text1"/>
        </w:rPr>
        <w:t>) for r1, r3 and r4 over the two catalysts and the results are reported in Table 3. Pt addition had a positive impact on the performance of the monometallic sample, thus resulting in a sensible reduction of activation energy, especially for ethanol decomposition. This result suggests that platinum promotes the first step of the reaction pathways, thus favouring the formation of CH</w:t>
      </w:r>
      <w:r w:rsidRPr="00464352">
        <w:rPr>
          <w:i w:val="0"/>
          <w:color w:val="000000" w:themeColor="text1"/>
          <w:vertAlign w:val="subscript"/>
        </w:rPr>
        <w:t>4</w:t>
      </w:r>
      <w:r w:rsidRPr="00464352">
        <w:rPr>
          <w:i w:val="0"/>
          <w:color w:val="000000" w:themeColor="text1"/>
        </w:rPr>
        <w:t>, CO and H</w:t>
      </w:r>
      <w:r w:rsidRPr="00464352">
        <w:rPr>
          <w:i w:val="0"/>
          <w:color w:val="000000" w:themeColor="text1"/>
          <w:vertAlign w:val="subscript"/>
        </w:rPr>
        <w:t>2</w:t>
      </w:r>
      <w:r w:rsidRPr="00464352">
        <w:rPr>
          <w:i w:val="0"/>
          <w:color w:val="000000" w:themeColor="text1"/>
        </w:rPr>
        <w:t>. Methane steam reforming and water gas shift reactions are also faster in the presence of 0.5Pt10Ni/CeO</w:t>
      </w:r>
      <w:r w:rsidRPr="00464352">
        <w:rPr>
          <w:i w:val="0"/>
          <w:color w:val="000000" w:themeColor="text1"/>
          <w:vertAlign w:val="subscript"/>
        </w:rPr>
        <w:t>2</w:t>
      </w:r>
      <w:r w:rsidRPr="00464352">
        <w:rPr>
          <w:i w:val="0"/>
          <w:color w:val="000000" w:themeColor="text1"/>
        </w:rPr>
        <w:t>-SiO</w:t>
      </w:r>
      <w:r w:rsidRPr="00464352">
        <w:rPr>
          <w:i w:val="0"/>
          <w:color w:val="000000" w:themeColor="text1"/>
          <w:vertAlign w:val="subscript"/>
        </w:rPr>
        <w:t>2</w:t>
      </w:r>
      <w:r w:rsidRPr="00464352">
        <w:rPr>
          <w:i w:val="0"/>
          <w:color w:val="000000" w:themeColor="text1"/>
        </w:rPr>
        <w:t xml:space="preserve"> catalyst which, therefore, assured improved hydrogen yield compared to the monometallic formulation.</w:t>
      </w:r>
    </w:p>
    <w:p w:rsidR="00F9457A" w:rsidRPr="00464352" w:rsidRDefault="00801B92" w:rsidP="00464352">
      <w:pPr>
        <w:tabs>
          <w:tab w:val="clear" w:pos="7100"/>
        </w:tabs>
        <w:spacing w:after="200" w:line="276" w:lineRule="auto"/>
        <w:jc w:val="left"/>
        <w:rPr>
          <w:i/>
          <w:color w:val="000000" w:themeColor="text1"/>
        </w:rPr>
      </w:pPr>
      <w:r w:rsidRPr="00464352">
        <w:rPr>
          <w:i/>
          <w:color w:val="000000" w:themeColor="text1"/>
        </w:rPr>
        <w:br w:type="page"/>
      </w:r>
      <w:r w:rsidR="00F9457A" w:rsidRPr="00464352">
        <w:rPr>
          <w:i/>
          <w:color w:val="000000" w:themeColor="text1"/>
        </w:rPr>
        <w:lastRenderedPageBreak/>
        <w:t>Table 2: Expression for the reaction kinetics.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11"/>
        <w:gridCol w:w="8657"/>
      </w:tblGrid>
      <w:tr w:rsidR="00464352" w:rsidRPr="00464352" w:rsidTr="008A44F3">
        <w:tc>
          <w:tcPr>
            <w:tcW w:w="1134" w:type="dxa"/>
            <w:tcBorders>
              <w:top w:val="single" w:sz="12" w:space="0" w:color="008000"/>
              <w:bottom w:val="single" w:sz="6" w:space="0" w:color="008000"/>
            </w:tcBorders>
            <w:shd w:val="clear" w:color="auto" w:fill="FFFFFF"/>
          </w:tcPr>
          <w:p w:rsidR="00F9457A" w:rsidRPr="00464352" w:rsidRDefault="00F9457A" w:rsidP="00125304">
            <w:pPr>
              <w:rPr>
                <w:color w:val="000000" w:themeColor="text1"/>
              </w:rPr>
            </w:pPr>
            <w:r w:rsidRPr="00464352">
              <w:rPr>
                <w:color w:val="000000" w:themeColor="text1"/>
              </w:rPr>
              <w:t>Reaction</w:t>
            </w:r>
          </w:p>
        </w:tc>
        <w:tc>
          <w:tcPr>
            <w:tcW w:w="7797" w:type="dxa"/>
            <w:tcBorders>
              <w:top w:val="single" w:sz="12" w:space="0" w:color="008000"/>
              <w:bottom w:val="single" w:sz="6" w:space="0" w:color="008000"/>
            </w:tcBorders>
            <w:shd w:val="clear" w:color="auto" w:fill="FFFFFF"/>
          </w:tcPr>
          <w:p w:rsidR="00F9457A" w:rsidRPr="00464352" w:rsidRDefault="00F9457A" w:rsidP="00125304">
            <w:pPr>
              <w:ind w:right="-1"/>
              <w:rPr>
                <w:rFonts w:cs="Arial"/>
                <w:color w:val="000000" w:themeColor="text1"/>
                <w:szCs w:val="18"/>
              </w:rPr>
            </w:pPr>
            <w:r w:rsidRPr="00464352">
              <w:rPr>
                <w:color w:val="000000" w:themeColor="text1"/>
              </w:rPr>
              <w:t>Expression</w:t>
            </w:r>
          </w:p>
        </w:tc>
      </w:tr>
      <w:tr w:rsidR="00464352" w:rsidRPr="00464352" w:rsidTr="009E458D">
        <w:tc>
          <w:tcPr>
            <w:tcW w:w="1134" w:type="dxa"/>
            <w:shd w:val="clear" w:color="auto" w:fill="FFFFFF"/>
          </w:tcPr>
          <w:p w:rsidR="00F9457A" w:rsidRPr="00464352" w:rsidRDefault="00F9457A" w:rsidP="00125304">
            <w:pPr>
              <w:ind w:right="-1"/>
              <w:rPr>
                <w:rFonts w:cs="Arial"/>
                <w:color w:val="000000" w:themeColor="text1"/>
                <w:szCs w:val="18"/>
              </w:rPr>
            </w:pPr>
            <w:r w:rsidRPr="00464352">
              <w:rPr>
                <w:rFonts w:cs="Arial"/>
                <w:color w:val="000000" w:themeColor="text1"/>
                <w:szCs w:val="18"/>
              </w:rPr>
              <w:t>r1</w:t>
            </w:r>
          </w:p>
        </w:tc>
        <w:tc>
          <w:tcPr>
            <w:tcW w:w="7797" w:type="dxa"/>
            <w:shd w:val="clear" w:color="auto" w:fill="FFFFFF"/>
          </w:tcPr>
          <w:p w:rsidR="00F9457A" w:rsidRPr="00464352" w:rsidRDefault="00A37A27" w:rsidP="00125304">
            <w:pPr>
              <w:ind w:right="-1"/>
              <w:rPr>
                <w:rFonts w:cs="Arial"/>
                <w:color w:val="000000" w:themeColor="text1"/>
                <w:szCs w:val="18"/>
              </w:rPr>
            </w:pPr>
            <w:r w:rsidRPr="00464352">
              <w:rPr>
                <w:noProof/>
                <w:color w:val="000000" w:themeColor="text1"/>
                <w:lang w:val="it-IT" w:eastAsia="it-IT"/>
              </w:rPr>
              <w:drawing>
                <wp:inline distT="0" distB="0" distL="0" distR="0" wp14:anchorId="6AF1E79F" wp14:editId="5D4F9E25">
                  <wp:extent cx="5498182" cy="324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911" t="9093" r="833" b="77859"/>
                          <a:stretch/>
                        </pic:blipFill>
                        <pic:spPr bwMode="auto">
                          <a:xfrm>
                            <a:off x="0" y="0"/>
                            <a:ext cx="5498182" cy="324000"/>
                          </a:xfrm>
                          <a:prstGeom prst="rect">
                            <a:avLst/>
                          </a:prstGeom>
                          <a:ln>
                            <a:noFill/>
                          </a:ln>
                          <a:extLst>
                            <a:ext uri="{53640926-AAD7-44D8-BBD7-CCE9431645EC}">
                              <a14:shadowObscured xmlns:a14="http://schemas.microsoft.com/office/drawing/2010/main"/>
                            </a:ext>
                          </a:extLst>
                        </pic:spPr>
                      </pic:pic>
                    </a:graphicData>
                  </a:graphic>
                </wp:inline>
              </w:drawing>
            </w:r>
          </w:p>
        </w:tc>
      </w:tr>
      <w:tr w:rsidR="00464352" w:rsidRPr="00464352" w:rsidTr="009C079C">
        <w:tc>
          <w:tcPr>
            <w:tcW w:w="1134" w:type="dxa"/>
            <w:shd w:val="clear" w:color="auto" w:fill="FFFFFF"/>
          </w:tcPr>
          <w:p w:rsidR="00F9457A" w:rsidRPr="00464352" w:rsidRDefault="00F9457A" w:rsidP="00125304">
            <w:pPr>
              <w:ind w:right="-1"/>
              <w:rPr>
                <w:rFonts w:cs="Arial"/>
                <w:color w:val="000000" w:themeColor="text1"/>
                <w:szCs w:val="18"/>
              </w:rPr>
            </w:pPr>
            <w:r w:rsidRPr="00464352">
              <w:rPr>
                <w:rFonts w:cs="Arial"/>
                <w:color w:val="000000" w:themeColor="text1"/>
                <w:szCs w:val="18"/>
              </w:rPr>
              <w:t>r3</w:t>
            </w:r>
          </w:p>
        </w:tc>
        <w:tc>
          <w:tcPr>
            <w:tcW w:w="7797" w:type="dxa"/>
            <w:shd w:val="clear" w:color="auto" w:fill="FFFFFF"/>
          </w:tcPr>
          <w:p w:rsidR="00F9457A" w:rsidRPr="00464352" w:rsidRDefault="00A37A27" w:rsidP="00125304">
            <w:pPr>
              <w:ind w:right="-1"/>
              <w:rPr>
                <w:rFonts w:cs="Arial"/>
                <w:color w:val="000000" w:themeColor="text1"/>
                <w:szCs w:val="18"/>
              </w:rPr>
            </w:pPr>
            <w:r w:rsidRPr="00464352">
              <w:rPr>
                <w:noProof/>
                <w:color w:val="000000" w:themeColor="text1"/>
                <w:lang w:val="it-IT" w:eastAsia="it-IT"/>
              </w:rPr>
              <w:drawing>
                <wp:inline distT="0" distB="0" distL="0" distR="0" wp14:anchorId="50FDDD9F" wp14:editId="362BF481">
                  <wp:extent cx="4327579" cy="720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42" t="23721" r="-207" b="38716"/>
                          <a:stretch/>
                        </pic:blipFill>
                        <pic:spPr bwMode="auto">
                          <a:xfrm>
                            <a:off x="0" y="0"/>
                            <a:ext cx="4327579"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464352" w:rsidRPr="00464352" w:rsidTr="00A46075">
        <w:tc>
          <w:tcPr>
            <w:tcW w:w="1134" w:type="dxa"/>
            <w:shd w:val="clear" w:color="auto" w:fill="FFFFFF"/>
          </w:tcPr>
          <w:p w:rsidR="00F9457A" w:rsidRPr="00464352" w:rsidRDefault="00F9457A" w:rsidP="00125304">
            <w:pPr>
              <w:ind w:right="-1"/>
              <w:rPr>
                <w:rFonts w:cs="Arial"/>
                <w:color w:val="000000" w:themeColor="text1"/>
                <w:szCs w:val="18"/>
              </w:rPr>
            </w:pPr>
            <w:r w:rsidRPr="00464352">
              <w:rPr>
                <w:rFonts w:cs="Arial"/>
                <w:color w:val="000000" w:themeColor="text1"/>
                <w:szCs w:val="18"/>
              </w:rPr>
              <w:t>r4</w:t>
            </w:r>
          </w:p>
        </w:tc>
        <w:tc>
          <w:tcPr>
            <w:tcW w:w="7797" w:type="dxa"/>
            <w:shd w:val="clear" w:color="auto" w:fill="FFFFFF"/>
          </w:tcPr>
          <w:p w:rsidR="00F9457A" w:rsidRPr="00464352" w:rsidRDefault="00A37A27" w:rsidP="00125304">
            <w:pPr>
              <w:ind w:right="-1"/>
              <w:rPr>
                <w:rFonts w:cs="Arial"/>
                <w:color w:val="000000" w:themeColor="text1"/>
                <w:szCs w:val="18"/>
              </w:rPr>
            </w:pPr>
            <w:r w:rsidRPr="00464352">
              <w:rPr>
                <w:noProof/>
                <w:color w:val="000000" w:themeColor="text1"/>
                <w:lang w:val="it-IT" w:eastAsia="it-IT"/>
              </w:rPr>
              <w:drawing>
                <wp:inline distT="0" distB="0" distL="0" distR="0" wp14:anchorId="0E3838F7" wp14:editId="1DEE0432">
                  <wp:extent cx="4183579" cy="720000"/>
                  <wp:effectExtent l="0" t="0" r="0" b="444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167" t="62451"/>
                          <a:stretch/>
                        </pic:blipFill>
                        <pic:spPr bwMode="auto">
                          <a:xfrm>
                            <a:off x="0" y="0"/>
                            <a:ext cx="4183579" cy="720000"/>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464352" w:rsidRPr="00464352" w:rsidTr="00464352">
        <w:tc>
          <w:tcPr>
            <w:tcW w:w="4501" w:type="dxa"/>
          </w:tcPr>
          <w:p w:rsidR="00F51A1F" w:rsidRPr="00464352" w:rsidRDefault="004102AB" w:rsidP="00C2590F">
            <w:pPr>
              <w:pStyle w:val="CETCaption"/>
              <w:spacing w:before="0"/>
              <w:rPr>
                <w:i w:val="0"/>
                <w:color w:val="000000" w:themeColor="text1"/>
              </w:rPr>
            </w:pPr>
            <w:r w:rsidRPr="00464352">
              <w:rPr>
                <w:i w:val="0"/>
                <w:noProof/>
                <w:color w:val="000000" w:themeColor="text1"/>
                <w:lang w:val="it-IT" w:eastAsia="it-IT"/>
              </w:rPr>
              <w:drawing>
                <wp:inline distT="0" distB="0" distL="0" distR="0" wp14:anchorId="51F4168D" wp14:editId="1C11FE89">
                  <wp:extent cx="2754327" cy="1800000"/>
                  <wp:effectExtent l="0" t="0" r="825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4327" cy="1800000"/>
                          </a:xfrm>
                          <a:prstGeom prst="rect">
                            <a:avLst/>
                          </a:prstGeom>
                          <a:noFill/>
                          <a:ln>
                            <a:noFill/>
                          </a:ln>
                        </pic:spPr>
                      </pic:pic>
                    </a:graphicData>
                  </a:graphic>
                </wp:inline>
              </w:drawing>
            </w:r>
          </w:p>
        </w:tc>
        <w:tc>
          <w:tcPr>
            <w:tcW w:w="4502" w:type="dxa"/>
          </w:tcPr>
          <w:p w:rsidR="00F51A1F" w:rsidRPr="00464352" w:rsidRDefault="003823E5" w:rsidP="00C2590F">
            <w:pPr>
              <w:pStyle w:val="CETCaption"/>
              <w:spacing w:before="0"/>
              <w:rPr>
                <w:i w:val="0"/>
                <w:color w:val="000000" w:themeColor="text1"/>
              </w:rPr>
            </w:pPr>
            <w:r w:rsidRPr="00464352">
              <w:rPr>
                <w:i w:val="0"/>
                <w:noProof/>
                <w:color w:val="000000" w:themeColor="text1"/>
                <w:lang w:val="it-IT" w:eastAsia="it-IT"/>
              </w:rPr>
              <w:drawing>
                <wp:inline distT="0" distB="0" distL="0" distR="0" wp14:anchorId="795E830A" wp14:editId="39D61C75">
                  <wp:extent cx="2754327" cy="1800000"/>
                  <wp:effectExtent l="0" t="0" r="825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4327" cy="1800000"/>
                          </a:xfrm>
                          <a:prstGeom prst="rect">
                            <a:avLst/>
                          </a:prstGeom>
                          <a:noFill/>
                          <a:ln>
                            <a:noFill/>
                          </a:ln>
                        </pic:spPr>
                      </pic:pic>
                    </a:graphicData>
                  </a:graphic>
                </wp:inline>
              </w:drawing>
            </w:r>
          </w:p>
        </w:tc>
      </w:tr>
    </w:tbl>
    <w:p w:rsidR="003823E5" w:rsidRPr="00464352" w:rsidRDefault="003823E5" w:rsidP="00464352">
      <w:pPr>
        <w:pStyle w:val="CETCaption"/>
      </w:pPr>
      <w:r w:rsidRPr="00464352">
        <w:t>Figure 3: Model (continuous lines) and experimental (square) products yield for the</w:t>
      </w:r>
      <w:r w:rsidR="00801B92" w:rsidRPr="00464352">
        <w:t xml:space="preserve"> (a) </w:t>
      </w:r>
      <w:r w:rsidRPr="00464352">
        <w:t xml:space="preserve">Ni and </w:t>
      </w:r>
      <w:r w:rsidR="00801B92" w:rsidRPr="00464352">
        <w:t xml:space="preserve">(b) </w:t>
      </w:r>
      <w:r w:rsidRPr="00464352">
        <w:t>0.5Pt10Ni/CeO2-SiO2 catalyst.</w:t>
      </w:r>
    </w:p>
    <w:p w:rsidR="003823E5" w:rsidRPr="00464352" w:rsidRDefault="003823E5" w:rsidP="003823E5">
      <w:pPr>
        <w:keepNext/>
        <w:tabs>
          <w:tab w:val="clear" w:pos="7100"/>
        </w:tabs>
        <w:spacing w:before="240" w:after="80" w:line="240" w:lineRule="exact"/>
        <w:jc w:val="left"/>
        <w:rPr>
          <w:i/>
          <w:color w:val="000000" w:themeColor="text1"/>
        </w:rPr>
      </w:pPr>
      <w:r w:rsidRPr="00464352">
        <w:rPr>
          <w:i/>
          <w:color w:val="000000" w:themeColor="text1"/>
        </w:rPr>
        <w:t>Table 3: Pre-exponential factors (</w:t>
      </w:r>
      <w:proofErr w:type="spellStart"/>
      <w:r w:rsidRPr="00464352">
        <w:rPr>
          <w:i/>
          <w:color w:val="000000" w:themeColor="text1"/>
        </w:rPr>
        <w:t>ko</w:t>
      </w:r>
      <w:proofErr w:type="spellEnd"/>
      <w:r w:rsidRPr="00464352">
        <w:rPr>
          <w:i/>
          <w:color w:val="000000" w:themeColor="text1"/>
        </w:rPr>
        <w:t>) and activation energies (</w:t>
      </w:r>
      <w:proofErr w:type="spellStart"/>
      <w:r w:rsidRPr="00464352">
        <w:rPr>
          <w:i/>
          <w:color w:val="000000" w:themeColor="text1"/>
        </w:rPr>
        <w:t>Ea</w:t>
      </w:r>
      <w:proofErr w:type="spellEnd"/>
      <w:r w:rsidRPr="00464352">
        <w:rPr>
          <w:i/>
          <w:color w:val="000000" w:themeColor="text1"/>
        </w:rPr>
        <w:t>) for the reactions in Table 2 estimated for the activity results over 10Ni and 0.5Pt10Ni/CeO</w:t>
      </w:r>
      <w:r w:rsidRPr="00464352">
        <w:rPr>
          <w:i/>
          <w:color w:val="000000" w:themeColor="text1"/>
          <w:vertAlign w:val="subscript"/>
        </w:rPr>
        <w:t>2</w:t>
      </w:r>
      <w:r w:rsidRPr="00464352">
        <w:rPr>
          <w:i/>
          <w:color w:val="000000" w:themeColor="text1"/>
        </w:rPr>
        <w:t>-SiO</w:t>
      </w:r>
      <w:r w:rsidRPr="00464352">
        <w:rPr>
          <w:i/>
          <w:color w:val="000000" w:themeColor="text1"/>
          <w:vertAlign w:val="subscript"/>
        </w:rPr>
        <w:t>2</w:t>
      </w:r>
      <w:r w:rsidRPr="00464352">
        <w:rPr>
          <w:i/>
          <w:color w:val="000000" w:themeColor="text1"/>
        </w:rPr>
        <w:t xml:space="preserve"> catalysts.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949"/>
        <w:gridCol w:w="1949"/>
        <w:gridCol w:w="1949"/>
        <w:gridCol w:w="1950"/>
      </w:tblGrid>
      <w:tr w:rsidR="00464352" w:rsidRPr="00464352" w:rsidTr="00FA6FB2">
        <w:tc>
          <w:tcPr>
            <w:tcW w:w="1134" w:type="dxa"/>
            <w:tcBorders>
              <w:top w:val="single" w:sz="12" w:space="0" w:color="008000"/>
              <w:bottom w:val="single" w:sz="6" w:space="0" w:color="008000"/>
            </w:tcBorders>
            <w:shd w:val="clear" w:color="auto" w:fill="FFFFFF"/>
          </w:tcPr>
          <w:p w:rsidR="00E82A77" w:rsidRPr="00464352" w:rsidRDefault="00E82A77" w:rsidP="00125304">
            <w:pPr>
              <w:rPr>
                <w:color w:val="000000" w:themeColor="text1"/>
              </w:rPr>
            </w:pPr>
            <w:r w:rsidRPr="00464352">
              <w:rPr>
                <w:color w:val="000000" w:themeColor="text1"/>
              </w:rPr>
              <w:t>Reaction</w:t>
            </w:r>
          </w:p>
        </w:tc>
        <w:tc>
          <w:tcPr>
            <w:tcW w:w="3898" w:type="dxa"/>
            <w:gridSpan w:val="2"/>
            <w:tcBorders>
              <w:top w:val="single" w:sz="12" w:space="0" w:color="008000"/>
              <w:bottom w:val="single" w:sz="6" w:space="0" w:color="008000"/>
            </w:tcBorders>
            <w:shd w:val="clear" w:color="auto" w:fill="FFFFFF"/>
          </w:tcPr>
          <w:p w:rsidR="00E82A77" w:rsidRPr="00464352" w:rsidRDefault="00E82A77" w:rsidP="00125304">
            <w:pPr>
              <w:ind w:right="-1"/>
              <w:rPr>
                <w:rFonts w:cs="Arial"/>
                <w:color w:val="000000" w:themeColor="text1"/>
                <w:szCs w:val="18"/>
              </w:rPr>
            </w:pPr>
            <w:r w:rsidRPr="00464352">
              <w:rPr>
                <w:color w:val="000000" w:themeColor="text1"/>
              </w:rPr>
              <w:t>10Ni/CeO</w:t>
            </w:r>
            <w:r w:rsidRPr="00464352">
              <w:rPr>
                <w:color w:val="000000" w:themeColor="text1"/>
                <w:vertAlign w:val="subscript"/>
              </w:rPr>
              <w:t>2</w:t>
            </w:r>
            <w:r w:rsidRPr="00464352">
              <w:rPr>
                <w:color w:val="000000" w:themeColor="text1"/>
              </w:rPr>
              <w:t>-SiO</w:t>
            </w:r>
            <w:r w:rsidRPr="00464352">
              <w:rPr>
                <w:color w:val="000000" w:themeColor="text1"/>
                <w:vertAlign w:val="subscript"/>
              </w:rPr>
              <w:t>2</w:t>
            </w:r>
          </w:p>
        </w:tc>
        <w:tc>
          <w:tcPr>
            <w:tcW w:w="3899" w:type="dxa"/>
            <w:gridSpan w:val="2"/>
            <w:tcBorders>
              <w:top w:val="single" w:sz="12" w:space="0" w:color="008000"/>
              <w:bottom w:val="single" w:sz="6" w:space="0" w:color="008000"/>
            </w:tcBorders>
            <w:shd w:val="clear" w:color="auto" w:fill="FFFFFF"/>
          </w:tcPr>
          <w:p w:rsidR="00E82A77" w:rsidRPr="00464352" w:rsidRDefault="00E82A77" w:rsidP="00125304">
            <w:pPr>
              <w:ind w:right="-1"/>
              <w:rPr>
                <w:rFonts w:cs="Arial"/>
                <w:color w:val="000000" w:themeColor="text1"/>
                <w:szCs w:val="18"/>
              </w:rPr>
            </w:pPr>
            <w:r w:rsidRPr="00464352">
              <w:rPr>
                <w:color w:val="000000" w:themeColor="text1"/>
              </w:rPr>
              <w:t>0.5Pt10Ni/CeO</w:t>
            </w:r>
            <w:r w:rsidRPr="00464352">
              <w:rPr>
                <w:color w:val="000000" w:themeColor="text1"/>
                <w:vertAlign w:val="subscript"/>
              </w:rPr>
              <w:t>2</w:t>
            </w:r>
            <w:r w:rsidRPr="00464352">
              <w:rPr>
                <w:color w:val="000000" w:themeColor="text1"/>
              </w:rPr>
              <w:t>-SiO</w:t>
            </w:r>
            <w:r w:rsidRPr="00464352">
              <w:rPr>
                <w:color w:val="000000" w:themeColor="text1"/>
                <w:vertAlign w:val="subscript"/>
              </w:rPr>
              <w:t>2</w:t>
            </w:r>
          </w:p>
        </w:tc>
      </w:tr>
      <w:tr w:rsidR="00464352" w:rsidRPr="00464352" w:rsidTr="007E69EF">
        <w:tc>
          <w:tcPr>
            <w:tcW w:w="1134" w:type="dxa"/>
            <w:shd w:val="clear" w:color="auto" w:fill="FFFFFF"/>
          </w:tcPr>
          <w:p w:rsidR="00E82A77" w:rsidRPr="00464352" w:rsidRDefault="00E82A77" w:rsidP="00125304">
            <w:pPr>
              <w:ind w:right="-1"/>
              <w:rPr>
                <w:rFonts w:cs="Arial"/>
                <w:color w:val="000000" w:themeColor="text1"/>
                <w:szCs w:val="18"/>
              </w:rPr>
            </w:pPr>
          </w:p>
        </w:tc>
        <w:tc>
          <w:tcPr>
            <w:tcW w:w="1949" w:type="dxa"/>
            <w:shd w:val="clear" w:color="auto" w:fill="FFFFFF"/>
          </w:tcPr>
          <w:p w:rsidR="00E82A77" w:rsidRPr="00464352" w:rsidRDefault="00E82A77" w:rsidP="00125304">
            <w:pPr>
              <w:ind w:right="-1"/>
              <w:rPr>
                <w:rFonts w:cs="Arial"/>
                <w:color w:val="000000" w:themeColor="text1"/>
                <w:szCs w:val="18"/>
              </w:rPr>
            </w:pPr>
            <w:proofErr w:type="spellStart"/>
            <w:r w:rsidRPr="00464352">
              <w:rPr>
                <w:rFonts w:cs="Arial"/>
                <w:color w:val="000000" w:themeColor="text1"/>
                <w:szCs w:val="18"/>
              </w:rPr>
              <w:t>ko</w:t>
            </w:r>
            <w:proofErr w:type="spellEnd"/>
            <w:r w:rsidRPr="00464352">
              <w:rPr>
                <w:rFonts w:cs="Arial"/>
                <w:color w:val="000000" w:themeColor="text1"/>
                <w:szCs w:val="18"/>
              </w:rPr>
              <w:t xml:space="preserve"> (mol∙Pa</w:t>
            </w:r>
            <w:r w:rsidRPr="00464352">
              <w:rPr>
                <w:rFonts w:cs="Arial"/>
                <w:color w:val="000000" w:themeColor="text1"/>
                <w:szCs w:val="18"/>
                <w:vertAlign w:val="superscript"/>
              </w:rPr>
              <w:t>n</w:t>
            </w:r>
            <w:r w:rsidRPr="00464352">
              <w:rPr>
                <w:rFonts w:cs="Arial"/>
                <w:color w:val="000000" w:themeColor="text1"/>
                <w:szCs w:val="18"/>
              </w:rPr>
              <w:t>∙s</w:t>
            </w:r>
            <w:r w:rsidRPr="00464352">
              <w:rPr>
                <w:rFonts w:cs="Arial"/>
                <w:color w:val="000000" w:themeColor="text1"/>
                <w:szCs w:val="18"/>
                <w:vertAlign w:val="superscript"/>
              </w:rPr>
              <w:t>-1</w:t>
            </w:r>
            <w:r w:rsidRPr="00464352">
              <w:rPr>
                <w:rFonts w:cs="Arial"/>
                <w:color w:val="000000" w:themeColor="text1"/>
                <w:szCs w:val="18"/>
              </w:rPr>
              <w:t>∙g</w:t>
            </w:r>
            <w:r w:rsidRPr="00464352">
              <w:rPr>
                <w:rFonts w:cs="Arial"/>
                <w:color w:val="000000" w:themeColor="text1"/>
                <w:szCs w:val="18"/>
                <w:vertAlign w:val="subscript"/>
              </w:rPr>
              <w:t>cat</w:t>
            </w:r>
            <w:r w:rsidRPr="00464352">
              <w:rPr>
                <w:rFonts w:cs="Arial"/>
                <w:color w:val="000000" w:themeColor="text1"/>
                <w:szCs w:val="18"/>
                <w:vertAlign w:val="superscript"/>
              </w:rPr>
              <w:t>-1</w:t>
            </w:r>
            <w:r w:rsidRPr="00464352">
              <w:rPr>
                <w:rFonts w:ascii="Times New Roman" w:hAnsi="Times New Roman"/>
                <w:color w:val="000000" w:themeColor="text1"/>
                <w:sz w:val="24"/>
                <w:szCs w:val="24"/>
              </w:rPr>
              <w:t>)</w:t>
            </w:r>
          </w:p>
        </w:tc>
        <w:tc>
          <w:tcPr>
            <w:tcW w:w="1949" w:type="dxa"/>
            <w:shd w:val="clear" w:color="auto" w:fill="FFFFFF"/>
          </w:tcPr>
          <w:p w:rsidR="00E82A77" w:rsidRPr="00464352" w:rsidRDefault="00E82A77" w:rsidP="00125304">
            <w:pPr>
              <w:ind w:right="-1"/>
              <w:rPr>
                <w:rFonts w:cs="Arial"/>
                <w:color w:val="000000" w:themeColor="text1"/>
                <w:szCs w:val="18"/>
              </w:rPr>
            </w:pPr>
            <w:proofErr w:type="spellStart"/>
            <w:r w:rsidRPr="00464352">
              <w:rPr>
                <w:rFonts w:cs="Arial"/>
                <w:color w:val="000000" w:themeColor="text1"/>
                <w:szCs w:val="18"/>
              </w:rPr>
              <w:t>Ea</w:t>
            </w:r>
            <w:proofErr w:type="spellEnd"/>
            <w:r w:rsidRPr="00464352">
              <w:rPr>
                <w:rFonts w:cs="Arial"/>
                <w:color w:val="000000" w:themeColor="text1"/>
                <w:szCs w:val="18"/>
              </w:rPr>
              <w:t xml:space="preserve"> (kJ·mol</w:t>
            </w:r>
            <w:r w:rsidRPr="00464352">
              <w:rPr>
                <w:rFonts w:cs="Arial"/>
                <w:color w:val="000000" w:themeColor="text1"/>
                <w:szCs w:val="18"/>
                <w:vertAlign w:val="superscript"/>
              </w:rPr>
              <w:t>-1</w:t>
            </w:r>
            <w:r w:rsidRPr="00464352">
              <w:rPr>
                <w:rFonts w:cs="Arial"/>
                <w:color w:val="000000" w:themeColor="text1"/>
                <w:szCs w:val="18"/>
              </w:rPr>
              <w:t>)</w:t>
            </w:r>
          </w:p>
        </w:tc>
        <w:tc>
          <w:tcPr>
            <w:tcW w:w="1949" w:type="dxa"/>
            <w:shd w:val="clear" w:color="auto" w:fill="FFFFFF"/>
          </w:tcPr>
          <w:p w:rsidR="00E82A77" w:rsidRPr="00464352" w:rsidRDefault="00E82A77" w:rsidP="00125304">
            <w:pPr>
              <w:ind w:right="-1"/>
              <w:rPr>
                <w:rFonts w:cs="Arial"/>
                <w:color w:val="000000" w:themeColor="text1"/>
                <w:szCs w:val="18"/>
              </w:rPr>
            </w:pPr>
            <w:proofErr w:type="spellStart"/>
            <w:r w:rsidRPr="00464352">
              <w:rPr>
                <w:rFonts w:cs="Arial"/>
                <w:color w:val="000000" w:themeColor="text1"/>
                <w:szCs w:val="18"/>
              </w:rPr>
              <w:t>ko</w:t>
            </w:r>
            <w:proofErr w:type="spellEnd"/>
            <w:r w:rsidRPr="00464352">
              <w:rPr>
                <w:rFonts w:cs="Arial"/>
                <w:color w:val="000000" w:themeColor="text1"/>
                <w:szCs w:val="18"/>
              </w:rPr>
              <w:t xml:space="preserve"> (mol∙Pa</w:t>
            </w:r>
            <w:r w:rsidRPr="00464352">
              <w:rPr>
                <w:rFonts w:cs="Arial"/>
                <w:color w:val="000000" w:themeColor="text1"/>
                <w:szCs w:val="18"/>
                <w:vertAlign w:val="superscript"/>
              </w:rPr>
              <w:t>n</w:t>
            </w:r>
            <w:r w:rsidRPr="00464352">
              <w:rPr>
                <w:rFonts w:cs="Arial"/>
                <w:color w:val="000000" w:themeColor="text1"/>
                <w:szCs w:val="18"/>
              </w:rPr>
              <w:t>∙s</w:t>
            </w:r>
            <w:r w:rsidRPr="00464352">
              <w:rPr>
                <w:rFonts w:cs="Arial"/>
                <w:color w:val="000000" w:themeColor="text1"/>
                <w:szCs w:val="18"/>
                <w:vertAlign w:val="superscript"/>
              </w:rPr>
              <w:t>-1</w:t>
            </w:r>
            <w:r w:rsidRPr="00464352">
              <w:rPr>
                <w:rFonts w:cs="Arial"/>
                <w:color w:val="000000" w:themeColor="text1"/>
                <w:szCs w:val="18"/>
              </w:rPr>
              <w:t>∙g</w:t>
            </w:r>
            <w:r w:rsidRPr="00464352">
              <w:rPr>
                <w:rFonts w:cs="Arial"/>
                <w:color w:val="000000" w:themeColor="text1"/>
                <w:szCs w:val="18"/>
                <w:vertAlign w:val="subscript"/>
              </w:rPr>
              <w:t>cat</w:t>
            </w:r>
            <w:r w:rsidRPr="00464352">
              <w:rPr>
                <w:rFonts w:cs="Arial"/>
                <w:color w:val="000000" w:themeColor="text1"/>
                <w:szCs w:val="18"/>
                <w:vertAlign w:val="superscript"/>
              </w:rPr>
              <w:t>-1</w:t>
            </w:r>
            <w:r w:rsidRPr="00464352">
              <w:rPr>
                <w:rFonts w:ascii="Times New Roman" w:hAnsi="Times New Roman"/>
                <w:color w:val="000000" w:themeColor="text1"/>
                <w:sz w:val="24"/>
                <w:szCs w:val="24"/>
              </w:rPr>
              <w:t>)</w:t>
            </w:r>
          </w:p>
        </w:tc>
        <w:tc>
          <w:tcPr>
            <w:tcW w:w="1950" w:type="dxa"/>
            <w:shd w:val="clear" w:color="auto" w:fill="FFFFFF"/>
          </w:tcPr>
          <w:p w:rsidR="00E82A77" w:rsidRPr="00464352" w:rsidRDefault="00E82A77" w:rsidP="00125304">
            <w:pPr>
              <w:ind w:right="-1"/>
              <w:rPr>
                <w:rFonts w:cs="Arial"/>
                <w:color w:val="000000" w:themeColor="text1"/>
                <w:szCs w:val="18"/>
              </w:rPr>
            </w:pPr>
            <w:proofErr w:type="spellStart"/>
            <w:r w:rsidRPr="00464352">
              <w:rPr>
                <w:rFonts w:cs="Arial"/>
                <w:color w:val="000000" w:themeColor="text1"/>
                <w:szCs w:val="18"/>
              </w:rPr>
              <w:t>Ea</w:t>
            </w:r>
            <w:proofErr w:type="spellEnd"/>
            <w:r w:rsidRPr="00464352">
              <w:rPr>
                <w:rFonts w:cs="Arial"/>
                <w:color w:val="000000" w:themeColor="text1"/>
                <w:szCs w:val="18"/>
              </w:rPr>
              <w:t xml:space="preserve"> (kJ·mol</w:t>
            </w:r>
            <w:r w:rsidRPr="00464352">
              <w:rPr>
                <w:rFonts w:cs="Arial"/>
                <w:color w:val="000000" w:themeColor="text1"/>
                <w:szCs w:val="18"/>
                <w:vertAlign w:val="superscript"/>
              </w:rPr>
              <w:t>-1</w:t>
            </w:r>
            <w:r w:rsidRPr="00464352">
              <w:rPr>
                <w:rFonts w:cs="Arial"/>
                <w:color w:val="000000" w:themeColor="text1"/>
                <w:szCs w:val="18"/>
              </w:rPr>
              <w:t>)</w:t>
            </w:r>
          </w:p>
        </w:tc>
      </w:tr>
      <w:tr w:rsidR="00464352" w:rsidRPr="00464352" w:rsidTr="007E69EF">
        <w:tc>
          <w:tcPr>
            <w:tcW w:w="1134" w:type="dxa"/>
            <w:shd w:val="clear" w:color="auto" w:fill="FFFFFF"/>
          </w:tcPr>
          <w:p w:rsidR="00E82A77" w:rsidRPr="00464352" w:rsidRDefault="00E82A77" w:rsidP="00125304">
            <w:pPr>
              <w:ind w:right="-1"/>
              <w:rPr>
                <w:rFonts w:cs="Arial"/>
                <w:color w:val="000000" w:themeColor="text1"/>
                <w:szCs w:val="18"/>
              </w:rPr>
            </w:pPr>
            <w:r w:rsidRPr="00464352">
              <w:rPr>
                <w:rFonts w:cs="Arial"/>
                <w:color w:val="000000" w:themeColor="text1"/>
                <w:szCs w:val="18"/>
              </w:rPr>
              <w:t>r1</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4.7·10</w:t>
            </w:r>
            <w:r w:rsidRPr="00464352">
              <w:rPr>
                <w:rFonts w:cs="Arial"/>
                <w:color w:val="000000" w:themeColor="text1"/>
                <w:szCs w:val="18"/>
                <w:vertAlign w:val="superscript"/>
              </w:rPr>
              <w:t>-1</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76</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1.9·10</w:t>
            </w:r>
            <w:r w:rsidRPr="00464352">
              <w:rPr>
                <w:rFonts w:cs="Arial"/>
                <w:color w:val="000000" w:themeColor="text1"/>
                <w:szCs w:val="18"/>
                <w:vertAlign w:val="superscript"/>
              </w:rPr>
              <w:t>-3</w:t>
            </w:r>
          </w:p>
        </w:tc>
        <w:tc>
          <w:tcPr>
            <w:tcW w:w="1950"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38</w:t>
            </w:r>
          </w:p>
        </w:tc>
      </w:tr>
      <w:tr w:rsidR="00464352" w:rsidRPr="00464352" w:rsidTr="007E69EF">
        <w:tc>
          <w:tcPr>
            <w:tcW w:w="1134" w:type="dxa"/>
            <w:shd w:val="clear" w:color="auto" w:fill="FFFFFF"/>
          </w:tcPr>
          <w:p w:rsidR="00E82A77" w:rsidRPr="00464352" w:rsidRDefault="00E82A77" w:rsidP="00125304">
            <w:pPr>
              <w:ind w:right="-1"/>
              <w:rPr>
                <w:rFonts w:cs="Arial"/>
                <w:color w:val="000000" w:themeColor="text1"/>
                <w:szCs w:val="18"/>
              </w:rPr>
            </w:pPr>
            <w:r w:rsidRPr="00464352">
              <w:rPr>
                <w:rFonts w:cs="Arial"/>
                <w:color w:val="000000" w:themeColor="text1"/>
                <w:szCs w:val="18"/>
              </w:rPr>
              <w:t>r3</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3.7·10</w:t>
            </w:r>
            <w:r w:rsidRPr="00464352">
              <w:rPr>
                <w:rFonts w:cs="Arial"/>
                <w:color w:val="000000" w:themeColor="text1"/>
                <w:szCs w:val="18"/>
                <w:vertAlign w:val="superscript"/>
              </w:rPr>
              <w:t>3</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70</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1.3·10</w:t>
            </w:r>
            <w:r w:rsidRPr="00464352">
              <w:rPr>
                <w:rFonts w:cs="Arial"/>
                <w:color w:val="000000" w:themeColor="text1"/>
                <w:szCs w:val="18"/>
                <w:vertAlign w:val="superscript"/>
              </w:rPr>
              <w:t>3</w:t>
            </w:r>
          </w:p>
        </w:tc>
        <w:tc>
          <w:tcPr>
            <w:tcW w:w="1950"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61</w:t>
            </w:r>
          </w:p>
        </w:tc>
      </w:tr>
      <w:tr w:rsidR="00464352" w:rsidRPr="00464352" w:rsidTr="007E69EF">
        <w:tc>
          <w:tcPr>
            <w:tcW w:w="1134" w:type="dxa"/>
            <w:shd w:val="clear" w:color="auto" w:fill="FFFFFF"/>
          </w:tcPr>
          <w:p w:rsidR="00E82A77" w:rsidRPr="00464352" w:rsidRDefault="00E82A77" w:rsidP="00125304">
            <w:pPr>
              <w:ind w:right="-1"/>
              <w:rPr>
                <w:rFonts w:cs="Arial"/>
                <w:color w:val="000000" w:themeColor="text1"/>
                <w:szCs w:val="18"/>
              </w:rPr>
            </w:pPr>
            <w:r w:rsidRPr="00464352">
              <w:rPr>
                <w:rFonts w:cs="Arial"/>
                <w:color w:val="000000" w:themeColor="text1"/>
                <w:szCs w:val="18"/>
              </w:rPr>
              <w:t>r4</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2.5·10</w:t>
            </w:r>
            <w:r w:rsidRPr="00464352">
              <w:rPr>
                <w:rFonts w:cs="Arial"/>
                <w:color w:val="000000" w:themeColor="text1"/>
                <w:szCs w:val="18"/>
                <w:vertAlign w:val="superscript"/>
              </w:rPr>
              <w:t>-5</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30</w:t>
            </w:r>
          </w:p>
        </w:tc>
        <w:tc>
          <w:tcPr>
            <w:tcW w:w="1949"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2.3·10</w:t>
            </w:r>
            <w:r w:rsidRPr="00464352">
              <w:rPr>
                <w:rFonts w:cs="Arial"/>
                <w:color w:val="000000" w:themeColor="text1"/>
                <w:szCs w:val="18"/>
                <w:vertAlign w:val="superscript"/>
              </w:rPr>
              <w:t>-5</w:t>
            </w:r>
          </w:p>
        </w:tc>
        <w:tc>
          <w:tcPr>
            <w:tcW w:w="1950" w:type="dxa"/>
            <w:shd w:val="clear" w:color="auto" w:fill="FFFFFF"/>
          </w:tcPr>
          <w:p w:rsidR="00E82A77" w:rsidRPr="00464352" w:rsidRDefault="005754D9" w:rsidP="00125304">
            <w:pPr>
              <w:ind w:right="-1"/>
              <w:rPr>
                <w:rFonts w:cs="Arial"/>
                <w:color w:val="000000" w:themeColor="text1"/>
                <w:szCs w:val="18"/>
              </w:rPr>
            </w:pPr>
            <w:r w:rsidRPr="00464352">
              <w:rPr>
                <w:rFonts w:cs="Arial"/>
                <w:color w:val="000000" w:themeColor="text1"/>
                <w:szCs w:val="18"/>
              </w:rPr>
              <w:t>26</w:t>
            </w:r>
          </w:p>
        </w:tc>
      </w:tr>
    </w:tbl>
    <w:p w:rsidR="00600535" w:rsidRPr="00464352" w:rsidRDefault="00600535" w:rsidP="00600535">
      <w:pPr>
        <w:pStyle w:val="CETHeading1"/>
        <w:rPr>
          <w:color w:val="000000" w:themeColor="text1"/>
          <w:lang w:val="en-GB"/>
        </w:rPr>
      </w:pPr>
      <w:r w:rsidRPr="00464352">
        <w:rPr>
          <w:color w:val="000000" w:themeColor="text1"/>
          <w:lang w:val="en-GB"/>
        </w:rPr>
        <w:t>Conclusions</w:t>
      </w:r>
    </w:p>
    <w:p w:rsidR="00600535" w:rsidRPr="00464352" w:rsidRDefault="006A6537" w:rsidP="00600535">
      <w:pPr>
        <w:pStyle w:val="CETBodytext"/>
        <w:rPr>
          <w:color w:val="000000" w:themeColor="text1"/>
          <w:lang w:val="en-GB"/>
        </w:rPr>
      </w:pPr>
      <w:r w:rsidRPr="00464352">
        <w:rPr>
          <w:color w:val="000000" w:themeColor="text1"/>
          <w:lang w:val="en-GB"/>
        </w:rPr>
        <w:t xml:space="preserve">In this work, oxidative steam reforming of ethanol has been investigated </w:t>
      </w:r>
      <w:r w:rsidR="0027339F" w:rsidRPr="00464352">
        <w:rPr>
          <w:color w:val="000000" w:themeColor="text1"/>
          <w:lang w:val="en-GB"/>
        </w:rPr>
        <w:t xml:space="preserve">over </w:t>
      </w:r>
      <w:r w:rsidRPr="00464352">
        <w:rPr>
          <w:color w:val="000000" w:themeColor="text1"/>
          <w:lang w:val="en-GB"/>
        </w:rPr>
        <w:t xml:space="preserve">Ni-based catalysts; the effect of Pt addition </w:t>
      </w:r>
      <w:r w:rsidR="0027339F" w:rsidRPr="00464352">
        <w:rPr>
          <w:color w:val="000000" w:themeColor="text1"/>
          <w:lang w:val="en-GB"/>
        </w:rPr>
        <w:t xml:space="preserve">on catalyst activity </w:t>
      </w:r>
      <w:r w:rsidRPr="00464352">
        <w:rPr>
          <w:color w:val="000000" w:themeColor="text1"/>
          <w:lang w:val="en-GB"/>
        </w:rPr>
        <w:t xml:space="preserve">was studied </w:t>
      </w:r>
      <w:r w:rsidR="0027339F" w:rsidRPr="00464352">
        <w:rPr>
          <w:color w:val="000000" w:themeColor="text1"/>
          <w:lang w:val="en-GB"/>
        </w:rPr>
        <w:t>and a kinetic evaluation was also carried out to investigate the reaction mechanism over the monometallic and bimetallic catalyst</w:t>
      </w:r>
      <w:r w:rsidR="00B61A85" w:rsidRPr="00464352">
        <w:rPr>
          <w:color w:val="000000" w:themeColor="text1"/>
          <w:lang w:val="en-GB"/>
        </w:rPr>
        <w:t>s</w:t>
      </w:r>
      <w:r w:rsidR="00600535" w:rsidRPr="00464352">
        <w:rPr>
          <w:color w:val="000000" w:themeColor="text1"/>
          <w:lang w:val="en-GB"/>
        </w:rPr>
        <w:t>.</w:t>
      </w:r>
      <w:r w:rsidR="0027339F" w:rsidRPr="00464352">
        <w:rPr>
          <w:color w:val="000000" w:themeColor="text1"/>
          <w:lang w:val="en-GB"/>
        </w:rPr>
        <w:t xml:space="preserve"> Pt addition had a beneficial effect on the performance of the Ni/CeO</w:t>
      </w:r>
      <w:r w:rsidR="0027339F" w:rsidRPr="00464352">
        <w:rPr>
          <w:color w:val="000000" w:themeColor="text1"/>
          <w:vertAlign w:val="subscript"/>
          <w:lang w:val="en-GB"/>
        </w:rPr>
        <w:t>2</w:t>
      </w:r>
      <w:r w:rsidR="0027339F" w:rsidRPr="00464352">
        <w:rPr>
          <w:color w:val="000000" w:themeColor="text1"/>
          <w:lang w:val="en-GB"/>
        </w:rPr>
        <w:t>-SiO</w:t>
      </w:r>
      <w:r w:rsidR="0027339F" w:rsidRPr="00464352">
        <w:rPr>
          <w:color w:val="000000" w:themeColor="text1"/>
          <w:vertAlign w:val="subscript"/>
          <w:lang w:val="en-GB"/>
        </w:rPr>
        <w:t>2</w:t>
      </w:r>
      <w:r w:rsidR="0027339F" w:rsidRPr="00464352">
        <w:rPr>
          <w:color w:val="000000" w:themeColor="text1"/>
          <w:lang w:val="en-GB"/>
        </w:rPr>
        <w:t xml:space="preserve"> sample. However, it was sufficient to employ platinum contents as low as 0.5 </w:t>
      </w:r>
      <w:proofErr w:type="spellStart"/>
      <w:r w:rsidR="0027339F" w:rsidRPr="00464352">
        <w:rPr>
          <w:color w:val="000000" w:themeColor="text1"/>
          <w:lang w:val="en-GB"/>
        </w:rPr>
        <w:t>wt</w:t>
      </w:r>
      <w:proofErr w:type="spellEnd"/>
      <w:r w:rsidR="0027339F" w:rsidRPr="00464352">
        <w:rPr>
          <w:color w:val="000000" w:themeColor="text1"/>
          <w:lang w:val="en-GB"/>
        </w:rPr>
        <w:t>%</w:t>
      </w:r>
      <w:r w:rsidR="00B61A85" w:rsidRPr="00464352">
        <w:rPr>
          <w:color w:val="000000" w:themeColor="text1"/>
          <w:lang w:val="en-GB"/>
        </w:rPr>
        <w:t xml:space="preserve"> to reach high hydrogen production rates</w:t>
      </w:r>
      <w:r w:rsidR="0027339F" w:rsidRPr="00464352">
        <w:rPr>
          <w:color w:val="000000" w:themeColor="text1"/>
          <w:lang w:val="en-GB"/>
        </w:rPr>
        <w:t>, thus strongly reducing the catalyst price in comparison to previously employed formulations.</w:t>
      </w:r>
      <w:r w:rsidR="00B4249A" w:rsidRPr="00464352">
        <w:rPr>
          <w:color w:val="000000" w:themeColor="text1"/>
          <w:lang w:val="en-GB"/>
        </w:rPr>
        <w:t xml:space="preserve"> The latter sample also reduces activation energies </w:t>
      </w:r>
      <w:r w:rsidR="00B61A85" w:rsidRPr="00464352">
        <w:rPr>
          <w:color w:val="000000" w:themeColor="text1"/>
          <w:lang w:val="en-GB"/>
        </w:rPr>
        <w:t>for ethanol decomposition, methane steam reforming and water gas shift reactions with respect to the Ni/CeO</w:t>
      </w:r>
      <w:r w:rsidR="00B61A85" w:rsidRPr="00464352">
        <w:rPr>
          <w:color w:val="000000" w:themeColor="text1"/>
          <w:vertAlign w:val="subscript"/>
          <w:lang w:val="en-GB"/>
        </w:rPr>
        <w:t>2</w:t>
      </w:r>
      <w:r w:rsidR="00B61A85" w:rsidRPr="00464352">
        <w:rPr>
          <w:color w:val="000000" w:themeColor="text1"/>
          <w:lang w:val="en-GB"/>
        </w:rPr>
        <w:t>-SiO</w:t>
      </w:r>
      <w:r w:rsidR="00B61A85" w:rsidRPr="00464352">
        <w:rPr>
          <w:color w:val="000000" w:themeColor="text1"/>
          <w:vertAlign w:val="subscript"/>
          <w:lang w:val="en-GB"/>
        </w:rPr>
        <w:t>2</w:t>
      </w:r>
      <w:r w:rsidR="00B61A85" w:rsidRPr="00464352">
        <w:rPr>
          <w:color w:val="000000" w:themeColor="text1"/>
          <w:lang w:val="en-GB"/>
        </w:rPr>
        <w:t xml:space="preserve"> sample: as a result, improved hydrogen yield between 300 and 600°C were measured.</w:t>
      </w:r>
    </w:p>
    <w:p w:rsidR="00600535" w:rsidRPr="00464352" w:rsidRDefault="00600535" w:rsidP="00600535">
      <w:pPr>
        <w:pStyle w:val="CETReference"/>
        <w:rPr>
          <w:color w:val="000000" w:themeColor="text1"/>
        </w:rPr>
      </w:pPr>
      <w:r w:rsidRPr="00464352">
        <w:rPr>
          <w:color w:val="000000" w:themeColor="text1"/>
        </w:rPr>
        <w:t>References</w:t>
      </w:r>
    </w:p>
    <w:p w:rsidR="00D355C9" w:rsidRPr="00464352" w:rsidRDefault="00D355C9" w:rsidP="00464352">
      <w:pPr>
        <w:pStyle w:val="CETReferencetext"/>
      </w:pPr>
      <w:proofErr w:type="spellStart"/>
      <w:r w:rsidRPr="00464352">
        <w:t>Baruah</w:t>
      </w:r>
      <w:proofErr w:type="spellEnd"/>
      <w:r w:rsidRPr="00464352">
        <w:t xml:space="preserve"> R., Dixit M., </w:t>
      </w:r>
      <w:proofErr w:type="spellStart"/>
      <w:r w:rsidRPr="00464352">
        <w:t>Basarkar</w:t>
      </w:r>
      <w:proofErr w:type="spellEnd"/>
      <w:r w:rsidRPr="00464352">
        <w:t xml:space="preserve"> P., Parikh D., </w:t>
      </w:r>
      <w:proofErr w:type="spellStart"/>
      <w:r w:rsidRPr="00464352">
        <w:t>Bhargav</w:t>
      </w:r>
      <w:proofErr w:type="spellEnd"/>
      <w:r w:rsidRPr="00464352">
        <w:t xml:space="preserve"> A., 2015, Advances in ethanol </w:t>
      </w:r>
      <w:proofErr w:type="spellStart"/>
      <w:r w:rsidRPr="00464352">
        <w:t>autothermal</w:t>
      </w:r>
      <w:proofErr w:type="spellEnd"/>
      <w:r w:rsidRPr="00464352">
        <w:t xml:space="preserve"> reforming, Renewable and Sustainable Energy Reviews 51, 1345–1353.</w:t>
      </w:r>
    </w:p>
    <w:p w:rsidR="00D355C9" w:rsidRPr="00464352" w:rsidRDefault="00D355C9" w:rsidP="00464352">
      <w:pPr>
        <w:pStyle w:val="CETReferencetext"/>
      </w:pPr>
      <w:proofErr w:type="spellStart"/>
      <w:r w:rsidRPr="00464352">
        <w:t>Ciambelli</w:t>
      </w:r>
      <w:proofErr w:type="spellEnd"/>
      <w:r w:rsidRPr="00464352">
        <w:t xml:space="preserve"> P, Palma V, Ruggiero A., 2010, Low temperature catalytic steam reforming of ethanol. 2. Preliminary kinetic investigation of Pt/CeO2 catalysts, </w:t>
      </w:r>
      <w:r w:rsidR="00717AF2" w:rsidRPr="00464352">
        <w:t xml:space="preserve">Applied Catalysis B: Environmental, </w:t>
      </w:r>
      <w:r w:rsidRPr="00464352">
        <w:t>96, 190-197.</w:t>
      </w:r>
    </w:p>
    <w:p w:rsidR="00D355C9" w:rsidRPr="00464352" w:rsidRDefault="00D355C9" w:rsidP="00464352">
      <w:pPr>
        <w:pStyle w:val="CETReferencetext"/>
      </w:pPr>
      <w:r w:rsidRPr="00464352">
        <w:lastRenderedPageBreak/>
        <w:t>Du X., Zhang D., Shi L., Gao R., Zhang J., 2012, Morphology Dependence of Catalytic Properties of Ni/CeO2 Nanostructures for CO2 Reforming of Methane, The Journal of Physical Chemistry C, 116, 10009-10016.</w:t>
      </w:r>
    </w:p>
    <w:p w:rsidR="00C96C52" w:rsidRPr="00464352" w:rsidRDefault="00C96C52" w:rsidP="00464352">
      <w:pPr>
        <w:pStyle w:val="CETReferencetext"/>
      </w:pPr>
      <w:r w:rsidRPr="00464352">
        <w:t xml:space="preserve">Hernández M.A., J. González A. J., Suárez F., Ochoa C., Candela A.M., </w:t>
      </w:r>
      <w:proofErr w:type="spellStart"/>
      <w:r w:rsidRPr="00464352">
        <w:t>Cabeza</w:t>
      </w:r>
      <w:proofErr w:type="spellEnd"/>
      <w:r w:rsidRPr="00464352">
        <w:t xml:space="preserve"> I., 2018, Assessment of the </w:t>
      </w:r>
      <w:proofErr w:type="spellStart"/>
      <w:r w:rsidRPr="00464352">
        <w:t>Biohydrogen</w:t>
      </w:r>
      <w:proofErr w:type="spellEnd"/>
      <w:r w:rsidRPr="00464352">
        <w:t xml:space="preserve"> Production Potential of Different Organic Residues In Colombia: Cocoa Waste, Pig Manure and Coffee Mucilage, Chemical Engineering Transactions, 65, 247-252.</w:t>
      </w:r>
    </w:p>
    <w:p w:rsidR="00D355C9" w:rsidRPr="00464352" w:rsidRDefault="00D355C9" w:rsidP="00464352">
      <w:pPr>
        <w:pStyle w:val="CETReferencetext"/>
      </w:pPr>
      <w:r w:rsidRPr="00464352">
        <w:t>Liu S., Zhang K., Fang L., Li Y., 2008, Thermodynamic Analysis of Hydrogen Production from Oxidative Steam Reforming of Ethanol, Energy &amp; Fuels, 22, 1365-1370.</w:t>
      </w:r>
    </w:p>
    <w:p w:rsidR="00D355C9" w:rsidRPr="00464352" w:rsidRDefault="00D355C9" w:rsidP="00464352">
      <w:pPr>
        <w:pStyle w:val="CETReferencetext"/>
      </w:pPr>
      <w:r w:rsidRPr="00464352">
        <w:t xml:space="preserve">McIntosh S, van den </w:t>
      </w:r>
      <w:proofErr w:type="spellStart"/>
      <w:r w:rsidRPr="00464352">
        <w:t>Bossche</w:t>
      </w:r>
      <w:proofErr w:type="spellEnd"/>
      <w:r w:rsidRPr="00464352">
        <w:t xml:space="preserve"> M., 2011, Influence of lattice oxygen stoichiometry on the mechanism of methane oxidation in SOFC anodes. Solid State Ionics, 192, 453-457.</w:t>
      </w:r>
    </w:p>
    <w:p w:rsidR="00D355C9" w:rsidRPr="00464352" w:rsidRDefault="00D355C9" w:rsidP="00464352">
      <w:pPr>
        <w:pStyle w:val="CETReferencetext"/>
      </w:pPr>
      <w:r w:rsidRPr="00464352">
        <w:t xml:space="preserve">Montero C., Valle B., Bilbao J., </w:t>
      </w:r>
      <w:proofErr w:type="spellStart"/>
      <w:r w:rsidRPr="00464352">
        <w:t>Gayubo</w:t>
      </w:r>
      <w:proofErr w:type="spellEnd"/>
      <w:r w:rsidRPr="00464352">
        <w:t xml:space="preserve"> A.G., 2014, Analysis of Ni/La2O3–αAl2O3 Catalyst Deactivation by Coke Deposition in the Ethanol Steam Reforming, Chemical Engineering Transactions, 37, 481-486.</w:t>
      </w:r>
    </w:p>
    <w:p w:rsidR="00D355C9" w:rsidRPr="00464352" w:rsidRDefault="00D355C9" w:rsidP="00464352">
      <w:pPr>
        <w:pStyle w:val="CETReferencetext"/>
      </w:pPr>
      <w:r w:rsidRPr="00464352">
        <w:t xml:space="preserve">Morales M., </w:t>
      </w:r>
      <w:proofErr w:type="spellStart"/>
      <w:r w:rsidRPr="00464352">
        <w:t>Segarra</w:t>
      </w:r>
      <w:proofErr w:type="spellEnd"/>
      <w:r w:rsidRPr="00464352">
        <w:t xml:space="preserve"> M., 2015, Steam reforming and oxidative steam reforming of ethanol over La0.6Sr0.4CoO3−δ perovskite as catalyst precursor for hydrogen production, Applied Catalysis A: General 502, 305–311.</w:t>
      </w:r>
    </w:p>
    <w:p w:rsidR="00D355C9" w:rsidRPr="00464352" w:rsidRDefault="00D355C9" w:rsidP="00464352">
      <w:pPr>
        <w:pStyle w:val="CETReferencetext"/>
      </w:pPr>
      <w:proofErr w:type="spellStart"/>
      <w:r w:rsidRPr="00464352">
        <w:t>Mulewa</w:t>
      </w:r>
      <w:proofErr w:type="spellEnd"/>
      <w:r w:rsidRPr="00464352">
        <w:t xml:space="preserve"> W.,</w:t>
      </w:r>
      <w:r w:rsidR="00801B92" w:rsidRPr="00464352">
        <w:t xml:space="preserve"> </w:t>
      </w:r>
      <w:r w:rsidRPr="00464352">
        <w:t>Tahir M., Amina N.A.S., 2017, Ethanol Steam Reforming for Renewable Hydrogen Production over La-Modified TiO2 Catalyst, Chemical Engineering Transactions, 56, 349-354.</w:t>
      </w:r>
    </w:p>
    <w:p w:rsidR="00D355C9" w:rsidRPr="00464352" w:rsidRDefault="00D355C9" w:rsidP="00464352">
      <w:pPr>
        <w:pStyle w:val="CETReferencetext"/>
      </w:pPr>
      <w:r w:rsidRPr="00464352">
        <w:t xml:space="preserve">Nishikawa J., Miyazawa T., Nakamura K., </w:t>
      </w:r>
      <w:proofErr w:type="spellStart"/>
      <w:r w:rsidRPr="00464352">
        <w:t>Asadullah</w:t>
      </w:r>
      <w:proofErr w:type="spellEnd"/>
      <w:r w:rsidRPr="00464352">
        <w:t xml:space="preserve"> M., </w:t>
      </w:r>
      <w:proofErr w:type="spellStart"/>
      <w:r w:rsidRPr="00464352">
        <w:t>Tomishige</w:t>
      </w:r>
      <w:proofErr w:type="spellEnd"/>
      <w:r w:rsidRPr="00464352">
        <w:t xml:space="preserve"> K., 2008, Promoting effect of Pt addition to Ni/CeO2/Al2O3 catalyst for steam gasification of biomass, Catalysis Communications, 9, 195-201.</w:t>
      </w:r>
    </w:p>
    <w:p w:rsidR="00C96C52" w:rsidRPr="00464352" w:rsidRDefault="00C96C52" w:rsidP="00464352">
      <w:pPr>
        <w:pStyle w:val="CETReferencetext"/>
      </w:pPr>
      <w:r w:rsidRPr="00464352">
        <w:t xml:space="preserve">Palma V, </w:t>
      </w:r>
      <w:proofErr w:type="spellStart"/>
      <w:r w:rsidRPr="00464352">
        <w:t>Ruocco</w:t>
      </w:r>
      <w:proofErr w:type="spellEnd"/>
      <w:r w:rsidRPr="00464352">
        <w:t xml:space="preserve"> C., </w:t>
      </w:r>
      <w:proofErr w:type="spellStart"/>
      <w:r w:rsidRPr="00464352">
        <w:t>Ricca</w:t>
      </w:r>
      <w:proofErr w:type="spellEnd"/>
      <w:r w:rsidRPr="00464352">
        <w:t xml:space="preserve"> A., 2015, Bimetallic Pt and Ni based foam catalysts for low-temperature ethanol stea</w:t>
      </w:r>
      <w:r w:rsidR="00367FE7" w:rsidRPr="00464352">
        <w:t>m reforming intensification,</w:t>
      </w:r>
      <w:r w:rsidRPr="00464352">
        <w:t xml:space="preserve"> Chemical Engineering Transactions, </w:t>
      </w:r>
      <w:r w:rsidR="00367FE7" w:rsidRPr="00464352">
        <w:t xml:space="preserve">43, </w:t>
      </w:r>
      <w:r w:rsidRPr="00464352">
        <w:t>559-564.</w:t>
      </w:r>
    </w:p>
    <w:p w:rsidR="00C96C52" w:rsidRPr="00464352" w:rsidRDefault="00C96C52" w:rsidP="00464352">
      <w:pPr>
        <w:pStyle w:val="CETReferencetext"/>
      </w:pPr>
      <w:r w:rsidRPr="00464352">
        <w:t xml:space="preserve">Palma V. </w:t>
      </w:r>
      <w:proofErr w:type="spellStart"/>
      <w:r w:rsidRPr="00464352">
        <w:t>Ruocco</w:t>
      </w:r>
      <w:proofErr w:type="spellEnd"/>
      <w:r w:rsidRPr="00464352">
        <w:t xml:space="preserve"> C., </w:t>
      </w:r>
      <w:proofErr w:type="spellStart"/>
      <w:r w:rsidRPr="00464352">
        <w:t>Meloni</w:t>
      </w:r>
      <w:proofErr w:type="spellEnd"/>
      <w:r w:rsidRPr="00464352">
        <w:t xml:space="preserve"> E., </w:t>
      </w:r>
      <w:proofErr w:type="spellStart"/>
      <w:r w:rsidRPr="00464352">
        <w:t>Ricca</w:t>
      </w:r>
      <w:proofErr w:type="spellEnd"/>
      <w:r w:rsidRPr="00464352">
        <w:t xml:space="preserve"> A., 2017, Coke-resistant Pt-Ni/CeO2-SiO2 Catalysts for Ethanol Reforming, Chemical Engineering Transactions, 57, 1675-1680.</w:t>
      </w:r>
    </w:p>
    <w:p w:rsidR="00C96C52" w:rsidRPr="00464352" w:rsidRDefault="00C96C52" w:rsidP="00464352">
      <w:pPr>
        <w:pStyle w:val="CETReferencetext"/>
      </w:pPr>
      <w:r w:rsidRPr="00464352">
        <w:t xml:space="preserve">Siang T.J., Vo D.V., 2017, Syngas Production from Combined Steam and Carbon Dioxide Reforming of Methane over Ce-modified </w:t>
      </w:r>
      <w:proofErr w:type="spellStart"/>
      <w:r w:rsidRPr="00464352">
        <w:t>Silicasupported</w:t>
      </w:r>
      <w:proofErr w:type="spellEnd"/>
      <w:r w:rsidRPr="00464352">
        <w:t xml:space="preserve"> Nickel Catalysts, Chemical Engineering Transactions, 56, 1129-1234.</w:t>
      </w:r>
    </w:p>
    <w:p w:rsidR="00C96C52" w:rsidRPr="00464352" w:rsidRDefault="00C96C52" w:rsidP="00464352">
      <w:pPr>
        <w:pStyle w:val="CETReferencetext"/>
      </w:pPr>
      <w:r w:rsidRPr="00464352">
        <w:t xml:space="preserve">Singh S., Nga N.T., Pham T.L., 2017, </w:t>
      </w:r>
      <w:proofErr w:type="spellStart"/>
      <w:r w:rsidRPr="00464352">
        <w:t>Metgas</w:t>
      </w:r>
      <w:proofErr w:type="spellEnd"/>
      <w:r w:rsidRPr="00464352">
        <w:t xml:space="preserve"> Production from Bi-reforming of Methane over La</w:t>
      </w:r>
      <w:r w:rsidR="00717AF2" w:rsidRPr="00464352">
        <w:t>-</w:t>
      </w:r>
      <w:r w:rsidRPr="00464352">
        <w:t>modified Santa Barbara Amorphous-15 Supported Nickel Catalyst, Chemical Engineering Transactions, 56, 1573-1580.</w:t>
      </w:r>
    </w:p>
    <w:p w:rsidR="00C96C52" w:rsidRPr="00464352" w:rsidRDefault="00C96C52" w:rsidP="00464352">
      <w:pPr>
        <w:pStyle w:val="CETReferencetext"/>
      </w:pPr>
      <w:proofErr w:type="spellStart"/>
      <w:r w:rsidRPr="00464352">
        <w:t>Takeguchi</w:t>
      </w:r>
      <w:proofErr w:type="spellEnd"/>
      <w:r w:rsidRPr="00464352">
        <w:t xml:space="preserve"> T., Furukawa S., Inoue M., 2001, Hydrogen </w:t>
      </w:r>
      <w:proofErr w:type="spellStart"/>
      <w:r w:rsidRPr="00464352">
        <w:t>Spillover</w:t>
      </w:r>
      <w:proofErr w:type="spellEnd"/>
      <w:r w:rsidRPr="00464352">
        <w:t xml:space="preserve"> from </w:t>
      </w:r>
      <w:proofErr w:type="spellStart"/>
      <w:r w:rsidRPr="00464352">
        <w:t>NiO</w:t>
      </w:r>
      <w:proofErr w:type="spellEnd"/>
      <w:r w:rsidRPr="00464352">
        <w:t xml:space="preserve"> to the Large Surface Area CeO2-ZrO2 and Activity of the </w:t>
      </w:r>
      <w:proofErr w:type="spellStart"/>
      <w:r w:rsidRPr="00464352">
        <w:t>NiO</w:t>
      </w:r>
      <w:proofErr w:type="spellEnd"/>
      <w:r w:rsidRPr="00464352">
        <w:t>/CeO2-ZrO2 for Partial Oxidation of Methane, Journal of Catalysis 202, 14-24.</w:t>
      </w:r>
    </w:p>
    <w:p w:rsidR="00C96C52" w:rsidRPr="00464352" w:rsidRDefault="00C96C52" w:rsidP="00464352">
      <w:pPr>
        <w:pStyle w:val="CETReferencetext"/>
      </w:pPr>
      <w:r w:rsidRPr="00464352">
        <w:t xml:space="preserve">Xu J, </w:t>
      </w:r>
      <w:proofErr w:type="spellStart"/>
      <w:r w:rsidRPr="00464352">
        <w:t>Froment</w:t>
      </w:r>
      <w:proofErr w:type="spellEnd"/>
      <w:r w:rsidRPr="00464352">
        <w:t xml:space="preserve"> G.F., 1989, Methane steam reforming, </w:t>
      </w:r>
      <w:proofErr w:type="spellStart"/>
      <w:r w:rsidRPr="00464352">
        <w:t>methanation</w:t>
      </w:r>
      <w:proofErr w:type="spellEnd"/>
      <w:r w:rsidRPr="00464352">
        <w:t xml:space="preserve"> and water</w:t>
      </w:r>
      <w:r w:rsidRPr="00464352">
        <w:rPr>
          <w:rFonts w:ascii="Cambria Math" w:hAnsi="Cambria Math" w:cs="Cambria Math"/>
        </w:rPr>
        <w:t>‐</w:t>
      </w:r>
      <w:r w:rsidRPr="00464352">
        <w:t xml:space="preserve">gas shift: I. Intrinsic kinetics. </w:t>
      </w:r>
      <w:proofErr w:type="spellStart"/>
      <w:r w:rsidRPr="00464352">
        <w:t>AIChE</w:t>
      </w:r>
      <w:proofErr w:type="spellEnd"/>
      <w:r w:rsidR="00801B92" w:rsidRPr="00464352">
        <w:t xml:space="preserve"> J</w:t>
      </w:r>
      <w:r w:rsidRPr="00464352">
        <w:t>ournal, 35, 88-96.</w:t>
      </w:r>
    </w:p>
    <w:p w:rsidR="00C96C52" w:rsidRPr="00464352" w:rsidRDefault="00C96C52" w:rsidP="00464352">
      <w:pPr>
        <w:pStyle w:val="CETReferencetext"/>
      </w:pPr>
      <w:r w:rsidRPr="00464352">
        <w:t xml:space="preserve">Zhao S., </w:t>
      </w:r>
      <w:proofErr w:type="spellStart"/>
      <w:r w:rsidRPr="00464352">
        <w:t>Cai</w:t>
      </w:r>
      <w:proofErr w:type="spellEnd"/>
      <w:r w:rsidRPr="00464352">
        <w:t xml:space="preserve"> W., Li Y., Yu H., Zhang S., Cui L., 2018, Syngas production from ethanol dry reforming over Rh/CeO2 catalyst, Journal of Saudi Chemical Society, 22, 58-65.</w:t>
      </w:r>
      <w:bookmarkStart w:id="0" w:name="_GoBack"/>
      <w:bookmarkEnd w:id="0"/>
    </w:p>
    <w:sectPr w:rsidR="00C96C52" w:rsidRPr="0046435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18" w:rsidRDefault="00815418" w:rsidP="004F5E36">
      <w:r>
        <w:separator/>
      </w:r>
    </w:p>
  </w:endnote>
  <w:endnote w:type="continuationSeparator" w:id="0">
    <w:p w:rsidR="00815418" w:rsidRDefault="008154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18" w:rsidRDefault="00815418" w:rsidP="004F5E36">
      <w:r>
        <w:separator/>
      </w:r>
    </w:p>
  </w:footnote>
  <w:footnote w:type="continuationSeparator" w:id="0">
    <w:p w:rsidR="00815418" w:rsidRDefault="0081541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901AD6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6562"/>
    <w:rsid w:val="0003148D"/>
    <w:rsid w:val="00047D7F"/>
    <w:rsid w:val="00051566"/>
    <w:rsid w:val="00062A9A"/>
    <w:rsid w:val="000631D8"/>
    <w:rsid w:val="00065058"/>
    <w:rsid w:val="00086C39"/>
    <w:rsid w:val="000A03B2"/>
    <w:rsid w:val="000D34BE"/>
    <w:rsid w:val="000D42D1"/>
    <w:rsid w:val="000E102F"/>
    <w:rsid w:val="000E36F1"/>
    <w:rsid w:val="000E3A73"/>
    <w:rsid w:val="000E414A"/>
    <w:rsid w:val="000F01B1"/>
    <w:rsid w:val="000F093C"/>
    <w:rsid w:val="000F16BD"/>
    <w:rsid w:val="000F787B"/>
    <w:rsid w:val="00105051"/>
    <w:rsid w:val="001128D4"/>
    <w:rsid w:val="0012091F"/>
    <w:rsid w:val="00126BC2"/>
    <w:rsid w:val="001308B6"/>
    <w:rsid w:val="0013121F"/>
    <w:rsid w:val="00131FAB"/>
    <w:rsid w:val="00131FE6"/>
    <w:rsid w:val="0013263F"/>
    <w:rsid w:val="00134DE4"/>
    <w:rsid w:val="0014034D"/>
    <w:rsid w:val="00150E59"/>
    <w:rsid w:val="00152DE3"/>
    <w:rsid w:val="00164CF9"/>
    <w:rsid w:val="00181301"/>
    <w:rsid w:val="00184AD6"/>
    <w:rsid w:val="00186463"/>
    <w:rsid w:val="001B0349"/>
    <w:rsid w:val="001B65C1"/>
    <w:rsid w:val="001C684B"/>
    <w:rsid w:val="001D188F"/>
    <w:rsid w:val="001D53FC"/>
    <w:rsid w:val="001E35A8"/>
    <w:rsid w:val="001F42A5"/>
    <w:rsid w:val="001F7B9D"/>
    <w:rsid w:val="002224B4"/>
    <w:rsid w:val="002315B4"/>
    <w:rsid w:val="00233419"/>
    <w:rsid w:val="002447EF"/>
    <w:rsid w:val="00251550"/>
    <w:rsid w:val="00257657"/>
    <w:rsid w:val="00260724"/>
    <w:rsid w:val="00263B05"/>
    <w:rsid w:val="002650FF"/>
    <w:rsid w:val="0027221A"/>
    <w:rsid w:val="0027339F"/>
    <w:rsid w:val="00275B61"/>
    <w:rsid w:val="00282656"/>
    <w:rsid w:val="00296B83"/>
    <w:rsid w:val="002A490C"/>
    <w:rsid w:val="002B78CE"/>
    <w:rsid w:val="002C2FB6"/>
    <w:rsid w:val="002D36BC"/>
    <w:rsid w:val="002E35B9"/>
    <w:rsid w:val="003009B7"/>
    <w:rsid w:val="00300E56"/>
    <w:rsid w:val="0030469C"/>
    <w:rsid w:val="00321CA6"/>
    <w:rsid w:val="00334C09"/>
    <w:rsid w:val="003365E3"/>
    <w:rsid w:val="00364D8D"/>
    <w:rsid w:val="00367FBB"/>
    <w:rsid w:val="00367FE7"/>
    <w:rsid w:val="003723D4"/>
    <w:rsid w:val="003823E5"/>
    <w:rsid w:val="00384CC8"/>
    <w:rsid w:val="00386B73"/>
    <w:rsid w:val="003871FD"/>
    <w:rsid w:val="003A08F9"/>
    <w:rsid w:val="003A1E30"/>
    <w:rsid w:val="003A7D1C"/>
    <w:rsid w:val="003B304B"/>
    <w:rsid w:val="003B3146"/>
    <w:rsid w:val="003B60F3"/>
    <w:rsid w:val="003C568D"/>
    <w:rsid w:val="003F015E"/>
    <w:rsid w:val="00400414"/>
    <w:rsid w:val="004102AB"/>
    <w:rsid w:val="0041446B"/>
    <w:rsid w:val="0044329C"/>
    <w:rsid w:val="004577FE"/>
    <w:rsid w:val="00457B9C"/>
    <w:rsid w:val="0046164A"/>
    <w:rsid w:val="004628D2"/>
    <w:rsid w:val="00462DCD"/>
    <w:rsid w:val="00464352"/>
    <w:rsid w:val="004648AD"/>
    <w:rsid w:val="004703A9"/>
    <w:rsid w:val="00471F02"/>
    <w:rsid w:val="004760DE"/>
    <w:rsid w:val="004A004E"/>
    <w:rsid w:val="004A24CF"/>
    <w:rsid w:val="004A7F58"/>
    <w:rsid w:val="004B6721"/>
    <w:rsid w:val="004C17AE"/>
    <w:rsid w:val="004C3D1D"/>
    <w:rsid w:val="004C7913"/>
    <w:rsid w:val="004E4DD6"/>
    <w:rsid w:val="004F5E36"/>
    <w:rsid w:val="00507B47"/>
    <w:rsid w:val="00507CC9"/>
    <w:rsid w:val="0051180F"/>
    <w:rsid w:val="005119A5"/>
    <w:rsid w:val="005278B7"/>
    <w:rsid w:val="00532016"/>
    <w:rsid w:val="005346C8"/>
    <w:rsid w:val="00535ACA"/>
    <w:rsid w:val="00543E7D"/>
    <w:rsid w:val="00547A68"/>
    <w:rsid w:val="005531C9"/>
    <w:rsid w:val="005754D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34B37"/>
    <w:rsid w:val="0064184D"/>
    <w:rsid w:val="006422CC"/>
    <w:rsid w:val="00660E3E"/>
    <w:rsid w:val="00662E74"/>
    <w:rsid w:val="00680C23"/>
    <w:rsid w:val="00693766"/>
    <w:rsid w:val="006A3281"/>
    <w:rsid w:val="006A6145"/>
    <w:rsid w:val="006A6537"/>
    <w:rsid w:val="006B4888"/>
    <w:rsid w:val="006C2E45"/>
    <w:rsid w:val="006C359C"/>
    <w:rsid w:val="006C5579"/>
    <w:rsid w:val="006E737D"/>
    <w:rsid w:val="006F4452"/>
    <w:rsid w:val="0070195D"/>
    <w:rsid w:val="00717AF2"/>
    <w:rsid w:val="00720A24"/>
    <w:rsid w:val="00732386"/>
    <w:rsid w:val="007447F3"/>
    <w:rsid w:val="0075499F"/>
    <w:rsid w:val="007661C8"/>
    <w:rsid w:val="00770028"/>
    <w:rsid w:val="0077098D"/>
    <w:rsid w:val="007931FA"/>
    <w:rsid w:val="007A7BBA"/>
    <w:rsid w:val="007B0C50"/>
    <w:rsid w:val="007C18C4"/>
    <w:rsid w:val="007C1A43"/>
    <w:rsid w:val="007E1DC6"/>
    <w:rsid w:val="00801B92"/>
    <w:rsid w:val="00813288"/>
    <w:rsid w:val="00815418"/>
    <w:rsid w:val="008168FC"/>
    <w:rsid w:val="00830996"/>
    <w:rsid w:val="008345F1"/>
    <w:rsid w:val="008531D2"/>
    <w:rsid w:val="00857619"/>
    <w:rsid w:val="00865B07"/>
    <w:rsid w:val="008667EA"/>
    <w:rsid w:val="0087637F"/>
    <w:rsid w:val="008904B9"/>
    <w:rsid w:val="00892AD5"/>
    <w:rsid w:val="008A0C71"/>
    <w:rsid w:val="008A1512"/>
    <w:rsid w:val="008D32B9"/>
    <w:rsid w:val="008D433B"/>
    <w:rsid w:val="008E566E"/>
    <w:rsid w:val="0090161A"/>
    <w:rsid w:val="00901EB6"/>
    <w:rsid w:val="00904C62"/>
    <w:rsid w:val="0090720C"/>
    <w:rsid w:val="00924DAC"/>
    <w:rsid w:val="00927058"/>
    <w:rsid w:val="0094249E"/>
    <w:rsid w:val="009450CE"/>
    <w:rsid w:val="00947179"/>
    <w:rsid w:val="0095164B"/>
    <w:rsid w:val="00954090"/>
    <w:rsid w:val="009573E7"/>
    <w:rsid w:val="00963E05"/>
    <w:rsid w:val="00967D54"/>
    <w:rsid w:val="00967EDB"/>
    <w:rsid w:val="00990900"/>
    <w:rsid w:val="00996483"/>
    <w:rsid w:val="00996F5A"/>
    <w:rsid w:val="009A0A3E"/>
    <w:rsid w:val="009B041A"/>
    <w:rsid w:val="009C7C86"/>
    <w:rsid w:val="009D2FF7"/>
    <w:rsid w:val="009E425E"/>
    <w:rsid w:val="009E7884"/>
    <w:rsid w:val="009E788A"/>
    <w:rsid w:val="009F0E08"/>
    <w:rsid w:val="00A15EF1"/>
    <w:rsid w:val="00A1763D"/>
    <w:rsid w:val="00A17CEC"/>
    <w:rsid w:val="00A27EF0"/>
    <w:rsid w:val="00A37A27"/>
    <w:rsid w:val="00A50B20"/>
    <w:rsid w:val="00A51390"/>
    <w:rsid w:val="00A60D13"/>
    <w:rsid w:val="00A72745"/>
    <w:rsid w:val="00A76EFC"/>
    <w:rsid w:val="00A91010"/>
    <w:rsid w:val="00A97F29"/>
    <w:rsid w:val="00AA702E"/>
    <w:rsid w:val="00AB0964"/>
    <w:rsid w:val="00AB5011"/>
    <w:rsid w:val="00AC7368"/>
    <w:rsid w:val="00AD16B9"/>
    <w:rsid w:val="00AE377D"/>
    <w:rsid w:val="00B01F9A"/>
    <w:rsid w:val="00B17FBD"/>
    <w:rsid w:val="00B315A6"/>
    <w:rsid w:val="00B31813"/>
    <w:rsid w:val="00B31C9E"/>
    <w:rsid w:val="00B33365"/>
    <w:rsid w:val="00B4249A"/>
    <w:rsid w:val="00B57B36"/>
    <w:rsid w:val="00B61A85"/>
    <w:rsid w:val="00B8686D"/>
    <w:rsid w:val="00BC30C9"/>
    <w:rsid w:val="00BE3E58"/>
    <w:rsid w:val="00BE7EB0"/>
    <w:rsid w:val="00BF55C7"/>
    <w:rsid w:val="00C01616"/>
    <w:rsid w:val="00C0162B"/>
    <w:rsid w:val="00C040A9"/>
    <w:rsid w:val="00C1003D"/>
    <w:rsid w:val="00C1317C"/>
    <w:rsid w:val="00C2590F"/>
    <w:rsid w:val="00C345B1"/>
    <w:rsid w:val="00C40142"/>
    <w:rsid w:val="00C57182"/>
    <w:rsid w:val="00C57863"/>
    <w:rsid w:val="00C655FD"/>
    <w:rsid w:val="00C870A8"/>
    <w:rsid w:val="00C94434"/>
    <w:rsid w:val="00C96C52"/>
    <w:rsid w:val="00CA0D75"/>
    <w:rsid w:val="00CA1C95"/>
    <w:rsid w:val="00CA5A9C"/>
    <w:rsid w:val="00CD3517"/>
    <w:rsid w:val="00CD5FE2"/>
    <w:rsid w:val="00CE7C68"/>
    <w:rsid w:val="00D02B4C"/>
    <w:rsid w:val="00D040C4"/>
    <w:rsid w:val="00D14A7A"/>
    <w:rsid w:val="00D15C6D"/>
    <w:rsid w:val="00D25E72"/>
    <w:rsid w:val="00D355C9"/>
    <w:rsid w:val="00D57C84"/>
    <w:rsid w:val="00D6057D"/>
    <w:rsid w:val="00D84576"/>
    <w:rsid w:val="00DA1399"/>
    <w:rsid w:val="00DA24C6"/>
    <w:rsid w:val="00DA4D7B"/>
    <w:rsid w:val="00DC295A"/>
    <w:rsid w:val="00DD61C5"/>
    <w:rsid w:val="00DE264A"/>
    <w:rsid w:val="00DE473E"/>
    <w:rsid w:val="00E02D18"/>
    <w:rsid w:val="00E041E7"/>
    <w:rsid w:val="00E23CA1"/>
    <w:rsid w:val="00E409A8"/>
    <w:rsid w:val="00E50C12"/>
    <w:rsid w:val="00E65B91"/>
    <w:rsid w:val="00E7209D"/>
    <w:rsid w:val="00E77223"/>
    <w:rsid w:val="00E82A77"/>
    <w:rsid w:val="00E8528B"/>
    <w:rsid w:val="00E85B94"/>
    <w:rsid w:val="00E978D0"/>
    <w:rsid w:val="00EA4613"/>
    <w:rsid w:val="00EA7F91"/>
    <w:rsid w:val="00EB1523"/>
    <w:rsid w:val="00EC0E49"/>
    <w:rsid w:val="00ED5F33"/>
    <w:rsid w:val="00EE0131"/>
    <w:rsid w:val="00F11ED3"/>
    <w:rsid w:val="00F155B2"/>
    <w:rsid w:val="00F30C64"/>
    <w:rsid w:val="00F32CDB"/>
    <w:rsid w:val="00F51A1F"/>
    <w:rsid w:val="00F63A70"/>
    <w:rsid w:val="00F748D8"/>
    <w:rsid w:val="00F9457A"/>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576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576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576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576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432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A77D-833C-46EB-BD87-2A99566A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6</Pages>
  <Words>2933</Words>
  <Characters>16721</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8</cp:revision>
  <cp:lastPrinted>2015-05-12T18:31:00Z</cp:lastPrinted>
  <dcterms:created xsi:type="dcterms:W3CDTF">2018-11-08T17:00:00Z</dcterms:created>
  <dcterms:modified xsi:type="dcterms:W3CDTF">2019-04-01T14:42:00Z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