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B57B36">
        <w:trPr>
          <w:trHeight w:val="852"/>
          <w:jc w:val="center"/>
        </w:trPr>
        <w:tc>
          <w:tcPr>
            <w:tcW w:w="6946" w:type="dxa"/>
            <w:vMerge w:val="restart"/>
            <w:tcBorders>
              <w:right w:val="single" w:sz="4" w:space="0" w:color="auto"/>
            </w:tcBorders>
          </w:tcPr>
          <w:p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rsidR="000A03B2" w:rsidRPr="00B57B36" w:rsidRDefault="00A76EFC" w:rsidP="002A1EB1">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7931FA">
              <w:rPr>
                <w:rFonts w:cs="Arial"/>
                <w:b/>
                <w:bCs/>
                <w:i/>
                <w:iCs/>
                <w:color w:val="000066"/>
                <w:sz w:val="22"/>
                <w:szCs w:val="22"/>
                <w:lang w:eastAsia="it-IT"/>
              </w:rPr>
              <w:t>7</w:t>
            </w:r>
            <w:r w:rsidR="000E0842">
              <w:rPr>
                <w:rFonts w:cs="Arial"/>
                <w:b/>
                <w:bCs/>
                <w:i/>
                <w:iCs/>
                <w:color w:val="000066"/>
                <w:sz w:val="22"/>
                <w:szCs w:val="22"/>
                <w:lang w:eastAsia="it-IT"/>
              </w:rPr>
              <w:t>3</w:t>
            </w:r>
            <w:r w:rsidR="00FA5F5F">
              <w:rPr>
                <w:rFonts w:cs="Arial"/>
                <w:b/>
                <w:bCs/>
                <w:i/>
                <w:iCs/>
                <w:color w:val="000066"/>
                <w:sz w:val="22"/>
                <w:szCs w:val="22"/>
                <w:lang w:eastAsia="it-IT"/>
              </w:rPr>
              <w:t>, 201</w:t>
            </w:r>
            <w:r w:rsidR="007931FA">
              <w:rPr>
                <w:rFonts w:cs="Arial"/>
                <w:b/>
                <w:bCs/>
                <w:i/>
                <w:iCs/>
                <w:color w:val="000066"/>
                <w:sz w:val="22"/>
                <w:szCs w:val="22"/>
                <w:lang w:eastAsia="it-IT"/>
              </w:rPr>
              <w:t>9</w:t>
            </w:r>
          </w:p>
        </w:tc>
        <w:tc>
          <w:tcPr>
            <w:tcW w:w="1843" w:type="dxa"/>
            <w:tcBorders>
              <w:left w:val="single" w:sz="4" w:space="0" w:color="auto"/>
              <w:bottom w:val="nil"/>
              <w:right w:val="single" w:sz="4" w:space="0" w:color="auto"/>
            </w:tcBorders>
          </w:tcPr>
          <w:p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rsidR="000A03B2" w:rsidRPr="00B57B36" w:rsidRDefault="000A03B2" w:rsidP="00CD5FE2">
            <w:pPr>
              <w:jc w:val="right"/>
            </w:pPr>
            <w:r w:rsidRPr="00B57B36">
              <w:rPr>
                <w:noProof/>
                <w:lang w:val="it-IT" w:eastAsia="it-IT"/>
              </w:rPr>
              <w:drawing>
                <wp:inline distT="0" distB="0" distL="0" distR="0">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trPr>
          <w:trHeight w:val="567"/>
          <w:jc w:val="center"/>
        </w:trPr>
        <w:tc>
          <w:tcPr>
            <w:tcW w:w="6946" w:type="dxa"/>
            <w:vMerge/>
            <w:tcBorders>
              <w:right w:val="single" w:sz="4" w:space="0" w:color="auto"/>
            </w:tcBorders>
          </w:tcPr>
          <w:p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rsidR="000A03B2" w:rsidRPr="00B57B36" w:rsidRDefault="000A03B2" w:rsidP="00CD5FE2">
            <w:pPr>
              <w:spacing w:line="140" w:lineRule="atLeast"/>
              <w:jc w:val="right"/>
              <w:rPr>
                <w:rFonts w:cs="Arial"/>
                <w:sz w:val="14"/>
                <w:szCs w:val="14"/>
              </w:rPr>
            </w:pPr>
            <w:r w:rsidRPr="00B57B36">
              <w:rPr>
                <w:rFonts w:cs="Arial"/>
                <w:sz w:val="14"/>
                <w:szCs w:val="14"/>
              </w:rPr>
              <w:t xml:space="preserve">Online at </w:t>
            </w:r>
            <w:r w:rsidR="00892AD5" w:rsidRPr="00963E05">
              <w:rPr>
                <w:rFonts w:cs="Arial"/>
                <w:sz w:val="14"/>
                <w:szCs w:val="14"/>
              </w:rPr>
              <w:t>www.aidic.it/cet</w:t>
            </w:r>
          </w:p>
        </w:tc>
      </w:tr>
      <w:tr w:rsidR="000A03B2" w:rsidRPr="00B57B36">
        <w:trPr>
          <w:trHeight w:val="68"/>
          <w:jc w:val="center"/>
        </w:trPr>
        <w:tc>
          <w:tcPr>
            <w:tcW w:w="8789" w:type="dxa"/>
            <w:gridSpan w:val="2"/>
          </w:tcPr>
          <w:p w:rsidR="00300E56" w:rsidRPr="006F0401" w:rsidRDefault="00300E56" w:rsidP="003365E3">
            <w:pPr>
              <w:ind w:left="-107"/>
              <w:rPr>
                <w:lang w:val="it-IT"/>
              </w:rPr>
            </w:pPr>
            <w:r w:rsidRPr="006F0401">
              <w:rPr>
                <w:rFonts w:ascii="Tahoma" w:hAnsi="Tahoma" w:cs="Tahoma"/>
                <w:iCs/>
                <w:color w:val="333333"/>
                <w:sz w:val="14"/>
                <w:szCs w:val="14"/>
                <w:lang w:val="it-IT" w:eastAsia="it-IT"/>
              </w:rPr>
              <w:t>Guest Editors:</w:t>
            </w:r>
            <w:r w:rsidR="00904C62" w:rsidRPr="006F0401">
              <w:rPr>
                <w:rFonts w:ascii="Tahoma" w:hAnsi="Tahoma" w:cs="Tahoma"/>
                <w:iCs/>
                <w:color w:val="333333"/>
                <w:sz w:val="14"/>
                <w:szCs w:val="14"/>
                <w:lang w:val="it-IT" w:eastAsia="it-IT"/>
              </w:rPr>
              <w:t xml:space="preserve"> </w:t>
            </w:r>
            <w:r w:rsidR="002A1EB1" w:rsidRPr="006F0401">
              <w:rPr>
                <w:rFonts w:ascii="Tahoma" w:hAnsi="Tahoma" w:cs="Tahoma"/>
                <w:color w:val="0D0D0D" w:themeColor="text1" w:themeTint="F2"/>
                <w:sz w:val="14"/>
                <w:szCs w:val="14"/>
                <w:lang w:val="it-IT"/>
              </w:rPr>
              <w:t xml:space="preserve">Andrea D’Anna, </w:t>
            </w:r>
            <w:r w:rsidR="006F0401" w:rsidRPr="006F0401">
              <w:rPr>
                <w:rFonts w:ascii="Tahoma" w:hAnsi="Tahoma" w:cs="Tahoma"/>
                <w:bCs/>
                <w:color w:val="0D0D0D" w:themeColor="text1" w:themeTint="F2"/>
                <w:sz w:val="14"/>
                <w:szCs w:val="14"/>
                <w:lang w:val="it-IT"/>
              </w:rPr>
              <w:t>Paolo Ciambelli, Carmelo Sunseri</w:t>
            </w:r>
          </w:p>
          <w:p w:rsidR="000A03B2" w:rsidRPr="00B57B36" w:rsidRDefault="00FA5F5F" w:rsidP="00131FAB">
            <w:pPr>
              <w:tabs>
                <w:tab w:val="left" w:pos="-108"/>
              </w:tabs>
              <w:spacing w:line="140" w:lineRule="atLeast"/>
              <w:ind w:left="-107"/>
              <w:jc w:val="left"/>
            </w:pPr>
            <w:r>
              <w:rPr>
                <w:rFonts w:ascii="Tahoma" w:hAnsi="Tahoma" w:cs="Tahoma"/>
                <w:iCs/>
                <w:color w:val="333333"/>
                <w:sz w:val="14"/>
                <w:szCs w:val="14"/>
                <w:lang w:eastAsia="it-IT"/>
              </w:rPr>
              <w:t>Copyright © 201</w:t>
            </w:r>
            <w:r w:rsidR="007931FA">
              <w:rPr>
                <w:rFonts w:ascii="Tahoma" w:hAnsi="Tahoma" w:cs="Tahoma"/>
                <w:iCs/>
                <w:color w:val="333333"/>
                <w:sz w:val="14"/>
                <w:szCs w:val="14"/>
                <w:lang w:eastAsia="it-IT"/>
              </w:rPr>
              <w:t>9</w:t>
            </w:r>
            <w:r w:rsidR="00904C62" w:rsidRPr="00B57B36">
              <w:rPr>
                <w:rFonts w:ascii="Tahoma" w:hAnsi="Tahoma" w:cs="Tahoma"/>
                <w:iCs/>
                <w:color w:val="333333"/>
                <w:sz w:val="14"/>
                <w:szCs w:val="14"/>
                <w:lang w:eastAsia="it-IT"/>
              </w:rPr>
              <w:t xml:space="preserve">, AIDIC </w:t>
            </w:r>
            <w:proofErr w:type="spellStart"/>
            <w:r w:rsidR="00904C62" w:rsidRPr="00B57B36">
              <w:rPr>
                <w:rFonts w:ascii="Tahoma" w:hAnsi="Tahoma" w:cs="Tahoma"/>
                <w:iCs/>
                <w:color w:val="333333"/>
                <w:sz w:val="14"/>
                <w:szCs w:val="14"/>
                <w:lang w:eastAsia="it-IT"/>
              </w:rPr>
              <w:t>Servizi</w:t>
            </w:r>
            <w:proofErr w:type="spellEnd"/>
            <w:r w:rsidR="00904C62" w:rsidRPr="00B57B36">
              <w:rPr>
                <w:rFonts w:ascii="Tahoma" w:hAnsi="Tahoma" w:cs="Tahoma"/>
                <w:iCs/>
                <w:color w:val="333333"/>
                <w:sz w:val="14"/>
                <w:szCs w:val="14"/>
                <w:lang w:eastAsia="it-IT"/>
              </w:rPr>
              <w:t xml:space="preserve"> </w:t>
            </w:r>
            <w:proofErr w:type="spellStart"/>
            <w:r w:rsidR="00904C62" w:rsidRPr="00B57B36">
              <w:rPr>
                <w:rFonts w:ascii="Tahoma" w:hAnsi="Tahoma" w:cs="Tahoma"/>
                <w:iCs/>
                <w:color w:val="333333"/>
                <w:sz w:val="14"/>
                <w:szCs w:val="14"/>
                <w:lang w:eastAsia="it-IT"/>
              </w:rPr>
              <w:t>S.r.l</w:t>
            </w:r>
            <w:proofErr w:type="spellEnd"/>
            <w:r w:rsidR="00904C62" w:rsidRPr="00B57B36">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br/>
            </w:r>
            <w:r w:rsidR="00300E56" w:rsidRPr="00B57B36">
              <w:rPr>
                <w:rFonts w:ascii="Tahoma" w:hAnsi="Tahoma" w:cs="Tahoma"/>
                <w:b/>
                <w:iCs/>
                <w:color w:val="000000"/>
                <w:sz w:val="14"/>
                <w:szCs w:val="14"/>
                <w:lang w:eastAsia="it-IT"/>
              </w:rPr>
              <w:t>ISBN</w:t>
            </w:r>
            <w:r w:rsidR="00300E56" w:rsidRPr="00B57B36">
              <w:rPr>
                <w:rFonts w:ascii="Tahoma" w:hAnsi="Tahoma" w:cs="Tahoma"/>
                <w:iCs/>
                <w:color w:val="000000"/>
                <w:sz w:val="14"/>
                <w:szCs w:val="14"/>
                <w:lang w:eastAsia="it-IT"/>
              </w:rPr>
              <w:t xml:space="preserve"> </w:t>
            </w:r>
            <w:r w:rsidR="008D32B9" w:rsidRPr="00131FAB">
              <w:rPr>
                <w:rFonts w:ascii="Tahoma" w:hAnsi="Tahoma" w:cs="Tahoma"/>
                <w:sz w:val="14"/>
                <w:szCs w:val="14"/>
              </w:rPr>
              <w:t>978-88-95608-</w:t>
            </w:r>
            <w:r w:rsidR="000E0842">
              <w:rPr>
                <w:rFonts w:ascii="Tahoma" w:hAnsi="Tahoma" w:cs="Tahoma"/>
                <w:sz w:val="14"/>
                <w:szCs w:val="14"/>
              </w:rPr>
              <w:t>70</w:t>
            </w:r>
            <w:r w:rsidR="008D32B9" w:rsidRPr="00131FAB">
              <w:rPr>
                <w:rFonts w:ascii="Tahoma" w:hAnsi="Tahoma" w:cs="Tahoma"/>
                <w:sz w:val="14"/>
                <w:szCs w:val="14"/>
              </w:rPr>
              <w:t>-</w:t>
            </w:r>
            <w:r w:rsidR="00131FAB" w:rsidRPr="00131FAB">
              <w:rPr>
                <w:rFonts w:ascii="Tahoma" w:hAnsi="Tahoma" w:cs="Tahoma"/>
                <w:sz w:val="14"/>
                <w:szCs w:val="14"/>
              </w:rPr>
              <w:t>9</w:t>
            </w:r>
            <w:r w:rsidR="00300E56" w:rsidRPr="00131FAB">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t xml:space="preserve"> </w:t>
            </w:r>
            <w:r w:rsidR="00300E56" w:rsidRPr="00B57B36">
              <w:rPr>
                <w:rFonts w:ascii="Tahoma" w:hAnsi="Tahoma" w:cs="Tahoma"/>
                <w:b/>
                <w:iCs/>
                <w:color w:val="333333"/>
                <w:sz w:val="14"/>
                <w:szCs w:val="14"/>
                <w:lang w:eastAsia="it-IT"/>
              </w:rPr>
              <w:t>ISSN</w:t>
            </w:r>
            <w:r w:rsidR="00300E56" w:rsidRPr="00B57B36">
              <w:rPr>
                <w:rFonts w:ascii="Tahoma" w:hAnsi="Tahoma" w:cs="Tahoma"/>
                <w:iCs/>
                <w:color w:val="333333"/>
                <w:sz w:val="14"/>
                <w:szCs w:val="14"/>
                <w:lang w:eastAsia="it-IT"/>
              </w:rPr>
              <w:t xml:space="preserve"> 2283-9216</w:t>
            </w:r>
          </w:p>
        </w:tc>
      </w:tr>
    </w:tbl>
    <w:p w:rsidR="000A03B2" w:rsidRPr="00B57B36" w:rsidRDefault="000A03B2" w:rsidP="000A03B2">
      <w:pPr>
        <w:pStyle w:val="CETAuthors"/>
        <w:sectPr w:rsidR="000A03B2" w:rsidRPr="00B57B36">
          <w:type w:val="continuous"/>
          <w:pgSz w:w="11906" w:h="16838" w:code="9"/>
          <w:pgMar w:top="1701" w:right="1418" w:bottom="1701" w:left="1701" w:header="1701" w:footer="0" w:gutter="0"/>
          <w:cols w:space="708"/>
          <w:titlePg/>
          <w:docGrid w:linePitch="360"/>
        </w:sectPr>
      </w:pPr>
    </w:p>
    <w:p w:rsidR="001D1609" w:rsidRPr="005F2D8E" w:rsidRDefault="000E0842" w:rsidP="001D1609">
      <w:pPr>
        <w:pStyle w:val="CETTitle"/>
        <w:rPr>
          <w:szCs w:val="32"/>
        </w:rPr>
      </w:pPr>
      <w:r>
        <w:rPr>
          <w:szCs w:val="32"/>
        </w:rPr>
        <w:lastRenderedPageBreak/>
        <w:t xml:space="preserve">Use of </w:t>
      </w:r>
      <w:proofErr w:type="spellStart"/>
      <w:r>
        <w:rPr>
          <w:szCs w:val="32"/>
        </w:rPr>
        <w:t>Nanoclay</w:t>
      </w:r>
      <w:proofErr w:type="spellEnd"/>
      <w:r>
        <w:rPr>
          <w:szCs w:val="32"/>
        </w:rPr>
        <w:t xml:space="preserve"> as an Adsorbent to Remove Cu(II) from A</w:t>
      </w:r>
      <w:r w:rsidR="001D1609" w:rsidRPr="005F2D8E">
        <w:rPr>
          <w:szCs w:val="32"/>
        </w:rPr>
        <w:t xml:space="preserve">cid </w:t>
      </w:r>
      <w:r>
        <w:rPr>
          <w:szCs w:val="32"/>
        </w:rPr>
        <w:t>Mine D</w:t>
      </w:r>
      <w:r w:rsidR="001D1609" w:rsidRPr="005F2D8E">
        <w:rPr>
          <w:szCs w:val="32"/>
        </w:rPr>
        <w:t>rainage (AMD)</w:t>
      </w:r>
    </w:p>
    <w:p w:rsidR="001D1609" w:rsidRPr="005F2D8E" w:rsidRDefault="001D1609" w:rsidP="001D1609">
      <w:pPr>
        <w:pStyle w:val="CETAuthors"/>
        <w:rPr>
          <w:szCs w:val="24"/>
          <w:lang w:val="es-PE"/>
        </w:rPr>
      </w:pPr>
      <w:r w:rsidRPr="005F2D8E">
        <w:rPr>
          <w:szCs w:val="24"/>
          <w:lang w:val="es-PE"/>
        </w:rPr>
        <w:t>Yéssica Bendezú*, Walter S. Fuentes</w:t>
      </w:r>
    </w:p>
    <w:p w:rsidR="001D1609" w:rsidRPr="005F2D8E" w:rsidRDefault="001D1609" w:rsidP="001D1609">
      <w:pPr>
        <w:pStyle w:val="CETAddress"/>
        <w:jc w:val="both"/>
        <w:rPr>
          <w:szCs w:val="16"/>
          <w:lang w:val="es-PE"/>
        </w:rPr>
      </w:pPr>
      <w:r w:rsidRPr="005F2D8E">
        <w:rPr>
          <w:szCs w:val="16"/>
          <w:lang w:val="es-PE"/>
        </w:rPr>
        <w:t xml:space="preserve">Facultad de Ingeniería Química, Universidad Nacional del Centro del Perú, </w:t>
      </w:r>
      <w:r w:rsidR="0035685E" w:rsidRPr="005F2D8E">
        <w:rPr>
          <w:szCs w:val="16"/>
          <w:lang w:val="es-PE"/>
        </w:rPr>
        <w:t>Huancayo 12000, Perú</w:t>
      </w:r>
    </w:p>
    <w:p w:rsidR="001D1609" w:rsidRDefault="00B71728" w:rsidP="001D1609">
      <w:pPr>
        <w:pStyle w:val="CETemail"/>
        <w:rPr>
          <w:szCs w:val="16"/>
          <w:lang w:val="es-PE"/>
        </w:rPr>
      </w:pPr>
      <w:r w:rsidRPr="000E0842">
        <w:rPr>
          <w:szCs w:val="16"/>
          <w:lang w:val="es-PE"/>
        </w:rPr>
        <w:t>yessiben@yahoo.com</w:t>
      </w:r>
      <w:bookmarkStart w:id="0" w:name="_GoBack"/>
      <w:bookmarkEnd w:id="0"/>
    </w:p>
    <w:p w:rsidR="001D1609" w:rsidRPr="005F2D8E" w:rsidRDefault="001D1609" w:rsidP="001D1609">
      <w:pPr>
        <w:pStyle w:val="CETBodytext"/>
        <w:rPr>
          <w:szCs w:val="18"/>
          <w:lang w:val="en-GB"/>
        </w:rPr>
      </w:pPr>
      <w:r w:rsidRPr="005F2D8E">
        <w:rPr>
          <w:szCs w:val="18"/>
          <w:lang w:val="en-GB"/>
        </w:rPr>
        <w:t xml:space="preserve">In this research, the adsorption of copper ions from acid mine drainage (AMD) using nanoclay as an adsorbent, was studied. To obtain the nanoclay, a montmorillonite (MMT) was modified with </w:t>
      </w:r>
      <w:proofErr w:type="spellStart"/>
      <w:r w:rsidRPr="005F2D8E">
        <w:rPr>
          <w:szCs w:val="18"/>
          <w:lang w:val="en-GB"/>
        </w:rPr>
        <w:t>hexadecyltrimethyl</w:t>
      </w:r>
      <w:proofErr w:type="spellEnd"/>
      <w:r w:rsidRPr="005F2D8E">
        <w:rPr>
          <w:szCs w:val="18"/>
          <w:lang w:val="en-GB"/>
        </w:rPr>
        <w:t xml:space="preserve"> ammonium (HDTMA) bromide. It was characterized by XRD and BET by adsorption of N</w:t>
      </w:r>
      <w:r w:rsidRPr="005F2D8E">
        <w:rPr>
          <w:szCs w:val="18"/>
          <w:vertAlign w:val="subscript"/>
          <w:lang w:val="en-GB"/>
        </w:rPr>
        <w:t>2</w:t>
      </w:r>
      <w:r w:rsidRPr="005F2D8E">
        <w:rPr>
          <w:szCs w:val="18"/>
          <w:lang w:val="en-GB"/>
        </w:rPr>
        <w:t xml:space="preserve"> to 77K. The AMD was taken from an abandoned mine located in </w:t>
      </w:r>
      <w:proofErr w:type="spellStart"/>
      <w:r w:rsidRPr="005F2D8E">
        <w:rPr>
          <w:szCs w:val="18"/>
          <w:lang w:val="en-GB"/>
        </w:rPr>
        <w:t>Jauja</w:t>
      </w:r>
      <w:proofErr w:type="spellEnd"/>
      <w:r w:rsidRPr="005F2D8E">
        <w:rPr>
          <w:szCs w:val="18"/>
          <w:lang w:val="en-GB"/>
        </w:rPr>
        <w:t xml:space="preserve">, Peru, which was </w:t>
      </w:r>
      <w:proofErr w:type="spellStart"/>
      <w:r w:rsidRPr="005F2D8E">
        <w:rPr>
          <w:szCs w:val="18"/>
          <w:lang w:val="en-GB"/>
        </w:rPr>
        <w:t>analyzed</w:t>
      </w:r>
      <w:proofErr w:type="spellEnd"/>
      <w:r w:rsidRPr="005F2D8E">
        <w:rPr>
          <w:szCs w:val="18"/>
          <w:lang w:val="en-GB"/>
        </w:rPr>
        <w:t xml:space="preserve"> by ICP-MS and gave a copper concentration of 38 mg/L. To determine the appropriate dosage, the nanoclay mass required for adsorption was determined, being 0.07 g/</w:t>
      </w:r>
      <w:proofErr w:type="spellStart"/>
      <w:r w:rsidRPr="005F2D8E">
        <w:rPr>
          <w:szCs w:val="18"/>
          <w:lang w:val="en-GB"/>
        </w:rPr>
        <w:t>mL.</w:t>
      </w:r>
      <w:proofErr w:type="spellEnd"/>
      <w:r w:rsidRPr="005F2D8E">
        <w:rPr>
          <w:szCs w:val="18"/>
          <w:lang w:val="en-GB"/>
        </w:rPr>
        <w:t xml:space="preserve"> The adsorption experiments were performed in batch system, at pH from 3 to 8 and contact times from 30 to 90 minutes, at room temperature, in aqueous solutions of 50 mg/L of Cu(II). The highest percentage of Cu(II) removal was given at pH 8 and 30 minutes of contact time, with 96% of removal. The mechanism of adsorption was studied at several initial concentrations of copper, using the models of Langmuir and </w:t>
      </w:r>
      <w:proofErr w:type="spellStart"/>
      <w:r w:rsidRPr="005F2D8E">
        <w:rPr>
          <w:szCs w:val="18"/>
          <w:lang w:val="en-GB"/>
        </w:rPr>
        <w:t>Freundlich</w:t>
      </w:r>
      <w:proofErr w:type="spellEnd"/>
      <w:r w:rsidRPr="005F2D8E">
        <w:rPr>
          <w:szCs w:val="18"/>
          <w:lang w:val="en-GB"/>
        </w:rPr>
        <w:t xml:space="preserve">, finding that the one that best suited this process was the Langmuir isotherm. The adsorption capacity of the nanoclay, calculated by the Langmuir isotherm for Cu(II) was 7.53 mg/g. Finally, this procedure was applied to samples of AMD, obtaining a final concentration of </w:t>
      </w:r>
      <w:r w:rsidRPr="005F2D8E">
        <w:rPr>
          <w:rFonts w:cs="Arial"/>
          <w:szCs w:val="18"/>
        </w:rPr>
        <w:t xml:space="preserve">0.4 mg/L </w:t>
      </w:r>
      <w:r w:rsidRPr="005F2D8E">
        <w:rPr>
          <w:szCs w:val="18"/>
          <w:lang w:val="en-GB"/>
        </w:rPr>
        <w:t>for Cu(II) after the treatment.</w:t>
      </w:r>
    </w:p>
    <w:p w:rsidR="001D1609" w:rsidRPr="00194974" w:rsidRDefault="001D1609" w:rsidP="001D1609">
      <w:pPr>
        <w:pStyle w:val="CETHeading1"/>
        <w:rPr>
          <w:lang w:val="en-GB"/>
        </w:rPr>
      </w:pPr>
      <w:r w:rsidRPr="00194974">
        <w:rPr>
          <w:lang w:val="en-GB"/>
        </w:rPr>
        <w:t>Introduction</w:t>
      </w:r>
    </w:p>
    <w:p w:rsidR="001D1609" w:rsidRPr="00194974" w:rsidRDefault="001D1609" w:rsidP="001D1609">
      <w:pPr>
        <w:pStyle w:val="CETBodytext"/>
        <w:rPr>
          <w:szCs w:val="18"/>
        </w:rPr>
      </w:pPr>
      <w:r w:rsidRPr="00194974">
        <w:rPr>
          <w:szCs w:val="18"/>
        </w:rPr>
        <w:t>The contamination of water by heavy metal ions is becoming an environmental problem due to the high toxicity of some of these elements and their tendency to accumulate through the food chain, affecting all living organisms and the ecological system. Some of important metal contaminated effluents are found in mining areas. Despite the negative environmental impact of mining, it is still a worldwide important industrial sector of economy (</w:t>
      </w:r>
      <w:proofErr w:type="spellStart"/>
      <w:r w:rsidRPr="00194974">
        <w:rPr>
          <w:szCs w:val="18"/>
        </w:rPr>
        <w:t>Baltazar</w:t>
      </w:r>
      <w:proofErr w:type="spellEnd"/>
      <w:r w:rsidRPr="00194974">
        <w:rPr>
          <w:szCs w:val="18"/>
        </w:rPr>
        <w:t xml:space="preserve"> et al., 2018). The </w:t>
      </w:r>
      <w:r w:rsidRPr="00194974">
        <w:rPr>
          <w:szCs w:val="18"/>
          <w:lang w:val="en-GB"/>
        </w:rPr>
        <w:t>acid mine drainage</w:t>
      </w:r>
      <w:r w:rsidRPr="00194974">
        <w:rPr>
          <w:szCs w:val="18"/>
        </w:rPr>
        <w:t xml:space="preserve"> (AMD) is a strong acidic wastewater rich in high concentrations of dissolved ferrous and non-ferrous metal </w:t>
      </w:r>
      <w:proofErr w:type="spellStart"/>
      <w:r w:rsidRPr="00194974">
        <w:rPr>
          <w:szCs w:val="18"/>
        </w:rPr>
        <w:t>sulphates</w:t>
      </w:r>
      <w:proofErr w:type="spellEnd"/>
      <w:r w:rsidRPr="00194974">
        <w:rPr>
          <w:szCs w:val="18"/>
        </w:rPr>
        <w:t>, and salts (</w:t>
      </w:r>
      <w:proofErr w:type="spellStart"/>
      <w:r w:rsidRPr="00194974">
        <w:rPr>
          <w:szCs w:val="18"/>
        </w:rPr>
        <w:t>Macingova</w:t>
      </w:r>
      <w:proofErr w:type="spellEnd"/>
      <w:r w:rsidRPr="00194974">
        <w:rPr>
          <w:szCs w:val="18"/>
        </w:rPr>
        <w:t xml:space="preserve"> et al., 2012) and if AMD is left untreated, it can contaminate ground and surface watercourses, damaging the health of plants, humans, wildlife, and aquatic species (</w:t>
      </w:r>
      <w:proofErr w:type="spellStart"/>
      <w:r w:rsidRPr="00194974">
        <w:rPr>
          <w:szCs w:val="18"/>
        </w:rPr>
        <w:t>Filion</w:t>
      </w:r>
      <w:proofErr w:type="spellEnd"/>
      <w:r w:rsidRPr="00194974">
        <w:rPr>
          <w:szCs w:val="18"/>
        </w:rPr>
        <w:t xml:space="preserve"> et al., 1990).</w:t>
      </w:r>
    </w:p>
    <w:p w:rsidR="001D1609" w:rsidRPr="00194974" w:rsidRDefault="001D1609" w:rsidP="001D1609">
      <w:pPr>
        <w:pStyle w:val="CETBodytext"/>
        <w:rPr>
          <w:szCs w:val="18"/>
        </w:rPr>
      </w:pPr>
      <w:r w:rsidRPr="00194974">
        <w:rPr>
          <w:szCs w:val="18"/>
        </w:rPr>
        <w:t xml:space="preserve">One of the metals that </w:t>
      </w:r>
      <w:r w:rsidR="00217850" w:rsidRPr="00194974">
        <w:rPr>
          <w:szCs w:val="18"/>
        </w:rPr>
        <w:t>are</w:t>
      </w:r>
      <w:r w:rsidRPr="00194974">
        <w:rPr>
          <w:szCs w:val="18"/>
        </w:rPr>
        <w:t xml:space="preserve"> found in </w:t>
      </w:r>
      <w:r w:rsidR="00217850">
        <w:rPr>
          <w:szCs w:val="18"/>
        </w:rPr>
        <w:t>AMD</w:t>
      </w:r>
      <w:r w:rsidRPr="00194974">
        <w:rPr>
          <w:szCs w:val="18"/>
        </w:rPr>
        <w:t xml:space="preserve"> is copper, that is an essential trace element needed for human body and well known micronutrient for plants and animals but it is toxic if it exceeds the limit specified. Excessive concentration of copper may cause vomiting, diarrhea, stomach cramp coma, jaundice, gastrointestinal distress and nausea (</w:t>
      </w:r>
      <w:proofErr w:type="spellStart"/>
      <w:r w:rsidRPr="00194974">
        <w:rPr>
          <w:szCs w:val="18"/>
        </w:rPr>
        <w:t>Sudha</w:t>
      </w:r>
      <w:proofErr w:type="spellEnd"/>
      <w:r w:rsidRPr="00194974">
        <w:rPr>
          <w:szCs w:val="18"/>
        </w:rPr>
        <w:t xml:space="preserve"> et al., 2018). </w:t>
      </w:r>
    </w:p>
    <w:p w:rsidR="001D1609" w:rsidRPr="00194974" w:rsidRDefault="001D1609" w:rsidP="001D1609">
      <w:pPr>
        <w:pStyle w:val="CETBodytext"/>
        <w:rPr>
          <w:szCs w:val="18"/>
        </w:rPr>
      </w:pPr>
      <w:r w:rsidRPr="00194974">
        <w:rPr>
          <w:szCs w:val="18"/>
        </w:rPr>
        <w:t>Nowadays, adsorption is identified as an effective and economic method for the heavy metal wastewater treatment (</w:t>
      </w:r>
      <w:proofErr w:type="spellStart"/>
      <w:r w:rsidRPr="00194974">
        <w:rPr>
          <w:szCs w:val="18"/>
        </w:rPr>
        <w:t>Patterer</w:t>
      </w:r>
      <w:proofErr w:type="spellEnd"/>
      <w:r w:rsidRPr="00194974">
        <w:rPr>
          <w:szCs w:val="18"/>
        </w:rPr>
        <w:t>, 2017). Adsorption is considered very attractive considering its pollutant removal efficiency in dilute solutions. This technique generally involves the use of conventional adsorbents, such as activated carbon (Lima et al., 2017), zeolite, clay and other silica-alumina materials (</w:t>
      </w:r>
      <w:proofErr w:type="spellStart"/>
      <w:r w:rsidRPr="00194974">
        <w:rPr>
          <w:szCs w:val="18"/>
        </w:rPr>
        <w:t>Kyzas</w:t>
      </w:r>
      <w:proofErr w:type="spellEnd"/>
      <w:r w:rsidRPr="00194974">
        <w:rPr>
          <w:szCs w:val="18"/>
        </w:rPr>
        <w:t xml:space="preserve"> and </w:t>
      </w:r>
      <w:proofErr w:type="spellStart"/>
      <w:r w:rsidRPr="00194974">
        <w:rPr>
          <w:szCs w:val="18"/>
        </w:rPr>
        <w:t>Bikiaris</w:t>
      </w:r>
      <w:proofErr w:type="spellEnd"/>
      <w:r w:rsidRPr="00194974">
        <w:rPr>
          <w:szCs w:val="18"/>
        </w:rPr>
        <w:t>, 2015). Clay minerals have drawn much attention due to their distinctive features, such as ion exchange properties, its large specific surface area, high sorption capacity, swelling, intercalation behavior and their lower cost compared to synthesized materials (e.g. silica gel, zeolite) (</w:t>
      </w:r>
      <w:proofErr w:type="spellStart"/>
      <w:r w:rsidRPr="00194974">
        <w:rPr>
          <w:szCs w:val="18"/>
        </w:rPr>
        <w:t>Sahidu</w:t>
      </w:r>
      <w:proofErr w:type="spellEnd"/>
      <w:r w:rsidRPr="00194974">
        <w:rPr>
          <w:szCs w:val="18"/>
        </w:rPr>
        <w:t xml:space="preserve"> et al., 2008). One of the modified materials that can be obtained from clay is the nanoclay. It can be obtained from montmorillonite by intercalating it with organic compounds such as amines, thus enhancing its adsorbing properties. Currently, </w:t>
      </w:r>
      <w:proofErr w:type="spellStart"/>
      <w:r w:rsidRPr="00194974">
        <w:rPr>
          <w:szCs w:val="18"/>
        </w:rPr>
        <w:t>nanoclays</w:t>
      </w:r>
      <w:proofErr w:type="spellEnd"/>
      <w:r w:rsidRPr="00194974">
        <w:rPr>
          <w:szCs w:val="18"/>
        </w:rPr>
        <w:t xml:space="preserve"> have been studied to remove heavy metals and proved to be a great adsorbent.</w:t>
      </w:r>
    </w:p>
    <w:p w:rsidR="001D1609" w:rsidRPr="00194974" w:rsidRDefault="001D1609" w:rsidP="001D1609">
      <w:pPr>
        <w:pStyle w:val="CETBodytext"/>
        <w:rPr>
          <w:szCs w:val="18"/>
          <w:lang w:val="en-GB"/>
        </w:rPr>
      </w:pPr>
      <w:r w:rsidRPr="00194974">
        <w:rPr>
          <w:szCs w:val="18"/>
        </w:rPr>
        <w:t xml:space="preserve">The aim of this study was to investigate the removal of Cu (II) from AMD using nanoclay obtained from </w:t>
      </w:r>
      <w:r w:rsidRPr="00194974">
        <w:rPr>
          <w:szCs w:val="18"/>
          <w:lang w:val="en-GB"/>
        </w:rPr>
        <w:t xml:space="preserve">montmorillonite (MMT) that was modified with </w:t>
      </w:r>
      <w:proofErr w:type="spellStart"/>
      <w:r w:rsidRPr="00194974">
        <w:rPr>
          <w:szCs w:val="18"/>
          <w:lang w:val="en-GB"/>
        </w:rPr>
        <w:t>hexadecyltrimethyl</w:t>
      </w:r>
      <w:proofErr w:type="spellEnd"/>
      <w:r w:rsidRPr="00194974">
        <w:rPr>
          <w:szCs w:val="18"/>
          <w:lang w:val="en-GB"/>
        </w:rPr>
        <w:t xml:space="preserve"> ammonium (HDTMA) bromide. First, the </w:t>
      </w:r>
      <w:r w:rsidRPr="00194974">
        <w:rPr>
          <w:szCs w:val="18"/>
          <w:lang w:val="en-GB"/>
        </w:rPr>
        <w:lastRenderedPageBreak/>
        <w:t xml:space="preserve">experiments were done in </w:t>
      </w:r>
      <w:r w:rsidRPr="00194974">
        <w:rPr>
          <w:szCs w:val="18"/>
        </w:rPr>
        <w:t xml:space="preserve">aqueous solutions of copper using batch system and then in real AMD. Also, the effect of different variables on adsorption of copper ions was investigated and optimum conditions were recognized. Langmuir and </w:t>
      </w:r>
      <w:proofErr w:type="spellStart"/>
      <w:r w:rsidRPr="00194974">
        <w:rPr>
          <w:szCs w:val="18"/>
        </w:rPr>
        <w:t>Freundlich</w:t>
      </w:r>
      <w:proofErr w:type="spellEnd"/>
      <w:r w:rsidRPr="00194974">
        <w:rPr>
          <w:szCs w:val="18"/>
        </w:rPr>
        <w:t xml:space="preserve"> isotherm models were applied.</w:t>
      </w:r>
    </w:p>
    <w:p w:rsidR="001D1609" w:rsidRPr="00194974" w:rsidRDefault="001D1609" w:rsidP="001D1609">
      <w:pPr>
        <w:pStyle w:val="CETHeading1"/>
        <w:tabs>
          <w:tab w:val="clear" w:pos="360"/>
          <w:tab w:val="right" w:pos="7100"/>
        </w:tabs>
        <w:jc w:val="both"/>
        <w:rPr>
          <w:lang w:val="en-GB"/>
        </w:rPr>
      </w:pPr>
      <w:r w:rsidRPr="00194974">
        <w:rPr>
          <w:lang w:val="en-GB"/>
        </w:rPr>
        <w:t>Methodology</w:t>
      </w:r>
    </w:p>
    <w:p w:rsidR="001D1609" w:rsidRPr="00194974" w:rsidRDefault="001D1609" w:rsidP="000E0842">
      <w:pPr>
        <w:pStyle w:val="CETheadingx"/>
        <w:numPr>
          <w:ilvl w:val="0"/>
          <w:numId w:val="0"/>
        </w:numPr>
      </w:pPr>
      <w:r w:rsidRPr="00194974">
        <w:rPr>
          <w:lang w:val="en-GB"/>
        </w:rPr>
        <w:t xml:space="preserve">2.1. </w:t>
      </w:r>
      <w:r w:rsidRPr="00194974">
        <w:t>Preparation of nanoclay</w:t>
      </w:r>
    </w:p>
    <w:p w:rsidR="001D1609" w:rsidRPr="00194974" w:rsidRDefault="001D1609" w:rsidP="001D1609">
      <w:pPr>
        <w:pStyle w:val="CETBodytext"/>
        <w:rPr>
          <w:szCs w:val="18"/>
        </w:rPr>
      </w:pPr>
      <w:r w:rsidRPr="00194974">
        <w:rPr>
          <w:szCs w:val="18"/>
        </w:rPr>
        <w:t xml:space="preserve">The natural bentonite was collected from the deposit located in </w:t>
      </w:r>
      <w:proofErr w:type="spellStart"/>
      <w:r w:rsidRPr="00194974">
        <w:rPr>
          <w:szCs w:val="18"/>
        </w:rPr>
        <w:t>Chongos</w:t>
      </w:r>
      <w:proofErr w:type="spellEnd"/>
      <w:r w:rsidRPr="00194974">
        <w:rPr>
          <w:szCs w:val="18"/>
        </w:rPr>
        <w:t xml:space="preserve"> </w:t>
      </w:r>
      <w:proofErr w:type="spellStart"/>
      <w:r w:rsidRPr="00194974">
        <w:rPr>
          <w:szCs w:val="18"/>
        </w:rPr>
        <w:t>Bajo</w:t>
      </w:r>
      <w:proofErr w:type="spellEnd"/>
      <w:r w:rsidRPr="00194974">
        <w:rPr>
          <w:szCs w:val="18"/>
        </w:rPr>
        <w:t xml:space="preserve">, Junín, Peru. </w:t>
      </w:r>
      <w:r w:rsidR="0058599B">
        <w:rPr>
          <w:szCs w:val="18"/>
        </w:rPr>
        <w:t xml:space="preserve">To obtain the montmorillonite, </w:t>
      </w:r>
      <w:r w:rsidR="0058599B" w:rsidRPr="00194974">
        <w:rPr>
          <w:szCs w:val="18"/>
          <w:lang w:val="en-GB"/>
        </w:rPr>
        <w:t>previously</w:t>
      </w:r>
      <w:r w:rsidRPr="00194974">
        <w:rPr>
          <w:szCs w:val="18"/>
          <w:lang w:val="en-GB"/>
        </w:rPr>
        <w:t xml:space="preserve">, the bentonite was purified according to </w:t>
      </w:r>
      <w:proofErr w:type="spellStart"/>
      <w:r w:rsidRPr="00194974">
        <w:rPr>
          <w:szCs w:val="18"/>
          <w:lang w:val="en-GB"/>
        </w:rPr>
        <w:t>Stokes's</w:t>
      </w:r>
      <w:proofErr w:type="spellEnd"/>
      <w:r w:rsidRPr="00194974">
        <w:rPr>
          <w:szCs w:val="18"/>
          <w:lang w:val="en-GB"/>
        </w:rPr>
        <w:t xml:space="preserve"> sedimentation law. The cation exchange capacity (CEC) was determined by the sodium saturation method, it was 80 </w:t>
      </w:r>
      <w:proofErr w:type="spellStart"/>
      <w:r w:rsidRPr="00194974">
        <w:rPr>
          <w:szCs w:val="18"/>
          <w:lang w:val="en-GB"/>
        </w:rPr>
        <w:t>meq</w:t>
      </w:r>
      <w:proofErr w:type="spellEnd"/>
      <w:r w:rsidRPr="00194974">
        <w:rPr>
          <w:szCs w:val="18"/>
          <w:lang w:val="en-GB"/>
        </w:rPr>
        <w:t xml:space="preserve">/100g of clay. </w:t>
      </w:r>
      <w:r w:rsidRPr="00194974">
        <w:rPr>
          <w:szCs w:val="18"/>
        </w:rPr>
        <w:t>The synthesis of nanoclay was conducted by the following procedure. An amount of 2 g of montmorillonite previously dried was dispersed with 200 mL of distilled water for 24 h using a magnetic stirrer at temperature room (</w:t>
      </w:r>
      <w:proofErr w:type="spellStart"/>
      <w:r w:rsidRPr="00194974">
        <w:rPr>
          <w:szCs w:val="18"/>
        </w:rPr>
        <w:t>Shirzad-Siboni</w:t>
      </w:r>
      <w:proofErr w:type="spellEnd"/>
      <w:r w:rsidRPr="00194974">
        <w:rPr>
          <w:szCs w:val="18"/>
        </w:rPr>
        <w:t xml:space="preserve"> et al., 2015). Then, add 0.7 g of </w:t>
      </w:r>
      <w:proofErr w:type="spellStart"/>
      <w:r w:rsidR="0058599B" w:rsidRPr="005F2D8E">
        <w:rPr>
          <w:szCs w:val="18"/>
          <w:lang w:val="en-GB"/>
        </w:rPr>
        <w:t>hexadecyltrimethyl</w:t>
      </w:r>
      <w:proofErr w:type="spellEnd"/>
      <w:r w:rsidR="0058599B" w:rsidRPr="005F2D8E">
        <w:rPr>
          <w:szCs w:val="18"/>
          <w:lang w:val="en-GB"/>
        </w:rPr>
        <w:t xml:space="preserve"> ammonium bromide</w:t>
      </w:r>
      <w:r w:rsidRPr="00194974">
        <w:rPr>
          <w:szCs w:val="18"/>
        </w:rPr>
        <w:t xml:space="preserve"> to the MMT solution, mix it for 5 hours at a temperature of 80 °C. Centrifuge the solution until the excess </w:t>
      </w:r>
      <w:r w:rsidR="0058599B">
        <w:rPr>
          <w:szCs w:val="18"/>
        </w:rPr>
        <w:t xml:space="preserve">of </w:t>
      </w:r>
      <w:r w:rsidRPr="00194974">
        <w:rPr>
          <w:szCs w:val="18"/>
        </w:rPr>
        <w:t>water is eliminated. Dry the obtained nanoclay at 90 °C in an oven for 24 h. The nanoclay was ground, sieved and stored. The X-ray diffraction (XRD) characterization of nanoclay was performed with a Philips-</w:t>
      </w:r>
      <w:proofErr w:type="spellStart"/>
      <w:r w:rsidRPr="00194974">
        <w:rPr>
          <w:szCs w:val="18"/>
        </w:rPr>
        <w:t>X´Pert</w:t>
      </w:r>
      <w:proofErr w:type="spellEnd"/>
      <w:r w:rsidRPr="00194974">
        <w:rPr>
          <w:szCs w:val="18"/>
        </w:rPr>
        <w:t xml:space="preserve"> XRD instrument. Physicochemical characterization was recorded on a surface area analyzer and porosity (Micromeritics-Gemini VII 2390) equipment.</w:t>
      </w:r>
    </w:p>
    <w:p w:rsidR="001D1609" w:rsidRPr="00194974" w:rsidRDefault="001D1609" w:rsidP="000E0842">
      <w:pPr>
        <w:pStyle w:val="CETheadingx"/>
        <w:numPr>
          <w:ilvl w:val="0"/>
          <w:numId w:val="0"/>
        </w:numPr>
      </w:pPr>
      <w:r w:rsidRPr="00194974">
        <w:t xml:space="preserve">2.2. </w:t>
      </w:r>
      <w:r w:rsidR="0058599B" w:rsidRPr="0058599B">
        <w:t>Acid Mine Drainage</w:t>
      </w:r>
      <w:r w:rsidR="0058599B" w:rsidRPr="00194974">
        <w:t xml:space="preserve"> </w:t>
      </w:r>
      <w:r w:rsidR="0058599B">
        <w:t>(AMD)</w:t>
      </w:r>
      <w:r w:rsidRPr="00194974">
        <w:t xml:space="preserve"> sampling</w:t>
      </w:r>
    </w:p>
    <w:p w:rsidR="001D1609" w:rsidRPr="00AA085F" w:rsidRDefault="001D1609" w:rsidP="00AA085F">
      <w:pPr>
        <w:pStyle w:val="CETBodytext"/>
        <w:rPr>
          <w:szCs w:val="18"/>
        </w:rPr>
      </w:pPr>
      <w:r w:rsidRPr="00194974">
        <w:rPr>
          <w:szCs w:val="18"/>
        </w:rPr>
        <w:t xml:space="preserve">The AMD sample was taken from an abandoned mine located in </w:t>
      </w:r>
      <w:proofErr w:type="spellStart"/>
      <w:r w:rsidRPr="00194974">
        <w:rPr>
          <w:szCs w:val="18"/>
        </w:rPr>
        <w:t>Jauja</w:t>
      </w:r>
      <w:proofErr w:type="spellEnd"/>
      <w:r w:rsidRPr="00194974">
        <w:rPr>
          <w:szCs w:val="18"/>
        </w:rPr>
        <w:t>, Peru, which was analyzed by Mass Spectrometry with Inductively Coupled Plasma (ICP-MS), the initial concentration of copper was 38 mg/L, also present large quantities of iron.</w:t>
      </w:r>
    </w:p>
    <w:p w:rsidR="001D1609" w:rsidRPr="00194974" w:rsidRDefault="001D1609" w:rsidP="000E0842">
      <w:pPr>
        <w:pStyle w:val="CETheadingx"/>
        <w:numPr>
          <w:ilvl w:val="0"/>
          <w:numId w:val="0"/>
        </w:numPr>
        <w:rPr>
          <w:rFonts w:ascii="inherit" w:hAnsi="inherit" w:cs="Courier New"/>
          <w:color w:val="212121"/>
          <w:lang w:eastAsia="es-PE"/>
        </w:rPr>
      </w:pPr>
      <w:r w:rsidRPr="00194974">
        <w:t>2.3. Removal of Cu (II) with nanoclay</w:t>
      </w:r>
    </w:p>
    <w:p w:rsidR="001D1609" w:rsidRPr="00AA085F" w:rsidRDefault="001D1609" w:rsidP="00AA085F">
      <w:pPr>
        <w:pStyle w:val="CETBodytext"/>
        <w:rPr>
          <w:szCs w:val="18"/>
        </w:rPr>
      </w:pPr>
      <w:r w:rsidRPr="00AA085F">
        <w:rPr>
          <w:szCs w:val="18"/>
        </w:rPr>
        <w:t>An aqueous solution of 50 mg/L of Cu (II) was prepared from a standard solution of 1000 mg/L of Cu (II) of the Merck brand.</w:t>
      </w:r>
    </w:p>
    <w:p w:rsidR="001D1609" w:rsidRPr="00194974" w:rsidRDefault="001D1609" w:rsidP="00AA085F">
      <w:pPr>
        <w:pStyle w:val="CETBodytext"/>
        <w:rPr>
          <w:szCs w:val="18"/>
        </w:rPr>
      </w:pPr>
      <w:r w:rsidRPr="00194974">
        <w:rPr>
          <w:szCs w:val="18"/>
        </w:rPr>
        <w:t>Experiments were performed to determine the optimal dosage of the adsorbent by means of a mass curve, using different amounts of nanoclay</w:t>
      </w:r>
      <w:r w:rsidR="00A10399">
        <w:rPr>
          <w:szCs w:val="18"/>
        </w:rPr>
        <w:t xml:space="preserve">, </w:t>
      </w:r>
      <w:r w:rsidRPr="00194974">
        <w:rPr>
          <w:szCs w:val="18"/>
        </w:rPr>
        <w:t>from 1.0 to 9.0 g/L.</w:t>
      </w:r>
      <w:r w:rsidRPr="00AA085F">
        <w:rPr>
          <w:szCs w:val="18"/>
        </w:rPr>
        <w:t xml:space="preserve"> </w:t>
      </w:r>
      <w:r w:rsidRPr="00194974">
        <w:rPr>
          <w:szCs w:val="18"/>
        </w:rPr>
        <w:t>The study of the influence of pH was done adjusting the pH of the process in a range of 3 to 8</w:t>
      </w:r>
      <w:r w:rsidR="008658F5">
        <w:rPr>
          <w:szCs w:val="18"/>
        </w:rPr>
        <w:t>.</w:t>
      </w:r>
      <w:r w:rsidRPr="00194974">
        <w:rPr>
          <w:szCs w:val="18"/>
        </w:rPr>
        <w:t xml:space="preserve"> </w:t>
      </w:r>
      <w:r w:rsidR="008658F5">
        <w:rPr>
          <w:szCs w:val="18"/>
        </w:rPr>
        <w:t>T</w:t>
      </w:r>
      <w:r w:rsidRPr="00194974">
        <w:rPr>
          <w:szCs w:val="18"/>
        </w:rPr>
        <w:t xml:space="preserve">he parameters of operation were as follows, agitation speed of 200 rpm, volume of the solution of copper 40 mL at room temperature. The pH of solutions was regulated with 1.0 and 0.1 M </w:t>
      </w:r>
      <w:proofErr w:type="spellStart"/>
      <w:r w:rsidRPr="00194974">
        <w:rPr>
          <w:szCs w:val="18"/>
        </w:rPr>
        <w:t>HCl</w:t>
      </w:r>
      <w:proofErr w:type="spellEnd"/>
      <w:r w:rsidRPr="00194974">
        <w:rPr>
          <w:szCs w:val="18"/>
        </w:rPr>
        <w:t xml:space="preserve"> or 1.0 and 0.1 M </w:t>
      </w:r>
      <w:proofErr w:type="spellStart"/>
      <w:r w:rsidRPr="00194974">
        <w:rPr>
          <w:szCs w:val="18"/>
        </w:rPr>
        <w:t>NaOH</w:t>
      </w:r>
      <w:proofErr w:type="spellEnd"/>
      <w:r w:rsidRPr="00194974">
        <w:rPr>
          <w:szCs w:val="18"/>
        </w:rPr>
        <w:t xml:space="preserve">, and measured by </w:t>
      </w:r>
      <w:r w:rsidR="008658F5">
        <w:rPr>
          <w:szCs w:val="18"/>
        </w:rPr>
        <w:t xml:space="preserve">a </w:t>
      </w:r>
      <w:r w:rsidRPr="00194974">
        <w:rPr>
          <w:szCs w:val="18"/>
        </w:rPr>
        <w:t xml:space="preserve">pH meter (Analytics, </w:t>
      </w:r>
      <w:proofErr w:type="spellStart"/>
      <w:r w:rsidRPr="00194974">
        <w:rPr>
          <w:szCs w:val="18"/>
        </w:rPr>
        <w:t>Handylab</w:t>
      </w:r>
      <w:proofErr w:type="spellEnd"/>
      <w:r w:rsidRPr="00194974">
        <w:rPr>
          <w:szCs w:val="18"/>
        </w:rPr>
        <w:t>)</w:t>
      </w:r>
      <w:r w:rsidRPr="00AA085F">
        <w:rPr>
          <w:szCs w:val="18"/>
        </w:rPr>
        <w:t xml:space="preserve">. </w:t>
      </w:r>
      <w:r w:rsidRPr="00194974">
        <w:rPr>
          <w:szCs w:val="18"/>
        </w:rPr>
        <w:t xml:space="preserve">The obtained solutions were analyzed in an Atomic </w:t>
      </w:r>
      <w:r w:rsidR="008658F5">
        <w:rPr>
          <w:szCs w:val="18"/>
        </w:rPr>
        <w:t>A</w:t>
      </w:r>
      <w:r w:rsidRPr="00194974">
        <w:rPr>
          <w:szCs w:val="18"/>
        </w:rPr>
        <w:t xml:space="preserve">bsorption </w:t>
      </w:r>
      <w:r w:rsidR="008658F5">
        <w:rPr>
          <w:szCs w:val="18"/>
        </w:rPr>
        <w:t>S</w:t>
      </w:r>
      <w:r w:rsidRPr="00194974">
        <w:rPr>
          <w:szCs w:val="18"/>
        </w:rPr>
        <w:t>pectrophotometer (Varian-220FS).</w:t>
      </w:r>
    </w:p>
    <w:p w:rsidR="001D1609" w:rsidRPr="00194974" w:rsidRDefault="008658F5" w:rsidP="008658F5">
      <w:pPr>
        <w:pStyle w:val="CETBodytext"/>
        <w:rPr>
          <w:szCs w:val="18"/>
        </w:rPr>
      </w:pPr>
      <w:r w:rsidRPr="008658F5">
        <w:rPr>
          <w:szCs w:val="18"/>
        </w:rPr>
        <w:t xml:space="preserve">The dependence of the initial concentration of copper ions in the adsorption process was studied, performing </w:t>
      </w:r>
      <w:r>
        <w:rPr>
          <w:szCs w:val="18"/>
        </w:rPr>
        <w:t>experiments</w:t>
      </w:r>
      <w:r w:rsidRPr="008658F5">
        <w:rPr>
          <w:szCs w:val="18"/>
        </w:rPr>
        <w:t xml:space="preserve"> at different concentrations of copper ions in a range of 10 to 50 mg/</w:t>
      </w:r>
      <w:r>
        <w:rPr>
          <w:szCs w:val="18"/>
        </w:rPr>
        <w:t>L</w:t>
      </w:r>
      <w:r w:rsidRPr="008658F5">
        <w:rPr>
          <w:szCs w:val="18"/>
        </w:rPr>
        <w:t>.</w:t>
      </w:r>
    </w:p>
    <w:p w:rsidR="001D1609" w:rsidRPr="00194974" w:rsidRDefault="001D1609" w:rsidP="00AA085F">
      <w:pPr>
        <w:pStyle w:val="CETBodytext"/>
        <w:rPr>
          <w:szCs w:val="18"/>
        </w:rPr>
      </w:pPr>
      <w:r w:rsidRPr="00194974">
        <w:rPr>
          <w:szCs w:val="18"/>
        </w:rPr>
        <w:t xml:space="preserve">The amount of copper ions adsorbed per nanoclay mass unit, </w:t>
      </w:r>
      <m:oMath>
        <m:sSub>
          <m:sSubPr>
            <m:ctrlPr>
              <w:rPr>
                <w:rFonts w:ascii="Cambria Math" w:hAnsi="Cambria Math" w:cs="Arial"/>
                <w:i/>
              </w:rPr>
            </m:ctrlPr>
          </m:sSubPr>
          <m:e>
            <m:r>
              <w:rPr>
                <w:rFonts w:ascii="Cambria Math" w:hAnsi="Cambria Math" w:cs="Arial"/>
              </w:rPr>
              <m:t>q</m:t>
            </m:r>
          </m:e>
          <m:sub>
            <m:r>
              <w:rPr>
                <w:rFonts w:ascii="Cambria Math" w:hAnsi="Cambria Math" w:cs="Arial"/>
              </w:rPr>
              <m:t>e</m:t>
            </m:r>
          </m:sub>
        </m:sSub>
      </m:oMath>
      <w:r w:rsidRPr="00194974">
        <w:rPr>
          <w:szCs w:val="18"/>
        </w:rPr>
        <w:t xml:space="preserve"> (mg/g) was calculated by the following equation:</w:t>
      </w:r>
    </w:p>
    <w:tbl>
      <w:tblPr>
        <w:tblW w:w="5000" w:type="pct"/>
        <w:tblLook w:val="04A0" w:firstRow="1" w:lastRow="0" w:firstColumn="1" w:lastColumn="0" w:noHBand="0" w:noVBand="1"/>
      </w:tblPr>
      <w:tblGrid>
        <w:gridCol w:w="8188"/>
        <w:gridCol w:w="815"/>
      </w:tblGrid>
      <w:tr w:rsidR="001D1609" w:rsidRPr="00A17EDD" w:rsidTr="00B01300">
        <w:tc>
          <w:tcPr>
            <w:tcW w:w="8188" w:type="dxa"/>
            <w:shd w:val="clear" w:color="auto" w:fill="auto"/>
            <w:vAlign w:val="center"/>
          </w:tcPr>
          <w:p w:rsidR="001D1609" w:rsidRPr="00194974" w:rsidRDefault="00094505" w:rsidP="00B01300">
            <w:pPr>
              <w:pStyle w:val="CETEquation"/>
              <w:rPr>
                <w:rFonts w:cs="Arial"/>
                <w:sz w:val="16"/>
              </w:rPr>
            </w:pPr>
            <m:oMathPara>
              <m:oMathParaPr>
                <m:jc m:val="left"/>
              </m:oMathParaPr>
              <m:oMath>
                <m:sSub>
                  <m:sSubPr>
                    <m:ctrlPr>
                      <w:rPr>
                        <w:rFonts w:ascii="Cambria Math" w:hAnsi="Cambria Math" w:cs="Arial"/>
                        <w:i/>
                      </w:rPr>
                    </m:ctrlPr>
                  </m:sSubPr>
                  <m:e>
                    <m:r>
                      <w:rPr>
                        <w:rFonts w:ascii="Cambria Math" w:hAnsi="Cambria Math" w:cs="Arial"/>
                      </w:rPr>
                      <m:t>q</m:t>
                    </m:r>
                  </m:e>
                  <m:sub>
                    <m:r>
                      <w:rPr>
                        <w:rFonts w:ascii="Cambria Math" w:hAnsi="Cambria Math" w:cs="Arial"/>
                      </w:rPr>
                      <m:t>e</m:t>
                    </m:r>
                  </m:sub>
                </m:sSub>
                <m:r>
                  <w:rPr>
                    <w:rFonts w:ascii="Cambria Math" w:hAnsi="Cambria Math" w:cs="Arial"/>
                  </w:rPr>
                  <m:t>=</m:t>
                </m:r>
                <m:f>
                  <m:fPr>
                    <m:ctrlPr>
                      <w:rPr>
                        <w:rFonts w:ascii="Cambria Math" w:hAnsi="Cambria Math" w:cs="Arial"/>
                        <w:i/>
                      </w:rPr>
                    </m:ctrlPr>
                  </m:fPr>
                  <m:num>
                    <m:r>
                      <w:rPr>
                        <w:rFonts w:ascii="Cambria Math" w:hAnsi="Cambria Math" w:cs="Arial"/>
                      </w:rPr>
                      <m:t>V</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o</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e</m:t>
                            </m:r>
                          </m:sub>
                        </m:sSub>
                      </m:e>
                    </m:d>
                  </m:num>
                  <m:den>
                    <m:r>
                      <w:rPr>
                        <w:rFonts w:ascii="Cambria Math" w:hAnsi="Cambria Math" w:cs="Arial"/>
                      </w:rPr>
                      <m:t>m x 100</m:t>
                    </m:r>
                  </m:den>
                </m:f>
              </m:oMath>
            </m:oMathPara>
          </w:p>
        </w:tc>
        <w:tc>
          <w:tcPr>
            <w:tcW w:w="815" w:type="dxa"/>
            <w:shd w:val="clear" w:color="auto" w:fill="auto"/>
            <w:vAlign w:val="center"/>
          </w:tcPr>
          <w:p w:rsidR="001D1609" w:rsidRPr="00194974" w:rsidRDefault="001D1609" w:rsidP="00B01300">
            <w:pPr>
              <w:pStyle w:val="CETEquation"/>
              <w:jc w:val="right"/>
              <w:rPr>
                <w:szCs w:val="18"/>
              </w:rPr>
            </w:pPr>
            <w:r w:rsidRPr="00194974">
              <w:rPr>
                <w:szCs w:val="18"/>
              </w:rPr>
              <w:t>(1)</w:t>
            </w:r>
          </w:p>
        </w:tc>
      </w:tr>
    </w:tbl>
    <w:p w:rsidR="001D1609" w:rsidRPr="00194974" w:rsidRDefault="001D1609" w:rsidP="00AA085F">
      <w:pPr>
        <w:pStyle w:val="CETBodytext"/>
        <w:rPr>
          <w:szCs w:val="18"/>
        </w:rPr>
      </w:pPr>
      <w:r w:rsidRPr="00194974">
        <w:rPr>
          <w:szCs w:val="18"/>
        </w:rPr>
        <w:t xml:space="preserve">Where, </w:t>
      </w:r>
      <m:oMath>
        <m:sSub>
          <m:sSubPr>
            <m:ctrlPr>
              <w:rPr>
                <w:rFonts w:ascii="Cambria Math" w:hAnsi="Cambria Math"/>
                <w:szCs w:val="18"/>
              </w:rPr>
            </m:ctrlPr>
          </m:sSubPr>
          <m:e>
            <m:r>
              <m:rPr>
                <m:sty m:val="p"/>
              </m:rPr>
              <w:rPr>
                <w:rFonts w:ascii="Cambria Math" w:hAnsi="Cambria Math"/>
                <w:szCs w:val="18"/>
              </w:rPr>
              <m:t>C</m:t>
            </m:r>
          </m:e>
          <m:sub>
            <m:r>
              <m:rPr>
                <m:sty m:val="p"/>
              </m:rPr>
              <w:rPr>
                <w:rFonts w:ascii="Cambria Math" w:hAnsi="Cambria Math"/>
                <w:szCs w:val="18"/>
              </w:rPr>
              <m:t>0</m:t>
            </m:r>
          </m:sub>
        </m:sSub>
      </m:oMath>
      <w:r w:rsidRPr="00194974">
        <w:rPr>
          <w:szCs w:val="18"/>
        </w:rPr>
        <w:t xml:space="preserve"> and </w:t>
      </w:r>
      <m:oMath>
        <m:sSub>
          <m:sSubPr>
            <m:ctrlPr>
              <w:rPr>
                <w:rFonts w:ascii="Cambria Math" w:hAnsi="Cambria Math"/>
                <w:szCs w:val="18"/>
              </w:rPr>
            </m:ctrlPr>
          </m:sSubPr>
          <m:e>
            <m:r>
              <m:rPr>
                <m:sty m:val="p"/>
              </m:rPr>
              <w:rPr>
                <w:rFonts w:ascii="Cambria Math" w:hAnsi="Cambria Math"/>
                <w:szCs w:val="18"/>
              </w:rPr>
              <m:t>C</m:t>
            </m:r>
          </m:e>
          <m:sub>
            <m:r>
              <m:rPr>
                <m:sty m:val="p"/>
              </m:rPr>
              <w:rPr>
                <w:rFonts w:ascii="Cambria Math" w:hAnsi="Cambria Math"/>
                <w:szCs w:val="18"/>
              </w:rPr>
              <m:t>e</m:t>
            </m:r>
          </m:sub>
        </m:sSub>
        <m:r>
          <m:rPr>
            <m:sty m:val="p"/>
          </m:rPr>
          <w:rPr>
            <w:rFonts w:ascii="Cambria Math" w:hAnsi="Cambria Math"/>
            <w:szCs w:val="18"/>
          </w:rPr>
          <m:t xml:space="preserve"> </m:t>
        </m:r>
      </m:oMath>
      <w:r w:rsidRPr="00194974">
        <w:rPr>
          <w:szCs w:val="18"/>
        </w:rPr>
        <w:t xml:space="preserve">are the initial and equilibrium concentration of copper in the solution respectively; </w:t>
      </w:r>
      <m:oMath>
        <m:sSub>
          <m:sSubPr>
            <m:ctrlPr>
              <w:rPr>
                <w:rFonts w:ascii="Cambria Math" w:hAnsi="Cambria Math" w:cs="Arial"/>
                <w:szCs w:val="18"/>
              </w:rPr>
            </m:ctrlPr>
          </m:sSubPr>
          <m:e>
            <m:r>
              <w:rPr>
                <w:rFonts w:ascii="Cambria Math" w:hAnsi="Cambria Math" w:cs="Arial"/>
                <w:szCs w:val="18"/>
              </w:rPr>
              <m:t>q</m:t>
            </m:r>
          </m:e>
          <m:sub>
            <m:r>
              <w:rPr>
                <w:rFonts w:ascii="Cambria Math" w:hAnsi="Cambria Math" w:cs="Arial"/>
                <w:szCs w:val="18"/>
              </w:rPr>
              <m:t>e</m:t>
            </m:r>
          </m:sub>
        </m:sSub>
      </m:oMath>
      <w:r w:rsidRPr="00194974">
        <w:rPr>
          <w:szCs w:val="18"/>
        </w:rPr>
        <w:t xml:space="preserve"> is the amount of copper ion adsorbed at equilibrium, </w:t>
      </w:r>
      <w:r w:rsidRPr="00AA085F">
        <w:rPr>
          <w:szCs w:val="18"/>
        </w:rPr>
        <w:t>V</w:t>
      </w:r>
      <w:r w:rsidRPr="00194974">
        <w:rPr>
          <w:szCs w:val="18"/>
        </w:rPr>
        <w:t xml:space="preserve"> is the volume of the solution in liters, and </w:t>
      </w:r>
      <m:oMath>
        <m:r>
          <w:rPr>
            <w:rFonts w:ascii="Cambria Math" w:hAnsi="Cambria Math" w:cs="Arial"/>
          </w:rPr>
          <m:t>m</m:t>
        </m:r>
      </m:oMath>
      <w:r w:rsidRPr="00194974">
        <w:rPr>
          <w:szCs w:val="18"/>
        </w:rPr>
        <w:t xml:space="preserve"> is the mass of nanoclay.</w:t>
      </w:r>
    </w:p>
    <w:p w:rsidR="001D1609" w:rsidRPr="00AA085F" w:rsidRDefault="001D1609" w:rsidP="00AA085F">
      <w:pPr>
        <w:pStyle w:val="CETBodytext"/>
        <w:rPr>
          <w:szCs w:val="18"/>
        </w:rPr>
      </w:pPr>
      <w:r w:rsidRPr="00194974">
        <w:rPr>
          <w:szCs w:val="18"/>
        </w:rPr>
        <w:t xml:space="preserve">The Langmuir and </w:t>
      </w:r>
      <w:proofErr w:type="spellStart"/>
      <w:r w:rsidRPr="00194974">
        <w:rPr>
          <w:szCs w:val="18"/>
        </w:rPr>
        <w:t>Freundlich</w:t>
      </w:r>
      <w:proofErr w:type="spellEnd"/>
      <w:r w:rsidRPr="00194974">
        <w:rPr>
          <w:szCs w:val="18"/>
        </w:rPr>
        <w:t xml:space="preserve"> models were used to determine the adsorption isotherms. Adsorption isotherms are used to describe the interaction between the metal ion and the adsorbent. The Langmuir isotherm model suggests that the adsorption of the metallic ion occurs uniformly by a monolayer adsorption on a homogeneous surface, with no interaction between the adsorbed ions (Langmuir, 1918). The linear form of the Langmuir model can be written as follows:</w:t>
      </w:r>
    </w:p>
    <w:tbl>
      <w:tblPr>
        <w:tblW w:w="5000" w:type="pct"/>
        <w:tblLook w:val="04A0" w:firstRow="1" w:lastRow="0" w:firstColumn="1" w:lastColumn="0" w:noHBand="0" w:noVBand="1"/>
      </w:tblPr>
      <w:tblGrid>
        <w:gridCol w:w="8188"/>
        <w:gridCol w:w="815"/>
      </w:tblGrid>
      <w:tr w:rsidR="001D1609" w:rsidRPr="00194974" w:rsidTr="00B01300">
        <w:tc>
          <w:tcPr>
            <w:tcW w:w="8188" w:type="dxa"/>
            <w:shd w:val="clear" w:color="auto" w:fill="auto"/>
            <w:vAlign w:val="center"/>
          </w:tcPr>
          <w:p w:rsidR="001D1609" w:rsidRPr="00194974" w:rsidRDefault="00094505" w:rsidP="00B01300">
            <w:pPr>
              <w:pStyle w:val="CETEquation"/>
              <w:rPr>
                <w:rFonts w:cs="Arial"/>
                <w:szCs w:val="18"/>
              </w:rPr>
            </w:pPr>
            <m:oMathPara>
              <m:oMathParaPr>
                <m:jc m:val="left"/>
              </m:oMathParaPr>
              <m:oMath>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C</m:t>
                        </m:r>
                      </m:e>
                      <m:sub>
                        <m:r>
                          <w:rPr>
                            <w:rFonts w:ascii="Cambria Math" w:eastAsiaTheme="minorEastAsia" w:hAnsi="Cambria Math" w:cs="Arial"/>
                            <w:szCs w:val="18"/>
                          </w:rPr>
                          <m:t>e</m:t>
                        </m:r>
                      </m:sub>
                    </m:sSub>
                  </m:num>
                  <m:den>
                    <m:sSub>
                      <m:sSubPr>
                        <m:ctrlPr>
                          <w:rPr>
                            <w:rFonts w:ascii="Cambria Math" w:eastAsiaTheme="minorEastAsia" w:hAnsi="Cambria Math" w:cs="Arial"/>
                            <w:i/>
                            <w:szCs w:val="18"/>
                          </w:rPr>
                        </m:ctrlPr>
                      </m:sSubPr>
                      <m:e>
                        <m:r>
                          <w:rPr>
                            <w:rFonts w:ascii="Cambria Math" w:eastAsiaTheme="minorEastAsia" w:hAnsi="Cambria Math" w:cs="Arial"/>
                            <w:szCs w:val="18"/>
                          </w:rPr>
                          <m:t>q</m:t>
                        </m:r>
                      </m:e>
                      <m:sub>
                        <m:r>
                          <w:rPr>
                            <w:rFonts w:ascii="Cambria Math" w:eastAsiaTheme="minorEastAsia" w:hAnsi="Cambria Math" w:cs="Arial"/>
                            <w:szCs w:val="18"/>
                          </w:rPr>
                          <m:t>e</m:t>
                        </m:r>
                      </m:sub>
                    </m:sSub>
                  </m:den>
                </m:f>
                <m:r>
                  <w:rPr>
                    <w:rFonts w:ascii="Cambria Math" w:eastAsiaTheme="minorEastAsia" w:hAnsi="Cambria Math" w:cs="Arial"/>
                    <w:szCs w:val="18"/>
                  </w:rPr>
                  <m:t>=</m:t>
                </m:r>
                <m:f>
                  <m:fPr>
                    <m:ctrlPr>
                      <w:rPr>
                        <w:rFonts w:ascii="Cambria Math" w:eastAsiaTheme="minorEastAsia" w:hAnsi="Cambria Math" w:cs="Arial"/>
                        <w:i/>
                        <w:szCs w:val="18"/>
                      </w:rPr>
                    </m:ctrlPr>
                  </m:fPr>
                  <m:num>
                    <m:r>
                      <w:rPr>
                        <w:rFonts w:ascii="Cambria Math" w:eastAsiaTheme="minorEastAsia" w:hAnsi="Cambria Math" w:cs="Arial"/>
                        <w:szCs w:val="18"/>
                      </w:rPr>
                      <m:t>1</m:t>
                    </m:r>
                  </m:num>
                  <m:den>
                    <m:sSub>
                      <m:sSubPr>
                        <m:ctrlPr>
                          <w:rPr>
                            <w:rFonts w:ascii="Cambria Math" w:eastAsiaTheme="minorEastAsia" w:hAnsi="Cambria Math" w:cs="Arial"/>
                            <w:i/>
                            <w:szCs w:val="18"/>
                          </w:rPr>
                        </m:ctrlPr>
                      </m:sSubPr>
                      <m:e>
                        <m:r>
                          <w:rPr>
                            <w:rFonts w:ascii="Cambria Math" w:eastAsiaTheme="minorEastAsia" w:hAnsi="Cambria Math" w:cs="Arial"/>
                            <w:szCs w:val="18"/>
                          </w:rPr>
                          <m:t>q</m:t>
                        </m:r>
                      </m:e>
                      <m:sub>
                        <m:r>
                          <w:rPr>
                            <w:rFonts w:ascii="Cambria Math" w:eastAsiaTheme="minorEastAsia" w:hAnsi="Cambria Math" w:cs="Arial"/>
                            <w:szCs w:val="18"/>
                          </w:rPr>
                          <m:t>m</m:t>
                        </m:r>
                      </m:sub>
                    </m:sSub>
                    <m:sSub>
                      <m:sSubPr>
                        <m:ctrlPr>
                          <w:rPr>
                            <w:rFonts w:ascii="Cambria Math" w:eastAsiaTheme="minorEastAsia" w:hAnsi="Cambria Math" w:cs="Arial"/>
                            <w:i/>
                            <w:szCs w:val="18"/>
                          </w:rPr>
                        </m:ctrlPr>
                      </m:sSubPr>
                      <m:e>
                        <m:r>
                          <w:rPr>
                            <w:rFonts w:ascii="Cambria Math" w:eastAsiaTheme="minorEastAsia" w:hAnsi="Cambria Math" w:cs="Arial"/>
                            <w:szCs w:val="18"/>
                          </w:rPr>
                          <m:t>k</m:t>
                        </m:r>
                      </m:e>
                      <m:sub>
                        <m:r>
                          <w:rPr>
                            <w:rFonts w:ascii="Cambria Math" w:eastAsiaTheme="minorEastAsia" w:hAnsi="Cambria Math" w:cs="Arial"/>
                            <w:szCs w:val="18"/>
                          </w:rPr>
                          <m:t>L</m:t>
                        </m:r>
                      </m:sub>
                    </m:sSub>
                  </m:den>
                </m:f>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C</m:t>
                        </m:r>
                      </m:e>
                      <m:sub>
                        <m:r>
                          <w:rPr>
                            <w:rFonts w:ascii="Cambria Math" w:eastAsiaTheme="minorEastAsia" w:hAnsi="Cambria Math" w:cs="Arial"/>
                            <w:szCs w:val="18"/>
                          </w:rPr>
                          <m:t>e</m:t>
                        </m:r>
                      </m:sub>
                    </m:sSub>
                  </m:num>
                  <m:den>
                    <m:sSub>
                      <m:sSubPr>
                        <m:ctrlPr>
                          <w:rPr>
                            <w:rFonts w:ascii="Cambria Math" w:eastAsiaTheme="minorEastAsia" w:hAnsi="Cambria Math" w:cs="Arial"/>
                            <w:i/>
                            <w:szCs w:val="18"/>
                          </w:rPr>
                        </m:ctrlPr>
                      </m:sSubPr>
                      <m:e>
                        <m:r>
                          <w:rPr>
                            <w:rFonts w:ascii="Cambria Math" w:eastAsiaTheme="minorEastAsia" w:hAnsi="Cambria Math" w:cs="Arial"/>
                            <w:szCs w:val="18"/>
                          </w:rPr>
                          <m:t>q</m:t>
                        </m:r>
                      </m:e>
                      <m:sub>
                        <m:r>
                          <w:rPr>
                            <w:rFonts w:ascii="Cambria Math" w:eastAsiaTheme="minorEastAsia" w:hAnsi="Cambria Math" w:cs="Arial"/>
                            <w:szCs w:val="18"/>
                          </w:rPr>
                          <m:t>m</m:t>
                        </m:r>
                      </m:sub>
                    </m:sSub>
                  </m:den>
                </m:f>
              </m:oMath>
            </m:oMathPara>
          </w:p>
        </w:tc>
        <w:tc>
          <w:tcPr>
            <w:tcW w:w="815" w:type="dxa"/>
            <w:shd w:val="clear" w:color="auto" w:fill="auto"/>
            <w:vAlign w:val="center"/>
          </w:tcPr>
          <w:p w:rsidR="001D1609" w:rsidRPr="00194974" w:rsidRDefault="001D1609" w:rsidP="00B01300">
            <w:pPr>
              <w:pStyle w:val="CETEquation"/>
              <w:jc w:val="right"/>
              <w:rPr>
                <w:rFonts w:cs="Arial"/>
                <w:szCs w:val="18"/>
              </w:rPr>
            </w:pPr>
            <w:r w:rsidRPr="00194974">
              <w:rPr>
                <w:rFonts w:cs="Arial"/>
                <w:szCs w:val="18"/>
              </w:rPr>
              <w:t>(2)</w:t>
            </w:r>
          </w:p>
        </w:tc>
      </w:tr>
    </w:tbl>
    <w:p w:rsidR="001D1609" w:rsidRPr="00846C04" w:rsidRDefault="001D1609" w:rsidP="00846C04">
      <w:pPr>
        <w:pStyle w:val="CETBodytext"/>
        <w:rPr>
          <w:szCs w:val="18"/>
        </w:rPr>
      </w:pPr>
      <w:r w:rsidRPr="00194974">
        <w:rPr>
          <w:szCs w:val="18"/>
        </w:rPr>
        <w:t xml:space="preserve">Where </w:t>
      </w:r>
      <m:oMath>
        <m:sSub>
          <m:sSubPr>
            <m:ctrlPr>
              <w:rPr>
                <w:rFonts w:ascii="Cambria Math" w:hAnsi="Cambria Math"/>
                <w:szCs w:val="18"/>
              </w:rPr>
            </m:ctrlPr>
          </m:sSubPr>
          <m:e>
            <m:r>
              <m:rPr>
                <m:sty m:val="p"/>
              </m:rPr>
              <w:rPr>
                <w:rFonts w:ascii="Cambria Math" w:hAnsi="Cambria Math"/>
                <w:szCs w:val="18"/>
              </w:rPr>
              <m:t>C</m:t>
            </m:r>
          </m:e>
          <m:sub>
            <m:r>
              <m:rPr>
                <m:sty m:val="p"/>
              </m:rPr>
              <w:rPr>
                <w:rFonts w:ascii="Cambria Math" w:hAnsi="Cambria Math"/>
                <w:szCs w:val="18"/>
              </w:rPr>
              <m:t>e</m:t>
            </m:r>
          </m:sub>
        </m:sSub>
        <m:r>
          <m:rPr>
            <m:sty m:val="p"/>
          </m:rPr>
          <w:rPr>
            <w:rFonts w:ascii="Cambria Math" w:hAnsi="Cambria Math"/>
            <w:szCs w:val="18"/>
          </w:rPr>
          <m:t xml:space="preserve"> </m:t>
        </m:r>
      </m:oMath>
      <w:r w:rsidRPr="00194974">
        <w:rPr>
          <w:szCs w:val="18"/>
        </w:rPr>
        <w:t xml:space="preserve"> and </w:t>
      </w:r>
      <m:oMath>
        <m:sSub>
          <m:sSubPr>
            <m:ctrlPr>
              <w:rPr>
                <w:rFonts w:ascii="Cambria Math" w:hAnsi="Cambria Math"/>
                <w:szCs w:val="18"/>
              </w:rPr>
            </m:ctrlPr>
          </m:sSubPr>
          <m:e>
            <m:r>
              <m:rPr>
                <m:sty m:val="p"/>
              </m:rPr>
              <w:rPr>
                <w:rFonts w:ascii="Cambria Math" w:hAnsi="Cambria Math"/>
                <w:szCs w:val="18"/>
              </w:rPr>
              <m:t>q</m:t>
            </m:r>
          </m:e>
          <m:sub>
            <m:r>
              <m:rPr>
                <m:sty m:val="p"/>
              </m:rPr>
              <w:rPr>
                <w:rFonts w:ascii="Cambria Math" w:hAnsi="Cambria Math"/>
                <w:szCs w:val="18"/>
              </w:rPr>
              <m:t>e</m:t>
            </m:r>
          </m:sub>
        </m:sSub>
      </m:oMath>
      <w:r w:rsidRPr="00194974">
        <w:rPr>
          <w:szCs w:val="18"/>
        </w:rPr>
        <w:t xml:space="preserve"> are the equilibrium concentrations (mg/L) and the amount of copper ions adsorbed at equilibrium (mg/g), respectively, </w:t>
      </w:r>
      <m:oMath>
        <m:sSub>
          <m:sSubPr>
            <m:ctrlPr>
              <w:rPr>
                <w:rFonts w:ascii="Cambria Math" w:hAnsi="Cambria Math"/>
                <w:szCs w:val="18"/>
              </w:rPr>
            </m:ctrlPr>
          </m:sSubPr>
          <m:e>
            <m:r>
              <m:rPr>
                <m:sty m:val="p"/>
              </m:rPr>
              <w:rPr>
                <w:rFonts w:ascii="Cambria Math" w:hAnsi="Cambria Math"/>
                <w:szCs w:val="18"/>
              </w:rPr>
              <m:t>k</m:t>
            </m:r>
          </m:e>
          <m:sub>
            <m:r>
              <m:rPr>
                <m:sty m:val="p"/>
              </m:rPr>
              <w:rPr>
                <w:rFonts w:ascii="Cambria Math" w:hAnsi="Cambria Math"/>
                <w:szCs w:val="18"/>
              </w:rPr>
              <m:t>L</m:t>
            </m:r>
          </m:sub>
        </m:sSub>
      </m:oMath>
      <w:r w:rsidRPr="00194974">
        <w:rPr>
          <w:szCs w:val="18"/>
        </w:rPr>
        <w:t xml:space="preserve"> is the Langmuir constant (L/g), and </w:t>
      </w:r>
      <m:oMath>
        <m:sSub>
          <m:sSubPr>
            <m:ctrlPr>
              <w:rPr>
                <w:rFonts w:ascii="Cambria Math" w:hAnsi="Cambria Math"/>
                <w:szCs w:val="18"/>
              </w:rPr>
            </m:ctrlPr>
          </m:sSubPr>
          <m:e>
            <m:r>
              <m:rPr>
                <m:sty m:val="p"/>
              </m:rPr>
              <w:rPr>
                <w:rFonts w:ascii="Cambria Math" w:hAnsi="Cambria Math"/>
                <w:szCs w:val="18"/>
              </w:rPr>
              <m:t>q</m:t>
            </m:r>
          </m:e>
          <m:sub>
            <m:r>
              <m:rPr>
                <m:sty m:val="p"/>
              </m:rPr>
              <w:rPr>
                <w:rFonts w:ascii="Cambria Math" w:hAnsi="Cambria Math"/>
                <w:szCs w:val="18"/>
              </w:rPr>
              <m:t>m</m:t>
            </m:r>
          </m:sub>
        </m:sSub>
      </m:oMath>
      <w:r w:rsidRPr="00194974">
        <w:rPr>
          <w:szCs w:val="18"/>
        </w:rPr>
        <w:t xml:space="preserve"> (mg/g) represents the adsorption capacity of the monolayer in equilibrium.</w:t>
      </w:r>
    </w:p>
    <w:p w:rsidR="001D1609" w:rsidRPr="00194974" w:rsidRDefault="001D1609" w:rsidP="00846C04">
      <w:pPr>
        <w:pStyle w:val="CETBodytext"/>
        <w:rPr>
          <w:szCs w:val="18"/>
        </w:rPr>
      </w:pPr>
      <w:r w:rsidRPr="00194974">
        <w:rPr>
          <w:szCs w:val="18"/>
        </w:rPr>
        <w:t xml:space="preserve">The </w:t>
      </w:r>
      <w:proofErr w:type="spellStart"/>
      <w:r w:rsidRPr="00194974">
        <w:rPr>
          <w:szCs w:val="18"/>
        </w:rPr>
        <w:t>Freundlich</w:t>
      </w:r>
      <w:proofErr w:type="spellEnd"/>
      <w:r w:rsidRPr="00194974">
        <w:rPr>
          <w:szCs w:val="18"/>
        </w:rPr>
        <w:t xml:space="preserve"> equation (</w:t>
      </w:r>
      <w:proofErr w:type="spellStart"/>
      <w:r w:rsidRPr="00846C04">
        <w:rPr>
          <w:szCs w:val="18"/>
        </w:rPr>
        <w:t>Freundlich</w:t>
      </w:r>
      <w:proofErr w:type="spellEnd"/>
      <w:r w:rsidRPr="00846C04">
        <w:rPr>
          <w:szCs w:val="18"/>
        </w:rPr>
        <w:t>, 1906)</w:t>
      </w:r>
      <w:r w:rsidRPr="00194974">
        <w:rPr>
          <w:szCs w:val="18"/>
        </w:rPr>
        <w:t xml:space="preserve"> is an empirical equation based on a heterogeneous system and a multilayer adsorption, which assumes the relationship between the concentration of the adsorbate in equilibrium, and the level of adsorption is logarithmic. It also assumes that adsorption sites are distributed </w:t>
      </w:r>
      <w:r w:rsidRPr="00194974">
        <w:rPr>
          <w:szCs w:val="18"/>
        </w:rPr>
        <w:lastRenderedPageBreak/>
        <w:t>exponentially with respect to adsorption energy (</w:t>
      </w:r>
      <w:r w:rsidRPr="00846C04">
        <w:rPr>
          <w:szCs w:val="18"/>
        </w:rPr>
        <w:t>Ibrahim</w:t>
      </w:r>
      <w:r w:rsidRPr="00194974">
        <w:rPr>
          <w:szCs w:val="18"/>
        </w:rPr>
        <w:t>, 2009). This model is expressed by the following equation:</w:t>
      </w:r>
    </w:p>
    <w:tbl>
      <w:tblPr>
        <w:tblW w:w="5000" w:type="pct"/>
        <w:tblLook w:val="04A0" w:firstRow="1" w:lastRow="0" w:firstColumn="1" w:lastColumn="0" w:noHBand="0" w:noVBand="1"/>
      </w:tblPr>
      <w:tblGrid>
        <w:gridCol w:w="8188"/>
        <w:gridCol w:w="815"/>
      </w:tblGrid>
      <w:tr w:rsidR="001D1609" w:rsidRPr="00194974" w:rsidTr="00B01300">
        <w:tc>
          <w:tcPr>
            <w:tcW w:w="8188" w:type="dxa"/>
            <w:shd w:val="clear" w:color="auto" w:fill="auto"/>
            <w:vAlign w:val="center"/>
          </w:tcPr>
          <w:p w:rsidR="001D1609" w:rsidRPr="00194974" w:rsidRDefault="00094505" w:rsidP="00B01300">
            <w:pPr>
              <w:pStyle w:val="CETEquation"/>
              <w:rPr>
                <w:rFonts w:cs="Arial"/>
                <w:i/>
                <w:szCs w:val="18"/>
              </w:rPr>
            </w:pPr>
            <m:oMathPara>
              <m:oMathParaPr>
                <m:jc m:val="left"/>
              </m:oMathParaPr>
              <m:oMath>
                <m:func>
                  <m:funcPr>
                    <m:ctrlPr>
                      <w:rPr>
                        <w:rFonts w:ascii="Cambria Math" w:eastAsiaTheme="minorEastAsia" w:hAnsi="Cambria Math" w:cs="Arial"/>
                        <w:i/>
                        <w:szCs w:val="18"/>
                      </w:rPr>
                    </m:ctrlPr>
                  </m:funcPr>
                  <m:fName>
                    <m:r>
                      <w:rPr>
                        <w:rFonts w:ascii="Cambria Math" w:hAnsi="Cambria Math" w:cs="Arial"/>
                        <w:szCs w:val="18"/>
                      </w:rPr>
                      <m:t>log</m:t>
                    </m:r>
                  </m:fName>
                  <m:e>
                    <m:sSub>
                      <m:sSubPr>
                        <m:ctrlPr>
                          <w:rPr>
                            <w:rFonts w:ascii="Cambria Math" w:eastAsiaTheme="minorEastAsia" w:hAnsi="Cambria Math" w:cs="Arial"/>
                            <w:i/>
                            <w:szCs w:val="18"/>
                          </w:rPr>
                        </m:ctrlPr>
                      </m:sSubPr>
                      <m:e>
                        <m:r>
                          <w:rPr>
                            <w:rFonts w:ascii="Cambria Math" w:eastAsiaTheme="minorEastAsia" w:hAnsi="Cambria Math" w:cs="Arial"/>
                            <w:szCs w:val="18"/>
                          </w:rPr>
                          <m:t>q</m:t>
                        </m:r>
                      </m:e>
                      <m:sub>
                        <m:r>
                          <w:rPr>
                            <w:rFonts w:ascii="Cambria Math" w:eastAsiaTheme="minorEastAsia" w:hAnsi="Cambria Math" w:cs="Arial"/>
                            <w:szCs w:val="18"/>
                          </w:rPr>
                          <m:t>e</m:t>
                        </m:r>
                      </m:sub>
                    </m:sSub>
                    <m:r>
                      <w:rPr>
                        <w:rFonts w:ascii="Cambria Math" w:eastAsiaTheme="minorEastAsia" w:hAnsi="Cambria Math" w:cs="Arial"/>
                        <w:szCs w:val="18"/>
                      </w:rPr>
                      <m:t>=</m:t>
                    </m:r>
                    <m:func>
                      <m:funcPr>
                        <m:ctrlPr>
                          <w:rPr>
                            <w:rFonts w:ascii="Cambria Math" w:eastAsiaTheme="minorEastAsia" w:hAnsi="Cambria Math" w:cs="Arial"/>
                            <w:i/>
                            <w:szCs w:val="18"/>
                          </w:rPr>
                        </m:ctrlPr>
                      </m:funcPr>
                      <m:fName>
                        <m:r>
                          <w:rPr>
                            <w:rFonts w:ascii="Cambria Math" w:hAnsi="Cambria Math" w:cs="Arial"/>
                            <w:szCs w:val="18"/>
                          </w:rPr>
                          <m:t>log</m:t>
                        </m:r>
                      </m:fName>
                      <m:e>
                        <m:sSub>
                          <m:sSubPr>
                            <m:ctrlPr>
                              <w:rPr>
                                <w:rFonts w:ascii="Cambria Math" w:eastAsiaTheme="minorEastAsia" w:hAnsi="Cambria Math" w:cs="Arial"/>
                                <w:i/>
                                <w:szCs w:val="18"/>
                              </w:rPr>
                            </m:ctrlPr>
                          </m:sSubPr>
                          <m:e>
                            <m:r>
                              <w:rPr>
                                <w:rFonts w:ascii="Cambria Math" w:eastAsiaTheme="minorEastAsia" w:hAnsi="Cambria Math" w:cs="Arial"/>
                                <w:szCs w:val="18"/>
                              </w:rPr>
                              <m:t>k</m:t>
                            </m:r>
                          </m:e>
                          <m:sub>
                            <m:r>
                              <w:rPr>
                                <w:rFonts w:ascii="Cambria Math" w:eastAsiaTheme="minorEastAsia" w:hAnsi="Cambria Math" w:cs="Arial"/>
                                <w:szCs w:val="18"/>
                              </w:rPr>
                              <m:t>F</m:t>
                            </m:r>
                          </m:sub>
                        </m:sSub>
                      </m:e>
                    </m:func>
                  </m:e>
                </m:func>
                <m:r>
                  <w:rPr>
                    <w:rFonts w:ascii="Cambria Math" w:eastAsiaTheme="minorEastAsia" w:hAnsi="Cambria Math" w:cs="Arial"/>
                    <w:szCs w:val="18"/>
                  </w:rPr>
                  <m:t xml:space="preserve">+ </m:t>
                </m:r>
                <m:f>
                  <m:fPr>
                    <m:ctrlPr>
                      <w:rPr>
                        <w:rFonts w:ascii="Cambria Math" w:eastAsiaTheme="minorEastAsia" w:hAnsi="Cambria Math" w:cs="Arial"/>
                        <w:i/>
                        <w:szCs w:val="18"/>
                      </w:rPr>
                    </m:ctrlPr>
                  </m:fPr>
                  <m:num>
                    <m:r>
                      <w:rPr>
                        <w:rFonts w:ascii="Cambria Math" w:eastAsiaTheme="minorEastAsia" w:hAnsi="Cambria Math" w:cs="Arial"/>
                        <w:szCs w:val="18"/>
                      </w:rPr>
                      <m:t>1</m:t>
                    </m:r>
                  </m:num>
                  <m:den>
                    <m:r>
                      <w:rPr>
                        <w:rFonts w:ascii="Cambria Math" w:eastAsiaTheme="minorEastAsia" w:hAnsi="Cambria Math" w:cs="Arial"/>
                        <w:szCs w:val="18"/>
                      </w:rPr>
                      <m:t>n</m:t>
                    </m:r>
                    <m:func>
                      <m:funcPr>
                        <m:ctrlPr>
                          <w:rPr>
                            <w:rFonts w:ascii="Cambria Math" w:eastAsiaTheme="minorEastAsia" w:hAnsi="Cambria Math" w:cs="Arial"/>
                            <w:i/>
                            <w:szCs w:val="18"/>
                          </w:rPr>
                        </m:ctrlPr>
                      </m:funcPr>
                      <m:fName>
                        <m:r>
                          <w:rPr>
                            <w:rFonts w:ascii="Cambria Math" w:hAnsi="Cambria Math" w:cs="Arial"/>
                            <w:szCs w:val="18"/>
                          </w:rPr>
                          <m:t>log</m:t>
                        </m:r>
                      </m:fName>
                      <m:e>
                        <m:sSub>
                          <m:sSubPr>
                            <m:ctrlPr>
                              <w:rPr>
                                <w:rFonts w:ascii="Cambria Math" w:eastAsiaTheme="minorEastAsia" w:hAnsi="Cambria Math" w:cs="Arial"/>
                                <w:i/>
                                <w:szCs w:val="18"/>
                              </w:rPr>
                            </m:ctrlPr>
                          </m:sSubPr>
                          <m:e>
                            <m:r>
                              <w:rPr>
                                <w:rFonts w:ascii="Cambria Math" w:eastAsiaTheme="minorEastAsia" w:hAnsi="Cambria Math" w:cs="Arial"/>
                                <w:szCs w:val="18"/>
                              </w:rPr>
                              <m:t>C</m:t>
                            </m:r>
                          </m:e>
                          <m:sub>
                            <m:r>
                              <w:rPr>
                                <w:rFonts w:ascii="Cambria Math" w:eastAsiaTheme="minorEastAsia" w:hAnsi="Cambria Math" w:cs="Arial"/>
                                <w:szCs w:val="18"/>
                              </w:rPr>
                              <m:t>e</m:t>
                            </m:r>
                          </m:sub>
                        </m:sSub>
                      </m:e>
                    </m:func>
                  </m:den>
                </m:f>
              </m:oMath>
            </m:oMathPara>
          </w:p>
        </w:tc>
        <w:tc>
          <w:tcPr>
            <w:tcW w:w="815" w:type="dxa"/>
            <w:shd w:val="clear" w:color="auto" w:fill="auto"/>
            <w:vAlign w:val="center"/>
          </w:tcPr>
          <w:p w:rsidR="001D1609" w:rsidRPr="00194974" w:rsidRDefault="001D1609" w:rsidP="00B01300">
            <w:pPr>
              <w:pStyle w:val="CETEquation"/>
              <w:jc w:val="right"/>
              <w:rPr>
                <w:rFonts w:cs="Arial"/>
                <w:szCs w:val="18"/>
              </w:rPr>
            </w:pPr>
            <w:r w:rsidRPr="00194974">
              <w:rPr>
                <w:rFonts w:cs="Arial"/>
                <w:szCs w:val="18"/>
              </w:rPr>
              <w:t>(3)</w:t>
            </w:r>
          </w:p>
        </w:tc>
      </w:tr>
    </w:tbl>
    <w:p w:rsidR="001D1609" w:rsidRPr="00194974" w:rsidRDefault="001D1609" w:rsidP="00846C04">
      <w:pPr>
        <w:pStyle w:val="CETBodytext"/>
        <w:rPr>
          <w:szCs w:val="18"/>
        </w:rPr>
      </w:pPr>
      <w:r w:rsidRPr="00194974">
        <w:rPr>
          <w:szCs w:val="18"/>
        </w:rPr>
        <w:t xml:space="preserve">Where </w:t>
      </w:r>
      <m:oMath>
        <m:sSub>
          <m:sSubPr>
            <m:ctrlPr>
              <w:rPr>
                <w:rFonts w:ascii="Cambria Math" w:hAnsi="Cambria Math"/>
                <w:szCs w:val="18"/>
              </w:rPr>
            </m:ctrlPr>
          </m:sSubPr>
          <m:e>
            <m:r>
              <m:rPr>
                <m:sty m:val="p"/>
              </m:rPr>
              <w:rPr>
                <w:rFonts w:ascii="Cambria Math" w:hAnsi="Cambria Math"/>
                <w:szCs w:val="18"/>
              </w:rPr>
              <m:t>k</m:t>
            </m:r>
          </m:e>
          <m:sub>
            <m:r>
              <m:rPr>
                <m:sty m:val="p"/>
              </m:rPr>
              <w:rPr>
                <w:rFonts w:ascii="Cambria Math" w:hAnsi="Cambria Math"/>
                <w:szCs w:val="18"/>
              </w:rPr>
              <m:t>F</m:t>
            </m:r>
          </m:sub>
        </m:sSub>
      </m:oMath>
      <w:r w:rsidRPr="00194974">
        <w:rPr>
          <w:szCs w:val="18"/>
        </w:rPr>
        <w:t xml:space="preserve"> (mg/g) and </w:t>
      </w:r>
      <m:oMath>
        <m:r>
          <w:rPr>
            <w:rFonts w:ascii="Cambria Math" w:eastAsiaTheme="minorEastAsia" w:hAnsi="Cambria Math" w:cs="Arial"/>
            <w:szCs w:val="18"/>
          </w:rPr>
          <m:t>n</m:t>
        </m:r>
      </m:oMath>
      <w:r w:rsidRPr="00194974">
        <w:rPr>
          <w:szCs w:val="18"/>
        </w:rPr>
        <w:t xml:space="preserve"> are the constants of the Freundlich model that indicate the capacity and intensity of adsorption, respectively.</w:t>
      </w:r>
    </w:p>
    <w:p w:rsidR="001D1609" w:rsidRPr="00194974" w:rsidRDefault="001D1609" w:rsidP="001D1609">
      <w:pPr>
        <w:pStyle w:val="CETHeading1"/>
        <w:tabs>
          <w:tab w:val="clear" w:pos="360"/>
          <w:tab w:val="right" w:pos="7100"/>
        </w:tabs>
        <w:jc w:val="both"/>
        <w:rPr>
          <w:lang w:val="en-GB"/>
        </w:rPr>
      </w:pPr>
      <w:r w:rsidRPr="00194974">
        <w:t>Results and discussion</w:t>
      </w:r>
    </w:p>
    <w:p w:rsidR="001D1609" w:rsidRDefault="001D1609" w:rsidP="001D1609">
      <w:pPr>
        <w:pStyle w:val="CETheadingx"/>
      </w:pPr>
      <w:r w:rsidRPr="00BE16F9">
        <w:t xml:space="preserve">Characterization of </w:t>
      </w:r>
      <w:r>
        <w:t>nanoclay</w:t>
      </w:r>
    </w:p>
    <w:p w:rsidR="001D1609" w:rsidRDefault="001D1609" w:rsidP="001D1609">
      <w:pPr>
        <w:pStyle w:val="PreformattatoHTML"/>
        <w:shd w:val="clear" w:color="auto" w:fill="FFFFFF"/>
        <w:rPr>
          <w:rFonts w:ascii="Arial" w:hAnsi="Arial" w:cs="Times New Roman"/>
          <w:i/>
          <w:szCs w:val="18"/>
          <w:lang w:val="en-US"/>
        </w:rPr>
      </w:pPr>
      <w:r w:rsidRPr="00194974">
        <w:rPr>
          <w:rFonts w:ascii="Arial" w:hAnsi="Arial" w:cs="Times New Roman"/>
          <w:i/>
          <w:szCs w:val="18"/>
          <w:lang w:val="en-US"/>
        </w:rPr>
        <w:t>X-ray diffraction (XRD)</w:t>
      </w:r>
    </w:p>
    <w:p w:rsidR="006F7748" w:rsidRPr="00855154" w:rsidRDefault="0082045F" w:rsidP="00855154">
      <w:pPr>
        <w:pStyle w:val="CETBodytext"/>
      </w:pPr>
      <w:r w:rsidRPr="00855154">
        <w:t>The X-ray diffraction has been used to study the changes in the surface properties of montmorillonite clay through the changes in the basal spacing of montmorillonite</w:t>
      </w:r>
      <w:r w:rsidR="006F7748" w:rsidRPr="00855154">
        <w:t>.</w:t>
      </w:r>
      <w:r w:rsidRPr="00855154">
        <w:t xml:space="preserve"> XRD patterns of montmorillonite and </w:t>
      </w:r>
      <w:proofErr w:type="spellStart"/>
      <w:r w:rsidRPr="00855154">
        <w:t>nanoclay</w:t>
      </w:r>
      <w:proofErr w:type="spellEnd"/>
      <w:r w:rsidRPr="00855154">
        <w:t xml:space="preserve"> samples are shown in Figure 1. As seen in Figure 1, with an addition of surfactant </w:t>
      </w:r>
      <w:proofErr w:type="spellStart"/>
      <w:r w:rsidRPr="00855154">
        <w:t>hexadecyltrimethyl</w:t>
      </w:r>
      <w:proofErr w:type="spellEnd"/>
      <w:r w:rsidR="002E62E3" w:rsidRPr="00855154">
        <w:t xml:space="preserve"> </w:t>
      </w:r>
      <w:r w:rsidRPr="00855154">
        <w:t xml:space="preserve">ammonium bromide, the basal spacing of the resultant </w:t>
      </w:r>
      <w:proofErr w:type="spellStart"/>
      <w:r w:rsidRPr="00855154">
        <w:t>nanoclay</w:t>
      </w:r>
      <w:proofErr w:type="spellEnd"/>
      <w:r w:rsidRPr="00855154">
        <w:t xml:space="preserve"> increases from 15.3 Å to 22.57 Å. The amount of added surfactant has a direct effect on the interlayer expansion of montmorillonite.</w:t>
      </w:r>
      <w:r w:rsidR="006F7748" w:rsidRPr="00855154">
        <w:t xml:space="preserve"> In addition, the X-ray diffraction analysis also indicates the presence of montmorillonite minerals in </w:t>
      </w:r>
      <w:proofErr w:type="spellStart"/>
      <w:r w:rsidR="006F7748" w:rsidRPr="00855154">
        <w:t>nanoclay</w:t>
      </w:r>
      <w:proofErr w:type="spellEnd"/>
      <w:r w:rsidR="006F7748" w:rsidRPr="00855154">
        <w:t xml:space="preserve"> (Uddin, 2008).</w:t>
      </w:r>
    </w:p>
    <w:p w:rsidR="00456DCD" w:rsidRDefault="00894C38" w:rsidP="00456DCD">
      <w:pPr>
        <w:pStyle w:val="CETBodytext"/>
        <w:rPr>
          <w:szCs w:val="18"/>
        </w:rPr>
      </w:pPr>
      <w:r>
        <w:rPr>
          <w:noProof/>
          <w:lang w:val="it-IT" w:eastAsia="it-IT"/>
        </w:rPr>
        <w:drawing>
          <wp:inline distT="0" distB="0" distL="0" distR="0" wp14:anchorId="0A33BFE9" wp14:editId="728B4BB5">
            <wp:extent cx="2644140" cy="1908622"/>
            <wp:effectExtent l="0" t="0" r="381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9921" t="34267" r="42858" b="17946"/>
                    <a:stretch/>
                  </pic:blipFill>
                  <pic:spPr bwMode="auto">
                    <a:xfrm>
                      <a:off x="0" y="0"/>
                      <a:ext cx="2646452" cy="1910291"/>
                    </a:xfrm>
                    <a:prstGeom prst="rect">
                      <a:avLst/>
                    </a:prstGeom>
                    <a:ln>
                      <a:noFill/>
                    </a:ln>
                    <a:extLst>
                      <a:ext uri="{53640926-AAD7-44D8-BBD7-CCE9431645EC}">
                        <a14:shadowObscured xmlns:a14="http://schemas.microsoft.com/office/drawing/2010/main"/>
                      </a:ext>
                    </a:extLst>
                  </pic:spPr>
                </pic:pic>
              </a:graphicData>
            </a:graphic>
          </wp:inline>
        </w:drawing>
      </w:r>
    </w:p>
    <w:p w:rsidR="001D1609" w:rsidRPr="00456DCD" w:rsidRDefault="001D1609" w:rsidP="00456DCD">
      <w:pPr>
        <w:pStyle w:val="CETBodytext"/>
        <w:rPr>
          <w:i/>
          <w:szCs w:val="18"/>
        </w:rPr>
      </w:pPr>
      <w:r w:rsidRPr="00456DCD">
        <w:rPr>
          <w:i/>
          <w:szCs w:val="18"/>
        </w:rPr>
        <w:t>Figure 1: X-ray diffraction pattern of montmorillonit</w:t>
      </w:r>
      <w:r w:rsidR="0082045F" w:rsidRPr="00456DCD">
        <w:rPr>
          <w:i/>
          <w:szCs w:val="18"/>
        </w:rPr>
        <w:t>e</w:t>
      </w:r>
      <w:r w:rsidRPr="00456DCD">
        <w:rPr>
          <w:i/>
          <w:szCs w:val="18"/>
        </w:rPr>
        <w:t xml:space="preserve"> (MMT) and nanoclay</w:t>
      </w:r>
    </w:p>
    <w:p w:rsidR="00456DCD" w:rsidRPr="00194974" w:rsidRDefault="00456DCD" w:rsidP="00456DCD">
      <w:pPr>
        <w:pStyle w:val="CETBodytext"/>
        <w:rPr>
          <w:szCs w:val="18"/>
        </w:rPr>
      </w:pPr>
    </w:p>
    <w:p w:rsidR="001D1609" w:rsidRPr="00846C04" w:rsidRDefault="001D1609" w:rsidP="00846C04">
      <w:pPr>
        <w:pStyle w:val="CETBodytext"/>
        <w:rPr>
          <w:i/>
          <w:szCs w:val="18"/>
        </w:rPr>
      </w:pPr>
      <w:r w:rsidRPr="00846C04">
        <w:rPr>
          <w:i/>
          <w:szCs w:val="18"/>
        </w:rPr>
        <w:t>BET analysis by adsorption of N</w:t>
      </w:r>
      <w:r w:rsidRPr="00846C04">
        <w:rPr>
          <w:i/>
          <w:szCs w:val="18"/>
          <w:vertAlign w:val="subscript"/>
        </w:rPr>
        <w:t>2</w:t>
      </w:r>
    </w:p>
    <w:p w:rsidR="001D1609" w:rsidRPr="00846C04" w:rsidRDefault="001D1609" w:rsidP="002E62E3">
      <w:pPr>
        <w:pStyle w:val="CETBodytext"/>
        <w:rPr>
          <w:szCs w:val="18"/>
        </w:rPr>
      </w:pPr>
      <w:r w:rsidRPr="00846C04">
        <w:rPr>
          <w:szCs w:val="18"/>
        </w:rPr>
        <w:t xml:space="preserve">The BET surface area of natural bentonite was determined as 70.7 </w:t>
      </w:r>
      <w:r w:rsidR="00846C04" w:rsidRPr="00846C04">
        <w:rPr>
          <w:szCs w:val="18"/>
        </w:rPr>
        <w:t>m</w:t>
      </w:r>
      <w:r w:rsidR="00846C04" w:rsidRPr="00846C04">
        <w:rPr>
          <w:szCs w:val="18"/>
          <w:vertAlign w:val="superscript"/>
        </w:rPr>
        <w:t>2</w:t>
      </w:r>
      <w:r w:rsidR="00846C04" w:rsidRPr="00846C04">
        <w:rPr>
          <w:szCs w:val="18"/>
        </w:rPr>
        <w:t>g</w:t>
      </w:r>
      <w:r w:rsidR="00846C04" w:rsidRPr="00846C04">
        <w:rPr>
          <w:szCs w:val="18"/>
          <w:vertAlign w:val="superscript"/>
        </w:rPr>
        <w:t>−1</w:t>
      </w:r>
      <w:r w:rsidRPr="00846C04">
        <w:rPr>
          <w:szCs w:val="18"/>
        </w:rPr>
        <w:t xml:space="preserve"> and of the nanoclay was 21 m</w:t>
      </w:r>
      <w:r w:rsidRPr="00846C04">
        <w:rPr>
          <w:szCs w:val="18"/>
          <w:vertAlign w:val="superscript"/>
        </w:rPr>
        <w:t>2</w:t>
      </w:r>
      <w:r w:rsidRPr="00846C04">
        <w:rPr>
          <w:szCs w:val="18"/>
        </w:rPr>
        <w:t>g</w:t>
      </w:r>
      <w:r w:rsidRPr="00846C04">
        <w:rPr>
          <w:szCs w:val="18"/>
          <w:vertAlign w:val="superscript"/>
        </w:rPr>
        <w:t>−1</w:t>
      </w:r>
      <w:r w:rsidRPr="00846C04">
        <w:rPr>
          <w:szCs w:val="18"/>
        </w:rPr>
        <w:t>. The BET surface area significantly decreased after the modification due to the coverage of the pores of natural bentonite.</w:t>
      </w:r>
    </w:p>
    <w:p w:rsidR="001D1609" w:rsidRPr="00194974" w:rsidRDefault="001D1609" w:rsidP="001D1609">
      <w:pPr>
        <w:pStyle w:val="CETheadingx"/>
        <w:rPr>
          <w:szCs w:val="18"/>
        </w:rPr>
      </w:pPr>
      <w:r w:rsidRPr="00194974">
        <w:rPr>
          <w:szCs w:val="18"/>
        </w:rPr>
        <w:t>Dosage of nanoclay</w:t>
      </w:r>
    </w:p>
    <w:p w:rsidR="001D1609" w:rsidRPr="00A62F8E" w:rsidRDefault="001D1609" w:rsidP="000E0842">
      <w:pPr>
        <w:pStyle w:val="CETBodytext"/>
        <w:rPr>
          <w:sz w:val="16"/>
        </w:rPr>
      </w:pPr>
      <w:r w:rsidRPr="00194974">
        <w:t>To determine the amount of the appropriate nanoclay for the adsorption, the dosage curve was constructed with an initial concentration of Cu (II) of 50 mg/L, and then it interacted with different amounts of adsorbent mass. The curve of dosage of nanoclay is showed in Figure 2. It can be seen that the adsorption reaches equilibrium with 2.8 g of nanoclay, with a removal percentage of 77.3%. this calculated mass was used for the other experiments. Then, the appropriate adsorbent/adsorbate dosage is 7 g/L.</w:t>
      </w:r>
    </w:p>
    <w:p w:rsidR="001D1609" w:rsidRPr="00636278" w:rsidRDefault="001D1609" w:rsidP="001D1609">
      <w:pPr>
        <w:pStyle w:val="PreformattatoHTML"/>
        <w:shd w:val="clear" w:color="auto" w:fill="FFFFFF"/>
        <w:rPr>
          <w:rFonts w:ascii="Arial" w:hAnsi="Arial" w:cs="Arial"/>
          <w:sz w:val="16"/>
          <w:lang w:val="en-US"/>
        </w:rPr>
      </w:pPr>
    </w:p>
    <w:p w:rsidR="00456DCD" w:rsidRDefault="001D1609" w:rsidP="00456DCD">
      <w:pPr>
        <w:pStyle w:val="PreformattatoHTML"/>
        <w:shd w:val="clear" w:color="auto" w:fill="FFFFFF"/>
        <w:rPr>
          <w:szCs w:val="18"/>
        </w:rPr>
      </w:pPr>
      <w:r w:rsidRPr="00FE6688">
        <w:rPr>
          <w:noProof/>
          <w:lang w:val="it-IT" w:eastAsia="it-IT"/>
        </w:rPr>
        <w:drawing>
          <wp:inline distT="0" distB="0" distL="0" distR="0" wp14:anchorId="1D4F6096" wp14:editId="0939129E">
            <wp:extent cx="2994660" cy="16002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6DCD" w:rsidRPr="00194974" w:rsidRDefault="001D1609" w:rsidP="00456DCD">
      <w:pPr>
        <w:pStyle w:val="CETBodytext"/>
        <w:rPr>
          <w:szCs w:val="18"/>
        </w:rPr>
      </w:pPr>
      <w:r w:rsidRPr="00456DCD">
        <w:rPr>
          <w:i/>
          <w:szCs w:val="18"/>
        </w:rPr>
        <w:t xml:space="preserve">Figure 2: Mass curve for dosage of the nanoclay. </w:t>
      </w:r>
      <w:proofErr w:type="spellStart"/>
      <w:r w:rsidRPr="00456DCD">
        <w:rPr>
          <w:i/>
          <w:szCs w:val="18"/>
        </w:rPr>
        <w:t>C</w:t>
      </w:r>
      <w:r w:rsidRPr="00FB6480">
        <w:rPr>
          <w:i/>
          <w:szCs w:val="18"/>
          <w:vertAlign w:val="subscript"/>
        </w:rPr>
        <w:t>o</w:t>
      </w:r>
      <w:r w:rsidRPr="00456DCD">
        <w:rPr>
          <w:i/>
          <w:szCs w:val="18"/>
        </w:rPr>
        <w:t>Cu</w:t>
      </w:r>
      <w:proofErr w:type="spellEnd"/>
      <w:r w:rsidRPr="00456DCD">
        <w:rPr>
          <w:i/>
          <w:szCs w:val="18"/>
        </w:rPr>
        <w:t>=50 mg/L</w:t>
      </w:r>
    </w:p>
    <w:p w:rsidR="001D1609" w:rsidRPr="00194974" w:rsidRDefault="001D1609" w:rsidP="001D1609">
      <w:pPr>
        <w:pStyle w:val="CETheadingx"/>
        <w:rPr>
          <w:szCs w:val="18"/>
        </w:rPr>
      </w:pPr>
      <w:r w:rsidRPr="00194974">
        <w:rPr>
          <w:szCs w:val="18"/>
        </w:rPr>
        <w:lastRenderedPageBreak/>
        <w:t>Effect of pH</w:t>
      </w:r>
    </w:p>
    <w:p w:rsidR="001D1609" w:rsidRDefault="001D1609" w:rsidP="00FB6480">
      <w:pPr>
        <w:pStyle w:val="CETBodytext"/>
        <w:rPr>
          <w:rFonts w:cs="Arial"/>
        </w:rPr>
      </w:pPr>
      <w:r w:rsidRPr="00FB6480">
        <w:t>The highest percentage of Cu (II) removal was given at pH 8 with 96.3%. Clays are known to have a negative surface charge in solution, as the pH changes, the surface charge also changes, and the adsorption of charged species is affected. At low pH values, there is excess</w:t>
      </w:r>
      <w:r w:rsidRPr="00194974">
        <w:rPr>
          <w:rFonts w:cs="Arial"/>
        </w:rPr>
        <w:t xml:space="preserve"> of H</w:t>
      </w:r>
      <w:r w:rsidRPr="00194974">
        <w:rPr>
          <w:rFonts w:cs="Arial"/>
          <w:vertAlign w:val="subscript"/>
        </w:rPr>
        <w:t>3</w:t>
      </w:r>
      <w:r w:rsidRPr="00194974">
        <w:rPr>
          <w:rFonts w:cs="Arial"/>
        </w:rPr>
        <w:t>O</w:t>
      </w:r>
      <w:r w:rsidRPr="00194974">
        <w:rPr>
          <w:rFonts w:cs="Arial"/>
          <w:vertAlign w:val="superscript"/>
        </w:rPr>
        <w:t>+</w:t>
      </w:r>
      <w:r w:rsidRPr="00194974">
        <w:rPr>
          <w:rFonts w:cs="Arial"/>
        </w:rPr>
        <w:t xml:space="preserve"> ions in solution, there is a competition between positively charged hydrogen ions and metal ions for accessible adsorption sites on the surfac</w:t>
      </w:r>
      <w:r w:rsidR="00C44E0D">
        <w:rPr>
          <w:rFonts w:cs="Arial"/>
        </w:rPr>
        <w:t>e of the clay (</w:t>
      </w:r>
      <w:proofErr w:type="spellStart"/>
      <w:r w:rsidR="00C44E0D">
        <w:rPr>
          <w:rFonts w:cs="Arial"/>
        </w:rPr>
        <w:t>Soleimani</w:t>
      </w:r>
      <w:proofErr w:type="spellEnd"/>
      <w:r w:rsidR="00C44E0D">
        <w:rPr>
          <w:rFonts w:cs="Arial"/>
        </w:rPr>
        <w:t>, 2015).</w:t>
      </w:r>
    </w:p>
    <w:p w:rsidR="001D1609" w:rsidRPr="00194974" w:rsidRDefault="001D1609" w:rsidP="001D1609">
      <w:pPr>
        <w:pStyle w:val="CETheadingx"/>
        <w:rPr>
          <w:szCs w:val="18"/>
        </w:rPr>
      </w:pPr>
      <w:r w:rsidRPr="00194974">
        <w:rPr>
          <w:szCs w:val="18"/>
        </w:rPr>
        <w:t>Isotherm studies</w:t>
      </w:r>
    </w:p>
    <w:p w:rsidR="001D1609" w:rsidRPr="006450BE" w:rsidRDefault="001D1609" w:rsidP="00FB6480">
      <w:pPr>
        <w:pStyle w:val="CETBodytext"/>
        <w:rPr>
          <w:sz w:val="16"/>
        </w:rPr>
      </w:pPr>
      <w:r w:rsidRPr="00FB6480">
        <w:t xml:space="preserve">The adsorption isotherm is the equation or curve that relates the concentration of the metal that has been adsorbed on the solid phase with the concentration of the metal in the solution at equilibrium at a defined temperature. The application of experimental data on equations that describe the isotherms is valuable; subsequently the estimation of the system performance and optimization of the use of the adsorbent is obtained. The adsorption equilibrium provides fundamental physicochemical data to estimate the applicability of adsorption procedures as a unitary process. In terms of equilibrium verification, the Langmuir isotherm model is in many cases in accordance with the experimental data, while the </w:t>
      </w:r>
      <w:proofErr w:type="spellStart"/>
      <w:r w:rsidRPr="00FB6480">
        <w:t>Freundlich</w:t>
      </w:r>
      <w:proofErr w:type="spellEnd"/>
      <w:r w:rsidRPr="00FB6480">
        <w:t xml:space="preserve"> model has also been used to adjust the experimental data in several cases. The adsorption isotherms are of vital importance in the design of adsorption systems, because they indicate the amount of metal ions present and how they are positioned between the adsorbent and the liquid phase. When the metal ion comes into contact with the adsorbent, the concentration of the metal on the surface begins to increase until a dynamic equilibrium is </w:t>
      </w:r>
      <w:r w:rsidR="00FB6480" w:rsidRPr="00FB6480">
        <w:t>reached;</w:t>
      </w:r>
      <w:r w:rsidRPr="00FB6480">
        <w:t xml:space="preserve"> it is at this point that the distribution of the metal ion between the solid and liquid phases is defined clearly.</w:t>
      </w:r>
      <w:r w:rsidR="00D70A6A">
        <w:t xml:space="preserve"> </w:t>
      </w:r>
      <w:r w:rsidRPr="00194974">
        <w:t xml:space="preserve">Figure 3 shows that the percentage </w:t>
      </w:r>
      <w:r w:rsidR="00D70A6A">
        <w:t xml:space="preserve">of removal </w:t>
      </w:r>
      <w:r w:rsidRPr="00194974">
        <w:t>of Cu (II) decreased with the increase of the metallic ion concentration</w:t>
      </w:r>
      <w:r w:rsidR="00FB6480">
        <w:t>.</w:t>
      </w:r>
    </w:p>
    <w:p w:rsidR="00D70A6A" w:rsidRDefault="001D1609" w:rsidP="00D70A6A">
      <w:pPr>
        <w:pStyle w:val="PreformattatoHTML"/>
        <w:shd w:val="clear" w:color="auto" w:fill="FFFFFF"/>
        <w:rPr>
          <w:szCs w:val="18"/>
        </w:rPr>
      </w:pPr>
      <w:r>
        <w:rPr>
          <w:noProof/>
          <w:lang w:val="it-IT" w:eastAsia="it-IT"/>
        </w:rPr>
        <w:drawing>
          <wp:inline distT="0" distB="0" distL="0" distR="0" wp14:anchorId="33AEDE43" wp14:editId="5691793E">
            <wp:extent cx="2138901" cy="1820849"/>
            <wp:effectExtent l="0" t="0" r="0" b="8255"/>
            <wp:docPr id="62" name="Gráfico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D1609" w:rsidRPr="008D6336" w:rsidRDefault="001D1609" w:rsidP="00D70A6A">
      <w:pPr>
        <w:pStyle w:val="CETCaption"/>
        <w:spacing w:before="0" w:after="0"/>
        <w:rPr>
          <w:rFonts w:ascii="inherit" w:hAnsi="inherit" w:cs="Courier New"/>
          <w:color w:val="212121"/>
          <w:szCs w:val="18"/>
          <w:lang w:val="en-US" w:eastAsia="es-PE"/>
        </w:rPr>
      </w:pPr>
      <w:r w:rsidRPr="008D6336">
        <w:rPr>
          <w:szCs w:val="18"/>
        </w:rPr>
        <w:t>Figure 3: Effect of the initial concentration of Cu (II) on the percentage of removal.</w:t>
      </w:r>
    </w:p>
    <w:p w:rsidR="00D70A6A" w:rsidRDefault="001D1609" w:rsidP="00D70A6A">
      <w:pPr>
        <w:pStyle w:val="PreformattatoHTML"/>
        <w:shd w:val="clear" w:color="auto" w:fill="FFFFFF"/>
        <w:rPr>
          <w:szCs w:val="18"/>
        </w:rPr>
      </w:pPr>
      <w:r w:rsidRPr="005471EF">
        <w:rPr>
          <w:rFonts w:ascii="inherit" w:hAnsi="inherit" w:cs="Courier New"/>
          <w:noProof/>
          <w:color w:val="212121"/>
          <w:sz w:val="20"/>
          <w:lang w:val="it-IT" w:eastAsia="it-IT"/>
        </w:rPr>
        <w:drawing>
          <wp:inline distT="0" distB="0" distL="0" distR="0" wp14:anchorId="0EAE0C90" wp14:editId="46249D0B">
            <wp:extent cx="2091193" cy="1653871"/>
            <wp:effectExtent l="133350" t="133350" r="137795" b="137160"/>
            <wp:docPr id="79" name="Gráfico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D1609" w:rsidRPr="008D6336" w:rsidRDefault="001D1609" w:rsidP="00D70A6A">
      <w:pPr>
        <w:pStyle w:val="CETCaption"/>
        <w:spacing w:before="0" w:after="0"/>
        <w:rPr>
          <w:szCs w:val="18"/>
        </w:rPr>
      </w:pPr>
      <w:r w:rsidRPr="008D6336">
        <w:rPr>
          <w:szCs w:val="18"/>
        </w:rPr>
        <w:t xml:space="preserve">Figure </w:t>
      </w:r>
      <w:r w:rsidR="00564645">
        <w:rPr>
          <w:szCs w:val="18"/>
        </w:rPr>
        <w:t>4</w:t>
      </w:r>
      <w:r w:rsidRPr="008D6336">
        <w:rPr>
          <w:szCs w:val="18"/>
        </w:rPr>
        <w:t>: Isotherm of adsorption of Cu (II) with nanoclay.</w:t>
      </w:r>
    </w:p>
    <w:p w:rsidR="005471EF" w:rsidRDefault="005471EF" w:rsidP="001D1609">
      <w:pPr>
        <w:pStyle w:val="PreformattatoHTML"/>
        <w:shd w:val="clear" w:color="auto" w:fill="FFFFFF"/>
        <w:rPr>
          <w:rFonts w:ascii="Arial" w:hAnsi="Arial" w:cs="Arial"/>
          <w:szCs w:val="18"/>
        </w:rPr>
      </w:pPr>
    </w:p>
    <w:p w:rsidR="001D1609" w:rsidRPr="008D6336" w:rsidRDefault="00564645" w:rsidP="00855154">
      <w:pPr>
        <w:pStyle w:val="CETBodytext"/>
      </w:pPr>
      <w:r>
        <w:t>In Figure 4</w:t>
      </w:r>
      <w:r w:rsidR="001D1609" w:rsidRPr="008D6336">
        <w:t xml:space="preserve"> it is observed that, when the initial concentrations of Cu (II) varied from 10 to 50 mg/L, the amount adsorbed per unit of mass (</w:t>
      </w:r>
      <w:proofErr w:type="spellStart"/>
      <w:r w:rsidR="001D1609" w:rsidRPr="008D6336">
        <w:t>q</w:t>
      </w:r>
      <w:r w:rsidR="001D1609" w:rsidRPr="008D6336">
        <w:rPr>
          <w:vertAlign w:val="subscript"/>
        </w:rPr>
        <w:t>e</w:t>
      </w:r>
      <w:proofErr w:type="spellEnd"/>
      <w:r w:rsidR="001D1609" w:rsidRPr="008D6336">
        <w:t>) increased with the increase of the concentration of the metal.</w:t>
      </w:r>
    </w:p>
    <w:p w:rsidR="001D1609" w:rsidRPr="00D7108C" w:rsidRDefault="001D1609" w:rsidP="00855154">
      <w:pPr>
        <w:pStyle w:val="CETBodytext"/>
        <w:rPr>
          <w:sz w:val="16"/>
        </w:rPr>
      </w:pPr>
      <w:r w:rsidRPr="008D6336">
        <w:t xml:space="preserve">Figure </w:t>
      </w:r>
      <w:r w:rsidR="00564645">
        <w:t>5</w:t>
      </w:r>
      <w:r w:rsidRPr="008D6336">
        <w:t xml:space="preserve"> shows the Langmuir isotherm for the adsorption of Cu (II) with nanoclay. The Langmuir isotherm is probably the most extensively applied model for an adsorption isotherm, where this model considers that the adsorption energy of each molecule is independent of the surface of the material, occurring in specific places of the adsorbent and without any </w:t>
      </w:r>
      <w:r w:rsidRPr="00BC7FCC">
        <w:t>interaction</w:t>
      </w:r>
      <w:r w:rsidRPr="008D6336">
        <w:t xml:space="preserve"> between the molecules because the heat of adsorption is constant for these sites. Once the ion occupies a place, no further adsorption can occur at this same site, </w:t>
      </w:r>
      <w:r w:rsidRPr="008D6336">
        <w:lastRenderedPageBreak/>
        <w:t>resulting in the formation of a monolayer where the adsorption occurs uniformly on the surface of the adsorbent; in this model, the attraction between the metal ions and the surface of the adsorbent is mainly based on physical forces (electrostatic or Van der Waals forces).</w:t>
      </w:r>
    </w:p>
    <w:p w:rsidR="001D1609" w:rsidRDefault="001D1609" w:rsidP="001D1609">
      <w:pPr>
        <w:pStyle w:val="PreformattatoHTML"/>
        <w:shd w:val="clear" w:color="auto" w:fill="FFFFFF"/>
        <w:rPr>
          <w:rFonts w:ascii="Arial" w:hAnsi="Arial" w:cs="Arial"/>
          <w:sz w:val="16"/>
          <w:lang w:val="en-US"/>
        </w:rPr>
      </w:pPr>
      <w:r>
        <w:rPr>
          <w:noProof/>
          <w:lang w:val="it-IT" w:eastAsia="it-IT"/>
        </w:rPr>
        <w:drawing>
          <wp:inline distT="0" distB="0" distL="0" distR="0" wp14:anchorId="7988444C" wp14:editId="7BB1103E">
            <wp:extent cx="2409246" cy="1741336"/>
            <wp:effectExtent l="0" t="0" r="0" b="0"/>
            <wp:docPr id="84" name="Gráfico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D1609" w:rsidRPr="008D6336" w:rsidRDefault="001D1609" w:rsidP="001D1609">
      <w:pPr>
        <w:pStyle w:val="PreformattatoHTML"/>
        <w:shd w:val="clear" w:color="auto" w:fill="FFFFFF"/>
        <w:rPr>
          <w:rFonts w:ascii="inherit" w:hAnsi="inherit" w:cs="Courier New"/>
          <w:color w:val="212121"/>
          <w:szCs w:val="18"/>
          <w:lang w:val="en-US" w:eastAsia="es-PE"/>
        </w:rPr>
      </w:pPr>
      <w:r w:rsidRPr="008D6336">
        <w:rPr>
          <w:rFonts w:ascii="Arial" w:hAnsi="Arial" w:cs="Times New Roman"/>
          <w:i/>
          <w:szCs w:val="18"/>
        </w:rPr>
        <w:t xml:space="preserve">Figure </w:t>
      </w:r>
      <w:r w:rsidR="00564645">
        <w:rPr>
          <w:rFonts w:ascii="Arial" w:hAnsi="Arial" w:cs="Times New Roman"/>
          <w:i/>
          <w:szCs w:val="18"/>
        </w:rPr>
        <w:t>5</w:t>
      </w:r>
      <w:r w:rsidRPr="008D6336">
        <w:rPr>
          <w:rFonts w:ascii="Arial" w:hAnsi="Arial" w:cs="Times New Roman"/>
          <w:i/>
          <w:szCs w:val="18"/>
        </w:rPr>
        <w:t>: Langmuir isotherm for the adsorption of Cu (II) with nanoclay.</w:t>
      </w:r>
    </w:p>
    <w:p w:rsidR="001D1609" w:rsidRPr="00D950AC" w:rsidRDefault="001D1609" w:rsidP="001D1609">
      <w:pPr>
        <w:pStyle w:val="PreformattatoHTML"/>
        <w:shd w:val="clear" w:color="auto" w:fill="FFFFFF"/>
        <w:rPr>
          <w:rFonts w:ascii="Arial" w:hAnsi="Arial" w:cs="Arial"/>
          <w:sz w:val="16"/>
          <w:lang w:val="en-US"/>
        </w:rPr>
      </w:pPr>
    </w:p>
    <w:p w:rsidR="001D1609" w:rsidRPr="00855154" w:rsidRDefault="001D1609" w:rsidP="00855154">
      <w:pPr>
        <w:pStyle w:val="CETBodytext"/>
      </w:pPr>
      <w:r w:rsidRPr="00855154">
        <w:t xml:space="preserve">Figure </w:t>
      </w:r>
      <w:r w:rsidR="00564645" w:rsidRPr="00855154">
        <w:t>6</w:t>
      </w:r>
      <w:r w:rsidRPr="00855154">
        <w:t xml:space="preserve"> shows the </w:t>
      </w:r>
      <w:proofErr w:type="spellStart"/>
      <w:r w:rsidRPr="00855154">
        <w:t>Freundlich</w:t>
      </w:r>
      <w:proofErr w:type="spellEnd"/>
      <w:r w:rsidRPr="00855154">
        <w:t xml:space="preserve"> isotherm for the adsorption of Cu (II) with </w:t>
      </w:r>
      <w:proofErr w:type="spellStart"/>
      <w:r w:rsidRPr="00855154">
        <w:t>nanoclay</w:t>
      </w:r>
      <w:proofErr w:type="spellEnd"/>
      <w:r w:rsidRPr="00855154">
        <w:t xml:space="preserve">. In the </w:t>
      </w:r>
      <w:proofErr w:type="spellStart"/>
      <w:r w:rsidRPr="00855154">
        <w:t>Freundlich</w:t>
      </w:r>
      <w:proofErr w:type="spellEnd"/>
      <w:r w:rsidRPr="00855154">
        <w:t xml:space="preserve"> isotherm model, an empirical equation is used, where it proposes a multilayer adsorption with a heterogeneous energy distribution of active sites, accompanied by the interaction of adsorbed molecules, which are first occupied by strong bonds, and this force is decreasing as the active sites are occupied by the adsorbate.</w:t>
      </w:r>
    </w:p>
    <w:p w:rsidR="001D1609" w:rsidRPr="0085124A" w:rsidRDefault="001D1609" w:rsidP="001D1609">
      <w:pPr>
        <w:pStyle w:val="PreformattatoHTML"/>
        <w:shd w:val="clear" w:color="auto" w:fill="FFFFFF"/>
        <w:rPr>
          <w:rFonts w:ascii="Arial" w:hAnsi="Arial" w:cs="Arial"/>
          <w:sz w:val="16"/>
          <w:lang w:val="en-US"/>
        </w:rPr>
      </w:pPr>
      <w:r>
        <w:rPr>
          <w:noProof/>
          <w:lang w:val="it-IT" w:eastAsia="it-IT"/>
        </w:rPr>
        <w:drawing>
          <wp:inline distT="0" distB="0" distL="0" distR="0" wp14:anchorId="09075B25" wp14:editId="7A4054CF">
            <wp:extent cx="2075291" cy="1820849"/>
            <wp:effectExtent l="0" t="0" r="1270" b="8255"/>
            <wp:docPr id="85" name="Gráfico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D1609" w:rsidRPr="008D6336" w:rsidRDefault="001D1609" w:rsidP="001D1609">
      <w:pPr>
        <w:pStyle w:val="PreformattatoHTML"/>
        <w:shd w:val="clear" w:color="auto" w:fill="FFFFFF"/>
        <w:rPr>
          <w:rFonts w:ascii="Arial" w:hAnsi="Arial" w:cs="Times New Roman"/>
          <w:szCs w:val="18"/>
        </w:rPr>
      </w:pPr>
      <w:r w:rsidRPr="008D6336">
        <w:rPr>
          <w:rFonts w:ascii="Arial" w:hAnsi="Arial" w:cs="Times New Roman"/>
          <w:i/>
          <w:szCs w:val="18"/>
        </w:rPr>
        <w:t xml:space="preserve">Figure </w:t>
      </w:r>
      <w:r w:rsidR="00564645">
        <w:rPr>
          <w:rFonts w:ascii="Arial" w:hAnsi="Arial" w:cs="Times New Roman"/>
          <w:i/>
          <w:szCs w:val="18"/>
        </w:rPr>
        <w:t>6</w:t>
      </w:r>
      <w:r w:rsidRPr="008D6336">
        <w:rPr>
          <w:rFonts w:ascii="Arial" w:hAnsi="Arial" w:cs="Times New Roman"/>
          <w:i/>
          <w:szCs w:val="18"/>
        </w:rPr>
        <w:t xml:space="preserve">: </w:t>
      </w:r>
      <w:proofErr w:type="spellStart"/>
      <w:r w:rsidRPr="008D6336">
        <w:rPr>
          <w:rFonts w:ascii="Arial" w:hAnsi="Arial" w:cs="Times New Roman"/>
          <w:i/>
          <w:szCs w:val="18"/>
        </w:rPr>
        <w:t>Freundlich</w:t>
      </w:r>
      <w:proofErr w:type="spellEnd"/>
      <w:r w:rsidRPr="008D6336">
        <w:rPr>
          <w:rFonts w:ascii="Arial" w:hAnsi="Arial" w:cs="Times New Roman"/>
          <w:i/>
          <w:szCs w:val="18"/>
        </w:rPr>
        <w:t xml:space="preserve"> isotherm for the adsorption of Cu (II) with nanoclay.</w:t>
      </w:r>
    </w:p>
    <w:p w:rsidR="001D1609" w:rsidRPr="008D6336" w:rsidRDefault="001D1609" w:rsidP="001D1609">
      <w:pPr>
        <w:shd w:val="clear" w:color="auto" w:fill="FFFFFF"/>
        <w:tabs>
          <w:tab w:val="clear" w:pos="71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inherit" w:hAnsi="inherit" w:cs="Courier New"/>
          <w:color w:val="212121"/>
          <w:szCs w:val="18"/>
          <w:lang w:val="en" w:eastAsia="es-PE"/>
        </w:rPr>
      </w:pPr>
    </w:p>
    <w:p w:rsidR="001D1609" w:rsidRPr="008D6336" w:rsidRDefault="001D1609" w:rsidP="001D1609">
      <w:pPr>
        <w:pStyle w:val="PreformattatoHTML"/>
        <w:shd w:val="clear" w:color="auto" w:fill="FFFFFF"/>
        <w:rPr>
          <w:rFonts w:ascii="Arial" w:hAnsi="Arial" w:cs="Arial"/>
          <w:szCs w:val="18"/>
          <w:lang w:val="en-US"/>
        </w:rPr>
      </w:pPr>
      <w:r w:rsidRPr="008D6336">
        <w:rPr>
          <w:rFonts w:ascii="Arial" w:hAnsi="Arial" w:cs="Arial"/>
          <w:szCs w:val="18"/>
          <w:lang w:val="en-US"/>
        </w:rPr>
        <w:t>Table 1</w:t>
      </w:r>
      <w:r w:rsidR="00F175BB">
        <w:rPr>
          <w:rFonts w:ascii="Arial" w:hAnsi="Arial" w:cs="Arial"/>
          <w:szCs w:val="18"/>
          <w:lang w:val="en-US"/>
        </w:rPr>
        <w:t xml:space="preserve"> shows</w:t>
      </w:r>
      <w:r w:rsidRPr="008D6336">
        <w:rPr>
          <w:rFonts w:ascii="Arial" w:hAnsi="Arial" w:cs="Arial"/>
          <w:szCs w:val="18"/>
          <w:lang w:val="en-US"/>
        </w:rPr>
        <w:t xml:space="preserve"> the parameters of the Langmuir and </w:t>
      </w:r>
      <w:proofErr w:type="spellStart"/>
      <w:r w:rsidRPr="008D6336">
        <w:rPr>
          <w:rFonts w:ascii="Arial" w:hAnsi="Arial" w:cs="Arial"/>
          <w:szCs w:val="18"/>
          <w:lang w:val="en-US"/>
        </w:rPr>
        <w:t>Freundlich</w:t>
      </w:r>
      <w:proofErr w:type="spellEnd"/>
      <w:r w:rsidRPr="008D6336">
        <w:rPr>
          <w:rFonts w:ascii="Arial" w:hAnsi="Arial" w:cs="Arial"/>
          <w:szCs w:val="18"/>
          <w:lang w:val="en-US"/>
        </w:rPr>
        <w:t xml:space="preserve"> isotherms, derived from Figures </w:t>
      </w:r>
      <w:r w:rsidR="00D407E1">
        <w:rPr>
          <w:rFonts w:ascii="Arial" w:hAnsi="Arial" w:cs="Arial"/>
          <w:szCs w:val="18"/>
          <w:lang w:val="en-US"/>
        </w:rPr>
        <w:t>5</w:t>
      </w:r>
      <w:r w:rsidRPr="008D6336">
        <w:rPr>
          <w:rFonts w:ascii="Arial" w:hAnsi="Arial" w:cs="Arial"/>
          <w:szCs w:val="18"/>
          <w:lang w:val="en-US"/>
        </w:rPr>
        <w:t xml:space="preserve"> and </w:t>
      </w:r>
      <w:r w:rsidR="00D407E1">
        <w:rPr>
          <w:rFonts w:ascii="Arial" w:hAnsi="Arial" w:cs="Arial"/>
          <w:szCs w:val="18"/>
          <w:lang w:val="en-US"/>
        </w:rPr>
        <w:t>6</w:t>
      </w:r>
      <w:r w:rsidR="00F175BB">
        <w:rPr>
          <w:rFonts w:ascii="Arial" w:hAnsi="Arial" w:cs="Arial"/>
          <w:szCs w:val="18"/>
          <w:lang w:val="en-US"/>
        </w:rPr>
        <w:t>.</w:t>
      </w:r>
    </w:p>
    <w:p w:rsidR="001D1609" w:rsidRPr="00260117" w:rsidRDefault="001D1609" w:rsidP="008D6336">
      <w:pPr>
        <w:pStyle w:val="CETTabletitle"/>
        <w:rPr>
          <w:sz w:val="16"/>
        </w:rPr>
      </w:pPr>
      <w:r w:rsidRPr="008D6336">
        <w:rPr>
          <w:szCs w:val="18"/>
        </w:rPr>
        <w:t xml:space="preserve">Table 1: Parameters of the Langmuir and </w:t>
      </w:r>
      <w:proofErr w:type="spellStart"/>
      <w:r w:rsidRPr="008D6336">
        <w:rPr>
          <w:szCs w:val="18"/>
        </w:rPr>
        <w:t>Freundlich</w:t>
      </w:r>
      <w:proofErr w:type="spellEnd"/>
      <w:r w:rsidRPr="008D6336">
        <w:rPr>
          <w:szCs w:val="18"/>
        </w:rPr>
        <w:t xml:space="preserve"> isotherms</w:t>
      </w:r>
    </w:p>
    <w:tbl>
      <w:tblPr>
        <w:tblStyle w:val="Grigliatabella"/>
        <w:tblW w:w="0" w:type="auto"/>
        <w:tblLook w:val="04A0" w:firstRow="1" w:lastRow="0" w:firstColumn="1" w:lastColumn="0" w:noHBand="0" w:noVBand="1"/>
      </w:tblPr>
      <w:tblGrid>
        <w:gridCol w:w="1037"/>
        <w:gridCol w:w="737"/>
        <w:gridCol w:w="737"/>
        <w:gridCol w:w="649"/>
        <w:gridCol w:w="567"/>
        <w:gridCol w:w="567"/>
        <w:gridCol w:w="649"/>
      </w:tblGrid>
      <w:tr w:rsidR="001D1609" w:rsidRPr="008D6336" w:rsidTr="00B01300">
        <w:trPr>
          <w:trHeight w:val="205"/>
        </w:trPr>
        <w:tc>
          <w:tcPr>
            <w:tcW w:w="951" w:type="dxa"/>
            <w:vMerge w:val="restart"/>
            <w:tcBorders>
              <w:left w:val="single" w:sz="4" w:space="0" w:color="FFFFFF" w:themeColor="background1"/>
              <w:right w:val="single" w:sz="4" w:space="0" w:color="FFFFFF" w:themeColor="background1"/>
            </w:tcBorders>
            <w:vAlign w:val="center"/>
          </w:tcPr>
          <w:p w:rsidR="001D1609" w:rsidRPr="008D6336" w:rsidRDefault="001D1609" w:rsidP="00B01300">
            <w:pPr>
              <w:jc w:val="center"/>
              <w:rPr>
                <w:rFonts w:cs="Arial"/>
                <w:szCs w:val="18"/>
              </w:rPr>
            </w:pPr>
            <w:r w:rsidRPr="008D6336">
              <w:rPr>
                <w:rFonts w:cs="Arial"/>
                <w:szCs w:val="18"/>
              </w:rPr>
              <w:t>Adsorbent</w:t>
            </w:r>
          </w:p>
        </w:tc>
        <w:tc>
          <w:tcPr>
            <w:tcW w:w="1897" w:type="dxa"/>
            <w:gridSpan w:val="3"/>
            <w:tcBorders>
              <w:left w:val="single" w:sz="4" w:space="0" w:color="FFFFFF" w:themeColor="background1"/>
              <w:right w:val="single" w:sz="4" w:space="0" w:color="FFFFFF" w:themeColor="background1"/>
            </w:tcBorders>
            <w:vAlign w:val="center"/>
          </w:tcPr>
          <w:p w:rsidR="001D1609" w:rsidRPr="008D6336" w:rsidRDefault="001D1609" w:rsidP="00B01300">
            <w:pPr>
              <w:jc w:val="center"/>
              <w:rPr>
                <w:rFonts w:cs="Arial"/>
                <w:szCs w:val="18"/>
              </w:rPr>
            </w:pPr>
            <w:r w:rsidRPr="008D6336">
              <w:rPr>
                <w:rFonts w:cs="Arial"/>
                <w:szCs w:val="18"/>
              </w:rPr>
              <w:t>Langmuir</w:t>
            </w:r>
          </w:p>
        </w:tc>
        <w:tc>
          <w:tcPr>
            <w:tcW w:w="1783" w:type="dxa"/>
            <w:gridSpan w:val="3"/>
            <w:tcBorders>
              <w:left w:val="single" w:sz="4" w:space="0" w:color="FFFFFF" w:themeColor="background1"/>
              <w:right w:val="single" w:sz="4" w:space="0" w:color="FFFFFF" w:themeColor="background1"/>
            </w:tcBorders>
            <w:vAlign w:val="center"/>
          </w:tcPr>
          <w:p w:rsidR="001D1609" w:rsidRPr="008D6336" w:rsidRDefault="001D1609" w:rsidP="00B01300">
            <w:pPr>
              <w:jc w:val="center"/>
              <w:rPr>
                <w:rFonts w:cs="Arial"/>
                <w:szCs w:val="18"/>
              </w:rPr>
            </w:pPr>
            <w:proofErr w:type="spellStart"/>
            <w:r w:rsidRPr="008D6336">
              <w:rPr>
                <w:rFonts w:cs="Arial"/>
                <w:bCs/>
                <w:szCs w:val="18"/>
              </w:rPr>
              <w:t>Freundlich</w:t>
            </w:r>
            <w:proofErr w:type="spellEnd"/>
          </w:p>
        </w:tc>
      </w:tr>
      <w:tr w:rsidR="001D1609" w:rsidRPr="008D6336" w:rsidTr="00B01300">
        <w:trPr>
          <w:trHeight w:val="142"/>
        </w:trPr>
        <w:tc>
          <w:tcPr>
            <w:tcW w:w="951" w:type="dxa"/>
            <w:vMerge/>
            <w:tcBorders>
              <w:left w:val="single" w:sz="4" w:space="0" w:color="FFFFFF" w:themeColor="background1"/>
              <w:right w:val="single" w:sz="4" w:space="0" w:color="FFFFFF" w:themeColor="background1"/>
            </w:tcBorders>
          </w:tcPr>
          <w:p w:rsidR="001D1609" w:rsidRPr="008D6336" w:rsidRDefault="001D1609" w:rsidP="00B01300">
            <w:pPr>
              <w:jc w:val="center"/>
              <w:rPr>
                <w:rFonts w:cs="Arial"/>
                <w:szCs w:val="18"/>
              </w:rPr>
            </w:pPr>
          </w:p>
        </w:tc>
        <w:tc>
          <w:tcPr>
            <w:tcW w:w="624" w:type="dxa"/>
            <w:tcBorders>
              <w:left w:val="single" w:sz="4" w:space="0" w:color="FFFFFF" w:themeColor="background1"/>
              <w:right w:val="single" w:sz="4" w:space="0" w:color="FFFFFF" w:themeColor="background1"/>
            </w:tcBorders>
          </w:tcPr>
          <w:p w:rsidR="001D1609" w:rsidRPr="008D6336" w:rsidRDefault="001D1609" w:rsidP="00B01300">
            <w:pPr>
              <w:jc w:val="center"/>
              <w:rPr>
                <w:rFonts w:cs="Arial"/>
                <w:szCs w:val="18"/>
              </w:rPr>
            </w:pPr>
            <w:r w:rsidRPr="008D6336">
              <w:rPr>
                <w:rFonts w:cs="Arial"/>
                <w:szCs w:val="18"/>
              </w:rPr>
              <w:t>Q</w:t>
            </w:r>
            <w:r w:rsidRPr="008D6336">
              <w:rPr>
                <w:rFonts w:cs="Arial"/>
                <w:szCs w:val="18"/>
                <w:vertAlign w:val="subscript"/>
              </w:rPr>
              <w:t>0</w:t>
            </w:r>
            <w:r w:rsidRPr="008D6336">
              <w:rPr>
                <w:rFonts w:cs="Arial"/>
                <w:szCs w:val="18"/>
              </w:rPr>
              <w:t xml:space="preserve"> (mg/g)</w:t>
            </w:r>
          </w:p>
        </w:tc>
        <w:tc>
          <w:tcPr>
            <w:tcW w:w="624" w:type="dxa"/>
            <w:tcBorders>
              <w:left w:val="single" w:sz="4" w:space="0" w:color="FFFFFF" w:themeColor="background1"/>
              <w:right w:val="single" w:sz="4" w:space="0" w:color="FFFFFF" w:themeColor="background1"/>
            </w:tcBorders>
          </w:tcPr>
          <w:p w:rsidR="001D1609" w:rsidRPr="008D6336" w:rsidRDefault="001D1609" w:rsidP="00B01300">
            <w:pPr>
              <w:jc w:val="center"/>
              <w:rPr>
                <w:rFonts w:cs="Arial"/>
                <w:szCs w:val="18"/>
              </w:rPr>
            </w:pPr>
            <w:r w:rsidRPr="008D6336">
              <w:rPr>
                <w:rFonts w:cs="Arial"/>
                <w:szCs w:val="18"/>
              </w:rPr>
              <w:t>b (L/mg)</w:t>
            </w:r>
          </w:p>
        </w:tc>
        <w:tc>
          <w:tcPr>
            <w:tcW w:w="649" w:type="dxa"/>
            <w:tcBorders>
              <w:left w:val="single" w:sz="4" w:space="0" w:color="FFFFFF" w:themeColor="background1"/>
              <w:right w:val="single" w:sz="4" w:space="0" w:color="FFFFFF" w:themeColor="background1"/>
            </w:tcBorders>
          </w:tcPr>
          <w:p w:rsidR="001D1609" w:rsidRPr="008D6336" w:rsidRDefault="001D1609" w:rsidP="00B01300">
            <w:pPr>
              <w:jc w:val="center"/>
              <w:rPr>
                <w:rFonts w:cs="Arial"/>
                <w:szCs w:val="18"/>
              </w:rPr>
            </w:pPr>
            <w:r w:rsidRPr="008D6336">
              <w:rPr>
                <w:rFonts w:cs="Arial"/>
                <w:szCs w:val="18"/>
              </w:rPr>
              <w:t>R</w:t>
            </w:r>
            <w:r w:rsidRPr="008D6336">
              <w:rPr>
                <w:rFonts w:cs="Arial"/>
                <w:szCs w:val="18"/>
                <w:vertAlign w:val="superscript"/>
              </w:rPr>
              <w:t>2</w:t>
            </w:r>
          </w:p>
        </w:tc>
        <w:tc>
          <w:tcPr>
            <w:tcW w:w="567" w:type="dxa"/>
            <w:tcBorders>
              <w:left w:val="single" w:sz="4" w:space="0" w:color="FFFFFF" w:themeColor="background1"/>
              <w:right w:val="single" w:sz="4" w:space="0" w:color="FFFFFF" w:themeColor="background1"/>
            </w:tcBorders>
          </w:tcPr>
          <w:p w:rsidR="001D1609" w:rsidRPr="008D6336" w:rsidRDefault="001D1609" w:rsidP="00B01300">
            <w:pPr>
              <w:jc w:val="center"/>
              <w:rPr>
                <w:rFonts w:cs="Arial"/>
                <w:szCs w:val="18"/>
              </w:rPr>
            </w:pPr>
            <w:proofErr w:type="spellStart"/>
            <w:r w:rsidRPr="008D6336">
              <w:rPr>
                <w:rFonts w:cs="Arial"/>
                <w:szCs w:val="18"/>
              </w:rPr>
              <w:t>K</w:t>
            </w:r>
            <w:r w:rsidRPr="008D6336">
              <w:rPr>
                <w:rFonts w:cs="Arial"/>
                <w:szCs w:val="18"/>
                <w:vertAlign w:val="subscript"/>
              </w:rPr>
              <w:t>f</w:t>
            </w:r>
            <w:proofErr w:type="spellEnd"/>
          </w:p>
        </w:tc>
        <w:tc>
          <w:tcPr>
            <w:tcW w:w="567" w:type="dxa"/>
            <w:tcBorders>
              <w:left w:val="single" w:sz="4" w:space="0" w:color="FFFFFF" w:themeColor="background1"/>
              <w:right w:val="single" w:sz="4" w:space="0" w:color="FFFFFF" w:themeColor="background1"/>
            </w:tcBorders>
          </w:tcPr>
          <w:p w:rsidR="001D1609" w:rsidRPr="008D6336" w:rsidRDefault="001D1609" w:rsidP="00B01300">
            <w:pPr>
              <w:jc w:val="center"/>
              <w:rPr>
                <w:rFonts w:cs="Arial"/>
                <w:szCs w:val="18"/>
              </w:rPr>
            </w:pPr>
            <w:r w:rsidRPr="008D6336">
              <w:rPr>
                <w:rFonts w:cs="Arial"/>
                <w:szCs w:val="18"/>
              </w:rPr>
              <w:t>n</w:t>
            </w:r>
          </w:p>
        </w:tc>
        <w:tc>
          <w:tcPr>
            <w:tcW w:w="649" w:type="dxa"/>
            <w:tcBorders>
              <w:left w:val="single" w:sz="4" w:space="0" w:color="FFFFFF" w:themeColor="background1"/>
              <w:right w:val="single" w:sz="4" w:space="0" w:color="FFFFFF" w:themeColor="background1"/>
            </w:tcBorders>
          </w:tcPr>
          <w:p w:rsidR="001D1609" w:rsidRPr="008D6336" w:rsidRDefault="001D1609" w:rsidP="00B01300">
            <w:pPr>
              <w:jc w:val="center"/>
              <w:rPr>
                <w:rFonts w:cs="Arial"/>
                <w:szCs w:val="18"/>
              </w:rPr>
            </w:pPr>
            <w:r w:rsidRPr="008D6336">
              <w:rPr>
                <w:rFonts w:cs="Arial"/>
                <w:szCs w:val="18"/>
              </w:rPr>
              <w:t>R</w:t>
            </w:r>
            <w:r w:rsidRPr="008D6336">
              <w:rPr>
                <w:rFonts w:cs="Arial"/>
                <w:szCs w:val="18"/>
                <w:vertAlign w:val="superscript"/>
              </w:rPr>
              <w:t>2</w:t>
            </w:r>
          </w:p>
        </w:tc>
      </w:tr>
      <w:tr w:rsidR="001D1609" w:rsidRPr="008D6336" w:rsidTr="00D407E1">
        <w:trPr>
          <w:trHeight w:val="487"/>
        </w:trPr>
        <w:tc>
          <w:tcPr>
            <w:tcW w:w="951" w:type="dxa"/>
            <w:tcBorders>
              <w:left w:val="single" w:sz="4" w:space="0" w:color="FFFFFF" w:themeColor="background1"/>
              <w:right w:val="single" w:sz="4" w:space="0" w:color="FFFFFF" w:themeColor="background1"/>
            </w:tcBorders>
            <w:vAlign w:val="center"/>
          </w:tcPr>
          <w:p w:rsidR="001D1609" w:rsidRPr="008D6336" w:rsidRDefault="001D1609" w:rsidP="00B01300">
            <w:pPr>
              <w:jc w:val="center"/>
              <w:rPr>
                <w:rFonts w:cs="Arial"/>
                <w:szCs w:val="18"/>
              </w:rPr>
            </w:pPr>
            <w:r w:rsidRPr="008D6336">
              <w:rPr>
                <w:rFonts w:cs="Arial"/>
                <w:bCs/>
                <w:szCs w:val="18"/>
              </w:rPr>
              <w:t>Nanoclay</w:t>
            </w:r>
          </w:p>
        </w:tc>
        <w:tc>
          <w:tcPr>
            <w:tcW w:w="624" w:type="dxa"/>
            <w:tcBorders>
              <w:left w:val="single" w:sz="4" w:space="0" w:color="FFFFFF" w:themeColor="background1"/>
              <w:right w:val="single" w:sz="4" w:space="0" w:color="FFFFFF" w:themeColor="background1"/>
            </w:tcBorders>
            <w:vAlign w:val="center"/>
          </w:tcPr>
          <w:p w:rsidR="001D1609" w:rsidRPr="008D6336" w:rsidRDefault="001D1609" w:rsidP="00B01300">
            <w:pPr>
              <w:jc w:val="center"/>
              <w:rPr>
                <w:rFonts w:cs="Arial"/>
                <w:szCs w:val="18"/>
              </w:rPr>
            </w:pPr>
            <w:r w:rsidRPr="008D6336">
              <w:rPr>
                <w:rFonts w:cs="Arial"/>
                <w:szCs w:val="18"/>
              </w:rPr>
              <w:t>7.53</w:t>
            </w:r>
          </w:p>
        </w:tc>
        <w:tc>
          <w:tcPr>
            <w:tcW w:w="624" w:type="dxa"/>
            <w:tcBorders>
              <w:left w:val="single" w:sz="4" w:space="0" w:color="FFFFFF" w:themeColor="background1"/>
              <w:right w:val="single" w:sz="4" w:space="0" w:color="FFFFFF" w:themeColor="background1"/>
            </w:tcBorders>
            <w:vAlign w:val="center"/>
          </w:tcPr>
          <w:p w:rsidR="001D1609" w:rsidRPr="008D6336" w:rsidRDefault="001D1609" w:rsidP="00B01300">
            <w:pPr>
              <w:jc w:val="center"/>
              <w:rPr>
                <w:rFonts w:cs="Arial"/>
                <w:szCs w:val="18"/>
              </w:rPr>
            </w:pPr>
            <w:r w:rsidRPr="008D6336">
              <w:rPr>
                <w:rFonts w:cs="Arial"/>
                <w:szCs w:val="18"/>
              </w:rPr>
              <w:t>3.25</w:t>
            </w:r>
          </w:p>
        </w:tc>
        <w:tc>
          <w:tcPr>
            <w:tcW w:w="649" w:type="dxa"/>
            <w:tcBorders>
              <w:left w:val="single" w:sz="4" w:space="0" w:color="FFFFFF" w:themeColor="background1"/>
              <w:right w:val="single" w:sz="4" w:space="0" w:color="FFFFFF" w:themeColor="background1"/>
            </w:tcBorders>
            <w:vAlign w:val="center"/>
          </w:tcPr>
          <w:p w:rsidR="001D1609" w:rsidRPr="008D6336" w:rsidRDefault="001D1609" w:rsidP="008D6336">
            <w:pPr>
              <w:jc w:val="center"/>
              <w:rPr>
                <w:rFonts w:cs="Arial"/>
                <w:szCs w:val="18"/>
              </w:rPr>
            </w:pPr>
            <w:r w:rsidRPr="008D6336">
              <w:rPr>
                <w:rFonts w:cs="Arial"/>
                <w:szCs w:val="18"/>
              </w:rPr>
              <w:t>0</w:t>
            </w:r>
            <w:r w:rsidR="008D6336">
              <w:rPr>
                <w:rFonts w:cs="Arial"/>
                <w:szCs w:val="18"/>
              </w:rPr>
              <w:t>.</w:t>
            </w:r>
            <w:r w:rsidRPr="008D6336">
              <w:rPr>
                <w:rFonts w:cs="Arial"/>
                <w:szCs w:val="18"/>
              </w:rPr>
              <w:t>96</w:t>
            </w:r>
          </w:p>
        </w:tc>
        <w:tc>
          <w:tcPr>
            <w:tcW w:w="567" w:type="dxa"/>
            <w:tcBorders>
              <w:left w:val="single" w:sz="4" w:space="0" w:color="FFFFFF" w:themeColor="background1"/>
              <w:right w:val="single" w:sz="4" w:space="0" w:color="FFFFFF" w:themeColor="background1"/>
            </w:tcBorders>
            <w:vAlign w:val="center"/>
          </w:tcPr>
          <w:p w:rsidR="001D1609" w:rsidRPr="008D6336" w:rsidRDefault="001D1609" w:rsidP="00B01300">
            <w:pPr>
              <w:jc w:val="center"/>
              <w:rPr>
                <w:rFonts w:cs="Arial"/>
                <w:szCs w:val="18"/>
              </w:rPr>
            </w:pPr>
            <w:r w:rsidRPr="008D6336">
              <w:rPr>
                <w:rFonts w:cs="Arial"/>
                <w:szCs w:val="18"/>
              </w:rPr>
              <w:t>0.04</w:t>
            </w:r>
          </w:p>
        </w:tc>
        <w:tc>
          <w:tcPr>
            <w:tcW w:w="567" w:type="dxa"/>
            <w:tcBorders>
              <w:left w:val="single" w:sz="4" w:space="0" w:color="FFFFFF" w:themeColor="background1"/>
              <w:right w:val="single" w:sz="4" w:space="0" w:color="FFFFFF" w:themeColor="background1"/>
            </w:tcBorders>
            <w:vAlign w:val="center"/>
          </w:tcPr>
          <w:p w:rsidR="001D1609" w:rsidRPr="008D6336" w:rsidRDefault="001D1609" w:rsidP="00B01300">
            <w:pPr>
              <w:jc w:val="center"/>
              <w:rPr>
                <w:rFonts w:cs="Arial"/>
                <w:szCs w:val="18"/>
              </w:rPr>
            </w:pPr>
            <w:r w:rsidRPr="008D6336">
              <w:rPr>
                <w:rFonts w:cs="Arial"/>
                <w:szCs w:val="18"/>
              </w:rPr>
              <w:t>2.49</w:t>
            </w:r>
          </w:p>
        </w:tc>
        <w:tc>
          <w:tcPr>
            <w:tcW w:w="649" w:type="dxa"/>
            <w:tcBorders>
              <w:left w:val="single" w:sz="4" w:space="0" w:color="FFFFFF" w:themeColor="background1"/>
              <w:right w:val="single" w:sz="4" w:space="0" w:color="FFFFFF" w:themeColor="background1"/>
            </w:tcBorders>
            <w:vAlign w:val="center"/>
          </w:tcPr>
          <w:p w:rsidR="001D1609" w:rsidRPr="008D6336" w:rsidRDefault="001D1609" w:rsidP="008D6336">
            <w:pPr>
              <w:jc w:val="center"/>
              <w:rPr>
                <w:rFonts w:cs="Arial"/>
                <w:szCs w:val="18"/>
              </w:rPr>
            </w:pPr>
            <w:r w:rsidRPr="008D6336">
              <w:rPr>
                <w:rFonts w:cs="Arial"/>
                <w:szCs w:val="18"/>
              </w:rPr>
              <w:t>0</w:t>
            </w:r>
            <w:r w:rsidR="008D6336">
              <w:rPr>
                <w:rFonts w:cs="Arial"/>
                <w:szCs w:val="18"/>
              </w:rPr>
              <w:t>.</w:t>
            </w:r>
            <w:r w:rsidRPr="008D6336">
              <w:rPr>
                <w:rFonts w:cs="Arial"/>
                <w:szCs w:val="18"/>
              </w:rPr>
              <w:t>94</w:t>
            </w:r>
          </w:p>
        </w:tc>
      </w:tr>
    </w:tbl>
    <w:p w:rsidR="001D1609" w:rsidRDefault="001D1609" w:rsidP="001D1609">
      <w:pPr>
        <w:pStyle w:val="PreformattatoHTML"/>
        <w:shd w:val="clear" w:color="auto" w:fill="FFFFFF"/>
        <w:rPr>
          <w:rFonts w:ascii="Arial" w:hAnsi="Arial" w:cs="Arial"/>
          <w:sz w:val="16"/>
          <w:lang w:val="en-US"/>
        </w:rPr>
      </w:pPr>
    </w:p>
    <w:p w:rsidR="001D1609" w:rsidRPr="008D6336" w:rsidRDefault="001D1609" w:rsidP="00F175BB">
      <w:pPr>
        <w:pStyle w:val="CETBodytext"/>
      </w:pPr>
      <w:r w:rsidRPr="008D6336">
        <w:t xml:space="preserve">In Table 1 is compared the parameters of the Langmuir and </w:t>
      </w:r>
      <w:proofErr w:type="spellStart"/>
      <w:r w:rsidRPr="008D6336">
        <w:t>Freundlich</w:t>
      </w:r>
      <w:proofErr w:type="spellEnd"/>
      <w:r w:rsidRPr="008D6336">
        <w:t xml:space="preserve"> isotherms, the Langmuir model is the one that best represents the experimental results. This is verified by the value of correlation coefficient R</w:t>
      </w:r>
      <w:r w:rsidRPr="008D6336">
        <w:rPr>
          <w:vertAlign w:val="superscript"/>
        </w:rPr>
        <w:t>2</w:t>
      </w:r>
      <w:r w:rsidRPr="008D6336">
        <w:t xml:space="preserve"> of 0.96, a value relatively higher than that found by the </w:t>
      </w:r>
      <w:proofErr w:type="spellStart"/>
      <w:r w:rsidRPr="008D6336">
        <w:t>Freundlich</w:t>
      </w:r>
      <w:proofErr w:type="spellEnd"/>
      <w:r w:rsidRPr="008D6336">
        <w:t xml:space="preserve"> model, being 0.94.</w:t>
      </w:r>
    </w:p>
    <w:p w:rsidR="001D1609" w:rsidRPr="008D6336" w:rsidRDefault="001D1609" w:rsidP="00F175BB">
      <w:pPr>
        <w:pStyle w:val="CETBodytext"/>
      </w:pPr>
      <w:r w:rsidRPr="008D6336">
        <w:t xml:space="preserve">The Langmuir isotherm is frequently used to describe the adsorption of liquid solutions and this model assumes </w:t>
      </w:r>
      <w:r w:rsidR="00D407E1">
        <w:t xml:space="preserve">a </w:t>
      </w:r>
      <w:r w:rsidR="00D407E1" w:rsidRPr="008D6336">
        <w:t>coverage</w:t>
      </w:r>
      <w:r w:rsidRPr="008D6336">
        <w:t xml:space="preserve"> of the monolayer adsorption surface. The Langmuir adsorption model assumes that the surface is homogeneous, which has a specific number where a molecule can be adsorbed, that is, when all the sites are occupied it is not possible for the adsorption to continue (the system saturates), the adsorption heat is independent of the degree of coating and all sites are equivalent and the energy of the adsorbed molecules is independent of the presence of other molecules.</w:t>
      </w:r>
    </w:p>
    <w:p w:rsidR="001D1609" w:rsidRPr="008D6336" w:rsidRDefault="001D1609" w:rsidP="001D1609">
      <w:pPr>
        <w:pStyle w:val="PreformattatoHTML"/>
        <w:shd w:val="clear" w:color="auto" w:fill="FFFFFF"/>
        <w:rPr>
          <w:rFonts w:ascii="Arial" w:hAnsi="Arial" w:cs="Arial"/>
          <w:szCs w:val="18"/>
          <w:lang w:val="en-US"/>
        </w:rPr>
      </w:pPr>
      <w:r w:rsidRPr="008D6336">
        <w:rPr>
          <w:rFonts w:ascii="Arial" w:hAnsi="Arial" w:cs="Arial"/>
          <w:szCs w:val="18"/>
          <w:lang w:val="en-US"/>
        </w:rPr>
        <w:t>Finally, according to the parameters calculated in the Langmuir isotherm, the capacity of adsorption of the nanoclay for Cu (II) is 7.53 mg/g.</w:t>
      </w:r>
    </w:p>
    <w:p w:rsidR="001D1609" w:rsidRPr="008D6336" w:rsidRDefault="001D1609" w:rsidP="00F175BB">
      <w:pPr>
        <w:pStyle w:val="CETBodytext"/>
      </w:pPr>
      <w:r w:rsidRPr="008D6336">
        <w:t xml:space="preserve">To apply the treatment carried out in the present investigation, by means of the adsorption process, a sample of Acid Mine Drainage (AMD) was used, coming from an abandoned mine in </w:t>
      </w:r>
      <w:proofErr w:type="spellStart"/>
      <w:r w:rsidRPr="008D6336">
        <w:t>Jauja</w:t>
      </w:r>
      <w:proofErr w:type="spellEnd"/>
      <w:r w:rsidR="004A55E1">
        <w:t xml:space="preserve"> </w:t>
      </w:r>
      <w:r w:rsidR="00F175BB">
        <w:t>-</w:t>
      </w:r>
      <w:r w:rsidR="004A55E1">
        <w:t xml:space="preserve"> </w:t>
      </w:r>
      <w:r w:rsidR="00F175BB">
        <w:t>Peru</w:t>
      </w:r>
      <w:r w:rsidRPr="008D6336">
        <w:t xml:space="preserve">. After a chemical analysis of the AMD by ICP-MS, it gave as initial concentration of copper, 38 mg/L. The experimental tests of </w:t>
      </w:r>
      <w:r w:rsidRPr="008D6336">
        <w:lastRenderedPageBreak/>
        <w:t xml:space="preserve">copper adsorption in batch system in AMD sample, was done with 2.8 g of nanoclay, at pH 8. The AMD sample after the adsorption treatment was taken to a new analysis by ICP-MS, which gave a final concentration of 0.4 mg/L of copper, which represents </w:t>
      </w:r>
      <w:r w:rsidR="000944EA">
        <w:t xml:space="preserve">the </w:t>
      </w:r>
      <w:r w:rsidRPr="008D6336">
        <w:t>98.9 % of removal of this metal.</w:t>
      </w:r>
    </w:p>
    <w:p w:rsidR="001D1609" w:rsidRPr="008D6336" w:rsidRDefault="001D1609" w:rsidP="001D1609">
      <w:pPr>
        <w:pStyle w:val="CETHeading1"/>
        <w:rPr>
          <w:lang w:val="en-GB"/>
        </w:rPr>
      </w:pPr>
      <w:r w:rsidRPr="008D6336">
        <w:rPr>
          <w:lang w:val="en-GB"/>
        </w:rPr>
        <w:t>Conclusions</w:t>
      </w:r>
    </w:p>
    <w:p w:rsidR="001D1609" w:rsidRPr="008D6336" w:rsidRDefault="00EB430D" w:rsidP="00855154">
      <w:pPr>
        <w:pStyle w:val="CETBodytext"/>
      </w:pPr>
      <w:r>
        <w:t>Copper ions were</w:t>
      </w:r>
      <w:r w:rsidR="001D1609" w:rsidRPr="008D6336">
        <w:t xml:space="preserve"> reduced from aqueous solutions using nanoclay as an adsorbent, from an initial concentration of 50 mg/L to </w:t>
      </w:r>
      <w:r>
        <w:t xml:space="preserve">final concentration of </w:t>
      </w:r>
      <w:r w:rsidR="001D1609" w:rsidRPr="008D6336">
        <w:t>1.84 mg/L, equivalent to 96.3% removal percentage</w:t>
      </w:r>
      <w:r w:rsidR="00F175BB">
        <w:t>. T</w:t>
      </w:r>
      <w:r w:rsidR="00F175BB" w:rsidRPr="00F175BB">
        <w:t>he best experiment was given to p</w:t>
      </w:r>
      <w:r w:rsidR="00F175BB">
        <w:t>H</w:t>
      </w:r>
      <w:r w:rsidR="00F175BB" w:rsidRPr="00F175BB">
        <w:t xml:space="preserve"> 8</w:t>
      </w:r>
      <w:r w:rsidR="001D1609" w:rsidRPr="008D6336">
        <w:t>.</w:t>
      </w:r>
    </w:p>
    <w:p w:rsidR="001D1609" w:rsidRDefault="001D1609" w:rsidP="00855154">
      <w:pPr>
        <w:pStyle w:val="CETBodytext"/>
      </w:pPr>
      <w:r w:rsidRPr="008D6336">
        <w:t>The model that best described the Cu(II) adsorption mechanism on nanoclay was the Langmuir isotherm, showing an R</w:t>
      </w:r>
      <w:r w:rsidRPr="008D6336">
        <w:rPr>
          <w:vertAlign w:val="superscript"/>
        </w:rPr>
        <w:t xml:space="preserve">2 </w:t>
      </w:r>
      <w:r w:rsidRPr="008D6336">
        <w:t xml:space="preserve">correlation coefficient of 0.96, a value greater than that obtained by </w:t>
      </w:r>
      <w:proofErr w:type="spellStart"/>
      <w:r w:rsidRPr="008D6336">
        <w:t>Freundlich's</w:t>
      </w:r>
      <w:proofErr w:type="spellEnd"/>
      <w:r w:rsidRPr="008D6336">
        <w:t xml:space="preserve"> model, being 0.94, consequently the adsorption is given in monolayer on a homogeneous surface. The adsorption capacity of the nanoclay, calculated by means of the Langmuir isotherm for Cu(II), was 7.53 mg/g. </w:t>
      </w:r>
    </w:p>
    <w:p w:rsidR="000944EA" w:rsidRDefault="000944EA" w:rsidP="00855154">
      <w:pPr>
        <w:pStyle w:val="CETBodytext"/>
      </w:pPr>
      <w:r w:rsidRPr="000944EA">
        <w:t xml:space="preserve">To demonstrate the efficiency of the proposed process, copper ions were removed from a sample of acid mine drainage </w:t>
      </w:r>
      <w:r>
        <w:t xml:space="preserve">(AMD) </w:t>
      </w:r>
      <w:r w:rsidRPr="000944EA">
        <w:t xml:space="preserve">from an abandoned mine in </w:t>
      </w:r>
      <w:proofErr w:type="spellStart"/>
      <w:r w:rsidRPr="000944EA">
        <w:t>Jauja</w:t>
      </w:r>
      <w:proofErr w:type="spellEnd"/>
      <w:r w:rsidR="004A55E1">
        <w:t xml:space="preserve"> </w:t>
      </w:r>
      <w:r w:rsidRPr="000944EA">
        <w:t>-</w:t>
      </w:r>
      <w:r w:rsidR="004A55E1">
        <w:t xml:space="preserve"> </w:t>
      </w:r>
      <w:r w:rsidRPr="000944EA">
        <w:t>Peru. Copper was removed from an initial concentration of 38</w:t>
      </w:r>
      <w:r>
        <w:t xml:space="preserve"> </w:t>
      </w:r>
      <w:r w:rsidRPr="000944EA">
        <w:t>mg/L to a final concentration of 0.4</w:t>
      </w:r>
      <w:r>
        <w:t xml:space="preserve"> </w:t>
      </w:r>
      <w:r w:rsidRPr="000944EA">
        <w:t>mg/L</w:t>
      </w:r>
      <w:r>
        <w:t xml:space="preserve">, </w:t>
      </w:r>
      <w:r w:rsidRPr="008D6336">
        <w:t xml:space="preserve">which represents </w:t>
      </w:r>
      <w:r>
        <w:t xml:space="preserve">the </w:t>
      </w:r>
      <w:r w:rsidRPr="008D6336">
        <w:t>98.9 % of removal of this metal.</w:t>
      </w:r>
      <w:r>
        <w:t xml:space="preserve"> </w:t>
      </w:r>
    </w:p>
    <w:p w:rsidR="001D1609" w:rsidRDefault="001D1609" w:rsidP="00855154">
      <w:pPr>
        <w:pStyle w:val="CETBodytext"/>
      </w:pPr>
      <w:r w:rsidRPr="008D6336">
        <w:t xml:space="preserve">With these results </w:t>
      </w:r>
      <w:r w:rsidR="00530919" w:rsidRPr="00530919">
        <w:t xml:space="preserve">it is shown </w:t>
      </w:r>
      <w:r w:rsidRPr="008D6336">
        <w:t xml:space="preserve">the great efficiency that nanoclay has when </w:t>
      </w:r>
      <w:r w:rsidR="000944EA">
        <w:t xml:space="preserve">it is </w:t>
      </w:r>
      <w:r w:rsidRPr="008D6336">
        <w:t>appl</w:t>
      </w:r>
      <w:r w:rsidR="000944EA">
        <w:t>ied to</w:t>
      </w:r>
      <w:r w:rsidR="00530919">
        <w:t xml:space="preserve"> the copper removal in </w:t>
      </w:r>
      <w:r w:rsidRPr="008D6336">
        <w:t xml:space="preserve">real samples of </w:t>
      </w:r>
      <w:r w:rsidR="00217850">
        <w:t>A</w:t>
      </w:r>
      <w:r w:rsidR="00C51EF9">
        <w:t>MD</w:t>
      </w:r>
      <w:r w:rsidRPr="008D6336">
        <w:t>, which also constitutes a proposal for the use of this material that is generally low cost and abundant in the central region of Peru.</w:t>
      </w:r>
    </w:p>
    <w:p w:rsidR="00F15819" w:rsidRDefault="00F15819" w:rsidP="003A5E18">
      <w:pPr>
        <w:pStyle w:val="CETBodytext"/>
        <w:tabs>
          <w:tab w:val="clear" w:pos="7100"/>
          <w:tab w:val="left" w:pos="7688"/>
        </w:tabs>
      </w:pPr>
    </w:p>
    <w:p w:rsidR="00F15819" w:rsidRDefault="00F15819" w:rsidP="00F175BB">
      <w:pPr>
        <w:pStyle w:val="CETBodytext"/>
        <w:rPr>
          <w:b/>
        </w:rPr>
      </w:pPr>
      <w:r w:rsidRPr="00F15819">
        <w:rPr>
          <w:b/>
        </w:rPr>
        <w:t>Acknowledgments</w:t>
      </w:r>
    </w:p>
    <w:p w:rsidR="00F15819" w:rsidRPr="00F15819" w:rsidRDefault="00F15819" w:rsidP="00941CB2">
      <w:pPr>
        <w:pStyle w:val="CETBodytext"/>
        <w:rPr>
          <w:rFonts w:ascii="inherit" w:hAnsi="inherit" w:cs="Courier New"/>
          <w:color w:val="212121"/>
          <w:sz w:val="20"/>
          <w:lang w:eastAsia="es-PE"/>
        </w:rPr>
      </w:pPr>
      <w:r w:rsidRPr="00F15819">
        <w:t xml:space="preserve">The authors are grateful to </w:t>
      </w:r>
      <w:proofErr w:type="spellStart"/>
      <w:r w:rsidRPr="00F15819">
        <w:t>Fiorella</w:t>
      </w:r>
      <w:proofErr w:type="spellEnd"/>
      <w:r w:rsidRPr="00F15819">
        <w:t xml:space="preserve"> </w:t>
      </w:r>
      <w:proofErr w:type="spellStart"/>
      <w:r w:rsidRPr="00F15819">
        <w:t>Uscuvilca</w:t>
      </w:r>
      <w:proofErr w:type="spellEnd"/>
      <w:r w:rsidRPr="00F15819">
        <w:t xml:space="preserve"> and Thalia Loyola for facilitating the sample of acid mine drainage (</w:t>
      </w:r>
      <w:r w:rsidR="00941CB2">
        <w:t>AMD</w:t>
      </w:r>
      <w:r w:rsidRPr="00F15819">
        <w:t xml:space="preserve">) from </w:t>
      </w:r>
      <w:proofErr w:type="spellStart"/>
      <w:r w:rsidRPr="00F15819">
        <w:t>Jauja</w:t>
      </w:r>
      <w:proofErr w:type="spellEnd"/>
      <w:r w:rsidRPr="00F15819">
        <w:t xml:space="preserve"> - Peru</w:t>
      </w:r>
      <w:r w:rsidRPr="00F15819">
        <w:rPr>
          <w:rFonts w:ascii="inherit" w:hAnsi="inherit" w:cs="Courier New"/>
          <w:color w:val="212121"/>
          <w:sz w:val="20"/>
          <w:lang w:val="en" w:eastAsia="es-PE"/>
        </w:rPr>
        <w:t>.</w:t>
      </w:r>
    </w:p>
    <w:p w:rsidR="001D1609" w:rsidRPr="008D6336" w:rsidRDefault="001D1609" w:rsidP="001D1609">
      <w:pPr>
        <w:pStyle w:val="CETReference"/>
        <w:rPr>
          <w:szCs w:val="18"/>
        </w:rPr>
      </w:pPr>
      <w:r w:rsidRPr="008D6336">
        <w:rPr>
          <w:szCs w:val="18"/>
        </w:rPr>
        <w:t>References</w:t>
      </w:r>
    </w:p>
    <w:p w:rsidR="001D1609" w:rsidRPr="008D6336" w:rsidRDefault="001D1609" w:rsidP="00855154">
      <w:pPr>
        <w:pStyle w:val="CETReferencetext"/>
      </w:pPr>
      <w:proofErr w:type="spellStart"/>
      <w:r w:rsidRPr="008D6336">
        <w:rPr>
          <w:lang w:val="en-US"/>
        </w:rPr>
        <w:t>Baltazar</w:t>
      </w:r>
      <w:proofErr w:type="spellEnd"/>
      <w:r w:rsidRPr="008D6336">
        <w:rPr>
          <w:lang w:val="en-US"/>
        </w:rPr>
        <w:t xml:space="preserve"> MPG, 2018</w:t>
      </w:r>
      <w:r w:rsidR="00527643">
        <w:rPr>
          <w:lang w:val="en-US"/>
        </w:rPr>
        <w:t>,</w:t>
      </w:r>
      <w:r w:rsidRPr="008D6336">
        <w:rPr>
          <w:lang w:val="en-US"/>
        </w:rPr>
        <w:t xml:space="preserve"> Copper </w:t>
      </w:r>
      <w:proofErr w:type="spellStart"/>
      <w:r w:rsidRPr="008D6336">
        <w:rPr>
          <w:lang w:val="en-US"/>
        </w:rPr>
        <w:t>biosorption</w:t>
      </w:r>
      <w:proofErr w:type="spellEnd"/>
      <w:r w:rsidRPr="008D6336">
        <w:rPr>
          <w:lang w:val="en-US"/>
        </w:rPr>
        <w:t xml:space="preserve"> by </w:t>
      </w:r>
      <w:proofErr w:type="spellStart"/>
      <w:r w:rsidRPr="008D6336">
        <w:rPr>
          <w:i/>
          <w:iCs/>
          <w:lang w:val="en-US"/>
        </w:rPr>
        <w:t>Rhodococcus</w:t>
      </w:r>
      <w:proofErr w:type="spellEnd"/>
      <w:r w:rsidRPr="008D6336">
        <w:rPr>
          <w:i/>
          <w:iCs/>
          <w:lang w:val="en-US"/>
        </w:rPr>
        <w:t xml:space="preserve"> </w:t>
      </w:r>
      <w:proofErr w:type="spellStart"/>
      <w:r w:rsidRPr="008D6336">
        <w:rPr>
          <w:i/>
          <w:iCs/>
          <w:lang w:val="en-US"/>
        </w:rPr>
        <w:t>erythropolis</w:t>
      </w:r>
      <w:proofErr w:type="spellEnd"/>
      <w:r w:rsidRPr="008D6336">
        <w:rPr>
          <w:i/>
          <w:iCs/>
          <w:lang w:val="en-US"/>
        </w:rPr>
        <w:t xml:space="preserve"> </w:t>
      </w:r>
      <w:r w:rsidRPr="008D6336">
        <w:rPr>
          <w:lang w:val="en-US"/>
        </w:rPr>
        <w:t xml:space="preserve">isolated from the </w:t>
      </w:r>
      <w:proofErr w:type="spellStart"/>
      <w:r w:rsidRPr="008D6336">
        <w:rPr>
          <w:lang w:val="en-US"/>
        </w:rPr>
        <w:t>Sossego</w:t>
      </w:r>
      <w:proofErr w:type="spellEnd"/>
      <w:r w:rsidRPr="008D6336">
        <w:rPr>
          <w:lang w:val="en-US"/>
        </w:rPr>
        <w:t xml:space="preserve"> Mine – PA – Brazil. J Mater Res Technol. </w:t>
      </w:r>
      <w:hyperlink r:id="rId17" w:history="1">
        <w:r w:rsidRPr="008D6336">
          <w:rPr>
            <w:rStyle w:val="Collegamentoipertestuale"/>
            <w:rFonts w:cs="Arial"/>
            <w:color w:val="auto"/>
            <w:szCs w:val="18"/>
            <w:u w:val="none"/>
            <w:lang w:val="en-US"/>
          </w:rPr>
          <w:t>doi.org/10.1016/j.jmrt.2018.04.006</w:t>
        </w:r>
      </w:hyperlink>
    </w:p>
    <w:p w:rsidR="001D1609" w:rsidRPr="008D6336" w:rsidRDefault="001D1609" w:rsidP="00855154">
      <w:pPr>
        <w:pStyle w:val="CETReferencetext"/>
        <w:rPr>
          <w:lang w:val="en-US"/>
        </w:rPr>
      </w:pPr>
      <w:proofErr w:type="spellStart"/>
      <w:r w:rsidRPr="008D6336">
        <w:rPr>
          <w:lang w:val="en-US"/>
        </w:rPr>
        <w:t>Freundlich</w:t>
      </w:r>
      <w:proofErr w:type="spellEnd"/>
      <w:r w:rsidRPr="008D6336">
        <w:rPr>
          <w:lang w:val="en-US"/>
        </w:rPr>
        <w:t xml:space="preserve"> HMF, 1906, Over the adsorption in the solution. J Phys </w:t>
      </w:r>
      <w:proofErr w:type="spellStart"/>
      <w:r w:rsidRPr="008D6336">
        <w:rPr>
          <w:lang w:val="en-US"/>
        </w:rPr>
        <w:t>Chem</w:t>
      </w:r>
      <w:proofErr w:type="spellEnd"/>
      <w:r w:rsidRPr="008D6336">
        <w:rPr>
          <w:lang w:val="en-US"/>
        </w:rPr>
        <w:t>; 57:385–470.</w:t>
      </w:r>
    </w:p>
    <w:p w:rsidR="001D1609" w:rsidRPr="008D6336" w:rsidRDefault="001D1609" w:rsidP="00855154">
      <w:pPr>
        <w:pStyle w:val="CETReferencetext"/>
        <w:rPr>
          <w:lang w:val="en-US"/>
        </w:rPr>
      </w:pPr>
      <w:proofErr w:type="spellStart"/>
      <w:r w:rsidRPr="008D6336">
        <w:rPr>
          <w:lang w:val="en-US"/>
        </w:rPr>
        <w:t>Filion</w:t>
      </w:r>
      <w:proofErr w:type="spellEnd"/>
      <w:r w:rsidRPr="008D6336">
        <w:rPr>
          <w:lang w:val="en-US"/>
        </w:rPr>
        <w:t xml:space="preserve">, M.P., Ferguson, K., </w:t>
      </w:r>
      <w:proofErr w:type="spellStart"/>
      <w:r w:rsidRPr="008D6336">
        <w:rPr>
          <w:lang w:val="en-US"/>
        </w:rPr>
        <w:t>Sirois</w:t>
      </w:r>
      <w:proofErr w:type="spellEnd"/>
      <w:r w:rsidRPr="008D6336">
        <w:rPr>
          <w:lang w:val="en-US"/>
        </w:rPr>
        <w:t>, L.L., 1990, Acid mine drainage research in Canada, Can. Min. Metall. Bull. 33–39.</w:t>
      </w:r>
    </w:p>
    <w:p w:rsidR="001D1609" w:rsidRPr="008D6336" w:rsidRDefault="001D1609" w:rsidP="00855154">
      <w:pPr>
        <w:pStyle w:val="CETReferencetext"/>
        <w:rPr>
          <w:lang w:val="en-US"/>
        </w:rPr>
      </w:pPr>
      <w:r w:rsidRPr="008D6336">
        <w:rPr>
          <w:lang w:val="en-US"/>
        </w:rPr>
        <w:t xml:space="preserve">Ibrahim S, </w:t>
      </w:r>
      <w:proofErr w:type="spellStart"/>
      <w:r w:rsidRPr="008D6336">
        <w:rPr>
          <w:lang w:val="en-US"/>
        </w:rPr>
        <w:t>Ang</w:t>
      </w:r>
      <w:proofErr w:type="spellEnd"/>
      <w:r w:rsidRPr="008D6336">
        <w:rPr>
          <w:lang w:val="en-US"/>
        </w:rPr>
        <w:t xml:space="preserve"> H-M, Wang S., 2009</w:t>
      </w:r>
      <w:r w:rsidR="00527643">
        <w:rPr>
          <w:lang w:val="en-US"/>
        </w:rPr>
        <w:t>,</w:t>
      </w:r>
      <w:r w:rsidRPr="008D6336">
        <w:rPr>
          <w:lang w:val="en-US"/>
        </w:rPr>
        <w:t xml:space="preserve"> Removal of emulsified food and mineral oils from wastewater using surfactant modified barley straw. </w:t>
      </w:r>
      <w:proofErr w:type="spellStart"/>
      <w:r w:rsidRPr="008D6336">
        <w:rPr>
          <w:lang w:val="en-US"/>
        </w:rPr>
        <w:t>Bioresour</w:t>
      </w:r>
      <w:proofErr w:type="spellEnd"/>
      <w:r w:rsidRPr="008D6336">
        <w:rPr>
          <w:lang w:val="en-US"/>
        </w:rPr>
        <w:t xml:space="preserve"> </w:t>
      </w:r>
      <w:proofErr w:type="spellStart"/>
      <w:r w:rsidRPr="008D6336">
        <w:rPr>
          <w:lang w:val="en-US"/>
        </w:rPr>
        <w:t>Technol</w:t>
      </w:r>
      <w:proofErr w:type="spellEnd"/>
      <w:r w:rsidRPr="008D6336">
        <w:rPr>
          <w:lang w:val="en-US"/>
        </w:rPr>
        <w:t>, 100(23):5744–9.</w:t>
      </w:r>
    </w:p>
    <w:p w:rsidR="001D1609" w:rsidRPr="008D6336" w:rsidRDefault="001D1609" w:rsidP="00855154">
      <w:pPr>
        <w:pStyle w:val="CETReferencetext"/>
        <w:rPr>
          <w:lang w:val="en-US"/>
        </w:rPr>
      </w:pPr>
      <w:proofErr w:type="spellStart"/>
      <w:r w:rsidRPr="008D6336">
        <w:rPr>
          <w:lang w:val="en-US"/>
        </w:rPr>
        <w:t>Kyzas</w:t>
      </w:r>
      <w:proofErr w:type="spellEnd"/>
      <w:r w:rsidRPr="008D6336">
        <w:rPr>
          <w:lang w:val="en-US"/>
        </w:rPr>
        <w:t xml:space="preserve"> G.Z., </w:t>
      </w:r>
      <w:proofErr w:type="spellStart"/>
      <w:r w:rsidRPr="008D6336">
        <w:rPr>
          <w:lang w:val="en-US"/>
        </w:rPr>
        <w:t>Bikiaris</w:t>
      </w:r>
      <w:proofErr w:type="spellEnd"/>
      <w:r w:rsidRPr="008D6336">
        <w:rPr>
          <w:lang w:val="en-US"/>
        </w:rPr>
        <w:t xml:space="preserve"> D.N., 2015</w:t>
      </w:r>
      <w:r w:rsidR="00527643">
        <w:rPr>
          <w:lang w:val="en-US"/>
        </w:rPr>
        <w:t>,</w:t>
      </w:r>
      <w:r w:rsidRPr="008D6336">
        <w:rPr>
          <w:lang w:val="en-US"/>
        </w:rPr>
        <w:t xml:space="preserve"> Recent modifications of chitosan for adsorption applications: A critical and systematic review, Marine Drugs 13 (1), 312–337.</w:t>
      </w:r>
    </w:p>
    <w:p w:rsidR="001D1609" w:rsidRPr="008D6336" w:rsidRDefault="001D1609" w:rsidP="00855154">
      <w:pPr>
        <w:pStyle w:val="CETReferencetext"/>
        <w:rPr>
          <w:lang w:val="en-US"/>
        </w:rPr>
      </w:pPr>
      <w:r w:rsidRPr="008D6336">
        <w:rPr>
          <w:lang w:val="en-US"/>
        </w:rPr>
        <w:t xml:space="preserve">Langmuir I., 1918, The adsorption of gases on plane surfaces of glass, mica and platinum. J Am </w:t>
      </w:r>
      <w:proofErr w:type="spellStart"/>
      <w:r w:rsidRPr="008D6336">
        <w:rPr>
          <w:lang w:val="en-US"/>
        </w:rPr>
        <w:t>Chem</w:t>
      </w:r>
      <w:proofErr w:type="spellEnd"/>
      <w:r w:rsidRPr="008D6336">
        <w:rPr>
          <w:lang w:val="en-US"/>
        </w:rPr>
        <w:t xml:space="preserve"> </w:t>
      </w:r>
      <w:proofErr w:type="spellStart"/>
      <w:r w:rsidRPr="008D6336">
        <w:rPr>
          <w:lang w:val="en-US"/>
        </w:rPr>
        <w:t>Soc</w:t>
      </w:r>
      <w:proofErr w:type="spellEnd"/>
      <w:r w:rsidRPr="008D6336">
        <w:rPr>
          <w:lang w:val="en-US"/>
        </w:rPr>
        <w:t>; 40:1361–403.</w:t>
      </w:r>
    </w:p>
    <w:p w:rsidR="001D1609" w:rsidRPr="008D6336" w:rsidRDefault="001D1609" w:rsidP="00855154">
      <w:pPr>
        <w:pStyle w:val="CETReferencetext"/>
        <w:rPr>
          <w:lang w:val="en-US"/>
        </w:rPr>
      </w:pPr>
      <w:r w:rsidRPr="008D6336">
        <w:rPr>
          <w:lang w:val="en-US"/>
        </w:rPr>
        <w:t xml:space="preserve">Lima J.O., </w:t>
      </w:r>
      <w:proofErr w:type="spellStart"/>
      <w:r w:rsidRPr="008D6336">
        <w:rPr>
          <w:lang w:val="en-US"/>
        </w:rPr>
        <w:t>Ragassi</w:t>
      </w:r>
      <w:proofErr w:type="spellEnd"/>
      <w:r w:rsidRPr="008D6336">
        <w:rPr>
          <w:lang w:val="en-US"/>
        </w:rPr>
        <w:t xml:space="preserve"> M.F., </w:t>
      </w:r>
      <w:proofErr w:type="spellStart"/>
      <w:r w:rsidRPr="008D6336">
        <w:rPr>
          <w:lang w:val="en-US"/>
        </w:rPr>
        <w:t>Gimenes</w:t>
      </w:r>
      <w:proofErr w:type="spellEnd"/>
      <w:r w:rsidRPr="008D6336">
        <w:rPr>
          <w:lang w:val="en-US"/>
        </w:rPr>
        <w:t xml:space="preserve"> M.L., Vieira M.G.A., Silva M.G.C., 2017, Equilibrium study of cadmium ions adsorption on </w:t>
      </w:r>
      <w:proofErr w:type="spellStart"/>
      <w:r w:rsidRPr="008D6336">
        <w:rPr>
          <w:lang w:val="en-US"/>
        </w:rPr>
        <w:t>sericin</w:t>
      </w:r>
      <w:proofErr w:type="spellEnd"/>
      <w:r w:rsidRPr="008D6336">
        <w:rPr>
          <w:lang w:val="en-US"/>
        </w:rPr>
        <w:t>/alginate particles, Chemical Engineering Transactions, 56, 1891-1896 DOI:10.3303/CET1756316</w:t>
      </w:r>
    </w:p>
    <w:p w:rsidR="001D1609" w:rsidRPr="008D6336" w:rsidRDefault="001D1609" w:rsidP="00855154">
      <w:pPr>
        <w:pStyle w:val="CETReferencetext"/>
        <w:rPr>
          <w:lang w:val="en-US"/>
        </w:rPr>
      </w:pPr>
      <w:proofErr w:type="spellStart"/>
      <w:r w:rsidRPr="008D6336">
        <w:rPr>
          <w:lang w:val="en-US"/>
        </w:rPr>
        <w:t>Macingova</w:t>
      </w:r>
      <w:proofErr w:type="spellEnd"/>
      <w:r w:rsidRPr="008D6336">
        <w:rPr>
          <w:lang w:val="en-US"/>
        </w:rPr>
        <w:t xml:space="preserve">, E., </w:t>
      </w:r>
      <w:proofErr w:type="spellStart"/>
      <w:r w:rsidRPr="008D6336">
        <w:rPr>
          <w:lang w:val="en-US"/>
        </w:rPr>
        <w:t>Luptakova</w:t>
      </w:r>
      <w:proofErr w:type="spellEnd"/>
      <w:r w:rsidRPr="008D6336">
        <w:rPr>
          <w:lang w:val="en-US"/>
        </w:rPr>
        <w:t>, A., 2012</w:t>
      </w:r>
      <w:r w:rsidR="00527643">
        <w:rPr>
          <w:lang w:val="en-US"/>
        </w:rPr>
        <w:t>,</w:t>
      </w:r>
      <w:r w:rsidRPr="008D6336">
        <w:rPr>
          <w:lang w:val="en-US"/>
        </w:rPr>
        <w:t xml:space="preserve"> Recovery of metals from acid mine drainage, Chem. Eng. Trans. 28 109–114.</w:t>
      </w:r>
    </w:p>
    <w:p w:rsidR="001D1609" w:rsidRPr="008D6336" w:rsidRDefault="001D1609" w:rsidP="00855154">
      <w:pPr>
        <w:pStyle w:val="CETReferencetext"/>
        <w:rPr>
          <w:lang w:val="en-US"/>
        </w:rPr>
      </w:pPr>
      <w:proofErr w:type="spellStart"/>
      <w:r w:rsidRPr="008D6336">
        <w:rPr>
          <w:lang w:val="en-US"/>
        </w:rPr>
        <w:t>Patterer</w:t>
      </w:r>
      <w:proofErr w:type="spellEnd"/>
      <w:r w:rsidRPr="008D6336">
        <w:rPr>
          <w:lang w:val="en-US"/>
        </w:rPr>
        <w:t xml:space="preserve"> S., </w:t>
      </w:r>
      <w:proofErr w:type="spellStart"/>
      <w:r w:rsidRPr="008D6336">
        <w:rPr>
          <w:lang w:val="en-US"/>
        </w:rPr>
        <w:t>Bavasso</w:t>
      </w:r>
      <w:proofErr w:type="spellEnd"/>
      <w:r w:rsidRPr="008D6336">
        <w:rPr>
          <w:lang w:val="en-US"/>
        </w:rPr>
        <w:t xml:space="preserve"> I., </w:t>
      </w:r>
      <w:proofErr w:type="spellStart"/>
      <w:r w:rsidRPr="008D6336">
        <w:rPr>
          <w:lang w:val="en-US"/>
        </w:rPr>
        <w:t>Sambeth</w:t>
      </w:r>
      <w:proofErr w:type="spellEnd"/>
      <w:r w:rsidRPr="008D6336">
        <w:rPr>
          <w:lang w:val="en-US"/>
        </w:rPr>
        <w:t xml:space="preserve"> J., Medici F., 2017</w:t>
      </w:r>
      <w:r w:rsidR="00527643">
        <w:rPr>
          <w:lang w:val="en-US"/>
        </w:rPr>
        <w:t>,</w:t>
      </w:r>
      <w:r w:rsidRPr="008D6336">
        <w:rPr>
          <w:lang w:val="en-US"/>
        </w:rPr>
        <w:t xml:space="preserve"> Cadmium removal from </w:t>
      </w:r>
      <w:proofErr w:type="spellStart"/>
      <w:r w:rsidRPr="008D6336">
        <w:rPr>
          <w:lang w:val="en-US"/>
        </w:rPr>
        <w:t>acqueous</w:t>
      </w:r>
      <w:proofErr w:type="spellEnd"/>
      <w:r w:rsidRPr="008D6336">
        <w:rPr>
          <w:lang w:val="en-US"/>
        </w:rPr>
        <w:t xml:space="preserve"> solution by adsorption on spent coffee grounds, Chemical Engineering Transactions, 60, 157-162 DOI: 10.3303/CET1760027</w:t>
      </w:r>
    </w:p>
    <w:p w:rsidR="001D1609" w:rsidRDefault="001D1609" w:rsidP="00855154">
      <w:pPr>
        <w:pStyle w:val="CETReferencetext"/>
        <w:rPr>
          <w:lang w:val="en-US"/>
        </w:rPr>
      </w:pPr>
      <w:proofErr w:type="spellStart"/>
      <w:r w:rsidRPr="008D6336">
        <w:rPr>
          <w:lang w:val="en-US"/>
        </w:rPr>
        <w:t>Shirzad-Siboni</w:t>
      </w:r>
      <w:proofErr w:type="spellEnd"/>
      <w:r w:rsidRPr="008D6336">
        <w:rPr>
          <w:lang w:val="en-US"/>
        </w:rPr>
        <w:t xml:space="preserve">, M., </w:t>
      </w:r>
      <w:proofErr w:type="spellStart"/>
      <w:r w:rsidRPr="008D6336">
        <w:rPr>
          <w:lang w:val="en-US"/>
        </w:rPr>
        <w:t>Khataee</w:t>
      </w:r>
      <w:proofErr w:type="spellEnd"/>
      <w:r w:rsidRPr="008D6336">
        <w:rPr>
          <w:lang w:val="en-US"/>
        </w:rPr>
        <w:t xml:space="preserve">, A., </w:t>
      </w:r>
      <w:proofErr w:type="spellStart"/>
      <w:r w:rsidRPr="008D6336">
        <w:rPr>
          <w:lang w:val="en-US"/>
        </w:rPr>
        <w:t>Hassani</w:t>
      </w:r>
      <w:proofErr w:type="spellEnd"/>
      <w:r w:rsidRPr="008D6336">
        <w:rPr>
          <w:lang w:val="en-US"/>
        </w:rPr>
        <w:t xml:space="preserve">, A., </w:t>
      </w:r>
      <w:proofErr w:type="spellStart"/>
      <w:r w:rsidRPr="008D6336">
        <w:rPr>
          <w:lang w:val="en-US"/>
        </w:rPr>
        <w:t>Karaca</w:t>
      </w:r>
      <w:proofErr w:type="spellEnd"/>
      <w:r w:rsidRPr="008D6336">
        <w:rPr>
          <w:lang w:val="en-US"/>
        </w:rPr>
        <w:t xml:space="preserve">, S., 2015, Preparation, characterization and application of a CTAB-modified nanoclay for the adsorption of an herbicide from aqueous solutions: Kinetic and equilibrium studies, C. R. </w:t>
      </w:r>
      <w:proofErr w:type="spellStart"/>
      <w:r w:rsidRPr="008D6336">
        <w:rPr>
          <w:lang w:val="en-US"/>
        </w:rPr>
        <w:t>Chimie</w:t>
      </w:r>
      <w:proofErr w:type="spellEnd"/>
      <w:r w:rsidRPr="008D6336">
        <w:rPr>
          <w:lang w:val="en-US"/>
        </w:rPr>
        <w:t xml:space="preserve"> 18, 204–214.</w:t>
      </w:r>
    </w:p>
    <w:p w:rsidR="00C44E0D" w:rsidRPr="008D6336" w:rsidRDefault="00C44E0D" w:rsidP="00855154">
      <w:pPr>
        <w:pStyle w:val="CETReferencetext"/>
        <w:rPr>
          <w:lang w:val="en-US"/>
        </w:rPr>
      </w:pPr>
      <w:proofErr w:type="spellStart"/>
      <w:r w:rsidRPr="00C44E0D">
        <w:rPr>
          <w:lang w:val="en-US"/>
        </w:rPr>
        <w:t>Soleimani</w:t>
      </w:r>
      <w:proofErr w:type="spellEnd"/>
      <w:r w:rsidRPr="00C44E0D">
        <w:rPr>
          <w:lang w:val="en-US"/>
        </w:rPr>
        <w:t xml:space="preserve"> </w:t>
      </w:r>
      <w:r>
        <w:rPr>
          <w:lang w:val="en-US"/>
        </w:rPr>
        <w:t xml:space="preserve">M., </w:t>
      </w:r>
      <w:proofErr w:type="spellStart"/>
      <w:r w:rsidRPr="00C44E0D">
        <w:rPr>
          <w:lang w:val="en-US"/>
        </w:rPr>
        <w:t>Hassanzadeh</w:t>
      </w:r>
      <w:proofErr w:type="spellEnd"/>
      <w:r w:rsidR="00D70A6A">
        <w:rPr>
          <w:lang w:val="en-US"/>
        </w:rPr>
        <w:t xml:space="preserve"> Z. 2015,</w:t>
      </w:r>
      <w:r>
        <w:rPr>
          <w:lang w:val="en-US"/>
        </w:rPr>
        <w:t xml:space="preserve"> </w:t>
      </w:r>
      <w:proofErr w:type="spellStart"/>
      <w:r w:rsidRPr="00C44E0D">
        <w:rPr>
          <w:lang w:val="en-US"/>
        </w:rPr>
        <w:t>Ghezeljeh</w:t>
      </w:r>
      <w:proofErr w:type="spellEnd"/>
      <w:r w:rsidRPr="00C44E0D">
        <w:rPr>
          <w:lang w:val="en-US"/>
        </w:rPr>
        <w:t xml:space="preserve"> </w:t>
      </w:r>
      <w:proofErr w:type="spellStart"/>
      <w:r w:rsidRPr="00C44E0D">
        <w:rPr>
          <w:lang w:val="en-US"/>
        </w:rPr>
        <w:t>nanoclay</w:t>
      </w:r>
      <w:proofErr w:type="spellEnd"/>
      <w:r w:rsidRPr="00C44E0D">
        <w:rPr>
          <w:lang w:val="en-US"/>
        </w:rPr>
        <w:t xml:space="preserve"> as a new</w:t>
      </w:r>
      <w:r w:rsidR="00D70A6A">
        <w:rPr>
          <w:lang w:val="en-US"/>
        </w:rPr>
        <w:t xml:space="preserve"> </w:t>
      </w:r>
      <w:r w:rsidRPr="00C44E0D">
        <w:rPr>
          <w:lang w:val="en-US"/>
        </w:rPr>
        <w:t>natural adsorbent for the removal of copper</w:t>
      </w:r>
      <w:r w:rsidR="00D70A6A">
        <w:rPr>
          <w:lang w:val="en-US"/>
        </w:rPr>
        <w:t xml:space="preserve"> </w:t>
      </w:r>
      <w:r w:rsidRPr="00C44E0D">
        <w:rPr>
          <w:lang w:val="en-US"/>
        </w:rPr>
        <w:t>and mercury ions: Equilibrium, kinetics and thermodynamics studies</w:t>
      </w:r>
      <w:r w:rsidR="00D70A6A">
        <w:rPr>
          <w:lang w:val="en-US"/>
        </w:rPr>
        <w:t xml:space="preserve">. </w:t>
      </w:r>
      <w:r w:rsidRPr="00C44E0D">
        <w:rPr>
          <w:lang w:val="en-US"/>
        </w:rPr>
        <w:t>Chinese Journal of Chemical Engineering 23</w:t>
      </w:r>
      <w:r w:rsidR="00D70A6A">
        <w:rPr>
          <w:lang w:val="en-US"/>
        </w:rPr>
        <w:t>,</w:t>
      </w:r>
      <w:r w:rsidRPr="00C44E0D">
        <w:rPr>
          <w:lang w:val="en-US"/>
        </w:rPr>
        <w:t xml:space="preserve"> 1819–1833</w:t>
      </w:r>
      <w:r w:rsidR="00D70A6A">
        <w:rPr>
          <w:lang w:val="en-US"/>
        </w:rPr>
        <w:t xml:space="preserve">. </w:t>
      </w:r>
    </w:p>
    <w:p w:rsidR="004628D2" w:rsidRDefault="001D1609" w:rsidP="00855154">
      <w:pPr>
        <w:pStyle w:val="CETReferencetext"/>
        <w:rPr>
          <w:lang w:val="en-US"/>
        </w:rPr>
      </w:pPr>
      <w:proofErr w:type="spellStart"/>
      <w:r w:rsidRPr="008D6336">
        <w:rPr>
          <w:lang w:val="en-US"/>
        </w:rPr>
        <w:t>Sudha</w:t>
      </w:r>
      <w:proofErr w:type="spellEnd"/>
      <w:r w:rsidRPr="008D6336">
        <w:rPr>
          <w:lang w:val="en-US"/>
        </w:rPr>
        <w:t xml:space="preserve"> Rania, K., </w:t>
      </w:r>
      <w:proofErr w:type="spellStart"/>
      <w:r w:rsidRPr="008D6336">
        <w:rPr>
          <w:lang w:val="en-US"/>
        </w:rPr>
        <w:t>Srinivasb</w:t>
      </w:r>
      <w:proofErr w:type="spellEnd"/>
      <w:r w:rsidRPr="008D6336">
        <w:rPr>
          <w:lang w:val="en-US"/>
        </w:rPr>
        <w:t xml:space="preserve">, B., </w:t>
      </w:r>
      <w:proofErr w:type="spellStart"/>
      <w:r w:rsidRPr="008D6336">
        <w:rPr>
          <w:lang w:val="en-US"/>
        </w:rPr>
        <w:t>Gouru</w:t>
      </w:r>
      <w:proofErr w:type="spellEnd"/>
      <w:r w:rsidRPr="008D6336">
        <w:rPr>
          <w:lang w:val="en-US"/>
        </w:rPr>
        <w:t xml:space="preserve"> </w:t>
      </w:r>
      <w:proofErr w:type="spellStart"/>
      <w:r w:rsidRPr="008D6336">
        <w:rPr>
          <w:lang w:val="en-US"/>
        </w:rPr>
        <w:t>Naiduc</w:t>
      </w:r>
      <w:proofErr w:type="spellEnd"/>
      <w:r w:rsidRPr="008D6336">
        <w:rPr>
          <w:lang w:val="en-US"/>
        </w:rPr>
        <w:t xml:space="preserve">, K., </w:t>
      </w:r>
      <w:proofErr w:type="spellStart"/>
      <w:r w:rsidRPr="008D6336">
        <w:rPr>
          <w:lang w:val="en-US"/>
        </w:rPr>
        <w:t>Ramesha</w:t>
      </w:r>
      <w:proofErr w:type="spellEnd"/>
      <w:r w:rsidRPr="008D6336">
        <w:rPr>
          <w:lang w:val="en-US"/>
        </w:rPr>
        <w:t>, K.V., 2018, Removal of copper by adsorption on treated laterite, Materials Today: Proceedings 5, 463–469.</w:t>
      </w:r>
    </w:p>
    <w:p w:rsidR="006F7748" w:rsidRPr="00154B7F" w:rsidRDefault="006F7748" w:rsidP="00855154">
      <w:pPr>
        <w:pStyle w:val="CETReferencetext"/>
        <w:rPr>
          <w:lang w:val="en-US"/>
        </w:rPr>
      </w:pPr>
      <w:r>
        <w:rPr>
          <w:lang w:val="en-US"/>
        </w:rPr>
        <w:t xml:space="preserve">Uddin, F., 2008, </w:t>
      </w:r>
      <w:r w:rsidRPr="006F7748">
        <w:rPr>
          <w:lang w:val="en-US"/>
        </w:rPr>
        <w:t xml:space="preserve">Clays, </w:t>
      </w:r>
      <w:proofErr w:type="spellStart"/>
      <w:r w:rsidRPr="006F7748">
        <w:rPr>
          <w:lang w:val="en-US"/>
        </w:rPr>
        <w:t>Nanoclays</w:t>
      </w:r>
      <w:proofErr w:type="spellEnd"/>
      <w:r w:rsidRPr="006F7748">
        <w:rPr>
          <w:lang w:val="en-US"/>
        </w:rPr>
        <w:t>, and Montmorillonite Minerals</w:t>
      </w:r>
      <w:r>
        <w:rPr>
          <w:lang w:val="en-US"/>
        </w:rPr>
        <w:t xml:space="preserve">, </w:t>
      </w:r>
      <w:proofErr w:type="spellStart"/>
      <w:r w:rsidRPr="006F7748">
        <w:rPr>
          <w:lang w:val="en-US"/>
        </w:rPr>
        <w:t>Metall</w:t>
      </w:r>
      <w:proofErr w:type="spellEnd"/>
      <w:r w:rsidRPr="006F7748">
        <w:rPr>
          <w:lang w:val="en-US"/>
        </w:rPr>
        <w:t xml:space="preserve"> and Mat Trans A 39: 2804. doi.org/10.1007/s11661-008-9603-5</w:t>
      </w:r>
      <w:r w:rsidR="00F175BB">
        <w:rPr>
          <w:lang w:val="en-US"/>
        </w:rPr>
        <w:t>.</w:t>
      </w:r>
    </w:p>
    <w:sectPr w:rsidR="006F7748" w:rsidRPr="00154B7F" w:rsidSect="0077098D">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505" w:rsidRDefault="00094505" w:rsidP="004F5E36">
      <w:r>
        <w:separator/>
      </w:r>
    </w:p>
  </w:endnote>
  <w:endnote w:type="continuationSeparator" w:id="0">
    <w:p w:rsidR="00094505" w:rsidRDefault="00094505"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vP6960">
    <w:altName w:val="Times New Roman"/>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505" w:rsidRDefault="00094505" w:rsidP="004F5E36">
      <w:r>
        <w:separator/>
      </w:r>
    </w:p>
  </w:footnote>
  <w:footnote w:type="continuationSeparator" w:id="0">
    <w:p w:rsidR="00094505" w:rsidRDefault="00094505"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7">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2"/>
  </w:num>
  <w:num w:numId="14">
    <w:abstractNumId w:val="17"/>
  </w:num>
  <w:num w:numId="15">
    <w:abstractNumId w:val="19"/>
  </w:num>
  <w:num w:numId="16">
    <w:abstractNumId w:val="18"/>
  </w:num>
  <w:num w:numId="17">
    <w:abstractNumId w:val="11"/>
  </w:num>
  <w:num w:numId="18">
    <w:abstractNumId w:val="12"/>
    <w:lvlOverride w:ilvl="0">
      <w:startOverride w:val="1"/>
    </w:lvlOverride>
  </w:num>
  <w:num w:numId="19">
    <w:abstractNumId w:val="15"/>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595"/>
    <w:rsid w:val="000027C0"/>
    <w:rsid w:val="000052FB"/>
    <w:rsid w:val="00006DEC"/>
    <w:rsid w:val="00010F40"/>
    <w:rsid w:val="000117CB"/>
    <w:rsid w:val="0003148D"/>
    <w:rsid w:val="00047D7F"/>
    <w:rsid w:val="00051566"/>
    <w:rsid w:val="00062A9A"/>
    <w:rsid w:val="00065058"/>
    <w:rsid w:val="00086C39"/>
    <w:rsid w:val="000944EA"/>
    <w:rsid w:val="00094505"/>
    <w:rsid w:val="000A03B2"/>
    <w:rsid w:val="000A6AD7"/>
    <w:rsid w:val="000B4D73"/>
    <w:rsid w:val="000D34BE"/>
    <w:rsid w:val="000E0842"/>
    <w:rsid w:val="000E102F"/>
    <w:rsid w:val="000E36F1"/>
    <w:rsid w:val="000E3A73"/>
    <w:rsid w:val="000E414A"/>
    <w:rsid w:val="000F093C"/>
    <w:rsid w:val="000F16BD"/>
    <w:rsid w:val="000F787B"/>
    <w:rsid w:val="0012091F"/>
    <w:rsid w:val="00126BC2"/>
    <w:rsid w:val="001308B6"/>
    <w:rsid w:val="0013121F"/>
    <w:rsid w:val="00131FAB"/>
    <w:rsid w:val="00131FE6"/>
    <w:rsid w:val="0013263F"/>
    <w:rsid w:val="00134DE4"/>
    <w:rsid w:val="0014034D"/>
    <w:rsid w:val="00150E59"/>
    <w:rsid w:val="00152DE3"/>
    <w:rsid w:val="00154B7F"/>
    <w:rsid w:val="001617E1"/>
    <w:rsid w:val="00164CF9"/>
    <w:rsid w:val="00184AD6"/>
    <w:rsid w:val="00194974"/>
    <w:rsid w:val="001B0349"/>
    <w:rsid w:val="001B65C1"/>
    <w:rsid w:val="001C684B"/>
    <w:rsid w:val="001D1609"/>
    <w:rsid w:val="001D53FC"/>
    <w:rsid w:val="001F42A5"/>
    <w:rsid w:val="001F7B9D"/>
    <w:rsid w:val="00216791"/>
    <w:rsid w:val="00216F57"/>
    <w:rsid w:val="00217850"/>
    <w:rsid w:val="002224B4"/>
    <w:rsid w:val="002447EF"/>
    <w:rsid w:val="00247490"/>
    <w:rsid w:val="00251550"/>
    <w:rsid w:val="00263B05"/>
    <w:rsid w:val="0027221A"/>
    <w:rsid w:val="00275B61"/>
    <w:rsid w:val="00282656"/>
    <w:rsid w:val="00296B83"/>
    <w:rsid w:val="002A1EB1"/>
    <w:rsid w:val="002B78CE"/>
    <w:rsid w:val="002C2FB6"/>
    <w:rsid w:val="002E62E3"/>
    <w:rsid w:val="003009B7"/>
    <w:rsid w:val="00300E56"/>
    <w:rsid w:val="0030469C"/>
    <w:rsid w:val="00321CA6"/>
    <w:rsid w:val="00334C09"/>
    <w:rsid w:val="003365E3"/>
    <w:rsid w:val="0035685E"/>
    <w:rsid w:val="003723D4"/>
    <w:rsid w:val="00384CC8"/>
    <w:rsid w:val="003871FD"/>
    <w:rsid w:val="003A1E30"/>
    <w:rsid w:val="003A5E18"/>
    <w:rsid w:val="003A7D1C"/>
    <w:rsid w:val="003B304B"/>
    <w:rsid w:val="003B3146"/>
    <w:rsid w:val="003B60F3"/>
    <w:rsid w:val="003F015E"/>
    <w:rsid w:val="00400414"/>
    <w:rsid w:val="0041446B"/>
    <w:rsid w:val="0044329C"/>
    <w:rsid w:val="00456DCD"/>
    <w:rsid w:val="004577FE"/>
    <w:rsid w:val="00457B9C"/>
    <w:rsid w:val="0046164A"/>
    <w:rsid w:val="004628D2"/>
    <w:rsid w:val="00462DCD"/>
    <w:rsid w:val="004648AD"/>
    <w:rsid w:val="004703A9"/>
    <w:rsid w:val="004760DE"/>
    <w:rsid w:val="004A004E"/>
    <w:rsid w:val="004A24CF"/>
    <w:rsid w:val="004A55E1"/>
    <w:rsid w:val="004B6721"/>
    <w:rsid w:val="004C3D1D"/>
    <w:rsid w:val="004C7913"/>
    <w:rsid w:val="004E4DD6"/>
    <w:rsid w:val="004F5E36"/>
    <w:rsid w:val="00507B47"/>
    <w:rsid w:val="00507CC9"/>
    <w:rsid w:val="005119A5"/>
    <w:rsid w:val="005125FD"/>
    <w:rsid w:val="00527643"/>
    <w:rsid w:val="005278B7"/>
    <w:rsid w:val="00530919"/>
    <w:rsid w:val="00532016"/>
    <w:rsid w:val="005346C8"/>
    <w:rsid w:val="00543E7D"/>
    <w:rsid w:val="005471EF"/>
    <w:rsid w:val="00547A68"/>
    <w:rsid w:val="005531C9"/>
    <w:rsid w:val="00564645"/>
    <w:rsid w:val="0058599B"/>
    <w:rsid w:val="005A2636"/>
    <w:rsid w:val="005B2110"/>
    <w:rsid w:val="005B61E6"/>
    <w:rsid w:val="005C77E1"/>
    <w:rsid w:val="005D6A2F"/>
    <w:rsid w:val="005E1A82"/>
    <w:rsid w:val="005E794C"/>
    <w:rsid w:val="005F0A28"/>
    <w:rsid w:val="005F0E5E"/>
    <w:rsid w:val="005F2D8E"/>
    <w:rsid w:val="00600535"/>
    <w:rsid w:val="00607E4D"/>
    <w:rsid w:val="00610CD6"/>
    <w:rsid w:val="00620DEE"/>
    <w:rsid w:val="00621F92"/>
    <w:rsid w:val="00625639"/>
    <w:rsid w:val="00631B33"/>
    <w:rsid w:val="0064184D"/>
    <w:rsid w:val="006422CC"/>
    <w:rsid w:val="00660E3E"/>
    <w:rsid w:val="00662E74"/>
    <w:rsid w:val="00680C23"/>
    <w:rsid w:val="00693766"/>
    <w:rsid w:val="006A3281"/>
    <w:rsid w:val="006B4888"/>
    <w:rsid w:val="006C2E45"/>
    <w:rsid w:val="006C359C"/>
    <w:rsid w:val="006C5579"/>
    <w:rsid w:val="006E737D"/>
    <w:rsid w:val="006F0401"/>
    <w:rsid w:val="006F7748"/>
    <w:rsid w:val="0070195D"/>
    <w:rsid w:val="00720A24"/>
    <w:rsid w:val="00732386"/>
    <w:rsid w:val="007447F3"/>
    <w:rsid w:val="00747397"/>
    <w:rsid w:val="0075499F"/>
    <w:rsid w:val="007661C8"/>
    <w:rsid w:val="0077098D"/>
    <w:rsid w:val="007931FA"/>
    <w:rsid w:val="007A7628"/>
    <w:rsid w:val="007A7BBA"/>
    <w:rsid w:val="007B0C50"/>
    <w:rsid w:val="007C1A43"/>
    <w:rsid w:val="007E1DC6"/>
    <w:rsid w:val="00813288"/>
    <w:rsid w:val="008168FC"/>
    <w:rsid w:val="0082045F"/>
    <w:rsid w:val="00830996"/>
    <w:rsid w:val="008345F1"/>
    <w:rsid w:val="00846C04"/>
    <w:rsid w:val="00855154"/>
    <w:rsid w:val="008658F5"/>
    <w:rsid w:val="00865B07"/>
    <w:rsid w:val="008667EA"/>
    <w:rsid w:val="00871DB6"/>
    <w:rsid w:val="0087637F"/>
    <w:rsid w:val="008904B9"/>
    <w:rsid w:val="00892AD5"/>
    <w:rsid w:val="00894C38"/>
    <w:rsid w:val="008A1512"/>
    <w:rsid w:val="008D32B9"/>
    <w:rsid w:val="008D433B"/>
    <w:rsid w:val="008D6336"/>
    <w:rsid w:val="008E566E"/>
    <w:rsid w:val="0090161A"/>
    <w:rsid w:val="00901EB6"/>
    <w:rsid w:val="00904C62"/>
    <w:rsid w:val="00924DAC"/>
    <w:rsid w:val="00927058"/>
    <w:rsid w:val="00941CB2"/>
    <w:rsid w:val="009450CE"/>
    <w:rsid w:val="00947179"/>
    <w:rsid w:val="0095164B"/>
    <w:rsid w:val="00954090"/>
    <w:rsid w:val="009573E7"/>
    <w:rsid w:val="00963E05"/>
    <w:rsid w:val="00967D54"/>
    <w:rsid w:val="00996483"/>
    <w:rsid w:val="00996F5A"/>
    <w:rsid w:val="009A0A3E"/>
    <w:rsid w:val="009B041A"/>
    <w:rsid w:val="009C7C86"/>
    <w:rsid w:val="009D2FF7"/>
    <w:rsid w:val="009E7884"/>
    <w:rsid w:val="009E788A"/>
    <w:rsid w:val="009F0E08"/>
    <w:rsid w:val="00A10399"/>
    <w:rsid w:val="00A1763D"/>
    <w:rsid w:val="00A17CEC"/>
    <w:rsid w:val="00A27EF0"/>
    <w:rsid w:val="00A50B20"/>
    <w:rsid w:val="00A51390"/>
    <w:rsid w:val="00A60D13"/>
    <w:rsid w:val="00A72745"/>
    <w:rsid w:val="00A75D53"/>
    <w:rsid w:val="00A76EFC"/>
    <w:rsid w:val="00A91010"/>
    <w:rsid w:val="00A97F29"/>
    <w:rsid w:val="00AA085F"/>
    <w:rsid w:val="00AA702E"/>
    <w:rsid w:val="00AB0964"/>
    <w:rsid w:val="00AB5011"/>
    <w:rsid w:val="00AC17B9"/>
    <w:rsid w:val="00AC7368"/>
    <w:rsid w:val="00AD16B9"/>
    <w:rsid w:val="00AE377D"/>
    <w:rsid w:val="00B01300"/>
    <w:rsid w:val="00B17FBD"/>
    <w:rsid w:val="00B315A6"/>
    <w:rsid w:val="00B31813"/>
    <w:rsid w:val="00B33365"/>
    <w:rsid w:val="00B57B36"/>
    <w:rsid w:val="00B71728"/>
    <w:rsid w:val="00B8686D"/>
    <w:rsid w:val="00BC30C9"/>
    <w:rsid w:val="00BC7FCC"/>
    <w:rsid w:val="00BD4B6E"/>
    <w:rsid w:val="00BE3E58"/>
    <w:rsid w:val="00C01616"/>
    <w:rsid w:val="00C0162B"/>
    <w:rsid w:val="00C345B1"/>
    <w:rsid w:val="00C40142"/>
    <w:rsid w:val="00C44E0D"/>
    <w:rsid w:val="00C51EF9"/>
    <w:rsid w:val="00C57182"/>
    <w:rsid w:val="00C57863"/>
    <w:rsid w:val="00C655FD"/>
    <w:rsid w:val="00C870A8"/>
    <w:rsid w:val="00C94434"/>
    <w:rsid w:val="00CA0D75"/>
    <w:rsid w:val="00CA1C95"/>
    <w:rsid w:val="00CA5A9C"/>
    <w:rsid w:val="00CD3517"/>
    <w:rsid w:val="00CD5FE2"/>
    <w:rsid w:val="00CE7C68"/>
    <w:rsid w:val="00D02B4C"/>
    <w:rsid w:val="00D040C4"/>
    <w:rsid w:val="00D407E1"/>
    <w:rsid w:val="00D57C84"/>
    <w:rsid w:val="00D6057D"/>
    <w:rsid w:val="00D70A6A"/>
    <w:rsid w:val="00D84576"/>
    <w:rsid w:val="00DA1399"/>
    <w:rsid w:val="00DA24C6"/>
    <w:rsid w:val="00DA4D7B"/>
    <w:rsid w:val="00DE264A"/>
    <w:rsid w:val="00E02D18"/>
    <w:rsid w:val="00E041E7"/>
    <w:rsid w:val="00E23CA1"/>
    <w:rsid w:val="00E409A8"/>
    <w:rsid w:val="00E50C12"/>
    <w:rsid w:val="00E65B91"/>
    <w:rsid w:val="00E7209D"/>
    <w:rsid w:val="00E77223"/>
    <w:rsid w:val="00E8528B"/>
    <w:rsid w:val="00E85B94"/>
    <w:rsid w:val="00E978D0"/>
    <w:rsid w:val="00EA4613"/>
    <w:rsid w:val="00EA7F91"/>
    <w:rsid w:val="00EB1523"/>
    <w:rsid w:val="00EB430D"/>
    <w:rsid w:val="00EC0E49"/>
    <w:rsid w:val="00EE0131"/>
    <w:rsid w:val="00EE084B"/>
    <w:rsid w:val="00F155B2"/>
    <w:rsid w:val="00F15819"/>
    <w:rsid w:val="00F175BB"/>
    <w:rsid w:val="00F30C64"/>
    <w:rsid w:val="00F32CDB"/>
    <w:rsid w:val="00F63A70"/>
    <w:rsid w:val="00FA21D0"/>
    <w:rsid w:val="00FA5F5F"/>
    <w:rsid w:val="00FB6480"/>
    <w:rsid w:val="00FB730C"/>
    <w:rsid w:val="00FC2695"/>
    <w:rsid w:val="00FC3E03"/>
    <w:rsid w:val="00FC3FC1"/>
    <w:rsid w:val="00FE6688"/>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CET Top_page"/>
    <w:rsid w:val="006F7748"/>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character" w:customStyle="1" w:styleId="HTMLconformatoprevioCar1">
    <w:name w:val="HTML con formato previo Car1"/>
    <w:basedOn w:val="Carpredefinitoparagrafo"/>
    <w:uiPriority w:val="99"/>
    <w:rsid w:val="001D1609"/>
    <w:rPr>
      <w:rFonts w:ascii="Consolas" w:hAnsi="Consolas" w:cs="Consolas"/>
      <w:sz w:val="20"/>
      <w:szCs w:val="20"/>
    </w:rPr>
  </w:style>
  <w:style w:type="character" w:customStyle="1" w:styleId="HTMLconformatoprevioCar">
    <w:name w:val="HTML con formato previo Car"/>
    <w:basedOn w:val="Carpredefinitoparagrafo"/>
    <w:uiPriority w:val="99"/>
    <w:semiHidden/>
    <w:rsid w:val="008658F5"/>
    <w:rPr>
      <w:rFonts w:ascii="Courier New" w:eastAsia="Times New Roman" w:hAnsi="Courier New" w:cs="Courier New"/>
      <w:sz w:val="20"/>
      <w:szCs w:val="20"/>
      <w:lang w:val="es-PE"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CET Top_page"/>
    <w:rsid w:val="006F7748"/>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character" w:customStyle="1" w:styleId="HTMLconformatoprevioCar1">
    <w:name w:val="HTML con formato previo Car1"/>
    <w:basedOn w:val="Carpredefinitoparagrafo"/>
    <w:uiPriority w:val="99"/>
    <w:rsid w:val="001D1609"/>
    <w:rPr>
      <w:rFonts w:ascii="Consolas" w:hAnsi="Consolas" w:cs="Consolas"/>
      <w:sz w:val="20"/>
      <w:szCs w:val="20"/>
    </w:rPr>
  </w:style>
  <w:style w:type="character" w:customStyle="1" w:styleId="HTMLconformatoprevioCar">
    <w:name w:val="HTML con formato previo Car"/>
    <w:basedOn w:val="Carpredefinitoparagrafo"/>
    <w:uiPriority w:val="99"/>
    <w:semiHidden/>
    <w:rsid w:val="008658F5"/>
    <w:rPr>
      <w:rFonts w:ascii="Courier New" w:eastAsia="Times New Roman" w:hAnsi="Courier New" w:cs="Courier New"/>
      <w:sz w:val="20"/>
      <w:szCs w:val="20"/>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9085">
      <w:bodyDiv w:val="1"/>
      <w:marLeft w:val="0"/>
      <w:marRight w:val="0"/>
      <w:marTop w:val="0"/>
      <w:marBottom w:val="0"/>
      <w:divBdr>
        <w:top w:val="none" w:sz="0" w:space="0" w:color="auto"/>
        <w:left w:val="none" w:sz="0" w:space="0" w:color="auto"/>
        <w:bottom w:val="none" w:sz="0" w:space="0" w:color="auto"/>
        <w:right w:val="none" w:sz="0" w:space="0" w:color="auto"/>
      </w:divBdr>
    </w:div>
    <w:div w:id="64036212">
      <w:bodyDiv w:val="1"/>
      <w:marLeft w:val="0"/>
      <w:marRight w:val="0"/>
      <w:marTop w:val="0"/>
      <w:marBottom w:val="0"/>
      <w:divBdr>
        <w:top w:val="none" w:sz="0" w:space="0" w:color="auto"/>
        <w:left w:val="none" w:sz="0" w:space="0" w:color="auto"/>
        <w:bottom w:val="none" w:sz="0" w:space="0" w:color="auto"/>
        <w:right w:val="none" w:sz="0" w:space="0" w:color="auto"/>
      </w:divBdr>
    </w:div>
    <w:div w:id="566494673">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0970">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0775">
      <w:bodyDiv w:val="1"/>
      <w:marLeft w:val="0"/>
      <w:marRight w:val="0"/>
      <w:marTop w:val="0"/>
      <w:marBottom w:val="0"/>
      <w:divBdr>
        <w:top w:val="none" w:sz="0" w:space="0" w:color="auto"/>
        <w:left w:val="none" w:sz="0" w:space="0" w:color="auto"/>
        <w:bottom w:val="none" w:sz="0" w:space="0" w:color="auto"/>
        <w:right w:val="none" w:sz="0" w:space="0" w:color="auto"/>
      </w:divBdr>
    </w:div>
    <w:div w:id="1569613902">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1950">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doi.org/10.1016/j.jmrt.2018.04.006" TargetMode="Externa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AAYESSI\Conferencias%20de%20Tesis%202017\Pregrado\Resultados\Curva%20de%20masas%20nanoarcillas%20con%20Cu(I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AAYESSI\Conferencias%20de%20Tesis%202017\Pregrado\Resultados\Curva%20de%20masas,%20adsorcionCu(II)con%20nanoarcillas,ISOTERMA%20de%20adsorc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AAYESSI\Conferencias%20de%20Tesis%202017\Pregrado\Resultados\Curva%20de%20masas,%20adsorcionCu(II)con%20nanoarcillas,ISOTERMA%20de%20adsorc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AAYESSI\Conferencias%20de%20Tesis%202017\Pregrado\Resultados\Curva%20de%20masas,%20adsorcionCu(II)con%20nanoarcillas,ISOTERMA%20de%20adsorci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AAYESSI\Conferencias%20de%20Tesis%202017\Pregrado\Resultados\Curva%20de%20masas,%20adsorcionCu(II)con%20nanoarcillas,ISOTERMA%20de%20adsorc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58852466624382"/>
          <c:y val="7.904333238089041E-2"/>
          <c:w val="0.76652497764702487"/>
          <c:h val="0.70014545142106654"/>
        </c:manualLayout>
      </c:layout>
      <c:scatterChart>
        <c:scatterStyle val="lineMarker"/>
        <c:varyColors val="0"/>
        <c:ser>
          <c:idx val="1"/>
          <c:order val="0"/>
          <c:spPr>
            <a:ln w="15875">
              <a:solidFill>
                <a:schemeClr val="tx1">
                  <a:alpha val="86000"/>
                </a:schemeClr>
              </a:solidFill>
            </a:ln>
            <a:effectLst/>
          </c:spPr>
          <c:marker>
            <c:symbol val="diamond"/>
            <c:size val="3"/>
            <c:spPr>
              <a:solidFill>
                <a:schemeClr val="accent1"/>
              </a:solidFill>
              <a:ln w="6350" cap="rnd">
                <a:solidFill>
                  <a:schemeClr val="tx1">
                    <a:alpha val="88000"/>
                  </a:schemeClr>
                </a:solidFill>
              </a:ln>
              <a:effectLst/>
            </c:spPr>
          </c:marker>
          <c:dPt>
            <c:idx val="4"/>
            <c:bubble3D val="0"/>
            <c:spPr>
              <a:ln w="15875" cap="flat">
                <a:solidFill>
                  <a:schemeClr val="tx1">
                    <a:alpha val="86000"/>
                  </a:schemeClr>
                </a:solidFill>
              </a:ln>
              <a:effectLst/>
            </c:spPr>
          </c:dPt>
          <c:xVal>
            <c:numRef>
              <c:f>Hoja1!$G$84:$G$93</c:f>
              <c:numCache>
                <c:formatCode>General</c:formatCode>
                <c:ptCount val="10"/>
                <c:pt idx="0">
                  <c:v>0.4</c:v>
                </c:pt>
                <c:pt idx="1">
                  <c:v>0.8</c:v>
                </c:pt>
                <c:pt idx="2">
                  <c:v>1.2</c:v>
                </c:pt>
                <c:pt idx="3">
                  <c:v>1.6</c:v>
                </c:pt>
                <c:pt idx="4" formatCode="0.0">
                  <c:v>2</c:v>
                </c:pt>
                <c:pt idx="5" formatCode="0.0">
                  <c:v>2.4</c:v>
                </c:pt>
                <c:pt idx="6">
                  <c:v>2.8</c:v>
                </c:pt>
                <c:pt idx="7">
                  <c:v>3.2</c:v>
                </c:pt>
                <c:pt idx="8">
                  <c:v>3.6</c:v>
                </c:pt>
                <c:pt idx="9">
                  <c:v>4.5999999999999996</c:v>
                </c:pt>
              </c:numCache>
            </c:numRef>
          </c:xVal>
          <c:yVal>
            <c:numRef>
              <c:f>Hoja1!$H$84:$H$93</c:f>
              <c:numCache>
                <c:formatCode>0.0</c:formatCode>
                <c:ptCount val="10"/>
                <c:pt idx="0">
                  <c:v>21.260000000000005</c:v>
                </c:pt>
                <c:pt idx="1">
                  <c:v>36.700000000000003</c:v>
                </c:pt>
                <c:pt idx="2">
                  <c:v>46.54</c:v>
                </c:pt>
                <c:pt idx="3">
                  <c:v>59.5</c:v>
                </c:pt>
                <c:pt idx="4">
                  <c:v>65.759999999999991</c:v>
                </c:pt>
                <c:pt idx="5">
                  <c:v>76.88</c:v>
                </c:pt>
                <c:pt idx="6">
                  <c:v>77.3</c:v>
                </c:pt>
                <c:pt idx="7">
                  <c:v>77.38</c:v>
                </c:pt>
                <c:pt idx="8">
                  <c:v>77.8</c:v>
                </c:pt>
                <c:pt idx="9">
                  <c:v>77.8</c:v>
                </c:pt>
              </c:numCache>
            </c:numRef>
          </c:yVal>
          <c:smooth val="0"/>
        </c:ser>
        <c:dLbls>
          <c:showLegendKey val="0"/>
          <c:showVal val="0"/>
          <c:showCatName val="0"/>
          <c:showSerName val="0"/>
          <c:showPercent val="0"/>
          <c:showBubbleSize val="0"/>
        </c:dLbls>
        <c:axId val="160404224"/>
        <c:axId val="160406144"/>
      </c:scatterChart>
      <c:valAx>
        <c:axId val="160404224"/>
        <c:scaling>
          <c:orientation val="minMax"/>
          <c:max val="5"/>
          <c:min val="0"/>
        </c:scaling>
        <c:delete val="0"/>
        <c:axPos val="b"/>
        <c:title>
          <c:tx>
            <c:rich>
              <a:bodyPr/>
              <a:lstStyle/>
              <a:p>
                <a:pPr>
                  <a:defRPr b="0"/>
                </a:pPr>
                <a:r>
                  <a:rPr lang="es-PE" sz="700" b="0">
                    <a:latin typeface="Arial" pitchFamily="34" charset="0"/>
                    <a:cs typeface="Arial" pitchFamily="34" charset="0"/>
                  </a:rPr>
                  <a:t>Mass of nanoclay (g)</a:t>
                </a:r>
              </a:p>
            </c:rich>
          </c:tx>
          <c:overlay val="0"/>
        </c:title>
        <c:numFmt formatCode="General" sourceLinked="1"/>
        <c:majorTickMark val="none"/>
        <c:minorTickMark val="none"/>
        <c:tickLblPos val="nextTo"/>
        <c:txPr>
          <a:bodyPr/>
          <a:lstStyle/>
          <a:p>
            <a:pPr>
              <a:defRPr sz="800"/>
            </a:pPr>
            <a:endParaRPr lang="it-IT"/>
          </a:p>
        </c:txPr>
        <c:crossAx val="160406144"/>
        <c:crosses val="autoZero"/>
        <c:crossBetween val="midCat"/>
        <c:majorUnit val="0.5"/>
        <c:minorUnit val="0.4"/>
      </c:valAx>
      <c:valAx>
        <c:axId val="160406144"/>
        <c:scaling>
          <c:orientation val="minMax"/>
        </c:scaling>
        <c:delete val="0"/>
        <c:axPos val="l"/>
        <c:majorGridlines>
          <c:spPr>
            <a:ln>
              <a:noFill/>
            </a:ln>
            <a:effectLst>
              <a:softEdge rad="12700"/>
            </a:effectLst>
          </c:spPr>
        </c:majorGridlines>
        <c:title>
          <c:tx>
            <c:rich>
              <a:bodyPr/>
              <a:lstStyle/>
              <a:p>
                <a:pPr>
                  <a:defRPr sz="700" b="0">
                    <a:latin typeface="Arial" pitchFamily="34" charset="0"/>
                    <a:cs typeface="Arial" pitchFamily="34" charset="0"/>
                  </a:defRPr>
                </a:pPr>
                <a:r>
                  <a:rPr lang="en-US" sz="700" b="0">
                    <a:latin typeface="Arial" pitchFamily="34" charset="0"/>
                    <a:cs typeface="Arial" pitchFamily="34" charset="0"/>
                  </a:rPr>
                  <a:t>% Removal of  Cu(II)</a:t>
                </a:r>
                <a:endParaRPr lang="es-PE" sz="700" b="0">
                  <a:latin typeface="Arial" pitchFamily="34" charset="0"/>
                  <a:cs typeface="Arial" pitchFamily="34" charset="0"/>
                </a:endParaRPr>
              </a:p>
            </c:rich>
          </c:tx>
          <c:layout>
            <c:manualLayout>
              <c:xMode val="edge"/>
              <c:yMode val="edge"/>
              <c:x val="1.2874105839744861E-2"/>
              <c:y val="0.11050318827060102"/>
            </c:manualLayout>
          </c:layout>
          <c:overlay val="0"/>
        </c:title>
        <c:numFmt formatCode="0.0" sourceLinked="1"/>
        <c:majorTickMark val="none"/>
        <c:minorTickMark val="none"/>
        <c:tickLblPos val="nextTo"/>
        <c:txPr>
          <a:bodyPr/>
          <a:lstStyle/>
          <a:p>
            <a:pPr>
              <a:defRPr sz="800"/>
            </a:pPr>
            <a:endParaRPr lang="it-IT"/>
          </a:p>
        </c:txPr>
        <c:crossAx val="160404224"/>
        <c:crossesAt val="0"/>
        <c:crossBetween val="midCat"/>
      </c:valAx>
      <c:spPr>
        <a:noFill/>
        <a:ln cap="flat">
          <a:solidFill>
            <a:schemeClr val="tx1">
              <a:alpha val="91000"/>
            </a:schemeClr>
          </a:solidFill>
        </a:ln>
      </c:spPr>
    </c:plotArea>
    <c:plotVisOnly val="1"/>
    <c:dispBlanksAs val="gap"/>
    <c:showDLblsOverMax val="0"/>
  </c:chart>
  <c:spPr>
    <a:noFill/>
    <a:ln>
      <a:noFill/>
    </a:ln>
    <a:effectLst>
      <a:glow rad="127000">
        <a:schemeClr val="bg1"/>
      </a:glo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113338490013297"/>
          <c:y val="5.2063398288578526E-2"/>
          <c:w val="0.7455296655357343"/>
          <c:h val="0.7284823510427727"/>
        </c:manualLayout>
      </c:layout>
      <c:scatterChart>
        <c:scatterStyle val="smoothMarker"/>
        <c:varyColors val="0"/>
        <c:ser>
          <c:idx val="0"/>
          <c:order val="0"/>
          <c:tx>
            <c:strRef>
              <c:f>'grafica %remocion '!$H$5</c:f>
              <c:strCache>
                <c:ptCount val="1"/>
                <c:pt idx="0">
                  <c:v>% Remoción</c:v>
                </c:pt>
              </c:strCache>
            </c:strRef>
          </c:tx>
          <c:spPr>
            <a:ln w="12700">
              <a:solidFill>
                <a:schemeClr val="tx1"/>
              </a:solidFill>
            </a:ln>
          </c:spPr>
          <c:marker>
            <c:symbol val="diamond"/>
            <c:size val="3"/>
            <c:spPr>
              <a:solidFill>
                <a:schemeClr val="tx1"/>
              </a:solidFill>
            </c:spPr>
          </c:marker>
          <c:xVal>
            <c:numRef>
              <c:f>'grafica %remocion '!$G$6:$G$10</c:f>
              <c:numCache>
                <c:formatCode>General</c:formatCode>
                <c:ptCount val="5"/>
                <c:pt idx="0">
                  <c:v>10</c:v>
                </c:pt>
                <c:pt idx="1">
                  <c:v>20</c:v>
                </c:pt>
                <c:pt idx="2">
                  <c:v>30</c:v>
                </c:pt>
                <c:pt idx="3">
                  <c:v>40</c:v>
                </c:pt>
                <c:pt idx="4">
                  <c:v>50</c:v>
                </c:pt>
              </c:numCache>
            </c:numRef>
          </c:xVal>
          <c:yVal>
            <c:numRef>
              <c:f>'grafica %remocion '!$H$6:$H$10</c:f>
              <c:numCache>
                <c:formatCode>0.00</c:formatCode>
                <c:ptCount val="5"/>
                <c:pt idx="0">
                  <c:v>99.75</c:v>
                </c:pt>
                <c:pt idx="1">
                  <c:v>99.46</c:v>
                </c:pt>
                <c:pt idx="2">
                  <c:v>97.850000000000009</c:v>
                </c:pt>
                <c:pt idx="3">
                  <c:v>97.072500000000005</c:v>
                </c:pt>
                <c:pt idx="4">
                  <c:v>96.32</c:v>
                </c:pt>
              </c:numCache>
            </c:numRef>
          </c:yVal>
          <c:smooth val="1"/>
        </c:ser>
        <c:dLbls>
          <c:showLegendKey val="0"/>
          <c:showVal val="0"/>
          <c:showCatName val="0"/>
          <c:showSerName val="0"/>
          <c:showPercent val="0"/>
          <c:showBubbleSize val="0"/>
        </c:dLbls>
        <c:axId val="160426240"/>
        <c:axId val="164958976"/>
      </c:scatterChart>
      <c:valAx>
        <c:axId val="160426240"/>
        <c:scaling>
          <c:orientation val="minMax"/>
        </c:scaling>
        <c:delete val="0"/>
        <c:axPos val="b"/>
        <c:title>
          <c:tx>
            <c:rich>
              <a:bodyPr/>
              <a:lstStyle/>
              <a:p>
                <a:pPr>
                  <a:defRPr sz="700" b="0">
                    <a:latin typeface="Arial" pitchFamily="34" charset="0"/>
                    <a:cs typeface="Arial" pitchFamily="34" charset="0"/>
                  </a:defRPr>
                </a:pPr>
                <a:r>
                  <a:rPr lang="en-US" sz="700" b="0" i="0" u="none" strike="noStrike" baseline="0">
                    <a:effectLst/>
                    <a:latin typeface="Arial" pitchFamily="34" charset="0"/>
                    <a:cs typeface="Arial" pitchFamily="34" charset="0"/>
                  </a:rPr>
                  <a:t>C</a:t>
                </a:r>
                <a:r>
                  <a:rPr lang="en-US" sz="700" b="0" i="0" u="none" strike="noStrike" baseline="-25000">
                    <a:effectLst/>
                    <a:latin typeface="Arial" pitchFamily="34" charset="0"/>
                    <a:cs typeface="Arial" pitchFamily="34" charset="0"/>
                  </a:rPr>
                  <a:t>o</a:t>
                </a:r>
                <a:r>
                  <a:rPr lang="en-US" sz="700" b="0" i="0" u="none" strike="noStrike" baseline="0">
                    <a:effectLst/>
                    <a:latin typeface="Arial" pitchFamily="34" charset="0"/>
                    <a:cs typeface="Arial" pitchFamily="34" charset="0"/>
                  </a:rPr>
                  <a:t> (mg/L)</a:t>
                </a:r>
                <a:endParaRPr lang="es-PE" sz="700" b="0">
                  <a:latin typeface="Arial" pitchFamily="34" charset="0"/>
                  <a:cs typeface="Arial" pitchFamily="34" charset="0"/>
                </a:endParaRPr>
              </a:p>
            </c:rich>
          </c:tx>
          <c:overlay val="0"/>
        </c:title>
        <c:numFmt formatCode="General" sourceLinked="1"/>
        <c:majorTickMark val="out"/>
        <c:minorTickMark val="none"/>
        <c:tickLblPos val="nextTo"/>
        <c:txPr>
          <a:bodyPr/>
          <a:lstStyle/>
          <a:p>
            <a:pPr>
              <a:defRPr sz="700"/>
            </a:pPr>
            <a:endParaRPr lang="it-IT"/>
          </a:p>
        </c:txPr>
        <c:crossAx val="164958976"/>
        <c:crosses val="autoZero"/>
        <c:crossBetween val="midCat"/>
      </c:valAx>
      <c:valAx>
        <c:axId val="164958976"/>
        <c:scaling>
          <c:orientation val="minMax"/>
        </c:scaling>
        <c:delete val="0"/>
        <c:axPos val="l"/>
        <c:majorGridlines>
          <c:spPr>
            <a:ln>
              <a:noFill/>
            </a:ln>
          </c:spPr>
        </c:majorGridlines>
        <c:title>
          <c:tx>
            <c:rich>
              <a:bodyPr rot="-5400000" vert="horz"/>
              <a:lstStyle/>
              <a:p>
                <a:pPr>
                  <a:defRPr sz="700" b="0">
                    <a:latin typeface="Arial" pitchFamily="34" charset="0"/>
                    <a:cs typeface="Arial" pitchFamily="34" charset="0"/>
                  </a:defRPr>
                </a:pPr>
                <a:r>
                  <a:rPr lang="en-US" sz="700" b="0">
                    <a:latin typeface="Arial" pitchFamily="34" charset="0"/>
                    <a:cs typeface="Arial" pitchFamily="34" charset="0"/>
                  </a:rPr>
                  <a:t>% of</a:t>
                </a:r>
                <a:r>
                  <a:rPr lang="en-US" sz="700" b="0" baseline="0">
                    <a:latin typeface="Arial" pitchFamily="34" charset="0"/>
                    <a:cs typeface="Arial" pitchFamily="34" charset="0"/>
                  </a:rPr>
                  <a:t> r</a:t>
                </a:r>
                <a:r>
                  <a:rPr lang="en-US" sz="700" b="0">
                    <a:latin typeface="Arial" pitchFamily="34" charset="0"/>
                    <a:cs typeface="Arial" pitchFamily="34" charset="0"/>
                  </a:rPr>
                  <a:t>emoval</a:t>
                </a:r>
              </a:p>
            </c:rich>
          </c:tx>
          <c:layout>
            <c:manualLayout>
              <c:xMode val="edge"/>
              <c:yMode val="edge"/>
              <c:x val="4.0615065338098508E-3"/>
              <c:y val="0.31147703852454683"/>
            </c:manualLayout>
          </c:layout>
          <c:overlay val="0"/>
        </c:title>
        <c:numFmt formatCode="0.0" sourceLinked="0"/>
        <c:majorTickMark val="out"/>
        <c:minorTickMark val="none"/>
        <c:tickLblPos val="nextTo"/>
        <c:txPr>
          <a:bodyPr/>
          <a:lstStyle/>
          <a:p>
            <a:pPr>
              <a:defRPr sz="800"/>
            </a:pPr>
            <a:endParaRPr lang="it-IT"/>
          </a:p>
        </c:txPr>
        <c:crossAx val="160426240"/>
        <c:crosses val="autoZero"/>
        <c:crossBetween val="midCat"/>
      </c:valAx>
      <c:spPr>
        <a:ln>
          <a:solidFill>
            <a:schemeClr val="tx1"/>
          </a:solidFill>
        </a:ln>
      </c:spPr>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598792284671052"/>
          <c:y val="8.1340055581400894E-2"/>
          <c:w val="0.68950447451029173"/>
          <c:h val="0.72403281664199448"/>
        </c:manualLayout>
      </c:layout>
      <c:scatterChart>
        <c:scatterStyle val="smoothMarker"/>
        <c:varyColors val="0"/>
        <c:ser>
          <c:idx val="0"/>
          <c:order val="0"/>
          <c:tx>
            <c:strRef>
              <c:f>'grafica %remocion '!$I$5</c:f>
              <c:strCache>
                <c:ptCount val="1"/>
                <c:pt idx="0">
                  <c:v>qe (mg/g)</c:v>
                </c:pt>
              </c:strCache>
            </c:strRef>
          </c:tx>
          <c:spPr>
            <a:ln w="12700">
              <a:solidFill>
                <a:schemeClr val="tx1"/>
              </a:solidFill>
            </a:ln>
          </c:spPr>
          <c:marker>
            <c:symbol val="diamond"/>
            <c:size val="3"/>
            <c:spPr>
              <a:solidFill>
                <a:schemeClr val="tx1"/>
              </a:solidFill>
              <a:ln>
                <a:solidFill>
                  <a:schemeClr val="tx1"/>
                </a:solidFill>
              </a:ln>
            </c:spPr>
          </c:marker>
          <c:dPt>
            <c:idx val="0"/>
            <c:bubble3D val="0"/>
            <c:spPr>
              <a:ln w="12700" cap="rnd">
                <a:solidFill>
                  <a:schemeClr val="tx1"/>
                </a:solidFill>
              </a:ln>
            </c:spPr>
          </c:dPt>
          <c:xVal>
            <c:numRef>
              <c:f>'grafica %remocion '!$G$6:$G$10</c:f>
              <c:numCache>
                <c:formatCode>General</c:formatCode>
                <c:ptCount val="5"/>
                <c:pt idx="0">
                  <c:v>10</c:v>
                </c:pt>
                <c:pt idx="1">
                  <c:v>20</c:v>
                </c:pt>
                <c:pt idx="2">
                  <c:v>30</c:v>
                </c:pt>
                <c:pt idx="3">
                  <c:v>40</c:v>
                </c:pt>
                <c:pt idx="4">
                  <c:v>50</c:v>
                </c:pt>
              </c:numCache>
            </c:numRef>
          </c:xVal>
          <c:yVal>
            <c:numRef>
              <c:f>'grafica %remocion '!$I$6:$I$10</c:f>
              <c:numCache>
                <c:formatCode>0.000</c:formatCode>
                <c:ptCount val="5"/>
                <c:pt idx="0">
                  <c:v>1.425</c:v>
                </c:pt>
                <c:pt idx="1">
                  <c:v>2.8417142857142856</c:v>
                </c:pt>
                <c:pt idx="2">
                  <c:v>4.1935714285714285</c:v>
                </c:pt>
                <c:pt idx="3">
                  <c:v>5.5470000000000006</c:v>
                </c:pt>
                <c:pt idx="4">
                  <c:v>6.88</c:v>
                </c:pt>
              </c:numCache>
            </c:numRef>
          </c:yVal>
          <c:smooth val="1"/>
        </c:ser>
        <c:dLbls>
          <c:showLegendKey val="0"/>
          <c:showVal val="0"/>
          <c:showCatName val="0"/>
          <c:showSerName val="0"/>
          <c:showPercent val="0"/>
          <c:showBubbleSize val="0"/>
        </c:dLbls>
        <c:axId val="164999936"/>
        <c:axId val="165001856"/>
      </c:scatterChart>
      <c:valAx>
        <c:axId val="164999936"/>
        <c:scaling>
          <c:orientation val="minMax"/>
        </c:scaling>
        <c:delete val="0"/>
        <c:axPos val="b"/>
        <c:title>
          <c:tx>
            <c:rich>
              <a:bodyPr/>
              <a:lstStyle/>
              <a:p>
                <a:pPr>
                  <a:defRPr sz="700" b="0">
                    <a:latin typeface="Arial" pitchFamily="34" charset="0"/>
                    <a:cs typeface="Arial" pitchFamily="34" charset="0"/>
                  </a:defRPr>
                </a:pPr>
                <a:r>
                  <a:rPr lang="en-US" sz="700" b="0">
                    <a:latin typeface="Arial" pitchFamily="34" charset="0"/>
                    <a:cs typeface="Arial" pitchFamily="34" charset="0"/>
                  </a:rPr>
                  <a:t>C</a:t>
                </a:r>
                <a:r>
                  <a:rPr lang="en-US" sz="700" b="0" baseline="-25000">
                    <a:latin typeface="Arial" pitchFamily="34" charset="0"/>
                    <a:cs typeface="Arial" pitchFamily="34" charset="0"/>
                  </a:rPr>
                  <a:t>o</a:t>
                </a:r>
                <a:r>
                  <a:rPr lang="en-US" sz="700" b="0">
                    <a:latin typeface="Arial" pitchFamily="34" charset="0"/>
                    <a:cs typeface="Arial" pitchFamily="34" charset="0"/>
                  </a:rPr>
                  <a:t> (mg/L) </a:t>
                </a:r>
              </a:p>
            </c:rich>
          </c:tx>
          <c:layout>
            <c:manualLayout>
              <c:xMode val="edge"/>
              <c:yMode val="edge"/>
              <c:x val="0.49037973654447153"/>
              <c:y val="0.90772161544323093"/>
            </c:manualLayout>
          </c:layout>
          <c:overlay val="0"/>
        </c:title>
        <c:numFmt formatCode="General" sourceLinked="1"/>
        <c:majorTickMark val="out"/>
        <c:minorTickMark val="none"/>
        <c:tickLblPos val="nextTo"/>
        <c:txPr>
          <a:bodyPr/>
          <a:lstStyle/>
          <a:p>
            <a:pPr>
              <a:defRPr sz="700"/>
            </a:pPr>
            <a:endParaRPr lang="it-IT"/>
          </a:p>
        </c:txPr>
        <c:crossAx val="165001856"/>
        <c:crosses val="autoZero"/>
        <c:crossBetween val="midCat"/>
      </c:valAx>
      <c:valAx>
        <c:axId val="165001856"/>
        <c:scaling>
          <c:orientation val="minMax"/>
        </c:scaling>
        <c:delete val="0"/>
        <c:axPos val="l"/>
        <c:majorGridlines>
          <c:spPr>
            <a:ln>
              <a:noFill/>
            </a:ln>
          </c:spPr>
        </c:majorGridlines>
        <c:title>
          <c:tx>
            <c:rich>
              <a:bodyPr rot="-5400000" vert="horz"/>
              <a:lstStyle/>
              <a:p>
                <a:pPr>
                  <a:defRPr sz="700" b="0">
                    <a:latin typeface="Arial" pitchFamily="34" charset="0"/>
                    <a:cs typeface="Arial" pitchFamily="34" charset="0"/>
                  </a:defRPr>
                </a:pPr>
                <a:r>
                  <a:rPr lang="es-PE" sz="700" b="0">
                    <a:latin typeface="Arial" pitchFamily="34" charset="0"/>
                    <a:cs typeface="Arial" pitchFamily="34" charset="0"/>
                  </a:rPr>
                  <a:t>q</a:t>
                </a:r>
                <a:r>
                  <a:rPr lang="es-PE" sz="700" b="0" baseline="-25000">
                    <a:latin typeface="Arial" pitchFamily="34" charset="0"/>
                    <a:cs typeface="Arial" pitchFamily="34" charset="0"/>
                  </a:rPr>
                  <a:t>e</a:t>
                </a:r>
                <a:r>
                  <a:rPr lang="es-PE" sz="700" b="0">
                    <a:latin typeface="Arial" pitchFamily="34" charset="0"/>
                    <a:cs typeface="Arial" pitchFamily="34" charset="0"/>
                  </a:rPr>
                  <a:t> (mg/g)</a:t>
                </a:r>
              </a:p>
            </c:rich>
          </c:tx>
          <c:layout>
            <c:manualLayout>
              <c:xMode val="edge"/>
              <c:yMode val="edge"/>
              <c:x val="3.5262803330391293E-2"/>
              <c:y val="0.2703886556514532"/>
            </c:manualLayout>
          </c:layout>
          <c:overlay val="0"/>
        </c:title>
        <c:numFmt formatCode="0.0" sourceLinked="0"/>
        <c:majorTickMark val="out"/>
        <c:minorTickMark val="none"/>
        <c:tickLblPos val="nextTo"/>
        <c:txPr>
          <a:bodyPr/>
          <a:lstStyle/>
          <a:p>
            <a:pPr>
              <a:defRPr sz="700"/>
            </a:pPr>
            <a:endParaRPr lang="it-IT"/>
          </a:p>
        </c:txPr>
        <c:crossAx val="164999936"/>
        <c:crosses val="autoZero"/>
        <c:crossBetween val="midCat"/>
      </c:valAx>
      <c:spPr>
        <a:noFill/>
        <a:ln>
          <a:solidFill>
            <a:schemeClr val="tx1"/>
          </a:solidFill>
        </a:ln>
      </c:spPr>
    </c:plotArea>
    <c:plotVisOnly val="1"/>
    <c:dispBlanksAs val="gap"/>
    <c:showDLblsOverMax val="0"/>
  </c:chart>
  <c:spPr>
    <a:ln>
      <a:noFill/>
    </a:ln>
    <a:effectLst>
      <a:glow rad="127000">
        <a:schemeClr val="bg1"/>
      </a:glo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0167649707993"/>
          <c:y val="6.168066491688539E-2"/>
          <c:w val="0.70727480713883095"/>
          <c:h val="0.72578215223097109"/>
        </c:manualLayout>
      </c:layout>
      <c:scatterChart>
        <c:scatterStyle val="smoothMarker"/>
        <c:varyColors val="0"/>
        <c:ser>
          <c:idx val="0"/>
          <c:order val="0"/>
          <c:tx>
            <c:strRef>
              <c:f>Langmuir!$H$5</c:f>
              <c:strCache>
                <c:ptCount val="1"/>
                <c:pt idx="0">
                  <c:v>Ce/qe</c:v>
                </c:pt>
              </c:strCache>
            </c:strRef>
          </c:tx>
          <c:spPr>
            <a:ln w="12700">
              <a:solidFill>
                <a:schemeClr val="tx1"/>
              </a:solidFill>
            </a:ln>
          </c:spPr>
          <c:marker>
            <c:symbol val="diamond"/>
            <c:size val="3"/>
            <c:spPr>
              <a:solidFill>
                <a:schemeClr val="tx1"/>
              </a:solidFill>
            </c:spPr>
          </c:marker>
          <c:trendline>
            <c:spPr>
              <a:ln w="12700">
                <a:prstDash val="dash"/>
              </a:ln>
            </c:spPr>
            <c:trendlineType val="linear"/>
            <c:dispRSqr val="1"/>
            <c:dispEq val="1"/>
            <c:trendlineLbl>
              <c:layout>
                <c:manualLayout>
                  <c:x val="-0.21869663786927529"/>
                  <c:y val="-3.3347958119512833E-3"/>
                </c:manualLayout>
              </c:layout>
              <c:tx>
                <c:rich>
                  <a:bodyPr/>
                  <a:lstStyle/>
                  <a:p>
                    <a:pPr>
                      <a:defRPr sz="700"/>
                    </a:pPr>
                    <a:r>
                      <a:rPr lang="en-US" sz="700" baseline="0"/>
                      <a:t>y = 0,1328x + 0,0408
R² = 0,9616</a:t>
                    </a:r>
                    <a:endParaRPr lang="en-US" sz="700"/>
                  </a:p>
                </c:rich>
              </c:tx>
              <c:numFmt formatCode="General" sourceLinked="0"/>
            </c:trendlineLbl>
          </c:trendline>
          <c:xVal>
            <c:numRef>
              <c:f>Langmuir!$G$6:$G$10</c:f>
              <c:numCache>
                <c:formatCode>0.000</c:formatCode>
                <c:ptCount val="5"/>
                <c:pt idx="0">
                  <c:v>5.5E-2</c:v>
                </c:pt>
                <c:pt idx="1">
                  <c:v>0.11799999999999999</c:v>
                </c:pt>
                <c:pt idx="2">
                  <c:v>0.64500000000000002</c:v>
                </c:pt>
                <c:pt idx="3">
                  <c:v>1.171</c:v>
                </c:pt>
                <c:pt idx="4">
                  <c:v>1.84</c:v>
                </c:pt>
              </c:numCache>
            </c:numRef>
          </c:xVal>
          <c:yVal>
            <c:numRef>
              <c:f>Langmuir!$H$6:$H$10</c:f>
              <c:numCache>
                <c:formatCode>0.0000</c:formatCode>
                <c:ptCount val="5"/>
                <c:pt idx="0">
                  <c:v>3.8712921065862237E-2</c:v>
                </c:pt>
                <c:pt idx="1">
                  <c:v>4.1545116185494411E-2</c:v>
                </c:pt>
                <c:pt idx="2">
                  <c:v>0.15380684721512519</c:v>
                </c:pt>
                <c:pt idx="3">
                  <c:v>0.21110510185685954</c:v>
                </c:pt>
                <c:pt idx="4">
                  <c:v>0.26744186046511631</c:v>
                </c:pt>
              </c:numCache>
            </c:numRef>
          </c:yVal>
          <c:smooth val="1"/>
        </c:ser>
        <c:dLbls>
          <c:showLegendKey val="0"/>
          <c:showVal val="0"/>
          <c:showCatName val="0"/>
          <c:showSerName val="0"/>
          <c:showPercent val="0"/>
          <c:showBubbleSize val="0"/>
        </c:dLbls>
        <c:axId val="165018624"/>
        <c:axId val="166278272"/>
      </c:scatterChart>
      <c:valAx>
        <c:axId val="165018624"/>
        <c:scaling>
          <c:orientation val="minMax"/>
        </c:scaling>
        <c:delete val="0"/>
        <c:axPos val="b"/>
        <c:title>
          <c:tx>
            <c:rich>
              <a:bodyPr/>
              <a:lstStyle/>
              <a:p>
                <a:pPr>
                  <a:defRPr sz="700"/>
                </a:pPr>
                <a:r>
                  <a:rPr lang="en-US" sz="700">
                    <a:latin typeface="Arial" pitchFamily="34" charset="0"/>
                    <a:cs typeface="Arial" pitchFamily="34" charset="0"/>
                  </a:rPr>
                  <a:t>C</a:t>
                </a:r>
                <a:r>
                  <a:rPr lang="en-US" sz="700" baseline="-25000">
                    <a:latin typeface="Arial" pitchFamily="34" charset="0"/>
                    <a:cs typeface="Arial" pitchFamily="34" charset="0"/>
                  </a:rPr>
                  <a:t>e</a:t>
                </a:r>
              </a:p>
            </c:rich>
          </c:tx>
          <c:overlay val="0"/>
        </c:title>
        <c:numFmt formatCode="0.00" sourceLinked="0"/>
        <c:majorTickMark val="out"/>
        <c:minorTickMark val="none"/>
        <c:tickLblPos val="nextTo"/>
        <c:txPr>
          <a:bodyPr/>
          <a:lstStyle/>
          <a:p>
            <a:pPr>
              <a:defRPr sz="700"/>
            </a:pPr>
            <a:endParaRPr lang="it-IT"/>
          </a:p>
        </c:txPr>
        <c:crossAx val="166278272"/>
        <c:crosses val="autoZero"/>
        <c:crossBetween val="midCat"/>
      </c:valAx>
      <c:valAx>
        <c:axId val="166278272"/>
        <c:scaling>
          <c:orientation val="minMax"/>
        </c:scaling>
        <c:delete val="0"/>
        <c:axPos val="l"/>
        <c:title>
          <c:tx>
            <c:rich>
              <a:bodyPr rot="-5400000" vert="horz"/>
              <a:lstStyle/>
              <a:p>
                <a:pPr>
                  <a:defRPr sz="700"/>
                </a:pPr>
                <a:r>
                  <a:rPr lang="en-US" sz="700" b="0">
                    <a:latin typeface="Arial" pitchFamily="34" charset="0"/>
                    <a:cs typeface="Arial" pitchFamily="34" charset="0"/>
                  </a:rPr>
                  <a:t>C</a:t>
                </a:r>
                <a:r>
                  <a:rPr lang="en-US" sz="700" b="0" baseline="-25000">
                    <a:latin typeface="Arial" pitchFamily="34" charset="0"/>
                    <a:cs typeface="Arial" pitchFamily="34" charset="0"/>
                  </a:rPr>
                  <a:t>e</a:t>
                </a:r>
                <a:r>
                  <a:rPr lang="en-US" sz="700" b="0">
                    <a:latin typeface="Arial" pitchFamily="34" charset="0"/>
                    <a:cs typeface="Arial" pitchFamily="34" charset="0"/>
                  </a:rPr>
                  <a:t>/q</a:t>
                </a:r>
                <a:r>
                  <a:rPr lang="en-US" sz="700" b="0" baseline="-25000">
                    <a:latin typeface="Arial" pitchFamily="34" charset="0"/>
                    <a:cs typeface="Arial" pitchFamily="34" charset="0"/>
                  </a:rPr>
                  <a:t>e</a:t>
                </a:r>
              </a:p>
            </c:rich>
          </c:tx>
          <c:layout>
            <c:manualLayout>
              <c:xMode val="edge"/>
              <c:yMode val="edge"/>
              <c:x val="3.2098424154278972E-2"/>
              <c:y val="0.34406864349833732"/>
            </c:manualLayout>
          </c:layout>
          <c:overlay val="0"/>
        </c:title>
        <c:numFmt formatCode="0.00" sourceLinked="0"/>
        <c:majorTickMark val="out"/>
        <c:minorTickMark val="none"/>
        <c:tickLblPos val="nextTo"/>
        <c:txPr>
          <a:bodyPr/>
          <a:lstStyle/>
          <a:p>
            <a:pPr>
              <a:defRPr sz="700"/>
            </a:pPr>
            <a:endParaRPr lang="it-IT"/>
          </a:p>
        </c:txPr>
        <c:crossAx val="165018624"/>
        <c:crosses val="autoZero"/>
        <c:crossBetween val="midCat"/>
      </c:valAx>
      <c:spPr>
        <a:ln>
          <a:solidFill>
            <a:schemeClr val="tx1"/>
          </a:solidFill>
        </a:ln>
      </c:spPr>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368110236220466E-2"/>
          <c:y val="7.4548702245552642E-2"/>
          <c:w val="0.87129155730533681"/>
          <c:h val="0.68162045770081936"/>
        </c:manualLayout>
      </c:layout>
      <c:scatterChart>
        <c:scatterStyle val="smoothMarker"/>
        <c:varyColors val="0"/>
        <c:ser>
          <c:idx val="0"/>
          <c:order val="0"/>
          <c:tx>
            <c:strRef>
              <c:f>Langmuir!$G$14</c:f>
              <c:strCache>
                <c:ptCount val="1"/>
                <c:pt idx="0">
                  <c:v>log(qe)</c:v>
                </c:pt>
              </c:strCache>
            </c:strRef>
          </c:tx>
          <c:spPr>
            <a:ln w="12700">
              <a:solidFill>
                <a:schemeClr val="tx1"/>
              </a:solidFill>
            </a:ln>
          </c:spPr>
          <c:marker>
            <c:symbol val="diamond"/>
            <c:size val="3"/>
            <c:spPr>
              <a:solidFill>
                <a:schemeClr val="tx1"/>
              </a:solidFill>
              <a:ln>
                <a:solidFill>
                  <a:schemeClr val="tx1"/>
                </a:solidFill>
              </a:ln>
            </c:spPr>
          </c:marker>
          <c:trendline>
            <c:spPr>
              <a:ln>
                <a:prstDash val="dash"/>
              </a:ln>
            </c:spPr>
            <c:trendlineType val="linear"/>
            <c:dispRSqr val="1"/>
            <c:dispEq val="1"/>
            <c:trendlineLbl>
              <c:layout>
                <c:manualLayout>
                  <c:x val="-0.25410843198442112"/>
                  <c:y val="2.203378923845515E-2"/>
                </c:manualLayout>
              </c:layout>
              <c:tx>
                <c:rich>
                  <a:bodyPr/>
                  <a:lstStyle/>
                  <a:p>
                    <a:pPr>
                      <a:defRPr sz="700"/>
                    </a:pPr>
                    <a:r>
                      <a:rPr lang="en-US" sz="700" baseline="0"/>
                      <a:t>y = 0,4008x + 0,7259
R² = 0,9472</a:t>
                    </a:r>
                    <a:endParaRPr lang="en-US" sz="700"/>
                  </a:p>
                </c:rich>
              </c:tx>
              <c:numFmt formatCode="General" sourceLinked="0"/>
            </c:trendlineLbl>
          </c:trendline>
          <c:xVal>
            <c:numRef>
              <c:f>Langmuir!$F$15:$F$19</c:f>
              <c:numCache>
                <c:formatCode>0.000</c:formatCode>
                <c:ptCount val="5"/>
                <c:pt idx="0">
                  <c:v>-1.2596373105057561</c:v>
                </c:pt>
                <c:pt idx="1">
                  <c:v>-0.92811799269387463</c:v>
                </c:pt>
                <c:pt idx="2">
                  <c:v>-0.19044028536473223</c:v>
                </c:pt>
                <c:pt idx="3">
                  <c:v>6.855689507236315E-2</c:v>
                </c:pt>
                <c:pt idx="4">
                  <c:v>0.26481782300953649</c:v>
                </c:pt>
              </c:numCache>
            </c:numRef>
          </c:xVal>
          <c:yVal>
            <c:numRef>
              <c:f>Langmuir!$G$15:$G$19</c:f>
              <c:numCache>
                <c:formatCode>0.000</c:formatCode>
                <c:ptCount val="5"/>
                <c:pt idx="0">
                  <c:v>0.15250674744619758</c:v>
                </c:pt>
                <c:pt idx="1">
                  <c:v>0.45336202944719561</c:v>
                </c:pt>
                <c:pt idx="2">
                  <c:v>0.62258404469942552</c:v>
                </c:pt>
                <c:pt idx="3">
                  <c:v>0.74405816587883555</c:v>
                </c:pt>
                <c:pt idx="4">
                  <c:v>0.83758843823551132</c:v>
                </c:pt>
              </c:numCache>
            </c:numRef>
          </c:yVal>
          <c:smooth val="1"/>
        </c:ser>
        <c:dLbls>
          <c:showLegendKey val="0"/>
          <c:showVal val="0"/>
          <c:showCatName val="0"/>
          <c:showSerName val="0"/>
          <c:showPercent val="0"/>
          <c:showBubbleSize val="0"/>
        </c:dLbls>
        <c:axId val="166315520"/>
        <c:axId val="166317440"/>
      </c:scatterChart>
      <c:valAx>
        <c:axId val="166315520"/>
        <c:scaling>
          <c:orientation val="minMax"/>
        </c:scaling>
        <c:delete val="0"/>
        <c:axPos val="b"/>
        <c:title>
          <c:tx>
            <c:rich>
              <a:bodyPr/>
              <a:lstStyle/>
              <a:p>
                <a:pPr>
                  <a:defRPr sz="700" b="0"/>
                </a:pPr>
                <a:r>
                  <a:rPr lang="es-PE" sz="700" b="0"/>
                  <a:t>log(Ce)</a:t>
                </a:r>
              </a:p>
            </c:rich>
          </c:tx>
          <c:layout>
            <c:manualLayout>
              <c:xMode val="edge"/>
              <c:yMode val="edge"/>
              <c:x val="0.41598989057665503"/>
              <c:y val="0.85404683433835216"/>
            </c:manualLayout>
          </c:layout>
          <c:overlay val="0"/>
        </c:title>
        <c:numFmt formatCode="0.00" sourceLinked="0"/>
        <c:majorTickMark val="out"/>
        <c:minorTickMark val="none"/>
        <c:tickLblPos val="nextTo"/>
        <c:txPr>
          <a:bodyPr/>
          <a:lstStyle/>
          <a:p>
            <a:pPr>
              <a:defRPr sz="700"/>
            </a:pPr>
            <a:endParaRPr lang="it-IT"/>
          </a:p>
        </c:txPr>
        <c:crossAx val="166317440"/>
        <c:crosses val="autoZero"/>
        <c:crossBetween val="midCat"/>
      </c:valAx>
      <c:valAx>
        <c:axId val="166317440"/>
        <c:scaling>
          <c:orientation val="minMax"/>
        </c:scaling>
        <c:delete val="1"/>
        <c:axPos val="l"/>
        <c:title>
          <c:tx>
            <c:rich>
              <a:bodyPr rot="-5400000" vert="horz"/>
              <a:lstStyle/>
              <a:p>
                <a:pPr>
                  <a:defRPr sz="700" b="0"/>
                </a:pPr>
                <a:r>
                  <a:rPr lang="en-US" sz="700" b="0"/>
                  <a:t>log(qe) </a:t>
                </a:r>
              </a:p>
            </c:rich>
          </c:tx>
          <c:overlay val="0"/>
        </c:title>
        <c:numFmt formatCode="0.000" sourceLinked="1"/>
        <c:majorTickMark val="out"/>
        <c:minorTickMark val="none"/>
        <c:tickLblPos val="nextTo"/>
        <c:crossAx val="166315520"/>
        <c:crosses val="autoZero"/>
        <c:crossBetween val="midCat"/>
      </c:valAx>
      <c:spPr>
        <a:ln>
          <a:solidFill>
            <a:schemeClr val="tx1"/>
          </a:solidFill>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625A2-F7DB-428A-B2B4-5425552E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6</Pages>
  <Words>2914</Words>
  <Characters>16614</Characters>
  <Application>Microsoft Office Word</Application>
  <DocSecurity>0</DocSecurity>
  <Lines>138</Lines>
  <Paragraphs>38</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19490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raffaella</cp:lastModifiedBy>
  <cp:revision>31</cp:revision>
  <cp:lastPrinted>2015-05-12T18:31:00Z</cp:lastPrinted>
  <dcterms:created xsi:type="dcterms:W3CDTF">2019-02-16T00:31:00Z</dcterms:created>
  <dcterms:modified xsi:type="dcterms:W3CDTF">2019-04-01T14:38:00Z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