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7A05F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7A05FA">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proofErr w:type="spellEnd"/>
            <w:r w:rsidRPr="008531D2">
              <w:rPr>
                <w:rFonts w:ascii="Tahoma" w:hAnsi="Tahoma" w:cs="Tahoma"/>
                <w:iCs/>
                <w:color w:val="333333"/>
                <w:sz w:val="14"/>
                <w:szCs w:val="14"/>
                <w:lang w:val="it-IT" w:eastAsia="it-IT"/>
              </w:rPr>
              <w:t>:</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xml:space="preserve">, Carmelo </w:t>
            </w:r>
            <w:proofErr w:type="spellStart"/>
            <w:r w:rsidR="008531D2" w:rsidRPr="006F0401">
              <w:rPr>
                <w:rFonts w:ascii="Tahoma" w:hAnsi="Tahoma" w:cs="Tahoma"/>
                <w:bCs/>
                <w:color w:val="0D0D0D" w:themeColor="text1" w:themeTint="F2"/>
                <w:sz w:val="14"/>
                <w:szCs w:val="14"/>
                <w:lang w:val="it-IT"/>
              </w:rPr>
              <w:t>Sunseri</w:t>
            </w:r>
            <w:proofErr w:type="spellEnd"/>
          </w:p>
          <w:p w:rsidR="000A03B2" w:rsidRPr="00B57B36" w:rsidRDefault="00FA5F5F" w:rsidP="007A05FA">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7A05FA">
              <w:rPr>
                <w:rFonts w:ascii="Tahoma" w:hAnsi="Tahoma" w:cs="Tahoma"/>
                <w:sz w:val="14"/>
                <w:szCs w:val="14"/>
              </w:rPr>
              <w:t>0</w:t>
            </w:r>
            <w:r w:rsidR="008D32B9" w:rsidRPr="00131FAB">
              <w:rPr>
                <w:rFonts w:ascii="Tahoma" w:hAnsi="Tahoma" w:cs="Tahoma"/>
                <w:sz w:val="14"/>
                <w:szCs w:val="14"/>
              </w:rPr>
              <w:t>-</w:t>
            </w:r>
            <w:r w:rsidR="007A05FA">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7B1F81" w:rsidRPr="00E43D86" w:rsidRDefault="00624664" w:rsidP="00E43D86">
      <w:pPr>
        <w:pStyle w:val="CETTitle"/>
        <w:rPr>
          <w:rStyle w:val="Titolodellibro"/>
          <w:rFonts w:cs="Arial"/>
          <w:b w:val="0"/>
          <w:smallCaps w:val="0"/>
          <w:noProof/>
          <w:szCs w:val="32"/>
        </w:rPr>
      </w:pPr>
      <w:r>
        <w:rPr>
          <w:rStyle w:val="Titolodellibro"/>
          <w:rFonts w:cs="Arial"/>
          <w:b w:val="0"/>
          <w:smallCaps w:val="0"/>
          <w:szCs w:val="32"/>
        </w:rPr>
        <w:lastRenderedPageBreak/>
        <w:t>Characteristics o</w:t>
      </w:r>
      <w:r w:rsidR="007B1F81" w:rsidRPr="00E43D86">
        <w:rPr>
          <w:rStyle w:val="Titolodellibro"/>
          <w:rFonts w:cs="Arial"/>
          <w:b w:val="0"/>
          <w:smallCaps w:val="0"/>
          <w:szCs w:val="32"/>
        </w:rPr>
        <w:t>f Flame-Nucleated Carbonaceous Nanoparticles</w:t>
      </w:r>
    </w:p>
    <w:p w:rsidR="007B1F81" w:rsidRDefault="007B1F81" w:rsidP="00624664">
      <w:pPr>
        <w:pStyle w:val="CETAuthors"/>
        <w:rPr>
          <w:snapToGrid w:val="0"/>
          <w:vertAlign w:val="superscript"/>
          <w:lang w:val="it-IT"/>
        </w:rPr>
      </w:pPr>
      <w:r w:rsidRPr="00B107A4">
        <w:rPr>
          <w:snapToGrid w:val="0"/>
          <w:lang w:val="it-IT"/>
        </w:rPr>
        <w:t>F</w:t>
      </w:r>
      <w:r>
        <w:rPr>
          <w:snapToGrid w:val="0"/>
          <w:lang w:val="it-IT"/>
        </w:rPr>
        <w:t>rancesca</w:t>
      </w:r>
      <w:r w:rsidR="00624664">
        <w:rPr>
          <w:snapToGrid w:val="0"/>
          <w:lang w:val="it-IT"/>
        </w:rPr>
        <w:t xml:space="preserve"> </w:t>
      </w:r>
      <w:r w:rsidRPr="00B107A4">
        <w:rPr>
          <w:snapToGrid w:val="0"/>
          <w:lang w:val="it-IT"/>
        </w:rPr>
        <w:t>Picca</w:t>
      </w:r>
      <w:r>
        <w:rPr>
          <w:snapToGrid w:val="0"/>
          <w:lang w:val="it-IT"/>
        </w:rPr>
        <w:t>*</w:t>
      </w:r>
      <w:r w:rsidRPr="00E91706">
        <w:rPr>
          <w:snapToGrid w:val="0"/>
          <w:vertAlign w:val="superscript"/>
          <w:lang w:val="it-IT"/>
        </w:rPr>
        <w:t>a</w:t>
      </w:r>
      <w:r w:rsidRPr="00BC58A3">
        <w:rPr>
          <w:snapToGrid w:val="0"/>
          <w:lang w:val="it-IT"/>
        </w:rPr>
        <w:t>, G</w:t>
      </w:r>
      <w:r>
        <w:rPr>
          <w:snapToGrid w:val="0"/>
          <w:lang w:val="it-IT"/>
        </w:rPr>
        <w:t>ianluigi</w:t>
      </w:r>
      <w:r w:rsidRPr="00BC58A3">
        <w:rPr>
          <w:snapToGrid w:val="0"/>
          <w:lang w:val="it-IT"/>
        </w:rPr>
        <w:t xml:space="preserve"> De Falco</w:t>
      </w:r>
      <w:r w:rsidRPr="00BC58A3">
        <w:rPr>
          <w:snapToGrid w:val="0"/>
          <w:vertAlign w:val="superscript"/>
          <w:lang w:val="it-IT"/>
        </w:rPr>
        <w:t>a</w:t>
      </w:r>
      <w:r w:rsidRPr="00BC58A3">
        <w:rPr>
          <w:snapToGrid w:val="0"/>
          <w:lang w:val="it-IT"/>
        </w:rPr>
        <w:t>, M</w:t>
      </w:r>
      <w:r>
        <w:rPr>
          <w:snapToGrid w:val="0"/>
          <w:lang w:val="it-IT"/>
        </w:rPr>
        <w:t>ario</w:t>
      </w:r>
      <w:r w:rsidRPr="00BC58A3">
        <w:rPr>
          <w:snapToGrid w:val="0"/>
          <w:lang w:val="it-IT"/>
        </w:rPr>
        <w:t xml:space="preserve"> Commodo</w:t>
      </w:r>
      <w:r w:rsidRPr="00BC58A3">
        <w:rPr>
          <w:snapToGrid w:val="0"/>
          <w:vertAlign w:val="superscript"/>
          <w:lang w:val="it-IT"/>
        </w:rPr>
        <w:t>b</w:t>
      </w:r>
      <w:r w:rsidRPr="00BC58A3">
        <w:rPr>
          <w:snapToGrid w:val="0"/>
          <w:lang w:val="it-IT"/>
        </w:rPr>
        <w:t xml:space="preserve">, </w:t>
      </w:r>
      <w:r w:rsidR="00624664">
        <w:rPr>
          <w:snapToGrid w:val="0"/>
          <w:lang w:val="it-IT"/>
        </w:rPr>
        <w:br/>
      </w:r>
      <w:bookmarkStart w:id="0" w:name="_GoBack"/>
      <w:bookmarkEnd w:id="0"/>
      <w:r w:rsidRPr="00BC58A3">
        <w:rPr>
          <w:snapToGrid w:val="0"/>
          <w:lang w:val="it-IT"/>
        </w:rPr>
        <w:t>G</w:t>
      </w:r>
      <w:r>
        <w:rPr>
          <w:snapToGrid w:val="0"/>
          <w:lang w:val="it-IT"/>
        </w:rPr>
        <w:t>iuseppe</w:t>
      </w:r>
      <w:r w:rsidR="00624664">
        <w:rPr>
          <w:snapToGrid w:val="0"/>
          <w:lang w:val="it-IT"/>
        </w:rPr>
        <w:t xml:space="preserve"> </w:t>
      </w:r>
      <w:r w:rsidRPr="00BC58A3">
        <w:rPr>
          <w:snapToGrid w:val="0"/>
          <w:lang w:val="it-IT"/>
        </w:rPr>
        <w:t>Vitiello</w:t>
      </w:r>
      <w:r w:rsidRPr="00BC58A3">
        <w:rPr>
          <w:snapToGrid w:val="0"/>
          <w:vertAlign w:val="superscript"/>
          <w:lang w:val="it-IT"/>
        </w:rPr>
        <w:t>a</w:t>
      </w:r>
      <w:r w:rsidRPr="00BC58A3">
        <w:rPr>
          <w:snapToGrid w:val="0"/>
          <w:lang w:val="it-IT"/>
        </w:rPr>
        <w:t>,G</w:t>
      </w:r>
      <w:r>
        <w:rPr>
          <w:snapToGrid w:val="0"/>
          <w:lang w:val="it-IT"/>
        </w:rPr>
        <w:t>erardino</w:t>
      </w:r>
      <w:r w:rsidRPr="00BC58A3">
        <w:rPr>
          <w:snapToGrid w:val="0"/>
          <w:lang w:val="it-IT"/>
        </w:rPr>
        <w:t xml:space="preserve"> D’Errico</w:t>
      </w:r>
      <w:r w:rsidRPr="00BC58A3">
        <w:rPr>
          <w:snapToGrid w:val="0"/>
          <w:vertAlign w:val="superscript"/>
          <w:lang w:val="it-IT"/>
        </w:rPr>
        <w:t>c</w:t>
      </w:r>
      <w:r w:rsidRPr="00BC58A3">
        <w:rPr>
          <w:snapToGrid w:val="0"/>
          <w:lang w:val="it-IT"/>
        </w:rPr>
        <w:t>, P</w:t>
      </w:r>
      <w:r>
        <w:rPr>
          <w:snapToGrid w:val="0"/>
          <w:lang w:val="it-IT"/>
        </w:rPr>
        <w:t>atrizia</w:t>
      </w:r>
      <w:r w:rsidRPr="00BC58A3">
        <w:rPr>
          <w:snapToGrid w:val="0"/>
          <w:lang w:val="it-IT"/>
        </w:rPr>
        <w:t xml:space="preserve"> Minutolo</w:t>
      </w:r>
      <w:r w:rsidRPr="00BC58A3">
        <w:rPr>
          <w:snapToGrid w:val="0"/>
          <w:vertAlign w:val="superscript"/>
          <w:lang w:val="it-IT"/>
        </w:rPr>
        <w:t>b</w:t>
      </w:r>
      <w:r w:rsidRPr="00BC58A3">
        <w:rPr>
          <w:snapToGrid w:val="0"/>
          <w:lang w:val="it-IT"/>
        </w:rPr>
        <w:t>, A</w:t>
      </w:r>
      <w:r>
        <w:rPr>
          <w:snapToGrid w:val="0"/>
          <w:lang w:val="it-IT"/>
        </w:rPr>
        <w:t>ndrea</w:t>
      </w:r>
      <w:r w:rsidRPr="00BC58A3">
        <w:rPr>
          <w:snapToGrid w:val="0"/>
          <w:lang w:val="it-IT"/>
        </w:rPr>
        <w:t xml:space="preserve"> D’Anna</w:t>
      </w:r>
      <w:r w:rsidRPr="00BC58A3">
        <w:rPr>
          <w:snapToGrid w:val="0"/>
          <w:vertAlign w:val="superscript"/>
          <w:lang w:val="it-IT"/>
        </w:rPr>
        <w:t>a</w:t>
      </w:r>
    </w:p>
    <w:p w:rsidR="007B1F81" w:rsidRPr="00BC58A3" w:rsidRDefault="007B1F81" w:rsidP="007B1F81">
      <w:pPr>
        <w:pStyle w:val="CETAddress"/>
        <w:rPr>
          <w:snapToGrid w:val="0"/>
          <w:szCs w:val="16"/>
          <w:lang w:val="it-IT"/>
        </w:rPr>
      </w:pPr>
      <w:r w:rsidRPr="0062724E">
        <w:rPr>
          <w:snapToGrid w:val="0"/>
          <w:szCs w:val="16"/>
          <w:vertAlign w:val="superscript"/>
          <w:lang w:val="it-IT"/>
        </w:rPr>
        <w:t>a</w:t>
      </w:r>
      <w:r w:rsidRPr="00F72D18">
        <w:rPr>
          <w:snapToGrid w:val="0"/>
          <w:szCs w:val="16"/>
          <w:lang w:val="it-IT"/>
        </w:rPr>
        <w:t xml:space="preserve"> </w:t>
      </w:r>
      <w:r w:rsidRPr="00BC58A3">
        <w:rPr>
          <w:snapToGrid w:val="0"/>
          <w:szCs w:val="16"/>
          <w:lang w:val="it-IT"/>
        </w:rPr>
        <w:t>Dipartimento di Ingegneria Chimica, dei Materiali e della Produzione Industriale - Università degli Studi di Napoli Federico II, P.le Tecchio 80, 80125, Napoli, Italy</w:t>
      </w:r>
    </w:p>
    <w:p w:rsidR="007B1F81" w:rsidRPr="00BC58A3" w:rsidRDefault="007B1F81" w:rsidP="007B1F81">
      <w:pPr>
        <w:pStyle w:val="CETAddress"/>
        <w:rPr>
          <w:szCs w:val="16"/>
          <w:lang w:val="it-IT"/>
        </w:rPr>
      </w:pPr>
      <w:r w:rsidRPr="00BC58A3">
        <w:rPr>
          <w:snapToGrid w:val="0"/>
          <w:szCs w:val="16"/>
          <w:vertAlign w:val="superscript"/>
          <w:lang w:val="it-IT"/>
        </w:rPr>
        <w:t>b</w:t>
      </w:r>
      <w:r w:rsidRPr="00BC58A3">
        <w:rPr>
          <w:szCs w:val="16"/>
          <w:lang w:val="it-IT"/>
        </w:rPr>
        <w:t xml:space="preserve"> Istituto di Ricerche sulla Combustione - CNR, P.le Tecchio 80, 80125, Napoli, Italy</w:t>
      </w:r>
    </w:p>
    <w:p w:rsidR="007B1F81" w:rsidRPr="00BC58A3" w:rsidRDefault="007B1F81" w:rsidP="007B1F81">
      <w:pPr>
        <w:pStyle w:val="CETAddress"/>
        <w:rPr>
          <w:szCs w:val="16"/>
          <w:lang w:val="it-IT"/>
        </w:rPr>
      </w:pPr>
      <w:r w:rsidRPr="00BC58A3">
        <w:rPr>
          <w:snapToGrid w:val="0"/>
          <w:szCs w:val="16"/>
          <w:vertAlign w:val="superscript"/>
          <w:lang w:val="it-IT"/>
        </w:rPr>
        <w:t>c</w:t>
      </w:r>
      <w:r w:rsidRPr="00BC58A3">
        <w:rPr>
          <w:snapToGrid w:val="0"/>
          <w:szCs w:val="16"/>
          <w:lang w:val="it-IT"/>
        </w:rPr>
        <w:t xml:space="preserve"> Dipartimento di Scienze Chimiche - Università degli Studi di Napoli Federico II, Complesso Monte S. Angelo, 80126, Napoli, Italy</w:t>
      </w:r>
    </w:p>
    <w:p w:rsidR="007B1F81" w:rsidRPr="00CF078E" w:rsidRDefault="007B1F81" w:rsidP="007B1F81">
      <w:pPr>
        <w:pStyle w:val="CETAddress"/>
        <w:rPr>
          <w:lang w:val="en-US"/>
        </w:rPr>
      </w:pPr>
      <w:r w:rsidRPr="00CF078E">
        <w:rPr>
          <w:lang w:val="en-US"/>
        </w:rPr>
        <w:t>francesca.picca@unina.it</w:t>
      </w:r>
    </w:p>
    <w:p w:rsidR="007B1F81" w:rsidRPr="00C11B1E" w:rsidRDefault="007B1F81" w:rsidP="007B1F81">
      <w:pPr>
        <w:pStyle w:val="CETBodytext"/>
        <w:spacing w:before="220" w:after="220"/>
        <w:rPr>
          <w:szCs w:val="18"/>
        </w:rPr>
      </w:pPr>
      <w:r>
        <w:rPr>
          <w:szCs w:val="18"/>
        </w:rPr>
        <w:t xml:space="preserve">Flame-formed just-nucleated carbon nanoparticles, with sizes of about 2-10 nanometers, </w:t>
      </w:r>
      <w:r w:rsidRPr="00C11B1E">
        <w:rPr>
          <w:szCs w:val="18"/>
        </w:rPr>
        <w:t>ha</w:t>
      </w:r>
      <w:r>
        <w:rPr>
          <w:szCs w:val="18"/>
        </w:rPr>
        <w:t xml:space="preserve">ve </w:t>
      </w:r>
      <w:r w:rsidRPr="00C11B1E">
        <w:rPr>
          <w:szCs w:val="18"/>
        </w:rPr>
        <w:t xml:space="preserve">been </w:t>
      </w:r>
      <w:r>
        <w:rPr>
          <w:szCs w:val="18"/>
        </w:rPr>
        <w:t xml:space="preserve">the </w:t>
      </w:r>
      <w:r w:rsidRPr="00C11B1E">
        <w:rPr>
          <w:szCs w:val="18"/>
        </w:rPr>
        <w:t xml:space="preserve">object of </w:t>
      </w:r>
      <w:r>
        <w:rPr>
          <w:szCs w:val="18"/>
        </w:rPr>
        <w:t xml:space="preserve">increasing </w:t>
      </w:r>
      <w:r w:rsidRPr="00C11B1E">
        <w:rPr>
          <w:szCs w:val="18"/>
        </w:rPr>
        <w:t xml:space="preserve">interest over the </w:t>
      </w:r>
      <w:r>
        <w:rPr>
          <w:szCs w:val="18"/>
        </w:rPr>
        <w:t xml:space="preserve">last </w:t>
      </w:r>
      <w:r w:rsidRPr="00C11B1E">
        <w:rPr>
          <w:szCs w:val="18"/>
        </w:rPr>
        <w:t>decades</w:t>
      </w:r>
      <w:r>
        <w:rPr>
          <w:szCs w:val="18"/>
        </w:rPr>
        <w:t xml:space="preserve"> not only </w:t>
      </w:r>
      <w:r w:rsidRPr="00C11B1E">
        <w:rPr>
          <w:szCs w:val="18"/>
        </w:rPr>
        <w:t xml:space="preserve">because of environmental </w:t>
      </w:r>
      <w:r>
        <w:rPr>
          <w:szCs w:val="18"/>
        </w:rPr>
        <w:t>concerns</w:t>
      </w:r>
      <w:r w:rsidRPr="00C11B1E">
        <w:rPr>
          <w:szCs w:val="18"/>
        </w:rPr>
        <w:t xml:space="preserve"> but also </w:t>
      </w:r>
      <w:r>
        <w:rPr>
          <w:szCs w:val="18"/>
        </w:rPr>
        <w:t xml:space="preserve">as new procedure </w:t>
      </w:r>
      <w:r w:rsidRPr="00C11B1E">
        <w:rPr>
          <w:szCs w:val="18"/>
        </w:rPr>
        <w:t xml:space="preserve">for synthesis of engineered nanoparticles. In this work, we present an experimental study on </w:t>
      </w:r>
      <w:r>
        <w:rPr>
          <w:szCs w:val="18"/>
        </w:rPr>
        <w:t xml:space="preserve">synthesis and </w:t>
      </w:r>
      <w:r w:rsidRPr="00C11B1E">
        <w:rPr>
          <w:szCs w:val="18"/>
        </w:rPr>
        <w:t>characterization</w:t>
      </w:r>
      <w:r>
        <w:rPr>
          <w:szCs w:val="18"/>
        </w:rPr>
        <w:t xml:space="preserve"> of carbon nanoparticles</w:t>
      </w:r>
      <w:r w:rsidRPr="00C11B1E">
        <w:rPr>
          <w:szCs w:val="18"/>
        </w:rPr>
        <w:t xml:space="preserve"> </w:t>
      </w:r>
      <w:r>
        <w:rPr>
          <w:szCs w:val="18"/>
        </w:rPr>
        <w:t>generated</w:t>
      </w:r>
      <w:r w:rsidRPr="00C11B1E">
        <w:rPr>
          <w:szCs w:val="18"/>
        </w:rPr>
        <w:t xml:space="preserve"> in a laminar premixed ethylene/air flame. </w:t>
      </w:r>
      <w:r>
        <w:rPr>
          <w:szCs w:val="18"/>
        </w:rPr>
        <w:t>The production of</w:t>
      </w:r>
      <w:r w:rsidRPr="00C11B1E">
        <w:rPr>
          <w:szCs w:val="18"/>
        </w:rPr>
        <w:t xml:space="preserve"> </w:t>
      </w:r>
      <w:r>
        <w:rPr>
          <w:szCs w:val="18"/>
        </w:rPr>
        <w:t>carbon nanoparticles</w:t>
      </w:r>
      <w:r w:rsidRPr="00C11B1E">
        <w:rPr>
          <w:szCs w:val="18"/>
        </w:rPr>
        <w:t xml:space="preserve"> of different sizes and properties </w:t>
      </w:r>
      <w:r>
        <w:rPr>
          <w:szCs w:val="18"/>
        </w:rPr>
        <w:t>is achieved</w:t>
      </w:r>
      <w:r w:rsidRPr="00C11B1E">
        <w:rPr>
          <w:szCs w:val="18"/>
        </w:rPr>
        <w:t xml:space="preserve"> by changing the </w:t>
      </w:r>
      <w:r>
        <w:rPr>
          <w:szCs w:val="18"/>
        </w:rPr>
        <w:t xml:space="preserve">particle </w:t>
      </w:r>
      <w:r w:rsidRPr="00C11B1E">
        <w:rPr>
          <w:szCs w:val="18"/>
        </w:rPr>
        <w:t xml:space="preserve">residence time in the flame, i.e., </w:t>
      </w:r>
      <w:r>
        <w:rPr>
          <w:szCs w:val="18"/>
        </w:rPr>
        <w:t>collecting the carbon nanoparticles at different heights above the burner</w:t>
      </w:r>
      <w:r w:rsidRPr="00C11B1E">
        <w:rPr>
          <w:szCs w:val="18"/>
        </w:rPr>
        <w:t xml:space="preserve">. Particle </w:t>
      </w:r>
      <w:r>
        <w:rPr>
          <w:szCs w:val="18"/>
        </w:rPr>
        <w:t>s</w:t>
      </w:r>
      <w:r w:rsidRPr="00C11B1E">
        <w:rPr>
          <w:szCs w:val="18"/>
        </w:rPr>
        <w:t xml:space="preserve">ize </w:t>
      </w:r>
      <w:r>
        <w:rPr>
          <w:szCs w:val="18"/>
        </w:rPr>
        <w:t>d</w:t>
      </w:r>
      <w:r w:rsidRPr="00C11B1E">
        <w:rPr>
          <w:szCs w:val="18"/>
        </w:rPr>
        <w:t>istributions, Raman</w:t>
      </w:r>
      <w:r>
        <w:rPr>
          <w:szCs w:val="18"/>
        </w:rPr>
        <w:t>,</w:t>
      </w:r>
      <w:r w:rsidRPr="00C11B1E">
        <w:rPr>
          <w:szCs w:val="18"/>
        </w:rPr>
        <w:t xml:space="preserve"> </w:t>
      </w:r>
      <w:r>
        <w:rPr>
          <w:szCs w:val="18"/>
        </w:rPr>
        <w:t>UV-visible and</w:t>
      </w:r>
      <w:r w:rsidRPr="00C11B1E">
        <w:rPr>
          <w:szCs w:val="18"/>
        </w:rPr>
        <w:t xml:space="preserve"> </w:t>
      </w:r>
      <w:r>
        <w:rPr>
          <w:szCs w:val="18"/>
        </w:rPr>
        <w:t>e</w:t>
      </w:r>
      <w:r w:rsidRPr="00C11B1E">
        <w:rPr>
          <w:szCs w:val="18"/>
        </w:rPr>
        <w:t xml:space="preserve">lectron </w:t>
      </w:r>
      <w:r>
        <w:rPr>
          <w:szCs w:val="18"/>
        </w:rPr>
        <w:t>p</w:t>
      </w:r>
      <w:r w:rsidRPr="00C11B1E">
        <w:rPr>
          <w:szCs w:val="18"/>
        </w:rPr>
        <w:t xml:space="preserve">aramagnetic </w:t>
      </w:r>
      <w:r>
        <w:rPr>
          <w:szCs w:val="18"/>
        </w:rPr>
        <w:t>r</w:t>
      </w:r>
      <w:r w:rsidRPr="00C11B1E">
        <w:rPr>
          <w:szCs w:val="18"/>
        </w:rPr>
        <w:t>esonance (EPR) spectroscop</w:t>
      </w:r>
      <w:r>
        <w:rPr>
          <w:szCs w:val="18"/>
        </w:rPr>
        <w:t>ies</w:t>
      </w:r>
      <w:r w:rsidRPr="00C11B1E">
        <w:rPr>
          <w:szCs w:val="18"/>
        </w:rPr>
        <w:t xml:space="preserve"> have been used to characterize </w:t>
      </w:r>
      <w:r>
        <w:rPr>
          <w:szCs w:val="18"/>
        </w:rPr>
        <w:t xml:space="preserve">the </w:t>
      </w:r>
      <w:r w:rsidRPr="00C11B1E">
        <w:rPr>
          <w:szCs w:val="18"/>
        </w:rPr>
        <w:t xml:space="preserve">sampled particles. The size of the particles </w:t>
      </w:r>
      <w:r>
        <w:rPr>
          <w:szCs w:val="18"/>
        </w:rPr>
        <w:t>increases</w:t>
      </w:r>
      <w:r w:rsidRPr="00C11B1E">
        <w:rPr>
          <w:szCs w:val="18"/>
        </w:rPr>
        <w:t xml:space="preserve"> as the residence time in the flame increases</w:t>
      </w:r>
      <w:r>
        <w:rPr>
          <w:szCs w:val="18"/>
        </w:rPr>
        <w:t>,</w:t>
      </w:r>
      <w:r w:rsidRPr="00C11B1E">
        <w:rPr>
          <w:szCs w:val="18"/>
        </w:rPr>
        <w:t xml:space="preserve"> the </w:t>
      </w:r>
      <w:r>
        <w:rPr>
          <w:szCs w:val="18"/>
        </w:rPr>
        <w:t>particle size distributions</w:t>
      </w:r>
      <w:r w:rsidRPr="00C11B1E">
        <w:rPr>
          <w:szCs w:val="18"/>
        </w:rPr>
        <w:t xml:space="preserve"> </w:t>
      </w:r>
      <w:r>
        <w:rPr>
          <w:szCs w:val="18"/>
        </w:rPr>
        <w:t>changing</w:t>
      </w:r>
      <w:r w:rsidRPr="00C11B1E">
        <w:rPr>
          <w:szCs w:val="18"/>
        </w:rPr>
        <w:t xml:space="preserve"> from </w:t>
      </w:r>
      <w:r>
        <w:rPr>
          <w:szCs w:val="18"/>
        </w:rPr>
        <w:t xml:space="preserve">a </w:t>
      </w:r>
      <w:r w:rsidRPr="00C11B1E">
        <w:rPr>
          <w:szCs w:val="18"/>
        </w:rPr>
        <w:t>unimodal to bimodal. Chemical and structural modifications are retrieved by Raman and EPR analysis. Raman spect</w:t>
      </w:r>
      <w:r>
        <w:rPr>
          <w:szCs w:val="18"/>
        </w:rPr>
        <w:t>ra</w:t>
      </w:r>
      <w:r w:rsidRPr="00C11B1E">
        <w:rPr>
          <w:szCs w:val="18"/>
        </w:rPr>
        <w:t xml:space="preserve"> show th</w:t>
      </w:r>
      <w:r>
        <w:rPr>
          <w:szCs w:val="18"/>
        </w:rPr>
        <w:t>e</w:t>
      </w:r>
      <w:r w:rsidRPr="00C11B1E">
        <w:rPr>
          <w:szCs w:val="18"/>
        </w:rPr>
        <w:t xml:space="preserve"> G and D bands, typical of disordered carbonaceous materials</w:t>
      </w:r>
      <w:r>
        <w:rPr>
          <w:szCs w:val="18"/>
        </w:rPr>
        <w:t xml:space="preserve">. </w:t>
      </w:r>
      <w:r w:rsidRPr="00C11B1E">
        <w:rPr>
          <w:szCs w:val="18"/>
        </w:rPr>
        <w:t>Their relative intensity and band position changes during the growing process</w:t>
      </w:r>
      <w:r>
        <w:rPr>
          <w:szCs w:val="18"/>
        </w:rPr>
        <w:t xml:space="preserve"> and</w:t>
      </w:r>
      <w:r w:rsidRPr="00C11B1E">
        <w:rPr>
          <w:szCs w:val="18"/>
        </w:rPr>
        <w:t xml:space="preserve"> are used as index of structural change</w:t>
      </w:r>
      <w:r>
        <w:rPr>
          <w:szCs w:val="18"/>
        </w:rPr>
        <w:t>s</w:t>
      </w:r>
      <w:r w:rsidRPr="00C11B1E">
        <w:rPr>
          <w:szCs w:val="18"/>
        </w:rPr>
        <w:t>. EPR spectroscopy, a powerful tool to probe electronic properties of carbon-based materials, reveals the presence and superposition of multiple paramagnetic species</w:t>
      </w:r>
      <w:r>
        <w:rPr>
          <w:szCs w:val="18"/>
        </w:rPr>
        <w:t>.</w:t>
      </w:r>
      <w:r w:rsidRPr="00C11B1E">
        <w:rPr>
          <w:szCs w:val="18"/>
        </w:rPr>
        <w:t xml:space="preserve"> Persistent carbon-centered aromatic radicals are detected for all the sampled particles</w:t>
      </w:r>
      <w:r>
        <w:rPr>
          <w:szCs w:val="18"/>
        </w:rPr>
        <w:t xml:space="preserve"> and </w:t>
      </w:r>
      <w:r w:rsidRPr="00C11B1E">
        <w:rPr>
          <w:szCs w:val="18"/>
        </w:rPr>
        <w:t xml:space="preserve">an abrupt change in the EPR signal is observed </w:t>
      </w:r>
      <w:r>
        <w:rPr>
          <w:szCs w:val="18"/>
        </w:rPr>
        <w:t>as the particle distribution changes</w:t>
      </w:r>
      <w:r w:rsidRPr="00C11B1E">
        <w:rPr>
          <w:szCs w:val="18"/>
        </w:rPr>
        <w:t xml:space="preserve"> from </w:t>
      </w:r>
      <w:proofErr w:type="spellStart"/>
      <w:r w:rsidRPr="00C11B1E">
        <w:rPr>
          <w:szCs w:val="18"/>
        </w:rPr>
        <w:t>monomodal</w:t>
      </w:r>
      <w:proofErr w:type="spellEnd"/>
      <w:r w:rsidRPr="00C11B1E">
        <w:rPr>
          <w:szCs w:val="18"/>
        </w:rPr>
        <w:t xml:space="preserve"> to bimodal. EPR </w:t>
      </w:r>
      <w:r>
        <w:rPr>
          <w:szCs w:val="18"/>
        </w:rPr>
        <w:t>indicate</w:t>
      </w:r>
      <w:r w:rsidRPr="00C11B1E">
        <w:rPr>
          <w:szCs w:val="18"/>
        </w:rPr>
        <w:t xml:space="preserve"> a three-dimensional structural organization when larger particles are formed.</w:t>
      </w:r>
      <w:r>
        <w:rPr>
          <w:szCs w:val="18"/>
        </w:rPr>
        <w:t xml:space="preserve"> Optical proprieties are retrieved by UV-visible spectroscopy which, combined to</w:t>
      </w:r>
      <w:r w:rsidRPr="00C11B1E">
        <w:rPr>
          <w:szCs w:val="18"/>
        </w:rPr>
        <w:t xml:space="preserve"> Raman and EPR spectroscopy</w:t>
      </w:r>
      <w:r>
        <w:rPr>
          <w:szCs w:val="18"/>
        </w:rPr>
        <w:t>,</w:t>
      </w:r>
      <w:r w:rsidRPr="00C11B1E">
        <w:rPr>
          <w:szCs w:val="18"/>
        </w:rPr>
        <w:t xml:space="preserve"> seem</w:t>
      </w:r>
      <w:r>
        <w:rPr>
          <w:szCs w:val="18"/>
        </w:rPr>
        <w:t>s</w:t>
      </w:r>
      <w:r w:rsidRPr="00C11B1E">
        <w:rPr>
          <w:szCs w:val="18"/>
        </w:rPr>
        <w:t xml:space="preserve"> to be powerful diagnostics to monitor particle clustering and to control the process of engineered carbonaceous nanoparticle production.</w:t>
      </w:r>
    </w:p>
    <w:p w:rsidR="007B1F81" w:rsidRPr="00BC58A3" w:rsidRDefault="007B1F81" w:rsidP="007B1F81">
      <w:pPr>
        <w:pStyle w:val="CETHeading1"/>
        <w:rPr>
          <w:snapToGrid w:val="0"/>
        </w:rPr>
      </w:pPr>
      <w:r w:rsidRPr="00BC58A3">
        <w:rPr>
          <w:snapToGrid w:val="0"/>
        </w:rPr>
        <w:t>Introduction</w:t>
      </w:r>
    </w:p>
    <w:p w:rsidR="007B1F81" w:rsidRDefault="007B1F81" w:rsidP="007B1F81">
      <w:pPr>
        <w:pStyle w:val="CETBodytext"/>
      </w:pPr>
      <w:r>
        <w:rPr>
          <w:snapToGrid w:val="0"/>
        </w:rPr>
        <w:t xml:space="preserve">Just-nucleated </w:t>
      </w:r>
      <w:r>
        <w:rPr>
          <w:szCs w:val="18"/>
        </w:rPr>
        <w:t xml:space="preserve">carbon nanoparticles, </w:t>
      </w:r>
      <w:r>
        <w:rPr>
          <w:snapToGrid w:val="0"/>
        </w:rPr>
        <w:t>CNPs,</w:t>
      </w:r>
      <w:r w:rsidRPr="00C11B1E">
        <w:rPr>
          <w:snapToGrid w:val="0"/>
        </w:rPr>
        <w:t xml:space="preserve"> in flame ha</w:t>
      </w:r>
      <w:r>
        <w:rPr>
          <w:snapToGrid w:val="0"/>
        </w:rPr>
        <w:t>ve</w:t>
      </w:r>
      <w:r w:rsidRPr="00C11B1E">
        <w:rPr>
          <w:snapToGrid w:val="0"/>
        </w:rPr>
        <w:t xml:space="preserve"> been</w:t>
      </w:r>
      <w:r>
        <w:rPr>
          <w:snapToGrid w:val="0"/>
        </w:rPr>
        <w:t xml:space="preserve"> the</w:t>
      </w:r>
      <w:r w:rsidRPr="00C11B1E">
        <w:rPr>
          <w:snapToGrid w:val="0"/>
        </w:rPr>
        <w:t xml:space="preserve"> object of </w:t>
      </w:r>
      <w:r>
        <w:rPr>
          <w:snapToGrid w:val="0"/>
        </w:rPr>
        <w:t>several</w:t>
      </w:r>
      <w:r w:rsidRPr="00C11B1E">
        <w:rPr>
          <w:snapToGrid w:val="0"/>
        </w:rPr>
        <w:t xml:space="preserve"> studies in the last decades. </w:t>
      </w:r>
      <w:r>
        <w:rPr>
          <w:snapToGrid w:val="0"/>
        </w:rPr>
        <w:t xml:space="preserve">Most of these studies have been driven by human health and environmental/climate change issues </w:t>
      </w:r>
      <w:r w:rsidRPr="00C11B1E">
        <w:rPr>
          <w:snapToGrid w:val="0"/>
        </w:rPr>
        <w:t>(Bond et al., 2013</w:t>
      </w:r>
      <w:r>
        <w:rPr>
          <w:snapToGrid w:val="0"/>
        </w:rPr>
        <w:t xml:space="preserve">; </w:t>
      </w:r>
      <w:r w:rsidRPr="00C11B1E">
        <w:rPr>
          <w:snapToGrid w:val="0"/>
        </w:rPr>
        <w:t>De Falco et al.</w:t>
      </w:r>
      <w:r>
        <w:rPr>
          <w:snapToGrid w:val="0"/>
        </w:rPr>
        <w:t>,</w:t>
      </w:r>
      <w:r w:rsidRPr="00C11B1E">
        <w:rPr>
          <w:snapToGrid w:val="0"/>
        </w:rPr>
        <w:t xml:space="preserve"> 2017</w:t>
      </w:r>
      <w:r>
        <w:rPr>
          <w:snapToGrid w:val="0"/>
        </w:rPr>
        <w:t xml:space="preserve">; </w:t>
      </w:r>
      <w:proofErr w:type="spellStart"/>
      <w:r>
        <w:rPr>
          <w:snapToGrid w:val="0"/>
        </w:rPr>
        <w:t>Gualtieri</w:t>
      </w:r>
      <w:proofErr w:type="spellEnd"/>
      <w:r>
        <w:rPr>
          <w:snapToGrid w:val="0"/>
        </w:rPr>
        <w:t xml:space="preserve"> et al., 2008</w:t>
      </w:r>
      <w:r w:rsidRPr="00C11B1E">
        <w:rPr>
          <w:snapToGrid w:val="0"/>
        </w:rPr>
        <w:t>).</w:t>
      </w:r>
      <w:r w:rsidRPr="00EF3AF7">
        <w:rPr>
          <w:snapToGrid w:val="0"/>
        </w:rPr>
        <w:t xml:space="preserve"> </w:t>
      </w:r>
      <w:r>
        <w:rPr>
          <w:snapToGrid w:val="0"/>
        </w:rPr>
        <w:t>T</w:t>
      </w:r>
      <w:r w:rsidRPr="00C11B1E">
        <w:rPr>
          <w:snapToGrid w:val="0"/>
        </w:rPr>
        <w:t xml:space="preserve">hese nanoparticles </w:t>
      </w:r>
      <w:r>
        <w:rPr>
          <w:snapToGrid w:val="0"/>
        </w:rPr>
        <w:t xml:space="preserve">have also aroused the interest of scientific community because of the </w:t>
      </w:r>
      <w:r w:rsidRPr="00C11B1E">
        <w:rPr>
          <w:snapToGrid w:val="0"/>
        </w:rPr>
        <w:t xml:space="preserve">possibility to use them </w:t>
      </w:r>
      <w:r>
        <w:rPr>
          <w:snapToGrid w:val="0"/>
        </w:rPr>
        <w:t xml:space="preserve">as potential new low-cost materials with a very large application fields </w:t>
      </w:r>
      <w:r w:rsidRPr="00C11B1E">
        <w:rPr>
          <w:snapToGrid w:val="0"/>
        </w:rPr>
        <w:t>(Li et al., 2016).</w:t>
      </w:r>
      <w:r>
        <w:rPr>
          <w:snapToGrid w:val="0"/>
        </w:rPr>
        <w:t xml:space="preserve"> Under controlled synthesis conditions, these CNPs may be produced and functionalized to form desirable materials. The CNPs synthesis process, from the i</w:t>
      </w:r>
      <w:r w:rsidRPr="00C11B1E">
        <w:rPr>
          <w:snapToGrid w:val="0"/>
        </w:rPr>
        <w:t>ncomplete combustion of hydrocarbon</w:t>
      </w:r>
      <w:r>
        <w:rPr>
          <w:snapToGrid w:val="0"/>
        </w:rPr>
        <w:t>s,</w:t>
      </w:r>
      <w:r w:rsidRPr="00C11B1E">
        <w:rPr>
          <w:snapToGrid w:val="0"/>
        </w:rPr>
        <w:t xml:space="preserve"> </w:t>
      </w:r>
      <w:r>
        <w:rPr>
          <w:snapToGrid w:val="0"/>
        </w:rPr>
        <w:t xml:space="preserve">start with the formation of </w:t>
      </w:r>
      <w:r w:rsidRPr="00C11B1E">
        <w:rPr>
          <w:snapToGrid w:val="0"/>
        </w:rPr>
        <w:t xml:space="preserve">polycyclic aromatic hydrocarbon (PAH), high molecular mass compounds that act as </w:t>
      </w:r>
      <w:r>
        <w:rPr>
          <w:snapToGrid w:val="0"/>
        </w:rPr>
        <w:t xml:space="preserve">particle </w:t>
      </w:r>
      <w:r w:rsidRPr="00C11B1E">
        <w:rPr>
          <w:snapToGrid w:val="0"/>
        </w:rPr>
        <w:t xml:space="preserve">precursors. </w:t>
      </w:r>
      <w:r>
        <w:rPr>
          <w:snapToGrid w:val="0"/>
        </w:rPr>
        <w:t xml:space="preserve">During the growing process, </w:t>
      </w:r>
      <w:r w:rsidRPr="00C11B1E">
        <w:rPr>
          <w:snapToGrid w:val="0"/>
        </w:rPr>
        <w:t>PAHs</w:t>
      </w:r>
      <w:r>
        <w:rPr>
          <w:snapToGrid w:val="0"/>
        </w:rPr>
        <w:t xml:space="preserve"> begin to assemble into </w:t>
      </w:r>
      <w:r w:rsidRPr="00C11B1E">
        <w:t>clusters of few nanometers</w:t>
      </w:r>
      <w:r>
        <w:t xml:space="preserve"> size</w:t>
      </w:r>
      <w:r w:rsidRPr="00C11B1E">
        <w:t>, i.e., 2-3 nm</w:t>
      </w:r>
      <w:r>
        <w:t xml:space="preserve"> </w:t>
      </w:r>
      <w:r w:rsidRPr="00C11B1E">
        <w:t>(</w:t>
      </w:r>
      <w:proofErr w:type="spellStart"/>
      <w:r w:rsidRPr="00C11B1E">
        <w:t>Commodo</w:t>
      </w:r>
      <w:proofErr w:type="spellEnd"/>
      <w:r w:rsidRPr="00C11B1E">
        <w:t xml:space="preserve"> et al., 2018)</w:t>
      </w:r>
      <w:r>
        <w:t>, which growth to larger particles changing the residence time in the flame reactor</w:t>
      </w:r>
      <w:r w:rsidRPr="00C11B1E">
        <w:t xml:space="preserve">. </w:t>
      </w:r>
    </w:p>
    <w:p w:rsidR="007B1F81" w:rsidRPr="0012206E" w:rsidRDefault="007B1F81" w:rsidP="007B1F81">
      <w:pPr>
        <w:pStyle w:val="CETBodytext"/>
        <w:rPr>
          <w:snapToGrid w:val="0"/>
        </w:rPr>
      </w:pPr>
      <w:r w:rsidRPr="00C11B1E">
        <w:t>In this study</w:t>
      </w:r>
      <w:r>
        <w:t>,</w:t>
      </w:r>
      <w:r w:rsidRPr="00C11B1E">
        <w:t xml:space="preserve"> </w:t>
      </w:r>
      <w:r>
        <w:t>CNPs have been generated</w:t>
      </w:r>
      <w:r w:rsidRPr="00C11B1E">
        <w:rPr>
          <w:szCs w:val="18"/>
        </w:rPr>
        <w:t xml:space="preserve"> in a laminar premixed ethylene/air flame with an atomic ratio C/O = 0.67 (equivalence ratio </w:t>
      </w:r>
      <w:r w:rsidRPr="00C11B1E">
        <w:rPr>
          <w:i/>
          <w:iCs/>
          <w:szCs w:val="18"/>
          <w:lang w:val="it-IT"/>
        </w:rPr>
        <w:t>Ф</w:t>
      </w:r>
      <w:r w:rsidRPr="00C11B1E">
        <w:rPr>
          <w:i/>
          <w:iCs/>
          <w:szCs w:val="18"/>
        </w:rPr>
        <w:t xml:space="preserve"> </w:t>
      </w:r>
      <w:r w:rsidRPr="00C11B1E">
        <w:rPr>
          <w:szCs w:val="18"/>
        </w:rPr>
        <w:t>= 2.03</w:t>
      </w:r>
      <w:r>
        <w:rPr>
          <w:szCs w:val="18"/>
        </w:rPr>
        <w:t>)</w:t>
      </w:r>
      <w:r>
        <w:t xml:space="preserve">. The physicochemical characterization of the CNPs is performed </w:t>
      </w:r>
      <w:r w:rsidRPr="00C11B1E">
        <w:t xml:space="preserve">on-line </w:t>
      </w:r>
      <w:r>
        <w:t>by d</w:t>
      </w:r>
      <w:r w:rsidRPr="00C11B1E">
        <w:t>ifferential mobility analysis (DMA)</w:t>
      </w:r>
      <w:r>
        <w:t xml:space="preserve">, to gain </w:t>
      </w:r>
      <w:r w:rsidRPr="00C11B1E">
        <w:t xml:space="preserve">information about change in particle </w:t>
      </w:r>
      <w:r>
        <w:t>size</w:t>
      </w:r>
      <w:r w:rsidRPr="00C11B1E">
        <w:t xml:space="preserve"> </w:t>
      </w:r>
      <w:r>
        <w:t xml:space="preserve">distributions (PSDs) </w:t>
      </w:r>
      <w:r w:rsidRPr="00C11B1E">
        <w:t xml:space="preserve">as </w:t>
      </w:r>
      <w:r>
        <w:t xml:space="preserve">a </w:t>
      </w:r>
      <w:r w:rsidRPr="00C11B1E">
        <w:lastRenderedPageBreak/>
        <w:t xml:space="preserve">function of different </w:t>
      </w:r>
      <w:r>
        <w:t>heights above the burner (</w:t>
      </w:r>
      <w:r w:rsidRPr="00C11B1E">
        <w:t>HABs</w:t>
      </w:r>
      <w:r>
        <w:t>), and o</w:t>
      </w:r>
      <w:r w:rsidRPr="00C11B1E">
        <w:t xml:space="preserve">ff-line </w:t>
      </w:r>
      <w:r>
        <w:t xml:space="preserve">by Raman spectroscopy, UV-visible spectroscopy </w:t>
      </w:r>
      <w:r w:rsidRPr="00C11B1E">
        <w:t xml:space="preserve">and </w:t>
      </w:r>
      <w:r>
        <w:t>e</w:t>
      </w:r>
      <w:r w:rsidRPr="00C11B1E">
        <w:t xml:space="preserve">lectron </w:t>
      </w:r>
      <w:r>
        <w:t>p</w:t>
      </w:r>
      <w:r w:rsidRPr="00C11B1E">
        <w:t xml:space="preserve">aramagnetic </w:t>
      </w:r>
      <w:r>
        <w:t>r</w:t>
      </w:r>
      <w:r w:rsidRPr="00C11B1E">
        <w:t>esonance (EPR)</w:t>
      </w:r>
      <w:r>
        <w:t xml:space="preserve"> spectroscopy, in order to gain</w:t>
      </w:r>
      <w:r w:rsidRPr="00C11B1E">
        <w:t xml:space="preserve"> structural and </w:t>
      </w:r>
      <w:r>
        <w:t>chemical</w:t>
      </w:r>
      <w:r w:rsidRPr="00C11B1E">
        <w:t xml:space="preserve"> information on </w:t>
      </w:r>
      <w:r>
        <w:t>the synthetized</w:t>
      </w:r>
      <w:r w:rsidRPr="00C11B1E">
        <w:t xml:space="preserve"> nanoparticles. </w:t>
      </w:r>
      <w:r>
        <w:t>The aim of this research is to study structural, chemical and</w:t>
      </w:r>
      <w:r w:rsidRPr="00C11B1E">
        <w:t xml:space="preserve"> </w:t>
      </w:r>
      <w:r>
        <w:t>opto</w:t>
      </w:r>
      <w:r w:rsidRPr="00C11B1E">
        <w:t xml:space="preserve">electronic </w:t>
      </w:r>
      <w:r>
        <w:t>properties</w:t>
      </w:r>
      <w:r w:rsidRPr="00C11B1E">
        <w:t xml:space="preserve"> </w:t>
      </w:r>
      <w:r>
        <w:t xml:space="preserve">of the flame-formed CNPs to </w:t>
      </w:r>
      <w:r w:rsidRPr="00C11B1E">
        <w:t>pave the way for a better control on the process of engineered carbonaceous nanoparticle production</w:t>
      </w:r>
      <w:r w:rsidRPr="00126E19">
        <w:rPr>
          <w:sz w:val="20"/>
        </w:rPr>
        <w:t>.</w:t>
      </w:r>
    </w:p>
    <w:p w:rsidR="007B1F81" w:rsidRPr="00BC58A3" w:rsidRDefault="007B1F81" w:rsidP="007B1F81">
      <w:pPr>
        <w:pStyle w:val="CETHeading1"/>
        <w:rPr>
          <w:snapToGrid w:val="0"/>
        </w:rPr>
      </w:pPr>
      <w:r w:rsidRPr="00BC58A3">
        <w:rPr>
          <w:snapToGrid w:val="0"/>
        </w:rPr>
        <w:t xml:space="preserve">Experimental </w:t>
      </w:r>
    </w:p>
    <w:p w:rsidR="007B1F81" w:rsidRPr="00C11B1E" w:rsidRDefault="007B1F81" w:rsidP="007B1F81">
      <w:pPr>
        <w:pStyle w:val="CETBodytext"/>
        <w:rPr>
          <w:rFonts w:eastAsiaTheme="minorHAnsi"/>
        </w:rPr>
      </w:pPr>
      <w:r w:rsidRPr="00C11B1E">
        <w:t>A premixed laminar ethylene-air flame was stabilized on a water cooled sintered bronze McKenna burner.</w:t>
      </w:r>
      <w:r w:rsidRPr="00C11B1E">
        <w:rPr>
          <w:rFonts w:eastAsia="MS Mincho"/>
        </w:rPr>
        <w:t xml:space="preserve"> </w:t>
      </w:r>
      <w:r w:rsidRPr="00C11B1E">
        <w:t>The cold gas stream velocity was 9.8 m/s and the carbon to oxygen (C/O) atomic ratio was set at 0.67, corresponding to a flame equivalence ratio Ф of 2.01. On-line analysis w</w:t>
      </w:r>
      <w:r>
        <w:t>as</w:t>
      </w:r>
      <w:r w:rsidRPr="00C11B1E">
        <w:t xml:space="preserve"> performed by </w:t>
      </w:r>
      <w:r>
        <w:t xml:space="preserve">means of </w:t>
      </w:r>
      <w:r w:rsidRPr="00C11B1E">
        <w:t xml:space="preserve">a </w:t>
      </w:r>
      <w:r w:rsidRPr="006C50A4">
        <w:t>differential mobility analyzer</w:t>
      </w:r>
      <w:r>
        <w:t xml:space="preserve"> (</w:t>
      </w:r>
      <w:r w:rsidRPr="00C11B1E">
        <w:t>DMA</w:t>
      </w:r>
      <w:r>
        <w:t>)</w:t>
      </w:r>
      <w:r w:rsidRPr="00C11B1E">
        <w:t xml:space="preserve"> system</w:t>
      </w:r>
      <w:r>
        <w:t xml:space="preserve">, more details on the experimental procedure can be found in previous works </w:t>
      </w:r>
      <w:r>
        <w:rPr>
          <w:snapToGrid w:val="0"/>
          <w:szCs w:val="18"/>
        </w:rPr>
        <w:t>(</w:t>
      </w:r>
      <w:proofErr w:type="spellStart"/>
      <w:r>
        <w:rPr>
          <w:snapToGrid w:val="0"/>
          <w:szCs w:val="18"/>
        </w:rPr>
        <w:t>Commodo</w:t>
      </w:r>
      <w:proofErr w:type="spellEnd"/>
      <w:r>
        <w:rPr>
          <w:snapToGrid w:val="0"/>
          <w:szCs w:val="18"/>
        </w:rPr>
        <w:t xml:space="preserve"> et al., 2015)</w:t>
      </w:r>
      <w:r w:rsidRPr="00C11B1E">
        <w:t>.</w:t>
      </w:r>
      <w:r>
        <w:t xml:space="preserve"> </w:t>
      </w:r>
      <w:r w:rsidRPr="00067C41">
        <w:t xml:space="preserve">The combustion products are sampled through a very small orifice, i.e., 200 </w:t>
      </w:r>
      <w:proofErr w:type="spellStart"/>
      <w:r>
        <w:rPr>
          <w:rFonts w:cs="Arial"/>
        </w:rPr>
        <w:t>μ</w:t>
      </w:r>
      <w:r w:rsidRPr="00067C41">
        <w:t>m</w:t>
      </w:r>
      <w:proofErr w:type="spellEnd"/>
      <w:r w:rsidRPr="00067C41">
        <w:t>, located on the bottom side of the probe and rapidly mixed with N</w:t>
      </w:r>
      <w:r w:rsidRPr="009657A1">
        <w:rPr>
          <w:vertAlign w:val="subscript"/>
        </w:rPr>
        <w:t>2</w:t>
      </w:r>
      <w:r w:rsidRPr="00067C41">
        <w:t xml:space="preserve">, thus providing a dilution ratio of 1:3000 </w:t>
      </w:r>
      <w:r>
        <w:t>that</w:t>
      </w:r>
      <w:r w:rsidRPr="00067C41">
        <w:t xml:space="preserve"> prevents particles from coagulating and allows quenching </w:t>
      </w:r>
      <w:r>
        <w:t xml:space="preserve">of </w:t>
      </w:r>
      <w:r w:rsidRPr="00067C41">
        <w:t>the chemical reactions throughout the sampling line</w:t>
      </w:r>
      <w:r>
        <w:t xml:space="preserve"> (</w:t>
      </w:r>
      <w:proofErr w:type="spellStart"/>
      <w:r>
        <w:t>Commodo</w:t>
      </w:r>
      <w:proofErr w:type="spellEnd"/>
      <w:r>
        <w:t xml:space="preserve"> et al., 2016)</w:t>
      </w:r>
      <w:r w:rsidRPr="00067C41">
        <w:t xml:space="preserve">. </w:t>
      </w:r>
      <w:r w:rsidRPr="00C11B1E">
        <w:rPr>
          <w:rFonts w:eastAsia="MS Mincho"/>
        </w:rPr>
        <w:t>Off-line analyses were performed on particles sampled with a tubular probe (similar to the one used for PSDs measurements) and collected on quartz ﬁlters (</w:t>
      </w:r>
      <w:proofErr w:type="spellStart"/>
      <w:r w:rsidRPr="00C11B1E">
        <w:rPr>
          <w:rFonts w:eastAsia="MS Mincho"/>
        </w:rPr>
        <w:t>Whatman</w:t>
      </w:r>
      <w:proofErr w:type="spellEnd"/>
      <w:r w:rsidRPr="00C11B1E">
        <w:rPr>
          <w:rFonts w:eastAsia="MS Mincho"/>
        </w:rPr>
        <w:t xml:space="preserve"> QM-A Quartz Microfiber Filters, with diameter of 47 mm) placed on-line in a ﬁlter holder</w:t>
      </w:r>
      <w:r>
        <w:rPr>
          <w:rFonts w:eastAsia="MS Mincho"/>
        </w:rPr>
        <w:t xml:space="preserve"> (</w:t>
      </w:r>
      <w:proofErr w:type="spellStart"/>
      <w:r w:rsidRPr="009657A1">
        <w:rPr>
          <w:snapToGrid w:val="0"/>
          <w:szCs w:val="18"/>
        </w:rPr>
        <w:t>Shulz</w:t>
      </w:r>
      <w:proofErr w:type="spellEnd"/>
      <w:r w:rsidRPr="009657A1">
        <w:rPr>
          <w:snapToGrid w:val="0"/>
          <w:szCs w:val="18"/>
        </w:rPr>
        <w:t xml:space="preserve"> et al.</w:t>
      </w:r>
      <w:r>
        <w:rPr>
          <w:snapToGrid w:val="0"/>
          <w:szCs w:val="18"/>
        </w:rPr>
        <w:t>,</w:t>
      </w:r>
      <w:r w:rsidRPr="009657A1">
        <w:rPr>
          <w:snapToGrid w:val="0"/>
          <w:szCs w:val="18"/>
        </w:rPr>
        <w:t xml:space="preserve"> 2018</w:t>
      </w:r>
      <w:r>
        <w:rPr>
          <w:snapToGrid w:val="0"/>
          <w:szCs w:val="18"/>
        </w:rPr>
        <w:t>)</w:t>
      </w:r>
      <w:r w:rsidRPr="00C11B1E">
        <w:rPr>
          <w:rFonts w:eastAsia="MS Mincho"/>
        </w:rPr>
        <w:t xml:space="preserve">. Total sampling time for each filter was </w:t>
      </w:r>
      <w:r>
        <w:rPr>
          <w:rFonts w:eastAsia="MS Mincho"/>
        </w:rPr>
        <w:t xml:space="preserve">about </w:t>
      </w:r>
      <w:r w:rsidRPr="00C11B1E">
        <w:rPr>
          <w:rFonts w:eastAsia="MS Mincho"/>
        </w:rPr>
        <w:t xml:space="preserve">7 hours. </w:t>
      </w:r>
      <w:r w:rsidRPr="00C11B1E">
        <w:t xml:space="preserve">Particles collected on the Quartz filters were then analyzed by Raman spectroscopy using a Horiba </w:t>
      </w:r>
      <w:proofErr w:type="spellStart"/>
      <w:r w:rsidRPr="00C11B1E">
        <w:t>XploRA</w:t>
      </w:r>
      <w:proofErr w:type="spellEnd"/>
      <w:r w:rsidRPr="00C11B1E">
        <w:t xml:space="preserve"> Raman microscope system equipped with a 100×objective (NA0.9, Olympus). The laser source was a frequency doubled </w:t>
      </w:r>
      <w:proofErr w:type="spellStart"/>
      <w:r w:rsidRPr="00C11B1E">
        <w:t>Nd:YAG</w:t>
      </w:r>
      <w:proofErr w:type="spellEnd"/>
      <w:r w:rsidRPr="00C11B1E">
        <w:t xml:space="preserve"> laser (λ = 532 nm) and an infrared laser (λ = 785 nm). The power of the excitation laser beam, the exposure time and the other instrumental parameters were opportunely adjusted to avoid structural changes of the sample due to thermal decomposition and to ensure the best resolution. Spectra were obtained with a laser beam power of 1 %, and </w:t>
      </w:r>
      <w:r>
        <w:t xml:space="preserve">an accumulation </w:t>
      </w:r>
      <w:r w:rsidRPr="00C11B1E">
        <w:t>exposure time of 5 cycles of 30 s each. Finally, all the spectra were baseline corrected and normalized to the maximum of the G-peak, around 1600 cm</w:t>
      </w:r>
      <w:r w:rsidRPr="00C11B1E">
        <w:rPr>
          <w:vertAlign w:val="superscript"/>
        </w:rPr>
        <w:t>−1</w:t>
      </w:r>
      <w:r w:rsidRPr="00C11B1E">
        <w:t xml:space="preserve">. In addition, Raman spectra of commercially available carbon-based material have been also measured. These include: carbon black (CB), activated </w:t>
      </w:r>
      <w:r w:rsidRPr="006D310F">
        <w:t>carbon (AC) and defective graphite (DG).</w:t>
      </w:r>
      <w:r>
        <w:rPr>
          <w:szCs w:val="16"/>
        </w:rPr>
        <w:t xml:space="preserve"> </w:t>
      </w:r>
      <w:r w:rsidRPr="006D310F">
        <w:rPr>
          <w:szCs w:val="16"/>
        </w:rPr>
        <w:t xml:space="preserve">UV–visible absorption spectroscopy was performed on CNPs </w:t>
      </w:r>
      <w:proofErr w:type="spellStart"/>
      <w:r w:rsidRPr="006D310F">
        <w:rPr>
          <w:szCs w:val="16"/>
        </w:rPr>
        <w:t>thermophoretically</w:t>
      </w:r>
      <w:proofErr w:type="spellEnd"/>
      <w:r w:rsidRPr="006D310F">
        <w:rPr>
          <w:szCs w:val="16"/>
        </w:rPr>
        <w:t xml:space="preserve"> collected on quartz substrates. The UV–visible absorption spectra were recorded with an Agilent UV–Vis 8453 spectrophotometer. The optical band gap, i.e., the energy gap between the highest occupied molecular orbital (HOMO) and lowest unoccupied molecular orbital (LUMO), of the combustion formed particle</w:t>
      </w:r>
      <w:r>
        <w:rPr>
          <w:szCs w:val="16"/>
        </w:rPr>
        <w:t>s</w:t>
      </w:r>
      <w:r w:rsidRPr="006D310F">
        <w:rPr>
          <w:szCs w:val="16"/>
        </w:rPr>
        <w:t xml:space="preserve"> was determined from the measured absorption spectra using the well know </w:t>
      </w:r>
      <w:proofErr w:type="spellStart"/>
      <w:r w:rsidRPr="006D310F">
        <w:rPr>
          <w:szCs w:val="16"/>
        </w:rPr>
        <w:t>Tauc’s</w:t>
      </w:r>
      <w:proofErr w:type="spellEnd"/>
      <w:r w:rsidRPr="006D310F">
        <w:rPr>
          <w:szCs w:val="16"/>
        </w:rPr>
        <w:t xml:space="preserve"> procedure.</w:t>
      </w:r>
      <w:r w:rsidRPr="00EF3AF7">
        <w:rPr>
          <w:color w:val="221E1F"/>
          <w:szCs w:val="16"/>
        </w:rPr>
        <w:t xml:space="preserve"> </w:t>
      </w:r>
      <w:r>
        <w:rPr>
          <w:color w:val="221E1F"/>
          <w:szCs w:val="16"/>
        </w:rPr>
        <w:t>(</w:t>
      </w:r>
      <w:proofErr w:type="spellStart"/>
      <w:r>
        <w:rPr>
          <w:color w:val="221E1F"/>
          <w:szCs w:val="16"/>
        </w:rPr>
        <w:t>Tauc</w:t>
      </w:r>
      <w:proofErr w:type="spellEnd"/>
      <w:r>
        <w:rPr>
          <w:color w:val="221E1F"/>
          <w:szCs w:val="16"/>
        </w:rPr>
        <w:t xml:space="preserve"> et al., 1996).</w:t>
      </w:r>
      <w:r>
        <w:t xml:space="preserve"> </w:t>
      </w:r>
      <w:r w:rsidRPr="00C11B1E">
        <w:t xml:space="preserve">EPR spectroscopy experiments of soot particles collected on the quartz filters were carried out by means of X-band (9 GHz) Bruker </w:t>
      </w:r>
      <w:proofErr w:type="spellStart"/>
      <w:r w:rsidRPr="00C11B1E">
        <w:t>Elexys</w:t>
      </w:r>
      <w:proofErr w:type="spellEnd"/>
      <w:r w:rsidRPr="00C11B1E">
        <w:t xml:space="preserve"> E-500 spectrometer (Bruker, </w:t>
      </w:r>
      <w:proofErr w:type="spellStart"/>
      <w:r w:rsidRPr="00C11B1E">
        <w:t>Rheinstetten</w:t>
      </w:r>
      <w:proofErr w:type="spellEnd"/>
      <w:r w:rsidRPr="00C11B1E">
        <w:t>, Germany), equipped with a super-high sensitivity probe head. Defined sections of quartz filters were coaxially inserted in a standard 8 mm quartz sample tube and the measurements were performed at 25 °C. The instrumental settings were as follows: sweep width, 100 G; resolution, 1024 points; modulation frequency, 100 kHz; modulation amplitude, 1.0 G. EPR spectra were recorded at an attenuation value of 15 dB and 128 scans were accumulated to improve the signal-to-noise ratio. The g-factor values were evaluated by means an internal standard (Mg/</w:t>
      </w:r>
      <w:proofErr w:type="spellStart"/>
      <w:r w:rsidRPr="00C11B1E">
        <w:t>MnO</w:t>
      </w:r>
      <w:proofErr w:type="spellEnd"/>
      <w:r w:rsidRPr="00C11B1E">
        <w:t>) (</w:t>
      </w:r>
      <w:r w:rsidRPr="00C11B1E">
        <w:rPr>
          <w:rFonts w:cs="Arial"/>
          <w:snapToGrid w:val="0"/>
          <w:szCs w:val="24"/>
        </w:rPr>
        <w:t>Yordanov</w:t>
      </w:r>
      <w:r>
        <w:rPr>
          <w:rFonts w:cs="Arial"/>
          <w:snapToGrid w:val="0"/>
          <w:szCs w:val="24"/>
        </w:rPr>
        <w:t xml:space="preserve"> and </w:t>
      </w:r>
      <w:proofErr w:type="spellStart"/>
      <w:r w:rsidRPr="00C11B1E">
        <w:rPr>
          <w:rFonts w:cs="Arial"/>
          <w:snapToGrid w:val="0"/>
          <w:szCs w:val="24"/>
        </w:rPr>
        <w:t>Lubenova</w:t>
      </w:r>
      <w:proofErr w:type="spellEnd"/>
      <w:r w:rsidRPr="00C11B1E">
        <w:rPr>
          <w:rFonts w:cs="Arial"/>
          <w:snapToGrid w:val="0"/>
          <w:szCs w:val="24"/>
        </w:rPr>
        <w:t>, 200</w:t>
      </w:r>
      <w:r>
        <w:rPr>
          <w:rFonts w:cs="Arial"/>
          <w:snapToGrid w:val="0"/>
          <w:szCs w:val="24"/>
        </w:rPr>
        <w:t>0</w:t>
      </w:r>
      <w:r w:rsidRPr="00C11B1E">
        <w:rPr>
          <w:rFonts w:cs="Arial"/>
          <w:snapToGrid w:val="0"/>
          <w:szCs w:val="24"/>
        </w:rPr>
        <w:t>)</w:t>
      </w:r>
      <w:r w:rsidRPr="00C11B1E">
        <w:t xml:space="preserve"> which was inserted in the quartz tube co-axially with the samples. The quantitative analysis </w:t>
      </w:r>
      <w:r w:rsidRPr="00C11B1E">
        <w:rPr>
          <w:rFonts w:eastAsiaTheme="minorHAnsi"/>
        </w:rPr>
        <w:t>of the EPR spectra was specifically realized by determining the signal line width, ΔB, measured as peak-to-peak distance of the first-derivative signal (instrumental output), while the determination of the Gaussian and Lorentzian contributions to the line-shape was obtained by estimating the ΔB</w:t>
      </w:r>
      <w:r w:rsidRPr="00C11B1E">
        <w:rPr>
          <w:rFonts w:eastAsiaTheme="minorHAnsi"/>
          <w:vertAlign w:val="subscript"/>
        </w:rPr>
        <w:t>1/2</w:t>
      </w:r>
      <w:r w:rsidRPr="00C11B1E">
        <w:rPr>
          <w:rFonts w:eastAsiaTheme="minorHAnsi"/>
        </w:rPr>
        <w:t>/ΔB ratio, where ΔB</w:t>
      </w:r>
      <w:r w:rsidRPr="00C11B1E">
        <w:rPr>
          <w:rFonts w:eastAsiaTheme="minorHAnsi"/>
          <w:vertAlign w:val="subscript"/>
        </w:rPr>
        <w:t>1/2</w:t>
      </w:r>
      <w:r w:rsidRPr="00C11B1E">
        <w:rPr>
          <w:rFonts w:eastAsiaTheme="minorHAnsi"/>
        </w:rPr>
        <w:t xml:space="preserve"> is the half-height width of the EPR absorption signal. In all the cases examined in the present work, the line shape features were estimated and reported as percentages of the Lorentzian character (</w:t>
      </w:r>
      <w:proofErr w:type="spellStart"/>
      <w:r w:rsidRPr="00C11B1E">
        <w:rPr>
          <w:rFonts w:eastAsiaTheme="minorHAnsi"/>
        </w:rPr>
        <w:t>Raquejo</w:t>
      </w:r>
      <w:proofErr w:type="spellEnd"/>
      <w:r w:rsidRPr="00C11B1E">
        <w:rPr>
          <w:rFonts w:eastAsiaTheme="minorHAnsi"/>
        </w:rPr>
        <w:t xml:space="preserve"> et al., 1992)</w:t>
      </w:r>
      <w:r>
        <w:rPr>
          <w:rFonts w:eastAsiaTheme="minorHAnsi"/>
        </w:rPr>
        <w:t>.</w:t>
      </w:r>
    </w:p>
    <w:p w:rsidR="007B1F81" w:rsidRPr="00BC58A3" w:rsidRDefault="007B1F81" w:rsidP="007B1F81">
      <w:pPr>
        <w:pStyle w:val="CETHeading1"/>
        <w:rPr>
          <w:snapToGrid w:val="0"/>
        </w:rPr>
      </w:pPr>
      <w:r w:rsidRPr="00BC58A3">
        <w:rPr>
          <w:snapToGrid w:val="0"/>
        </w:rPr>
        <w:t>Results</w:t>
      </w:r>
    </w:p>
    <w:p w:rsidR="007B1F81" w:rsidRDefault="007B1F81" w:rsidP="007B1F81">
      <w:pPr>
        <w:pStyle w:val="CETBodytext"/>
        <w:rPr>
          <w:szCs w:val="18"/>
        </w:rPr>
      </w:pPr>
      <w:r w:rsidRPr="00C11B1E">
        <w:rPr>
          <w:snapToGrid w:val="0"/>
          <w:szCs w:val="18"/>
        </w:rPr>
        <w:t>Particle size distributions measured</w:t>
      </w:r>
      <w:r>
        <w:rPr>
          <w:snapToGrid w:val="0"/>
          <w:szCs w:val="18"/>
        </w:rPr>
        <w:t xml:space="preserve"> by DMA system along the flame axis have been performed and reported in a previous work (</w:t>
      </w:r>
      <w:proofErr w:type="spellStart"/>
      <w:r>
        <w:rPr>
          <w:snapToGrid w:val="0"/>
          <w:szCs w:val="18"/>
        </w:rPr>
        <w:t>Commodo</w:t>
      </w:r>
      <w:proofErr w:type="spellEnd"/>
      <w:r>
        <w:rPr>
          <w:snapToGrid w:val="0"/>
          <w:szCs w:val="18"/>
        </w:rPr>
        <w:t xml:space="preserve"> et al., 2015)</w:t>
      </w:r>
      <w:r w:rsidRPr="00C11B1E">
        <w:rPr>
          <w:snapToGrid w:val="0"/>
          <w:szCs w:val="18"/>
        </w:rPr>
        <w:t>.</w:t>
      </w:r>
      <w:r>
        <w:rPr>
          <w:snapToGrid w:val="0"/>
          <w:szCs w:val="18"/>
        </w:rPr>
        <w:t xml:space="preserve"> B</w:t>
      </w:r>
      <w:r w:rsidRPr="00C11B1E">
        <w:rPr>
          <w:rFonts w:eastAsia="Calibri"/>
          <w:color w:val="000000"/>
          <w:szCs w:val="18"/>
          <w:lang w:eastAsia="it-IT"/>
        </w:rPr>
        <w:t>y increasing the HABs</w:t>
      </w:r>
      <w:r>
        <w:rPr>
          <w:rFonts w:eastAsia="Calibri"/>
          <w:color w:val="000000"/>
          <w:szCs w:val="18"/>
          <w:lang w:eastAsia="it-IT"/>
        </w:rPr>
        <w:t>,</w:t>
      </w:r>
      <w:r w:rsidRPr="00C11B1E">
        <w:rPr>
          <w:rFonts w:eastAsia="Calibri"/>
          <w:color w:val="000000"/>
          <w:szCs w:val="18"/>
          <w:lang w:eastAsia="it-IT"/>
        </w:rPr>
        <w:t xml:space="preserve"> </w:t>
      </w:r>
      <w:r>
        <w:rPr>
          <w:snapToGrid w:val="0"/>
          <w:szCs w:val="18"/>
        </w:rPr>
        <w:t>the</w:t>
      </w:r>
      <w:r w:rsidRPr="00C11B1E">
        <w:rPr>
          <w:snapToGrid w:val="0"/>
          <w:szCs w:val="18"/>
        </w:rPr>
        <w:t xml:space="preserve"> PSDs </w:t>
      </w:r>
      <w:r>
        <w:rPr>
          <w:snapToGrid w:val="0"/>
          <w:szCs w:val="18"/>
        </w:rPr>
        <w:t xml:space="preserve">showed an </w:t>
      </w:r>
      <w:r w:rsidRPr="00C11B1E">
        <w:rPr>
          <w:rFonts w:eastAsia="Calibri"/>
          <w:color w:val="000000"/>
          <w:szCs w:val="18"/>
          <w:lang w:eastAsia="it-IT"/>
        </w:rPr>
        <w:t>evol</w:t>
      </w:r>
      <w:r>
        <w:rPr>
          <w:rFonts w:eastAsia="Calibri"/>
          <w:color w:val="000000"/>
          <w:szCs w:val="18"/>
          <w:lang w:eastAsia="it-IT"/>
        </w:rPr>
        <w:t>ution</w:t>
      </w:r>
      <w:r w:rsidRPr="00C11B1E">
        <w:rPr>
          <w:rFonts w:eastAsia="Calibri"/>
          <w:color w:val="000000"/>
          <w:szCs w:val="18"/>
          <w:lang w:eastAsia="it-IT"/>
        </w:rPr>
        <w:t xml:space="preserve"> from </w:t>
      </w:r>
      <w:r>
        <w:rPr>
          <w:rFonts w:eastAsia="Calibri"/>
          <w:color w:val="000000"/>
          <w:szCs w:val="18"/>
          <w:lang w:eastAsia="it-IT"/>
        </w:rPr>
        <w:t xml:space="preserve">a </w:t>
      </w:r>
      <w:r w:rsidRPr="00C11B1E">
        <w:rPr>
          <w:rFonts w:eastAsia="Calibri"/>
          <w:color w:val="000000"/>
          <w:szCs w:val="18"/>
          <w:lang w:eastAsia="it-IT"/>
        </w:rPr>
        <w:t xml:space="preserve">unimodal </w:t>
      </w:r>
      <w:r>
        <w:rPr>
          <w:rFonts w:eastAsia="Calibri"/>
          <w:color w:val="000000"/>
          <w:szCs w:val="18"/>
          <w:lang w:eastAsia="it-IT"/>
        </w:rPr>
        <w:t xml:space="preserve">distribution, characterized by a mean particles size between 2 and 3 nanometers, </w:t>
      </w:r>
      <w:r w:rsidRPr="00C11B1E">
        <w:rPr>
          <w:rFonts w:eastAsia="Calibri"/>
          <w:color w:val="000000"/>
          <w:szCs w:val="18"/>
          <w:lang w:eastAsia="it-IT"/>
        </w:rPr>
        <w:t xml:space="preserve">to </w:t>
      </w:r>
      <w:r>
        <w:rPr>
          <w:rFonts w:eastAsia="Calibri"/>
          <w:color w:val="000000"/>
          <w:szCs w:val="18"/>
          <w:lang w:eastAsia="it-IT"/>
        </w:rPr>
        <w:t xml:space="preserve">a </w:t>
      </w:r>
      <w:r w:rsidRPr="00C11B1E">
        <w:rPr>
          <w:rFonts w:eastAsia="Calibri"/>
          <w:color w:val="000000"/>
          <w:szCs w:val="18"/>
          <w:lang w:eastAsia="it-IT"/>
        </w:rPr>
        <w:t>bimodal</w:t>
      </w:r>
      <w:r>
        <w:rPr>
          <w:rFonts w:eastAsia="Calibri"/>
          <w:color w:val="000000"/>
          <w:szCs w:val="18"/>
          <w:lang w:eastAsia="it-IT"/>
        </w:rPr>
        <w:t xml:space="preserve"> distribution,</w:t>
      </w:r>
      <w:r w:rsidRPr="004317F9">
        <w:rPr>
          <w:rFonts w:eastAsia="Calibri"/>
          <w:color w:val="000000"/>
          <w:szCs w:val="18"/>
          <w:lang w:eastAsia="it-IT"/>
        </w:rPr>
        <w:t xml:space="preserve"> </w:t>
      </w:r>
      <w:r>
        <w:rPr>
          <w:rFonts w:eastAsia="Calibri"/>
          <w:color w:val="000000"/>
          <w:szCs w:val="18"/>
          <w:lang w:eastAsia="it-IT"/>
        </w:rPr>
        <w:t>characterized by the presence of an additional mode in the size range between 4 and 10 nanometers. The shift from unimodal to bimodal distribution occurs between 8 mm and 9 mm</w:t>
      </w:r>
      <w:r w:rsidRPr="00C11B1E">
        <w:rPr>
          <w:rFonts w:eastAsia="Calibri"/>
          <w:color w:val="000000"/>
          <w:szCs w:val="18"/>
          <w:lang w:eastAsia="it-IT"/>
        </w:rPr>
        <w:t>.</w:t>
      </w:r>
      <w:r>
        <w:rPr>
          <w:szCs w:val="18"/>
        </w:rPr>
        <w:t xml:space="preserve"> I</w:t>
      </w:r>
      <w:r w:rsidRPr="00C11B1E">
        <w:rPr>
          <w:szCs w:val="18"/>
        </w:rPr>
        <w:t xml:space="preserve">nformation on the chemical and structural modification of carbonaceous nanoparticles were obtained by Raman spectroscopy. The Raman spectra of soot </w:t>
      </w:r>
      <w:r>
        <w:rPr>
          <w:szCs w:val="18"/>
        </w:rPr>
        <w:t xml:space="preserve">were </w:t>
      </w:r>
      <w:r w:rsidRPr="00C11B1E">
        <w:rPr>
          <w:szCs w:val="18"/>
        </w:rPr>
        <w:t xml:space="preserve">collected </w:t>
      </w:r>
      <w:r>
        <w:rPr>
          <w:szCs w:val="18"/>
        </w:rPr>
        <w:t>i</w:t>
      </w:r>
      <w:r w:rsidRPr="00C11B1E">
        <w:rPr>
          <w:szCs w:val="18"/>
        </w:rPr>
        <w:t>n the first order Raman region</w:t>
      </w:r>
      <w:r>
        <w:rPr>
          <w:szCs w:val="18"/>
        </w:rPr>
        <w:t xml:space="preserve">, comprised between </w:t>
      </w:r>
      <w:r w:rsidRPr="00C11B1E">
        <w:rPr>
          <w:szCs w:val="18"/>
        </w:rPr>
        <w:t>1000 cm</w:t>
      </w:r>
      <w:r w:rsidRPr="00C11B1E">
        <w:rPr>
          <w:szCs w:val="18"/>
          <w:vertAlign w:val="superscript"/>
        </w:rPr>
        <w:t>−</w:t>
      </w:r>
      <w:r>
        <w:rPr>
          <w:szCs w:val="18"/>
          <w:vertAlign w:val="superscript"/>
        </w:rPr>
        <w:t>1</w:t>
      </w:r>
      <w:r>
        <w:rPr>
          <w:szCs w:val="18"/>
        </w:rPr>
        <w:t>and</w:t>
      </w:r>
      <w:r w:rsidRPr="00C11B1E">
        <w:rPr>
          <w:szCs w:val="18"/>
        </w:rPr>
        <w:t xml:space="preserve"> 2000 cm</w:t>
      </w:r>
      <w:r w:rsidRPr="00C11B1E">
        <w:rPr>
          <w:szCs w:val="18"/>
          <w:vertAlign w:val="superscript"/>
        </w:rPr>
        <w:t>−</w:t>
      </w:r>
      <w:r>
        <w:rPr>
          <w:szCs w:val="18"/>
          <w:vertAlign w:val="superscript"/>
        </w:rPr>
        <w:t>1</w:t>
      </w:r>
      <w:r>
        <w:rPr>
          <w:szCs w:val="18"/>
        </w:rPr>
        <w:t xml:space="preserve">, as a function of HABs. Acquired spectra </w:t>
      </w:r>
      <w:r w:rsidRPr="00C11B1E">
        <w:rPr>
          <w:szCs w:val="18"/>
        </w:rPr>
        <w:t>obtained by using two different excitation wavelengths, i.e., λ = 532 nm and λ = 785 nm</w:t>
      </w:r>
      <w:r>
        <w:rPr>
          <w:szCs w:val="18"/>
        </w:rPr>
        <w:t>,</w:t>
      </w:r>
      <w:r w:rsidRPr="00C11B1E">
        <w:rPr>
          <w:szCs w:val="18"/>
        </w:rPr>
        <w:t xml:space="preserve"> are shown in Figure </w:t>
      </w:r>
      <w:r>
        <w:rPr>
          <w:szCs w:val="18"/>
        </w:rPr>
        <w:t xml:space="preserve">1. </w:t>
      </w:r>
      <w:r w:rsidRPr="00C11B1E">
        <w:rPr>
          <w:szCs w:val="18"/>
        </w:rPr>
        <w:t xml:space="preserve">All the measured spectra present the typical characteristics of any disordered carbonaceous materials for which a thorough description is reported </w:t>
      </w:r>
      <w:r w:rsidRPr="00C11B1E">
        <w:rPr>
          <w:szCs w:val="18"/>
        </w:rPr>
        <w:lastRenderedPageBreak/>
        <w:t>elsewhere (</w:t>
      </w:r>
      <w:r>
        <w:rPr>
          <w:szCs w:val="18"/>
        </w:rPr>
        <w:t>Minutolo et al., 2014</w:t>
      </w:r>
      <w:r w:rsidRPr="00C11B1E">
        <w:rPr>
          <w:szCs w:val="18"/>
        </w:rPr>
        <w:t xml:space="preserve">). As Figure </w:t>
      </w:r>
      <w:r>
        <w:rPr>
          <w:szCs w:val="18"/>
        </w:rPr>
        <w:t>1</w:t>
      </w:r>
      <w:r w:rsidRPr="00C11B1E">
        <w:rPr>
          <w:szCs w:val="18"/>
        </w:rPr>
        <w:t xml:space="preserve"> shows, all</w:t>
      </w:r>
      <w:r>
        <w:rPr>
          <w:szCs w:val="18"/>
        </w:rPr>
        <w:t xml:space="preserve"> first order</w:t>
      </w:r>
      <w:r w:rsidRPr="00C11B1E">
        <w:rPr>
          <w:szCs w:val="18"/>
        </w:rPr>
        <w:t xml:space="preserve"> spectra present one band centered at about 1600 cm</w:t>
      </w:r>
      <w:r w:rsidRPr="00C11B1E">
        <w:rPr>
          <w:szCs w:val="18"/>
          <w:vertAlign w:val="superscript"/>
        </w:rPr>
        <w:t>-1</w:t>
      </w:r>
      <w:r w:rsidRPr="00C11B1E">
        <w:rPr>
          <w:szCs w:val="18"/>
        </w:rPr>
        <w:t xml:space="preserve"> named G band, and the other centered at about 1350 cm</w:t>
      </w:r>
      <w:r w:rsidRPr="00C11B1E">
        <w:rPr>
          <w:szCs w:val="18"/>
          <w:vertAlign w:val="superscript"/>
        </w:rPr>
        <w:t>-1</w:t>
      </w:r>
      <w:r w:rsidRPr="00C11B1E">
        <w:rPr>
          <w:szCs w:val="18"/>
        </w:rPr>
        <w:t xml:space="preserve"> named D band.</w:t>
      </w:r>
    </w:p>
    <w:p w:rsidR="007B1F81" w:rsidRDefault="007B1F81" w:rsidP="007B1F81">
      <w:pPr>
        <w:widowControl w:val="0"/>
        <w:rPr>
          <w:rFonts w:cs="Arial"/>
          <w:sz w:val="22"/>
          <w:szCs w:val="22"/>
        </w:rPr>
      </w:pPr>
      <w:r>
        <w:rPr>
          <w:rFonts w:cs="Arial"/>
          <w:noProof/>
          <w:sz w:val="22"/>
          <w:szCs w:val="22"/>
          <w:lang w:val="it-IT" w:eastAsia="it-IT"/>
        </w:rPr>
        <w:drawing>
          <wp:inline distT="0" distB="0" distL="0" distR="0" wp14:anchorId="0FD11F60" wp14:editId="64AD548E">
            <wp:extent cx="5212962" cy="1857600"/>
            <wp:effectExtent l="0" t="0" r="698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962" cy="1857600"/>
                    </a:xfrm>
                    <a:prstGeom prst="rect">
                      <a:avLst/>
                    </a:prstGeom>
                    <a:noFill/>
                  </pic:spPr>
                </pic:pic>
              </a:graphicData>
            </a:graphic>
          </wp:inline>
        </w:drawing>
      </w:r>
    </w:p>
    <w:p w:rsidR="007B1F81" w:rsidRPr="00BC58A3" w:rsidRDefault="007B1F81" w:rsidP="007B1F81">
      <w:pPr>
        <w:pStyle w:val="CETCaption"/>
      </w:pPr>
      <w:r w:rsidRPr="00676CA5">
        <w:t xml:space="preserve">Figure 1: Raman spectra at several heights above the burner. On the left, collected spectra at </w:t>
      </w:r>
      <w:r w:rsidRPr="001D24A2">
        <w:rPr>
          <w:rFonts w:ascii="Symbol" w:hAnsi="Symbol"/>
        </w:rPr>
        <w:t></w:t>
      </w:r>
      <w:r w:rsidRPr="001D24A2">
        <w:rPr>
          <w:vertAlign w:val="subscript"/>
        </w:rPr>
        <w:t>0</w:t>
      </w:r>
      <w:r w:rsidRPr="00676CA5">
        <w:t xml:space="preserve">=532 nm; on the right, collected spectra at </w:t>
      </w:r>
      <w:r w:rsidRPr="001D24A2">
        <w:rPr>
          <w:rFonts w:ascii="Symbol" w:hAnsi="Symbol"/>
        </w:rPr>
        <w:t></w:t>
      </w:r>
      <w:r w:rsidRPr="001D24A2">
        <w:rPr>
          <w:vertAlign w:val="subscript"/>
        </w:rPr>
        <w:t>0</w:t>
      </w:r>
      <w:r w:rsidRPr="00676CA5">
        <w:t>=785 nm. The Raman spectra have been normalized on the G peak after subtracting the photoluminescence background.</w:t>
      </w:r>
      <w:r w:rsidRPr="001D24A2" w:rsidDel="001D24A2">
        <w:rPr>
          <w:highlight w:val="yellow"/>
        </w:rPr>
        <w:t xml:space="preserve"> </w:t>
      </w:r>
    </w:p>
    <w:p w:rsidR="007B1F81" w:rsidRPr="009657A1" w:rsidRDefault="007B1F81" w:rsidP="007B1F81">
      <w:pPr>
        <w:pStyle w:val="CETBodytext"/>
        <w:rPr>
          <w:i/>
          <w:snapToGrid w:val="0"/>
        </w:rPr>
      </w:pPr>
      <w:r w:rsidRPr="00B042DF">
        <w:rPr>
          <w:snapToGrid w:val="0"/>
        </w:rPr>
        <w:t>Activation of the Raman D mode, at ~1350 cm</w:t>
      </w:r>
      <w:r w:rsidRPr="00B042DF">
        <w:rPr>
          <w:snapToGrid w:val="0"/>
          <w:vertAlign w:val="superscript"/>
        </w:rPr>
        <w:t>-1</w:t>
      </w:r>
      <w:r w:rsidRPr="00B042DF">
        <w:rPr>
          <w:snapToGrid w:val="0"/>
        </w:rPr>
        <w:t>, is due to the presence of defects in the sp</w:t>
      </w:r>
      <w:r w:rsidRPr="00B042DF">
        <w:rPr>
          <w:snapToGrid w:val="0"/>
          <w:vertAlign w:val="superscript"/>
        </w:rPr>
        <w:t>2</w:t>
      </w:r>
      <w:r w:rsidRPr="00B042DF">
        <w:rPr>
          <w:snapToGrid w:val="0"/>
        </w:rPr>
        <w:t xml:space="preserve"> aromatic network, prohibited in the perfect hexagonal lattice </w:t>
      </w:r>
      <w:r w:rsidRPr="00B042DF">
        <w:t xml:space="preserve">(Ferrari and </w:t>
      </w:r>
      <w:proofErr w:type="spellStart"/>
      <w:r w:rsidRPr="00B042DF">
        <w:t>Basko</w:t>
      </w:r>
      <w:proofErr w:type="spellEnd"/>
      <w:r>
        <w:t>,</w:t>
      </w:r>
      <w:r w:rsidRPr="00B042DF">
        <w:t xml:space="preserve"> 2013)</w:t>
      </w:r>
      <w:r w:rsidRPr="00B042DF">
        <w:rPr>
          <w:snapToGrid w:val="0"/>
        </w:rPr>
        <w:t>. Conversely, the G band, at ~1600 cm</w:t>
      </w:r>
      <w:r w:rsidRPr="00B042DF">
        <w:rPr>
          <w:snapToGrid w:val="0"/>
          <w:vertAlign w:val="superscript"/>
        </w:rPr>
        <w:t>-1</w:t>
      </w:r>
      <w:r w:rsidRPr="00B042DF">
        <w:rPr>
          <w:snapToGrid w:val="0"/>
        </w:rPr>
        <w:t>, is due to every sp</w:t>
      </w:r>
      <w:r w:rsidRPr="00B042DF">
        <w:rPr>
          <w:snapToGrid w:val="0"/>
          <w:vertAlign w:val="superscript"/>
        </w:rPr>
        <w:t>2</w:t>
      </w:r>
      <w:r w:rsidRPr="00B042DF">
        <w:rPr>
          <w:snapToGrid w:val="0"/>
        </w:rPr>
        <w:t xml:space="preserve"> bond and is mostly insensitive to defects. These bands change in width and position of the maximum as function of the different carbon structures. It is worth noticing that spectra show other Raman features as some weak shoulders of D ad G bands. The major differences in the spectra of the CNPs as a function of HABs consist in changes in the relative intensity of the D and G peaks and in the bands position. With regard to relative intensity, at λ</w:t>
      </w:r>
      <w:r w:rsidRPr="00B042DF">
        <w:rPr>
          <w:snapToGrid w:val="0"/>
          <w:vertAlign w:val="subscript"/>
        </w:rPr>
        <w:t>0</w:t>
      </w:r>
      <w:r w:rsidRPr="00B042DF">
        <w:rPr>
          <w:snapToGrid w:val="0"/>
        </w:rPr>
        <w:t xml:space="preserve">=785nm the D band intensity is greater than G band one. The dependence of the </w:t>
      </w:r>
      <w:r w:rsidRPr="009657A1">
        <w:t xml:space="preserve">I (D)/I (G) </w:t>
      </w:r>
      <w:r w:rsidRPr="00B042DF">
        <w:rPr>
          <w:snapToGrid w:val="0"/>
        </w:rPr>
        <w:t xml:space="preserve">ratio on the photon energy of the excitation beam is caused by a deviation of the D band intensity from the dependence predicted by the Raman scattering. This is because, unlike G, D band is very sensitive to the resonance Raman effect and the transition probability shows a great dependence on laser excitation energy. </w:t>
      </w:r>
      <w:r w:rsidRPr="009657A1">
        <w:t>The relative intensity of the D and G band ratio, i.e., I (D)/I (G) is show</w:t>
      </w:r>
      <w:r>
        <w:t xml:space="preserve">n </w:t>
      </w:r>
      <w:r w:rsidRPr="009657A1">
        <w:t xml:space="preserve">in Figure 2. </w:t>
      </w:r>
    </w:p>
    <w:p w:rsidR="007B1F81" w:rsidRDefault="007B1F81" w:rsidP="007B1F81">
      <w:pPr>
        <w:pStyle w:val="CETBodytext"/>
        <w:rPr>
          <w:snapToGrid w:val="0"/>
        </w:rPr>
      </w:pPr>
    </w:p>
    <w:p w:rsidR="007B1F81" w:rsidRDefault="007B1F81" w:rsidP="007B1F81">
      <w:pPr>
        <w:pStyle w:val="CETBodytext"/>
      </w:pPr>
      <w:r>
        <w:rPr>
          <w:noProof/>
          <w:lang w:val="it-IT" w:eastAsia="it-IT"/>
        </w:rPr>
        <w:drawing>
          <wp:inline distT="0" distB="0" distL="0" distR="0" wp14:anchorId="5B110B50" wp14:editId="37EBD826">
            <wp:extent cx="2362960" cy="1857600"/>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960" cy="1857600"/>
                    </a:xfrm>
                    <a:prstGeom prst="rect">
                      <a:avLst/>
                    </a:prstGeom>
                    <a:noFill/>
                  </pic:spPr>
                </pic:pic>
              </a:graphicData>
            </a:graphic>
          </wp:inline>
        </w:drawing>
      </w:r>
    </w:p>
    <w:p w:rsidR="007B1F81" w:rsidRPr="00B32C47" w:rsidRDefault="007B1F81" w:rsidP="007B1F81">
      <w:pPr>
        <w:pStyle w:val="CETCaption"/>
      </w:pPr>
      <w:r w:rsidRPr="001D24A2">
        <w:t>Figure 2</w:t>
      </w:r>
      <w:r w:rsidRPr="00860838">
        <w:t>: I (D)/I (G) ratio of</w:t>
      </w:r>
      <w:r w:rsidRPr="00B32C47">
        <w:t xml:space="preserve"> soot particles collected at several HABs and carbon-based materials</w:t>
      </w:r>
    </w:p>
    <w:p w:rsidR="007B1F81" w:rsidRPr="00C11B1E" w:rsidRDefault="007B1F81" w:rsidP="007B1F81">
      <w:pPr>
        <w:pStyle w:val="CETBodytext"/>
        <w:rPr>
          <w:snapToGrid w:val="0"/>
        </w:rPr>
      </w:pPr>
      <w:r>
        <w:t xml:space="preserve">To better understand the shown trends, </w:t>
      </w:r>
      <w:r w:rsidRPr="00DC095F">
        <w:rPr>
          <w:lang w:val="en-GB"/>
        </w:rPr>
        <w:t>commercial</w:t>
      </w:r>
      <w:r>
        <w:rPr>
          <w:lang w:val="en-GB"/>
        </w:rPr>
        <w:t xml:space="preserve"> carbon black (CB), </w:t>
      </w:r>
      <w:r w:rsidRPr="00DC095F">
        <w:rPr>
          <w:lang w:val="en-GB"/>
        </w:rPr>
        <w:t>activated carbon</w:t>
      </w:r>
      <w:r>
        <w:rPr>
          <w:lang w:val="en-GB"/>
        </w:rPr>
        <w:t xml:space="preserve"> (AC) and</w:t>
      </w:r>
      <w:r w:rsidRPr="00DC095F">
        <w:rPr>
          <w:lang w:val="en-GB"/>
        </w:rPr>
        <w:t xml:space="preserve"> d</w:t>
      </w:r>
      <w:r>
        <w:rPr>
          <w:lang w:val="en-GB"/>
        </w:rPr>
        <w:t>efective</w:t>
      </w:r>
      <w:r w:rsidRPr="00DC095F">
        <w:rPr>
          <w:lang w:val="en-GB"/>
        </w:rPr>
        <w:t xml:space="preserve"> graphite</w:t>
      </w:r>
      <w:r>
        <w:rPr>
          <w:lang w:val="en-GB"/>
        </w:rPr>
        <w:t xml:space="preserve"> (DG) have been also included in Figure 2. AC and CB contain sp</w:t>
      </w:r>
      <w:r w:rsidRPr="000D7BA7">
        <w:rPr>
          <w:vertAlign w:val="superscript"/>
          <w:lang w:val="en-GB"/>
        </w:rPr>
        <w:t>2</w:t>
      </w:r>
      <w:r>
        <w:rPr>
          <w:lang w:val="en-GB"/>
        </w:rPr>
        <w:t xml:space="preserve"> domains </w:t>
      </w:r>
      <w:r w:rsidRPr="006B28E7">
        <w:rPr>
          <w:lang w:val="en-GB"/>
        </w:rPr>
        <w:t>of different size</w:t>
      </w:r>
      <w:r>
        <w:rPr>
          <w:lang w:val="en-GB"/>
        </w:rPr>
        <w:t xml:space="preserve"> </w:t>
      </w:r>
      <w:r w:rsidRPr="00D441EC">
        <w:t>in the order of few nm</w:t>
      </w:r>
      <w:r>
        <w:t>.</w:t>
      </w:r>
      <w:r>
        <w:rPr>
          <w:lang w:val="en-GB"/>
        </w:rPr>
        <w:t xml:space="preserve"> </w:t>
      </w:r>
      <w:r>
        <w:t xml:space="preserve">Defective graphite consists in </w:t>
      </w:r>
      <w:r w:rsidRPr="000D7BA7">
        <w:t>carbon atom vacancies in an otherwise</w:t>
      </w:r>
      <w:r>
        <w:t xml:space="preserve"> </w:t>
      </w:r>
      <w:r w:rsidRPr="000D7BA7">
        <w:t>perfect graphite lattice</w:t>
      </w:r>
      <w:r>
        <w:t xml:space="preserve"> leading to a small amount of disorder made of sp</w:t>
      </w:r>
      <w:r w:rsidRPr="000D7BA7">
        <w:rPr>
          <w:vertAlign w:val="superscript"/>
        </w:rPr>
        <w:t>3</w:t>
      </w:r>
      <w:r>
        <w:rPr>
          <w:vertAlign w:val="superscript"/>
        </w:rPr>
        <w:t xml:space="preserve"> </w:t>
      </w:r>
      <w:r>
        <w:t>c</w:t>
      </w:r>
      <w:r w:rsidRPr="000D7BA7">
        <w:t>arbon atoms,</w:t>
      </w:r>
      <w:r>
        <w:t xml:space="preserve"> breaking </w:t>
      </w:r>
      <w:r w:rsidRPr="00EA7385">
        <w:t>the contiguity of the aro</w:t>
      </w:r>
      <w:r w:rsidRPr="000D7BA7">
        <w:t>matic structure</w:t>
      </w:r>
      <w:r w:rsidRPr="00EA7385">
        <w:t>.</w:t>
      </w:r>
      <w:r>
        <w:t xml:space="preserve"> </w:t>
      </w:r>
      <w:r>
        <w:rPr>
          <w:snapToGrid w:val="0"/>
        </w:rPr>
        <w:t xml:space="preserve">As shown in Figure 2, the </w:t>
      </w:r>
      <w:r w:rsidRPr="004D7861">
        <w:rPr>
          <w:snapToGrid w:val="0"/>
        </w:rPr>
        <w:t>I</w:t>
      </w:r>
      <w:r>
        <w:rPr>
          <w:snapToGrid w:val="0"/>
        </w:rPr>
        <w:t xml:space="preserve"> </w:t>
      </w:r>
      <w:r w:rsidRPr="004D7861">
        <w:rPr>
          <w:snapToGrid w:val="0"/>
        </w:rPr>
        <w:t>(D)/I (G)</w:t>
      </w:r>
      <w:r>
        <w:rPr>
          <w:snapToGrid w:val="0"/>
        </w:rPr>
        <w:t xml:space="preserve"> ratio of the flame-formed CNPs is slightly increasing with HAB, approaching that of AC and CB, and is strongly different from DG. </w:t>
      </w:r>
      <w:r w:rsidRPr="00C11B1E">
        <w:t xml:space="preserve">It is well known that </w:t>
      </w:r>
      <w:r w:rsidRPr="001D24A2">
        <w:rPr>
          <w:i/>
        </w:rPr>
        <w:t>I</w:t>
      </w:r>
      <w:r>
        <w:t>(D)/</w:t>
      </w:r>
      <w:r w:rsidRPr="001D24A2">
        <w:rPr>
          <w:i/>
        </w:rPr>
        <w:t>I</w:t>
      </w:r>
      <w:r>
        <w:t>(G)</w:t>
      </w:r>
      <w:r w:rsidRPr="00C11B1E">
        <w:t xml:space="preserve"> ratio is related to the average size of the aromatic units or clusters forming the carbon materials, </w:t>
      </w:r>
      <w:r w:rsidRPr="001D24A2">
        <w:rPr>
          <w:i/>
        </w:rPr>
        <w:t>L</w:t>
      </w:r>
      <w:r w:rsidRPr="00C11B1E">
        <w:rPr>
          <w:vertAlign w:val="subscript"/>
        </w:rPr>
        <w:t>a</w:t>
      </w:r>
      <w:r w:rsidRPr="00C11B1E">
        <w:t xml:space="preserve"> (Ferrari</w:t>
      </w:r>
      <w:r>
        <w:t xml:space="preserve"> and </w:t>
      </w:r>
      <w:r w:rsidRPr="00C11B1E">
        <w:t>Robertson</w:t>
      </w:r>
      <w:r>
        <w:t xml:space="preserve">, </w:t>
      </w:r>
      <w:r w:rsidRPr="00C11B1E">
        <w:t>2001).</w:t>
      </w:r>
      <w:r>
        <w:t xml:space="preserve"> </w:t>
      </w:r>
      <w:r w:rsidRPr="00C11B1E">
        <w:t xml:space="preserve">For graphite and </w:t>
      </w:r>
      <w:proofErr w:type="spellStart"/>
      <w:r w:rsidRPr="00C11B1E">
        <w:t>nano</w:t>
      </w:r>
      <w:proofErr w:type="spellEnd"/>
      <w:r w:rsidRPr="00C11B1E">
        <w:t xml:space="preserve">-graphite the intensity ratio </w:t>
      </w:r>
      <w:r w:rsidRPr="004D7861">
        <w:t>I</w:t>
      </w:r>
      <w:r>
        <w:t xml:space="preserve"> </w:t>
      </w:r>
      <w:r w:rsidRPr="004D7861">
        <w:t>(D</w:t>
      </w:r>
      <w:r w:rsidRPr="00C11B1E">
        <w:t>)/</w:t>
      </w:r>
      <w:r w:rsidRPr="00610BF3">
        <w:rPr>
          <w:i/>
        </w:rPr>
        <w:t>I</w:t>
      </w:r>
      <w:r w:rsidRPr="00C11B1E">
        <w:t xml:space="preserve"> (G) has been shown to be inversely proportional to </w:t>
      </w:r>
      <w:r w:rsidRPr="00610BF3">
        <w:rPr>
          <w:i/>
        </w:rPr>
        <w:t>L</w:t>
      </w:r>
      <w:r w:rsidRPr="00C11B1E">
        <w:rPr>
          <w:vertAlign w:val="subscript"/>
        </w:rPr>
        <w:t>a</w:t>
      </w:r>
      <w:r w:rsidRPr="00C11B1E">
        <w:t xml:space="preserve"> (</w:t>
      </w:r>
      <w:proofErr w:type="spellStart"/>
      <w:r w:rsidRPr="00C11B1E">
        <w:rPr>
          <w:rFonts w:cs="Arial"/>
          <w:snapToGrid w:val="0"/>
        </w:rPr>
        <w:t>Tuinstra</w:t>
      </w:r>
      <w:proofErr w:type="spellEnd"/>
      <w:r w:rsidRPr="00C11B1E">
        <w:rPr>
          <w:rFonts w:cs="Arial"/>
          <w:snapToGrid w:val="0"/>
        </w:rPr>
        <w:t xml:space="preserve"> and Koenig</w:t>
      </w:r>
      <w:r w:rsidRPr="00C11B1E">
        <w:t xml:space="preserve">, 1970). Such functional dependence has been successively verified up to a minimum </w:t>
      </w:r>
      <w:r w:rsidRPr="00610BF3">
        <w:rPr>
          <w:i/>
        </w:rPr>
        <w:t>L</w:t>
      </w:r>
      <w:r w:rsidRPr="00C11B1E">
        <w:rPr>
          <w:vertAlign w:val="subscript"/>
        </w:rPr>
        <w:t>a</w:t>
      </w:r>
      <w:r w:rsidRPr="00C11B1E">
        <w:t xml:space="preserve">, of about 2-3 nm, where </w:t>
      </w:r>
      <w:r>
        <w:t>I</w:t>
      </w:r>
      <w:r w:rsidRPr="00C11B1E">
        <w:t xml:space="preserve"> (D)/</w:t>
      </w:r>
      <w:r w:rsidRPr="00610BF3">
        <w:rPr>
          <w:i/>
        </w:rPr>
        <w:t>I</w:t>
      </w:r>
      <w:r w:rsidRPr="00C11B1E">
        <w:t xml:space="preserve"> (G) reaches a maximum value (Ferrari</w:t>
      </w:r>
      <w:r>
        <w:t xml:space="preserve"> and</w:t>
      </w:r>
      <w:r w:rsidRPr="00C11B1E">
        <w:t xml:space="preserve"> Robertson, 2001). </w:t>
      </w:r>
      <w:r w:rsidRPr="00C11B1E">
        <w:lastRenderedPageBreak/>
        <w:t xml:space="preserve">When </w:t>
      </w:r>
      <w:r w:rsidRPr="00610BF3">
        <w:rPr>
          <w:i/>
        </w:rPr>
        <w:t>L</w:t>
      </w:r>
      <w:r w:rsidRPr="00C11B1E">
        <w:rPr>
          <w:vertAlign w:val="subscript"/>
        </w:rPr>
        <w:t>a</w:t>
      </w:r>
      <w:r>
        <w:t xml:space="preserve"> further decreases, </w:t>
      </w:r>
      <w:r w:rsidRPr="004D7861">
        <w:t>I</w:t>
      </w:r>
      <w:r w:rsidRPr="00C11B1E">
        <w:t xml:space="preserve"> (D)/</w:t>
      </w:r>
      <w:r w:rsidRPr="00610BF3">
        <w:rPr>
          <w:i/>
        </w:rPr>
        <w:t>I</w:t>
      </w:r>
      <w:r w:rsidRPr="00C11B1E">
        <w:t xml:space="preserve"> (G) decreases to zero. For flame-</w:t>
      </w:r>
      <w:r w:rsidRPr="00C11B1E">
        <w:rPr>
          <w:snapToGrid w:val="0"/>
        </w:rPr>
        <w:t>generated soot particles</w:t>
      </w:r>
      <w:r>
        <w:rPr>
          <w:snapToGrid w:val="0"/>
        </w:rPr>
        <w:t>,</w:t>
      </w:r>
      <w:r w:rsidRPr="00C11B1E">
        <w:rPr>
          <w:snapToGrid w:val="0"/>
        </w:rPr>
        <w:t xml:space="preserve"> the low-</w:t>
      </w:r>
      <w:r w:rsidRPr="00610BF3">
        <w:rPr>
          <w:i/>
          <w:snapToGrid w:val="0"/>
        </w:rPr>
        <w:t>L</w:t>
      </w:r>
      <w:r w:rsidRPr="00C11B1E">
        <w:rPr>
          <w:snapToGrid w:val="0"/>
          <w:vertAlign w:val="subscript"/>
        </w:rPr>
        <w:t>a</w:t>
      </w:r>
      <w:r w:rsidRPr="00C11B1E">
        <w:rPr>
          <w:snapToGrid w:val="0"/>
        </w:rPr>
        <w:t xml:space="preserve"> regime, i.e., </w:t>
      </w:r>
      <w:r w:rsidRPr="00610BF3">
        <w:rPr>
          <w:i/>
          <w:snapToGrid w:val="0"/>
        </w:rPr>
        <w:t>L</w:t>
      </w:r>
      <w:r w:rsidRPr="00C11B1E">
        <w:rPr>
          <w:snapToGrid w:val="0"/>
          <w:vertAlign w:val="subscript"/>
        </w:rPr>
        <w:t>a</w:t>
      </w:r>
      <w:r w:rsidRPr="00C11B1E">
        <w:rPr>
          <w:snapToGrid w:val="0"/>
        </w:rPr>
        <w:t xml:space="preserve"> &lt; 2-3 nm, usually applies, for which the following empirical expression has been found to correlate L</w:t>
      </w:r>
      <w:r w:rsidRPr="00C11B1E">
        <w:rPr>
          <w:snapToGrid w:val="0"/>
          <w:vertAlign w:val="subscript"/>
        </w:rPr>
        <w:t>a</w:t>
      </w:r>
      <w:r w:rsidRPr="00C11B1E">
        <w:rPr>
          <w:snapToGrid w:val="0"/>
        </w:rPr>
        <w:t xml:space="preserve"> with the relative intensity of the Raman bands</w:t>
      </w:r>
      <w:r>
        <w:rPr>
          <w:snapToGrid w:val="0"/>
        </w:rPr>
        <w:t xml:space="preserve"> </w:t>
      </w:r>
      <w:r>
        <w:t xml:space="preserve">(Ferrari and </w:t>
      </w:r>
      <w:proofErr w:type="spellStart"/>
      <w:r>
        <w:t>Basko</w:t>
      </w:r>
      <w:proofErr w:type="spellEnd"/>
      <w:r>
        <w:t>, 2013)</w:t>
      </w:r>
      <w:r w:rsidRPr="00C11B1E">
        <w:rPr>
          <w:snapToGrid w:val="0"/>
        </w:rPr>
        <w:t>:</w:t>
      </w:r>
    </w:p>
    <w:tbl>
      <w:tblPr>
        <w:tblW w:w="5000" w:type="pct"/>
        <w:tblLook w:val="04A0" w:firstRow="1" w:lastRow="0" w:firstColumn="1" w:lastColumn="0" w:noHBand="0" w:noVBand="1"/>
      </w:tblPr>
      <w:tblGrid>
        <w:gridCol w:w="8188"/>
        <w:gridCol w:w="815"/>
      </w:tblGrid>
      <w:tr w:rsidR="007B1F81" w:rsidRPr="00B57B36" w:rsidTr="00986237">
        <w:tc>
          <w:tcPr>
            <w:tcW w:w="8188" w:type="dxa"/>
            <w:shd w:val="clear" w:color="auto" w:fill="auto"/>
            <w:vAlign w:val="center"/>
          </w:tcPr>
          <w:p w:rsidR="007B1F81" w:rsidRPr="00784AED" w:rsidRDefault="007B1F81" w:rsidP="00986237">
            <w:pPr>
              <w:pStyle w:val="CETEquation"/>
              <w:rPr>
                <w:rFonts w:cs="Arial"/>
              </w:rPr>
            </w:pPr>
            <m:oMathPara>
              <m:oMathParaPr>
                <m:jc m:val="left"/>
              </m:oMathParaPr>
              <m:oMath>
                <m:sSubSup>
                  <m:sSubSupPr>
                    <m:ctrlPr>
                      <w:rPr>
                        <w:rFonts w:ascii="Cambria Math" w:hAnsi="Cambria Math" w:cs="Arial"/>
                        <w:noProof/>
                        <w:lang w:eastAsia="it-IT"/>
                      </w:rPr>
                    </m:ctrlPr>
                  </m:sSubSupPr>
                  <m:e>
                    <m:r>
                      <m:rPr>
                        <m:sty m:val="p"/>
                      </m:rPr>
                      <w:rPr>
                        <w:rFonts w:ascii="Cambria Math" w:hAnsi="Cambria Math" w:cs="Arial"/>
                        <w:noProof/>
                        <w:lang w:val="en-US" w:eastAsia="it-IT"/>
                      </w:rPr>
                      <m:t>L</m:t>
                    </m:r>
                  </m:e>
                  <m:sub>
                    <m:r>
                      <m:rPr>
                        <m:sty m:val="p"/>
                      </m:rPr>
                      <w:rPr>
                        <w:rFonts w:ascii="Cambria Math" w:hAnsi="Cambria Math" w:cs="Arial"/>
                        <w:noProof/>
                        <w:lang w:val="en-US" w:eastAsia="it-IT"/>
                      </w:rPr>
                      <m:t>a</m:t>
                    </m:r>
                  </m:sub>
                  <m:sup>
                    <m:r>
                      <m:rPr>
                        <m:sty m:val="p"/>
                      </m:rPr>
                      <w:rPr>
                        <w:rFonts w:ascii="Cambria Math" w:hAnsi="Cambria Math" w:cs="Arial"/>
                        <w:noProof/>
                        <w:lang w:val="en-US" w:eastAsia="it-IT"/>
                      </w:rPr>
                      <m:t>2</m:t>
                    </m:r>
                  </m:sup>
                </m:sSubSup>
                <m:r>
                  <m:rPr>
                    <m:sty m:val="p"/>
                  </m:rPr>
                  <w:rPr>
                    <w:rFonts w:ascii="Cambria Math" w:hAnsi="Cambria Math" w:cs="Arial"/>
                    <w:noProof/>
                    <w:lang w:val="en-US" w:eastAsia="it-IT"/>
                  </w:rPr>
                  <m:t>(</m:t>
                </m:r>
                <m:sSup>
                  <m:sSupPr>
                    <m:ctrlPr>
                      <w:rPr>
                        <w:rFonts w:ascii="Cambria Math" w:hAnsi="Cambria Math" w:cs="Arial"/>
                        <w:noProof/>
                        <w:lang w:eastAsia="it-IT"/>
                      </w:rPr>
                    </m:ctrlPr>
                  </m:sSupPr>
                  <m:e>
                    <m:r>
                      <m:rPr>
                        <m:sty m:val="p"/>
                      </m:rPr>
                      <w:rPr>
                        <w:rFonts w:ascii="Cambria Math" w:hAnsi="Cambria Math" w:cs="Arial"/>
                        <w:noProof/>
                        <w:lang w:val="en-US" w:eastAsia="it-IT"/>
                      </w:rPr>
                      <m:t>nm</m:t>
                    </m:r>
                  </m:e>
                  <m:sup>
                    <m:r>
                      <w:rPr>
                        <w:rFonts w:ascii="Cambria Math" w:hAnsi="Cambria Math" w:cs="Arial"/>
                        <w:noProof/>
                        <w:lang w:val="en-US" w:eastAsia="it-IT"/>
                      </w:rPr>
                      <m:t>2</m:t>
                    </m:r>
                  </m:sup>
                </m:sSup>
                <m:r>
                  <m:rPr>
                    <m:sty m:val="p"/>
                  </m:rPr>
                  <w:rPr>
                    <w:rFonts w:ascii="Cambria Math" w:hAnsi="Cambria Math" w:cs="Arial"/>
                    <w:noProof/>
                    <w:lang w:val="en-US" w:eastAsia="it-IT"/>
                  </w:rPr>
                  <m:t>)=5.4∙</m:t>
                </m:r>
                <m:sSup>
                  <m:sSupPr>
                    <m:ctrlPr>
                      <w:rPr>
                        <w:rFonts w:ascii="Cambria Math" w:hAnsi="Cambria Math" w:cs="Arial"/>
                        <w:noProof/>
                        <w:lang w:eastAsia="it-IT"/>
                      </w:rPr>
                    </m:ctrlPr>
                  </m:sSupPr>
                  <m:e>
                    <m:r>
                      <m:rPr>
                        <m:sty m:val="p"/>
                      </m:rPr>
                      <w:rPr>
                        <w:rFonts w:ascii="Cambria Math" w:hAnsi="Cambria Math" w:cs="Arial"/>
                        <w:noProof/>
                        <w:lang w:val="en-US" w:eastAsia="it-IT"/>
                      </w:rPr>
                      <m:t>10</m:t>
                    </m:r>
                  </m:e>
                  <m:sup>
                    <m:r>
                      <m:rPr>
                        <m:sty m:val="p"/>
                      </m:rPr>
                      <w:rPr>
                        <w:rFonts w:ascii="Cambria Math" w:hAnsi="Cambria Math" w:cs="Arial"/>
                        <w:noProof/>
                        <w:lang w:val="en-US" w:eastAsia="it-IT"/>
                      </w:rPr>
                      <m:t>-2</m:t>
                    </m:r>
                  </m:sup>
                </m:sSup>
                <m:r>
                  <m:rPr>
                    <m:sty m:val="p"/>
                  </m:rPr>
                  <w:rPr>
                    <w:rFonts w:ascii="Cambria Math" w:hAnsi="Cambria Math" w:cs="Arial"/>
                    <w:noProof/>
                    <w:lang w:val="en-US" w:eastAsia="it-IT"/>
                  </w:rPr>
                  <m:t>∙</m:t>
                </m:r>
                <m:sSubSup>
                  <m:sSubSupPr>
                    <m:ctrlPr>
                      <w:rPr>
                        <w:rFonts w:ascii="Cambria Math" w:hAnsi="Cambria Math" w:cs="Arial"/>
                        <w:noProof/>
                        <w:lang w:eastAsia="it-IT"/>
                      </w:rPr>
                    </m:ctrlPr>
                  </m:sSubSupPr>
                  <m:e>
                    <m:r>
                      <m:rPr>
                        <m:sty m:val="p"/>
                      </m:rPr>
                      <w:rPr>
                        <w:rFonts w:ascii="Cambria Math" w:hAnsi="Cambria Math" w:cs="Arial"/>
                        <w:noProof/>
                        <w:lang w:val="en-US" w:eastAsia="it-IT"/>
                      </w:rPr>
                      <m:t>E</m:t>
                    </m:r>
                  </m:e>
                  <m:sub>
                    <m:r>
                      <m:rPr>
                        <m:sty m:val="p"/>
                      </m:rPr>
                      <w:rPr>
                        <w:rFonts w:ascii="Cambria Math" w:hAnsi="Cambria Math" w:cs="Arial"/>
                        <w:noProof/>
                        <w:lang w:val="en-US" w:eastAsia="it-IT"/>
                      </w:rPr>
                      <m:t>L</m:t>
                    </m:r>
                  </m:sub>
                  <m:sup>
                    <m:r>
                      <m:rPr>
                        <m:sty m:val="p"/>
                      </m:rPr>
                      <w:rPr>
                        <w:rFonts w:ascii="Cambria Math" w:hAnsi="Cambria Math" w:cs="Arial"/>
                        <w:noProof/>
                        <w:lang w:val="en-US" w:eastAsia="it-IT"/>
                      </w:rPr>
                      <m:t>4</m:t>
                    </m:r>
                  </m:sup>
                </m:sSubSup>
                <m:r>
                  <w:rPr>
                    <w:rFonts w:ascii="Cambria Math" w:hAnsi="Cambria Math" w:cs="Arial"/>
                    <w:noProof/>
                    <w:lang w:val="en-US" w:eastAsia="it-IT"/>
                  </w:rPr>
                  <m:t>(</m:t>
                </m:r>
                <m:sSup>
                  <m:sSupPr>
                    <m:ctrlPr>
                      <w:rPr>
                        <w:rFonts w:ascii="Cambria Math" w:hAnsi="Cambria Math" w:cs="Arial"/>
                        <w:i/>
                        <w:noProof/>
                        <w:lang w:eastAsia="it-IT"/>
                      </w:rPr>
                    </m:ctrlPr>
                  </m:sSupPr>
                  <m:e>
                    <m:r>
                      <m:rPr>
                        <m:sty m:val="p"/>
                      </m:rPr>
                      <w:rPr>
                        <w:rFonts w:ascii="Cambria Math" w:hAnsi="Cambria Math" w:cs="Arial"/>
                        <w:noProof/>
                        <w:lang w:val="en-US" w:eastAsia="it-IT"/>
                      </w:rPr>
                      <m:t>eV</m:t>
                    </m:r>
                  </m:e>
                  <m:sup>
                    <m:r>
                      <w:rPr>
                        <w:rFonts w:ascii="Cambria Math" w:hAnsi="Cambria Math" w:cs="Arial"/>
                        <w:noProof/>
                        <w:lang w:val="en-US" w:eastAsia="it-IT"/>
                      </w:rPr>
                      <m:t>4</m:t>
                    </m:r>
                  </m:sup>
                </m:sSup>
                <m:r>
                  <w:rPr>
                    <w:rFonts w:ascii="Cambria Math" w:hAnsi="Cambria Math" w:cs="Arial"/>
                    <w:noProof/>
                    <w:lang w:val="en-US" w:eastAsia="it-IT"/>
                  </w:rPr>
                  <m:t>)</m:t>
                </m:r>
                <m:f>
                  <m:fPr>
                    <m:ctrlPr>
                      <w:rPr>
                        <w:rFonts w:ascii="Cambria Math" w:hAnsi="Cambria Math" w:cs="Arial"/>
                        <w:noProof/>
                        <w:lang w:eastAsia="it-IT"/>
                      </w:rPr>
                    </m:ctrlPr>
                  </m:fPr>
                  <m:num>
                    <m:r>
                      <m:rPr>
                        <m:sty m:val="p"/>
                      </m:rPr>
                      <w:rPr>
                        <w:rFonts w:ascii="Cambria Math" w:hAnsi="Cambria Math" w:cs="Arial"/>
                        <w:noProof/>
                        <w:lang w:val="en-US" w:eastAsia="it-IT"/>
                      </w:rPr>
                      <m:t>I(D)</m:t>
                    </m:r>
                  </m:num>
                  <m:den>
                    <m:r>
                      <m:rPr>
                        <m:sty m:val="p"/>
                      </m:rPr>
                      <w:rPr>
                        <w:rFonts w:ascii="Cambria Math" w:hAnsi="Cambria Math" w:cs="Arial"/>
                        <w:noProof/>
                        <w:lang w:val="en-US" w:eastAsia="it-IT"/>
                      </w:rPr>
                      <m:t>I(G)</m:t>
                    </m:r>
                  </m:den>
                </m:f>
              </m:oMath>
            </m:oMathPara>
          </w:p>
        </w:tc>
        <w:tc>
          <w:tcPr>
            <w:tcW w:w="815" w:type="dxa"/>
            <w:shd w:val="clear" w:color="auto" w:fill="auto"/>
            <w:vAlign w:val="center"/>
          </w:tcPr>
          <w:p w:rsidR="007B1F81" w:rsidRPr="00B57B36" w:rsidRDefault="007B1F81" w:rsidP="00986237">
            <w:pPr>
              <w:pStyle w:val="CETEquation"/>
              <w:jc w:val="right"/>
            </w:pPr>
            <w:r>
              <w:t>(1)</w:t>
            </w:r>
          </w:p>
        </w:tc>
      </w:tr>
    </w:tbl>
    <w:p w:rsidR="007B1F81" w:rsidRDefault="007B1F81" w:rsidP="007B1F81">
      <w:pPr>
        <w:pStyle w:val="CETBodytext"/>
        <w:rPr>
          <w:snapToGrid w:val="0"/>
        </w:rPr>
      </w:pPr>
      <w:r>
        <w:rPr>
          <w:snapToGrid w:val="0"/>
        </w:rPr>
        <w:t>w</w:t>
      </w:r>
      <w:r w:rsidRPr="00784AED">
        <w:rPr>
          <w:snapToGrid w:val="0"/>
        </w:rPr>
        <w:t>here E</w:t>
      </w:r>
      <w:r w:rsidRPr="00784AED">
        <w:rPr>
          <w:snapToGrid w:val="0"/>
          <w:vertAlign w:val="subscript"/>
        </w:rPr>
        <w:t>L</w:t>
      </w:r>
      <w:r w:rsidRPr="00784AED">
        <w:rPr>
          <w:snapToGrid w:val="0"/>
        </w:rPr>
        <w:t xml:space="preserve"> is the energy of the incident photon. </w:t>
      </w:r>
    </w:p>
    <w:p w:rsidR="007B1F81" w:rsidRDefault="007B1F81" w:rsidP="007B1F81">
      <w:pPr>
        <w:pStyle w:val="CETBodytext"/>
        <w:rPr>
          <w:snapToGrid w:val="0"/>
        </w:rPr>
      </w:pPr>
      <w:r>
        <w:rPr>
          <w:snapToGrid w:val="0"/>
        </w:rPr>
        <w:t xml:space="preserve">According to this equation, the ratio of the two curves in Figure 2 is expected to be equal to the fourth power of the respective photon energy ratio. This is approximately verified by DG whereas </w:t>
      </w:r>
      <w:r w:rsidRPr="007105F7">
        <w:rPr>
          <w:snapToGrid w:val="0"/>
        </w:rPr>
        <w:t>CNPs, CB and AC</w:t>
      </w:r>
      <w:r>
        <w:rPr>
          <w:snapToGrid w:val="0"/>
        </w:rPr>
        <w:t xml:space="preserve"> deviate from this trend. Such discrepancy can be indicative of a lowering of the double resonance mechanism in </w:t>
      </w:r>
      <w:r w:rsidRPr="007105F7">
        <w:rPr>
          <w:snapToGrid w:val="0"/>
        </w:rPr>
        <w:t>CNPs, CB and AC</w:t>
      </w:r>
      <w:r>
        <w:rPr>
          <w:snapToGrid w:val="0"/>
        </w:rPr>
        <w:t>. Interestingly, such relaxation effect seems to be more evident the higher HAB, and deserve further investigation. It is relevant to note that using excitation wavelength in the visible, about 532 nm, the dependency of I(D)/I(G) on L</w:t>
      </w:r>
      <w:r w:rsidRPr="00461551">
        <w:rPr>
          <w:snapToGrid w:val="0"/>
          <w:vertAlign w:val="subscript"/>
        </w:rPr>
        <w:t>a</w:t>
      </w:r>
      <w:r>
        <w:rPr>
          <w:snapToGrid w:val="0"/>
        </w:rPr>
        <w:t xml:space="preserve"> (Eq. 1) has been validated for a large variety of disordered carbon by many investigations </w:t>
      </w:r>
      <w:r>
        <w:t xml:space="preserve">(Ferrari and </w:t>
      </w:r>
      <w:proofErr w:type="spellStart"/>
      <w:r>
        <w:t>Basko</w:t>
      </w:r>
      <w:proofErr w:type="spellEnd"/>
      <w:r>
        <w:t xml:space="preserve">, 2013) </w:t>
      </w:r>
      <w:r>
        <w:rPr>
          <w:snapToGrid w:val="0"/>
        </w:rPr>
        <w:t xml:space="preserve">and the evaluation of </w:t>
      </w:r>
      <w:r w:rsidRPr="00784AED">
        <w:rPr>
          <w:snapToGrid w:val="0"/>
        </w:rPr>
        <w:t>L</w:t>
      </w:r>
      <w:r w:rsidRPr="00784AED">
        <w:rPr>
          <w:snapToGrid w:val="0"/>
          <w:vertAlign w:val="subscript"/>
        </w:rPr>
        <w:t>a</w:t>
      </w:r>
      <w:r>
        <w:rPr>
          <w:snapToGrid w:val="0"/>
        </w:rPr>
        <w:t xml:space="preserve"> can be considered reliable. </w:t>
      </w:r>
      <w:r w:rsidRPr="00784AED">
        <w:rPr>
          <w:snapToGrid w:val="0"/>
        </w:rPr>
        <w:t>The results obtained for the different soot particles</w:t>
      </w:r>
      <w:r>
        <w:rPr>
          <w:snapToGrid w:val="0"/>
        </w:rPr>
        <w:t>,</w:t>
      </w:r>
      <w:r w:rsidRPr="00784AED">
        <w:rPr>
          <w:snapToGrid w:val="0"/>
        </w:rPr>
        <w:t xml:space="preserve"> reported in Figure</w:t>
      </w:r>
      <w:r>
        <w:rPr>
          <w:snapToGrid w:val="0"/>
        </w:rPr>
        <w:t xml:space="preserve"> 3</w:t>
      </w:r>
      <w:r w:rsidRPr="00784AED">
        <w:rPr>
          <w:snapToGrid w:val="0"/>
        </w:rPr>
        <w:t xml:space="preserve">, </w:t>
      </w:r>
      <w:r>
        <w:rPr>
          <w:snapToGrid w:val="0"/>
        </w:rPr>
        <w:t>show</w:t>
      </w:r>
      <w:r w:rsidRPr="00784AED">
        <w:rPr>
          <w:snapToGrid w:val="0"/>
        </w:rPr>
        <w:t xml:space="preserve"> a</w:t>
      </w:r>
      <w:r>
        <w:rPr>
          <w:snapToGrid w:val="0"/>
        </w:rPr>
        <w:t xml:space="preserve"> slight</w:t>
      </w:r>
      <w:r w:rsidRPr="00784AED">
        <w:rPr>
          <w:snapToGrid w:val="0"/>
        </w:rPr>
        <w:t xml:space="preserve"> increase of L</w:t>
      </w:r>
      <w:r w:rsidRPr="00784AED">
        <w:rPr>
          <w:snapToGrid w:val="0"/>
          <w:vertAlign w:val="subscript"/>
        </w:rPr>
        <w:t>a</w:t>
      </w:r>
      <w:r>
        <w:rPr>
          <w:snapToGrid w:val="0"/>
        </w:rPr>
        <w:t xml:space="preserve"> as function of HAB. This trend is an indication of larger </w:t>
      </w:r>
      <w:r w:rsidRPr="007105F7">
        <w:rPr>
          <w:snapToGrid w:val="0"/>
        </w:rPr>
        <w:t xml:space="preserve">aromatic </w:t>
      </w:r>
      <w:r>
        <w:rPr>
          <w:snapToGrid w:val="0"/>
        </w:rPr>
        <w:t>islands</w:t>
      </w:r>
      <w:r w:rsidRPr="007105F7">
        <w:rPr>
          <w:snapToGrid w:val="0"/>
        </w:rPr>
        <w:t xml:space="preserve"> inside particles</w:t>
      </w:r>
      <w:r>
        <w:rPr>
          <w:snapToGrid w:val="0"/>
        </w:rPr>
        <w:t xml:space="preserve"> at increasing residence time. </w:t>
      </w:r>
    </w:p>
    <w:p w:rsidR="007B1F81" w:rsidRPr="00C11B1E" w:rsidRDefault="007B1F81" w:rsidP="007B1F81">
      <w:pPr>
        <w:pStyle w:val="CETBodytext"/>
        <w:rPr>
          <w:snapToGrid w:val="0"/>
        </w:rPr>
      </w:pPr>
    </w:p>
    <w:p w:rsidR="007B1F81" w:rsidRDefault="007B1F81" w:rsidP="007B1F81">
      <w:pPr>
        <w:widowControl w:val="0"/>
        <w:jc w:val="left"/>
        <w:rPr>
          <w:b/>
          <w:noProof/>
          <w:lang w:val="it-IT" w:eastAsia="it-IT"/>
        </w:rPr>
      </w:pPr>
      <w:r w:rsidRPr="00B32C47">
        <w:rPr>
          <w:b/>
          <w:noProof/>
          <w:lang w:val="it-IT" w:eastAsia="it-IT"/>
        </w:rPr>
        <w:drawing>
          <wp:inline distT="0" distB="0" distL="0" distR="0" wp14:anchorId="2DA466B1" wp14:editId="1704600E">
            <wp:extent cx="2363189" cy="1857041"/>
            <wp:effectExtent l="0" t="0" r="0" b="0"/>
            <wp:docPr id="3074" name="Picture 2" descr="C:\Users\John 5\Desktop\francesca\La@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John 5\Desktop\francesca\La@53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44" t="8669" r="12547" b="963"/>
                    <a:stretch/>
                  </pic:blipFill>
                  <pic:spPr bwMode="auto">
                    <a:xfrm>
                      <a:off x="0" y="0"/>
                      <a:ext cx="2361401" cy="1855636"/>
                    </a:xfrm>
                    <a:prstGeom prst="rect">
                      <a:avLst/>
                    </a:prstGeom>
                    <a:noFill/>
                    <a:extLst/>
                  </pic:spPr>
                </pic:pic>
              </a:graphicData>
            </a:graphic>
          </wp:inline>
        </w:drawing>
      </w:r>
    </w:p>
    <w:p w:rsidR="007B1F81" w:rsidRPr="00E43D86" w:rsidRDefault="007B1F81" w:rsidP="00E43D86">
      <w:pPr>
        <w:pStyle w:val="CETCaption"/>
      </w:pPr>
      <w:r w:rsidRPr="00E43D86">
        <w:rPr>
          <w:rStyle w:val="CETCaptionCarattere"/>
          <w:i/>
        </w:rPr>
        <w:t>Figure 3: La from the Raman spectra of CNPs collected at several HABs.</w:t>
      </w:r>
    </w:p>
    <w:p w:rsidR="007B1F81" w:rsidRDefault="007B1F81" w:rsidP="007B1F81">
      <w:pPr>
        <w:pStyle w:val="CETBodytext"/>
        <w:rPr>
          <w:rFonts w:cs="Arial"/>
          <w:iCs/>
          <w:color w:val="221E1F"/>
          <w:szCs w:val="18"/>
        </w:rPr>
      </w:pPr>
      <w:r>
        <w:rPr>
          <w:szCs w:val="18"/>
        </w:rPr>
        <w:t xml:space="preserve">From UV-visible absorption spectra, </w:t>
      </w:r>
      <w:proofErr w:type="spellStart"/>
      <w:r>
        <w:rPr>
          <w:szCs w:val="18"/>
        </w:rPr>
        <w:t>Tauc</w:t>
      </w:r>
      <w:proofErr w:type="spellEnd"/>
      <w:r>
        <w:rPr>
          <w:szCs w:val="18"/>
        </w:rPr>
        <w:t xml:space="preserve"> plots have been derived and </w:t>
      </w:r>
      <w:r w:rsidRPr="009F24FB">
        <w:rPr>
          <w:rFonts w:cs="Arial"/>
          <w:color w:val="221E1F"/>
          <w:szCs w:val="18"/>
        </w:rPr>
        <w:t xml:space="preserve">the values of </w:t>
      </w:r>
      <w:proofErr w:type="spellStart"/>
      <w:r w:rsidRPr="009F24FB">
        <w:rPr>
          <w:rFonts w:cs="Arial"/>
          <w:i/>
          <w:iCs/>
          <w:color w:val="221E1F"/>
          <w:szCs w:val="18"/>
        </w:rPr>
        <w:t>E</w:t>
      </w:r>
      <w:r w:rsidRPr="00461551">
        <w:rPr>
          <w:rFonts w:cs="Arial"/>
          <w:i/>
          <w:iCs/>
          <w:color w:val="221E1F"/>
          <w:szCs w:val="18"/>
          <w:vertAlign w:val="subscript"/>
        </w:rPr>
        <w:t>g</w:t>
      </w:r>
      <w:proofErr w:type="spellEnd"/>
      <w:r w:rsidRPr="009F24FB">
        <w:rPr>
          <w:rFonts w:cs="Arial"/>
          <w:i/>
          <w:iCs/>
          <w:color w:val="221E1F"/>
          <w:szCs w:val="18"/>
        </w:rPr>
        <w:t xml:space="preserve"> </w:t>
      </w:r>
      <w:r w:rsidRPr="009F24FB">
        <w:rPr>
          <w:rFonts w:cs="Arial"/>
          <w:color w:val="221E1F"/>
          <w:szCs w:val="18"/>
        </w:rPr>
        <w:t>ha</w:t>
      </w:r>
      <w:r>
        <w:rPr>
          <w:rFonts w:cs="Arial"/>
          <w:color w:val="221E1F"/>
          <w:szCs w:val="18"/>
        </w:rPr>
        <w:t>ve</w:t>
      </w:r>
      <w:r w:rsidRPr="009F24FB">
        <w:rPr>
          <w:rFonts w:cs="Arial"/>
          <w:color w:val="221E1F"/>
          <w:szCs w:val="18"/>
        </w:rPr>
        <w:t xml:space="preserve"> been obtained by extrapolation to zero of the linear trend</w:t>
      </w:r>
      <w:r>
        <w:rPr>
          <w:rFonts w:cs="Arial"/>
          <w:color w:val="221E1F"/>
          <w:szCs w:val="18"/>
        </w:rPr>
        <w:t xml:space="preserve">. </w:t>
      </w:r>
      <w:r w:rsidRPr="009F24FB">
        <w:rPr>
          <w:rFonts w:cs="Arial"/>
          <w:color w:val="221E1F"/>
          <w:szCs w:val="18"/>
        </w:rPr>
        <w:t>The plot</w:t>
      </w:r>
      <w:r>
        <w:rPr>
          <w:rFonts w:cs="Arial"/>
          <w:color w:val="221E1F"/>
          <w:szCs w:val="18"/>
        </w:rPr>
        <w:t>s</w:t>
      </w:r>
      <w:r w:rsidRPr="009F24FB">
        <w:rPr>
          <w:rFonts w:cs="Arial"/>
          <w:color w:val="221E1F"/>
          <w:szCs w:val="18"/>
        </w:rPr>
        <w:t xml:space="preserve"> of (Abs </w:t>
      </w:r>
      <w:r>
        <w:rPr>
          <w:rFonts w:cs="Arial"/>
          <w:color w:val="221E1F"/>
          <w:szCs w:val="18"/>
        </w:rPr>
        <w:t>*</w:t>
      </w:r>
      <w:r w:rsidRPr="009F24FB">
        <w:rPr>
          <w:rFonts w:cs="Arial"/>
          <w:color w:val="221E1F"/>
          <w:szCs w:val="18"/>
        </w:rPr>
        <w:t>E)</w:t>
      </w:r>
      <w:r>
        <w:rPr>
          <w:rFonts w:cs="Arial"/>
          <w:color w:val="221E1F"/>
          <w:szCs w:val="18"/>
        </w:rPr>
        <w:t xml:space="preserve"> </w:t>
      </w:r>
      <w:r w:rsidRPr="009F24FB">
        <w:rPr>
          <w:rFonts w:cs="Arial"/>
          <w:color w:val="221E1F"/>
          <w:szCs w:val="18"/>
          <w:vertAlign w:val="superscript"/>
        </w:rPr>
        <w:t>1/</w:t>
      </w:r>
      <w:r>
        <w:rPr>
          <w:rFonts w:cs="Arial"/>
          <w:color w:val="221E1F"/>
          <w:szCs w:val="18"/>
          <w:vertAlign w:val="superscript"/>
        </w:rPr>
        <w:t>2</w:t>
      </w:r>
      <w:r w:rsidRPr="009F24FB">
        <w:rPr>
          <w:rFonts w:cs="Arial"/>
          <w:color w:val="221E1F"/>
          <w:szCs w:val="18"/>
        </w:rPr>
        <w:t xml:space="preserve"> vs. </w:t>
      </w:r>
      <w:r w:rsidRPr="009F24FB">
        <w:rPr>
          <w:rFonts w:cs="Arial"/>
          <w:iCs/>
          <w:color w:val="221E1F"/>
          <w:szCs w:val="18"/>
        </w:rPr>
        <w:t>E</w:t>
      </w:r>
      <w:r>
        <w:rPr>
          <w:rFonts w:cs="Arial"/>
          <w:iCs/>
          <w:color w:val="221E1F"/>
          <w:szCs w:val="18"/>
        </w:rPr>
        <w:t xml:space="preserve">, </w:t>
      </w:r>
      <w:r w:rsidRPr="007105F7">
        <w:rPr>
          <w:rFonts w:cs="Arial"/>
          <w:iCs/>
          <w:color w:val="221E1F"/>
          <w:szCs w:val="18"/>
        </w:rPr>
        <w:t xml:space="preserve">where Abs is </w:t>
      </w:r>
      <w:r>
        <w:rPr>
          <w:rFonts w:cs="Arial"/>
          <w:iCs/>
          <w:color w:val="221E1F"/>
          <w:szCs w:val="18"/>
        </w:rPr>
        <w:t xml:space="preserve">the </w:t>
      </w:r>
      <w:r w:rsidRPr="007105F7">
        <w:rPr>
          <w:rFonts w:cs="Arial"/>
          <w:iCs/>
          <w:color w:val="221E1F"/>
          <w:szCs w:val="18"/>
        </w:rPr>
        <w:t xml:space="preserve">measured absorbance and E is </w:t>
      </w:r>
      <w:r>
        <w:rPr>
          <w:rFonts w:cs="Arial"/>
          <w:iCs/>
          <w:color w:val="221E1F"/>
          <w:szCs w:val="18"/>
        </w:rPr>
        <w:t xml:space="preserve">the </w:t>
      </w:r>
      <w:r w:rsidRPr="007105F7">
        <w:rPr>
          <w:rFonts w:cs="Arial"/>
          <w:iCs/>
          <w:color w:val="221E1F"/>
          <w:szCs w:val="18"/>
        </w:rPr>
        <w:t>photon energy</w:t>
      </w:r>
      <w:r>
        <w:rPr>
          <w:rFonts w:cs="Arial"/>
          <w:iCs/>
          <w:color w:val="221E1F"/>
          <w:szCs w:val="18"/>
        </w:rPr>
        <w:t>,</w:t>
      </w:r>
      <w:r>
        <w:rPr>
          <w:rFonts w:cs="Arial"/>
          <w:i/>
          <w:iCs/>
          <w:color w:val="221E1F"/>
          <w:szCs w:val="18"/>
        </w:rPr>
        <w:t xml:space="preserve"> </w:t>
      </w:r>
      <w:r>
        <w:rPr>
          <w:rFonts w:cs="Arial"/>
          <w:iCs/>
          <w:color w:val="221E1F"/>
          <w:szCs w:val="18"/>
        </w:rPr>
        <w:t xml:space="preserve">for the particles at HAB= 7 mm, HAB= 9 mm and HAB= 14 mm </w:t>
      </w:r>
      <w:r w:rsidRPr="009F24FB">
        <w:rPr>
          <w:rFonts w:cs="Arial"/>
          <w:iCs/>
          <w:color w:val="221E1F"/>
          <w:szCs w:val="18"/>
        </w:rPr>
        <w:t>are report</w:t>
      </w:r>
      <w:r>
        <w:rPr>
          <w:rFonts w:cs="Arial"/>
          <w:iCs/>
          <w:color w:val="221E1F"/>
          <w:szCs w:val="18"/>
        </w:rPr>
        <w:t>ed in Figure 4.</w:t>
      </w:r>
    </w:p>
    <w:p w:rsidR="007B1F81" w:rsidRDefault="007B1F81" w:rsidP="007B1F81">
      <w:pPr>
        <w:pStyle w:val="CETBodytext"/>
        <w:rPr>
          <w:rFonts w:cs="Arial"/>
          <w:iCs/>
          <w:color w:val="221E1F"/>
          <w:szCs w:val="18"/>
        </w:rPr>
      </w:pPr>
    </w:p>
    <w:p w:rsidR="007B1F81" w:rsidRPr="009F24FB" w:rsidRDefault="007B1F81" w:rsidP="007B1F81">
      <w:pPr>
        <w:pStyle w:val="CETBodytext"/>
        <w:rPr>
          <w:rFonts w:cs="Arial"/>
          <w:iCs/>
          <w:color w:val="221E1F"/>
          <w:szCs w:val="18"/>
        </w:rPr>
      </w:pPr>
      <w:r>
        <w:rPr>
          <w:rFonts w:cs="Arial"/>
          <w:iCs/>
          <w:noProof/>
          <w:color w:val="221E1F"/>
          <w:szCs w:val="18"/>
          <w:lang w:val="it-IT" w:eastAsia="it-IT"/>
        </w:rPr>
        <w:drawing>
          <wp:inline distT="0" distB="0" distL="0" distR="0" wp14:anchorId="42B739EC" wp14:editId="0A35ECBA">
            <wp:extent cx="5327881" cy="13525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0345" cy="1353176"/>
                    </a:xfrm>
                    <a:prstGeom prst="rect">
                      <a:avLst/>
                    </a:prstGeom>
                    <a:noFill/>
                  </pic:spPr>
                </pic:pic>
              </a:graphicData>
            </a:graphic>
          </wp:inline>
        </w:drawing>
      </w:r>
    </w:p>
    <w:p w:rsidR="007B1F81" w:rsidRPr="00E43D86" w:rsidRDefault="007B1F81" w:rsidP="00E43D86">
      <w:pPr>
        <w:pStyle w:val="CETCaption"/>
      </w:pPr>
      <w:r w:rsidRPr="00E43D86">
        <w:rPr>
          <w:rStyle w:val="CETCaptionCarattere"/>
          <w:i/>
        </w:rPr>
        <w:t>Figure 4:</w:t>
      </w:r>
      <w:r w:rsidRPr="00E43D86">
        <w:t xml:space="preserve"> </w:t>
      </w:r>
      <w:proofErr w:type="spellStart"/>
      <w:r w:rsidRPr="00E43D86">
        <w:rPr>
          <w:rStyle w:val="CETCaptionCarattere"/>
          <w:i/>
        </w:rPr>
        <w:t>Tauc</w:t>
      </w:r>
      <w:proofErr w:type="spellEnd"/>
      <w:r w:rsidRPr="00E43D86">
        <w:rPr>
          <w:rStyle w:val="CETCaptionCarattere"/>
          <w:i/>
        </w:rPr>
        <w:t xml:space="preserve"> plots (note: Abs is the measured absorbance and E is the photon energy) and related energy of band gap values</w:t>
      </w:r>
      <w:r w:rsidRPr="00E43D86">
        <w:t xml:space="preserve"> of CNPs at: HAB=7 mm, HAB=9 mm, HAB=14 mm.</w:t>
      </w:r>
    </w:p>
    <w:p w:rsidR="007B1F81" w:rsidRDefault="007B1F81" w:rsidP="007B1F81">
      <w:pPr>
        <w:pStyle w:val="CETBodytext"/>
        <w:rPr>
          <w:snapToGrid w:val="0"/>
        </w:rPr>
      </w:pPr>
      <w:r>
        <w:rPr>
          <w:snapToGrid w:val="0"/>
        </w:rPr>
        <w:t xml:space="preserve">As reported in Figure 4, the </w:t>
      </w:r>
      <w:proofErr w:type="spellStart"/>
      <w:r w:rsidRPr="001D24A2">
        <w:rPr>
          <w:i/>
          <w:snapToGrid w:val="0"/>
        </w:rPr>
        <w:t>E</w:t>
      </w:r>
      <w:r w:rsidRPr="00EE6B2C">
        <w:rPr>
          <w:snapToGrid w:val="0"/>
          <w:vertAlign w:val="subscript"/>
        </w:rPr>
        <w:t>g</w:t>
      </w:r>
      <w:proofErr w:type="spellEnd"/>
      <w:r>
        <w:rPr>
          <w:snapToGrid w:val="0"/>
        </w:rPr>
        <w:t xml:space="preserve"> of the CNPs at HAB=7 mm, 9 mm and 14 mm is 1.3 eV, 1.0 eV and 0.5 eV respectively, thus showing a decreasing trend as function of the residence time. This effect can be only partially justified by the increase in the aromatic island length L</w:t>
      </w:r>
      <w:r w:rsidRPr="00EE6B2C">
        <w:rPr>
          <w:snapToGrid w:val="0"/>
          <w:vertAlign w:val="subscript"/>
        </w:rPr>
        <w:t>a</w:t>
      </w:r>
      <w:r>
        <w:rPr>
          <w:snapToGrid w:val="0"/>
        </w:rPr>
        <w:t xml:space="preserve"> shown in Fig. 3 but it should be also ascribed to the change of particle size, which is increasing from 2-3 nm up to tens of nm. </w:t>
      </w:r>
    </w:p>
    <w:p w:rsidR="007B1F81" w:rsidRDefault="007B1F81" w:rsidP="007B1F81">
      <w:pPr>
        <w:pStyle w:val="CETBodytext"/>
        <w:rPr>
          <w:snapToGrid w:val="0"/>
        </w:rPr>
      </w:pPr>
      <w:r>
        <w:rPr>
          <w:snapToGrid w:val="0"/>
        </w:rPr>
        <w:t>E</w:t>
      </w:r>
      <w:r w:rsidRPr="00784AED">
        <w:rPr>
          <w:snapToGrid w:val="0"/>
        </w:rPr>
        <w:t>PR spectra of soot collected</w:t>
      </w:r>
      <w:r>
        <w:rPr>
          <w:snapToGrid w:val="0"/>
        </w:rPr>
        <w:t xml:space="preserve"> during the growth</w:t>
      </w:r>
      <w:r w:rsidRPr="00784AED">
        <w:rPr>
          <w:snapToGrid w:val="0"/>
        </w:rPr>
        <w:t xml:space="preserve"> </w:t>
      </w:r>
      <w:r>
        <w:rPr>
          <w:snapToGrid w:val="0"/>
        </w:rPr>
        <w:t xml:space="preserve">process </w:t>
      </w:r>
      <w:r w:rsidRPr="00784AED">
        <w:rPr>
          <w:snapToGrid w:val="0"/>
        </w:rPr>
        <w:t xml:space="preserve">are reported in Figure </w:t>
      </w:r>
      <w:r>
        <w:rPr>
          <w:snapToGrid w:val="0"/>
        </w:rPr>
        <w:t>5</w:t>
      </w:r>
      <w:r w:rsidRPr="00784AED">
        <w:rPr>
          <w:snapToGrid w:val="0"/>
        </w:rPr>
        <w:t xml:space="preserve"> and their </w:t>
      </w:r>
      <w:r>
        <w:rPr>
          <w:snapToGrid w:val="0"/>
        </w:rPr>
        <w:t>relative parameters are reported in Table 1.</w:t>
      </w:r>
    </w:p>
    <w:p w:rsidR="007B1F81" w:rsidRDefault="007B1F81" w:rsidP="007B1F81">
      <w:pPr>
        <w:pStyle w:val="CETBodytext"/>
        <w:rPr>
          <w:snapToGrid w:val="0"/>
        </w:rPr>
      </w:pPr>
    </w:p>
    <w:p w:rsidR="007B1F81" w:rsidRPr="00BC58A3" w:rsidRDefault="007B1F81" w:rsidP="007B1F81">
      <w:pPr>
        <w:pStyle w:val="CETBodytext"/>
        <w:rPr>
          <w:snapToGrid w:val="0"/>
        </w:rPr>
      </w:pPr>
      <w:r>
        <w:rPr>
          <w:noProof/>
          <w:snapToGrid w:val="0"/>
          <w:lang w:val="it-IT" w:eastAsia="it-IT"/>
        </w:rPr>
        <w:lastRenderedPageBreak/>
        <w:drawing>
          <wp:inline distT="0" distB="0" distL="0" distR="0" wp14:anchorId="7DD712E8" wp14:editId="3EFD4C50">
            <wp:extent cx="4981575" cy="1752074"/>
            <wp:effectExtent l="0" t="0" r="0" b="63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9079" cy="1758230"/>
                    </a:xfrm>
                    <a:prstGeom prst="rect">
                      <a:avLst/>
                    </a:prstGeom>
                    <a:noFill/>
                  </pic:spPr>
                </pic:pic>
              </a:graphicData>
            </a:graphic>
          </wp:inline>
        </w:drawing>
      </w:r>
    </w:p>
    <w:p w:rsidR="007B1F81" w:rsidRPr="00EF3AF7" w:rsidRDefault="007B1F81" w:rsidP="007B1F81">
      <w:pPr>
        <w:pStyle w:val="CETCaption"/>
      </w:pPr>
      <w:r w:rsidRPr="00EF3AF7">
        <w:t>Figure 5: EPR spectra of soot particles on quartz filters at 7 mm, 9 mm and 14 mm.</w:t>
      </w:r>
    </w:p>
    <w:p w:rsidR="007B1F81" w:rsidRDefault="007B1F81" w:rsidP="007B1F81">
      <w:pPr>
        <w:pStyle w:val="CETBodytext"/>
        <w:rPr>
          <w:rFonts w:eastAsiaTheme="minorHAnsi"/>
        </w:rPr>
      </w:pPr>
      <w:r>
        <w:rPr>
          <w:rFonts w:cs="Arial"/>
          <w:snapToGrid w:val="0"/>
        </w:rPr>
        <w:t xml:space="preserve">As reported in a recent work </w:t>
      </w:r>
      <w:r w:rsidRPr="00784AED">
        <w:t>(</w:t>
      </w:r>
      <w:proofErr w:type="spellStart"/>
      <w:r w:rsidRPr="00784AED">
        <w:t>Vitiello</w:t>
      </w:r>
      <w:proofErr w:type="spellEnd"/>
      <w:r w:rsidRPr="00784AED">
        <w:t xml:space="preserve"> et al., 2018)</w:t>
      </w:r>
      <w:r>
        <w:t>, the</w:t>
      </w:r>
      <w:r w:rsidRPr="00784AED">
        <w:rPr>
          <w:rStyle w:val="CETBodytextCarattere"/>
          <w:rFonts w:eastAsiaTheme="minorHAnsi"/>
          <w:szCs w:val="18"/>
        </w:rPr>
        <w:t xml:space="preserve"> </w:t>
      </w:r>
      <w:r>
        <w:rPr>
          <w:rStyle w:val="CETBodytextCarattere"/>
          <w:rFonts w:eastAsiaTheme="minorHAnsi"/>
          <w:szCs w:val="18"/>
        </w:rPr>
        <w:t xml:space="preserve">EPR </w:t>
      </w:r>
      <w:r w:rsidRPr="00784AED">
        <w:rPr>
          <w:rStyle w:val="CETBodytextCarattere"/>
          <w:rFonts w:eastAsiaTheme="minorHAnsi"/>
          <w:szCs w:val="18"/>
        </w:rPr>
        <w:t xml:space="preserve">spectra </w:t>
      </w:r>
      <w:r>
        <w:rPr>
          <w:rStyle w:val="CETBodytextCarattere"/>
          <w:rFonts w:eastAsiaTheme="minorHAnsi"/>
          <w:szCs w:val="18"/>
        </w:rPr>
        <w:t xml:space="preserve">of flame-formed CNPs </w:t>
      </w:r>
      <w:r w:rsidRPr="00784AED">
        <w:rPr>
          <w:rStyle w:val="CETBodytextCarattere"/>
          <w:rFonts w:eastAsiaTheme="minorHAnsi"/>
          <w:szCs w:val="18"/>
        </w:rPr>
        <w:t xml:space="preserve">show a single peak at g-factor ranging between 2.0025-2.0028 (±0.0003). The g-value is </w:t>
      </w:r>
      <w:r>
        <w:rPr>
          <w:rStyle w:val="CETBodytextCarattere"/>
          <w:rFonts w:eastAsiaTheme="minorHAnsi"/>
          <w:szCs w:val="18"/>
        </w:rPr>
        <w:t>defined</w:t>
      </w:r>
      <w:r w:rsidRPr="00784AED">
        <w:rPr>
          <w:rStyle w:val="CETBodytextCarattere"/>
          <w:rFonts w:eastAsiaTheme="minorHAnsi"/>
          <w:szCs w:val="18"/>
        </w:rPr>
        <w:t xml:space="preserve"> by the </w:t>
      </w:r>
      <w:r>
        <w:rPr>
          <w:rStyle w:val="CETBodytextCarattere"/>
          <w:rFonts w:eastAsiaTheme="minorHAnsi"/>
          <w:szCs w:val="18"/>
        </w:rPr>
        <w:t xml:space="preserve">type of radical, i.e. carbon radical, oxygen radical, metal radical, carbon near oxygen radical, and by the </w:t>
      </w:r>
      <w:r w:rsidRPr="00784AED">
        <w:rPr>
          <w:rStyle w:val="CETBodytextCarattere"/>
          <w:rFonts w:eastAsiaTheme="minorHAnsi"/>
          <w:szCs w:val="18"/>
        </w:rPr>
        <w:t>chemical environments of unpaired electrons</w:t>
      </w:r>
      <w:r>
        <w:rPr>
          <w:rStyle w:val="CETBodytextCarattere"/>
          <w:rFonts w:eastAsiaTheme="minorHAnsi"/>
          <w:szCs w:val="18"/>
        </w:rPr>
        <w:t>.</w:t>
      </w:r>
      <w:r w:rsidRPr="00784AED">
        <w:rPr>
          <w:rStyle w:val="CETBodytextCarattere"/>
          <w:rFonts w:eastAsiaTheme="minorHAnsi"/>
          <w:szCs w:val="18"/>
        </w:rPr>
        <w:t xml:space="preserve"> The obtained value is typical of persistent carbon radicals (</w:t>
      </w:r>
      <w:proofErr w:type="spellStart"/>
      <w:r w:rsidRPr="00784AED">
        <w:rPr>
          <w:rFonts w:eastAsiaTheme="minorHAnsi" w:cs="Arial"/>
        </w:rPr>
        <w:t>Valavanidis</w:t>
      </w:r>
      <w:proofErr w:type="spellEnd"/>
      <w:r>
        <w:rPr>
          <w:rFonts w:eastAsiaTheme="minorHAnsi" w:cs="Arial"/>
        </w:rPr>
        <w:t xml:space="preserve"> et al.</w:t>
      </w:r>
      <w:r w:rsidRPr="00784AED">
        <w:rPr>
          <w:rFonts w:eastAsiaTheme="minorHAnsi" w:cs="Arial"/>
        </w:rPr>
        <w:t>, 2008)</w:t>
      </w:r>
      <w:r>
        <w:rPr>
          <w:rStyle w:val="CETBodytextCarattere"/>
          <w:rFonts w:eastAsiaTheme="minorHAnsi"/>
          <w:szCs w:val="18"/>
        </w:rPr>
        <w:t>.</w:t>
      </w:r>
      <w:r w:rsidRPr="00784AED">
        <w:rPr>
          <w:rStyle w:val="CETBodytextCarattere"/>
          <w:rFonts w:eastAsiaTheme="minorHAnsi"/>
          <w:szCs w:val="18"/>
        </w:rPr>
        <w:t xml:space="preserve"> Figure </w:t>
      </w:r>
      <w:r>
        <w:rPr>
          <w:rStyle w:val="CETBodytextCarattere"/>
          <w:rFonts w:eastAsiaTheme="minorHAnsi"/>
          <w:szCs w:val="18"/>
        </w:rPr>
        <w:t>5</w:t>
      </w:r>
      <w:r w:rsidRPr="00784AED">
        <w:rPr>
          <w:rStyle w:val="CETBodytextCarattere"/>
          <w:rFonts w:eastAsiaTheme="minorHAnsi"/>
          <w:szCs w:val="18"/>
        </w:rPr>
        <w:t xml:space="preserve"> shows a different line-widths </w:t>
      </w:r>
      <w:r>
        <w:rPr>
          <w:rStyle w:val="CETBodytextCarattere"/>
          <w:rFonts w:eastAsiaTheme="minorHAnsi"/>
          <w:szCs w:val="18"/>
        </w:rPr>
        <w:t>of the three signals</w:t>
      </w:r>
      <w:r w:rsidRPr="00784AED">
        <w:rPr>
          <w:rStyle w:val="CETBodytextCarattere"/>
          <w:rFonts w:eastAsiaTheme="minorHAnsi"/>
          <w:szCs w:val="18"/>
        </w:rPr>
        <w:t>, also re</w:t>
      </w:r>
      <w:r>
        <w:rPr>
          <w:rStyle w:val="CETBodytextCarattere"/>
          <w:rFonts w:eastAsiaTheme="minorHAnsi"/>
          <w:szCs w:val="18"/>
        </w:rPr>
        <w:t>ported in Table 1, suggesting an</w:t>
      </w:r>
      <w:r w:rsidRPr="00784AED">
        <w:rPr>
          <w:rStyle w:val="CETBodytextCarattere"/>
          <w:rFonts w:eastAsiaTheme="minorHAnsi"/>
          <w:szCs w:val="18"/>
        </w:rPr>
        <w:t xml:space="preserve"> evolution of the paramagnetic signal </w:t>
      </w:r>
      <w:r>
        <w:rPr>
          <w:rStyle w:val="CETBodytextCarattere"/>
          <w:rFonts w:eastAsiaTheme="minorHAnsi"/>
          <w:szCs w:val="18"/>
        </w:rPr>
        <w:t xml:space="preserve">as the particle size distribution evolves from </w:t>
      </w:r>
      <w:proofErr w:type="spellStart"/>
      <w:r>
        <w:rPr>
          <w:rStyle w:val="CETBodytextCarattere"/>
          <w:rFonts w:eastAsiaTheme="minorHAnsi"/>
          <w:szCs w:val="18"/>
        </w:rPr>
        <w:t>monomodal</w:t>
      </w:r>
      <w:proofErr w:type="spellEnd"/>
      <w:r>
        <w:rPr>
          <w:rStyle w:val="CETBodytextCarattere"/>
          <w:rFonts w:eastAsiaTheme="minorHAnsi"/>
          <w:szCs w:val="18"/>
        </w:rPr>
        <w:t xml:space="preserve"> to bimodal</w:t>
      </w:r>
      <w:r w:rsidRPr="00784AED">
        <w:rPr>
          <w:rStyle w:val="CETBodytextCarattere"/>
          <w:rFonts w:eastAsiaTheme="minorHAnsi"/>
          <w:szCs w:val="18"/>
        </w:rPr>
        <w:t xml:space="preserve">. Particularly, </w:t>
      </w:r>
      <w:r>
        <w:rPr>
          <w:rStyle w:val="CETBodytextCarattere"/>
          <w:rFonts w:eastAsiaTheme="minorHAnsi"/>
          <w:szCs w:val="18"/>
        </w:rPr>
        <w:t>particle evolution from 7</w:t>
      </w:r>
      <w:r w:rsidRPr="00784AED">
        <w:rPr>
          <w:rStyle w:val="CETBodytextCarattere"/>
          <w:rFonts w:eastAsiaTheme="minorHAnsi"/>
          <w:szCs w:val="18"/>
        </w:rPr>
        <w:t xml:space="preserve"> </w:t>
      </w:r>
      <w:r>
        <w:rPr>
          <w:rStyle w:val="CETBodytextCarattere"/>
          <w:rFonts w:eastAsiaTheme="minorHAnsi"/>
          <w:szCs w:val="18"/>
        </w:rPr>
        <w:t>mm to 9 mm is characterized by the narrowing of the</w:t>
      </w:r>
      <w:r w:rsidRPr="00784AED">
        <w:rPr>
          <w:rStyle w:val="CETBodytextCarattere"/>
          <w:rFonts w:eastAsiaTheme="minorHAnsi"/>
          <w:szCs w:val="18"/>
        </w:rPr>
        <w:t xml:space="preserve"> EPR </w:t>
      </w:r>
      <w:r>
        <w:rPr>
          <w:rStyle w:val="CETBodytextCarattere"/>
          <w:rFonts w:eastAsiaTheme="minorHAnsi"/>
          <w:szCs w:val="18"/>
        </w:rPr>
        <w:t>spectrum while the spectrum recorded at 14 mm is characterized again by a broader signal. T</w:t>
      </w:r>
      <w:r>
        <w:rPr>
          <w:rFonts w:eastAsiaTheme="minorHAnsi"/>
        </w:rPr>
        <w:t>here is a correspondence between width and type</w:t>
      </w:r>
      <w:r w:rsidRPr="006A6C7F">
        <w:rPr>
          <w:rFonts w:eastAsiaTheme="minorHAnsi"/>
        </w:rPr>
        <w:t xml:space="preserve"> </w:t>
      </w:r>
      <w:r>
        <w:rPr>
          <w:rFonts w:eastAsiaTheme="minorHAnsi"/>
        </w:rPr>
        <w:t xml:space="preserve">of the </w:t>
      </w:r>
      <w:proofErr w:type="spellStart"/>
      <w:r>
        <w:rPr>
          <w:rFonts w:eastAsiaTheme="minorHAnsi"/>
        </w:rPr>
        <w:t>lineshape</w:t>
      </w:r>
      <w:proofErr w:type="spellEnd"/>
      <w:r>
        <w:rPr>
          <w:rFonts w:eastAsiaTheme="minorHAnsi"/>
        </w:rPr>
        <w:t>: broad signal with Gaussian and narrow signal with Lorentzian.</w:t>
      </w:r>
      <w:r>
        <w:rPr>
          <w:rStyle w:val="CETBodytextCarattere"/>
          <w:rFonts w:eastAsiaTheme="minorHAnsi"/>
          <w:szCs w:val="18"/>
        </w:rPr>
        <w:t xml:space="preserve"> The</w:t>
      </w:r>
      <w:r w:rsidRPr="00784AED">
        <w:rPr>
          <w:rStyle w:val="CETBodytextCarattere"/>
          <w:rFonts w:eastAsiaTheme="minorHAnsi"/>
          <w:szCs w:val="18"/>
        </w:rPr>
        <w:t xml:space="preserve"> broad line-shape</w:t>
      </w:r>
      <w:r>
        <w:rPr>
          <w:rStyle w:val="CETBodytextCarattere"/>
          <w:rFonts w:eastAsiaTheme="minorHAnsi"/>
          <w:szCs w:val="18"/>
        </w:rPr>
        <w:t>, i.e. Gaussian contribution, of the 7mm</w:t>
      </w:r>
      <w:r w:rsidRPr="00784AED">
        <w:rPr>
          <w:rStyle w:val="CETBodytextCarattere"/>
          <w:rFonts w:eastAsiaTheme="minorHAnsi"/>
          <w:szCs w:val="18"/>
        </w:rPr>
        <w:t xml:space="preserve"> </w:t>
      </w:r>
      <w:r>
        <w:rPr>
          <w:rStyle w:val="CETBodytextCarattere"/>
          <w:rFonts w:eastAsiaTheme="minorHAnsi"/>
          <w:szCs w:val="18"/>
        </w:rPr>
        <w:t xml:space="preserve">sample </w:t>
      </w:r>
      <w:r w:rsidRPr="00784AED">
        <w:rPr>
          <w:rStyle w:val="CETBodytextCarattere"/>
          <w:rFonts w:eastAsiaTheme="minorHAnsi"/>
          <w:szCs w:val="18"/>
        </w:rPr>
        <w:t>c</w:t>
      </w:r>
      <w:r>
        <w:rPr>
          <w:rStyle w:val="CETBodytextCarattere"/>
          <w:rFonts w:eastAsiaTheme="minorHAnsi"/>
          <w:szCs w:val="18"/>
        </w:rPr>
        <w:t>ould</w:t>
      </w:r>
      <w:r w:rsidRPr="00784AED">
        <w:rPr>
          <w:rStyle w:val="CETBodytextCarattere"/>
          <w:rFonts w:eastAsiaTheme="minorHAnsi"/>
          <w:szCs w:val="18"/>
        </w:rPr>
        <w:t xml:space="preserve"> be </w:t>
      </w:r>
      <w:r>
        <w:rPr>
          <w:rStyle w:val="CETBodytextCarattere"/>
          <w:rFonts w:eastAsiaTheme="minorHAnsi"/>
          <w:szCs w:val="18"/>
        </w:rPr>
        <w:t xml:space="preserve">due </w:t>
      </w:r>
      <w:r w:rsidRPr="00784AED">
        <w:rPr>
          <w:rStyle w:val="CETBodytextCarattere"/>
          <w:rFonts w:eastAsiaTheme="minorHAnsi"/>
          <w:szCs w:val="18"/>
        </w:rPr>
        <w:t xml:space="preserve">to the presence and superposition of </w:t>
      </w:r>
      <w:r>
        <w:rPr>
          <w:rStyle w:val="CETBodytextCarattere"/>
          <w:rFonts w:eastAsiaTheme="minorHAnsi"/>
          <w:szCs w:val="18"/>
        </w:rPr>
        <w:t>not interacting unpaired electrons</w:t>
      </w:r>
      <w:r w:rsidRPr="00784AED">
        <w:rPr>
          <w:rStyle w:val="CETBodytextCarattere"/>
          <w:rFonts w:eastAsiaTheme="minorHAnsi"/>
          <w:szCs w:val="18"/>
        </w:rPr>
        <w:t xml:space="preserve"> into the</w:t>
      </w:r>
      <w:r w:rsidRPr="00784AED">
        <w:rPr>
          <w:rFonts w:eastAsiaTheme="minorHAnsi" w:cs="Arial"/>
        </w:rPr>
        <w:t xml:space="preserve"> particles (Herring et al., 2013)</w:t>
      </w:r>
      <w:r>
        <w:rPr>
          <w:rFonts w:eastAsiaTheme="minorHAnsi" w:cs="Arial"/>
        </w:rPr>
        <w:t>. Conversely, t</w:t>
      </w:r>
      <w:r w:rsidRPr="00784AED">
        <w:rPr>
          <w:rFonts w:eastAsiaTheme="minorHAnsi" w:cs="Arial"/>
        </w:rPr>
        <w:t>he narrow</w:t>
      </w:r>
      <w:r>
        <w:rPr>
          <w:rFonts w:eastAsiaTheme="minorHAnsi" w:cs="Arial"/>
        </w:rPr>
        <w:t xml:space="preserve"> signal of the 9 mm sample,</w:t>
      </w:r>
      <w:r w:rsidRPr="008B6248">
        <w:rPr>
          <w:rFonts w:eastAsiaTheme="minorHAnsi"/>
        </w:rPr>
        <w:t xml:space="preserve"> </w:t>
      </w:r>
      <w:r>
        <w:rPr>
          <w:rFonts w:eastAsiaTheme="minorHAnsi"/>
        </w:rPr>
        <w:t xml:space="preserve">associated to a </w:t>
      </w:r>
      <w:r w:rsidRPr="00784AED">
        <w:rPr>
          <w:rFonts w:eastAsiaTheme="minorHAnsi"/>
        </w:rPr>
        <w:t>high Lorentzian contribution</w:t>
      </w:r>
      <w:r>
        <w:rPr>
          <w:rFonts w:eastAsiaTheme="minorHAnsi"/>
        </w:rPr>
        <w:t>,</w:t>
      </w:r>
      <w:r w:rsidRPr="00784AED">
        <w:rPr>
          <w:rFonts w:eastAsiaTheme="minorHAnsi" w:cs="Arial"/>
        </w:rPr>
        <w:t xml:space="preserve"> is related to the </w:t>
      </w:r>
      <w:r>
        <w:rPr>
          <w:rFonts w:eastAsiaTheme="minorHAnsi" w:cs="Arial"/>
        </w:rPr>
        <w:t xml:space="preserve">interaction between unpaired </w:t>
      </w:r>
      <w:r w:rsidRPr="00784AED">
        <w:rPr>
          <w:rFonts w:eastAsiaTheme="minorHAnsi" w:cs="Arial"/>
        </w:rPr>
        <w:t>electron</w:t>
      </w:r>
      <w:r>
        <w:rPr>
          <w:rFonts w:eastAsiaTheme="minorHAnsi" w:cs="Arial"/>
        </w:rPr>
        <w:t>s</w:t>
      </w:r>
      <w:r w:rsidRPr="00784AED">
        <w:rPr>
          <w:rFonts w:eastAsiaTheme="minorHAnsi" w:cs="Arial"/>
        </w:rPr>
        <w:t xml:space="preserve"> </w:t>
      </w:r>
      <w:r w:rsidRPr="00784AED">
        <w:t xml:space="preserve">(Ingram, 1958) </w:t>
      </w:r>
      <w:r w:rsidRPr="00784AED">
        <w:rPr>
          <w:rFonts w:eastAsiaTheme="minorHAnsi" w:cs="Arial"/>
        </w:rPr>
        <w:t xml:space="preserve">and </w:t>
      </w:r>
      <w:r>
        <w:rPr>
          <w:rFonts w:eastAsiaTheme="minorHAnsi" w:cs="Arial"/>
        </w:rPr>
        <w:t>indicate the change in the structural organization as</w:t>
      </w:r>
      <w:r w:rsidRPr="00784AED">
        <w:rPr>
          <w:rFonts w:eastAsiaTheme="minorHAnsi"/>
        </w:rPr>
        <w:t xml:space="preserve"> due to </w:t>
      </w:r>
      <w:r>
        <w:rPr>
          <w:rFonts w:eastAsiaTheme="minorHAnsi"/>
        </w:rPr>
        <w:t>delocalization of</w:t>
      </w:r>
      <w:r w:rsidRPr="00784AED">
        <w:rPr>
          <w:rFonts w:eastAsiaTheme="minorHAnsi"/>
        </w:rPr>
        <w:t xml:space="preserve"> π-electrons (</w:t>
      </w:r>
      <w:proofErr w:type="spellStart"/>
      <w:r w:rsidRPr="00784AED">
        <w:rPr>
          <w:rFonts w:eastAsiaTheme="minorHAnsi" w:cs="Arial"/>
          <w:szCs w:val="24"/>
        </w:rPr>
        <w:t>Pilawa</w:t>
      </w:r>
      <w:proofErr w:type="spellEnd"/>
      <w:r>
        <w:rPr>
          <w:rFonts w:eastAsiaTheme="minorHAnsi" w:cs="Arial"/>
          <w:szCs w:val="24"/>
        </w:rPr>
        <w:t xml:space="preserve"> et al.,</w:t>
      </w:r>
      <w:r w:rsidRPr="00784AED">
        <w:rPr>
          <w:rFonts w:eastAsiaTheme="minorHAnsi" w:cs="Arial"/>
          <w:szCs w:val="24"/>
        </w:rPr>
        <w:t xml:space="preserve"> 2005)</w:t>
      </w:r>
      <w:r>
        <w:rPr>
          <w:rFonts w:eastAsiaTheme="minorHAnsi" w:cs="Arial"/>
          <w:szCs w:val="24"/>
        </w:rPr>
        <w:t>. These electrons</w:t>
      </w:r>
      <w:r w:rsidRPr="00784AED">
        <w:rPr>
          <w:rFonts w:eastAsiaTheme="minorHAnsi"/>
        </w:rPr>
        <w:t xml:space="preserve"> can interact to form </w:t>
      </w:r>
      <w:r>
        <w:rPr>
          <w:rFonts w:eastAsiaTheme="minorHAnsi"/>
        </w:rPr>
        <w:t xml:space="preserve">more ordered, </w:t>
      </w:r>
      <w:r w:rsidRPr="00784AED">
        <w:rPr>
          <w:rFonts w:eastAsiaTheme="minorHAnsi"/>
        </w:rPr>
        <w:t xml:space="preserve">stacked structures in </w:t>
      </w:r>
      <w:r>
        <w:rPr>
          <w:rFonts w:eastAsiaTheme="minorHAnsi"/>
        </w:rPr>
        <w:t xml:space="preserve">a </w:t>
      </w:r>
      <w:r w:rsidRPr="00784AED">
        <w:rPr>
          <w:rFonts w:eastAsiaTheme="minorHAnsi"/>
        </w:rPr>
        <w:t>three-dimensional organization</w:t>
      </w:r>
      <w:r w:rsidRPr="00784AED">
        <w:rPr>
          <w:rFonts w:eastAsiaTheme="minorHAnsi" w:cs="Arial"/>
          <w:sz w:val="22"/>
          <w:szCs w:val="24"/>
        </w:rPr>
        <w:t xml:space="preserve"> </w:t>
      </w:r>
      <w:r w:rsidRPr="00784AED">
        <w:t>(</w:t>
      </w:r>
      <w:proofErr w:type="spellStart"/>
      <w:r w:rsidRPr="00784AED">
        <w:t>Vitiello</w:t>
      </w:r>
      <w:proofErr w:type="spellEnd"/>
      <w:r>
        <w:t xml:space="preserve"> </w:t>
      </w:r>
      <w:r w:rsidRPr="00784AED">
        <w:t>et al., 2018)</w:t>
      </w:r>
      <w:r>
        <w:t xml:space="preserve">. At higher HAB the modified structures of particles due to </w:t>
      </w:r>
      <w:r w:rsidRPr="00C76D55">
        <w:t xml:space="preserve">coagulation/coalescence and surface mass addition lead </w:t>
      </w:r>
      <w:r>
        <w:t xml:space="preserve">to a new organization of paramagnetic </w:t>
      </w:r>
      <w:proofErr w:type="spellStart"/>
      <w:r>
        <w:t>centres</w:t>
      </w:r>
      <w:proofErr w:type="spellEnd"/>
      <w:r>
        <w:t>, causing the signal broadening at 14 mm, as shown in Figure 5.</w:t>
      </w:r>
    </w:p>
    <w:p w:rsidR="007B1F81" w:rsidRPr="00B57B36" w:rsidRDefault="007B1F81" w:rsidP="007B1F81">
      <w:pPr>
        <w:pStyle w:val="CETTabletitle"/>
      </w:pPr>
      <w:r w:rsidRPr="00B57B36">
        <w:t xml:space="preserve">Table 1: </w:t>
      </w:r>
      <w:r w:rsidRPr="00CF0F64">
        <w:t>EPR spectral parameters of soot particles collected at different HABs.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268"/>
        <w:gridCol w:w="1842"/>
        <w:gridCol w:w="1843"/>
      </w:tblGrid>
      <w:tr w:rsidR="007B1F81" w:rsidRPr="00B57B36" w:rsidTr="00986237">
        <w:tc>
          <w:tcPr>
            <w:tcW w:w="1560" w:type="dxa"/>
            <w:tcBorders>
              <w:top w:val="single" w:sz="12" w:space="0" w:color="008000"/>
              <w:bottom w:val="single" w:sz="6" w:space="0" w:color="008000"/>
            </w:tcBorders>
            <w:shd w:val="clear" w:color="auto" w:fill="FFFFFF"/>
            <w:vAlign w:val="center"/>
          </w:tcPr>
          <w:p w:rsidR="007B1F81" w:rsidRPr="00B57B36" w:rsidRDefault="007B1F81" w:rsidP="00986237">
            <w:pPr>
              <w:pStyle w:val="CETBodytext"/>
              <w:jc w:val="center"/>
              <w:rPr>
                <w:lang w:val="en-GB"/>
              </w:rPr>
            </w:pPr>
            <w:r w:rsidRPr="00CF0F64">
              <w:rPr>
                <w:lang w:val="en-GB"/>
              </w:rPr>
              <w:t>HAB,</w:t>
            </w:r>
            <w:r>
              <w:rPr>
                <w:lang w:val="en-GB"/>
              </w:rPr>
              <w:t xml:space="preserve"> </w:t>
            </w:r>
            <w:r w:rsidRPr="00CF0F64">
              <w:rPr>
                <w:lang w:val="en-GB"/>
              </w:rPr>
              <w:t>mm</w:t>
            </w:r>
          </w:p>
        </w:tc>
        <w:tc>
          <w:tcPr>
            <w:tcW w:w="2268" w:type="dxa"/>
            <w:tcBorders>
              <w:top w:val="single" w:sz="12" w:space="0" w:color="008000"/>
              <w:bottom w:val="single" w:sz="6" w:space="0" w:color="008000"/>
            </w:tcBorders>
            <w:shd w:val="clear" w:color="auto" w:fill="FFFFFF"/>
            <w:vAlign w:val="center"/>
          </w:tcPr>
          <w:p w:rsidR="007B1F81" w:rsidRPr="00B57B36" w:rsidRDefault="007B1F81" w:rsidP="00986237">
            <w:pPr>
              <w:pStyle w:val="CETBodytext"/>
              <w:jc w:val="center"/>
              <w:rPr>
                <w:lang w:val="en-GB"/>
              </w:rPr>
            </w:pPr>
            <w:r w:rsidRPr="00CF0F64">
              <w:rPr>
                <w:lang w:val="en-GB"/>
              </w:rPr>
              <w:t>g-factor</w:t>
            </w:r>
            <w:r>
              <w:rPr>
                <w:lang w:val="en-GB"/>
              </w:rPr>
              <w:t xml:space="preserve"> </w:t>
            </w:r>
            <w:r w:rsidRPr="00CF0F64">
              <w:rPr>
                <w:lang w:val="en-GB"/>
              </w:rPr>
              <w:t>(± 0.0003)</w:t>
            </w:r>
          </w:p>
        </w:tc>
        <w:tc>
          <w:tcPr>
            <w:tcW w:w="1842" w:type="dxa"/>
            <w:tcBorders>
              <w:top w:val="single" w:sz="12" w:space="0" w:color="008000"/>
              <w:bottom w:val="single" w:sz="6" w:space="0" w:color="008000"/>
            </w:tcBorders>
            <w:shd w:val="clear" w:color="auto" w:fill="FFFFFF"/>
            <w:vAlign w:val="center"/>
          </w:tcPr>
          <w:p w:rsidR="007B1F81" w:rsidRPr="00B57B36" w:rsidRDefault="007B1F81" w:rsidP="00986237">
            <w:pPr>
              <w:pStyle w:val="CETBodytext"/>
              <w:jc w:val="center"/>
              <w:rPr>
                <w:lang w:val="en-GB"/>
              </w:rPr>
            </w:pPr>
            <w:r w:rsidRPr="00CF0F64">
              <w:rPr>
                <w:lang w:val="en-GB"/>
              </w:rPr>
              <w:t>∆B (G)</w:t>
            </w:r>
            <w:r>
              <w:rPr>
                <w:lang w:val="en-GB"/>
              </w:rPr>
              <w:t xml:space="preserve"> </w:t>
            </w:r>
            <w:r w:rsidRPr="00CF0F64">
              <w:rPr>
                <w:lang w:val="en-GB"/>
              </w:rPr>
              <w:t>(± 0.2)</w:t>
            </w:r>
          </w:p>
        </w:tc>
        <w:tc>
          <w:tcPr>
            <w:tcW w:w="1843" w:type="dxa"/>
            <w:tcBorders>
              <w:top w:val="single" w:sz="12" w:space="0" w:color="008000"/>
              <w:bottom w:val="single" w:sz="6" w:space="0" w:color="008000"/>
            </w:tcBorders>
            <w:shd w:val="clear" w:color="auto" w:fill="FFFFFF"/>
            <w:vAlign w:val="center"/>
          </w:tcPr>
          <w:p w:rsidR="007B1F81" w:rsidRPr="00B57B36" w:rsidRDefault="007B1F81" w:rsidP="00986237">
            <w:pPr>
              <w:pStyle w:val="CETTabletitle"/>
              <w:spacing w:before="0" w:after="0"/>
              <w:jc w:val="center"/>
              <w:rPr>
                <w:rFonts w:cs="Arial"/>
                <w:szCs w:val="18"/>
              </w:rPr>
            </w:pPr>
            <w:r w:rsidRPr="005F357A">
              <w:t>Lorentzian</w:t>
            </w:r>
            <w:r>
              <w:t xml:space="preserve"> </w:t>
            </w:r>
            <w:r w:rsidRPr="005F357A">
              <w:t>%</w:t>
            </w:r>
          </w:p>
        </w:tc>
      </w:tr>
      <w:tr w:rsidR="007B1F81" w:rsidRPr="00B57B36" w:rsidTr="00986237">
        <w:tc>
          <w:tcPr>
            <w:tcW w:w="1560" w:type="dxa"/>
            <w:shd w:val="clear" w:color="auto" w:fill="FFFFFF"/>
            <w:vAlign w:val="center"/>
          </w:tcPr>
          <w:p w:rsidR="007B1F81" w:rsidRPr="00B57B36" w:rsidRDefault="007B1F81" w:rsidP="00986237">
            <w:pPr>
              <w:pStyle w:val="CETBodytext"/>
              <w:jc w:val="center"/>
              <w:rPr>
                <w:lang w:val="en-GB"/>
              </w:rPr>
            </w:pPr>
            <w:r>
              <w:rPr>
                <w:lang w:val="en-GB"/>
              </w:rPr>
              <w:t>7</w:t>
            </w:r>
          </w:p>
        </w:tc>
        <w:tc>
          <w:tcPr>
            <w:tcW w:w="2268" w:type="dxa"/>
            <w:shd w:val="clear" w:color="auto" w:fill="FFFFFF"/>
          </w:tcPr>
          <w:p w:rsidR="007B1F81" w:rsidRPr="00B57B36" w:rsidRDefault="007B1F81" w:rsidP="00986237">
            <w:pPr>
              <w:pStyle w:val="CETBodytext"/>
              <w:jc w:val="center"/>
              <w:rPr>
                <w:lang w:val="en-GB"/>
              </w:rPr>
            </w:pPr>
            <w:r w:rsidRPr="00DB4540">
              <w:t>2.0027</w:t>
            </w:r>
          </w:p>
        </w:tc>
        <w:tc>
          <w:tcPr>
            <w:tcW w:w="1842" w:type="dxa"/>
            <w:shd w:val="clear" w:color="auto" w:fill="FFFFFF"/>
          </w:tcPr>
          <w:p w:rsidR="007B1F81" w:rsidRPr="00B57B36" w:rsidRDefault="007B1F81" w:rsidP="00986237">
            <w:pPr>
              <w:pStyle w:val="CETBodytext"/>
              <w:jc w:val="center"/>
              <w:rPr>
                <w:lang w:val="en-GB"/>
              </w:rPr>
            </w:pPr>
            <w:r w:rsidRPr="00D01F49">
              <w:t>7.6</w:t>
            </w:r>
          </w:p>
        </w:tc>
        <w:tc>
          <w:tcPr>
            <w:tcW w:w="1843" w:type="dxa"/>
            <w:shd w:val="clear" w:color="auto" w:fill="FFFFFF"/>
          </w:tcPr>
          <w:p w:rsidR="007B1F81" w:rsidRPr="00B57B36" w:rsidRDefault="007B1F81" w:rsidP="00986237">
            <w:pPr>
              <w:pStyle w:val="CETBodytext"/>
              <w:ind w:right="-1"/>
              <w:jc w:val="center"/>
              <w:rPr>
                <w:rFonts w:cs="Arial"/>
                <w:szCs w:val="18"/>
                <w:lang w:val="en-GB"/>
              </w:rPr>
            </w:pPr>
            <w:r w:rsidRPr="007D6FD9">
              <w:t>38</w:t>
            </w:r>
          </w:p>
        </w:tc>
      </w:tr>
      <w:tr w:rsidR="007B1F81" w:rsidRPr="00B57B36" w:rsidTr="00986237">
        <w:tc>
          <w:tcPr>
            <w:tcW w:w="1560" w:type="dxa"/>
            <w:shd w:val="clear" w:color="auto" w:fill="FFFFFF"/>
            <w:vAlign w:val="center"/>
          </w:tcPr>
          <w:p w:rsidR="007B1F81" w:rsidRPr="00B57B36" w:rsidRDefault="007B1F81" w:rsidP="00986237">
            <w:pPr>
              <w:pStyle w:val="CETBodytext"/>
              <w:ind w:right="-1"/>
              <w:jc w:val="center"/>
              <w:rPr>
                <w:rFonts w:cs="Arial"/>
                <w:szCs w:val="18"/>
                <w:lang w:val="en-GB"/>
              </w:rPr>
            </w:pPr>
            <w:r>
              <w:rPr>
                <w:rFonts w:cs="Arial"/>
                <w:szCs w:val="18"/>
                <w:lang w:val="en-GB"/>
              </w:rPr>
              <w:t>9</w:t>
            </w:r>
          </w:p>
        </w:tc>
        <w:tc>
          <w:tcPr>
            <w:tcW w:w="2268" w:type="dxa"/>
            <w:shd w:val="clear" w:color="auto" w:fill="FFFFFF"/>
          </w:tcPr>
          <w:p w:rsidR="007B1F81" w:rsidRPr="00B57B36" w:rsidRDefault="007B1F81" w:rsidP="00986237">
            <w:pPr>
              <w:pStyle w:val="CETBodytext"/>
              <w:ind w:right="-1"/>
              <w:jc w:val="center"/>
              <w:rPr>
                <w:rFonts w:cs="Arial"/>
                <w:szCs w:val="18"/>
                <w:lang w:val="en-GB"/>
              </w:rPr>
            </w:pPr>
            <w:r w:rsidRPr="00DB4540">
              <w:t>2.0025</w:t>
            </w:r>
          </w:p>
        </w:tc>
        <w:tc>
          <w:tcPr>
            <w:tcW w:w="1842" w:type="dxa"/>
            <w:shd w:val="clear" w:color="auto" w:fill="FFFFFF"/>
          </w:tcPr>
          <w:p w:rsidR="007B1F81" w:rsidRPr="00B57B36" w:rsidRDefault="007B1F81" w:rsidP="00986237">
            <w:pPr>
              <w:pStyle w:val="CETBodytext"/>
              <w:ind w:right="-1"/>
              <w:jc w:val="center"/>
              <w:rPr>
                <w:rFonts w:cs="Arial"/>
                <w:szCs w:val="18"/>
                <w:lang w:val="en-GB"/>
              </w:rPr>
            </w:pPr>
            <w:r w:rsidRPr="00D01F49">
              <w:t>2.8</w:t>
            </w:r>
          </w:p>
        </w:tc>
        <w:tc>
          <w:tcPr>
            <w:tcW w:w="1843" w:type="dxa"/>
            <w:shd w:val="clear" w:color="auto" w:fill="FFFFFF"/>
          </w:tcPr>
          <w:p w:rsidR="007B1F81" w:rsidRPr="00B57B36" w:rsidRDefault="007B1F81" w:rsidP="00986237">
            <w:pPr>
              <w:pStyle w:val="CETBodytext"/>
              <w:ind w:right="-1"/>
              <w:jc w:val="center"/>
              <w:rPr>
                <w:rFonts w:cs="Arial"/>
                <w:szCs w:val="18"/>
                <w:lang w:val="en-GB"/>
              </w:rPr>
            </w:pPr>
            <w:r w:rsidRPr="007D6FD9">
              <w:t>98</w:t>
            </w:r>
          </w:p>
        </w:tc>
      </w:tr>
      <w:tr w:rsidR="007B1F81" w:rsidRPr="00B57B36" w:rsidTr="00986237">
        <w:tc>
          <w:tcPr>
            <w:tcW w:w="1560" w:type="dxa"/>
            <w:shd w:val="clear" w:color="auto" w:fill="FFFFFF"/>
            <w:vAlign w:val="center"/>
          </w:tcPr>
          <w:p w:rsidR="007B1F81" w:rsidRPr="00B57B36" w:rsidRDefault="007B1F81" w:rsidP="00986237">
            <w:pPr>
              <w:pStyle w:val="CETBodytext"/>
              <w:ind w:right="-1"/>
              <w:jc w:val="center"/>
              <w:rPr>
                <w:rFonts w:cs="Arial"/>
                <w:szCs w:val="18"/>
                <w:lang w:val="en-GB"/>
              </w:rPr>
            </w:pPr>
            <w:r>
              <w:rPr>
                <w:rFonts w:cs="Arial"/>
                <w:szCs w:val="18"/>
                <w:lang w:val="en-GB"/>
              </w:rPr>
              <w:t>14</w:t>
            </w:r>
          </w:p>
        </w:tc>
        <w:tc>
          <w:tcPr>
            <w:tcW w:w="2268" w:type="dxa"/>
            <w:shd w:val="clear" w:color="auto" w:fill="FFFFFF"/>
          </w:tcPr>
          <w:p w:rsidR="007B1F81" w:rsidRPr="00B57B36" w:rsidRDefault="007B1F81" w:rsidP="00986237">
            <w:pPr>
              <w:pStyle w:val="CETBodytext"/>
              <w:ind w:right="-1"/>
              <w:jc w:val="center"/>
              <w:rPr>
                <w:rFonts w:cs="Arial"/>
                <w:szCs w:val="18"/>
                <w:lang w:val="en-GB"/>
              </w:rPr>
            </w:pPr>
            <w:r w:rsidRPr="00DB4540">
              <w:t>2.0027</w:t>
            </w:r>
          </w:p>
        </w:tc>
        <w:tc>
          <w:tcPr>
            <w:tcW w:w="1842" w:type="dxa"/>
            <w:shd w:val="clear" w:color="auto" w:fill="FFFFFF"/>
          </w:tcPr>
          <w:p w:rsidR="007B1F81" w:rsidRPr="00B57B36" w:rsidRDefault="007B1F81" w:rsidP="00986237">
            <w:pPr>
              <w:pStyle w:val="CETBodytext"/>
              <w:ind w:right="-1"/>
              <w:jc w:val="center"/>
              <w:rPr>
                <w:rFonts w:cs="Arial"/>
                <w:szCs w:val="18"/>
                <w:lang w:val="en-GB"/>
              </w:rPr>
            </w:pPr>
            <w:r w:rsidRPr="00D01F49">
              <w:t>6.2</w:t>
            </w:r>
          </w:p>
        </w:tc>
        <w:tc>
          <w:tcPr>
            <w:tcW w:w="1843" w:type="dxa"/>
            <w:shd w:val="clear" w:color="auto" w:fill="FFFFFF"/>
          </w:tcPr>
          <w:p w:rsidR="007B1F81" w:rsidRPr="00B57B36" w:rsidRDefault="007B1F81" w:rsidP="00986237">
            <w:pPr>
              <w:pStyle w:val="CETBodytext"/>
              <w:ind w:right="-1"/>
              <w:jc w:val="center"/>
              <w:rPr>
                <w:rFonts w:cs="Arial"/>
                <w:szCs w:val="18"/>
                <w:lang w:val="en-GB"/>
              </w:rPr>
            </w:pPr>
            <w:r w:rsidRPr="007D6FD9">
              <w:t>28</w:t>
            </w:r>
          </w:p>
        </w:tc>
      </w:tr>
    </w:tbl>
    <w:p w:rsidR="007B1F81" w:rsidRPr="00126E19" w:rsidRDefault="007B1F81" w:rsidP="007B1F81">
      <w:pPr>
        <w:pStyle w:val="CETHeading1"/>
      </w:pPr>
      <w:r w:rsidRPr="00126E19">
        <w:t>Conclusions</w:t>
      </w:r>
    </w:p>
    <w:p w:rsidR="007B1F81" w:rsidRPr="00784AED" w:rsidRDefault="007B1F81" w:rsidP="007B1F81">
      <w:pPr>
        <w:pStyle w:val="CETBodytext"/>
        <w:rPr>
          <w:szCs w:val="18"/>
        </w:rPr>
      </w:pPr>
      <w:r w:rsidRPr="00784AED">
        <w:rPr>
          <w:rStyle w:val="CETBodytextCarattere"/>
          <w:szCs w:val="18"/>
        </w:rPr>
        <w:t xml:space="preserve">In this work, a characterization of carbonaceous particles, produced in a laminar </w:t>
      </w:r>
      <w:r>
        <w:rPr>
          <w:rStyle w:val="CETBodytextCarattere"/>
          <w:szCs w:val="18"/>
        </w:rPr>
        <w:t>p</w:t>
      </w:r>
      <w:r w:rsidRPr="00784AED">
        <w:rPr>
          <w:rStyle w:val="CETBodytextCarattere"/>
          <w:szCs w:val="18"/>
        </w:rPr>
        <w:t xml:space="preserve">remixed flame has been performed. In order to characterize these compounds, the analytic investigations </w:t>
      </w:r>
      <w:r>
        <w:rPr>
          <w:rStyle w:val="CETBodytextCarattere"/>
          <w:szCs w:val="18"/>
        </w:rPr>
        <w:t>have comprised</w:t>
      </w:r>
      <w:r w:rsidRPr="00784AED">
        <w:rPr>
          <w:rStyle w:val="CETBodytextCarattere"/>
          <w:szCs w:val="18"/>
        </w:rPr>
        <w:t xml:space="preserve"> PSDs measurements</w:t>
      </w:r>
      <w:r>
        <w:rPr>
          <w:rStyle w:val="CETBodytextCarattere"/>
          <w:szCs w:val="18"/>
        </w:rPr>
        <w:t xml:space="preserve">, </w:t>
      </w:r>
      <w:proofErr w:type="spellStart"/>
      <w:r>
        <w:rPr>
          <w:rStyle w:val="CETBodytextCarattere"/>
          <w:szCs w:val="18"/>
        </w:rPr>
        <w:t>Uv</w:t>
      </w:r>
      <w:proofErr w:type="spellEnd"/>
      <w:r>
        <w:rPr>
          <w:rStyle w:val="CETBodytextCarattere"/>
          <w:szCs w:val="18"/>
        </w:rPr>
        <w:t>-vis spectroscopy,</w:t>
      </w:r>
      <w:r w:rsidRPr="00784AED">
        <w:rPr>
          <w:rStyle w:val="CETBodytextCarattere"/>
          <w:szCs w:val="18"/>
        </w:rPr>
        <w:t xml:space="preserve"> Raman analysis and EPR spectroscopy. As the residence time in flame increases, the PSD changes from unimodal to bimodal</w:t>
      </w:r>
      <w:r>
        <w:rPr>
          <w:rStyle w:val="CETBodytextCarattere"/>
          <w:szCs w:val="18"/>
        </w:rPr>
        <w:t xml:space="preserve"> and the average particle size grow from 2-3 nm up to tens of nm</w:t>
      </w:r>
      <w:r w:rsidRPr="00784AED">
        <w:rPr>
          <w:rStyle w:val="CETBodytextCarattere"/>
          <w:szCs w:val="18"/>
        </w:rPr>
        <w:t xml:space="preserve">. In addition to the particle size, the nanoparticles </w:t>
      </w:r>
      <w:r>
        <w:rPr>
          <w:rStyle w:val="CETBodytextCarattere"/>
          <w:szCs w:val="18"/>
        </w:rPr>
        <w:t xml:space="preserve">go through </w:t>
      </w:r>
      <w:r w:rsidRPr="00784AED">
        <w:rPr>
          <w:rStyle w:val="CETBodytextCarattere"/>
          <w:szCs w:val="18"/>
        </w:rPr>
        <w:t xml:space="preserve">chemical/structural modifications. </w:t>
      </w:r>
      <w:r>
        <w:rPr>
          <w:rStyle w:val="CETBodytextCarattere"/>
          <w:szCs w:val="18"/>
        </w:rPr>
        <w:t>T</w:t>
      </w:r>
      <w:r w:rsidRPr="00784AED">
        <w:rPr>
          <w:rStyle w:val="CETBodytextCarattere"/>
          <w:szCs w:val="18"/>
        </w:rPr>
        <w:t>he analysis of the measured Raman spectra shows that the two main peaks, the D and G bands, change in terms of relative intensity and band position</w:t>
      </w:r>
      <w:r>
        <w:rPr>
          <w:rStyle w:val="CETBodytextCarattere"/>
          <w:szCs w:val="18"/>
        </w:rPr>
        <w:t xml:space="preserve"> following </w:t>
      </w:r>
      <w:r>
        <w:rPr>
          <w:snapToGrid w:val="0"/>
          <w:szCs w:val="18"/>
        </w:rPr>
        <w:t xml:space="preserve">the </w:t>
      </w:r>
      <w:r w:rsidRPr="00784AED">
        <w:rPr>
          <w:snapToGrid w:val="0"/>
          <w:szCs w:val="18"/>
        </w:rPr>
        <w:t>evolution of the soot particles toward a more ordered structure during the growing process.</w:t>
      </w:r>
      <w:r>
        <w:rPr>
          <w:szCs w:val="18"/>
        </w:rPr>
        <w:t xml:space="preserve"> </w:t>
      </w:r>
      <w:r w:rsidRPr="00784AED">
        <w:rPr>
          <w:szCs w:val="18"/>
        </w:rPr>
        <w:t xml:space="preserve">Further details on the structural change and on </w:t>
      </w:r>
      <w:r>
        <w:rPr>
          <w:szCs w:val="18"/>
        </w:rPr>
        <w:t xml:space="preserve">the </w:t>
      </w:r>
      <w:r w:rsidRPr="00784AED">
        <w:rPr>
          <w:szCs w:val="18"/>
        </w:rPr>
        <w:t xml:space="preserve">evolving organization of nanoparticles have been obtained by EPR </w:t>
      </w:r>
      <w:r>
        <w:rPr>
          <w:szCs w:val="18"/>
        </w:rPr>
        <w:t xml:space="preserve">and UV-visible </w:t>
      </w:r>
      <w:r w:rsidRPr="00784AED">
        <w:rPr>
          <w:szCs w:val="18"/>
        </w:rPr>
        <w:t>data. EPR spectroscopy turned out to be a powerful tool to probe electronic properties of carbon-based materials, revealing the presence and superposition of multiple paramagnetic species.</w:t>
      </w:r>
      <w:r>
        <w:rPr>
          <w:szCs w:val="18"/>
        </w:rPr>
        <w:t xml:space="preserve"> These unpaired electrons have a key role in structural organization of materials.</w:t>
      </w:r>
      <w:r w:rsidRPr="00784AED">
        <w:rPr>
          <w:szCs w:val="18"/>
        </w:rPr>
        <w:t xml:space="preserve"> Persistent carbon-centered aromatic radicals are detected for all the sampled particles. Noticing an abrupt change in the EPR signals and parameters, in correspondence of </w:t>
      </w:r>
      <w:r>
        <w:rPr>
          <w:szCs w:val="18"/>
        </w:rPr>
        <w:t xml:space="preserve">the </w:t>
      </w:r>
      <w:r w:rsidRPr="00784AED">
        <w:rPr>
          <w:szCs w:val="18"/>
        </w:rPr>
        <w:t xml:space="preserve">shift from </w:t>
      </w:r>
      <w:proofErr w:type="spellStart"/>
      <w:r w:rsidRPr="00784AED">
        <w:rPr>
          <w:szCs w:val="18"/>
        </w:rPr>
        <w:t>monomodal</w:t>
      </w:r>
      <w:proofErr w:type="spellEnd"/>
      <w:r w:rsidRPr="00784AED">
        <w:rPr>
          <w:szCs w:val="18"/>
        </w:rPr>
        <w:t xml:space="preserve"> to bimodal </w:t>
      </w:r>
      <w:r>
        <w:rPr>
          <w:szCs w:val="18"/>
        </w:rPr>
        <w:t xml:space="preserve">size distributions and at higher residence time </w:t>
      </w:r>
      <w:r w:rsidRPr="00784AED">
        <w:rPr>
          <w:szCs w:val="18"/>
        </w:rPr>
        <w:t xml:space="preserve">it is possible to </w:t>
      </w:r>
      <w:r>
        <w:rPr>
          <w:szCs w:val="18"/>
        </w:rPr>
        <w:t>hypothesize</w:t>
      </w:r>
      <w:r w:rsidRPr="00784AED">
        <w:rPr>
          <w:szCs w:val="18"/>
        </w:rPr>
        <w:t xml:space="preserve"> a </w:t>
      </w:r>
      <w:r>
        <w:rPr>
          <w:szCs w:val="18"/>
        </w:rPr>
        <w:t xml:space="preserve">more ordered </w:t>
      </w:r>
      <w:r w:rsidRPr="00784AED">
        <w:rPr>
          <w:szCs w:val="18"/>
        </w:rPr>
        <w:t>three-dimensional structural organization wh</w:t>
      </w:r>
      <w:r>
        <w:rPr>
          <w:szCs w:val="18"/>
        </w:rPr>
        <w:t xml:space="preserve">en larger particles are formed. These structural changes are confirmed by UV-visible spectroscopy and Band Gap analysis, which are sensitive to both size effects and </w:t>
      </w:r>
      <w:r>
        <w:rPr>
          <w:szCs w:val="18"/>
        </w:rPr>
        <w:lastRenderedPageBreak/>
        <w:t xml:space="preserve">aromatic growth. </w:t>
      </w:r>
      <w:r w:rsidRPr="00784AED">
        <w:rPr>
          <w:szCs w:val="18"/>
        </w:rPr>
        <w:t xml:space="preserve">These results </w:t>
      </w:r>
      <w:r>
        <w:rPr>
          <w:szCs w:val="18"/>
        </w:rPr>
        <w:t xml:space="preserve">are useful for a deeper understanding of flame formed CNP proprieties in the perspective of producing these materials as engineered nanomaterial in various </w:t>
      </w:r>
      <w:r w:rsidRPr="00784AED">
        <w:rPr>
          <w:szCs w:val="18"/>
        </w:rPr>
        <w:t>fields</w:t>
      </w:r>
      <w:r>
        <w:rPr>
          <w:szCs w:val="18"/>
        </w:rPr>
        <w:t>.</w:t>
      </w:r>
    </w:p>
    <w:p w:rsidR="007B1F81" w:rsidRPr="00615856" w:rsidRDefault="007B1F81" w:rsidP="00E43D86">
      <w:pPr>
        <w:pStyle w:val="CETReference"/>
        <w:rPr>
          <w:snapToGrid w:val="0"/>
          <w:lang w:val="en-US"/>
        </w:rPr>
      </w:pPr>
      <w:r w:rsidRPr="00615856">
        <w:rPr>
          <w:snapToGrid w:val="0"/>
          <w:lang w:val="en-US"/>
        </w:rPr>
        <w:t>References</w:t>
      </w:r>
    </w:p>
    <w:p w:rsidR="007B1F81" w:rsidRPr="00E43D86" w:rsidRDefault="007B1F81" w:rsidP="00E43D86">
      <w:pPr>
        <w:pStyle w:val="CETReferencetext"/>
      </w:pPr>
      <w:r w:rsidRPr="00E43D86">
        <w:t>Bond T.C., Doherty S.J., Fahey D.W., et al., 2013, Bounding the role of black carbon in the climate system: A scientific assessment, Journal of Geophysical Research: Atmospheres, 118, 5380–5552.</w:t>
      </w:r>
    </w:p>
    <w:p w:rsidR="007B1F81" w:rsidRPr="00E43D86" w:rsidRDefault="007B1F81" w:rsidP="00E43D86">
      <w:pPr>
        <w:pStyle w:val="CETReferencetext"/>
      </w:pPr>
      <w:proofErr w:type="spellStart"/>
      <w:r w:rsidRPr="00E43D86">
        <w:t>Commodo</w:t>
      </w:r>
      <w:proofErr w:type="spellEnd"/>
      <w:r w:rsidRPr="00E43D86">
        <w:t xml:space="preserve">, M., De Falco, G., Bruno, A., </w:t>
      </w:r>
      <w:proofErr w:type="spellStart"/>
      <w:r w:rsidRPr="00E43D86">
        <w:t>Borriello</w:t>
      </w:r>
      <w:proofErr w:type="spellEnd"/>
      <w:r w:rsidRPr="00E43D86">
        <w:t xml:space="preserve">, C., Minutolo, P., </w:t>
      </w:r>
      <w:proofErr w:type="spellStart"/>
      <w:r w:rsidRPr="00E43D86">
        <w:t>D’Anna</w:t>
      </w:r>
      <w:proofErr w:type="spellEnd"/>
      <w:r w:rsidRPr="00E43D86">
        <w:t>, A., 2015, Physicochemical evolution of nascent soot particles in a laminar premixed flame: From nucleation to early growth, Combustion and Flame, 162, 3854–3863.</w:t>
      </w:r>
    </w:p>
    <w:p w:rsidR="007B1F81" w:rsidRPr="00E43D86" w:rsidRDefault="007B1F81" w:rsidP="00E43D86">
      <w:pPr>
        <w:pStyle w:val="CETReferencetext"/>
      </w:pPr>
      <w:proofErr w:type="spellStart"/>
      <w:r w:rsidRPr="00E43D86">
        <w:t>Commodo</w:t>
      </w:r>
      <w:proofErr w:type="spellEnd"/>
      <w:r w:rsidRPr="00E43D86">
        <w:t xml:space="preserve"> M., De Falco G., Minutolo P., </w:t>
      </w:r>
      <w:proofErr w:type="spellStart"/>
      <w:r w:rsidRPr="00E43D86">
        <w:t>D'Anna</w:t>
      </w:r>
      <w:proofErr w:type="spellEnd"/>
      <w:r w:rsidRPr="00E43D86">
        <w:t xml:space="preserve"> A., 2018, Structure and size of soot nanoparticles in laminar premixed flames at different equivalence ratios, Fuel, 216, 456–462.</w:t>
      </w:r>
    </w:p>
    <w:p w:rsidR="007B1F81" w:rsidRPr="00E43D86" w:rsidRDefault="007B1F81" w:rsidP="00E43D86">
      <w:pPr>
        <w:pStyle w:val="CETReferencetext"/>
      </w:pPr>
      <w:proofErr w:type="spellStart"/>
      <w:r w:rsidRPr="00E43D86">
        <w:t>Commodo</w:t>
      </w:r>
      <w:proofErr w:type="spellEnd"/>
      <w:r w:rsidRPr="00E43D86">
        <w:t xml:space="preserve"> M., De Falco G., Minutolo P., </w:t>
      </w:r>
      <w:proofErr w:type="spellStart"/>
      <w:r w:rsidRPr="00E43D86">
        <w:t>D'Anna</w:t>
      </w:r>
      <w:proofErr w:type="spellEnd"/>
      <w:r w:rsidRPr="00E43D86">
        <w:t xml:space="preserve"> A., 2016, </w:t>
      </w:r>
      <w:proofErr w:type="spellStart"/>
      <w:r w:rsidRPr="00E43D86">
        <w:t>Thermophoretic</w:t>
      </w:r>
      <w:proofErr w:type="spellEnd"/>
      <w:r w:rsidRPr="00E43D86">
        <w:t xml:space="preserve"> sensors for combustion formed nanoparticles, Chemical Engineering Transaction, 47, 25–30.</w:t>
      </w:r>
    </w:p>
    <w:p w:rsidR="007B1F81" w:rsidRPr="00E43D86" w:rsidRDefault="007B1F81" w:rsidP="00E43D86">
      <w:pPr>
        <w:pStyle w:val="CETReferencetext"/>
      </w:pPr>
      <w:r w:rsidRPr="00E43D86">
        <w:t xml:space="preserve">De Falco G., </w:t>
      </w:r>
      <w:proofErr w:type="spellStart"/>
      <w:r w:rsidRPr="00E43D86">
        <w:t>Terlizzi</w:t>
      </w:r>
      <w:proofErr w:type="spellEnd"/>
      <w:r w:rsidRPr="00E43D86">
        <w:t xml:space="preserve"> M., </w:t>
      </w:r>
      <w:proofErr w:type="spellStart"/>
      <w:r w:rsidRPr="00E43D86">
        <w:t>Sirignano</w:t>
      </w:r>
      <w:proofErr w:type="spellEnd"/>
      <w:r w:rsidRPr="00E43D86">
        <w:t xml:space="preserve"> M., </w:t>
      </w:r>
      <w:proofErr w:type="spellStart"/>
      <w:r w:rsidRPr="00E43D86">
        <w:t>Commodo</w:t>
      </w:r>
      <w:proofErr w:type="spellEnd"/>
      <w:r w:rsidRPr="00E43D86">
        <w:t xml:space="preserve"> M., </w:t>
      </w:r>
      <w:proofErr w:type="spellStart"/>
      <w:r w:rsidRPr="00E43D86">
        <w:t>D’Anna</w:t>
      </w:r>
      <w:proofErr w:type="spellEnd"/>
      <w:r w:rsidRPr="00E43D86">
        <w:t xml:space="preserve"> A., Aquino R.P., Pinto A., Sorrentino R.., 2017,Human peripheral blood mononuclear cells (PBMCs) from smokers release higher levels of IL-1-like cytokines after exposure to combustion-generated ultrafine particles, Scientific Reports, 7, 43016.</w:t>
      </w:r>
    </w:p>
    <w:p w:rsidR="007B1F81" w:rsidRPr="00E43D86" w:rsidRDefault="007B1F81" w:rsidP="00E43D86">
      <w:pPr>
        <w:pStyle w:val="CETReferencetext"/>
      </w:pPr>
      <w:r w:rsidRPr="00E43D86">
        <w:t xml:space="preserve">Ferrari </w:t>
      </w:r>
      <w:proofErr w:type="spellStart"/>
      <w:r w:rsidRPr="00E43D86">
        <w:t>A.C.and</w:t>
      </w:r>
      <w:proofErr w:type="spellEnd"/>
      <w:r w:rsidRPr="00E43D86">
        <w:t xml:space="preserve"> Robertson J., 2001,Resonant Raman spectroscopy of disordered, amorphous, and </w:t>
      </w:r>
      <w:proofErr w:type="spellStart"/>
      <w:r w:rsidRPr="00E43D86">
        <w:t>diamondlike</w:t>
      </w:r>
      <w:proofErr w:type="spellEnd"/>
      <w:r w:rsidRPr="00E43D86">
        <w:t xml:space="preserve"> carbon, Physical Review . B, 64, 075414.</w:t>
      </w:r>
    </w:p>
    <w:p w:rsidR="007B1F81" w:rsidRPr="00E43D86" w:rsidRDefault="007B1F81" w:rsidP="00E43D86">
      <w:pPr>
        <w:pStyle w:val="CETReferencetext"/>
      </w:pPr>
      <w:r w:rsidRPr="00E43D86">
        <w:t xml:space="preserve">Ferrari and </w:t>
      </w:r>
      <w:proofErr w:type="spellStart"/>
      <w:r w:rsidRPr="00E43D86">
        <w:t>Basko</w:t>
      </w:r>
      <w:proofErr w:type="spellEnd"/>
      <w:r w:rsidRPr="00E43D86">
        <w:t>, 2013, Raman spectroscopy as a versatile tool for studying the properties of graphene, Nature Nanotechnology, 8, 235–246.</w:t>
      </w:r>
    </w:p>
    <w:p w:rsidR="007B1F81" w:rsidRPr="00E43D86" w:rsidRDefault="007B1F81" w:rsidP="00E43D86">
      <w:pPr>
        <w:pStyle w:val="CETReferencetext"/>
      </w:pPr>
      <w:proofErr w:type="spellStart"/>
      <w:r w:rsidRPr="00E43D86">
        <w:t>Gualtieri</w:t>
      </w:r>
      <w:proofErr w:type="spellEnd"/>
      <w:r w:rsidRPr="00E43D86">
        <w:t xml:space="preserve"> M., </w:t>
      </w:r>
      <w:proofErr w:type="spellStart"/>
      <w:r w:rsidRPr="00E43D86">
        <w:t>Mantecca</w:t>
      </w:r>
      <w:proofErr w:type="spellEnd"/>
      <w:r w:rsidRPr="00E43D86">
        <w:t xml:space="preserve"> P., </w:t>
      </w:r>
      <w:proofErr w:type="spellStart"/>
      <w:r w:rsidRPr="00E43D86">
        <w:t>Corvaja</w:t>
      </w:r>
      <w:proofErr w:type="spellEnd"/>
      <w:r w:rsidRPr="00E43D86">
        <w:t xml:space="preserve"> V., </w:t>
      </w:r>
      <w:proofErr w:type="spellStart"/>
      <w:r w:rsidRPr="00E43D86">
        <w:t>Bolzacchini</w:t>
      </w:r>
      <w:proofErr w:type="spellEnd"/>
      <w:r w:rsidRPr="00E43D86">
        <w:t xml:space="preserve"> E., </w:t>
      </w:r>
      <w:proofErr w:type="spellStart"/>
      <w:r w:rsidRPr="00E43D86">
        <w:t>Fustella</w:t>
      </w:r>
      <w:proofErr w:type="spellEnd"/>
      <w:r w:rsidRPr="00E43D86">
        <w:t xml:space="preserve"> G., </w:t>
      </w:r>
      <w:proofErr w:type="spellStart"/>
      <w:r w:rsidRPr="00E43D86">
        <w:t>Zerbi</w:t>
      </w:r>
      <w:proofErr w:type="spellEnd"/>
      <w:r w:rsidRPr="00E43D86">
        <w:t xml:space="preserve"> G., </w:t>
      </w:r>
      <w:proofErr w:type="spellStart"/>
      <w:r w:rsidRPr="00E43D86">
        <w:t>Camatini</w:t>
      </w:r>
      <w:proofErr w:type="spellEnd"/>
      <w:r w:rsidRPr="00E43D86">
        <w:t xml:space="preserve"> M., 2008, Fine PM and health: in vitro results, Chemical Engineering Transaction, 16, 411–418.</w:t>
      </w:r>
    </w:p>
    <w:p w:rsidR="007B1F81" w:rsidRPr="00E43D86" w:rsidRDefault="007B1F81" w:rsidP="00E43D86">
      <w:pPr>
        <w:pStyle w:val="CETReferencetext"/>
        <w:rPr>
          <w:rFonts w:eastAsiaTheme="minorHAnsi"/>
        </w:rPr>
      </w:pPr>
      <w:r w:rsidRPr="00E43D86">
        <w:rPr>
          <w:rFonts w:eastAsiaTheme="minorHAnsi"/>
        </w:rPr>
        <w:t xml:space="preserve">Herring P., </w:t>
      </w:r>
      <w:proofErr w:type="spellStart"/>
      <w:r w:rsidRPr="00E43D86">
        <w:rPr>
          <w:rFonts w:eastAsiaTheme="minorHAnsi"/>
        </w:rPr>
        <w:t>Khachatryan</w:t>
      </w:r>
      <w:proofErr w:type="spellEnd"/>
      <w:r w:rsidRPr="00E43D86">
        <w:rPr>
          <w:rFonts w:eastAsiaTheme="minorHAnsi"/>
        </w:rPr>
        <w:t xml:space="preserve"> L., </w:t>
      </w:r>
      <w:proofErr w:type="spellStart"/>
      <w:r w:rsidRPr="00E43D86">
        <w:rPr>
          <w:rFonts w:eastAsiaTheme="minorHAnsi"/>
        </w:rPr>
        <w:t>Lomnicki</w:t>
      </w:r>
      <w:proofErr w:type="spellEnd"/>
      <w:r w:rsidRPr="00E43D86">
        <w:rPr>
          <w:rFonts w:eastAsiaTheme="minorHAnsi"/>
        </w:rPr>
        <w:t xml:space="preserve"> S., Dellinger B., 2013, Paramagnetic </w:t>
      </w:r>
      <w:proofErr w:type="spellStart"/>
      <w:r w:rsidRPr="00E43D86">
        <w:rPr>
          <w:rFonts w:eastAsiaTheme="minorHAnsi"/>
        </w:rPr>
        <w:t>centers</w:t>
      </w:r>
      <w:proofErr w:type="spellEnd"/>
      <w:r w:rsidRPr="00E43D86">
        <w:rPr>
          <w:rFonts w:eastAsiaTheme="minorHAnsi"/>
        </w:rPr>
        <w:t xml:space="preserve"> in particulate formed from the oxidative pyrolysis of 1-methylnaphthalene in the presence of Fe(III)2O3 nanoparticles, Combustion and Flame 160, 2996</w:t>
      </w:r>
      <w:r w:rsidRPr="00E43D86">
        <w:t>–</w:t>
      </w:r>
      <w:r w:rsidRPr="00E43D86">
        <w:rPr>
          <w:rFonts w:eastAsiaTheme="minorHAnsi"/>
        </w:rPr>
        <w:t>3003.</w:t>
      </w:r>
    </w:p>
    <w:p w:rsidR="007B1F81" w:rsidRPr="00E43D86" w:rsidRDefault="007B1F81" w:rsidP="00E43D86">
      <w:pPr>
        <w:pStyle w:val="CETReferencetext"/>
      </w:pPr>
      <w:r w:rsidRPr="00E43D86">
        <w:t xml:space="preserve">Ingram, D.J.E., 1958, Free radicals as studied by electron spin resonance. London: Butterworths Scientific Publications, 210. </w:t>
      </w:r>
    </w:p>
    <w:p w:rsidR="007B1F81" w:rsidRPr="00E43D86" w:rsidRDefault="007B1F81" w:rsidP="00E43D86">
      <w:pPr>
        <w:pStyle w:val="CETReferencetext"/>
      </w:pPr>
      <w:r w:rsidRPr="00E43D86">
        <w:t xml:space="preserve">Li S., Ren Y., Biswas P., </w:t>
      </w:r>
      <w:proofErr w:type="spellStart"/>
      <w:r w:rsidRPr="00E43D86">
        <w:t>Tse</w:t>
      </w:r>
      <w:proofErr w:type="spellEnd"/>
      <w:r w:rsidRPr="00E43D86">
        <w:t xml:space="preserve"> S.D., 2016, Flame aerosol synthesis of nanostructured materials and functional devices: processing, </w:t>
      </w:r>
      <w:proofErr w:type="spellStart"/>
      <w:r w:rsidRPr="00E43D86">
        <w:t>modeling</w:t>
      </w:r>
      <w:proofErr w:type="spellEnd"/>
      <w:r w:rsidRPr="00E43D86">
        <w:t>, and diagnostics, Progress in Energy and Combustion Science, 55, 1–5 .</w:t>
      </w:r>
    </w:p>
    <w:p w:rsidR="007B1F81" w:rsidRPr="00E43D86" w:rsidRDefault="007B1F81" w:rsidP="00E43D86">
      <w:pPr>
        <w:pStyle w:val="CETReferencetext"/>
      </w:pPr>
      <w:r w:rsidRPr="00E43D86">
        <w:t xml:space="preserve">Minutolo P., </w:t>
      </w:r>
      <w:proofErr w:type="spellStart"/>
      <w:r w:rsidRPr="00E43D86">
        <w:t>Commodo</w:t>
      </w:r>
      <w:proofErr w:type="spellEnd"/>
      <w:r w:rsidRPr="00E43D86">
        <w:t xml:space="preserve"> M., Santamaria M., De Falco G., </w:t>
      </w:r>
      <w:proofErr w:type="spellStart"/>
      <w:r w:rsidRPr="00E43D86">
        <w:t>D’Anna</w:t>
      </w:r>
      <w:proofErr w:type="spellEnd"/>
      <w:r w:rsidRPr="00E43D86">
        <w:t xml:space="preserve"> A., 2014, Characterization of flame generated 2-D carbon </w:t>
      </w:r>
      <w:proofErr w:type="spellStart"/>
      <w:r w:rsidRPr="00E43D86">
        <w:t>nano</w:t>
      </w:r>
      <w:proofErr w:type="spellEnd"/>
      <w:r w:rsidRPr="00E43D86">
        <w:t>-disk, Carbon, 68,138–148.</w:t>
      </w:r>
    </w:p>
    <w:p w:rsidR="007B1F81" w:rsidRPr="00E43D86" w:rsidRDefault="007B1F81" w:rsidP="00E43D86">
      <w:pPr>
        <w:pStyle w:val="CETReferencetext"/>
        <w:rPr>
          <w:rFonts w:eastAsiaTheme="minorHAnsi"/>
        </w:rPr>
      </w:pPr>
      <w:proofErr w:type="spellStart"/>
      <w:r w:rsidRPr="00E43D86">
        <w:rPr>
          <w:rFonts w:eastAsiaTheme="minorHAnsi"/>
        </w:rPr>
        <w:t>Pilawa</w:t>
      </w:r>
      <w:proofErr w:type="spellEnd"/>
      <w:r w:rsidRPr="00E43D86">
        <w:rPr>
          <w:rFonts w:eastAsiaTheme="minorHAnsi"/>
        </w:rPr>
        <w:t xml:space="preserve"> B., </w:t>
      </w:r>
      <w:proofErr w:type="spellStart"/>
      <w:r w:rsidRPr="00E43D86">
        <w:rPr>
          <w:rFonts w:eastAsiaTheme="minorHAnsi"/>
        </w:rPr>
        <w:t>Wieckowski</w:t>
      </w:r>
      <w:proofErr w:type="spellEnd"/>
      <w:r w:rsidRPr="00E43D86">
        <w:rPr>
          <w:rFonts w:eastAsiaTheme="minorHAnsi"/>
        </w:rPr>
        <w:t xml:space="preserve"> A.B., </w:t>
      </w:r>
      <w:proofErr w:type="spellStart"/>
      <w:r w:rsidRPr="00E43D86">
        <w:rPr>
          <w:rFonts w:eastAsiaTheme="minorHAnsi"/>
        </w:rPr>
        <w:t>Pietrzak</w:t>
      </w:r>
      <w:proofErr w:type="spellEnd"/>
      <w:r w:rsidRPr="00E43D86">
        <w:rPr>
          <w:rFonts w:eastAsiaTheme="minorHAnsi"/>
        </w:rPr>
        <w:t xml:space="preserve"> R., </w:t>
      </w:r>
      <w:proofErr w:type="spellStart"/>
      <w:r w:rsidRPr="00E43D86">
        <w:rPr>
          <w:rFonts w:eastAsiaTheme="minorHAnsi"/>
        </w:rPr>
        <w:t>Wachowska</w:t>
      </w:r>
      <w:proofErr w:type="spellEnd"/>
      <w:r w:rsidRPr="00E43D86">
        <w:rPr>
          <w:rFonts w:eastAsiaTheme="minorHAnsi"/>
        </w:rPr>
        <w:t xml:space="preserve"> H., 2005, Multi-Component EPR Spectra of Coals with Different Carbon Content, </w:t>
      </w:r>
      <w:proofErr w:type="spellStart"/>
      <w:r w:rsidRPr="00E43D86">
        <w:rPr>
          <w:rFonts w:eastAsiaTheme="minorHAnsi"/>
        </w:rPr>
        <w:t>Acta</w:t>
      </w:r>
      <w:proofErr w:type="spellEnd"/>
      <w:r w:rsidRPr="00E43D86">
        <w:rPr>
          <w:rFonts w:eastAsiaTheme="minorHAnsi"/>
        </w:rPr>
        <w:t xml:space="preserve"> </w:t>
      </w:r>
      <w:proofErr w:type="spellStart"/>
      <w:r w:rsidRPr="00E43D86">
        <w:rPr>
          <w:rFonts w:eastAsiaTheme="minorHAnsi"/>
        </w:rPr>
        <w:t>Physica</w:t>
      </w:r>
      <w:proofErr w:type="spellEnd"/>
      <w:r w:rsidRPr="00E43D86">
        <w:rPr>
          <w:rFonts w:eastAsiaTheme="minorHAnsi"/>
        </w:rPr>
        <w:t xml:space="preserve"> </w:t>
      </w:r>
      <w:proofErr w:type="spellStart"/>
      <w:r w:rsidRPr="00E43D86">
        <w:rPr>
          <w:rFonts w:eastAsiaTheme="minorHAnsi"/>
        </w:rPr>
        <w:t>Polonica</w:t>
      </w:r>
      <w:proofErr w:type="spellEnd"/>
      <w:r w:rsidRPr="00E43D86">
        <w:rPr>
          <w:rFonts w:eastAsiaTheme="minorHAnsi"/>
        </w:rPr>
        <w:t>. A, 108, 403</w:t>
      </w:r>
      <w:r w:rsidRPr="00E43D86">
        <w:t>–</w:t>
      </w:r>
      <w:r w:rsidRPr="00E43D86">
        <w:rPr>
          <w:rFonts w:eastAsiaTheme="minorHAnsi"/>
        </w:rPr>
        <w:t>407.</w:t>
      </w:r>
    </w:p>
    <w:p w:rsidR="007B1F81" w:rsidRPr="00E43D86" w:rsidRDefault="007B1F81" w:rsidP="00E43D86">
      <w:pPr>
        <w:pStyle w:val="CETReferencetext"/>
        <w:rPr>
          <w:rFonts w:eastAsiaTheme="minorHAnsi"/>
        </w:rPr>
      </w:pPr>
      <w:proofErr w:type="spellStart"/>
      <w:r w:rsidRPr="00E43D86">
        <w:rPr>
          <w:rFonts w:eastAsiaTheme="minorHAnsi"/>
        </w:rPr>
        <w:t>Requejo</w:t>
      </w:r>
      <w:proofErr w:type="spellEnd"/>
      <w:r w:rsidRPr="00E43D86">
        <w:rPr>
          <w:rFonts w:eastAsiaTheme="minorHAnsi"/>
        </w:rPr>
        <w:t xml:space="preserve"> A.G., </w:t>
      </w:r>
      <w:proofErr w:type="spellStart"/>
      <w:r w:rsidRPr="00E43D86">
        <w:rPr>
          <w:rFonts w:eastAsiaTheme="minorHAnsi"/>
        </w:rPr>
        <w:t>Gray</w:t>
      </w:r>
      <w:proofErr w:type="spellEnd"/>
      <w:r w:rsidRPr="00E43D86">
        <w:rPr>
          <w:rFonts w:eastAsiaTheme="minorHAnsi"/>
        </w:rPr>
        <w:t xml:space="preserve"> N. R, Freund H., </w:t>
      </w:r>
      <w:proofErr w:type="spellStart"/>
      <w:r w:rsidRPr="00E43D86">
        <w:rPr>
          <w:rFonts w:eastAsiaTheme="minorHAnsi"/>
        </w:rPr>
        <w:t>Thomann</w:t>
      </w:r>
      <w:proofErr w:type="spellEnd"/>
      <w:r w:rsidRPr="00E43D86">
        <w:rPr>
          <w:rFonts w:eastAsiaTheme="minorHAnsi"/>
        </w:rPr>
        <w:t xml:space="preserve"> H., Melchior M. T., </w:t>
      </w:r>
      <w:proofErr w:type="spellStart"/>
      <w:r w:rsidRPr="00E43D86">
        <w:rPr>
          <w:rFonts w:eastAsiaTheme="minorHAnsi"/>
        </w:rPr>
        <w:t>Gebhard</w:t>
      </w:r>
      <w:proofErr w:type="spellEnd"/>
      <w:r w:rsidRPr="00E43D86">
        <w:rPr>
          <w:rFonts w:eastAsiaTheme="minorHAnsi"/>
        </w:rPr>
        <w:t xml:space="preserve"> L. A., Bernardo M., </w:t>
      </w:r>
      <w:proofErr w:type="spellStart"/>
      <w:r w:rsidRPr="00E43D86">
        <w:rPr>
          <w:rFonts w:eastAsiaTheme="minorHAnsi"/>
        </w:rPr>
        <w:t>Pictroski</w:t>
      </w:r>
      <w:proofErr w:type="spellEnd"/>
      <w:r w:rsidRPr="00E43D86">
        <w:rPr>
          <w:rFonts w:eastAsiaTheme="minorHAnsi"/>
        </w:rPr>
        <w:t xml:space="preserve"> C.F., Hsu C. S., 1992, Maturation of petroleum source rocks. 1. Changes in kerogen structure and composition associated with hydrocarbon generation, Energy Fuels, 6, 203.</w:t>
      </w:r>
    </w:p>
    <w:p w:rsidR="007B1F81" w:rsidRPr="00E43D86" w:rsidRDefault="007B1F81" w:rsidP="00E43D86">
      <w:pPr>
        <w:pStyle w:val="CETReferencetext"/>
      </w:pPr>
      <w:r w:rsidRPr="00E43D86">
        <w:t xml:space="preserve">Schulz F., </w:t>
      </w:r>
      <w:proofErr w:type="spellStart"/>
      <w:r w:rsidRPr="00E43D86">
        <w:t>Commodo</w:t>
      </w:r>
      <w:proofErr w:type="spellEnd"/>
      <w:r w:rsidRPr="00E43D86">
        <w:t xml:space="preserve"> M., Kaiser K., De Falco G., </w:t>
      </w:r>
      <w:proofErr w:type="spellStart"/>
      <w:r w:rsidRPr="00E43D86">
        <w:t>MinutoloP</w:t>
      </w:r>
      <w:proofErr w:type="spellEnd"/>
      <w:r w:rsidRPr="00E43D86">
        <w:t xml:space="preserve">., Meyer G., </w:t>
      </w:r>
      <w:proofErr w:type="spellStart"/>
      <w:r w:rsidRPr="00E43D86">
        <w:t>D’Anna</w:t>
      </w:r>
      <w:proofErr w:type="spellEnd"/>
      <w:r w:rsidRPr="00E43D86">
        <w:t xml:space="preserve"> A., Gross L., 2018, Insights into incipient soot formation by atomic force microscopy. Proceedings of the Combustion Institute, 2018, article in press, </w:t>
      </w:r>
      <w:proofErr w:type="spellStart"/>
      <w:r w:rsidRPr="00E43D86">
        <w:t>doi</w:t>
      </w:r>
      <w:proofErr w:type="spellEnd"/>
      <w:r w:rsidRPr="00E43D86">
        <w:t>: 10.1016/j.proci.2018.06.100.</w:t>
      </w:r>
    </w:p>
    <w:p w:rsidR="007B1F81" w:rsidRPr="00E43D86" w:rsidRDefault="007B1F81" w:rsidP="00E43D86">
      <w:pPr>
        <w:pStyle w:val="CETReferencetext"/>
      </w:pPr>
      <w:proofErr w:type="spellStart"/>
      <w:r w:rsidRPr="00E43D86">
        <w:t>Tauc</w:t>
      </w:r>
      <w:proofErr w:type="spellEnd"/>
      <w:r w:rsidRPr="00E43D86">
        <w:t xml:space="preserve"> J., </w:t>
      </w:r>
      <w:proofErr w:type="spellStart"/>
      <w:r w:rsidRPr="00E43D86">
        <w:t>Grigorovic</w:t>
      </w:r>
      <w:proofErr w:type="spellEnd"/>
      <w:r w:rsidRPr="00E43D86">
        <w:t xml:space="preserve"> R., </w:t>
      </w:r>
      <w:proofErr w:type="spellStart"/>
      <w:r w:rsidRPr="00E43D86">
        <w:t>Vancu</w:t>
      </w:r>
      <w:proofErr w:type="spellEnd"/>
      <w:r w:rsidRPr="00E43D86">
        <w:t xml:space="preserve"> A., 1996, </w:t>
      </w:r>
      <w:proofErr w:type="spellStart"/>
      <w:r w:rsidRPr="00E43D86">
        <w:t>Physica</w:t>
      </w:r>
      <w:proofErr w:type="spellEnd"/>
      <w:r w:rsidRPr="00E43D86">
        <w:t xml:space="preserve"> Status solidi, 15, 627–637.</w:t>
      </w:r>
    </w:p>
    <w:p w:rsidR="007B1F81" w:rsidRPr="00E43D86" w:rsidRDefault="007B1F81" w:rsidP="00E43D86">
      <w:pPr>
        <w:pStyle w:val="CETReferencetext"/>
      </w:pPr>
      <w:proofErr w:type="spellStart"/>
      <w:r w:rsidRPr="00E43D86">
        <w:t>Tuinstra</w:t>
      </w:r>
      <w:proofErr w:type="spellEnd"/>
      <w:r w:rsidRPr="00E43D86">
        <w:t xml:space="preserve"> F. and Koenig J.L, 1970, Raman spectrum of graphite, The Journal of chemical physics, 53, 1126–1130.</w:t>
      </w:r>
    </w:p>
    <w:p w:rsidR="007B1F81" w:rsidRPr="00E43D86" w:rsidRDefault="007B1F81" w:rsidP="00E43D86">
      <w:pPr>
        <w:pStyle w:val="CETReferencetext"/>
        <w:rPr>
          <w:rFonts w:eastAsiaTheme="minorHAnsi"/>
        </w:rPr>
      </w:pPr>
      <w:proofErr w:type="spellStart"/>
      <w:r w:rsidRPr="00E43D86">
        <w:rPr>
          <w:rFonts w:eastAsiaTheme="minorHAnsi"/>
        </w:rPr>
        <w:t>Valavanidis</w:t>
      </w:r>
      <w:proofErr w:type="spellEnd"/>
      <w:r w:rsidRPr="00E43D86">
        <w:rPr>
          <w:rFonts w:eastAsiaTheme="minorHAnsi"/>
        </w:rPr>
        <w:t xml:space="preserve"> A., Iliopoulos N., </w:t>
      </w:r>
      <w:proofErr w:type="spellStart"/>
      <w:r w:rsidRPr="00E43D86">
        <w:rPr>
          <w:rFonts w:eastAsiaTheme="minorHAnsi"/>
        </w:rPr>
        <w:t>Gotsis</w:t>
      </w:r>
      <w:proofErr w:type="spellEnd"/>
      <w:r w:rsidRPr="00E43D86">
        <w:rPr>
          <w:rFonts w:eastAsiaTheme="minorHAnsi"/>
        </w:rPr>
        <w:t xml:space="preserve"> G., </w:t>
      </w:r>
      <w:proofErr w:type="spellStart"/>
      <w:r w:rsidRPr="00E43D86">
        <w:rPr>
          <w:rFonts w:eastAsiaTheme="minorHAnsi"/>
        </w:rPr>
        <w:t>Fiotakis</w:t>
      </w:r>
      <w:proofErr w:type="spellEnd"/>
      <w:r w:rsidRPr="00E43D86">
        <w:rPr>
          <w:rFonts w:eastAsiaTheme="minorHAnsi"/>
        </w:rPr>
        <w:t xml:space="preserve"> K.,2008, Persistent free radicals, heavy metals and PAHs generated in particulate soot emissions and residue ash from controlled combustion of common types of plastic,  Journal of Hazardous Materials, 156, 277</w:t>
      </w:r>
      <w:r w:rsidRPr="00E43D86">
        <w:t>–</w:t>
      </w:r>
      <w:r w:rsidRPr="00E43D86">
        <w:rPr>
          <w:rFonts w:eastAsiaTheme="minorHAnsi"/>
        </w:rPr>
        <w:t>284.</w:t>
      </w:r>
    </w:p>
    <w:p w:rsidR="007B1F81" w:rsidRPr="00E43D86" w:rsidRDefault="007B1F81" w:rsidP="00E43D86">
      <w:pPr>
        <w:pStyle w:val="CETReferencetext"/>
      </w:pPr>
      <w:proofErr w:type="spellStart"/>
      <w:r w:rsidRPr="00E43D86">
        <w:t>Vitiello</w:t>
      </w:r>
      <w:proofErr w:type="spellEnd"/>
      <w:r w:rsidRPr="00E43D86">
        <w:t xml:space="preserve"> G., De Falco G., </w:t>
      </w:r>
      <w:proofErr w:type="spellStart"/>
      <w:r w:rsidRPr="00E43D86">
        <w:t>Picca</w:t>
      </w:r>
      <w:proofErr w:type="spellEnd"/>
      <w:r w:rsidRPr="00E43D86">
        <w:t xml:space="preserve"> F., </w:t>
      </w:r>
      <w:proofErr w:type="spellStart"/>
      <w:r w:rsidRPr="00E43D86">
        <w:t>Commodo</w:t>
      </w:r>
      <w:proofErr w:type="spellEnd"/>
      <w:r w:rsidRPr="00E43D86">
        <w:t xml:space="preserve"> M., </w:t>
      </w:r>
      <w:proofErr w:type="spellStart"/>
      <w:r w:rsidRPr="00E43D86">
        <w:t>D’Errico</w:t>
      </w:r>
      <w:proofErr w:type="spellEnd"/>
      <w:r w:rsidRPr="00E43D86">
        <w:t xml:space="preserve"> G., Minutolo P., </w:t>
      </w:r>
      <w:proofErr w:type="spellStart"/>
      <w:r w:rsidRPr="00E43D86">
        <w:t>D’Anna</w:t>
      </w:r>
      <w:proofErr w:type="spellEnd"/>
      <w:r w:rsidRPr="00E43D86">
        <w:t xml:space="preserve"> A., 2018, On the relevance of radicals in carbon clustering and soot inception: a joint EPR and Raman spectroscopy study, Combustion and Flame, submitted September 23, 2018.</w:t>
      </w:r>
    </w:p>
    <w:p w:rsidR="007B1F81" w:rsidRPr="00E43D86" w:rsidRDefault="007B1F81" w:rsidP="00E43D86">
      <w:pPr>
        <w:pStyle w:val="CETReferencetext"/>
      </w:pPr>
      <w:r w:rsidRPr="00E43D86">
        <w:t xml:space="preserve">Yordanov </w:t>
      </w:r>
      <w:proofErr w:type="spellStart"/>
      <w:r w:rsidRPr="00E43D86">
        <w:t>N.D.and</w:t>
      </w:r>
      <w:proofErr w:type="spellEnd"/>
      <w:r w:rsidRPr="00E43D86">
        <w:t xml:space="preserve"> </w:t>
      </w:r>
      <w:proofErr w:type="spellStart"/>
      <w:r w:rsidRPr="00E43D86">
        <w:t>Lubenova</w:t>
      </w:r>
      <w:proofErr w:type="spellEnd"/>
      <w:r w:rsidRPr="00E43D86">
        <w:t xml:space="preserve"> S., 2000, Effect of dielectric constants, sample containers dimensions and frequency of magnetic field modulation on the quantitative EPR response, </w:t>
      </w:r>
      <w:proofErr w:type="spellStart"/>
      <w:r w:rsidRPr="00E43D86">
        <w:t>Analytica</w:t>
      </w:r>
      <w:proofErr w:type="spellEnd"/>
      <w:r w:rsidRPr="00E43D86">
        <w:t xml:space="preserve"> </w:t>
      </w:r>
      <w:proofErr w:type="spellStart"/>
      <w:r w:rsidRPr="00E43D86">
        <w:t>Chimica</w:t>
      </w:r>
      <w:proofErr w:type="spellEnd"/>
      <w:r w:rsidRPr="00E43D86">
        <w:t xml:space="preserve"> </w:t>
      </w:r>
      <w:proofErr w:type="spellStart"/>
      <w:r w:rsidRPr="00E43D86">
        <w:t>Acta</w:t>
      </w:r>
      <w:proofErr w:type="spellEnd"/>
      <w:r w:rsidRPr="00E43D86">
        <w:t>, 403, 305–313.</w:t>
      </w:r>
    </w:p>
    <w:p w:rsidR="007B1F81" w:rsidRPr="00E43D86" w:rsidRDefault="007B1F81" w:rsidP="00E43D86">
      <w:pPr>
        <w:pStyle w:val="CETReferencetext"/>
      </w:pPr>
      <w:r w:rsidRPr="00E43D86">
        <w:t>Zhao B., Yang Z., Li Z., Wang H., Wexler A.S, Balthasar M., Kraft M.,2003, Measurement and numerical simulation of soot particle size distribution functions in a laminar premixed ethylene oxygen-argon ﬂame, Combustion and Flame, 133, 173–188.</w:t>
      </w:r>
    </w:p>
    <w:sectPr w:rsidR="007B1F81" w:rsidRPr="00E43D8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52" w:rsidRDefault="00840352" w:rsidP="004F5E36">
      <w:r>
        <w:separator/>
      </w:r>
    </w:p>
  </w:endnote>
  <w:endnote w:type="continuationSeparator" w:id="0">
    <w:p w:rsidR="00840352" w:rsidRDefault="008403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52" w:rsidRDefault="00840352" w:rsidP="004F5E36">
      <w:r>
        <w:separator/>
      </w:r>
    </w:p>
  </w:footnote>
  <w:footnote w:type="continuationSeparator" w:id="0">
    <w:p w:rsidR="00840352" w:rsidRDefault="0084035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18B"/>
    <w:rsid w:val="00150E59"/>
    <w:rsid w:val="00152DE3"/>
    <w:rsid w:val="00164CF9"/>
    <w:rsid w:val="00184AD6"/>
    <w:rsid w:val="001B0349"/>
    <w:rsid w:val="001B65C1"/>
    <w:rsid w:val="001C684B"/>
    <w:rsid w:val="001D53FC"/>
    <w:rsid w:val="001F42A5"/>
    <w:rsid w:val="001F7B9D"/>
    <w:rsid w:val="002224B4"/>
    <w:rsid w:val="00233419"/>
    <w:rsid w:val="002447EF"/>
    <w:rsid w:val="00251550"/>
    <w:rsid w:val="00263B05"/>
    <w:rsid w:val="0027221A"/>
    <w:rsid w:val="00275B61"/>
    <w:rsid w:val="00282656"/>
    <w:rsid w:val="00296B83"/>
    <w:rsid w:val="002A490C"/>
    <w:rsid w:val="002B78CE"/>
    <w:rsid w:val="002C2FB6"/>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4664"/>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05FA"/>
    <w:rsid w:val="007A7BBA"/>
    <w:rsid w:val="007B0C50"/>
    <w:rsid w:val="007B1F81"/>
    <w:rsid w:val="007C1A43"/>
    <w:rsid w:val="007E1DC6"/>
    <w:rsid w:val="00813288"/>
    <w:rsid w:val="008168FC"/>
    <w:rsid w:val="00830996"/>
    <w:rsid w:val="008345F1"/>
    <w:rsid w:val="00840352"/>
    <w:rsid w:val="008531D2"/>
    <w:rsid w:val="00865B07"/>
    <w:rsid w:val="008667EA"/>
    <w:rsid w:val="0087637F"/>
    <w:rsid w:val="008904B9"/>
    <w:rsid w:val="00892AD5"/>
    <w:rsid w:val="008A1512"/>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43D86"/>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styleId="Titolodellibro">
    <w:name w:val="Book Title"/>
    <w:basedOn w:val="Carpredefinitoparagrafo"/>
    <w:uiPriority w:val="33"/>
    <w:qFormat/>
    <w:rsid w:val="007B1F8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4A03-1916-4186-9B06-E269FB95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3445</Words>
  <Characters>19641</Characters>
  <Application>Microsoft Office Word</Application>
  <DocSecurity>0</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cp:revision>
  <cp:lastPrinted>2019-04-01T14:32:00Z</cp:lastPrinted>
  <dcterms:created xsi:type="dcterms:W3CDTF">2019-04-01T14:31:00Z</dcterms:created>
  <dcterms:modified xsi:type="dcterms:W3CDTF">2019-04-01T14:33:00Z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