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2A490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2A490C">
              <w:rPr>
                <w:rFonts w:cs="Arial"/>
                <w:b/>
                <w:bCs/>
                <w:i/>
                <w:iCs/>
                <w:color w:val="000066"/>
                <w:sz w:val="22"/>
                <w:szCs w:val="22"/>
                <w:lang w:eastAsia="it-IT"/>
              </w:rPr>
              <w:t>4</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Guest Editors:</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Paolo Ciambelli, Carmelo Sunseri</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71</w:t>
            </w:r>
            <w:r w:rsidR="008D32B9" w:rsidRPr="00131FAB">
              <w:rPr>
                <w:rFonts w:ascii="Tahoma" w:hAnsi="Tahoma" w:cs="Tahoma"/>
                <w:sz w:val="14"/>
                <w:szCs w:val="14"/>
              </w:rPr>
              <w:t>-</w:t>
            </w:r>
            <w:r w:rsidR="008531D2">
              <w:rPr>
                <w:rFonts w:ascii="Tahoma" w:hAnsi="Tahoma" w:cs="Tahoma"/>
                <w:sz w:val="14"/>
                <w:szCs w:val="14"/>
              </w:rPr>
              <w:t>6</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D326DA" w:rsidRPr="000B1E1E" w:rsidRDefault="00D326DA" w:rsidP="00D326DA">
      <w:pPr>
        <w:pStyle w:val="CETTitle"/>
      </w:pPr>
      <w:bookmarkStart w:id="0" w:name="_Hlk529257053"/>
      <w:r w:rsidRPr="000B1E1E">
        <w:t>Production and Characterization of CNF and LCNF, and Manufacture of LCNF-nanostructured Packaging Papers</w:t>
      </w:r>
    </w:p>
    <w:p w:rsidR="00E978D0" w:rsidRPr="00D326DA" w:rsidRDefault="008D777F" w:rsidP="00827F56">
      <w:pPr>
        <w:pStyle w:val="CETAuthors"/>
        <w:rPr>
          <w:lang w:val="pt-BR"/>
        </w:rPr>
      </w:pPr>
      <w:bookmarkStart w:id="1" w:name="_Hlk529258980"/>
      <w:bookmarkStart w:id="2" w:name="_Hlk529258755"/>
      <w:bookmarkEnd w:id="0"/>
      <w:r w:rsidRPr="00D326DA">
        <w:rPr>
          <w:lang w:val="pt-BR"/>
        </w:rPr>
        <w:t>Iara F. Demuner</w:t>
      </w:r>
      <w:r w:rsidRPr="00D326DA">
        <w:rPr>
          <w:vertAlign w:val="superscript"/>
          <w:lang w:val="pt-BR"/>
        </w:rPr>
        <w:t>a</w:t>
      </w:r>
      <w:r w:rsidRPr="00D326DA">
        <w:rPr>
          <w:lang w:val="pt-BR"/>
        </w:rPr>
        <w:t xml:space="preserve">, Jorge L. </w:t>
      </w:r>
      <w:r w:rsidRPr="003379B4">
        <w:rPr>
          <w:lang w:val="pt-BR"/>
        </w:rPr>
        <w:t>Colodette</w:t>
      </w:r>
      <w:r w:rsidRPr="003379B4">
        <w:rPr>
          <w:vertAlign w:val="superscript"/>
          <w:lang w:val="pt-BR"/>
        </w:rPr>
        <w:t>a</w:t>
      </w:r>
      <w:r w:rsidR="00DA6817" w:rsidRPr="003379B4">
        <w:rPr>
          <w:vertAlign w:val="superscript"/>
          <w:lang w:val="pt-BR"/>
        </w:rPr>
        <w:t>,</w:t>
      </w:r>
      <w:r w:rsidR="00DA6817" w:rsidRPr="003379B4">
        <w:rPr>
          <w:lang w:val="pt-BR"/>
        </w:rPr>
        <w:t>*</w:t>
      </w:r>
      <w:r w:rsidR="00384C8B" w:rsidRPr="003379B4">
        <w:rPr>
          <w:lang w:val="pt-BR"/>
        </w:rPr>
        <w:t>,</w:t>
      </w:r>
      <w:r w:rsidR="00384C8B" w:rsidRPr="00D326DA">
        <w:rPr>
          <w:lang w:val="pt-BR"/>
        </w:rPr>
        <w:t xml:space="preserve"> Fernando J.</w:t>
      </w:r>
      <w:r w:rsidRPr="00D326DA">
        <w:rPr>
          <w:lang w:val="pt-BR"/>
        </w:rPr>
        <w:t>B</w:t>
      </w:r>
      <w:r w:rsidR="00384C8B" w:rsidRPr="00D326DA">
        <w:rPr>
          <w:lang w:val="pt-BR"/>
        </w:rPr>
        <w:t>.</w:t>
      </w:r>
      <w:r w:rsidRPr="00D326DA">
        <w:rPr>
          <w:lang w:val="pt-BR"/>
        </w:rPr>
        <w:t xml:space="preserve"> Gomes</w:t>
      </w:r>
      <w:r w:rsidR="00384C8B" w:rsidRPr="00D326DA">
        <w:rPr>
          <w:vertAlign w:val="superscript"/>
          <w:lang w:val="pt-BR"/>
        </w:rPr>
        <w:t>b</w:t>
      </w:r>
      <w:r w:rsidR="003379B4">
        <w:rPr>
          <w:lang w:val="pt-BR"/>
        </w:rPr>
        <w:t>,</w:t>
      </w:r>
      <w:r w:rsidRPr="00D326DA">
        <w:rPr>
          <w:lang w:val="pt-BR"/>
        </w:rPr>
        <w:t xml:space="preserve"> Rubens C</w:t>
      </w:r>
      <w:r w:rsidR="00384C8B" w:rsidRPr="00D326DA">
        <w:rPr>
          <w:lang w:val="pt-BR"/>
        </w:rPr>
        <w:t>.</w:t>
      </w:r>
      <w:r w:rsidR="00827F56" w:rsidRPr="00D326DA">
        <w:rPr>
          <w:lang w:val="pt-BR"/>
        </w:rPr>
        <w:t xml:space="preserve"> </w:t>
      </w:r>
      <w:r w:rsidRPr="00D326DA">
        <w:rPr>
          <w:lang w:val="pt-BR"/>
        </w:rPr>
        <w:t>Oliveira</w:t>
      </w:r>
      <w:r w:rsidRPr="00D326DA">
        <w:rPr>
          <w:vertAlign w:val="superscript"/>
          <w:lang w:val="pt-BR"/>
        </w:rPr>
        <w:t>a</w:t>
      </w:r>
      <w:r w:rsidRPr="00D326DA">
        <w:rPr>
          <w:lang w:val="pt-BR"/>
        </w:rPr>
        <w:t xml:space="preserve"> </w:t>
      </w:r>
    </w:p>
    <w:bookmarkEnd w:id="1"/>
    <w:p w:rsidR="00384C8B" w:rsidRPr="00384C8B" w:rsidRDefault="00E978D0" w:rsidP="00E978D0">
      <w:pPr>
        <w:pStyle w:val="CETAddress"/>
        <w:rPr>
          <w:lang w:val="pt-BR"/>
        </w:rPr>
      </w:pPr>
      <w:r w:rsidRPr="00384C8B">
        <w:rPr>
          <w:vertAlign w:val="superscript"/>
          <w:lang w:val="pt-BR"/>
        </w:rPr>
        <w:t>a</w:t>
      </w:r>
      <w:r w:rsidR="008D777F" w:rsidRPr="00384C8B">
        <w:rPr>
          <w:lang w:val="pt-BR"/>
        </w:rPr>
        <w:t>Federal University of Viçosa,</w:t>
      </w:r>
      <w:r w:rsidR="00384C8B" w:rsidRPr="00384C8B">
        <w:rPr>
          <w:lang w:val="pt-BR"/>
        </w:rPr>
        <w:t xml:space="preserve"> P.H. Rolfs</w:t>
      </w:r>
      <w:r w:rsidR="00384C8B">
        <w:rPr>
          <w:lang w:val="pt-BR"/>
        </w:rPr>
        <w:t xml:space="preserve"> Avenue</w:t>
      </w:r>
      <w:r w:rsidR="00384C8B" w:rsidRPr="00384C8B">
        <w:rPr>
          <w:lang w:val="pt-BR"/>
        </w:rPr>
        <w:t>, S/N</w:t>
      </w:r>
      <w:r w:rsidR="00384C8B">
        <w:rPr>
          <w:lang w:val="pt-BR"/>
        </w:rPr>
        <w:t xml:space="preserve">, Zip Code 36570-000, </w:t>
      </w:r>
      <w:r w:rsidR="00384C8B" w:rsidRPr="00384C8B">
        <w:rPr>
          <w:lang w:val="pt-BR"/>
        </w:rPr>
        <w:t>Brazil</w:t>
      </w:r>
      <w:r w:rsidR="008D777F" w:rsidRPr="00384C8B">
        <w:rPr>
          <w:lang w:val="pt-BR"/>
        </w:rPr>
        <w:t xml:space="preserve"> </w:t>
      </w:r>
    </w:p>
    <w:p w:rsidR="00E978D0" w:rsidRPr="00384C8B" w:rsidRDefault="00E978D0" w:rsidP="00E978D0">
      <w:pPr>
        <w:pStyle w:val="CETAddress"/>
        <w:rPr>
          <w:lang w:val="pt-BR"/>
        </w:rPr>
      </w:pPr>
      <w:r w:rsidRPr="00384C8B">
        <w:rPr>
          <w:vertAlign w:val="superscript"/>
          <w:lang w:val="pt-BR"/>
        </w:rPr>
        <w:t>b</w:t>
      </w:r>
      <w:r w:rsidR="00384C8B" w:rsidRPr="00384C8B">
        <w:rPr>
          <w:lang w:val="pt-BR"/>
        </w:rPr>
        <w:t>Rural Federal University of Rio de Janeiro</w:t>
      </w:r>
      <w:r w:rsidRPr="00C336D0">
        <w:rPr>
          <w:lang w:val="pt-BR"/>
        </w:rPr>
        <w:t xml:space="preserve">, </w:t>
      </w:r>
      <w:r w:rsidR="00C336D0" w:rsidRPr="00C336D0">
        <w:rPr>
          <w:lang w:val="pt-BR"/>
        </w:rPr>
        <w:t xml:space="preserve">Rodovia BR 465, Km 07, </w:t>
      </w:r>
      <w:r w:rsidR="00827F56">
        <w:rPr>
          <w:lang w:val="pt-BR"/>
        </w:rPr>
        <w:t>S/N</w:t>
      </w:r>
      <w:r w:rsidR="00C336D0">
        <w:rPr>
          <w:lang w:val="pt-BR"/>
        </w:rPr>
        <w:t>, Zip Code 23890-000</w:t>
      </w:r>
      <w:r w:rsidR="00384C8B" w:rsidRPr="00C336D0">
        <w:rPr>
          <w:lang w:val="pt-BR"/>
        </w:rPr>
        <w:t>,</w:t>
      </w:r>
      <w:r w:rsidR="00384C8B">
        <w:rPr>
          <w:lang w:val="pt-BR"/>
        </w:rPr>
        <w:t xml:space="preserve"> </w:t>
      </w:r>
      <w:r w:rsidR="00384C8B" w:rsidRPr="00384C8B">
        <w:rPr>
          <w:lang w:val="pt-BR"/>
        </w:rPr>
        <w:t>Brazil</w:t>
      </w:r>
    </w:p>
    <w:p w:rsidR="00E978D0" w:rsidRDefault="00384C8B" w:rsidP="00E978D0">
      <w:pPr>
        <w:pStyle w:val="CETemail"/>
      </w:pPr>
      <w:r w:rsidRPr="00C336D0">
        <w:t>colodett@ufv.br</w:t>
      </w:r>
      <w:r w:rsidR="00AB5011" w:rsidRPr="00384C8B">
        <w:rPr>
          <w:lang w:val="en-US"/>
        </w:rPr>
        <w:t xml:space="preserve"> </w:t>
      </w:r>
    </w:p>
    <w:p w:rsidR="00533689" w:rsidRPr="002679F8" w:rsidRDefault="00533689" w:rsidP="002679F8">
      <w:pPr>
        <w:pStyle w:val="CETListbullets"/>
        <w:ind w:left="0" w:firstLine="0"/>
      </w:pPr>
      <w:bookmarkStart w:id="3" w:name="_Hlk529258853"/>
      <w:bookmarkEnd w:id="2"/>
      <w:r w:rsidRPr="00533689">
        <w:t>Nanotechnology applied to pulp and paper sector enables production of nanostructured papers with excellent strength properties</w:t>
      </w:r>
      <w:r w:rsidR="00341221">
        <w:t xml:space="preserve">. The </w:t>
      </w:r>
      <w:r w:rsidRPr="00533689">
        <w:t xml:space="preserve">addition of </w:t>
      </w:r>
      <w:r w:rsidR="00341221">
        <w:t>l</w:t>
      </w:r>
      <w:r w:rsidR="00341221" w:rsidRPr="00533689">
        <w:t xml:space="preserve">ignocellulose nanofibrils (LCNF) </w:t>
      </w:r>
      <w:r w:rsidRPr="00533689">
        <w:t xml:space="preserve">to traditional </w:t>
      </w:r>
      <w:r w:rsidR="00B25EE5">
        <w:t xml:space="preserve">kraft </w:t>
      </w:r>
      <w:r w:rsidRPr="00533689">
        <w:t>pulps</w:t>
      </w:r>
      <w:r w:rsidR="00341221">
        <w:t xml:space="preserve"> is an attractive </w:t>
      </w:r>
      <w:r w:rsidR="00B25EE5">
        <w:t>alternative for production of improved packaging papers</w:t>
      </w:r>
      <w:r w:rsidRPr="00533689">
        <w:t xml:space="preserve">. In relation to cellulose nanofibrils (CNF), LCNF application in unbleached papers has the advantage of eliminating the costs of bleaching chemicals and potential advantages in drainage. </w:t>
      </w:r>
      <w:bookmarkStart w:id="4" w:name="_Hlk535996058"/>
      <w:r w:rsidRPr="00533689">
        <w:t xml:space="preserve">One aim of this study was </w:t>
      </w:r>
      <w:r w:rsidR="00E27A2C" w:rsidRPr="00533689">
        <w:t>produc</w:t>
      </w:r>
      <w:r w:rsidR="00E27A2C">
        <w:t>ing</w:t>
      </w:r>
      <w:r w:rsidR="00E27A2C" w:rsidRPr="00533689">
        <w:t xml:space="preserve"> </w:t>
      </w:r>
      <w:r w:rsidRPr="00533689">
        <w:t xml:space="preserve">and </w:t>
      </w:r>
      <w:r w:rsidR="00E27A2C" w:rsidRPr="00533689">
        <w:t>characteriz</w:t>
      </w:r>
      <w:r w:rsidR="00E27A2C">
        <w:t>ing</w:t>
      </w:r>
      <w:r w:rsidR="00E27A2C" w:rsidRPr="00533689">
        <w:t xml:space="preserve"> </w:t>
      </w:r>
      <w:r w:rsidRPr="00533689">
        <w:t xml:space="preserve">LCNF from eucalypt (E) and pine (P) unbleached pulps and </w:t>
      </w:r>
      <w:r w:rsidR="000C7BB1" w:rsidRPr="00533689">
        <w:t>compar</w:t>
      </w:r>
      <w:r w:rsidR="000C7BB1">
        <w:t>ing</w:t>
      </w:r>
      <w:r w:rsidR="000C7BB1" w:rsidRPr="00533689">
        <w:t xml:space="preserve"> </w:t>
      </w:r>
      <w:r w:rsidRPr="00533689">
        <w:t>the results with the traditional CNF</w:t>
      </w:r>
      <w:bookmarkEnd w:id="4"/>
      <w:r w:rsidRPr="00533689">
        <w:t xml:space="preserve">. </w:t>
      </w:r>
      <w:bookmarkStart w:id="5" w:name="_Hlk535996354"/>
      <w:r w:rsidRPr="00533689">
        <w:t xml:space="preserve">Another aim of the work was </w:t>
      </w:r>
      <w:r w:rsidR="000C7BB1">
        <w:t>evaluating</w:t>
      </w:r>
      <w:r w:rsidRPr="00533689">
        <w:t xml:space="preserve"> LCNF as an additive for production of </w:t>
      </w:r>
      <w:r w:rsidR="00AE4765" w:rsidRPr="00AE4765">
        <w:rPr>
          <w:i/>
        </w:rPr>
        <w:t>kraftliner</w:t>
      </w:r>
      <w:r w:rsidRPr="00533689">
        <w:t xml:space="preserve"> and </w:t>
      </w:r>
      <w:r w:rsidR="00AE4765" w:rsidRPr="00AE4765">
        <w:rPr>
          <w:i/>
        </w:rPr>
        <w:t>sackraft</w:t>
      </w:r>
      <w:r w:rsidRPr="00533689">
        <w:t xml:space="preserve"> nanostructured packaging papers</w:t>
      </w:r>
      <w:bookmarkEnd w:id="5"/>
      <w:r w:rsidRPr="00533689">
        <w:t xml:space="preserve">. LCNF proved to be </w:t>
      </w:r>
      <w:r w:rsidR="00B25EE5">
        <w:t xml:space="preserve">a </w:t>
      </w:r>
      <w:r w:rsidRPr="00533689">
        <w:t xml:space="preserve">viable additive for the production of high-strength nanostructured papers while relying on low energy consumption during the refining process. LCNF addition </w:t>
      </w:r>
      <w:r w:rsidR="000C7BB1">
        <w:t>had</w:t>
      </w:r>
      <w:r w:rsidRPr="00533689">
        <w:t xml:space="preserve"> positive effects on the mechanical properties of the nanostructured papers produced, resulting in significant increases in tensile and burst strength properties.</w:t>
      </w:r>
    </w:p>
    <w:p w:rsidR="00600535" w:rsidRDefault="00600535" w:rsidP="00600535">
      <w:pPr>
        <w:pStyle w:val="CETHeading1"/>
        <w:rPr>
          <w:lang w:val="en-GB"/>
        </w:rPr>
      </w:pPr>
      <w:r w:rsidRPr="00B57B36">
        <w:rPr>
          <w:lang w:val="en-GB"/>
        </w:rPr>
        <w:t>Introduction</w:t>
      </w:r>
    </w:p>
    <w:p w:rsidR="007627C9" w:rsidRDefault="008D777F" w:rsidP="00D05FA7">
      <w:pPr>
        <w:pStyle w:val="CETBodytext"/>
        <w:rPr>
          <w:lang w:val="en-GB"/>
        </w:rPr>
      </w:pPr>
      <w:r>
        <w:rPr>
          <w:lang w:val="en-GB"/>
        </w:rPr>
        <w:tab/>
      </w:r>
      <w:r w:rsidR="00664A87" w:rsidRPr="00664A87">
        <w:rPr>
          <w:lang w:val="en-GB"/>
        </w:rPr>
        <w:t>The search for sustainability with the purpose of guaranteeing environmental preservation and providing a better quality of the materials developed, encourages in</w:t>
      </w:r>
      <w:r w:rsidR="00664A87">
        <w:rPr>
          <w:lang w:val="en-GB"/>
        </w:rPr>
        <w:t xml:space="preserve">vestment in renewable resources. </w:t>
      </w:r>
      <w:r w:rsidR="003D5227" w:rsidRPr="003D5227">
        <w:rPr>
          <w:lang w:val="en-GB"/>
        </w:rPr>
        <w:t xml:space="preserve">Recently, studies </w:t>
      </w:r>
      <w:r w:rsidR="00E63105">
        <w:rPr>
          <w:lang w:val="en-GB"/>
        </w:rPr>
        <w:t>on</w:t>
      </w:r>
      <w:r w:rsidR="00E63105" w:rsidRPr="003D5227">
        <w:rPr>
          <w:lang w:val="en-GB"/>
        </w:rPr>
        <w:t xml:space="preserve"> </w:t>
      </w:r>
      <w:r w:rsidR="003D5227" w:rsidRPr="003D5227">
        <w:rPr>
          <w:lang w:val="en-GB"/>
        </w:rPr>
        <w:t>the production and application of cellulose particles at the nanometric scale</w:t>
      </w:r>
      <w:r w:rsidR="00E63105">
        <w:rPr>
          <w:lang w:val="en-GB"/>
        </w:rPr>
        <w:t xml:space="preserve"> (nanocelluloses)</w:t>
      </w:r>
      <w:r w:rsidR="003D5227" w:rsidRPr="003D5227">
        <w:rPr>
          <w:lang w:val="en-GB"/>
        </w:rPr>
        <w:t xml:space="preserve"> have been intensified. The use of sustainable raw materials, such as lignocellulosic fibers instead of synthetic fibers, has the advantage of low environmental impact, in addition to generating products of excellent mechanical properties (</w:t>
      </w:r>
      <w:r w:rsidR="00EF4455" w:rsidRPr="00C37AF1">
        <w:rPr>
          <w:lang w:val="en-GB"/>
        </w:rPr>
        <w:t xml:space="preserve">Abdul Rashid </w:t>
      </w:r>
      <w:r w:rsidR="00EF4455">
        <w:rPr>
          <w:lang w:val="en-GB"/>
        </w:rPr>
        <w:t>et</w:t>
      </w:r>
      <w:r w:rsidR="003D5227" w:rsidRPr="003D5227">
        <w:rPr>
          <w:lang w:val="en-GB"/>
        </w:rPr>
        <w:t xml:space="preserve"> al., </w:t>
      </w:r>
      <w:r w:rsidR="00EF4455">
        <w:rPr>
          <w:lang w:val="en-GB"/>
        </w:rPr>
        <w:t>2018</w:t>
      </w:r>
      <w:r w:rsidR="003D5227" w:rsidRPr="003D5227">
        <w:rPr>
          <w:lang w:val="en-GB"/>
        </w:rPr>
        <w:t>).</w:t>
      </w:r>
      <w:r w:rsidR="007627C9">
        <w:rPr>
          <w:lang w:val="en-GB"/>
        </w:rPr>
        <w:t xml:space="preserve"> </w:t>
      </w:r>
    </w:p>
    <w:p w:rsidR="003D5227" w:rsidRPr="003D5227" w:rsidRDefault="003D5227" w:rsidP="00D05FA7">
      <w:pPr>
        <w:pStyle w:val="CETBodytext"/>
        <w:rPr>
          <w:lang w:val="en-GB"/>
        </w:rPr>
      </w:pPr>
      <w:r w:rsidRPr="003D5227">
        <w:rPr>
          <w:lang w:val="en-GB"/>
        </w:rPr>
        <w:t>The obtention of cellulose nanofibrils and their applications in composites has gained attention because of their unique properties such as high strength, high stiffness, low weight and high aspect ratio (</w:t>
      </w:r>
      <w:r w:rsidR="00A00BFC" w:rsidRPr="00123702">
        <w:t>Mariani</w:t>
      </w:r>
      <w:r w:rsidR="00A00BFC">
        <w:t xml:space="preserve"> et al., 2019</w:t>
      </w:r>
      <w:r w:rsidRPr="003D5227">
        <w:rPr>
          <w:lang w:val="en-GB"/>
        </w:rPr>
        <w:t>). Furthermore, nanocelluloses present other advantageous characteristics due to the presence of hydroxyl groups, such as biocompatibility and considerable reactivity (</w:t>
      </w:r>
      <w:r w:rsidR="00A00BFC" w:rsidRPr="00A00BFC">
        <w:rPr>
          <w:lang w:val="en-GB"/>
        </w:rPr>
        <w:t>Phanthong</w:t>
      </w:r>
      <w:r w:rsidRPr="003D5227">
        <w:rPr>
          <w:lang w:val="en-GB"/>
        </w:rPr>
        <w:t xml:space="preserve"> et al., 201</w:t>
      </w:r>
      <w:r w:rsidR="00A00BFC">
        <w:rPr>
          <w:lang w:val="en-GB"/>
        </w:rPr>
        <w:t>8</w:t>
      </w:r>
      <w:r w:rsidRPr="003D5227">
        <w:rPr>
          <w:lang w:val="en-GB"/>
        </w:rPr>
        <w:t xml:space="preserve">). </w:t>
      </w:r>
    </w:p>
    <w:p w:rsidR="003D5227" w:rsidRPr="003D5227" w:rsidRDefault="003D5227" w:rsidP="008D777F">
      <w:pPr>
        <w:pStyle w:val="CETBodytext"/>
        <w:rPr>
          <w:lang w:val="en-GB"/>
        </w:rPr>
      </w:pPr>
      <w:r w:rsidRPr="003D5227">
        <w:rPr>
          <w:lang w:val="en-GB"/>
        </w:rPr>
        <w:t>Most studies with cellulose nanofibrils (CNF) have been carried out with lignin-free cellulosic fibers, notably bleached kraft pulp. However, unbleached fibers containing residual lignin may also be used for the same purpose. In this case, the nanofibrils produced are known to as lignocellulose nanofibrils (LCNF). In addition to the advantages offered by cellulose nanofibrils, LCNF production has the benefits of a large yield, low cost of production, and low environmental impact, as it does not go through the bleaching process (R</w:t>
      </w:r>
      <w:r w:rsidR="00DF58D1" w:rsidRPr="003D5227">
        <w:rPr>
          <w:lang w:val="en-GB"/>
        </w:rPr>
        <w:t>ojo</w:t>
      </w:r>
      <w:r w:rsidRPr="003D5227">
        <w:rPr>
          <w:lang w:val="en-GB"/>
        </w:rPr>
        <w:t xml:space="preserve"> et al., 2015). Improved drainage </w:t>
      </w:r>
      <w:r w:rsidR="000F79E9">
        <w:rPr>
          <w:lang w:val="en-GB"/>
        </w:rPr>
        <w:t xml:space="preserve">caused </w:t>
      </w:r>
      <w:r w:rsidRPr="003D5227">
        <w:rPr>
          <w:lang w:val="en-GB"/>
        </w:rPr>
        <w:t xml:space="preserve">by the presence of lignin is also an important </w:t>
      </w:r>
      <w:r w:rsidR="000F79E9">
        <w:rPr>
          <w:lang w:val="en-GB"/>
        </w:rPr>
        <w:t>feature</w:t>
      </w:r>
      <w:r w:rsidR="000F79E9" w:rsidRPr="003D5227">
        <w:rPr>
          <w:lang w:val="en-GB"/>
        </w:rPr>
        <w:t xml:space="preserve"> </w:t>
      </w:r>
      <w:r w:rsidRPr="003D5227">
        <w:rPr>
          <w:lang w:val="en-GB"/>
        </w:rPr>
        <w:t>(S</w:t>
      </w:r>
      <w:r w:rsidR="00D33001" w:rsidRPr="003D5227">
        <w:rPr>
          <w:lang w:val="en-GB"/>
        </w:rPr>
        <w:t>pence</w:t>
      </w:r>
      <w:r w:rsidRPr="003D5227">
        <w:rPr>
          <w:lang w:val="en-GB"/>
        </w:rPr>
        <w:t xml:space="preserve"> et al., 2010).</w:t>
      </w:r>
    </w:p>
    <w:p w:rsidR="000F79E9" w:rsidRDefault="003D5227" w:rsidP="008D777F">
      <w:pPr>
        <w:pStyle w:val="CETBodytext"/>
        <w:rPr>
          <w:lang w:val="en-GB"/>
        </w:rPr>
      </w:pPr>
      <w:r w:rsidRPr="003D5227">
        <w:rPr>
          <w:lang w:val="en-GB"/>
        </w:rPr>
        <w:t xml:space="preserve">A potential application for these nanocelluloses is in the paper industry, since paper prepared with the addition of nanofibrils may have better </w:t>
      </w:r>
      <w:r w:rsidR="00D33001" w:rsidRPr="00D33001">
        <w:rPr>
          <w:lang w:val="en-GB"/>
        </w:rPr>
        <w:t>mechanical performance</w:t>
      </w:r>
      <w:r w:rsidRPr="003D5227">
        <w:rPr>
          <w:lang w:val="en-GB"/>
        </w:rPr>
        <w:t>. Thus, nanotechnology applied to the pulp and paper mill turns possible the production of nanostructured papers with improved strength properties, by using nanofibrils additives derived from traditional cellulosic pulps produced in-house.</w:t>
      </w:r>
      <w:r w:rsidR="00D05FA7">
        <w:rPr>
          <w:lang w:val="en-GB"/>
        </w:rPr>
        <w:t xml:space="preserve"> </w:t>
      </w:r>
    </w:p>
    <w:p w:rsidR="003D5227" w:rsidRPr="003D5227" w:rsidRDefault="003D5227" w:rsidP="008D777F">
      <w:pPr>
        <w:pStyle w:val="CETBodytext"/>
        <w:rPr>
          <w:lang w:val="en-GB"/>
        </w:rPr>
      </w:pPr>
      <w:r w:rsidRPr="003D5227">
        <w:rPr>
          <w:lang w:val="en-GB"/>
        </w:rPr>
        <w:t>Lig</w:t>
      </w:r>
      <w:r w:rsidR="007627C9">
        <w:rPr>
          <w:lang w:val="en-GB"/>
        </w:rPr>
        <w:t xml:space="preserve">nocellulose nanofibrils (LCNF) </w:t>
      </w:r>
      <w:r w:rsidRPr="003D5227">
        <w:rPr>
          <w:lang w:val="en-GB"/>
        </w:rPr>
        <w:t>represent a promising application as additives in the production of packagin</w:t>
      </w:r>
      <w:r w:rsidR="0067145F">
        <w:rPr>
          <w:lang w:val="en-GB"/>
        </w:rPr>
        <w:t xml:space="preserve">g papers </w:t>
      </w:r>
      <w:r w:rsidR="000E5A30">
        <w:rPr>
          <w:lang w:val="en-GB"/>
        </w:rPr>
        <w:t>(</w:t>
      </w:r>
      <w:r w:rsidR="00E71E9D" w:rsidRPr="005035FC">
        <w:rPr>
          <w:lang w:val="en-GB"/>
        </w:rPr>
        <w:t>Delgado-Aguilar</w:t>
      </w:r>
      <w:r w:rsidR="00E71E9D">
        <w:rPr>
          <w:lang w:val="en-GB"/>
        </w:rPr>
        <w:t xml:space="preserve"> et al., 2016</w:t>
      </w:r>
      <w:r w:rsidR="000E5A30">
        <w:rPr>
          <w:lang w:val="en-GB"/>
        </w:rPr>
        <w:t>).</w:t>
      </w:r>
      <w:r w:rsidR="007627C9">
        <w:rPr>
          <w:lang w:val="en-GB"/>
        </w:rPr>
        <w:t xml:space="preserve"> </w:t>
      </w:r>
      <w:r w:rsidR="000F79E9">
        <w:rPr>
          <w:lang w:val="en-GB"/>
        </w:rPr>
        <w:t>The</w:t>
      </w:r>
      <w:r w:rsidR="000F79E9" w:rsidRPr="003D5227">
        <w:rPr>
          <w:lang w:val="en-GB"/>
        </w:rPr>
        <w:t xml:space="preserve"> </w:t>
      </w:r>
      <w:r w:rsidRPr="003D5227">
        <w:rPr>
          <w:lang w:val="en-GB"/>
        </w:rPr>
        <w:t xml:space="preserve">research </w:t>
      </w:r>
      <w:r w:rsidR="000F79E9">
        <w:rPr>
          <w:lang w:val="en-GB"/>
        </w:rPr>
        <w:t>with</w:t>
      </w:r>
      <w:r w:rsidR="000F79E9" w:rsidRPr="003D5227">
        <w:rPr>
          <w:lang w:val="en-GB"/>
        </w:rPr>
        <w:t xml:space="preserve"> </w:t>
      </w:r>
      <w:r w:rsidRPr="003D5227">
        <w:rPr>
          <w:lang w:val="en-GB"/>
        </w:rPr>
        <w:t xml:space="preserve">lignocellulose nanofibrils </w:t>
      </w:r>
      <w:r w:rsidR="000F79E9">
        <w:rPr>
          <w:lang w:val="en-GB"/>
        </w:rPr>
        <w:t xml:space="preserve">for the packaging industry </w:t>
      </w:r>
      <w:r w:rsidRPr="003D5227">
        <w:rPr>
          <w:lang w:val="en-GB"/>
        </w:rPr>
        <w:t xml:space="preserve">is still </w:t>
      </w:r>
      <w:r w:rsidR="000F79E9">
        <w:rPr>
          <w:lang w:val="en-GB"/>
        </w:rPr>
        <w:t>incipient.</w:t>
      </w:r>
      <w:r w:rsidR="003161D8">
        <w:rPr>
          <w:lang w:val="en-GB"/>
        </w:rPr>
        <w:t xml:space="preserve"> </w:t>
      </w:r>
      <w:r w:rsidR="000F79E9">
        <w:rPr>
          <w:lang w:val="en-GB"/>
        </w:rPr>
        <w:t xml:space="preserve">Hence, this study </w:t>
      </w:r>
      <w:r w:rsidR="009F0F4A">
        <w:rPr>
          <w:lang w:val="en-GB"/>
        </w:rPr>
        <w:t>focusses</w:t>
      </w:r>
      <w:r w:rsidR="000F79E9">
        <w:rPr>
          <w:lang w:val="en-GB"/>
        </w:rPr>
        <w:t xml:space="preserve"> on </w:t>
      </w:r>
      <w:r w:rsidR="009F0F4A">
        <w:rPr>
          <w:lang w:val="en-GB"/>
        </w:rPr>
        <w:t>bringing</w:t>
      </w:r>
      <w:r w:rsidR="00E73616">
        <w:rPr>
          <w:lang w:val="en-GB"/>
        </w:rPr>
        <w:t xml:space="preserve"> in</w:t>
      </w:r>
      <w:r w:rsidR="009F0F4A">
        <w:rPr>
          <w:lang w:val="en-GB"/>
        </w:rPr>
        <w:t xml:space="preserve"> new insights on the </w:t>
      </w:r>
      <w:r w:rsidRPr="003D5227">
        <w:rPr>
          <w:lang w:val="en-GB"/>
        </w:rPr>
        <w:t>produc</w:t>
      </w:r>
      <w:r w:rsidR="009F0F4A">
        <w:rPr>
          <w:lang w:val="en-GB"/>
        </w:rPr>
        <w:t>tion,</w:t>
      </w:r>
      <w:r w:rsidRPr="003D5227">
        <w:rPr>
          <w:lang w:val="en-GB"/>
        </w:rPr>
        <w:t xml:space="preserve"> characteriz</w:t>
      </w:r>
      <w:r w:rsidR="005B7B34">
        <w:rPr>
          <w:lang w:val="en-GB"/>
        </w:rPr>
        <w:t xml:space="preserve">ation an application of LCNF </w:t>
      </w:r>
      <w:bookmarkStart w:id="6" w:name="_GoBack"/>
      <w:bookmarkEnd w:id="6"/>
      <w:r w:rsidRPr="003D5227">
        <w:rPr>
          <w:lang w:val="en-GB"/>
        </w:rPr>
        <w:t xml:space="preserve">as </w:t>
      </w:r>
      <w:r w:rsidR="009F0F4A">
        <w:rPr>
          <w:lang w:val="en-GB"/>
        </w:rPr>
        <w:t xml:space="preserve">an </w:t>
      </w:r>
      <w:r w:rsidRPr="003D5227">
        <w:rPr>
          <w:lang w:val="en-GB"/>
        </w:rPr>
        <w:t xml:space="preserve">additive </w:t>
      </w:r>
      <w:r w:rsidR="00263C04">
        <w:rPr>
          <w:lang w:val="en-GB"/>
        </w:rPr>
        <w:t>for</w:t>
      </w:r>
      <w:r w:rsidRPr="003D5227">
        <w:rPr>
          <w:lang w:val="en-GB"/>
        </w:rPr>
        <w:t xml:space="preserve"> production of </w:t>
      </w:r>
      <w:r w:rsidR="00AE4765" w:rsidRPr="00AE4765">
        <w:rPr>
          <w:i/>
          <w:lang w:val="en-GB"/>
        </w:rPr>
        <w:t>kraftliner</w:t>
      </w:r>
      <w:r w:rsidRPr="003D5227">
        <w:rPr>
          <w:lang w:val="en-GB"/>
        </w:rPr>
        <w:t xml:space="preserve"> and </w:t>
      </w:r>
      <w:r w:rsidR="00AE4765" w:rsidRPr="00AE4765">
        <w:rPr>
          <w:i/>
          <w:lang w:val="en-GB"/>
        </w:rPr>
        <w:t>sackraft</w:t>
      </w:r>
      <w:r w:rsidRPr="003D5227">
        <w:rPr>
          <w:lang w:val="en-GB"/>
        </w:rPr>
        <w:t xml:space="preserve"> nanostructured packaging papers.</w:t>
      </w:r>
    </w:p>
    <w:bookmarkEnd w:id="3"/>
    <w:p w:rsidR="00600535" w:rsidRDefault="005610D9" w:rsidP="00600535">
      <w:pPr>
        <w:pStyle w:val="CETHeading1"/>
        <w:tabs>
          <w:tab w:val="clear" w:pos="360"/>
          <w:tab w:val="right" w:pos="7100"/>
        </w:tabs>
        <w:jc w:val="both"/>
        <w:rPr>
          <w:lang w:val="en-GB"/>
        </w:rPr>
      </w:pPr>
      <w:r>
        <w:rPr>
          <w:lang w:val="en-GB"/>
        </w:rPr>
        <w:lastRenderedPageBreak/>
        <w:t xml:space="preserve">Experimental </w:t>
      </w:r>
    </w:p>
    <w:p w:rsidR="00600535" w:rsidRDefault="005610D9" w:rsidP="00FA5F5F">
      <w:pPr>
        <w:pStyle w:val="CETheadingx"/>
      </w:pPr>
      <w:r>
        <w:t>Nanofibrils production</w:t>
      </w:r>
      <w:r w:rsidR="00F97CDE">
        <w:t xml:space="preserve"> and characterization</w:t>
      </w:r>
    </w:p>
    <w:p w:rsidR="00B56722" w:rsidRDefault="005610D9" w:rsidP="005610D9">
      <w:pPr>
        <w:pStyle w:val="CETBodytext"/>
      </w:pPr>
      <w:r w:rsidRPr="005610D9">
        <w:rPr>
          <w:lang w:val="en-GB"/>
        </w:rPr>
        <w:t xml:space="preserve">The pine and eucalypt chips were submitted to kraft </w:t>
      </w:r>
      <w:r w:rsidR="00263C04">
        <w:rPr>
          <w:lang w:val="en-GB"/>
        </w:rPr>
        <w:t>cooking</w:t>
      </w:r>
      <w:r w:rsidR="00263C04" w:rsidRPr="005610D9">
        <w:rPr>
          <w:lang w:val="en-GB"/>
        </w:rPr>
        <w:t xml:space="preserve"> </w:t>
      </w:r>
      <w:r w:rsidRPr="005610D9">
        <w:rPr>
          <w:lang w:val="en-GB"/>
        </w:rPr>
        <w:t>to obtain the pine (kappa number 30) and eucalypt (kappa number 18) pulps and, from these pulps, the lignocelluloses nanofibrils were produced: LCNF-P (From pine pulp) and LCNF-E (From eucalypt pulp). These pulps (pine and eucalypt) were also bleached at 90</w:t>
      </w:r>
      <w:r w:rsidR="00882E66">
        <w:rPr>
          <w:lang w:val="en-GB"/>
        </w:rPr>
        <w:t xml:space="preserve"> </w:t>
      </w:r>
      <w:r w:rsidRPr="005610D9">
        <w:rPr>
          <w:lang w:val="en-GB"/>
        </w:rPr>
        <w:t xml:space="preserve">% ISO by the OD(EP)DP and OD(EP)D sequences, respectively. From the bleached pulps, the celluloses nanofibrils were produced (CNF-P and CNF-E) as </w:t>
      </w:r>
      <w:r w:rsidR="00E71E9D">
        <w:rPr>
          <w:lang w:val="en-GB"/>
        </w:rPr>
        <w:t>specified by Demuner (</w:t>
      </w:r>
      <w:r w:rsidRPr="005610D9">
        <w:rPr>
          <w:lang w:val="en-GB"/>
        </w:rPr>
        <w:t>2017).</w:t>
      </w:r>
      <w:r w:rsidR="00AC68DD">
        <w:rPr>
          <w:lang w:val="en-GB"/>
        </w:rPr>
        <w:t xml:space="preserve"> </w:t>
      </w:r>
      <w:r w:rsidR="003161D8">
        <w:rPr>
          <w:lang w:val="en-GB"/>
        </w:rPr>
        <w:t>T</w:t>
      </w:r>
      <w:r w:rsidRPr="005610D9">
        <w:rPr>
          <w:lang w:val="en-GB"/>
        </w:rPr>
        <w:t xml:space="preserve">he LCNF and CNF </w:t>
      </w:r>
      <w:r w:rsidR="00263C04">
        <w:rPr>
          <w:lang w:val="en-GB"/>
        </w:rPr>
        <w:t>were</w:t>
      </w:r>
      <w:r w:rsidRPr="005610D9">
        <w:rPr>
          <w:lang w:val="en-GB"/>
        </w:rPr>
        <w:t xml:space="preserve"> </w:t>
      </w:r>
      <w:r w:rsidR="002D3F96">
        <w:rPr>
          <w:lang w:val="en-GB"/>
        </w:rPr>
        <w:t xml:space="preserve">obtained </w:t>
      </w:r>
      <w:r w:rsidRPr="005610D9">
        <w:rPr>
          <w:lang w:val="en-GB"/>
        </w:rPr>
        <w:t>mechanical</w:t>
      </w:r>
      <w:r w:rsidR="002D3F96">
        <w:rPr>
          <w:lang w:val="en-GB"/>
        </w:rPr>
        <w:t>ly</w:t>
      </w:r>
      <w:r w:rsidRPr="005610D9">
        <w:rPr>
          <w:lang w:val="en-GB"/>
        </w:rPr>
        <w:t xml:space="preserve"> through the </w:t>
      </w:r>
      <w:r w:rsidRPr="00D05FA7">
        <w:rPr>
          <w:i/>
          <w:lang w:val="en-GB"/>
        </w:rPr>
        <w:t>Super Masscolloider Masuko</w:t>
      </w:r>
      <w:r w:rsidRPr="005610D9">
        <w:rPr>
          <w:lang w:val="en-GB"/>
        </w:rPr>
        <w:t xml:space="preserve"> </w:t>
      </w:r>
      <w:r w:rsidRPr="00D05FA7">
        <w:rPr>
          <w:i/>
          <w:lang w:val="en-GB"/>
        </w:rPr>
        <w:t>Sangyo</w:t>
      </w:r>
      <w:r w:rsidRPr="005610D9">
        <w:rPr>
          <w:lang w:val="en-GB"/>
        </w:rPr>
        <w:t xml:space="preserve"> mill (MKCA6-3; Masuko Sangyo Co., Ltd.). The pulps were </w:t>
      </w:r>
      <w:r w:rsidR="002D3F96">
        <w:rPr>
          <w:lang w:val="en-GB"/>
        </w:rPr>
        <w:t>milled</w:t>
      </w:r>
      <w:r w:rsidRPr="005610D9">
        <w:rPr>
          <w:lang w:val="en-GB"/>
        </w:rPr>
        <w:t xml:space="preserve"> under the following conditions of: </w:t>
      </w:r>
      <w:r w:rsidR="00AC68DD" w:rsidRPr="005610D9">
        <w:rPr>
          <w:lang w:val="en-GB"/>
        </w:rPr>
        <w:t>consistency of 2</w:t>
      </w:r>
      <w:r w:rsidR="00882E66">
        <w:rPr>
          <w:lang w:val="en-GB"/>
        </w:rPr>
        <w:t xml:space="preserve"> </w:t>
      </w:r>
      <w:r w:rsidR="00AC68DD" w:rsidRPr="005610D9">
        <w:rPr>
          <w:lang w:val="en-GB"/>
        </w:rPr>
        <w:t>% dry mass</w:t>
      </w:r>
      <w:r w:rsidR="00AC68DD">
        <w:rPr>
          <w:lang w:val="en-GB"/>
        </w:rPr>
        <w:t xml:space="preserve">, </w:t>
      </w:r>
      <w:r w:rsidRPr="005610D9">
        <w:rPr>
          <w:lang w:val="en-GB"/>
        </w:rPr>
        <w:t>1500 rpm, 6 passes through the mill and distance between disks of 0.1 mm.</w:t>
      </w:r>
      <w:r w:rsidR="00560B0F">
        <w:rPr>
          <w:lang w:val="en-GB"/>
        </w:rPr>
        <w:t xml:space="preserve"> </w:t>
      </w:r>
      <w:r w:rsidR="00F17104" w:rsidRPr="005F3C11">
        <w:t xml:space="preserve">The </w:t>
      </w:r>
      <w:r w:rsidR="002D3F96">
        <w:t xml:space="preserve">procedures used for determination of the </w:t>
      </w:r>
      <w:r w:rsidRPr="005610D9">
        <w:t xml:space="preserve">chemical composition </w:t>
      </w:r>
      <w:r w:rsidR="00F17104">
        <w:t>(</w:t>
      </w:r>
      <w:r w:rsidR="00F17104" w:rsidRPr="005610D9">
        <w:t>acid-soluble lignin</w:t>
      </w:r>
      <w:r w:rsidR="00F17104">
        <w:t xml:space="preserve">, </w:t>
      </w:r>
      <w:r w:rsidR="00F17104" w:rsidRPr="005610D9">
        <w:t>acid-insoluble lignin</w:t>
      </w:r>
      <w:r w:rsidR="00F17104">
        <w:t xml:space="preserve">, </w:t>
      </w:r>
      <w:r w:rsidR="00F17104" w:rsidRPr="005F3C11">
        <w:t>sugar composition, ash, uronic acid, hexenuronic acid</w:t>
      </w:r>
      <w:r w:rsidR="00F17104">
        <w:t>)</w:t>
      </w:r>
      <w:r w:rsidR="00AF6485">
        <w:t>,</w:t>
      </w:r>
      <w:r w:rsidR="00F17104">
        <w:t xml:space="preserve"> </w:t>
      </w:r>
      <w:r w:rsidR="00F17104" w:rsidRPr="005F3C11">
        <w:t xml:space="preserve">crystallinity index, </w:t>
      </w:r>
      <w:r w:rsidR="00BF0F0A">
        <w:t>maximum degradation temperature</w:t>
      </w:r>
      <w:r w:rsidR="00BF0F0A" w:rsidRPr="005F3C11">
        <w:t xml:space="preserve"> </w:t>
      </w:r>
      <w:r w:rsidR="00F17104" w:rsidRPr="005F3C11">
        <w:t xml:space="preserve">and nanofibrils diameter </w:t>
      </w:r>
      <w:r w:rsidR="00850859">
        <w:t>are described in</w:t>
      </w:r>
      <w:r w:rsidR="00F17104" w:rsidRPr="005F3C11">
        <w:t xml:space="preserve"> Demuner (2017)</w:t>
      </w:r>
      <w:r w:rsidR="00F17104">
        <w:t xml:space="preserve">.  </w:t>
      </w:r>
    </w:p>
    <w:p w:rsidR="005610D9" w:rsidRDefault="005610D9" w:rsidP="005610D9">
      <w:pPr>
        <w:pStyle w:val="CETheadingx"/>
      </w:pPr>
      <w:r>
        <w:t xml:space="preserve">Production of nanostructured packaging papers </w:t>
      </w:r>
    </w:p>
    <w:p w:rsidR="005610D9" w:rsidRPr="005610D9" w:rsidRDefault="005610D9" w:rsidP="005610D9">
      <w:pPr>
        <w:pStyle w:val="CETBodytext"/>
      </w:pPr>
      <w:r w:rsidRPr="005610D9">
        <w:t xml:space="preserve">Pine pulps were used to produce nanostructured packaging papers, with a kappa number of 100 for </w:t>
      </w:r>
      <w:r w:rsidR="00AE4765" w:rsidRPr="00AE4765">
        <w:rPr>
          <w:i/>
        </w:rPr>
        <w:t>kraftliner</w:t>
      </w:r>
      <w:r w:rsidRPr="005610D9">
        <w:t xml:space="preserve"> papers and </w:t>
      </w:r>
      <w:r w:rsidR="00850859">
        <w:t xml:space="preserve">of </w:t>
      </w:r>
      <w:r w:rsidRPr="005610D9">
        <w:t xml:space="preserve">55 for </w:t>
      </w:r>
      <w:r w:rsidR="00AE4765" w:rsidRPr="00AE4765">
        <w:rPr>
          <w:i/>
        </w:rPr>
        <w:t>sackraft</w:t>
      </w:r>
      <w:r w:rsidRPr="005610D9">
        <w:t xml:space="preserve"> papers. A grammage of 120 g/m</w:t>
      </w:r>
      <w:r w:rsidRPr="00120E75">
        <w:rPr>
          <w:vertAlign w:val="superscript"/>
        </w:rPr>
        <w:t>2</w:t>
      </w:r>
      <w:r w:rsidRPr="005610D9">
        <w:t xml:space="preserve"> and 60</w:t>
      </w:r>
      <w:r w:rsidR="00120E75">
        <w:t xml:space="preserve"> </w:t>
      </w:r>
      <w:r w:rsidRPr="005610D9">
        <w:t>g/m</w:t>
      </w:r>
      <w:r w:rsidRPr="00120E75">
        <w:rPr>
          <w:vertAlign w:val="superscript"/>
        </w:rPr>
        <w:t>2</w:t>
      </w:r>
      <w:r w:rsidRPr="005610D9">
        <w:t xml:space="preserve"> were adopted for the </w:t>
      </w:r>
      <w:r w:rsidR="00AE4765" w:rsidRPr="00AE4765">
        <w:rPr>
          <w:i/>
        </w:rPr>
        <w:t>kraftliner</w:t>
      </w:r>
      <w:r w:rsidRPr="005610D9">
        <w:t xml:space="preserve"> and </w:t>
      </w:r>
      <w:r w:rsidR="00AE4765" w:rsidRPr="00AE4765">
        <w:rPr>
          <w:i/>
        </w:rPr>
        <w:t>sackraft</w:t>
      </w:r>
      <w:r w:rsidRPr="005610D9">
        <w:t xml:space="preserve"> papers, respectively. The refining process was carried out in a PFI refiner, model MARK VI of Hamar Norway, following the T</w:t>
      </w:r>
      <w:r w:rsidR="00212AFA" w:rsidRPr="005610D9">
        <w:t>appi</w:t>
      </w:r>
      <w:r w:rsidRPr="005610D9">
        <w:t xml:space="preserve"> T248 sp-08 standard. The LCNF-P or LCNF-E were added to the already refined pulp slurry, in different percentages (0, 1, 3, and 5</w:t>
      </w:r>
      <w:r w:rsidR="00882E66">
        <w:t xml:space="preserve"> </w:t>
      </w:r>
      <w:r w:rsidRPr="005610D9">
        <w:t>%). The drainage resistance (</w:t>
      </w:r>
      <w:r w:rsidR="00120E75">
        <w:t>°</w:t>
      </w:r>
      <w:r w:rsidRPr="005610D9">
        <w:t xml:space="preserve">SR) was performed following ISO 5267-1: 1999 and the analytical procedures for performing physical-mechanical tests </w:t>
      </w:r>
      <w:r w:rsidR="00850859">
        <w:t>are</w:t>
      </w:r>
      <w:r w:rsidR="00850859" w:rsidRPr="005610D9">
        <w:t xml:space="preserve"> </w:t>
      </w:r>
      <w:r w:rsidRPr="005610D9">
        <w:t xml:space="preserve">described </w:t>
      </w:r>
      <w:r w:rsidR="00850859">
        <w:t>in</w:t>
      </w:r>
      <w:r w:rsidR="00850859" w:rsidRPr="005610D9">
        <w:t xml:space="preserve"> </w:t>
      </w:r>
      <w:r w:rsidRPr="005610D9">
        <w:t xml:space="preserve">Tappi </w:t>
      </w:r>
      <w:r w:rsidR="00850859">
        <w:t xml:space="preserve">standard </w:t>
      </w:r>
      <w:r w:rsidRPr="005610D9">
        <w:t xml:space="preserve">procedures. The interpretation of the physical-mechanical properties was done using comparison of non-linear regression equations for each parameter, using F test for model identity at </w:t>
      </w:r>
      <w:r w:rsidR="00882E66">
        <w:t>5</w:t>
      </w:r>
      <w:r w:rsidR="00AF6485">
        <w:t xml:space="preserve"> </w:t>
      </w:r>
      <w:r w:rsidR="00882E66">
        <w:t>%</w:t>
      </w:r>
      <w:r w:rsidRPr="005610D9">
        <w:t xml:space="preserve"> probability</w:t>
      </w:r>
      <w:r w:rsidR="007B49F7">
        <w:t>.</w:t>
      </w:r>
    </w:p>
    <w:p w:rsidR="005610D9" w:rsidRDefault="005749CA" w:rsidP="005749CA">
      <w:pPr>
        <w:pStyle w:val="CETHeading1"/>
      </w:pPr>
      <w:r>
        <w:t>Results and discussion</w:t>
      </w:r>
    </w:p>
    <w:p w:rsidR="005749CA" w:rsidRPr="00A50033" w:rsidRDefault="005749CA" w:rsidP="00A50033">
      <w:pPr>
        <w:pStyle w:val="CETheadingx"/>
      </w:pPr>
      <w:r w:rsidRPr="00A50033">
        <w:t xml:space="preserve">Nanofibrils characterization </w:t>
      </w:r>
    </w:p>
    <w:p w:rsidR="005749CA" w:rsidRDefault="005749CA" w:rsidP="005749CA">
      <w:pPr>
        <w:pStyle w:val="CETBodytext"/>
      </w:pPr>
      <w:r w:rsidRPr="005749CA">
        <w:t xml:space="preserve">The chemical composition of the LCNF-P, CNF-P, LCNF-E, and CNF-E samples </w:t>
      </w:r>
      <w:r w:rsidR="00FA12AB">
        <w:t>is presented</w:t>
      </w:r>
      <w:r w:rsidRPr="005749CA">
        <w:t xml:space="preserve"> in Table 1. </w:t>
      </w:r>
    </w:p>
    <w:p w:rsidR="0029213D" w:rsidRPr="005749CA" w:rsidRDefault="0029213D" w:rsidP="0029213D">
      <w:pPr>
        <w:pStyle w:val="CETTabletitle"/>
        <w:rPr>
          <w:rFonts w:eastAsiaTheme="minorHAnsi"/>
        </w:rPr>
      </w:pPr>
      <w:r w:rsidRPr="005749CA">
        <w:t xml:space="preserve">Table 1: </w:t>
      </w:r>
      <w:r w:rsidRPr="005749CA">
        <w:rPr>
          <w:rFonts w:eastAsiaTheme="minorHAnsi"/>
        </w:rPr>
        <w:t>Chemical composition of nanofibrils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49"/>
        <w:gridCol w:w="728"/>
        <w:gridCol w:w="726"/>
        <w:gridCol w:w="1155"/>
        <w:gridCol w:w="583"/>
        <w:gridCol w:w="726"/>
        <w:gridCol w:w="729"/>
        <w:gridCol w:w="870"/>
        <w:gridCol w:w="870"/>
        <w:gridCol w:w="951"/>
      </w:tblGrid>
      <w:tr w:rsidR="0029213D" w:rsidRPr="00B57B36" w:rsidTr="0029213D">
        <w:tc>
          <w:tcPr>
            <w:tcW w:w="825" w:type="pct"/>
            <w:tcBorders>
              <w:top w:val="single" w:sz="12" w:space="0" w:color="008000"/>
              <w:bottom w:val="single" w:sz="6" w:space="0" w:color="008000"/>
            </w:tcBorders>
            <w:shd w:val="clear" w:color="auto" w:fill="FFFFFF"/>
          </w:tcPr>
          <w:p w:rsidR="0029213D" w:rsidRPr="00B57B36" w:rsidRDefault="0029213D" w:rsidP="009D473B">
            <w:pPr>
              <w:pStyle w:val="CETBodytext"/>
              <w:rPr>
                <w:lang w:val="en-GB"/>
              </w:rPr>
            </w:pPr>
            <w:r w:rsidRPr="00677333">
              <w:rPr>
                <w:lang w:val="en-GB"/>
              </w:rPr>
              <w:t>Constituents (%)</w:t>
            </w:r>
          </w:p>
        </w:tc>
        <w:tc>
          <w:tcPr>
            <w:tcW w:w="414" w:type="pct"/>
            <w:tcBorders>
              <w:top w:val="single" w:sz="12" w:space="0" w:color="008000"/>
              <w:bottom w:val="single" w:sz="6" w:space="0" w:color="008000"/>
            </w:tcBorders>
            <w:shd w:val="clear" w:color="auto" w:fill="FFFFFF"/>
          </w:tcPr>
          <w:p w:rsidR="0029213D" w:rsidRPr="00B57B36" w:rsidRDefault="0029213D" w:rsidP="009D473B">
            <w:pPr>
              <w:pStyle w:val="CETBodytext"/>
              <w:rPr>
                <w:lang w:val="en-GB"/>
              </w:rPr>
            </w:pPr>
            <w:r>
              <w:rPr>
                <w:lang w:val="en-GB"/>
              </w:rPr>
              <w:t>Total lignin</w:t>
            </w:r>
          </w:p>
        </w:tc>
        <w:tc>
          <w:tcPr>
            <w:tcW w:w="413" w:type="pct"/>
            <w:tcBorders>
              <w:top w:val="single" w:sz="12" w:space="0" w:color="008000"/>
              <w:bottom w:val="single" w:sz="6" w:space="0" w:color="008000"/>
            </w:tcBorders>
            <w:shd w:val="clear" w:color="auto" w:fill="FFFFFF"/>
          </w:tcPr>
          <w:p w:rsidR="0029213D" w:rsidRPr="00B57B36" w:rsidRDefault="0029213D" w:rsidP="009D473B">
            <w:pPr>
              <w:pStyle w:val="CETBodytext"/>
              <w:rPr>
                <w:lang w:val="en-GB"/>
              </w:rPr>
            </w:pPr>
            <w:r w:rsidRPr="00677333">
              <w:rPr>
                <w:lang w:val="en-GB"/>
              </w:rPr>
              <w:t>Uronic acid</w:t>
            </w:r>
          </w:p>
        </w:tc>
        <w:tc>
          <w:tcPr>
            <w:tcW w:w="657" w:type="pct"/>
            <w:tcBorders>
              <w:top w:val="single" w:sz="12" w:space="0" w:color="008000"/>
              <w:bottom w:val="single" w:sz="6" w:space="0" w:color="008000"/>
            </w:tcBorders>
            <w:shd w:val="clear" w:color="auto" w:fill="FFFFFF"/>
          </w:tcPr>
          <w:p w:rsidR="0029213D" w:rsidRPr="00B57B36" w:rsidRDefault="0029213D" w:rsidP="009D473B">
            <w:pPr>
              <w:pStyle w:val="CETBodytext"/>
              <w:ind w:right="-1"/>
              <w:rPr>
                <w:rFonts w:cs="Arial"/>
                <w:szCs w:val="18"/>
                <w:lang w:val="en-GB"/>
              </w:rPr>
            </w:pPr>
            <w:r w:rsidRPr="00677333">
              <w:rPr>
                <w:lang w:val="en-GB"/>
              </w:rPr>
              <w:t>Hexenuronic acid</w:t>
            </w:r>
          </w:p>
        </w:tc>
        <w:tc>
          <w:tcPr>
            <w:tcW w:w="332" w:type="pct"/>
            <w:tcBorders>
              <w:top w:val="single" w:sz="12" w:space="0" w:color="008000"/>
              <w:bottom w:val="single" w:sz="6" w:space="0" w:color="008000"/>
            </w:tcBorders>
            <w:shd w:val="clear" w:color="auto" w:fill="FFFFFF"/>
          </w:tcPr>
          <w:p w:rsidR="0029213D" w:rsidRPr="00B57B36" w:rsidRDefault="0029213D" w:rsidP="009D473B">
            <w:pPr>
              <w:pStyle w:val="CETBodytext"/>
              <w:ind w:right="-1"/>
              <w:rPr>
                <w:rFonts w:cs="Arial"/>
                <w:szCs w:val="18"/>
                <w:lang w:val="en-GB"/>
              </w:rPr>
            </w:pPr>
            <w:r w:rsidRPr="00677333">
              <w:rPr>
                <w:lang w:val="en-GB"/>
              </w:rPr>
              <w:t>Ash</w:t>
            </w:r>
          </w:p>
        </w:tc>
        <w:tc>
          <w:tcPr>
            <w:tcW w:w="413" w:type="pct"/>
            <w:tcBorders>
              <w:top w:val="single" w:sz="12" w:space="0" w:color="008000"/>
              <w:bottom w:val="single" w:sz="6" w:space="0" w:color="008000"/>
            </w:tcBorders>
            <w:shd w:val="clear" w:color="auto" w:fill="FFFFFF"/>
          </w:tcPr>
          <w:p w:rsidR="0029213D" w:rsidRPr="00677333" w:rsidRDefault="0029213D" w:rsidP="009D473B">
            <w:pPr>
              <w:pStyle w:val="CETBodytext"/>
              <w:ind w:right="-1"/>
              <w:rPr>
                <w:lang w:val="en-GB"/>
              </w:rPr>
            </w:pPr>
            <w:r w:rsidRPr="00677333">
              <w:rPr>
                <w:lang w:val="en-GB"/>
              </w:rPr>
              <w:t>Glucan</w:t>
            </w:r>
          </w:p>
        </w:tc>
        <w:tc>
          <w:tcPr>
            <w:tcW w:w="415" w:type="pct"/>
            <w:tcBorders>
              <w:top w:val="single" w:sz="12" w:space="0" w:color="008000"/>
              <w:bottom w:val="single" w:sz="6" w:space="0" w:color="008000"/>
            </w:tcBorders>
            <w:shd w:val="clear" w:color="auto" w:fill="FFFFFF"/>
          </w:tcPr>
          <w:p w:rsidR="0029213D" w:rsidRPr="00677333" w:rsidRDefault="0029213D" w:rsidP="009D473B">
            <w:pPr>
              <w:pStyle w:val="CETBodytext"/>
              <w:ind w:right="-1"/>
              <w:rPr>
                <w:lang w:val="en-GB"/>
              </w:rPr>
            </w:pPr>
            <w:r w:rsidRPr="00677333">
              <w:rPr>
                <w:lang w:val="en-GB"/>
              </w:rPr>
              <w:t>Xylan</w:t>
            </w:r>
          </w:p>
        </w:tc>
        <w:tc>
          <w:tcPr>
            <w:tcW w:w="495" w:type="pct"/>
            <w:tcBorders>
              <w:top w:val="single" w:sz="12" w:space="0" w:color="008000"/>
              <w:bottom w:val="single" w:sz="6" w:space="0" w:color="008000"/>
            </w:tcBorders>
            <w:shd w:val="clear" w:color="auto" w:fill="FFFFFF"/>
          </w:tcPr>
          <w:p w:rsidR="0029213D" w:rsidRPr="00677333" w:rsidRDefault="0029213D" w:rsidP="009D473B">
            <w:pPr>
              <w:pStyle w:val="CETBodytext"/>
              <w:ind w:right="-1"/>
              <w:rPr>
                <w:lang w:val="en-GB"/>
              </w:rPr>
            </w:pPr>
            <w:r w:rsidRPr="00677333">
              <w:t>Mannan</w:t>
            </w:r>
          </w:p>
        </w:tc>
        <w:tc>
          <w:tcPr>
            <w:tcW w:w="495" w:type="pct"/>
            <w:tcBorders>
              <w:top w:val="single" w:sz="12" w:space="0" w:color="008000"/>
              <w:bottom w:val="single" w:sz="6" w:space="0" w:color="008000"/>
            </w:tcBorders>
            <w:shd w:val="clear" w:color="auto" w:fill="FFFFFF"/>
          </w:tcPr>
          <w:p w:rsidR="0029213D" w:rsidRPr="00677333" w:rsidRDefault="0029213D" w:rsidP="009D473B">
            <w:pPr>
              <w:pStyle w:val="CETBodytext"/>
              <w:ind w:right="-1"/>
            </w:pPr>
            <w:r w:rsidRPr="00677333">
              <w:t>Galactan</w:t>
            </w:r>
          </w:p>
        </w:tc>
        <w:tc>
          <w:tcPr>
            <w:tcW w:w="541" w:type="pct"/>
            <w:tcBorders>
              <w:top w:val="single" w:sz="12" w:space="0" w:color="008000"/>
              <w:bottom w:val="single" w:sz="6" w:space="0" w:color="008000"/>
            </w:tcBorders>
            <w:shd w:val="clear" w:color="auto" w:fill="FFFFFF"/>
          </w:tcPr>
          <w:p w:rsidR="0029213D" w:rsidRPr="00677333" w:rsidRDefault="0029213D" w:rsidP="009D473B">
            <w:pPr>
              <w:pStyle w:val="CETBodytext"/>
              <w:ind w:right="-1"/>
            </w:pPr>
            <w:r w:rsidRPr="00677333">
              <w:rPr>
                <w:lang w:val="en-GB"/>
              </w:rPr>
              <w:t>Arabinan</w:t>
            </w:r>
          </w:p>
        </w:tc>
      </w:tr>
      <w:tr w:rsidR="0029213D" w:rsidRPr="00677333" w:rsidTr="0029213D">
        <w:tc>
          <w:tcPr>
            <w:tcW w:w="825" w:type="pct"/>
            <w:shd w:val="clear" w:color="auto" w:fill="FFFFFF"/>
          </w:tcPr>
          <w:p w:rsidR="0029213D" w:rsidRPr="00B57B36" w:rsidRDefault="0029213D" w:rsidP="009D473B">
            <w:pPr>
              <w:pStyle w:val="CETBodytext"/>
              <w:rPr>
                <w:lang w:val="en-GB"/>
              </w:rPr>
            </w:pPr>
            <w:r>
              <w:rPr>
                <w:lang w:val="en-GB"/>
              </w:rPr>
              <w:t>LCNF-P</w:t>
            </w:r>
          </w:p>
        </w:tc>
        <w:tc>
          <w:tcPr>
            <w:tcW w:w="414" w:type="pct"/>
            <w:shd w:val="clear" w:color="auto" w:fill="FFFFFF"/>
          </w:tcPr>
          <w:p w:rsidR="0029213D" w:rsidRPr="00677333" w:rsidRDefault="0029213D" w:rsidP="009D473B">
            <w:pPr>
              <w:spacing w:line="276" w:lineRule="auto"/>
              <w:jc w:val="left"/>
            </w:pPr>
            <w:r>
              <w:t>4.0</w:t>
            </w:r>
          </w:p>
        </w:tc>
        <w:tc>
          <w:tcPr>
            <w:tcW w:w="413" w:type="pct"/>
            <w:shd w:val="clear" w:color="auto" w:fill="FFFFFF"/>
          </w:tcPr>
          <w:p w:rsidR="0029213D" w:rsidRPr="00677333" w:rsidRDefault="0029213D" w:rsidP="009D473B">
            <w:pPr>
              <w:spacing w:line="276" w:lineRule="auto"/>
              <w:jc w:val="left"/>
            </w:pPr>
            <w:r w:rsidRPr="00677333">
              <w:t>0.4</w:t>
            </w:r>
          </w:p>
        </w:tc>
        <w:tc>
          <w:tcPr>
            <w:tcW w:w="657" w:type="pct"/>
            <w:shd w:val="clear" w:color="auto" w:fill="FFFFFF"/>
          </w:tcPr>
          <w:p w:rsidR="0029213D" w:rsidRPr="00677333" w:rsidRDefault="0029213D" w:rsidP="009D473B">
            <w:pPr>
              <w:spacing w:line="276" w:lineRule="auto"/>
              <w:jc w:val="left"/>
            </w:pPr>
            <w:r w:rsidRPr="00677333">
              <w:t>0.6</w:t>
            </w:r>
          </w:p>
        </w:tc>
        <w:tc>
          <w:tcPr>
            <w:tcW w:w="332" w:type="pct"/>
            <w:shd w:val="clear" w:color="auto" w:fill="FFFFFF"/>
          </w:tcPr>
          <w:p w:rsidR="0029213D" w:rsidRPr="00677333" w:rsidRDefault="0029213D" w:rsidP="009D473B">
            <w:pPr>
              <w:spacing w:line="276" w:lineRule="auto"/>
              <w:jc w:val="left"/>
            </w:pPr>
            <w:r>
              <w:t>0.61</w:t>
            </w:r>
          </w:p>
        </w:tc>
        <w:tc>
          <w:tcPr>
            <w:tcW w:w="413" w:type="pct"/>
            <w:shd w:val="clear" w:color="auto" w:fill="FFFFFF"/>
          </w:tcPr>
          <w:p w:rsidR="0029213D" w:rsidRPr="00677333" w:rsidRDefault="0029213D" w:rsidP="009D473B">
            <w:pPr>
              <w:spacing w:line="276" w:lineRule="auto"/>
              <w:jc w:val="left"/>
            </w:pPr>
            <w:r>
              <w:t>80.0</w:t>
            </w:r>
          </w:p>
        </w:tc>
        <w:tc>
          <w:tcPr>
            <w:tcW w:w="415" w:type="pct"/>
            <w:shd w:val="clear" w:color="auto" w:fill="FFFFFF"/>
          </w:tcPr>
          <w:p w:rsidR="0029213D" w:rsidRPr="00677333" w:rsidRDefault="0029213D" w:rsidP="009D473B">
            <w:pPr>
              <w:spacing w:line="276" w:lineRule="auto"/>
              <w:jc w:val="left"/>
            </w:pPr>
            <w:r>
              <w:t>7.3</w:t>
            </w:r>
          </w:p>
        </w:tc>
        <w:tc>
          <w:tcPr>
            <w:tcW w:w="495" w:type="pct"/>
            <w:shd w:val="clear" w:color="auto" w:fill="FFFFFF"/>
          </w:tcPr>
          <w:p w:rsidR="0029213D" w:rsidRPr="00677333" w:rsidRDefault="0029213D" w:rsidP="009D473B">
            <w:pPr>
              <w:spacing w:line="276" w:lineRule="auto"/>
              <w:jc w:val="left"/>
            </w:pPr>
            <w:r>
              <w:t>6.4</w:t>
            </w:r>
          </w:p>
        </w:tc>
        <w:tc>
          <w:tcPr>
            <w:tcW w:w="495" w:type="pct"/>
            <w:shd w:val="clear" w:color="auto" w:fill="FFFFFF"/>
          </w:tcPr>
          <w:p w:rsidR="0029213D" w:rsidRPr="00677333" w:rsidRDefault="0029213D" w:rsidP="009D473B">
            <w:pPr>
              <w:spacing w:line="276" w:lineRule="auto"/>
              <w:jc w:val="left"/>
            </w:pPr>
            <w:r>
              <w:t>0.2</w:t>
            </w:r>
          </w:p>
        </w:tc>
        <w:tc>
          <w:tcPr>
            <w:tcW w:w="541" w:type="pct"/>
            <w:shd w:val="clear" w:color="auto" w:fill="FFFFFF"/>
          </w:tcPr>
          <w:p w:rsidR="0029213D" w:rsidRPr="00677333" w:rsidRDefault="0029213D" w:rsidP="009D473B">
            <w:pPr>
              <w:spacing w:line="276" w:lineRule="auto"/>
              <w:jc w:val="left"/>
            </w:pPr>
            <w:r>
              <w:t>0.6</w:t>
            </w:r>
          </w:p>
        </w:tc>
      </w:tr>
      <w:tr w:rsidR="0029213D" w:rsidRPr="00677333" w:rsidTr="0029213D">
        <w:tc>
          <w:tcPr>
            <w:tcW w:w="825" w:type="pct"/>
            <w:shd w:val="clear" w:color="auto" w:fill="FFFFFF"/>
          </w:tcPr>
          <w:p w:rsidR="0029213D" w:rsidRPr="00B57B36" w:rsidRDefault="0029213D" w:rsidP="009D473B">
            <w:pPr>
              <w:pStyle w:val="CETBodytext"/>
              <w:rPr>
                <w:lang w:val="en-GB"/>
              </w:rPr>
            </w:pPr>
            <w:r>
              <w:rPr>
                <w:lang w:val="en-GB"/>
              </w:rPr>
              <w:t>CNF-P</w:t>
            </w:r>
          </w:p>
        </w:tc>
        <w:tc>
          <w:tcPr>
            <w:tcW w:w="414" w:type="pct"/>
            <w:shd w:val="clear" w:color="auto" w:fill="FFFFFF"/>
          </w:tcPr>
          <w:p w:rsidR="0029213D" w:rsidRPr="00677333" w:rsidRDefault="0029213D" w:rsidP="009D473B">
            <w:pPr>
              <w:spacing w:line="276" w:lineRule="auto"/>
              <w:jc w:val="left"/>
            </w:pPr>
            <w:r>
              <w:t>0.5</w:t>
            </w:r>
          </w:p>
        </w:tc>
        <w:tc>
          <w:tcPr>
            <w:tcW w:w="413" w:type="pct"/>
            <w:shd w:val="clear" w:color="auto" w:fill="FFFFFF"/>
          </w:tcPr>
          <w:p w:rsidR="0029213D" w:rsidRPr="00677333" w:rsidRDefault="0029213D" w:rsidP="009D473B">
            <w:pPr>
              <w:spacing w:line="276" w:lineRule="auto"/>
              <w:jc w:val="left"/>
            </w:pPr>
            <w:r w:rsidRPr="00677333">
              <w:t>0.2</w:t>
            </w:r>
          </w:p>
        </w:tc>
        <w:tc>
          <w:tcPr>
            <w:tcW w:w="657" w:type="pct"/>
            <w:shd w:val="clear" w:color="auto" w:fill="FFFFFF"/>
          </w:tcPr>
          <w:p w:rsidR="0029213D" w:rsidRPr="00677333" w:rsidRDefault="0029213D" w:rsidP="009D473B">
            <w:pPr>
              <w:spacing w:line="276" w:lineRule="auto"/>
              <w:jc w:val="left"/>
            </w:pPr>
            <w:r>
              <w:t>0.1</w:t>
            </w:r>
          </w:p>
        </w:tc>
        <w:tc>
          <w:tcPr>
            <w:tcW w:w="332" w:type="pct"/>
            <w:shd w:val="clear" w:color="auto" w:fill="FFFFFF"/>
          </w:tcPr>
          <w:p w:rsidR="0029213D" w:rsidRPr="00677333" w:rsidRDefault="0029213D" w:rsidP="009D473B">
            <w:pPr>
              <w:spacing w:line="276" w:lineRule="auto"/>
              <w:jc w:val="left"/>
            </w:pPr>
            <w:r>
              <w:t>0.60</w:t>
            </w:r>
          </w:p>
        </w:tc>
        <w:tc>
          <w:tcPr>
            <w:tcW w:w="413" w:type="pct"/>
            <w:shd w:val="clear" w:color="auto" w:fill="FFFFFF"/>
          </w:tcPr>
          <w:p w:rsidR="0029213D" w:rsidRPr="00677333" w:rsidRDefault="0029213D" w:rsidP="009D473B">
            <w:pPr>
              <w:spacing w:line="276" w:lineRule="auto"/>
              <w:jc w:val="left"/>
            </w:pPr>
            <w:r>
              <w:t>83.7</w:t>
            </w:r>
          </w:p>
        </w:tc>
        <w:tc>
          <w:tcPr>
            <w:tcW w:w="415" w:type="pct"/>
            <w:shd w:val="clear" w:color="auto" w:fill="FFFFFF"/>
          </w:tcPr>
          <w:p w:rsidR="0029213D" w:rsidRPr="00677333" w:rsidRDefault="0029213D" w:rsidP="009D473B">
            <w:pPr>
              <w:spacing w:line="276" w:lineRule="auto"/>
              <w:jc w:val="left"/>
            </w:pPr>
            <w:r>
              <w:t>7.3</w:t>
            </w:r>
          </w:p>
        </w:tc>
        <w:tc>
          <w:tcPr>
            <w:tcW w:w="495" w:type="pct"/>
            <w:shd w:val="clear" w:color="auto" w:fill="FFFFFF"/>
          </w:tcPr>
          <w:p w:rsidR="0029213D" w:rsidRPr="00677333" w:rsidRDefault="0029213D" w:rsidP="009D473B">
            <w:pPr>
              <w:spacing w:line="276" w:lineRule="auto"/>
              <w:jc w:val="left"/>
            </w:pPr>
            <w:r>
              <w:t>6.4</w:t>
            </w:r>
          </w:p>
        </w:tc>
        <w:tc>
          <w:tcPr>
            <w:tcW w:w="495" w:type="pct"/>
            <w:shd w:val="clear" w:color="auto" w:fill="FFFFFF"/>
          </w:tcPr>
          <w:p w:rsidR="0029213D" w:rsidRPr="00677333" w:rsidRDefault="0029213D" w:rsidP="009D473B">
            <w:pPr>
              <w:spacing w:line="276" w:lineRule="auto"/>
              <w:jc w:val="left"/>
            </w:pPr>
            <w:r>
              <w:t>0.4</w:t>
            </w:r>
          </w:p>
        </w:tc>
        <w:tc>
          <w:tcPr>
            <w:tcW w:w="541" w:type="pct"/>
            <w:shd w:val="clear" w:color="auto" w:fill="FFFFFF"/>
          </w:tcPr>
          <w:p w:rsidR="0029213D" w:rsidRPr="00677333" w:rsidRDefault="0029213D" w:rsidP="009D473B">
            <w:pPr>
              <w:spacing w:line="276" w:lineRule="auto"/>
              <w:jc w:val="left"/>
            </w:pPr>
            <w:r>
              <w:t>0.7</w:t>
            </w:r>
          </w:p>
        </w:tc>
      </w:tr>
      <w:tr w:rsidR="0029213D" w:rsidRPr="00677333" w:rsidTr="0029213D">
        <w:tc>
          <w:tcPr>
            <w:tcW w:w="825" w:type="pct"/>
            <w:shd w:val="clear" w:color="auto" w:fill="FFFFFF"/>
          </w:tcPr>
          <w:p w:rsidR="0029213D" w:rsidRPr="00B57B36" w:rsidRDefault="0029213D" w:rsidP="009D473B">
            <w:pPr>
              <w:pStyle w:val="CETBodytext"/>
              <w:rPr>
                <w:lang w:val="en-GB"/>
              </w:rPr>
            </w:pPr>
            <w:r>
              <w:rPr>
                <w:rFonts w:cs="Arial"/>
                <w:szCs w:val="18"/>
                <w:lang w:val="en-GB"/>
              </w:rPr>
              <w:t>LCNF-E</w:t>
            </w:r>
            <w:r w:rsidRPr="00677333">
              <w:rPr>
                <w:lang w:val="en-GB"/>
              </w:rPr>
              <w:t xml:space="preserve"> </w:t>
            </w:r>
          </w:p>
        </w:tc>
        <w:tc>
          <w:tcPr>
            <w:tcW w:w="414" w:type="pct"/>
            <w:shd w:val="clear" w:color="auto" w:fill="FFFFFF"/>
          </w:tcPr>
          <w:p w:rsidR="0029213D" w:rsidRPr="00677333" w:rsidRDefault="0029213D" w:rsidP="009D473B">
            <w:pPr>
              <w:spacing w:line="276" w:lineRule="auto"/>
              <w:jc w:val="left"/>
            </w:pPr>
            <w:r>
              <w:t>1.8</w:t>
            </w:r>
          </w:p>
        </w:tc>
        <w:tc>
          <w:tcPr>
            <w:tcW w:w="413" w:type="pct"/>
            <w:shd w:val="clear" w:color="auto" w:fill="FFFFFF"/>
          </w:tcPr>
          <w:p w:rsidR="0029213D" w:rsidRPr="00677333" w:rsidRDefault="0029213D" w:rsidP="009D473B">
            <w:pPr>
              <w:spacing w:line="276" w:lineRule="auto"/>
              <w:jc w:val="left"/>
            </w:pPr>
            <w:r w:rsidRPr="00677333">
              <w:t>1.2</w:t>
            </w:r>
          </w:p>
        </w:tc>
        <w:tc>
          <w:tcPr>
            <w:tcW w:w="657" w:type="pct"/>
            <w:shd w:val="clear" w:color="auto" w:fill="FFFFFF"/>
          </w:tcPr>
          <w:p w:rsidR="0029213D" w:rsidRPr="00677333" w:rsidRDefault="0029213D" w:rsidP="009D473B">
            <w:pPr>
              <w:spacing w:line="276" w:lineRule="auto"/>
              <w:jc w:val="left"/>
            </w:pPr>
            <w:r>
              <w:t>1.3</w:t>
            </w:r>
          </w:p>
        </w:tc>
        <w:tc>
          <w:tcPr>
            <w:tcW w:w="332" w:type="pct"/>
            <w:shd w:val="clear" w:color="auto" w:fill="FFFFFF"/>
          </w:tcPr>
          <w:p w:rsidR="0029213D" w:rsidRPr="00677333" w:rsidRDefault="0029213D" w:rsidP="009D473B">
            <w:pPr>
              <w:spacing w:line="276" w:lineRule="auto"/>
              <w:jc w:val="left"/>
            </w:pPr>
            <w:r>
              <w:t>0.81</w:t>
            </w:r>
          </w:p>
        </w:tc>
        <w:tc>
          <w:tcPr>
            <w:tcW w:w="413" w:type="pct"/>
            <w:shd w:val="clear" w:color="auto" w:fill="FFFFFF"/>
          </w:tcPr>
          <w:p w:rsidR="0029213D" w:rsidRPr="00677333" w:rsidRDefault="0029213D" w:rsidP="009D473B">
            <w:pPr>
              <w:spacing w:line="276" w:lineRule="auto"/>
              <w:jc w:val="left"/>
            </w:pPr>
            <w:r>
              <w:t>80.6</w:t>
            </w:r>
          </w:p>
        </w:tc>
        <w:tc>
          <w:tcPr>
            <w:tcW w:w="415" w:type="pct"/>
            <w:shd w:val="clear" w:color="auto" w:fill="FFFFFF"/>
          </w:tcPr>
          <w:p w:rsidR="0029213D" w:rsidRPr="00677333" w:rsidRDefault="0029213D" w:rsidP="009D473B">
            <w:pPr>
              <w:spacing w:line="276" w:lineRule="auto"/>
              <w:jc w:val="left"/>
            </w:pPr>
            <w:r>
              <w:t>13.8</w:t>
            </w:r>
          </w:p>
        </w:tc>
        <w:tc>
          <w:tcPr>
            <w:tcW w:w="495" w:type="pct"/>
            <w:shd w:val="clear" w:color="auto" w:fill="FFFFFF"/>
          </w:tcPr>
          <w:p w:rsidR="0029213D" w:rsidRPr="00677333" w:rsidRDefault="0029213D" w:rsidP="009D473B">
            <w:pPr>
              <w:spacing w:line="276" w:lineRule="auto"/>
              <w:jc w:val="left"/>
            </w:pPr>
            <w:r>
              <w:t>0.2</w:t>
            </w:r>
          </w:p>
        </w:tc>
        <w:tc>
          <w:tcPr>
            <w:tcW w:w="495" w:type="pct"/>
            <w:shd w:val="clear" w:color="auto" w:fill="FFFFFF"/>
          </w:tcPr>
          <w:p w:rsidR="0029213D" w:rsidRPr="00677333" w:rsidRDefault="0029213D" w:rsidP="009D473B">
            <w:pPr>
              <w:spacing w:line="276" w:lineRule="auto"/>
              <w:jc w:val="left"/>
            </w:pPr>
            <w:r>
              <w:t>0.2</w:t>
            </w:r>
          </w:p>
        </w:tc>
        <w:tc>
          <w:tcPr>
            <w:tcW w:w="541" w:type="pct"/>
            <w:shd w:val="clear" w:color="auto" w:fill="FFFFFF"/>
          </w:tcPr>
          <w:p w:rsidR="0029213D" w:rsidRPr="00677333" w:rsidRDefault="0029213D" w:rsidP="009D473B">
            <w:pPr>
              <w:spacing w:line="276" w:lineRule="auto"/>
              <w:jc w:val="left"/>
            </w:pPr>
            <w:r>
              <w:t>0</w:t>
            </w:r>
          </w:p>
        </w:tc>
      </w:tr>
      <w:tr w:rsidR="0029213D" w:rsidRPr="00677333" w:rsidTr="0029213D">
        <w:tc>
          <w:tcPr>
            <w:tcW w:w="825" w:type="pct"/>
            <w:shd w:val="clear" w:color="auto" w:fill="FFFFFF"/>
          </w:tcPr>
          <w:p w:rsidR="0029213D" w:rsidRPr="00B57B36" w:rsidRDefault="0029213D" w:rsidP="009D473B">
            <w:pPr>
              <w:pStyle w:val="CETBodytext"/>
              <w:rPr>
                <w:lang w:val="en-GB"/>
              </w:rPr>
            </w:pPr>
            <w:r>
              <w:rPr>
                <w:rFonts w:cs="Arial"/>
                <w:szCs w:val="18"/>
                <w:lang w:val="en-GB"/>
              </w:rPr>
              <w:t>CNF-E</w:t>
            </w:r>
          </w:p>
        </w:tc>
        <w:tc>
          <w:tcPr>
            <w:tcW w:w="414" w:type="pct"/>
            <w:shd w:val="clear" w:color="auto" w:fill="FFFFFF"/>
          </w:tcPr>
          <w:p w:rsidR="0029213D" w:rsidRPr="00677333" w:rsidRDefault="0029213D" w:rsidP="009D473B">
            <w:pPr>
              <w:spacing w:line="276" w:lineRule="auto"/>
              <w:jc w:val="left"/>
            </w:pPr>
            <w:r>
              <w:t>0.2</w:t>
            </w:r>
          </w:p>
        </w:tc>
        <w:tc>
          <w:tcPr>
            <w:tcW w:w="413" w:type="pct"/>
            <w:shd w:val="clear" w:color="auto" w:fill="FFFFFF"/>
          </w:tcPr>
          <w:p w:rsidR="0029213D" w:rsidRPr="00677333" w:rsidRDefault="0029213D" w:rsidP="009D473B">
            <w:pPr>
              <w:spacing w:line="276" w:lineRule="auto"/>
              <w:jc w:val="left"/>
            </w:pPr>
            <w:r w:rsidRPr="00677333">
              <w:t>0.9</w:t>
            </w:r>
          </w:p>
        </w:tc>
        <w:tc>
          <w:tcPr>
            <w:tcW w:w="657" w:type="pct"/>
            <w:shd w:val="clear" w:color="auto" w:fill="FFFFFF"/>
          </w:tcPr>
          <w:p w:rsidR="0029213D" w:rsidRPr="00677333" w:rsidRDefault="0029213D" w:rsidP="009D473B">
            <w:pPr>
              <w:spacing w:line="276" w:lineRule="auto"/>
              <w:jc w:val="left"/>
            </w:pPr>
            <w:r>
              <w:t>0.1</w:t>
            </w:r>
          </w:p>
        </w:tc>
        <w:tc>
          <w:tcPr>
            <w:tcW w:w="332" w:type="pct"/>
            <w:shd w:val="clear" w:color="auto" w:fill="FFFFFF"/>
          </w:tcPr>
          <w:p w:rsidR="0029213D" w:rsidRPr="00677333" w:rsidRDefault="0029213D" w:rsidP="009D473B">
            <w:pPr>
              <w:spacing w:line="276" w:lineRule="auto"/>
              <w:jc w:val="left"/>
            </w:pPr>
            <w:r>
              <w:t>0.73</w:t>
            </w:r>
          </w:p>
        </w:tc>
        <w:tc>
          <w:tcPr>
            <w:tcW w:w="413" w:type="pct"/>
            <w:shd w:val="clear" w:color="auto" w:fill="FFFFFF"/>
          </w:tcPr>
          <w:p w:rsidR="0029213D" w:rsidRPr="00677333" w:rsidRDefault="0029213D" w:rsidP="009D473B">
            <w:pPr>
              <w:spacing w:line="276" w:lineRule="auto"/>
              <w:jc w:val="left"/>
            </w:pPr>
            <w:r>
              <w:t>83.3</w:t>
            </w:r>
          </w:p>
        </w:tc>
        <w:tc>
          <w:tcPr>
            <w:tcW w:w="415" w:type="pct"/>
            <w:shd w:val="clear" w:color="auto" w:fill="FFFFFF"/>
          </w:tcPr>
          <w:p w:rsidR="0029213D" w:rsidRPr="00677333" w:rsidRDefault="0029213D" w:rsidP="009D473B">
            <w:pPr>
              <w:spacing w:line="276" w:lineRule="auto"/>
              <w:jc w:val="left"/>
            </w:pPr>
            <w:r>
              <w:t>14.2</w:t>
            </w:r>
          </w:p>
        </w:tc>
        <w:tc>
          <w:tcPr>
            <w:tcW w:w="495" w:type="pct"/>
            <w:shd w:val="clear" w:color="auto" w:fill="FFFFFF"/>
          </w:tcPr>
          <w:p w:rsidR="0029213D" w:rsidRPr="00677333" w:rsidRDefault="0029213D" w:rsidP="009D473B">
            <w:pPr>
              <w:spacing w:line="276" w:lineRule="auto"/>
              <w:jc w:val="left"/>
            </w:pPr>
            <w:r>
              <w:t>0.3</w:t>
            </w:r>
          </w:p>
        </w:tc>
        <w:tc>
          <w:tcPr>
            <w:tcW w:w="495" w:type="pct"/>
            <w:shd w:val="clear" w:color="auto" w:fill="FFFFFF"/>
          </w:tcPr>
          <w:p w:rsidR="0029213D" w:rsidRPr="00677333" w:rsidRDefault="0029213D" w:rsidP="009D473B">
            <w:pPr>
              <w:spacing w:line="276" w:lineRule="auto"/>
              <w:jc w:val="left"/>
            </w:pPr>
            <w:r>
              <w:t>0.3</w:t>
            </w:r>
          </w:p>
        </w:tc>
        <w:tc>
          <w:tcPr>
            <w:tcW w:w="541" w:type="pct"/>
            <w:shd w:val="clear" w:color="auto" w:fill="FFFFFF"/>
          </w:tcPr>
          <w:p w:rsidR="0029213D" w:rsidRPr="00677333" w:rsidRDefault="0029213D" w:rsidP="009D473B">
            <w:pPr>
              <w:spacing w:line="276" w:lineRule="auto"/>
              <w:jc w:val="left"/>
            </w:pPr>
            <w:r>
              <w:t>0</w:t>
            </w:r>
          </w:p>
        </w:tc>
      </w:tr>
    </w:tbl>
    <w:p w:rsidR="00AF6485" w:rsidRDefault="00AF6485" w:rsidP="00AC68DD">
      <w:pPr>
        <w:pStyle w:val="CETBodytext"/>
      </w:pPr>
    </w:p>
    <w:p w:rsidR="005F3C11" w:rsidRDefault="00AC68DD" w:rsidP="00AC68DD">
      <w:pPr>
        <w:pStyle w:val="CETBodytext"/>
      </w:pPr>
      <w:r w:rsidRPr="00B24F3C">
        <w:t>The total lignin content observed for the LCNF-P and LCNF-E samples were 4.0 and 1.8</w:t>
      </w:r>
      <w:r w:rsidR="00882E66">
        <w:t xml:space="preserve"> </w:t>
      </w:r>
      <w:r w:rsidRPr="00B24F3C">
        <w:t xml:space="preserve">%, respectively. This difference is directly related to the residual lignin content present in the unbleached pulps of pine and eucalypt, that were used to produce these lignocellulose nanofibrils. </w:t>
      </w:r>
      <w:r>
        <w:t>The</w:t>
      </w:r>
      <w:r w:rsidRPr="00B24F3C">
        <w:t xml:space="preserve"> </w:t>
      </w:r>
      <w:r w:rsidR="00CE42D6">
        <w:t xml:space="preserve">nanofibrils </w:t>
      </w:r>
      <w:r w:rsidRPr="00B24F3C">
        <w:t>residual lignin contents are not proportional to the</w:t>
      </w:r>
      <w:r>
        <w:t>ir</w:t>
      </w:r>
      <w:r w:rsidRPr="00B24F3C">
        <w:t xml:space="preserve"> kappa numbers </w:t>
      </w:r>
      <w:r>
        <w:t xml:space="preserve">due to the </w:t>
      </w:r>
      <w:r w:rsidR="00CE42D6">
        <w:t xml:space="preserve">presence of </w:t>
      </w:r>
      <w:r>
        <w:t>hexenuronic acid</w:t>
      </w:r>
      <w:r w:rsidRPr="00B24F3C">
        <w:t xml:space="preserve"> (HexA)</w:t>
      </w:r>
      <w:r w:rsidR="00CE42D6">
        <w:t>, which is also quantified in the kappa number test</w:t>
      </w:r>
      <w:r>
        <w:t>.</w:t>
      </w:r>
      <w:r w:rsidRPr="00B24F3C">
        <w:t xml:space="preserve"> Li and </w:t>
      </w:r>
      <w:r w:rsidRPr="00533689">
        <w:t>Gellerstedt</w:t>
      </w:r>
      <w:r w:rsidRPr="00B24F3C">
        <w:t xml:space="preserve"> (199</w:t>
      </w:r>
      <w:r>
        <w:t>8</w:t>
      </w:r>
      <w:r w:rsidRPr="00B24F3C">
        <w:t xml:space="preserve">) propose the correction of the kappa number of the unbleached pulp without the participation of the HexA </w:t>
      </w:r>
      <w:r>
        <w:t>and, considering this</w:t>
      </w:r>
      <w:r w:rsidRPr="00B24F3C">
        <w:t xml:space="preserve"> correction, </w:t>
      </w:r>
      <w:r>
        <w:t xml:space="preserve">the </w:t>
      </w:r>
      <w:r w:rsidRPr="00B24F3C">
        <w:t>residual lignin ​​(4.02</w:t>
      </w:r>
      <w:r w:rsidR="00882E66">
        <w:t xml:space="preserve"> </w:t>
      </w:r>
      <w:r w:rsidRPr="00B24F3C">
        <w:t>% for pine pulp and 1.74</w:t>
      </w:r>
      <w:r w:rsidR="00882E66">
        <w:t xml:space="preserve"> </w:t>
      </w:r>
      <w:r w:rsidRPr="00B24F3C">
        <w:t xml:space="preserve">% for eucalypt pulp) </w:t>
      </w:r>
      <w:r>
        <w:t>came down to values</w:t>
      </w:r>
      <w:r w:rsidRPr="00B24F3C">
        <w:t xml:space="preserve"> </w:t>
      </w:r>
      <w:r>
        <w:t>which are expected.</w:t>
      </w:r>
      <w:r w:rsidR="005F3C11">
        <w:t xml:space="preserve"> </w:t>
      </w:r>
      <w:r>
        <w:t>Regarding</w:t>
      </w:r>
      <w:r w:rsidRPr="004D66FA">
        <w:t xml:space="preserve"> sugar content, it is known that xylan is the main hemicellulose present in hardwoods, while softwoods </w:t>
      </w:r>
      <w:r>
        <w:t>exhibit</w:t>
      </w:r>
      <w:r w:rsidRPr="004D66FA">
        <w:t xml:space="preserve"> mannan as the most important hemicellulose (</w:t>
      </w:r>
      <w:r w:rsidRPr="00572C4D">
        <w:t>Huang</w:t>
      </w:r>
      <w:r w:rsidRPr="004D66FA">
        <w:t xml:space="preserve"> </w:t>
      </w:r>
      <w:r>
        <w:t xml:space="preserve">et al., 2016). </w:t>
      </w:r>
      <w:r w:rsidR="00173477">
        <w:t>However, t</w:t>
      </w:r>
      <w:r>
        <w:t>he</w:t>
      </w:r>
      <w:r w:rsidRPr="004D66FA">
        <w:t xml:space="preserve"> pine pulp</w:t>
      </w:r>
      <w:r>
        <w:t>s</w:t>
      </w:r>
      <w:r w:rsidRPr="004D66FA">
        <w:t xml:space="preserve"> present</w:t>
      </w:r>
      <w:r>
        <w:t>ed</w:t>
      </w:r>
      <w:r w:rsidRPr="004D66FA">
        <w:t xml:space="preserve"> </w:t>
      </w:r>
      <w:r w:rsidR="00173477">
        <w:t>more xylan than</w:t>
      </w:r>
      <w:r w:rsidR="00173477" w:rsidRPr="004D66FA">
        <w:t xml:space="preserve"> </w:t>
      </w:r>
      <w:r w:rsidRPr="004D66FA">
        <w:t>mannan</w:t>
      </w:r>
      <w:r w:rsidR="00173477">
        <w:t>, a result explai</w:t>
      </w:r>
      <w:r w:rsidR="003161D8">
        <w:t>ned</w:t>
      </w:r>
      <w:r w:rsidRPr="004D66FA">
        <w:t xml:space="preserve"> </w:t>
      </w:r>
      <w:r w:rsidR="00173477">
        <w:t>by the</w:t>
      </w:r>
      <w:r w:rsidRPr="004D66FA">
        <w:t xml:space="preserve"> higher resistance of xylans </w:t>
      </w:r>
      <w:r w:rsidR="00173477">
        <w:t xml:space="preserve">to alkali </w:t>
      </w:r>
      <w:r w:rsidRPr="004D66FA">
        <w:t xml:space="preserve">during kraft </w:t>
      </w:r>
      <w:r w:rsidR="00173477">
        <w:t>cooking</w:t>
      </w:r>
      <w:r w:rsidRPr="004D66FA">
        <w:t xml:space="preserve"> (</w:t>
      </w:r>
      <w:r w:rsidRPr="00A72FDC">
        <w:t>Potthast</w:t>
      </w:r>
      <w:r>
        <w:t xml:space="preserve">, </w:t>
      </w:r>
      <w:r w:rsidRPr="00A72FDC">
        <w:t>2006</w:t>
      </w:r>
      <w:r w:rsidRPr="004D66FA">
        <w:t>).</w:t>
      </w:r>
      <w:r>
        <w:t xml:space="preserve"> </w:t>
      </w:r>
    </w:p>
    <w:p w:rsidR="00B56722" w:rsidRDefault="005F3C11" w:rsidP="006D3447">
      <w:pPr>
        <w:pStyle w:val="CETBodytext"/>
      </w:pPr>
      <w:r w:rsidRPr="005749CA">
        <w:t xml:space="preserve">The </w:t>
      </w:r>
      <w:r w:rsidRPr="005F3C11">
        <w:t xml:space="preserve">crystallinity index, </w:t>
      </w:r>
      <w:r w:rsidR="00BF0F0A">
        <w:t>maximum degradation temperature</w:t>
      </w:r>
      <w:r w:rsidRPr="005F3C11">
        <w:t xml:space="preserve"> and diameter </w:t>
      </w:r>
      <w:r>
        <w:t xml:space="preserve">of nanofibrils are </w:t>
      </w:r>
      <w:r w:rsidRPr="005749CA">
        <w:t xml:space="preserve">shown in Table </w:t>
      </w:r>
      <w:r>
        <w:t>2</w:t>
      </w:r>
      <w:r w:rsidRPr="005749CA">
        <w:t>.</w:t>
      </w:r>
      <w:r w:rsidR="004B4723">
        <w:t xml:space="preserve"> </w:t>
      </w:r>
      <w:r w:rsidR="00BF0F0A" w:rsidRPr="00BF0F0A">
        <w:t>The crystallinity index values were similar to those reported by Silva (2015) and Damasio (2015), wh</w:t>
      </w:r>
      <w:r w:rsidR="0078280B">
        <w:t>ich</w:t>
      </w:r>
      <w:r w:rsidR="00BF0F0A" w:rsidRPr="00BF0F0A">
        <w:t xml:space="preserve"> observed values of 85.3% for LCNF of hardwood and 79.5% for</w:t>
      </w:r>
      <w:r w:rsidR="00CE441F">
        <w:t xml:space="preserve"> CNF of softwood, respectively. </w:t>
      </w:r>
      <w:r w:rsidR="004B4723" w:rsidRPr="004B4723">
        <w:t xml:space="preserve">The high degree of crystallinity is an important feature because it is usually accompanied by greater tensile strength and higher stiffness </w:t>
      </w:r>
      <w:r w:rsidR="004B4723" w:rsidRPr="006D3447">
        <w:t>(G</w:t>
      </w:r>
      <w:r w:rsidR="00F17104" w:rsidRPr="006D3447">
        <w:t>harehkhani</w:t>
      </w:r>
      <w:r w:rsidR="004B4723" w:rsidRPr="006D3447">
        <w:t xml:space="preserve"> et al., 2015). </w:t>
      </w:r>
      <w:r w:rsidR="00B56722" w:rsidRPr="006D3447">
        <w:rPr>
          <w:rFonts w:cs="Arial"/>
        </w:rPr>
        <w:t>The</w:t>
      </w:r>
      <w:r w:rsidR="00B56722" w:rsidRPr="00A8782F">
        <w:rPr>
          <w:rFonts w:cs="Arial"/>
        </w:rPr>
        <w:t xml:space="preserve"> maximum degradat</w:t>
      </w:r>
      <w:r w:rsidR="00F17104">
        <w:rPr>
          <w:rFonts w:cs="Arial"/>
        </w:rPr>
        <w:t xml:space="preserve">ion temperatures of the LCNF-P and LCNF-E </w:t>
      </w:r>
      <w:r w:rsidR="00B56722" w:rsidRPr="00A8782F">
        <w:rPr>
          <w:rFonts w:cs="Arial"/>
        </w:rPr>
        <w:t>w</w:t>
      </w:r>
      <w:r w:rsidR="00F17104">
        <w:rPr>
          <w:rFonts w:cs="Arial"/>
        </w:rPr>
        <w:t xml:space="preserve">ere higher than of CNF-P </w:t>
      </w:r>
      <w:r w:rsidR="00B56722" w:rsidRPr="00A8782F">
        <w:rPr>
          <w:rFonts w:cs="Arial"/>
        </w:rPr>
        <w:t>an</w:t>
      </w:r>
      <w:r w:rsidR="00B56722">
        <w:rPr>
          <w:rFonts w:cs="Arial"/>
        </w:rPr>
        <w:t xml:space="preserve">d </w:t>
      </w:r>
      <w:r w:rsidR="00F17104">
        <w:rPr>
          <w:rFonts w:cs="Arial"/>
        </w:rPr>
        <w:t xml:space="preserve">CNF-E, </w:t>
      </w:r>
      <w:r w:rsidR="00B56722" w:rsidRPr="00A8782F">
        <w:rPr>
          <w:rFonts w:cs="Arial"/>
        </w:rPr>
        <w:t>indicating greater thermal stability of the lignocelluloses nanofibrils.</w:t>
      </w:r>
      <w:r w:rsidR="00F17104">
        <w:rPr>
          <w:rFonts w:cs="Arial"/>
        </w:rPr>
        <w:t xml:space="preserve"> </w:t>
      </w:r>
      <w:r w:rsidR="00F17104" w:rsidRPr="00F17104">
        <w:rPr>
          <w:rFonts w:cs="Arial"/>
        </w:rPr>
        <w:t xml:space="preserve">The higher thermal stability of </w:t>
      </w:r>
      <w:r w:rsidR="00F17104">
        <w:rPr>
          <w:rFonts w:cs="Arial"/>
        </w:rPr>
        <w:t>LCNF</w:t>
      </w:r>
      <w:r w:rsidR="00F17104" w:rsidRPr="00F17104">
        <w:rPr>
          <w:rFonts w:cs="Arial"/>
        </w:rPr>
        <w:t xml:space="preserve"> can be explained</w:t>
      </w:r>
      <w:r w:rsidR="00F17104">
        <w:rPr>
          <w:rFonts w:cs="Arial"/>
        </w:rPr>
        <w:t xml:space="preserve"> </w:t>
      </w:r>
      <w:r w:rsidR="00F17104" w:rsidRPr="00F17104">
        <w:rPr>
          <w:rFonts w:cs="Arial"/>
        </w:rPr>
        <w:t>by the presence of lignin in the chemical composition of these samples, a polymer that</w:t>
      </w:r>
      <w:r w:rsidR="00F17104">
        <w:rPr>
          <w:rFonts w:cs="Arial"/>
        </w:rPr>
        <w:t xml:space="preserve"> </w:t>
      </w:r>
      <w:r w:rsidR="00F17104" w:rsidRPr="00F17104">
        <w:rPr>
          <w:rFonts w:cs="Arial"/>
        </w:rPr>
        <w:t>is thermally more resistant than carbohydrates</w:t>
      </w:r>
      <w:r w:rsidR="006D3447">
        <w:rPr>
          <w:rFonts w:cs="Arial"/>
        </w:rPr>
        <w:t xml:space="preserve">. </w:t>
      </w:r>
      <w:r w:rsidR="006D3447" w:rsidRPr="006D3447">
        <w:rPr>
          <w:rFonts w:cs="Arial"/>
        </w:rPr>
        <w:t xml:space="preserve">The </w:t>
      </w:r>
      <w:r w:rsidR="00966E08">
        <w:rPr>
          <w:rFonts w:cs="Arial"/>
        </w:rPr>
        <w:t>mean diameter</w:t>
      </w:r>
      <w:r w:rsidR="006D3447" w:rsidRPr="006D3447">
        <w:rPr>
          <w:rFonts w:cs="Arial"/>
        </w:rPr>
        <w:t xml:space="preserve"> of the fibrils were 18.6 nm, 27.5 nm, 23.7 nm and 38.9 nm</w:t>
      </w:r>
      <w:r w:rsidR="006D3447">
        <w:rPr>
          <w:rFonts w:cs="Arial"/>
        </w:rPr>
        <w:t xml:space="preserve"> </w:t>
      </w:r>
      <w:r w:rsidR="006D3447" w:rsidRPr="006D3447">
        <w:rPr>
          <w:rFonts w:cs="Arial"/>
        </w:rPr>
        <w:t xml:space="preserve">for samples LCNF-P, CNF-P, LCNF-E e CNF-E, respectively. </w:t>
      </w:r>
      <w:r w:rsidR="00966E08" w:rsidRPr="00966E08">
        <w:rPr>
          <w:rFonts w:cs="Arial"/>
        </w:rPr>
        <w:t xml:space="preserve">According </w:t>
      </w:r>
      <w:r w:rsidR="00966E08" w:rsidRPr="00966E08">
        <w:rPr>
          <w:rFonts w:cs="Arial"/>
        </w:rPr>
        <w:lastRenderedPageBreak/>
        <w:t>Spence et al. (2010), the defibrillation of samples containing residual lignin produce</w:t>
      </w:r>
      <w:r w:rsidR="003A0798">
        <w:rPr>
          <w:rFonts w:cs="Arial"/>
        </w:rPr>
        <w:t>s</w:t>
      </w:r>
      <w:r w:rsidR="00966E08" w:rsidRPr="00966E08">
        <w:rPr>
          <w:rFonts w:cs="Arial"/>
        </w:rPr>
        <w:t xml:space="preserve"> fibrils with smaller </w:t>
      </w:r>
      <w:r w:rsidR="00966E08">
        <w:rPr>
          <w:rFonts w:cs="Arial"/>
        </w:rPr>
        <w:t>diameter</w:t>
      </w:r>
      <w:r w:rsidR="00966E08" w:rsidRPr="00966E08">
        <w:rPr>
          <w:rFonts w:cs="Arial"/>
        </w:rPr>
        <w:t xml:space="preserve"> when compared to the CNF, which are produced from bleached fibers.</w:t>
      </w:r>
    </w:p>
    <w:p w:rsidR="005F3C11" w:rsidRPr="005F3C11" w:rsidRDefault="005F3C11" w:rsidP="005F3C11">
      <w:pPr>
        <w:pStyle w:val="CETTabletitle"/>
        <w:rPr>
          <w:rFonts w:eastAsiaTheme="minorHAnsi"/>
        </w:rPr>
      </w:pPr>
      <w:r w:rsidRPr="005749CA">
        <w:t xml:space="preserve">Table </w:t>
      </w:r>
      <w:r>
        <w:t>2</w:t>
      </w:r>
      <w:r w:rsidRPr="005749CA">
        <w:t xml:space="preserve">: </w:t>
      </w:r>
      <w:r>
        <w:t>Results of c</w:t>
      </w:r>
      <w:r w:rsidRPr="005F3C11">
        <w:t xml:space="preserve">rystallinity index, </w:t>
      </w:r>
      <w:r w:rsidR="004B4723">
        <w:t>m</w:t>
      </w:r>
      <w:r w:rsidR="004B4723" w:rsidRPr="004B4723">
        <w:t>aximum degradation temperature</w:t>
      </w:r>
      <w:r w:rsidR="004B4723">
        <w:t xml:space="preserve"> </w:t>
      </w:r>
      <w:r w:rsidRPr="005F3C11">
        <w:t xml:space="preserve">and diameter </w:t>
      </w:r>
      <w:r>
        <w:t>of nanofibrils</w:t>
      </w:r>
    </w:p>
    <w:tbl>
      <w:tblPr>
        <w:tblW w:w="38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7"/>
        <w:gridCol w:w="849"/>
        <w:gridCol w:w="849"/>
        <w:gridCol w:w="851"/>
        <w:gridCol w:w="582"/>
      </w:tblGrid>
      <w:tr w:rsidR="005F3C11" w:rsidRPr="00B57B36" w:rsidTr="005209B2">
        <w:tc>
          <w:tcPr>
            <w:tcW w:w="2655" w:type="pct"/>
            <w:tcBorders>
              <w:top w:val="single" w:sz="12" w:space="0" w:color="008000"/>
              <w:bottom w:val="single" w:sz="6" w:space="0" w:color="008000"/>
            </w:tcBorders>
            <w:shd w:val="clear" w:color="auto" w:fill="FFFFFF"/>
          </w:tcPr>
          <w:p w:rsidR="005F3C11" w:rsidRPr="00B57B36" w:rsidRDefault="005F3C11" w:rsidP="00B72E4F">
            <w:pPr>
              <w:pStyle w:val="CETBodytext"/>
              <w:rPr>
                <w:lang w:val="en-GB"/>
              </w:rPr>
            </w:pPr>
            <w:r>
              <w:rPr>
                <w:lang w:val="en-GB"/>
              </w:rPr>
              <w:t xml:space="preserve">Parameters </w:t>
            </w:r>
          </w:p>
        </w:tc>
        <w:tc>
          <w:tcPr>
            <w:tcW w:w="636" w:type="pct"/>
            <w:tcBorders>
              <w:top w:val="single" w:sz="12" w:space="0" w:color="008000"/>
              <w:bottom w:val="single" w:sz="6" w:space="0" w:color="008000"/>
            </w:tcBorders>
            <w:shd w:val="clear" w:color="auto" w:fill="FFFFFF"/>
          </w:tcPr>
          <w:p w:rsidR="005F3C11" w:rsidRPr="00B57B36" w:rsidRDefault="005F3C11" w:rsidP="00B72E4F">
            <w:pPr>
              <w:pStyle w:val="CETBodytext"/>
              <w:rPr>
                <w:lang w:val="en-GB"/>
              </w:rPr>
            </w:pPr>
            <w:r>
              <w:rPr>
                <w:lang w:val="en-GB"/>
              </w:rPr>
              <w:t>LCNF-P</w:t>
            </w:r>
          </w:p>
        </w:tc>
        <w:tc>
          <w:tcPr>
            <w:tcW w:w="636" w:type="pct"/>
            <w:tcBorders>
              <w:top w:val="single" w:sz="12" w:space="0" w:color="008000"/>
              <w:bottom w:val="single" w:sz="6" w:space="0" w:color="008000"/>
            </w:tcBorders>
            <w:shd w:val="clear" w:color="auto" w:fill="FFFFFF"/>
          </w:tcPr>
          <w:p w:rsidR="005F3C11" w:rsidRPr="00B57B36" w:rsidRDefault="005F3C11" w:rsidP="00B72E4F">
            <w:pPr>
              <w:pStyle w:val="CETBodytext"/>
              <w:rPr>
                <w:lang w:val="en-GB"/>
              </w:rPr>
            </w:pPr>
            <w:r>
              <w:rPr>
                <w:lang w:val="en-GB"/>
              </w:rPr>
              <w:t>CNF-P</w:t>
            </w:r>
          </w:p>
        </w:tc>
        <w:tc>
          <w:tcPr>
            <w:tcW w:w="637" w:type="pct"/>
            <w:tcBorders>
              <w:top w:val="single" w:sz="12" w:space="0" w:color="008000"/>
              <w:bottom w:val="single" w:sz="6" w:space="0" w:color="008000"/>
            </w:tcBorders>
            <w:shd w:val="clear" w:color="auto" w:fill="FFFFFF"/>
          </w:tcPr>
          <w:p w:rsidR="005F3C11" w:rsidRPr="00B57B36" w:rsidRDefault="005F3C11" w:rsidP="00B72E4F">
            <w:pPr>
              <w:pStyle w:val="CETBodytext"/>
              <w:ind w:right="-1"/>
              <w:rPr>
                <w:rFonts w:cs="Arial"/>
                <w:szCs w:val="18"/>
                <w:lang w:val="en-GB"/>
              </w:rPr>
            </w:pPr>
            <w:r>
              <w:rPr>
                <w:lang w:val="en-GB"/>
              </w:rPr>
              <w:t>LCNF-E</w:t>
            </w:r>
          </w:p>
        </w:tc>
        <w:tc>
          <w:tcPr>
            <w:tcW w:w="436" w:type="pct"/>
            <w:tcBorders>
              <w:top w:val="single" w:sz="12" w:space="0" w:color="008000"/>
              <w:bottom w:val="single" w:sz="6" w:space="0" w:color="008000"/>
            </w:tcBorders>
            <w:shd w:val="clear" w:color="auto" w:fill="FFFFFF"/>
          </w:tcPr>
          <w:p w:rsidR="005F3C11" w:rsidRPr="00B57B36" w:rsidRDefault="005F3C11" w:rsidP="00B72E4F">
            <w:pPr>
              <w:pStyle w:val="CETBodytext"/>
              <w:ind w:right="-1"/>
              <w:rPr>
                <w:rFonts w:cs="Arial"/>
                <w:szCs w:val="18"/>
                <w:lang w:val="en-GB"/>
              </w:rPr>
            </w:pPr>
            <w:r>
              <w:rPr>
                <w:lang w:val="en-GB"/>
              </w:rPr>
              <w:t>CNF-E</w:t>
            </w:r>
          </w:p>
        </w:tc>
      </w:tr>
      <w:tr w:rsidR="005F3C11" w:rsidRPr="00677333" w:rsidTr="005209B2">
        <w:tc>
          <w:tcPr>
            <w:tcW w:w="2655" w:type="pct"/>
            <w:shd w:val="clear" w:color="auto" w:fill="FFFFFF"/>
          </w:tcPr>
          <w:p w:rsidR="005F3C11" w:rsidRPr="00B57B36" w:rsidRDefault="005F3C11" w:rsidP="00B72E4F">
            <w:pPr>
              <w:pStyle w:val="CETBodytext"/>
              <w:rPr>
                <w:lang w:val="en-GB"/>
              </w:rPr>
            </w:pPr>
            <w:r>
              <w:t>C</w:t>
            </w:r>
            <w:r w:rsidRPr="005F3C11">
              <w:t>rystallinity index</w:t>
            </w:r>
            <w:r>
              <w:t xml:space="preserve"> (%)</w:t>
            </w:r>
          </w:p>
        </w:tc>
        <w:tc>
          <w:tcPr>
            <w:tcW w:w="636" w:type="pct"/>
            <w:shd w:val="clear" w:color="auto" w:fill="FFFFFF"/>
          </w:tcPr>
          <w:p w:rsidR="005F3C11" w:rsidRPr="00677333" w:rsidRDefault="005F3C11" w:rsidP="00B72E4F">
            <w:pPr>
              <w:spacing w:line="276" w:lineRule="auto"/>
              <w:jc w:val="left"/>
            </w:pPr>
            <w:r>
              <w:t>79.8</w:t>
            </w:r>
          </w:p>
        </w:tc>
        <w:tc>
          <w:tcPr>
            <w:tcW w:w="636" w:type="pct"/>
            <w:shd w:val="clear" w:color="auto" w:fill="FFFFFF"/>
          </w:tcPr>
          <w:p w:rsidR="005F3C11" w:rsidRPr="00677333" w:rsidRDefault="005F3C11" w:rsidP="00B72E4F">
            <w:pPr>
              <w:spacing w:line="276" w:lineRule="auto"/>
              <w:jc w:val="left"/>
            </w:pPr>
            <w:r>
              <w:t>81.4</w:t>
            </w:r>
          </w:p>
        </w:tc>
        <w:tc>
          <w:tcPr>
            <w:tcW w:w="637" w:type="pct"/>
            <w:shd w:val="clear" w:color="auto" w:fill="FFFFFF"/>
          </w:tcPr>
          <w:p w:rsidR="005F3C11" w:rsidRPr="00677333" w:rsidRDefault="005F3C11" w:rsidP="00B72E4F">
            <w:pPr>
              <w:spacing w:line="276" w:lineRule="auto"/>
              <w:jc w:val="left"/>
            </w:pPr>
            <w:r>
              <w:t>82.2</w:t>
            </w:r>
          </w:p>
        </w:tc>
        <w:tc>
          <w:tcPr>
            <w:tcW w:w="436" w:type="pct"/>
            <w:shd w:val="clear" w:color="auto" w:fill="FFFFFF"/>
          </w:tcPr>
          <w:p w:rsidR="005F3C11" w:rsidRPr="00677333" w:rsidRDefault="005F3C11" w:rsidP="00B72E4F">
            <w:pPr>
              <w:spacing w:line="276" w:lineRule="auto"/>
              <w:jc w:val="left"/>
            </w:pPr>
            <w:r>
              <w:t>82.9</w:t>
            </w:r>
          </w:p>
        </w:tc>
      </w:tr>
      <w:tr w:rsidR="005F3C11" w:rsidRPr="00677333" w:rsidTr="005209B2">
        <w:tc>
          <w:tcPr>
            <w:tcW w:w="2655" w:type="pct"/>
            <w:shd w:val="clear" w:color="auto" w:fill="FFFFFF"/>
          </w:tcPr>
          <w:p w:rsidR="005F3C11" w:rsidRPr="00B57B36" w:rsidRDefault="004B4723" w:rsidP="00B72E4F">
            <w:pPr>
              <w:pStyle w:val="CETBodytext"/>
              <w:rPr>
                <w:lang w:val="en-GB"/>
              </w:rPr>
            </w:pPr>
            <w:r w:rsidRPr="004B4723">
              <w:rPr>
                <w:lang w:val="en-GB"/>
              </w:rPr>
              <w:t>Maximum degradation temperature</w:t>
            </w:r>
            <w:r>
              <w:rPr>
                <w:lang w:val="en-GB"/>
              </w:rPr>
              <w:t xml:space="preserve"> (°C)</w:t>
            </w:r>
          </w:p>
        </w:tc>
        <w:tc>
          <w:tcPr>
            <w:tcW w:w="636" w:type="pct"/>
            <w:shd w:val="clear" w:color="auto" w:fill="FFFFFF"/>
          </w:tcPr>
          <w:p w:rsidR="005F3C11" w:rsidRPr="00677333" w:rsidRDefault="00F17104" w:rsidP="00B72E4F">
            <w:pPr>
              <w:spacing w:line="276" w:lineRule="auto"/>
              <w:jc w:val="left"/>
            </w:pPr>
            <w:r>
              <w:t>365</w:t>
            </w:r>
          </w:p>
        </w:tc>
        <w:tc>
          <w:tcPr>
            <w:tcW w:w="636" w:type="pct"/>
            <w:shd w:val="clear" w:color="auto" w:fill="FFFFFF"/>
          </w:tcPr>
          <w:p w:rsidR="005F3C11" w:rsidRPr="00677333" w:rsidRDefault="00F17104" w:rsidP="00B72E4F">
            <w:pPr>
              <w:spacing w:line="276" w:lineRule="auto"/>
              <w:jc w:val="left"/>
            </w:pPr>
            <w:r>
              <w:t>336</w:t>
            </w:r>
          </w:p>
        </w:tc>
        <w:tc>
          <w:tcPr>
            <w:tcW w:w="637" w:type="pct"/>
            <w:shd w:val="clear" w:color="auto" w:fill="FFFFFF"/>
          </w:tcPr>
          <w:p w:rsidR="005F3C11" w:rsidRPr="00677333" w:rsidRDefault="00F17104" w:rsidP="00B72E4F">
            <w:pPr>
              <w:spacing w:line="276" w:lineRule="auto"/>
              <w:jc w:val="left"/>
            </w:pPr>
            <w:r>
              <w:t>360</w:t>
            </w:r>
          </w:p>
        </w:tc>
        <w:tc>
          <w:tcPr>
            <w:tcW w:w="436" w:type="pct"/>
            <w:shd w:val="clear" w:color="auto" w:fill="FFFFFF"/>
          </w:tcPr>
          <w:p w:rsidR="005F3C11" w:rsidRPr="00677333" w:rsidRDefault="00F17104" w:rsidP="00B72E4F">
            <w:pPr>
              <w:spacing w:line="276" w:lineRule="auto"/>
              <w:jc w:val="left"/>
            </w:pPr>
            <w:r>
              <w:t>330</w:t>
            </w:r>
          </w:p>
        </w:tc>
      </w:tr>
      <w:tr w:rsidR="005F3C11" w:rsidRPr="00677333" w:rsidTr="005209B2">
        <w:tc>
          <w:tcPr>
            <w:tcW w:w="2655" w:type="pct"/>
            <w:shd w:val="clear" w:color="auto" w:fill="FFFFFF"/>
          </w:tcPr>
          <w:p w:rsidR="005F3C11" w:rsidRPr="00B57B36" w:rsidRDefault="004B4723" w:rsidP="00B72E4F">
            <w:pPr>
              <w:pStyle w:val="CETBodytext"/>
              <w:rPr>
                <w:lang w:val="en-GB"/>
              </w:rPr>
            </w:pPr>
            <w:r>
              <w:rPr>
                <w:rFonts w:cs="Arial"/>
                <w:szCs w:val="18"/>
                <w:lang w:val="en-GB"/>
              </w:rPr>
              <w:t>Diameter (nm)</w:t>
            </w:r>
          </w:p>
        </w:tc>
        <w:tc>
          <w:tcPr>
            <w:tcW w:w="636" w:type="pct"/>
            <w:shd w:val="clear" w:color="auto" w:fill="FFFFFF"/>
          </w:tcPr>
          <w:p w:rsidR="005F3C11" w:rsidRPr="00677333" w:rsidRDefault="004B4723" w:rsidP="00B72E4F">
            <w:pPr>
              <w:spacing w:line="276" w:lineRule="auto"/>
              <w:jc w:val="left"/>
            </w:pPr>
            <w:r>
              <w:t>18.6</w:t>
            </w:r>
          </w:p>
        </w:tc>
        <w:tc>
          <w:tcPr>
            <w:tcW w:w="636" w:type="pct"/>
            <w:shd w:val="clear" w:color="auto" w:fill="FFFFFF"/>
          </w:tcPr>
          <w:p w:rsidR="005F3C11" w:rsidRPr="00677333" w:rsidRDefault="004B4723" w:rsidP="00B72E4F">
            <w:pPr>
              <w:spacing w:line="276" w:lineRule="auto"/>
              <w:jc w:val="left"/>
            </w:pPr>
            <w:r>
              <w:t>27.5</w:t>
            </w:r>
          </w:p>
        </w:tc>
        <w:tc>
          <w:tcPr>
            <w:tcW w:w="637" w:type="pct"/>
            <w:shd w:val="clear" w:color="auto" w:fill="FFFFFF"/>
          </w:tcPr>
          <w:p w:rsidR="005F3C11" w:rsidRPr="00677333" w:rsidRDefault="004B4723" w:rsidP="00B72E4F">
            <w:pPr>
              <w:spacing w:line="276" w:lineRule="auto"/>
              <w:jc w:val="left"/>
            </w:pPr>
            <w:r>
              <w:t>23.7</w:t>
            </w:r>
          </w:p>
        </w:tc>
        <w:tc>
          <w:tcPr>
            <w:tcW w:w="436" w:type="pct"/>
            <w:shd w:val="clear" w:color="auto" w:fill="FFFFFF"/>
          </w:tcPr>
          <w:p w:rsidR="005F3C11" w:rsidRPr="00677333" w:rsidRDefault="004B4723" w:rsidP="00B72E4F">
            <w:pPr>
              <w:spacing w:line="276" w:lineRule="auto"/>
              <w:jc w:val="left"/>
            </w:pPr>
            <w:r>
              <w:t>38.9</w:t>
            </w:r>
          </w:p>
        </w:tc>
      </w:tr>
    </w:tbl>
    <w:p w:rsidR="00120E75" w:rsidRDefault="00120E75" w:rsidP="00120E75">
      <w:pPr>
        <w:pStyle w:val="CETheadingx"/>
        <w:rPr>
          <w:lang w:val="en-GB"/>
        </w:rPr>
      </w:pPr>
      <w:r w:rsidRPr="00F75824">
        <w:t>Production of nanostructured packaging paper</w:t>
      </w:r>
      <w:r>
        <w:rPr>
          <w:lang w:val="en-GB"/>
        </w:rPr>
        <w:t xml:space="preserve">: </w:t>
      </w:r>
      <w:r w:rsidR="00AE4765" w:rsidRPr="00AE4765">
        <w:rPr>
          <w:i/>
          <w:lang w:val="en-GB"/>
        </w:rPr>
        <w:t>Kraftliner</w:t>
      </w:r>
      <w:r>
        <w:rPr>
          <w:lang w:val="en-GB"/>
        </w:rPr>
        <w:t xml:space="preserve"> papers </w:t>
      </w:r>
    </w:p>
    <w:p w:rsidR="00ED7F7A" w:rsidRDefault="00120E75" w:rsidP="00556748">
      <w:pPr>
        <w:pStyle w:val="CETBodytext"/>
      </w:pPr>
      <w:r w:rsidRPr="00120E75">
        <w:t xml:space="preserve">The effect of the addition of lignocellulose nanofibrils (0, 1, 3 and </w:t>
      </w:r>
      <w:r w:rsidR="00882E66">
        <w:t>5 %</w:t>
      </w:r>
      <w:r w:rsidRPr="00120E75">
        <w:t xml:space="preserve"> on pulp weight) </w:t>
      </w:r>
      <w:r w:rsidR="00446693">
        <w:t>on</w:t>
      </w:r>
      <w:r w:rsidRPr="00120E75">
        <w:t xml:space="preserve"> the physical-mechanical properties of </w:t>
      </w:r>
      <w:r w:rsidR="00AE4765" w:rsidRPr="00AE4765">
        <w:rPr>
          <w:i/>
        </w:rPr>
        <w:t>kraftliner</w:t>
      </w:r>
      <w:r w:rsidRPr="00120E75">
        <w:t xml:space="preserve"> papers, as a function of the energy consumption in refining process (Wh), are presented in Figure 1 (LCNF-E) and Figure 2 (LCNF-P). </w:t>
      </w:r>
      <w:r w:rsidR="007111B9">
        <w:rPr>
          <w:i/>
        </w:rPr>
        <w:t>K</w:t>
      </w:r>
      <w:r w:rsidR="007111B9" w:rsidRPr="00AE4765">
        <w:rPr>
          <w:i/>
        </w:rPr>
        <w:t>raftliner</w:t>
      </w:r>
      <w:r w:rsidR="007111B9" w:rsidRPr="00120E75">
        <w:t xml:space="preserve"> papers</w:t>
      </w:r>
      <w:r w:rsidR="007111B9" w:rsidRPr="00120E75" w:rsidDel="007111B9">
        <w:t xml:space="preserve"> </w:t>
      </w:r>
      <w:r w:rsidRPr="00120E75">
        <w:t>require good resistance against fractures</w:t>
      </w:r>
      <w:r w:rsidR="007111B9">
        <w:t xml:space="preserve"> and</w:t>
      </w:r>
      <w:r w:rsidRPr="00120E75">
        <w:t xml:space="preserve"> high compressive strength for the</w:t>
      </w:r>
      <w:r w:rsidR="007111B9">
        <w:t>ir application in</w:t>
      </w:r>
      <w:r w:rsidRPr="00120E75">
        <w:t xml:space="preserve"> cardboard boxes’ manufacture</w:t>
      </w:r>
      <w:r w:rsidR="00A85B68">
        <w:t>.</w:t>
      </w:r>
      <w:r w:rsidRPr="00120E75">
        <w:t xml:space="preserve"> </w:t>
      </w:r>
    </w:p>
    <w:p w:rsidR="006D3447" w:rsidRDefault="006D3447" w:rsidP="006D3447">
      <w:pPr>
        <w:pStyle w:val="CETBodytext"/>
      </w:pPr>
      <w:r w:rsidRPr="00120E75">
        <w:t xml:space="preserve">Drainage resistance (°SR) increased with the addition of LCNF-E (Figure 1A) and LCNF-P (Figure 2A). </w:t>
      </w:r>
      <w:r w:rsidRPr="00AC68DD">
        <w:t>This increase in drainage resistance is mainly due to the high surface area of the nanofibrils and the high amounts of hydroxyl groups</w:t>
      </w:r>
      <w:r>
        <w:t xml:space="preserve"> </w:t>
      </w:r>
      <w:r w:rsidRPr="002D26E3">
        <w:t>and</w:t>
      </w:r>
      <w:r>
        <w:t xml:space="preserve">, </w:t>
      </w:r>
      <w:r w:rsidRPr="002D26E3">
        <w:t>in lesser degree</w:t>
      </w:r>
      <w:r>
        <w:t xml:space="preserve">, </w:t>
      </w:r>
      <w:r w:rsidRPr="002D26E3">
        <w:t>carboxyl groups</w:t>
      </w:r>
      <w:r w:rsidR="007111B9">
        <w:t xml:space="preserve"> present</w:t>
      </w:r>
      <w:r w:rsidRPr="00AC68DD">
        <w:t xml:space="preserve"> on </w:t>
      </w:r>
      <w:r w:rsidR="007111B9">
        <w:t xml:space="preserve">their </w:t>
      </w:r>
      <w:r w:rsidRPr="00AC68DD">
        <w:t>surface</w:t>
      </w:r>
      <w:r>
        <w:t xml:space="preserve"> </w:t>
      </w:r>
      <w:r w:rsidRPr="00120E75">
        <w:t>(</w:t>
      </w:r>
      <w:r w:rsidRPr="002D26E3">
        <w:t>Delgado-Aguilar et al., 2016</w:t>
      </w:r>
      <w:r w:rsidRPr="00120E75">
        <w:t xml:space="preserve">). </w:t>
      </w:r>
    </w:p>
    <w:p w:rsidR="006D3447" w:rsidRDefault="006D3447" w:rsidP="006D3447">
      <w:pPr>
        <w:pStyle w:val="CETBodytext"/>
      </w:pPr>
      <w:r w:rsidRPr="00120E75">
        <w:t xml:space="preserve">Interfibrillar connections with the addition of LCNF-E are potentiated in relation to that of LCNF-P since the former has in its chemical composition a higher content of hemicelluloses of the xylan type in relation to the latter (Table 1), resulting in a higher °SR with addition of LCNF-E. The xylans have carboxylic acids groups which increase the amount of </w:t>
      </w:r>
      <w:r w:rsidRPr="005D437B">
        <w:t>negative charges on the nanofibrils, thus increasing the quantity and quality of the hydrogen bonds between them (Winuprasith and Suphantharika, 2013). The low pKa values of the carboxylic acids present in xylans, 3.13 for 4-O-methylglycuronic acid and 3.03 for hexenuronic acids (Teleman et al., 1995), in relation to hydroxyl groups present in the cellulose and hemicelluloses, pKa 13.0-14.0, (Burkinshaw, 2015), greatly favor the hydrogen bonds and water retention by the fibers. In addition, LCNF-P presents higher residual lignin content when compared to LCNF-E, a polymer that exhibits hydrophobic properties and contributes to a lower drainage resistance (Spence et al., 2010).</w:t>
      </w:r>
    </w:p>
    <w:p w:rsidR="006D3447" w:rsidRDefault="007111B9" w:rsidP="006D3447">
      <w:pPr>
        <w:pStyle w:val="CETBodytext"/>
      </w:pPr>
      <w:r>
        <w:t>Industrially</w:t>
      </w:r>
      <w:r w:rsidR="006D3447" w:rsidRPr="00120E75">
        <w:t>, the pulps</w:t>
      </w:r>
      <w:r>
        <w:t xml:space="preserve"> used</w:t>
      </w:r>
      <w:r w:rsidR="006D3447" w:rsidRPr="00120E75">
        <w:t xml:space="preserve"> for </w:t>
      </w:r>
      <w:r w:rsidR="006D3447" w:rsidRPr="00AE4765">
        <w:rPr>
          <w:i/>
        </w:rPr>
        <w:t>kraftliner</w:t>
      </w:r>
      <w:r w:rsidR="006D3447" w:rsidRPr="00120E75">
        <w:t xml:space="preserve"> paper production are refined up to 18°SR. To refine the pulp and reach 18°SR without LCNF addition, 113</w:t>
      </w:r>
      <w:r w:rsidR="006D3447">
        <w:t xml:space="preserve"> </w:t>
      </w:r>
      <w:r w:rsidR="006D3447" w:rsidRPr="00120E75">
        <w:t xml:space="preserve">Wh of energy </w:t>
      </w:r>
      <w:r>
        <w:t>is</w:t>
      </w:r>
      <w:r w:rsidR="006D3447" w:rsidRPr="00120E75">
        <w:t xml:space="preserve"> consumed</w:t>
      </w:r>
      <w:r w:rsidR="006D3447">
        <w:t xml:space="preserve">. </w:t>
      </w:r>
      <w:r w:rsidR="006D3447" w:rsidRPr="00120E75">
        <w:t xml:space="preserve">Upon addition of </w:t>
      </w:r>
      <w:r w:rsidR="006D3447">
        <w:t>5 %</w:t>
      </w:r>
      <w:r w:rsidR="006D3447" w:rsidRPr="00120E75">
        <w:t xml:space="preserve"> of LCNF-E and LCNF-P to the pulp, the energy consumption to reach the same °SR value decreases to 41 and 53 Wh, respectively, due to the effect caused by the addition of these nanofibrils. In this regard, energy savings of 64</w:t>
      </w:r>
      <w:r w:rsidR="006D3447">
        <w:t xml:space="preserve"> </w:t>
      </w:r>
      <w:r w:rsidR="006D3447" w:rsidRPr="00120E75">
        <w:t>% were achieved by adding LCNF-E and 53</w:t>
      </w:r>
      <w:r w:rsidR="006D3447">
        <w:t xml:space="preserve"> </w:t>
      </w:r>
      <w:r w:rsidR="006D3447" w:rsidRPr="00120E75">
        <w:t>% by adding LCNF-P to the pulp. These gains are very significant, especially given the large economic impact of refining process on the total cost of papermaking.</w:t>
      </w:r>
    </w:p>
    <w:p w:rsidR="005A1511" w:rsidRPr="00A85B68" w:rsidRDefault="005A1511" w:rsidP="005A1511">
      <w:pPr>
        <w:pStyle w:val="CETBodytext"/>
      </w:pPr>
      <w:r w:rsidRPr="00120E75">
        <w:t xml:space="preserve">Besides the energy savings, the addition of nanofibrils promoted an increase in the tensile index (Figures 1B and 2B) and in the burst index (Figures 1C and 2C) of </w:t>
      </w:r>
      <w:r w:rsidRPr="00AE4765">
        <w:rPr>
          <w:i/>
        </w:rPr>
        <w:t>kraftliner</w:t>
      </w:r>
      <w:r w:rsidRPr="00120E75">
        <w:t xml:space="preserve"> papers. Both indexes are affected mainly by the bonding capacity between the fibers, which justifies the </w:t>
      </w:r>
      <w:r w:rsidR="00DF4C13">
        <w:t>similar trends</w:t>
      </w:r>
      <w:r>
        <w:t xml:space="preserve"> observed for </w:t>
      </w:r>
      <w:r w:rsidR="00DF4C13">
        <w:t xml:space="preserve">both </w:t>
      </w:r>
      <w:r>
        <w:t>indexes. T</w:t>
      </w:r>
      <w:r w:rsidRPr="00120E75">
        <w:t xml:space="preserve">he increase of tensile and burst indexes with LCNF addition is explained by the high surface area of these nanofibrils in contact with the </w:t>
      </w:r>
      <w:r w:rsidR="00DF4C13">
        <w:t xml:space="preserve">pulp </w:t>
      </w:r>
      <w:r w:rsidRPr="00120E75">
        <w:t>fibers, which reflects in high frequency of intramolecular and intermolecular hydrogen bonds</w:t>
      </w:r>
      <w:r>
        <w:t xml:space="preserve"> (</w:t>
      </w:r>
      <w:r w:rsidR="00AE25D4">
        <w:t>Kumar</w:t>
      </w:r>
      <w:r>
        <w:t xml:space="preserve"> et al., 2014). </w:t>
      </w:r>
      <w:r w:rsidRPr="00120E75">
        <w:t xml:space="preserve">Correlating the tensile and burst indexes of </w:t>
      </w:r>
      <w:r w:rsidRPr="00AE4765">
        <w:rPr>
          <w:i/>
        </w:rPr>
        <w:t>kraftliner</w:t>
      </w:r>
      <w:r w:rsidRPr="00120E75">
        <w:t xml:space="preserve"> paper at 18°SR, without LCNF addition and with addition of </w:t>
      </w:r>
      <w:r>
        <w:t>5 %</w:t>
      </w:r>
      <w:r w:rsidRPr="00120E75">
        <w:t xml:space="preserve"> of LCNF, an increase of approximately 2</w:t>
      </w:r>
      <w:r>
        <w:t>5 %</w:t>
      </w:r>
      <w:r w:rsidRPr="00120E75">
        <w:t xml:space="preserve"> in the tensile index was observed with the addition of both lignocellulose nanofibrils. In the burst index, an increase of 57 and 42</w:t>
      </w:r>
      <w:r>
        <w:t xml:space="preserve"> </w:t>
      </w:r>
      <w:r w:rsidRPr="00120E75">
        <w:t>% was observed with addition of LCNF-E and LCNF-P, respectively.</w:t>
      </w:r>
    </w:p>
    <w:p w:rsidR="005A1511" w:rsidRDefault="005A1511" w:rsidP="005A1511">
      <w:pPr>
        <w:pStyle w:val="CETBodytext"/>
      </w:pPr>
      <w:r w:rsidRPr="00947364">
        <w:t xml:space="preserve">For the production of </w:t>
      </w:r>
      <w:r w:rsidRPr="00AE4765">
        <w:rPr>
          <w:i/>
        </w:rPr>
        <w:t>kraftliner</w:t>
      </w:r>
      <w:r w:rsidRPr="00947364">
        <w:t xml:space="preserve"> papers it is also important to evaluate the compressive strength and two tests were performed: Ring crush test (Figures 1D and 2D) and corrugated medium test (Figures 1E and 2E). The ring crush test (RCT) is indispensable to evaluate the paper quality for the manufacture of corrugated cardboard sheets, usually used </w:t>
      </w:r>
      <w:r w:rsidR="005439E3">
        <w:t>in the manufacture of containerboard</w:t>
      </w:r>
      <w:r w:rsidR="005439E3" w:rsidRPr="00947364">
        <w:t xml:space="preserve"> </w:t>
      </w:r>
      <w:r w:rsidRPr="00947364">
        <w:t xml:space="preserve">packaging. </w:t>
      </w:r>
      <w:r w:rsidRPr="00ED25CD">
        <w:t>The addition of LCNF-E and LCNF-P increased the property of RCT because nano</w:t>
      </w:r>
      <w:r>
        <w:t>particles</w:t>
      </w:r>
      <w:r w:rsidRPr="00ED25CD">
        <w:t xml:space="preserve"> have good bonding properties</w:t>
      </w:r>
      <w:r>
        <w:t xml:space="preserve"> (</w:t>
      </w:r>
      <w:r w:rsidRPr="00006329">
        <w:rPr>
          <w:lang w:val="en-GB"/>
        </w:rPr>
        <w:t>Kiaei</w:t>
      </w:r>
      <w:r>
        <w:rPr>
          <w:lang w:val="en-GB"/>
        </w:rPr>
        <w:t xml:space="preserve"> et al., 2016),</w:t>
      </w:r>
      <w:r w:rsidRPr="00ED25CD">
        <w:t xml:space="preserve"> by providing a quantitative increase of interfiber bonds</w:t>
      </w:r>
      <w:r>
        <w:t xml:space="preserve">. This </w:t>
      </w:r>
      <w:r w:rsidRPr="00120E75">
        <w:t>number of bonds</w:t>
      </w:r>
      <w:r>
        <w:t>, along with fiber wall strength, i</w:t>
      </w:r>
      <w:r w:rsidRPr="00120E75">
        <w:t>ncrease stability under the compression column</w:t>
      </w:r>
      <w:r>
        <w:t>.</w:t>
      </w:r>
    </w:p>
    <w:p w:rsidR="005A1511" w:rsidRDefault="005A1511" w:rsidP="005A1511">
      <w:pPr>
        <w:pStyle w:val="CETBodytext"/>
      </w:pPr>
      <w:r w:rsidRPr="00120E75">
        <w:t xml:space="preserve">Regarding the effect of the nanofibrils addition on the compressive strength of the corrugated board through the corrugated medium test (CMT), it was observed that the addition of LCNF-E and the LCNF-P improved CMT compared with the non-reinforced pulp (Figures 1E and 2E). </w:t>
      </w:r>
      <w:r w:rsidRPr="00AA47ED">
        <w:t>Silva (2015)</w:t>
      </w:r>
      <w:r w:rsidRPr="00120E75">
        <w:t xml:space="preserve"> also reported this increment with the addition of </w:t>
      </w:r>
      <w:r>
        <w:t>5 %</w:t>
      </w:r>
      <w:r w:rsidRPr="00120E75">
        <w:t xml:space="preserve"> of short fiber LCNF and justified the result considering the increase in the quantity of hydrogen bonds and better formation of the fiber network provided by the introduc</w:t>
      </w:r>
      <w:r>
        <w:t xml:space="preserve">tion of the smaller structures. </w:t>
      </w:r>
      <w:r w:rsidRPr="00120E75">
        <w:t xml:space="preserve">The CMT was 135.7 N </w:t>
      </w:r>
      <w:r w:rsidR="002F6510">
        <w:t>at</w:t>
      </w:r>
      <w:r w:rsidRPr="00120E75">
        <w:t xml:space="preserve"> 18 °SR without LCNF addition. An addition of </w:t>
      </w:r>
      <w:r>
        <w:t>5 %</w:t>
      </w:r>
      <w:r w:rsidRPr="00120E75">
        <w:t xml:space="preserve"> of LCNF-E and LCNF-P, increased this index to 196.8 and 191.9 N, respectively, evidencing an increment of 45 and 41</w:t>
      </w:r>
      <w:r>
        <w:t xml:space="preserve"> </w:t>
      </w:r>
      <w:r w:rsidRPr="00120E75">
        <w:t>% in the CMT property.</w:t>
      </w:r>
    </w:p>
    <w:p w:rsidR="005A1511" w:rsidRDefault="005A1511" w:rsidP="006D3447">
      <w:pPr>
        <w:pStyle w:val="CETBodytext"/>
      </w:pPr>
    </w:p>
    <w:p w:rsidR="00684F7D" w:rsidRDefault="00F012EA" w:rsidP="00A738EB">
      <w:pPr>
        <w:pStyle w:val="CETBodytext"/>
        <w:jc w:val="left"/>
      </w:pPr>
      <w:r w:rsidRPr="00F012EA">
        <w:rPr>
          <w:noProof/>
        </w:rPr>
        <w:lastRenderedPageBreak/>
        <w:drawing>
          <wp:inline distT="0" distB="0" distL="0" distR="0">
            <wp:extent cx="1531546" cy="11520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1546" cy="1152000"/>
                    </a:xfrm>
                    <a:prstGeom prst="rect">
                      <a:avLst/>
                    </a:prstGeom>
                    <a:noFill/>
                    <a:ln>
                      <a:noFill/>
                    </a:ln>
                  </pic:spPr>
                </pic:pic>
              </a:graphicData>
            </a:graphic>
          </wp:inline>
        </w:drawing>
      </w:r>
      <w:r w:rsidR="0096449B">
        <w:t xml:space="preserve"> </w:t>
      </w:r>
      <w:r w:rsidRPr="00F012EA">
        <w:rPr>
          <w:noProof/>
        </w:rPr>
        <w:drawing>
          <wp:inline distT="0" distB="0" distL="0" distR="0">
            <wp:extent cx="1552928" cy="115200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928" cy="1152000"/>
                    </a:xfrm>
                    <a:prstGeom prst="rect">
                      <a:avLst/>
                    </a:prstGeom>
                    <a:noFill/>
                    <a:ln>
                      <a:noFill/>
                    </a:ln>
                  </pic:spPr>
                </pic:pic>
              </a:graphicData>
            </a:graphic>
          </wp:inline>
        </w:drawing>
      </w:r>
      <w:r w:rsidR="0096449B">
        <w:t xml:space="preserve"> </w:t>
      </w:r>
      <w:r w:rsidR="0096449B" w:rsidRPr="0096449B">
        <w:rPr>
          <w:noProof/>
        </w:rPr>
        <w:drawing>
          <wp:inline distT="0" distB="0" distL="0" distR="0">
            <wp:extent cx="1536891" cy="1152000"/>
            <wp:effectExtent l="0" t="0" r="635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891" cy="1152000"/>
                    </a:xfrm>
                    <a:prstGeom prst="rect">
                      <a:avLst/>
                    </a:prstGeom>
                    <a:noFill/>
                    <a:ln>
                      <a:noFill/>
                    </a:ln>
                  </pic:spPr>
                </pic:pic>
              </a:graphicData>
            </a:graphic>
          </wp:inline>
        </w:drawing>
      </w:r>
    </w:p>
    <w:p w:rsidR="00120E75" w:rsidRPr="0096449B" w:rsidRDefault="0096449B" w:rsidP="00A738EB">
      <w:pPr>
        <w:pStyle w:val="CETBodytext"/>
        <w:jc w:val="left"/>
      </w:pPr>
      <w:r w:rsidRPr="0096449B">
        <w:rPr>
          <w:noProof/>
        </w:rPr>
        <w:drawing>
          <wp:inline distT="0" distB="0" distL="0" distR="0">
            <wp:extent cx="1539564" cy="1152000"/>
            <wp:effectExtent l="0" t="0" r="381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564" cy="1152000"/>
                    </a:xfrm>
                    <a:prstGeom prst="rect">
                      <a:avLst/>
                    </a:prstGeom>
                    <a:noFill/>
                    <a:ln>
                      <a:noFill/>
                    </a:ln>
                  </pic:spPr>
                </pic:pic>
              </a:graphicData>
            </a:graphic>
          </wp:inline>
        </w:drawing>
      </w:r>
      <w:r>
        <w:t xml:space="preserve"> </w:t>
      </w:r>
      <w:r w:rsidRPr="0096449B">
        <w:rPr>
          <w:noProof/>
        </w:rPr>
        <w:drawing>
          <wp:inline distT="0" distB="0" distL="0" distR="0">
            <wp:extent cx="1539564" cy="1152000"/>
            <wp:effectExtent l="0" t="0" r="381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564" cy="1152000"/>
                    </a:xfrm>
                    <a:prstGeom prst="rect">
                      <a:avLst/>
                    </a:prstGeom>
                    <a:noFill/>
                    <a:ln>
                      <a:noFill/>
                    </a:ln>
                  </pic:spPr>
                </pic:pic>
              </a:graphicData>
            </a:graphic>
          </wp:inline>
        </w:drawing>
      </w:r>
    </w:p>
    <w:p w:rsidR="00120E75" w:rsidRDefault="00120E75" w:rsidP="00A50033">
      <w:pPr>
        <w:pStyle w:val="CETCaption"/>
      </w:pPr>
      <w:r w:rsidRPr="00120E75">
        <w:t>Figure 1 – Properties of kraftliner pulps with addition of LCNF-E, as a function of refining energy consumption: A) Drainage resistance (ºSR); B) Tensile index; C) Burst index; D) Ring crush t</w:t>
      </w:r>
      <w:r w:rsidR="00664A87">
        <w:t>est; E) Corrugated medium test.</w:t>
      </w:r>
    </w:p>
    <w:p w:rsidR="00F012EA" w:rsidRDefault="00F012EA" w:rsidP="00A738EB">
      <w:pPr>
        <w:pStyle w:val="CETBodytext"/>
        <w:jc w:val="left"/>
      </w:pPr>
      <w:r w:rsidRPr="00F012EA">
        <w:rPr>
          <w:noProof/>
        </w:rPr>
        <w:drawing>
          <wp:inline distT="0" distB="0" distL="0" distR="0">
            <wp:extent cx="1533333" cy="11520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333" cy="1152000"/>
                    </a:xfrm>
                    <a:prstGeom prst="rect">
                      <a:avLst/>
                    </a:prstGeom>
                    <a:noFill/>
                    <a:ln>
                      <a:noFill/>
                    </a:ln>
                  </pic:spPr>
                </pic:pic>
              </a:graphicData>
            </a:graphic>
          </wp:inline>
        </w:drawing>
      </w:r>
      <w:r w:rsidR="00C336D0">
        <w:t xml:space="preserve"> </w:t>
      </w:r>
      <w:r w:rsidR="0096449B" w:rsidRPr="0096449B">
        <w:rPr>
          <w:noProof/>
        </w:rPr>
        <w:drawing>
          <wp:inline distT="0" distB="0" distL="0" distR="0">
            <wp:extent cx="1552000" cy="11520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000" cy="1152000"/>
                    </a:xfrm>
                    <a:prstGeom prst="rect">
                      <a:avLst/>
                    </a:prstGeom>
                    <a:noFill/>
                    <a:ln>
                      <a:noFill/>
                    </a:ln>
                  </pic:spPr>
                </pic:pic>
              </a:graphicData>
            </a:graphic>
          </wp:inline>
        </w:drawing>
      </w:r>
      <w:r w:rsidR="00C336D0">
        <w:t xml:space="preserve"> </w:t>
      </w:r>
      <w:r w:rsidR="0096449B" w:rsidRPr="0096449B">
        <w:rPr>
          <w:noProof/>
        </w:rPr>
        <w:drawing>
          <wp:inline distT="0" distB="0" distL="0" distR="0">
            <wp:extent cx="1547582" cy="11520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7582" cy="1152000"/>
                    </a:xfrm>
                    <a:prstGeom prst="rect">
                      <a:avLst/>
                    </a:prstGeom>
                    <a:noFill/>
                    <a:ln>
                      <a:noFill/>
                    </a:ln>
                  </pic:spPr>
                </pic:pic>
              </a:graphicData>
            </a:graphic>
          </wp:inline>
        </w:drawing>
      </w:r>
    </w:p>
    <w:p w:rsidR="00120E75" w:rsidRPr="00120E75" w:rsidRDefault="0096449B" w:rsidP="00A738EB">
      <w:pPr>
        <w:pStyle w:val="CETBodytext"/>
        <w:jc w:val="left"/>
      </w:pPr>
      <w:r w:rsidRPr="0096449B">
        <w:rPr>
          <w:noProof/>
        </w:rPr>
        <w:drawing>
          <wp:inline distT="0" distB="0" distL="0" distR="0">
            <wp:extent cx="1539564" cy="1152000"/>
            <wp:effectExtent l="0" t="0" r="381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9564" cy="1152000"/>
                    </a:xfrm>
                    <a:prstGeom prst="rect">
                      <a:avLst/>
                    </a:prstGeom>
                    <a:noFill/>
                    <a:ln>
                      <a:noFill/>
                    </a:ln>
                  </pic:spPr>
                </pic:pic>
              </a:graphicData>
            </a:graphic>
          </wp:inline>
        </w:drawing>
      </w:r>
      <w:r w:rsidR="00C336D0">
        <w:t xml:space="preserve"> </w:t>
      </w:r>
      <w:r w:rsidR="00C336D0" w:rsidRPr="00C336D0">
        <w:rPr>
          <w:noProof/>
        </w:rPr>
        <w:drawing>
          <wp:inline distT="0" distB="0" distL="0" distR="0">
            <wp:extent cx="1540279" cy="1152000"/>
            <wp:effectExtent l="0" t="0" r="3175"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0279" cy="1152000"/>
                    </a:xfrm>
                    <a:prstGeom prst="rect">
                      <a:avLst/>
                    </a:prstGeom>
                    <a:noFill/>
                    <a:ln>
                      <a:noFill/>
                    </a:ln>
                  </pic:spPr>
                </pic:pic>
              </a:graphicData>
            </a:graphic>
          </wp:inline>
        </w:drawing>
      </w:r>
    </w:p>
    <w:p w:rsidR="006D3447" w:rsidRDefault="00120E75" w:rsidP="00A50033">
      <w:pPr>
        <w:pStyle w:val="CETCaption"/>
      </w:pPr>
      <w:r w:rsidRPr="00120E75">
        <w:t>Figure 2 – Properties of kraftliner pulps with addition of LCNF-P, as a function of refining energy consumption: A) Drainage resistance (ºSR); B) Tensile index; C) Burst index; D) Ring crush test; E) Corrugated medium test</w:t>
      </w:r>
      <w:r w:rsidR="00664A87">
        <w:t>.</w:t>
      </w:r>
    </w:p>
    <w:p w:rsidR="00A50033" w:rsidRPr="00A50033" w:rsidRDefault="00A50033" w:rsidP="00A50033">
      <w:pPr>
        <w:pStyle w:val="CETheadingx"/>
        <w:rPr>
          <w:lang w:val="en-GB"/>
        </w:rPr>
      </w:pPr>
      <w:r w:rsidRPr="00F75824">
        <w:t>Production of nanostructured packaging paper</w:t>
      </w:r>
      <w:r>
        <w:rPr>
          <w:lang w:val="en-GB"/>
        </w:rPr>
        <w:t xml:space="preserve">: </w:t>
      </w:r>
      <w:r w:rsidR="00AE4765" w:rsidRPr="00AE4765">
        <w:rPr>
          <w:i/>
          <w:lang w:val="en-GB"/>
        </w:rPr>
        <w:t>Sackraft</w:t>
      </w:r>
      <w:r>
        <w:rPr>
          <w:lang w:val="en-GB"/>
        </w:rPr>
        <w:t xml:space="preserve"> papers </w:t>
      </w:r>
    </w:p>
    <w:p w:rsidR="00E84787" w:rsidRDefault="00A50033" w:rsidP="00A50033">
      <w:pPr>
        <w:pStyle w:val="CETBodytext"/>
      </w:pPr>
      <w:r w:rsidRPr="00CD00BC">
        <w:t>The effect of</w:t>
      </w:r>
      <w:r>
        <w:t xml:space="preserve"> addition of lignocellulose nanofibrils</w:t>
      </w:r>
      <w:r w:rsidRPr="00CD00BC">
        <w:t xml:space="preserve"> (0, 1, 3</w:t>
      </w:r>
      <w:r>
        <w:t>,</w:t>
      </w:r>
      <w:r w:rsidRPr="00CD00BC">
        <w:t xml:space="preserve"> and </w:t>
      </w:r>
      <w:r w:rsidR="00882E66">
        <w:t>5 %</w:t>
      </w:r>
      <w:r w:rsidRPr="00CD00BC">
        <w:t xml:space="preserve">) </w:t>
      </w:r>
      <w:r>
        <w:t>on</w:t>
      </w:r>
      <w:r w:rsidRPr="00CD00BC">
        <w:t xml:space="preserve"> the physical-mechanical properties of </w:t>
      </w:r>
      <w:r w:rsidR="00AE4765" w:rsidRPr="00AE4765">
        <w:rPr>
          <w:i/>
        </w:rPr>
        <w:t>sackraft</w:t>
      </w:r>
      <w:r w:rsidRPr="00CD00BC">
        <w:t xml:space="preserve"> papers, as a function of </w:t>
      </w:r>
      <w:r>
        <w:t>refining</w:t>
      </w:r>
      <w:r w:rsidRPr="00CD00BC">
        <w:t xml:space="preserve"> energy consumption (Wh), are presented in Figure </w:t>
      </w:r>
      <w:r>
        <w:t>3</w:t>
      </w:r>
      <w:r w:rsidRPr="00CD00BC">
        <w:t xml:space="preserve"> (LCNF-E) and Figure </w:t>
      </w:r>
      <w:r>
        <w:t>4</w:t>
      </w:r>
      <w:r w:rsidRPr="00CD00BC">
        <w:t xml:space="preserve"> (LCNF-P).</w:t>
      </w:r>
      <w:r>
        <w:t xml:space="preserve"> </w:t>
      </w:r>
      <w:r w:rsidR="00410011">
        <w:t>These</w:t>
      </w:r>
      <w:r w:rsidRPr="00674034">
        <w:t xml:space="preserve"> </w:t>
      </w:r>
      <w:r w:rsidR="00AE4765" w:rsidRPr="00AE4765">
        <w:rPr>
          <w:i/>
        </w:rPr>
        <w:t>sackraft</w:t>
      </w:r>
      <w:r w:rsidRPr="00674034">
        <w:t xml:space="preserve"> papers require high tear, burst</w:t>
      </w:r>
      <w:r>
        <w:t>,</w:t>
      </w:r>
      <w:r w:rsidRPr="00674034">
        <w:t xml:space="preserve"> and tensile</w:t>
      </w:r>
      <w:r>
        <w:t xml:space="preserve"> indexes</w:t>
      </w:r>
      <w:r w:rsidR="00E84787">
        <w:t>.</w:t>
      </w:r>
    </w:p>
    <w:p w:rsidR="00A50033" w:rsidRDefault="00A50033" w:rsidP="00A50033">
      <w:pPr>
        <w:pStyle w:val="CETBodytext"/>
      </w:pPr>
      <w:r>
        <w:t>A</w:t>
      </w:r>
      <w:r w:rsidRPr="003C517E">
        <w:t xml:space="preserve">n increase in drainage resistance </w:t>
      </w:r>
      <w:r>
        <w:t xml:space="preserve">in </w:t>
      </w:r>
      <w:r w:rsidRPr="003C517E">
        <w:t>pulp</w:t>
      </w:r>
      <w:r>
        <w:t>s made</w:t>
      </w:r>
      <w:r w:rsidRPr="003C517E">
        <w:t xml:space="preserve"> with the addition of LCNF-E (Figure 3A) and LCNF-P (Figure 4A) was observed in </w:t>
      </w:r>
      <w:r w:rsidR="00AE4765" w:rsidRPr="00AE4765">
        <w:rPr>
          <w:i/>
        </w:rPr>
        <w:t>sackraft</w:t>
      </w:r>
      <w:r w:rsidRPr="003C517E">
        <w:t xml:space="preserve"> papers, due to increased hydrogen bonds </w:t>
      </w:r>
      <w:r>
        <w:t xml:space="preserve">following </w:t>
      </w:r>
      <w:r w:rsidRPr="003C517E">
        <w:t>the</w:t>
      </w:r>
      <w:r>
        <w:t xml:space="preserve"> addition of</w:t>
      </w:r>
      <w:r w:rsidR="00410011">
        <w:t xml:space="preserve"> nanofibrils. </w:t>
      </w:r>
      <w:r w:rsidR="00410011" w:rsidRPr="00410011">
        <w:t xml:space="preserve">This was the same trend found for </w:t>
      </w:r>
      <w:r w:rsidR="00AE4765" w:rsidRPr="00AE4765">
        <w:rPr>
          <w:i/>
        </w:rPr>
        <w:t>kraftliner</w:t>
      </w:r>
      <w:r w:rsidR="00410011" w:rsidRPr="00410011">
        <w:t xml:space="preserve"> papers</w:t>
      </w:r>
      <w:r w:rsidR="00410011">
        <w:t xml:space="preserve">. </w:t>
      </w:r>
      <w:r w:rsidR="002F6510">
        <w:t>Industrial</w:t>
      </w:r>
      <w:r w:rsidR="002F6510" w:rsidRPr="00D84794">
        <w:t>ly</w:t>
      </w:r>
      <w:r w:rsidRPr="00D84794">
        <w:t xml:space="preserve">, the pulps </w:t>
      </w:r>
      <w:r>
        <w:t xml:space="preserve">used for </w:t>
      </w:r>
      <w:r w:rsidR="00AE4765" w:rsidRPr="00AE4765">
        <w:rPr>
          <w:i/>
        </w:rPr>
        <w:t>sackraft</w:t>
      </w:r>
      <w:r w:rsidRPr="00D84794">
        <w:t xml:space="preserve"> paper </w:t>
      </w:r>
      <w:r w:rsidR="002F6510">
        <w:t>manufacture</w:t>
      </w:r>
      <w:r w:rsidR="002F6510" w:rsidRPr="00D84794">
        <w:t xml:space="preserve"> </w:t>
      </w:r>
      <w:r w:rsidRPr="00D84794">
        <w:t>are refined up to 17°SR. To refine the pulp and reach 17</w:t>
      </w:r>
      <w:r w:rsidR="00882E66">
        <w:t xml:space="preserve"> </w:t>
      </w:r>
      <w:r w:rsidRPr="00D84794">
        <w:t>°SR without LCNF addition, 58</w:t>
      </w:r>
      <w:r w:rsidR="00882E66">
        <w:t xml:space="preserve"> </w:t>
      </w:r>
      <w:r w:rsidRPr="00D84794">
        <w:t xml:space="preserve">Wh of energy </w:t>
      </w:r>
      <w:r w:rsidR="002B1D0C">
        <w:t>was consumed</w:t>
      </w:r>
      <w:r w:rsidR="00410011">
        <w:t xml:space="preserve">. </w:t>
      </w:r>
      <w:r w:rsidRPr="00A77568">
        <w:t xml:space="preserve">Adding </w:t>
      </w:r>
      <w:r w:rsidR="00882E66">
        <w:t>5 %</w:t>
      </w:r>
      <w:r w:rsidRPr="00A77568">
        <w:t xml:space="preserve"> of LCNF-E and LCNF-P to the pulp, resulted in a decrease of energy consumption to 10 and 13 Wh to reach the same °SR value, for LCNF-E and LCNF-P, respectively. As a result, energy savings of 82% were achieved by adding LCNF-E and 77</w:t>
      </w:r>
      <w:r w:rsidR="00882E66">
        <w:t xml:space="preserve"> </w:t>
      </w:r>
      <w:r w:rsidRPr="00A77568">
        <w:t>% by adding LCNF-P to the pulp.</w:t>
      </w:r>
      <w:r>
        <w:t xml:space="preserve"> </w:t>
      </w:r>
    </w:p>
    <w:p w:rsidR="00664A87" w:rsidRDefault="00664A87" w:rsidP="00664A87">
      <w:pPr>
        <w:pStyle w:val="CETBodytext"/>
      </w:pPr>
      <w:r>
        <w:t>An increase in</w:t>
      </w:r>
      <w:r w:rsidRPr="00D97157">
        <w:t xml:space="preserve"> the tensile (Figure 3B and 4B) and burst index</w:t>
      </w:r>
      <w:r>
        <w:t>es</w:t>
      </w:r>
      <w:r w:rsidRPr="00D97157">
        <w:t xml:space="preserve"> (Figures </w:t>
      </w:r>
      <w:r w:rsidR="004C1BAD">
        <w:t>3C</w:t>
      </w:r>
      <w:r w:rsidRPr="00D97157">
        <w:t xml:space="preserve"> and 4C), </w:t>
      </w:r>
      <w:r>
        <w:t>was observed with the</w:t>
      </w:r>
      <w:r w:rsidRPr="00D97157">
        <w:t xml:space="preserve"> incorporation of the LCNF-E and LCNF-P </w:t>
      </w:r>
      <w:r>
        <w:t>to the pulp furnish</w:t>
      </w:r>
      <w:r w:rsidRPr="00D97157">
        <w:t xml:space="preserve">. </w:t>
      </w:r>
      <w:r w:rsidRPr="006E7C2B">
        <w:t xml:space="preserve">The combination of </w:t>
      </w:r>
      <w:r>
        <w:t xml:space="preserve">a </w:t>
      </w:r>
      <w:r w:rsidRPr="006E7C2B">
        <w:t>refining process and LCNF addition also provided increase in the tensile and burst indexes</w:t>
      </w:r>
      <w:r>
        <w:t xml:space="preserve"> of the </w:t>
      </w:r>
      <w:r w:rsidR="00AE4765" w:rsidRPr="00AE4765">
        <w:rPr>
          <w:i/>
        </w:rPr>
        <w:t>sackraft</w:t>
      </w:r>
      <w:r>
        <w:t xml:space="preserve"> papers</w:t>
      </w:r>
      <w:r w:rsidRPr="006E7C2B">
        <w:t xml:space="preserve">. The refining process, as well as the </w:t>
      </w:r>
      <w:r>
        <w:t xml:space="preserve">addition of </w:t>
      </w:r>
      <w:r w:rsidRPr="006E7C2B">
        <w:t xml:space="preserve">nanofibrils, enhances the </w:t>
      </w:r>
      <w:r w:rsidR="002B1D0C">
        <w:t xml:space="preserve">paper </w:t>
      </w:r>
      <w:r w:rsidRPr="006E7C2B">
        <w:t xml:space="preserve">interfibrillar bonds due to the hydrogen bonds between the hydroxyl groups of the cellulose </w:t>
      </w:r>
      <w:r w:rsidRPr="00FF2E02">
        <w:t>chains (Schönberg et al, 2001),</w:t>
      </w:r>
      <w:r w:rsidRPr="006E7C2B">
        <w:t xml:space="preserve"> conferring improvements in the mechanical properties.</w:t>
      </w:r>
      <w:r>
        <w:t xml:space="preserve"> </w:t>
      </w:r>
      <w:r w:rsidR="002B1D0C">
        <w:t>Thus</w:t>
      </w:r>
      <w:r>
        <w:t xml:space="preserve">, </w:t>
      </w:r>
      <w:r w:rsidR="002B1D0C">
        <w:t>refining is an important operation</w:t>
      </w:r>
      <w:r w:rsidR="002B1D0C" w:rsidRPr="00AE17E4">
        <w:t xml:space="preserve"> </w:t>
      </w:r>
      <w:r w:rsidRPr="00AE17E4">
        <w:t xml:space="preserve">in the </w:t>
      </w:r>
      <w:r>
        <w:t>evaluation of</w:t>
      </w:r>
      <w:r w:rsidRPr="00AE17E4">
        <w:t xml:space="preserve"> the tensile and burst index</w:t>
      </w:r>
      <w:r>
        <w:t>es.</w:t>
      </w:r>
      <w:r w:rsidRPr="00AE17E4">
        <w:t xml:space="preserve"> </w:t>
      </w:r>
      <w:r w:rsidR="002B1D0C">
        <w:t>The</w:t>
      </w:r>
      <w:r w:rsidRPr="00AE17E4">
        <w:t xml:space="preserve"> energy consumption needed to reach t</w:t>
      </w:r>
      <w:r>
        <w:t>he</w:t>
      </w:r>
      <w:r w:rsidRPr="00AE17E4">
        <w:t xml:space="preserve"> </w:t>
      </w:r>
      <w:r>
        <w:t>17°</w:t>
      </w:r>
      <w:r w:rsidRPr="00AE17E4">
        <w:t xml:space="preserve">SR with </w:t>
      </w:r>
      <w:r w:rsidR="00882E66">
        <w:t>5 %</w:t>
      </w:r>
      <w:r w:rsidRPr="00AE17E4">
        <w:t xml:space="preserve"> addition was </w:t>
      </w:r>
      <w:r w:rsidR="009E7DBF">
        <w:t>unusually</w:t>
      </w:r>
      <w:r w:rsidR="009E7DBF" w:rsidRPr="00AE17E4">
        <w:t xml:space="preserve"> </w:t>
      </w:r>
      <w:r w:rsidRPr="00AE17E4">
        <w:t xml:space="preserve">low (10 Wh for LCNF-E and 13 Wh </w:t>
      </w:r>
      <w:r w:rsidRPr="00AE17E4">
        <w:lastRenderedPageBreak/>
        <w:t>for LCNF-P), when compared to the addition of 0% (58 Wh), a</w:t>
      </w:r>
      <w:r w:rsidR="009E7DBF">
        <w:t>nd this caused a</w:t>
      </w:r>
      <w:r w:rsidRPr="00AE17E4">
        <w:t xml:space="preserve"> reduction </w:t>
      </w:r>
      <w:r w:rsidR="009E7DBF">
        <w:t>of tensile and burst indexes</w:t>
      </w:r>
      <w:r w:rsidRPr="00AE17E4">
        <w:t xml:space="preserve"> </w:t>
      </w:r>
      <w:r>
        <w:t>for</w:t>
      </w:r>
      <w:r w:rsidRPr="00AE17E4">
        <w:t xml:space="preserve"> this °SR due to </w:t>
      </w:r>
      <w:r>
        <w:t>insufficient</w:t>
      </w:r>
      <w:r w:rsidRPr="00AE17E4">
        <w:t xml:space="preserve"> refining</w:t>
      </w:r>
      <w:r>
        <w:t xml:space="preserve"> rather than</w:t>
      </w:r>
      <w:r w:rsidRPr="00AE17E4">
        <w:t xml:space="preserve"> the effect of</w:t>
      </w:r>
      <w:r>
        <w:t xml:space="preserve"> the</w:t>
      </w:r>
      <w:r w:rsidRPr="00AE17E4">
        <w:t xml:space="preserve"> nanofibrils.</w:t>
      </w:r>
      <w:r>
        <w:t xml:space="preserve"> </w:t>
      </w:r>
      <w:r w:rsidRPr="00AE17E4">
        <w:t xml:space="preserve">However, improvements in these properties </w:t>
      </w:r>
      <w:r>
        <w:t xml:space="preserve">may </w:t>
      </w:r>
      <w:r w:rsidRPr="00AE17E4">
        <w:t>be achieved with the addition of smaller amounts of LCNF</w:t>
      </w:r>
      <w:r>
        <w:t xml:space="preserve">, </w:t>
      </w:r>
      <w:r w:rsidRPr="00AE17E4">
        <w:t xml:space="preserve">which results in lower energy savings. </w:t>
      </w:r>
      <w:r>
        <w:t>Consequentially</w:t>
      </w:r>
      <w:r w:rsidRPr="00AE17E4">
        <w:t xml:space="preserve">, </w:t>
      </w:r>
      <w:r>
        <w:t>since reaching a</w:t>
      </w:r>
      <w:r w:rsidRPr="00AE17E4">
        <w:t xml:space="preserve"> </w:t>
      </w:r>
      <w:r>
        <w:t>17</w:t>
      </w:r>
      <w:r w:rsidR="00882E66">
        <w:t xml:space="preserve"> </w:t>
      </w:r>
      <w:r>
        <w:t>°</w:t>
      </w:r>
      <w:r w:rsidRPr="00AE17E4">
        <w:t>SR</w:t>
      </w:r>
      <w:r>
        <w:t xml:space="preserve"> requires a larger consumption of energy</w:t>
      </w:r>
      <w:r w:rsidRPr="00AE17E4">
        <w:t>, the combination of the refining process with the</w:t>
      </w:r>
      <w:r>
        <w:t xml:space="preserve"> addition of</w:t>
      </w:r>
      <w:r w:rsidRPr="00AE17E4">
        <w:t xml:space="preserve"> LCNF </w:t>
      </w:r>
      <w:r w:rsidRPr="00D06C53">
        <w:t>provides an increase in tensile and burst indexes.</w:t>
      </w:r>
    </w:p>
    <w:p w:rsidR="00E84787" w:rsidRDefault="00E84787" w:rsidP="00E84787">
      <w:pPr>
        <w:pStyle w:val="CETBodytext"/>
      </w:pPr>
      <w:r>
        <w:t>An</w:t>
      </w:r>
      <w:r w:rsidRPr="00D06C53">
        <w:t xml:space="preserve"> increase of the modulus of elasticity was observed </w:t>
      </w:r>
      <w:r>
        <w:t>following</w:t>
      </w:r>
      <w:r w:rsidRPr="00D06C53">
        <w:t xml:space="preserve"> the addition</w:t>
      </w:r>
      <w:r w:rsidR="008F1AA8">
        <w:t xml:space="preserve"> </w:t>
      </w:r>
      <w:r w:rsidR="008F1AA8" w:rsidRPr="00B44E3D">
        <w:t>of LCNF-</w:t>
      </w:r>
      <w:r w:rsidR="008F1AA8">
        <w:t>E</w:t>
      </w:r>
      <w:r w:rsidR="008F1AA8" w:rsidRPr="00B44E3D">
        <w:t xml:space="preserve"> </w:t>
      </w:r>
      <w:r w:rsidR="008F1AA8">
        <w:t xml:space="preserve">(Figure 3D) </w:t>
      </w:r>
      <w:r w:rsidR="008F1AA8" w:rsidRPr="00B44E3D">
        <w:t>and LCNF-</w:t>
      </w:r>
      <w:r w:rsidR="008F1AA8">
        <w:t>P (Figure 4D)</w:t>
      </w:r>
      <w:r w:rsidRPr="00D06C53">
        <w:t xml:space="preserve">. In the absence of refining, with </w:t>
      </w:r>
      <w:r w:rsidR="00882E66">
        <w:t>5 %</w:t>
      </w:r>
      <w:r w:rsidRPr="00D06C53">
        <w:t xml:space="preserve"> </w:t>
      </w:r>
      <w:r w:rsidRPr="006A4DEC">
        <w:t>addition of nanofibrils, the MOE presented a gain of 17</w:t>
      </w:r>
      <w:r w:rsidR="00882E66">
        <w:t xml:space="preserve"> </w:t>
      </w:r>
      <w:r w:rsidRPr="006A4DEC">
        <w:t>% with LCNF-E and 28</w:t>
      </w:r>
      <w:r w:rsidR="00882E66">
        <w:t xml:space="preserve"> </w:t>
      </w:r>
      <w:r w:rsidRPr="006A4DEC">
        <w:t>% with LCNF-P, in relation to 0% addition. There were also significant increases in the MOE values due to nanofibrils addition the pulps that went through refining.</w:t>
      </w:r>
    </w:p>
    <w:p w:rsidR="009475BB" w:rsidRDefault="009475BB" w:rsidP="00A738EB">
      <w:pPr>
        <w:pStyle w:val="CETBodytext"/>
        <w:jc w:val="left"/>
      </w:pPr>
      <w:r w:rsidRPr="009475BB">
        <w:rPr>
          <w:noProof/>
        </w:rPr>
        <w:drawing>
          <wp:inline distT="0" distB="0" distL="0" distR="0">
            <wp:extent cx="1552800" cy="1152000"/>
            <wp:effectExtent l="0" t="0" r="952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800" cy="1152000"/>
                    </a:xfrm>
                    <a:prstGeom prst="rect">
                      <a:avLst/>
                    </a:prstGeom>
                    <a:noFill/>
                    <a:ln>
                      <a:noFill/>
                    </a:ln>
                  </pic:spPr>
                </pic:pic>
              </a:graphicData>
            </a:graphic>
          </wp:inline>
        </w:drawing>
      </w:r>
      <w:r w:rsidR="00226D6F">
        <w:t xml:space="preserve"> </w:t>
      </w:r>
      <w:r w:rsidR="00611D20" w:rsidRPr="00611D20">
        <w:rPr>
          <w:noProof/>
        </w:rPr>
        <w:drawing>
          <wp:inline distT="0" distB="0" distL="0" distR="0">
            <wp:extent cx="1527262" cy="115200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7262" cy="1152000"/>
                    </a:xfrm>
                    <a:prstGeom prst="rect">
                      <a:avLst/>
                    </a:prstGeom>
                    <a:noFill/>
                    <a:ln>
                      <a:noFill/>
                    </a:ln>
                  </pic:spPr>
                </pic:pic>
              </a:graphicData>
            </a:graphic>
          </wp:inline>
        </w:drawing>
      </w:r>
      <w:r w:rsidR="00226D6F">
        <w:t xml:space="preserve"> </w:t>
      </w:r>
      <w:r w:rsidR="00C635C1" w:rsidRPr="00C635C1">
        <w:rPr>
          <w:noProof/>
        </w:rPr>
        <w:drawing>
          <wp:inline distT="0" distB="0" distL="0" distR="0">
            <wp:extent cx="1537070" cy="1152000"/>
            <wp:effectExtent l="0" t="0" r="635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7070" cy="1152000"/>
                    </a:xfrm>
                    <a:prstGeom prst="rect">
                      <a:avLst/>
                    </a:prstGeom>
                    <a:noFill/>
                    <a:ln>
                      <a:noFill/>
                    </a:ln>
                  </pic:spPr>
                </pic:pic>
              </a:graphicData>
            </a:graphic>
          </wp:inline>
        </w:drawing>
      </w:r>
    </w:p>
    <w:p w:rsidR="00A50033" w:rsidRDefault="00226D6F" w:rsidP="00A738EB">
      <w:pPr>
        <w:pStyle w:val="CETBodytext"/>
        <w:jc w:val="left"/>
        <w:rPr>
          <w:sz w:val="16"/>
          <w:szCs w:val="16"/>
        </w:rPr>
      </w:pPr>
      <w:r w:rsidRPr="00226D6F">
        <w:rPr>
          <w:noProof/>
        </w:rPr>
        <w:drawing>
          <wp:inline distT="0" distB="0" distL="0" distR="0">
            <wp:extent cx="1527978" cy="1152000"/>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7978" cy="1152000"/>
                    </a:xfrm>
                    <a:prstGeom prst="rect">
                      <a:avLst/>
                    </a:prstGeom>
                    <a:noFill/>
                    <a:ln>
                      <a:noFill/>
                    </a:ln>
                  </pic:spPr>
                </pic:pic>
              </a:graphicData>
            </a:graphic>
          </wp:inline>
        </w:drawing>
      </w:r>
      <w:r>
        <w:t xml:space="preserve"> </w:t>
      </w:r>
      <w:r w:rsidRPr="00226D6F">
        <w:rPr>
          <w:noProof/>
        </w:rPr>
        <w:drawing>
          <wp:inline distT="0" distB="0" distL="0" distR="0">
            <wp:extent cx="1543487" cy="115200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487" cy="1152000"/>
                    </a:xfrm>
                    <a:prstGeom prst="rect">
                      <a:avLst/>
                    </a:prstGeom>
                    <a:noFill/>
                    <a:ln>
                      <a:noFill/>
                    </a:ln>
                  </pic:spPr>
                </pic:pic>
              </a:graphicData>
            </a:graphic>
          </wp:inline>
        </w:drawing>
      </w:r>
    </w:p>
    <w:p w:rsidR="00A50033" w:rsidRDefault="00A50033" w:rsidP="00A50033">
      <w:pPr>
        <w:pStyle w:val="CETCaption"/>
      </w:pPr>
      <w:r w:rsidRPr="007A6F1D">
        <w:t xml:space="preserve">Figure </w:t>
      </w:r>
      <w:r>
        <w:t>3</w:t>
      </w:r>
      <w:r w:rsidRPr="007A6F1D">
        <w:t xml:space="preserve"> </w:t>
      </w:r>
      <w:r>
        <w:t>–</w:t>
      </w:r>
      <w:r w:rsidRPr="007A6F1D">
        <w:t xml:space="preserve"> </w:t>
      </w:r>
      <w:r>
        <w:t>Properties of sackraft</w:t>
      </w:r>
      <w:r w:rsidRPr="007A6F1D">
        <w:t xml:space="preserve"> pulps with addition of LCNF-E, as a function of refining energy consumption: A) Drainage resistance (ºSR); B) Tensile index; C) </w:t>
      </w:r>
      <w:r>
        <w:t>Burst index; D) M</w:t>
      </w:r>
      <w:r w:rsidRPr="00B44E3D">
        <w:t>odulus of elasticity (M</w:t>
      </w:r>
      <w:r>
        <w:t>OE); E) Tear index</w:t>
      </w:r>
      <w:r w:rsidR="00664A87">
        <w:t>.</w:t>
      </w:r>
    </w:p>
    <w:p w:rsidR="00611D20" w:rsidRDefault="00611D20" w:rsidP="00A738EB">
      <w:pPr>
        <w:pStyle w:val="CETBodytext"/>
        <w:jc w:val="left"/>
      </w:pPr>
      <w:r w:rsidRPr="00611D20">
        <w:rPr>
          <w:noProof/>
        </w:rPr>
        <w:drawing>
          <wp:inline distT="0" distB="0" distL="0" distR="0">
            <wp:extent cx="1552800" cy="1152000"/>
            <wp:effectExtent l="0" t="0" r="952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2800" cy="1152000"/>
                    </a:xfrm>
                    <a:prstGeom prst="rect">
                      <a:avLst/>
                    </a:prstGeom>
                    <a:noFill/>
                    <a:ln>
                      <a:noFill/>
                    </a:ln>
                  </pic:spPr>
                </pic:pic>
              </a:graphicData>
            </a:graphic>
          </wp:inline>
        </w:drawing>
      </w:r>
      <w:r w:rsidR="00226D6F">
        <w:t xml:space="preserve"> </w:t>
      </w:r>
      <w:r w:rsidR="00C635C1" w:rsidRPr="00C635C1">
        <w:rPr>
          <w:noProof/>
        </w:rPr>
        <w:drawing>
          <wp:inline distT="0" distB="0" distL="0" distR="0">
            <wp:extent cx="1527978" cy="115200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7978" cy="1152000"/>
                    </a:xfrm>
                    <a:prstGeom prst="rect">
                      <a:avLst/>
                    </a:prstGeom>
                    <a:noFill/>
                    <a:ln>
                      <a:noFill/>
                    </a:ln>
                  </pic:spPr>
                </pic:pic>
              </a:graphicData>
            </a:graphic>
          </wp:inline>
        </w:drawing>
      </w:r>
      <w:r w:rsidR="00226D6F">
        <w:t xml:space="preserve"> </w:t>
      </w:r>
      <w:r w:rsidR="00226D6F" w:rsidRPr="00226D6F">
        <w:rPr>
          <w:noProof/>
        </w:rPr>
        <w:drawing>
          <wp:inline distT="0" distB="0" distL="0" distR="0">
            <wp:extent cx="1537070" cy="1152000"/>
            <wp:effectExtent l="0" t="0" r="635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7070" cy="1152000"/>
                    </a:xfrm>
                    <a:prstGeom prst="rect">
                      <a:avLst/>
                    </a:prstGeom>
                    <a:noFill/>
                    <a:ln>
                      <a:noFill/>
                    </a:ln>
                  </pic:spPr>
                </pic:pic>
              </a:graphicData>
            </a:graphic>
          </wp:inline>
        </w:drawing>
      </w:r>
    </w:p>
    <w:p w:rsidR="00A50033" w:rsidRPr="00B07A6C" w:rsidRDefault="00226D6F" w:rsidP="00A738EB">
      <w:pPr>
        <w:pStyle w:val="CETBodytext"/>
        <w:jc w:val="left"/>
      </w:pPr>
      <w:r w:rsidRPr="00226D6F">
        <w:rPr>
          <w:noProof/>
        </w:rPr>
        <w:drawing>
          <wp:inline distT="0" distB="0" distL="0" distR="0">
            <wp:extent cx="1527978" cy="1152000"/>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7978" cy="1152000"/>
                    </a:xfrm>
                    <a:prstGeom prst="rect">
                      <a:avLst/>
                    </a:prstGeom>
                    <a:noFill/>
                    <a:ln>
                      <a:noFill/>
                    </a:ln>
                  </pic:spPr>
                </pic:pic>
              </a:graphicData>
            </a:graphic>
          </wp:inline>
        </w:drawing>
      </w:r>
      <w:r>
        <w:t xml:space="preserve"> </w:t>
      </w:r>
      <w:r w:rsidRPr="00226D6F">
        <w:rPr>
          <w:noProof/>
        </w:rPr>
        <w:drawing>
          <wp:inline distT="0" distB="0" distL="0" distR="0">
            <wp:extent cx="1543487" cy="1152000"/>
            <wp:effectExtent l="0" t="0" r="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3487" cy="1152000"/>
                    </a:xfrm>
                    <a:prstGeom prst="rect">
                      <a:avLst/>
                    </a:prstGeom>
                    <a:noFill/>
                    <a:ln>
                      <a:noFill/>
                    </a:ln>
                  </pic:spPr>
                </pic:pic>
              </a:graphicData>
            </a:graphic>
          </wp:inline>
        </w:drawing>
      </w:r>
    </w:p>
    <w:p w:rsidR="00A50033" w:rsidRDefault="00A50033" w:rsidP="00A50033">
      <w:pPr>
        <w:pStyle w:val="CETCaption"/>
      </w:pPr>
      <w:r w:rsidRPr="007A6F1D">
        <w:t xml:space="preserve">Figure </w:t>
      </w:r>
      <w:r>
        <w:t>4</w:t>
      </w:r>
      <w:r w:rsidRPr="007A6F1D">
        <w:t xml:space="preserve"> </w:t>
      </w:r>
      <w:r>
        <w:t>– Properties of sackraft</w:t>
      </w:r>
      <w:r w:rsidRPr="007A6F1D">
        <w:t xml:space="preserve"> pulps with addition of LCNF-</w:t>
      </w:r>
      <w:r>
        <w:t>P</w:t>
      </w:r>
      <w:r w:rsidRPr="007A6F1D">
        <w:t xml:space="preserve">, as a function of refining energy consumption: A) Drainage resistance (ºSR); B) Tensile index; C) </w:t>
      </w:r>
      <w:r>
        <w:t>Burst index; D) M</w:t>
      </w:r>
      <w:r w:rsidRPr="00B44E3D">
        <w:t>odulus of elasticity (M</w:t>
      </w:r>
      <w:r>
        <w:t>OE); E) Tear index</w:t>
      </w:r>
      <w:r w:rsidR="00664A87">
        <w:t>.</w:t>
      </w:r>
    </w:p>
    <w:p w:rsidR="008F1AA8" w:rsidRDefault="008F1AA8" w:rsidP="008F1AA8">
      <w:pPr>
        <w:pStyle w:val="CETBodytext"/>
      </w:pPr>
      <w:r w:rsidRPr="006A4DEC">
        <w:t xml:space="preserve">Unlike other properties, the tear index presented a significant reduction when high-intensity refining and </w:t>
      </w:r>
      <w:r w:rsidR="00EF03B6">
        <w:t xml:space="preserve">addition of </w:t>
      </w:r>
      <w:r w:rsidRPr="006A4DEC">
        <w:t>LCNF</w:t>
      </w:r>
      <w:r w:rsidR="00EF03B6">
        <w:t xml:space="preserve">-E (Figure </w:t>
      </w:r>
      <w:r w:rsidR="00EF03B6" w:rsidRPr="006A4DEC">
        <w:t>3E</w:t>
      </w:r>
      <w:r w:rsidR="00EF03B6">
        <w:t>) and LCNF-P</w:t>
      </w:r>
      <w:r w:rsidRPr="006A4DEC">
        <w:t xml:space="preserve"> </w:t>
      </w:r>
      <w:r w:rsidR="00EF03B6">
        <w:t>(Figure 4</w:t>
      </w:r>
      <w:r w:rsidR="00EF03B6" w:rsidRPr="006A4DEC">
        <w:t>E</w:t>
      </w:r>
      <w:r w:rsidR="00EF03B6">
        <w:t xml:space="preserve">) </w:t>
      </w:r>
      <w:r w:rsidRPr="006A4DEC">
        <w:t xml:space="preserve">were combined in the production of </w:t>
      </w:r>
      <w:r w:rsidR="00AE4765" w:rsidRPr="00AE4765">
        <w:rPr>
          <w:i/>
        </w:rPr>
        <w:t>sackraft</w:t>
      </w:r>
      <w:r w:rsidRPr="006A4DEC">
        <w:t xml:space="preserve"> papers. This occurs due to refining process, which reduces the average length of the fibers. This, in turn reflects on the tear resistance, which is directly rela</w:t>
      </w:r>
      <w:r w:rsidR="00CB4928">
        <w:t xml:space="preserve">ted to the length of the fibers. </w:t>
      </w:r>
      <w:r w:rsidRPr="006A4DEC">
        <w:t xml:space="preserve">Furthermore, nanofibrils also contribute to reduction in tear index because they have a shorter length than the cellulosic fibers and rupturing this nanofibrils is much easier because of the small diameter (Hassan et al, 2011). However, by evaluating the tear index at 17SR° for </w:t>
      </w:r>
      <w:r w:rsidR="00AE4765" w:rsidRPr="00AE4765">
        <w:rPr>
          <w:i/>
        </w:rPr>
        <w:t>sackraft</w:t>
      </w:r>
      <w:r w:rsidRPr="006A4DEC">
        <w:t xml:space="preserve"> papers, since the energy consumption needed to reach the 17</w:t>
      </w:r>
      <w:r w:rsidR="00882E66">
        <w:t xml:space="preserve"> </w:t>
      </w:r>
      <w:r w:rsidRPr="006A4DEC">
        <w:t xml:space="preserve">°SR with </w:t>
      </w:r>
      <w:r w:rsidR="00882E66">
        <w:t>5 %</w:t>
      </w:r>
      <w:r w:rsidRPr="006A4DEC">
        <w:t xml:space="preserve"> addition was very low, a 21</w:t>
      </w:r>
      <w:r w:rsidR="00882E66">
        <w:t xml:space="preserve"> </w:t>
      </w:r>
      <w:r w:rsidRPr="006A4DEC">
        <w:t>% and 18</w:t>
      </w:r>
      <w:r w:rsidR="00882E66">
        <w:t xml:space="preserve"> </w:t>
      </w:r>
      <w:r w:rsidRPr="006A4DEC">
        <w:t>% increase in this index was observed with the addition of LCNF</w:t>
      </w:r>
      <w:r w:rsidRPr="005661DA">
        <w:t>-E and LCNF-P, respectively, evidencing that a</w:t>
      </w:r>
      <w:r w:rsidR="009E7DBF">
        <w:t>t</w:t>
      </w:r>
      <w:r w:rsidRPr="005661DA">
        <w:t xml:space="preserve"> lower degree of refining </w:t>
      </w:r>
      <w:r w:rsidR="009E7DBF">
        <w:t xml:space="preserve">the use of nanofibrils </w:t>
      </w:r>
      <w:r w:rsidRPr="005661DA">
        <w:t xml:space="preserve">favors </w:t>
      </w:r>
      <w:r w:rsidR="00DC2517">
        <w:t>tear strength</w:t>
      </w:r>
      <w:r w:rsidRPr="005661DA">
        <w:t xml:space="preserve">. </w:t>
      </w:r>
    </w:p>
    <w:p w:rsidR="00600535" w:rsidRPr="00B57B36" w:rsidRDefault="00600535" w:rsidP="00600535">
      <w:pPr>
        <w:pStyle w:val="CETHeading1"/>
        <w:rPr>
          <w:lang w:val="en-GB"/>
        </w:rPr>
      </w:pPr>
      <w:r w:rsidRPr="00B57B36">
        <w:rPr>
          <w:lang w:val="en-GB"/>
        </w:rPr>
        <w:lastRenderedPageBreak/>
        <w:t>Conclusions</w:t>
      </w:r>
    </w:p>
    <w:p w:rsidR="00194A98" w:rsidRDefault="00E84787" w:rsidP="00194A98">
      <w:pPr>
        <w:pStyle w:val="CETBodytext"/>
      </w:pPr>
      <w:r w:rsidRPr="00E84787">
        <w:t xml:space="preserve">When compared to CNF, the LCNF exhibited a </w:t>
      </w:r>
      <w:r w:rsidR="00966E08" w:rsidRPr="00966E08">
        <w:t xml:space="preserve">higher lignin content, higher thermal stability and smaller </w:t>
      </w:r>
      <w:r w:rsidR="00966E08">
        <w:t>diameter</w:t>
      </w:r>
      <w:r w:rsidRPr="00E84787">
        <w:t>. LCNF-E presented higher content of xylan than LCNF-P. The application of LCNF</w:t>
      </w:r>
      <w:r w:rsidR="00A577D5">
        <w:t xml:space="preserve">-E and LCNF-P </w:t>
      </w:r>
      <w:r w:rsidRPr="00E84787">
        <w:t xml:space="preserve">to produce </w:t>
      </w:r>
      <w:r w:rsidR="00AE4765" w:rsidRPr="00AE4765">
        <w:rPr>
          <w:i/>
        </w:rPr>
        <w:t>kraftliner</w:t>
      </w:r>
      <w:r w:rsidRPr="00E84787">
        <w:t xml:space="preserve"> and </w:t>
      </w:r>
      <w:r w:rsidR="00AE4765" w:rsidRPr="00AE4765">
        <w:rPr>
          <w:i/>
        </w:rPr>
        <w:t>sackraft</w:t>
      </w:r>
      <w:r w:rsidRPr="00E84787">
        <w:t xml:space="preserve"> papers resulted in a significant reduction of energy consumption in the refining process and demonstrated </w:t>
      </w:r>
      <w:r w:rsidR="00A4314A">
        <w:t>positive</w:t>
      </w:r>
      <w:r w:rsidRPr="00E84787">
        <w:t xml:space="preserve"> effects on the mechanical properties of the nanostructured packaging papers produced. There was an energy saving of 64 and 53% on the refining process by adding </w:t>
      </w:r>
      <w:r w:rsidR="00882E66">
        <w:t>5 %</w:t>
      </w:r>
      <w:r w:rsidRPr="00E84787">
        <w:t xml:space="preserve"> LCNF-E and LCNF-P, respectively, in the </w:t>
      </w:r>
      <w:r w:rsidR="00AE4765" w:rsidRPr="00AE4765">
        <w:rPr>
          <w:i/>
        </w:rPr>
        <w:t>kraftliner</w:t>
      </w:r>
      <w:r w:rsidRPr="00E84787">
        <w:t xml:space="preserve"> paper production (18 °SR), and 82</w:t>
      </w:r>
      <w:r w:rsidR="00882E66">
        <w:t xml:space="preserve"> </w:t>
      </w:r>
      <w:r w:rsidRPr="00E84787">
        <w:t>% and 77</w:t>
      </w:r>
      <w:r w:rsidR="00882E66">
        <w:t xml:space="preserve"> </w:t>
      </w:r>
      <w:r w:rsidRPr="00E84787">
        <w:t>% by adding 5</w:t>
      </w:r>
      <w:r w:rsidR="00882E66">
        <w:t xml:space="preserve"> </w:t>
      </w:r>
      <w:r w:rsidRPr="00E84787">
        <w:t xml:space="preserve">% LCNF-E and LCNF-P, respectively, in the </w:t>
      </w:r>
      <w:r w:rsidR="00AE4765" w:rsidRPr="00AE4765">
        <w:rPr>
          <w:i/>
        </w:rPr>
        <w:t>sackraft</w:t>
      </w:r>
      <w:r w:rsidRPr="00E84787">
        <w:t xml:space="preserve"> paper production (17 °SR). Properties such as tensile index and burst index of the papers </w:t>
      </w:r>
      <w:r w:rsidR="00597FC3">
        <w:t>were</w:t>
      </w:r>
      <w:r w:rsidRPr="00E84787">
        <w:t xml:space="preserve"> substantial</w:t>
      </w:r>
      <w:r w:rsidR="00597FC3">
        <w:t>ly</w:t>
      </w:r>
      <w:r w:rsidRPr="00E84787">
        <w:t xml:space="preserve"> increase</w:t>
      </w:r>
      <w:r w:rsidR="00597FC3">
        <w:t>d</w:t>
      </w:r>
      <w:r w:rsidRPr="00E84787">
        <w:t xml:space="preserve"> with the addition of LCNF-E and LCNF-P</w:t>
      </w:r>
      <w:r w:rsidR="0021318C">
        <w:t>.</w:t>
      </w:r>
    </w:p>
    <w:p w:rsidR="00600535" w:rsidRDefault="00600535" w:rsidP="00600535">
      <w:pPr>
        <w:pStyle w:val="CETReference"/>
      </w:pPr>
      <w:r w:rsidRPr="00B57B36">
        <w:t>References</w:t>
      </w:r>
    </w:p>
    <w:p w:rsidR="00A577D5" w:rsidRPr="00C37AF1" w:rsidRDefault="00A577D5" w:rsidP="00A42725">
      <w:pPr>
        <w:pStyle w:val="CETReferencetext"/>
      </w:pPr>
      <w:bookmarkStart w:id="7" w:name="_Hlk527639884"/>
      <w:r w:rsidRPr="00C37AF1">
        <w:t xml:space="preserve">Abdul Rashid </w:t>
      </w:r>
      <w:bookmarkEnd w:id="7"/>
      <w:r w:rsidRPr="00C37AF1">
        <w:t>E. S., Muhd Julkapli N., Yehye W. A., 2018, Nanocellulose reinforced as green agent in polymer matrix composites applications, Polymers for Advanced Technologies, 29, 6, 1531-1546.</w:t>
      </w:r>
    </w:p>
    <w:p w:rsidR="00A577D5" w:rsidRDefault="00A577D5" w:rsidP="00A42725">
      <w:pPr>
        <w:pStyle w:val="CETReferencetext"/>
      </w:pPr>
      <w:r w:rsidRPr="00512E53">
        <w:t>Burkinshaw, S. Cellulose Fibers</w:t>
      </w:r>
      <w:r>
        <w:t>, 2015,</w:t>
      </w:r>
      <w:r w:rsidRPr="00512E53">
        <w:t xml:space="preserve"> </w:t>
      </w:r>
      <w:r w:rsidRPr="006B4888">
        <w:t xml:space="preserve">Chapter In: </w:t>
      </w:r>
      <w:r w:rsidRPr="00512E53">
        <w:t>Burkinshaw, S</w:t>
      </w:r>
      <w:r>
        <w:t xml:space="preserve"> (</w:t>
      </w:r>
      <w:r w:rsidRPr="00512E53">
        <w:t>Ed</w:t>
      </w:r>
      <w:r>
        <w:t>.),</w:t>
      </w:r>
      <w:r w:rsidRPr="00512E53">
        <w:t xml:space="preserve"> </w:t>
      </w:r>
      <w:hyperlink r:id="rId30" w:history="1">
        <w:r w:rsidRPr="00512E53">
          <w:t>Physico-chemical Aspects of Textile Coloration</w:t>
        </w:r>
      </w:hyperlink>
      <w:r>
        <w:t xml:space="preserve">, Vol 1, </w:t>
      </w:r>
      <w:r w:rsidRPr="00512E53">
        <w:rPr>
          <w:rFonts w:hint="eastAsia"/>
        </w:rPr>
        <w:t>John Wiley &amp; Sons Inc</w:t>
      </w:r>
      <w:r w:rsidRPr="00512E53">
        <w:t xml:space="preserve">., </w:t>
      </w:r>
      <w:r w:rsidRPr="00512E53">
        <w:rPr>
          <w:rFonts w:hint="eastAsia"/>
        </w:rPr>
        <w:t>Hoboken</w:t>
      </w:r>
      <w:r>
        <w:t xml:space="preserve">, USA, </w:t>
      </w:r>
      <w:r w:rsidRPr="00512E53">
        <w:t>249–357</w:t>
      </w:r>
      <w:r>
        <w:t>.</w:t>
      </w:r>
    </w:p>
    <w:p w:rsidR="00DC23AF" w:rsidRDefault="007D568C" w:rsidP="00A42725">
      <w:pPr>
        <w:pStyle w:val="CETReferencetext"/>
      </w:pPr>
      <w:r>
        <w:t xml:space="preserve">Damasio R., 2015, </w:t>
      </w:r>
      <w:r w:rsidRPr="007D568C">
        <w:t>Characterization and nanoscale applications of nanofibrillated cellulose (NFC) and cellulose nanocrystals (CNC)</w:t>
      </w:r>
      <w:r>
        <w:t xml:space="preserve">, </w:t>
      </w:r>
      <w:r w:rsidRPr="00D9097F">
        <w:t>MSc dissertation, Federal University of Viçosa, Viçosa, Brazil.</w:t>
      </w:r>
    </w:p>
    <w:p w:rsidR="00A577D5" w:rsidRDefault="00A577D5" w:rsidP="00A42725">
      <w:pPr>
        <w:pStyle w:val="CETReferencetext"/>
      </w:pPr>
      <w:r w:rsidRPr="005035FC">
        <w:t>Delgado-Aguilar M., Gon</w:t>
      </w:r>
      <w:r w:rsidR="001143FD">
        <w:t>zález I., Tarrés Q., Pèlach M.</w:t>
      </w:r>
      <w:r w:rsidRPr="005035FC">
        <w:t xml:space="preserve">, Alcalà M., Mutjé P., 2016, The key role of lignin in the production of low-cost lignocellulosic </w:t>
      </w:r>
      <w:r w:rsidR="001143FD" w:rsidRPr="005035FC">
        <w:t>nanofibers</w:t>
      </w:r>
      <w:r w:rsidRPr="005035FC">
        <w:t xml:space="preserve"> for papermaking applications, Industrial Crops and Products, 86, 295-300.</w:t>
      </w:r>
    </w:p>
    <w:p w:rsidR="00A577D5" w:rsidRPr="00D9097F" w:rsidRDefault="00A577D5" w:rsidP="00A42725">
      <w:pPr>
        <w:pStyle w:val="CETReferencetext"/>
      </w:pPr>
      <w:r w:rsidRPr="00D9097F">
        <w:t xml:space="preserve">Demuner I. F., 2017 Production and characterization of lignocellulose nanofibrils (LCNF) and cellulose nanofibrils (CNF) and LCNF application in nanostructured packaging papers, MSc dissertation, Federal University of Viçosa, Viçosa, Brazil. </w:t>
      </w:r>
    </w:p>
    <w:p w:rsidR="006D3447" w:rsidRPr="006D3447" w:rsidRDefault="006D3447" w:rsidP="006D3447">
      <w:pPr>
        <w:pStyle w:val="CETReferencetext"/>
      </w:pPr>
      <w:r w:rsidRPr="006D3447">
        <w:t>Gharehkhani S.; Sadeghinezhad E.; Kazi S., Yarmand H., Badarudin A., Safaei M., Zubir M, 2015, Basic effects of pulp refining on fiber properties—A review, Carbohydrate Polymers, 115, 785-803.</w:t>
      </w:r>
    </w:p>
    <w:p w:rsidR="00A577D5" w:rsidRPr="00512E53" w:rsidRDefault="00A577D5" w:rsidP="00556748">
      <w:pPr>
        <w:pStyle w:val="CETReferencetext"/>
      </w:pPr>
      <w:r w:rsidRPr="00512E53">
        <w:t>Hassan</w:t>
      </w:r>
      <w:r>
        <w:t xml:space="preserve"> E.,</w:t>
      </w:r>
      <w:r w:rsidRPr="00512E53">
        <w:t xml:space="preserve"> H</w:t>
      </w:r>
      <w:r>
        <w:t>assan</w:t>
      </w:r>
      <w:r w:rsidRPr="00512E53">
        <w:t xml:space="preserve"> M.</w:t>
      </w:r>
      <w:r>
        <w:t>,</w:t>
      </w:r>
      <w:r w:rsidRPr="00512E53">
        <w:t xml:space="preserve"> Oksman</w:t>
      </w:r>
      <w:r>
        <w:t xml:space="preserve"> K., 2011, </w:t>
      </w:r>
      <w:r w:rsidRPr="00512E53">
        <w:t>Improving bagasse pulp paper sheet properties with microfibrillated cellulose isolate</w:t>
      </w:r>
      <w:r>
        <w:t xml:space="preserve">d from xylanase-treated bagasse, Wood and Fiber Science, 43, </w:t>
      </w:r>
      <w:r w:rsidRPr="00512E53">
        <w:t>1</w:t>
      </w:r>
      <w:r>
        <w:t>.</w:t>
      </w:r>
    </w:p>
    <w:p w:rsidR="00A577D5" w:rsidRDefault="00A577D5" w:rsidP="00A42725">
      <w:pPr>
        <w:pStyle w:val="CETReferencetext"/>
      </w:pPr>
      <w:bookmarkStart w:id="8" w:name="_Hlk527717802"/>
      <w:r w:rsidRPr="00572C4D">
        <w:t>Huang</w:t>
      </w:r>
      <w:bookmarkEnd w:id="8"/>
      <w:r w:rsidRPr="00572C4D">
        <w:t xml:space="preserve"> Y</w:t>
      </w:r>
      <w:r w:rsidR="001143FD">
        <w:t>., Wang L., Chao Y., Nawaw D.</w:t>
      </w:r>
      <w:r w:rsidRPr="00572C4D">
        <w:t xml:space="preserve">, Akiyama T., Yokoyama T., Matsumoto Y., 2016, Relationships between hemicellulose composition and lignin structure in woods. Journal </w:t>
      </w:r>
      <w:r w:rsidR="001143FD">
        <w:t xml:space="preserve">of </w:t>
      </w:r>
      <w:r w:rsidR="001143FD" w:rsidRPr="001143FD">
        <w:t>Wood Chem Technol</w:t>
      </w:r>
      <w:r w:rsidRPr="00572C4D">
        <w:t>, 36, 1, 9-15.</w:t>
      </w:r>
    </w:p>
    <w:p w:rsidR="00A577D5" w:rsidRPr="00512E53" w:rsidRDefault="00A577D5" w:rsidP="00A42725">
      <w:pPr>
        <w:pStyle w:val="CETReferencetext"/>
      </w:pPr>
      <w:bookmarkStart w:id="9" w:name="_Hlk527730403"/>
      <w:r w:rsidRPr="00006329">
        <w:t>Kiaei</w:t>
      </w:r>
      <w:bookmarkEnd w:id="9"/>
      <w:r w:rsidRPr="00006329">
        <w:t xml:space="preserve"> M., Samariha A., Farsi M., 2016, Effects of Montmorillonite Clay on Mechanical and Morphological Properties of Papers Made with Cationic Starch and Neutral Sulfite Semichemical or Old Corrugated Container Pulps, BioResources, 11, 2, 4990-5002.</w:t>
      </w:r>
    </w:p>
    <w:p w:rsidR="00A577D5" w:rsidRDefault="00A577D5" w:rsidP="00A42725">
      <w:pPr>
        <w:pStyle w:val="CETReferencetext"/>
      </w:pPr>
      <w:r>
        <w:t xml:space="preserve">Kumar A., Singh S. P, </w:t>
      </w:r>
      <w:r w:rsidRPr="00512E53">
        <w:t>Singh A. K.</w:t>
      </w:r>
      <w:r>
        <w:t>, 2014,</w:t>
      </w:r>
      <w:r w:rsidRPr="00512E53">
        <w:t xml:space="preserve"> Preparation and characterization of cellulose nanofibers from bleached pulp using a mechanica</w:t>
      </w:r>
      <w:r>
        <w:t>l treatment method,</w:t>
      </w:r>
      <w:r w:rsidRPr="00512E53">
        <w:t xml:space="preserve"> Tappi Journal, 13, 5, 25-31</w:t>
      </w:r>
      <w:r>
        <w:t>.</w:t>
      </w:r>
    </w:p>
    <w:p w:rsidR="00A577D5" w:rsidRPr="00512E53" w:rsidRDefault="00A577D5" w:rsidP="00A42725">
      <w:pPr>
        <w:pStyle w:val="CETReferencetext"/>
      </w:pPr>
      <w:r>
        <w:t>Li</w:t>
      </w:r>
      <w:r w:rsidRPr="00512E53">
        <w:t xml:space="preserve"> J.; </w:t>
      </w:r>
      <w:r w:rsidRPr="000B7A47">
        <w:t>Gellerstedt</w:t>
      </w:r>
      <w:r>
        <w:t xml:space="preserve"> G, 1998,</w:t>
      </w:r>
      <w:r w:rsidRPr="00512E53">
        <w:t xml:space="preserve"> On the structural significance of kappa number measurement. </w:t>
      </w:r>
      <w:r w:rsidRPr="000B7A47">
        <w:t>Nordic Pulp &amp; Paper Research Journal, 13, 2, 153-158.</w:t>
      </w:r>
    </w:p>
    <w:p w:rsidR="00A577D5" w:rsidRPr="000D56D6" w:rsidRDefault="00A577D5" w:rsidP="00A42725">
      <w:pPr>
        <w:pStyle w:val="CETReferencetext"/>
      </w:pPr>
      <w:r w:rsidRPr="00123702">
        <w:t>Mariani L. M., Considine J. M., Turner, K. T., 2019, Mechanical characterization of cellulose nanofibril materials made by additive manufacturing, Chapter In: S Kramer et al. (Ed.), Mechanics of Additive and Advanced Manufacturing, Vol 8, Springer, Cham, Switzerland, 43-45</w:t>
      </w:r>
      <w:r>
        <w:t>.</w:t>
      </w:r>
    </w:p>
    <w:p w:rsidR="00A577D5" w:rsidRPr="00E67D86" w:rsidRDefault="00A577D5" w:rsidP="00A42725">
      <w:pPr>
        <w:pStyle w:val="CETReferencetext"/>
      </w:pPr>
      <w:r w:rsidRPr="00E67D86">
        <w:t>Phanthong P., Reubroycharoen P., Hao X., Xu G., Abudula A., Guan G., 2018. Nanocellulose: extraction and application. Carbon Resources Conversion, 1, 32-43.</w:t>
      </w:r>
    </w:p>
    <w:p w:rsidR="00A577D5" w:rsidRPr="00B472ED" w:rsidRDefault="00A577D5" w:rsidP="00A42725">
      <w:pPr>
        <w:pStyle w:val="CETReferencetext"/>
        <w:rPr>
          <w:lang w:val="en-US"/>
        </w:rPr>
      </w:pPr>
      <w:r w:rsidRPr="00512E53">
        <w:t>Potthast</w:t>
      </w:r>
      <w:r>
        <w:t xml:space="preserve">, A., 2006, Chemistry of Kraft Cooking, </w:t>
      </w:r>
      <w:r w:rsidRPr="006B4888">
        <w:t xml:space="preserve">Chapter In: </w:t>
      </w:r>
      <w:r w:rsidRPr="00512E53">
        <w:t xml:space="preserve">Sixta, H </w:t>
      </w:r>
      <w:r>
        <w:t>(</w:t>
      </w:r>
      <w:r w:rsidRPr="00512E53">
        <w:t>Ed</w:t>
      </w:r>
      <w:r>
        <w:t>.), Handbook of pulp, Vol 1,</w:t>
      </w:r>
      <w:r w:rsidRPr="00512E53">
        <w:t xml:space="preserve"> </w:t>
      </w:r>
      <w:r>
        <w:rPr>
          <w:lang w:val="en-US"/>
        </w:rPr>
        <w:t>WILEY-VCH Verlag GmbH &amp;Co.</w:t>
      </w:r>
      <w:r w:rsidRPr="00B472ED">
        <w:rPr>
          <w:lang w:val="en-US"/>
        </w:rPr>
        <w:t>KGaA, Weinheim, Germany</w:t>
      </w:r>
      <w:r>
        <w:rPr>
          <w:lang w:val="en-US"/>
        </w:rPr>
        <w:t xml:space="preserve">, </w:t>
      </w:r>
      <w:r w:rsidRPr="00B472ED">
        <w:rPr>
          <w:lang w:val="en-US"/>
        </w:rPr>
        <w:t>164-185</w:t>
      </w:r>
      <w:r>
        <w:rPr>
          <w:lang w:val="en-US"/>
        </w:rPr>
        <w:t>.</w:t>
      </w:r>
    </w:p>
    <w:p w:rsidR="00A577D5" w:rsidRPr="00B936D6" w:rsidRDefault="00A577D5" w:rsidP="00A42725">
      <w:pPr>
        <w:pStyle w:val="CETReferencetext"/>
      </w:pPr>
      <w:r w:rsidRPr="00B936D6">
        <w:t>Rojo E., Peresin M. S., Sampson W. W., Hoeger I. C., Vartiainen J., Laine J., Rojas O. J.</w:t>
      </w:r>
      <w:r w:rsidRPr="00512E53">
        <w:t xml:space="preserve">, </w:t>
      </w:r>
      <w:r>
        <w:t xml:space="preserve">2015, </w:t>
      </w:r>
      <w:r w:rsidRPr="00512E53">
        <w:t>Comprehensive elucidation of the effect of residual lignin on the physical, barrier, mechanical and surface pr</w:t>
      </w:r>
      <w:r>
        <w:t xml:space="preserve">operties of nanocellulose films, </w:t>
      </w:r>
      <w:r w:rsidRPr="00B936D6">
        <w:t>Green Chemistry, 17, 3, 1853-1866.</w:t>
      </w:r>
    </w:p>
    <w:p w:rsidR="00A577D5" w:rsidRPr="00512E53" w:rsidRDefault="00A577D5" w:rsidP="00FF2E02">
      <w:pPr>
        <w:pStyle w:val="CETReferencetext"/>
      </w:pPr>
      <w:r w:rsidRPr="00512E53">
        <w:t>Schönberg C., Oksanen T., S</w:t>
      </w:r>
      <w:r>
        <w:t>uurnäkki</w:t>
      </w:r>
      <w:r w:rsidRPr="00512E53">
        <w:t xml:space="preserve"> A., Kettunen H., Buchert</w:t>
      </w:r>
      <w:r>
        <w:t xml:space="preserve"> J., 2001, </w:t>
      </w:r>
      <w:r w:rsidRPr="00512E53">
        <w:t>The importance of xylan for the strength propert</w:t>
      </w:r>
      <w:r>
        <w:t>ies of spruce kraft pulp fibres,</w:t>
      </w:r>
      <w:r w:rsidRPr="00512E53">
        <w:t xml:space="preserve"> Holzforshung,</w:t>
      </w:r>
      <w:r>
        <w:t xml:space="preserve">55, </w:t>
      </w:r>
      <w:r w:rsidRPr="00512E53">
        <w:t>639–644</w:t>
      </w:r>
      <w:r>
        <w:t>.</w:t>
      </w:r>
    </w:p>
    <w:p w:rsidR="00A577D5" w:rsidRDefault="00A577D5" w:rsidP="00A42725">
      <w:pPr>
        <w:pStyle w:val="CETReferencetext"/>
      </w:pPr>
      <w:r>
        <w:t xml:space="preserve">Silva J C, 2015, </w:t>
      </w:r>
      <w:r w:rsidRPr="00512E53">
        <w:t>Biorefinery of lignocellulosic materials: novel products, methods and applications of forest and agricultural feedstocks</w:t>
      </w:r>
      <w:r>
        <w:t>,</w:t>
      </w:r>
      <w:r w:rsidRPr="00512E53">
        <w:t xml:space="preserve"> </w:t>
      </w:r>
      <w:r w:rsidRPr="006B4888">
        <w:t>PhD Thesis</w:t>
      </w:r>
      <w:r w:rsidRPr="00D9097F">
        <w:t>, Federal Unive</w:t>
      </w:r>
      <w:r>
        <w:t>rsity of Viçosa, Viçosa, Brazil.</w:t>
      </w:r>
    </w:p>
    <w:p w:rsidR="00A577D5" w:rsidRPr="00512E53" w:rsidRDefault="00A577D5" w:rsidP="00A42725">
      <w:pPr>
        <w:pStyle w:val="CETReferencetext"/>
      </w:pPr>
      <w:r>
        <w:t xml:space="preserve">Spence K.L., </w:t>
      </w:r>
      <w:r w:rsidRPr="00512E53">
        <w:t>Venditti</w:t>
      </w:r>
      <w:r>
        <w:t xml:space="preserve"> R.A,</w:t>
      </w:r>
      <w:r w:rsidRPr="00512E53">
        <w:t xml:space="preserve"> Habibi Y</w:t>
      </w:r>
      <w:r>
        <w:t>,</w:t>
      </w:r>
      <w:r w:rsidRPr="00512E53">
        <w:t xml:space="preserve"> Rojas O.J.</w:t>
      </w:r>
      <w:r>
        <w:t>,</w:t>
      </w:r>
      <w:r w:rsidRPr="00512E53">
        <w:t xml:space="preserve"> Pawlak </w:t>
      </w:r>
      <w:r>
        <w:t>J.J., 2010,</w:t>
      </w:r>
      <w:r w:rsidRPr="00512E53">
        <w:t xml:space="preserve"> The effect of chemical composition on microfibrillar cellulose films from wood pulps: Mechanical processing and physical </w:t>
      </w:r>
      <w:r>
        <w:t xml:space="preserve">properties. Bioresource Technology,101, 15, </w:t>
      </w:r>
      <w:r w:rsidRPr="00512E53">
        <w:t>5961–5968</w:t>
      </w:r>
      <w:r>
        <w:t>.</w:t>
      </w:r>
    </w:p>
    <w:p w:rsidR="00A577D5" w:rsidRDefault="00A577D5" w:rsidP="001143FD">
      <w:pPr>
        <w:pStyle w:val="CETReferencetext"/>
      </w:pPr>
      <w:r>
        <w:t>Teleman A., Harjunpää V., Tenkanen M., Buchert J., Hausalo T., Drakenberg T., Vuorinen T, 1995,</w:t>
      </w:r>
      <w:r w:rsidRPr="00512E53">
        <w:t xml:space="preserve"> Characterisation of 4-deoxy-β-L-threo-hex-4-enopyranosyluronic acid attached to xylan in pine kraft pulp and pulping liquor</w:t>
      </w:r>
      <w:r>
        <w:t xml:space="preserve"> by 1H and 13C NMR spectroscopy, Carbohydrate research, 272, 1, 55-71.</w:t>
      </w:r>
    </w:p>
    <w:p w:rsidR="00BF0F0A" w:rsidRPr="00BF0F0A" w:rsidRDefault="00A577D5" w:rsidP="00BF0F0A">
      <w:pPr>
        <w:pStyle w:val="CETReferencetext"/>
      </w:pPr>
      <w:r w:rsidRPr="00512E53">
        <w:t>Winuprasith T.; Suphantharika M.</w:t>
      </w:r>
      <w:r>
        <w:t>, 2013,</w:t>
      </w:r>
      <w:r w:rsidRPr="00512E53">
        <w:t xml:space="preserve"> Microfibrillated cellulose from mangosteen rind: Preparation, characterization, and evalu</w:t>
      </w:r>
      <w:r>
        <w:t>ation as an emulsion stabilizer,</w:t>
      </w:r>
      <w:r w:rsidRPr="00512E53">
        <w:t xml:space="preserve"> Food Hydrocolloids, 32, </w:t>
      </w:r>
      <w:r>
        <w:t>383-394.</w:t>
      </w:r>
    </w:p>
    <w:sectPr w:rsidR="00BF0F0A" w:rsidRPr="00BF0F0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68B" w:rsidRDefault="006A668B" w:rsidP="004F5E36">
      <w:r>
        <w:separator/>
      </w:r>
    </w:p>
  </w:endnote>
  <w:endnote w:type="continuationSeparator" w:id="0">
    <w:p w:rsidR="006A668B" w:rsidRDefault="006A668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68B" w:rsidRDefault="006A668B" w:rsidP="004F5E36">
      <w:r>
        <w:separator/>
      </w:r>
    </w:p>
  </w:footnote>
  <w:footnote w:type="continuationSeparator" w:id="0">
    <w:p w:rsidR="006A668B" w:rsidRDefault="006A668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B694577"/>
    <w:multiLevelType w:val="multilevel"/>
    <w:tmpl w:val="89ECC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38217E"/>
    <w:multiLevelType w:val="multilevel"/>
    <w:tmpl w:val="FB6CF86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B1E1E"/>
    <w:rsid w:val="000C7BB1"/>
    <w:rsid w:val="000D34BE"/>
    <w:rsid w:val="000E102F"/>
    <w:rsid w:val="000E36F1"/>
    <w:rsid w:val="000E3A73"/>
    <w:rsid w:val="000E414A"/>
    <w:rsid w:val="000E5A30"/>
    <w:rsid w:val="000F093C"/>
    <w:rsid w:val="000F16BD"/>
    <w:rsid w:val="000F787B"/>
    <w:rsid w:val="000F79E9"/>
    <w:rsid w:val="001143FD"/>
    <w:rsid w:val="0012091F"/>
    <w:rsid w:val="00120E75"/>
    <w:rsid w:val="00126BC2"/>
    <w:rsid w:val="001308B6"/>
    <w:rsid w:val="0013121F"/>
    <w:rsid w:val="00131FAB"/>
    <w:rsid w:val="00131FE6"/>
    <w:rsid w:val="0013263F"/>
    <w:rsid w:val="00134DE4"/>
    <w:rsid w:val="0014034D"/>
    <w:rsid w:val="00142F19"/>
    <w:rsid w:val="00150E59"/>
    <w:rsid w:val="00152DE3"/>
    <w:rsid w:val="00164CF9"/>
    <w:rsid w:val="00173477"/>
    <w:rsid w:val="0017734D"/>
    <w:rsid w:val="00183AD2"/>
    <w:rsid w:val="00184AD6"/>
    <w:rsid w:val="00194A98"/>
    <w:rsid w:val="001B0349"/>
    <w:rsid w:val="001B65C1"/>
    <w:rsid w:val="001C684B"/>
    <w:rsid w:val="001D53FC"/>
    <w:rsid w:val="001D55CA"/>
    <w:rsid w:val="001F42A5"/>
    <w:rsid w:val="001F71F6"/>
    <w:rsid w:val="001F7B9D"/>
    <w:rsid w:val="00212AFA"/>
    <w:rsid w:val="0021318C"/>
    <w:rsid w:val="002224B4"/>
    <w:rsid w:val="00226D6F"/>
    <w:rsid w:val="00233419"/>
    <w:rsid w:val="002447EF"/>
    <w:rsid w:val="00251550"/>
    <w:rsid w:val="00262D06"/>
    <w:rsid w:val="0026361C"/>
    <w:rsid w:val="00263B05"/>
    <w:rsid w:val="00263C04"/>
    <w:rsid w:val="002679F8"/>
    <w:rsid w:val="0027221A"/>
    <w:rsid w:val="00275B61"/>
    <w:rsid w:val="00282656"/>
    <w:rsid w:val="00285A40"/>
    <w:rsid w:val="0029213D"/>
    <w:rsid w:val="00295377"/>
    <w:rsid w:val="00296B83"/>
    <w:rsid w:val="002A490C"/>
    <w:rsid w:val="002B1D0C"/>
    <w:rsid w:val="002B6AFD"/>
    <w:rsid w:val="002B78CE"/>
    <w:rsid w:val="002C2FB6"/>
    <w:rsid w:val="002D26E3"/>
    <w:rsid w:val="002D3F96"/>
    <w:rsid w:val="002F6510"/>
    <w:rsid w:val="003009B7"/>
    <w:rsid w:val="00300E56"/>
    <w:rsid w:val="00300EA4"/>
    <w:rsid w:val="0030469C"/>
    <w:rsid w:val="003161D8"/>
    <w:rsid w:val="00321CA6"/>
    <w:rsid w:val="00330C8A"/>
    <w:rsid w:val="00334C09"/>
    <w:rsid w:val="003365E3"/>
    <w:rsid w:val="00336C83"/>
    <w:rsid w:val="003379B4"/>
    <w:rsid w:val="00341221"/>
    <w:rsid w:val="003723D4"/>
    <w:rsid w:val="00384C8B"/>
    <w:rsid w:val="00384CC8"/>
    <w:rsid w:val="003871FD"/>
    <w:rsid w:val="00395E3D"/>
    <w:rsid w:val="003A0798"/>
    <w:rsid w:val="003A1E30"/>
    <w:rsid w:val="003A7D1C"/>
    <w:rsid w:val="003B304B"/>
    <w:rsid w:val="003B3146"/>
    <w:rsid w:val="003B4527"/>
    <w:rsid w:val="003B60F3"/>
    <w:rsid w:val="003C00A4"/>
    <w:rsid w:val="003C6A67"/>
    <w:rsid w:val="003D3F55"/>
    <w:rsid w:val="003D5227"/>
    <w:rsid w:val="003F015E"/>
    <w:rsid w:val="00400414"/>
    <w:rsid w:val="00410011"/>
    <w:rsid w:val="0041446B"/>
    <w:rsid w:val="00441261"/>
    <w:rsid w:val="0044329C"/>
    <w:rsid w:val="00446693"/>
    <w:rsid w:val="004577FE"/>
    <w:rsid w:val="00457B9C"/>
    <w:rsid w:val="0046164A"/>
    <w:rsid w:val="004628D2"/>
    <w:rsid w:val="00462DCD"/>
    <w:rsid w:val="004648AD"/>
    <w:rsid w:val="004703A9"/>
    <w:rsid w:val="004760DE"/>
    <w:rsid w:val="004841A0"/>
    <w:rsid w:val="004A004E"/>
    <w:rsid w:val="004A2144"/>
    <w:rsid w:val="004A24CF"/>
    <w:rsid w:val="004B4723"/>
    <w:rsid w:val="004B6721"/>
    <w:rsid w:val="004C1BAD"/>
    <w:rsid w:val="004C3D1D"/>
    <w:rsid w:val="004C6AE4"/>
    <w:rsid w:val="004C7913"/>
    <w:rsid w:val="004D2CB4"/>
    <w:rsid w:val="004E4DD6"/>
    <w:rsid w:val="004F5E36"/>
    <w:rsid w:val="00500981"/>
    <w:rsid w:val="00504FBD"/>
    <w:rsid w:val="00507B47"/>
    <w:rsid w:val="00507CC9"/>
    <w:rsid w:val="005119A5"/>
    <w:rsid w:val="00512E98"/>
    <w:rsid w:val="005209B2"/>
    <w:rsid w:val="005278B7"/>
    <w:rsid w:val="00532016"/>
    <w:rsid w:val="00533689"/>
    <w:rsid w:val="005346C8"/>
    <w:rsid w:val="005439E3"/>
    <w:rsid w:val="00543E7D"/>
    <w:rsid w:val="00547A68"/>
    <w:rsid w:val="005531C9"/>
    <w:rsid w:val="00556748"/>
    <w:rsid w:val="00560B0F"/>
    <w:rsid w:val="005610D9"/>
    <w:rsid w:val="005749CA"/>
    <w:rsid w:val="00597FC3"/>
    <w:rsid w:val="005A1511"/>
    <w:rsid w:val="005B2110"/>
    <w:rsid w:val="005B61E6"/>
    <w:rsid w:val="005B7B34"/>
    <w:rsid w:val="005C62A7"/>
    <w:rsid w:val="005C62A9"/>
    <w:rsid w:val="005C77E1"/>
    <w:rsid w:val="005D437B"/>
    <w:rsid w:val="005D6A2F"/>
    <w:rsid w:val="005E1A82"/>
    <w:rsid w:val="005E4E62"/>
    <w:rsid w:val="005E4F07"/>
    <w:rsid w:val="005E794C"/>
    <w:rsid w:val="005F0A28"/>
    <w:rsid w:val="005F0E5E"/>
    <w:rsid w:val="005F3C11"/>
    <w:rsid w:val="00600535"/>
    <w:rsid w:val="006106E0"/>
    <w:rsid w:val="00610CD6"/>
    <w:rsid w:val="00611D20"/>
    <w:rsid w:val="00620DEE"/>
    <w:rsid w:val="00621F92"/>
    <w:rsid w:val="00625639"/>
    <w:rsid w:val="00631B33"/>
    <w:rsid w:val="006339C4"/>
    <w:rsid w:val="0064184D"/>
    <w:rsid w:val="006422CC"/>
    <w:rsid w:val="00660E3E"/>
    <w:rsid w:val="00662E74"/>
    <w:rsid w:val="00664A87"/>
    <w:rsid w:val="0067145F"/>
    <w:rsid w:val="00680C23"/>
    <w:rsid w:val="00684F7D"/>
    <w:rsid w:val="00693766"/>
    <w:rsid w:val="006A2BE4"/>
    <w:rsid w:val="006A3281"/>
    <w:rsid w:val="006A4DEC"/>
    <w:rsid w:val="006A668B"/>
    <w:rsid w:val="006B4888"/>
    <w:rsid w:val="006C2E45"/>
    <w:rsid w:val="006C359C"/>
    <w:rsid w:val="006C5579"/>
    <w:rsid w:val="006D3447"/>
    <w:rsid w:val="006E737D"/>
    <w:rsid w:val="0070195D"/>
    <w:rsid w:val="007111B9"/>
    <w:rsid w:val="00711CC4"/>
    <w:rsid w:val="00720A24"/>
    <w:rsid w:val="00732386"/>
    <w:rsid w:val="007447F3"/>
    <w:rsid w:val="0075499F"/>
    <w:rsid w:val="007627C9"/>
    <w:rsid w:val="007661C8"/>
    <w:rsid w:val="0077098D"/>
    <w:rsid w:val="0078280B"/>
    <w:rsid w:val="00785617"/>
    <w:rsid w:val="007931FA"/>
    <w:rsid w:val="007A7BBA"/>
    <w:rsid w:val="007B0C50"/>
    <w:rsid w:val="007B49F7"/>
    <w:rsid w:val="007C1A43"/>
    <w:rsid w:val="007D568C"/>
    <w:rsid w:val="007E1DC6"/>
    <w:rsid w:val="007E2E9D"/>
    <w:rsid w:val="00813234"/>
    <w:rsid w:val="00813288"/>
    <w:rsid w:val="0081434A"/>
    <w:rsid w:val="008168FC"/>
    <w:rsid w:val="00827F56"/>
    <w:rsid w:val="00830996"/>
    <w:rsid w:val="008345F1"/>
    <w:rsid w:val="00850859"/>
    <w:rsid w:val="008531D2"/>
    <w:rsid w:val="00857225"/>
    <w:rsid w:val="00864A59"/>
    <w:rsid w:val="00865B07"/>
    <w:rsid w:val="008667EA"/>
    <w:rsid w:val="00870992"/>
    <w:rsid w:val="00875BD5"/>
    <w:rsid w:val="0087637F"/>
    <w:rsid w:val="00882E66"/>
    <w:rsid w:val="008904B9"/>
    <w:rsid w:val="00892AD5"/>
    <w:rsid w:val="008A1512"/>
    <w:rsid w:val="008B5609"/>
    <w:rsid w:val="008D32B9"/>
    <w:rsid w:val="008D433B"/>
    <w:rsid w:val="008D777F"/>
    <w:rsid w:val="008E2A40"/>
    <w:rsid w:val="008E566E"/>
    <w:rsid w:val="008F1AA8"/>
    <w:rsid w:val="0090161A"/>
    <w:rsid w:val="00901EB6"/>
    <w:rsid w:val="00904C62"/>
    <w:rsid w:val="009203ED"/>
    <w:rsid w:val="00924DAC"/>
    <w:rsid w:val="00927058"/>
    <w:rsid w:val="009450CE"/>
    <w:rsid w:val="00947179"/>
    <w:rsid w:val="00947364"/>
    <w:rsid w:val="009475BB"/>
    <w:rsid w:val="0095164B"/>
    <w:rsid w:val="00954090"/>
    <w:rsid w:val="009573E7"/>
    <w:rsid w:val="00963E05"/>
    <w:rsid w:val="0096449B"/>
    <w:rsid w:val="00966E08"/>
    <w:rsid w:val="00967D54"/>
    <w:rsid w:val="00996483"/>
    <w:rsid w:val="00996F5A"/>
    <w:rsid w:val="009A0A3E"/>
    <w:rsid w:val="009B041A"/>
    <w:rsid w:val="009C7C86"/>
    <w:rsid w:val="009D2FF7"/>
    <w:rsid w:val="009D473B"/>
    <w:rsid w:val="009E2EA8"/>
    <w:rsid w:val="009E7884"/>
    <w:rsid w:val="009E788A"/>
    <w:rsid w:val="009E7DBF"/>
    <w:rsid w:val="009F0E08"/>
    <w:rsid w:val="009F0F4A"/>
    <w:rsid w:val="00A00BFC"/>
    <w:rsid w:val="00A1763D"/>
    <w:rsid w:val="00A17CEC"/>
    <w:rsid w:val="00A2461F"/>
    <w:rsid w:val="00A27EF0"/>
    <w:rsid w:val="00A42725"/>
    <w:rsid w:val="00A4314A"/>
    <w:rsid w:val="00A50033"/>
    <w:rsid w:val="00A50B20"/>
    <w:rsid w:val="00A51390"/>
    <w:rsid w:val="00A577D5"/>
    <w:rsid w:val="00A60D13"/>
    <w:rsid w:val="00A72745"/>
    <w:rsid w:val="00A738EB"/>
    <w:rsid w:val="00A76EFC"/>
    <w:rsid w:val="00A85B68"/>
    <w:rsid w:val="00A91010"/>
    <w:rsid w:val="00A97F29"/>
    <w:rsid w:val="00AA47ED"/>
    <w:rsid w:val="00AA702E"/>
    <w:rsid w:val="00AB0964"/>
    <w:rsid w:val="00AB5011"/>
    <w:rsid w:val="00AC139B"/>
    <w:rsid w:val="00AC63E9"/>
    <w:rsid w:val="00AC68DD"/>
    <w:rsid w:val="00AC6B1D"/>
    <w:rsid w:val="00AC7368"/>
    <w:rsid w:val="00AD16B9"/>
    <w:rsid w:val="00AE25D4"/>
    <w:rsid w:val="00AE377D"/>
    <w:rsid w:val="00AE4765"/>
    <w:rsid w:val="00AF6485"/>
    <w:rsid w:val="00B17FBD"/>
    <w:rsid w:val="00B25EE5"/>
    <w:rsid w:val="00B315A6"/>
    <w:rsid w:val="00B31813"/>
    <w:rsid w:val="00B33365"/>
    <w:rsid w:val="00B56722"/>
    <w:rsid w:val="00B57B36"/>
    <w:rsid w:val="00B8686D"/>
    <w:rsid w:val="00BA1C14"/>
    <w:rsid w:val="00BC30C9"/>
    <w:rsid w:val="00BE3E58"/>
    <w:rsid w:val="00BF0F0A"/>
    <w:rsid w:val="00C01616"/>
    <w:rsid w:val="00C0162B"/>
    <w:rsid w:val="00C336D0"/>
    <w:rsid w:val="00C345B1"/>
    <w:rsid w:val="00C40142"/>
    <w:rsid w:val="00C520C0"/>
    <w:rsid w:val="00C57182"/>
    <w:rsid w:val="00C57863"/>
    <w:rsid w:val="00C6075B"/>
    <w:rsid w:val="00C635C1"/>
    <w:rsid w:val="00C655FD"/>
    <w:rsid w:val="00C870A8"/>
    <w:rsid w:val="00C94434"/>
    <w:rsid w:val="00CA0D75"/>
    <w:rsid w:val="00CA1C95"/>
    <w:rsid w:val="00CA5A9C"/>
    <w:rsid w:val="00CB4928"/>
    <w:rsid w:val="00CD3517"/>
    <w:rsid w:val="00CD55EA"/>
    <w:rsid w:val="00CD5FE2"/>
    <w:rsid w:val="00CE42D6"/>
    <w:rsid w:val="00CE441F"/>
    <w:rsid w:val="00CE7C68"/>
    <w:rsid w:val="00CF6896"/>
    <w:rsid w:val="00D02B4C"/>
    <w:rsid w:val="00D040C4"/>
    <w:rsid w:val="00D05FA7"/>
    <w:rsid w:val="00D326DA"/>
    <w:rsid w:val="00D33001"/>
    <w:rsid w:val="00D47539"/>
    <w:rsid w:val="00D5347E"/>
    <w:rsid w:val="00D57C84"/>
    <w:rsid w:val="00D6057D"/>
    <w:rsid w:val="00D6370D"/>
    <w:rsid w:val="00D84576"/>
    <w:rsid w:val="00DA1399"/>
    <w:rsid w:val="00DA24C6"/>
    <w:rsid w:val="00DA4D7B"/>
    <w:rsid w:val="00DA6817"/>
    <w:rsid w:val="00DC23AF"/>
    <w:rsid w:val="00DC2517"/>
    <w:rsid w:val="00DE264A"/>
    <w:rsid w:val="00DF4C13"/>
    <w:rsid w:val="00DF58D1"/>
    <w:rsid w:val="00E02D18"/>
    <w:rsid w:val="00E041E7"/>
    <w:rsid w:val="00E23CA1"/>
    <w:rsid w:val="00E27A2C"/>
    <w:rsid w:val="00E409A8"/>
    <w:rsid w:val="00E50C12"/>
    <w:rsid w:val="00E63105"/>
    <w:rsid w:val="00E65B91"/>
    <w:rsid w:val="00E71E9D"/>
    <w:rsid w:val="00E7209D"/>
    <w:rsid w:val="00E73616"/>
    <w:rsid w:val="00E77223"/>
    <w:rsid w:val="00E82247"/>
    <w:rsid w:val="00E84787"/>
    <w:rsid w:val="00E8528B"/>
    <w:rsid w:val="00E85B94"/>
    <w:rsid w:val="00E8664F"/>
    <w:rsid w:val="00E95851"/>
    <w:rsid w:val="00E978D0"/>
    <w:rsid w:val="00EA4613"/>
    <w:rsid w:val="00EA7F91"/>
    <w:rsid w:val="00EB1523"/>
    <w:rsid w:val="00EC0E49"/>
    <w:rsid w:val="00ED25CD"/>
    <w:rsid w:val="00ED5F33"/>
    <w:rsid w:val="00ED7F7A"/>
    <w:rsid w:val="00EE0131"/>
    <w:rsid w:val="00EF03B6"/>
    <w:rsid w:val="00EF4455"/>
    <w:rsid w:val="00F012EA"/>
    <w:rsid w:val="00F155B2"/>
    <w:rsid w:val="00F17104"/>
    <w:rsid w:val="00F30C64"/>
    <w:rsid w:val="00F32CDB"/>
    <w:rsid w:val="00F63A70"/>
    <w:rsid w:val="00F83803"/>
    <w:rsid w:val="00F96966"/>
    <w:rsid w:val="00F97CDE"/>
    <w:rsid w:val="00FA12AB"/>
    <w:rsid w:val="00FA21D0"/>
    <w:rsid w:val="00FA5F5F"/>
    <w:rsid w:val="00FB730C"/>
    <w:rsid w:val="00FC2695"/>
    <w:rsid w:val="00FC3E03"/>
    <w:rsid w:val="00FC3FC1"/>
    <w:rsid w:val="00FF2E0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5003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5003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grafodaLista">
    <w:name w:val="List Paragraph"/>
    <w:basedOn w:val="Normal"/>
    <w:uiPriority w:val="34"/>
    <w:qFormat/>
    <w:rsid w:val="008D777F"/>
    <w:pPr>
      <w:tabs>
        <w:tab w:val="clear" w:pos="7100"/>
      </w:tabs>
      <w:spacing w:after="160" w:line="259" w:lineRule="auto"/>
      <w:ind w:left="720"/>
      <w:contextualSpacing/>
      <w:jc w:val="left"/>
    </w:pPr>
    <w:rPr>
      <w:rFonts w:asciiTheme="minorHAnsi" w:eastAsiaTheme="minorHAnsi" w:hAnsiTheme="minorHAnsi" w:cstheme="minorBid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onlinelibrary.wiley.com/book/10.1002/97811187256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5B3F-7AA3-4A07-B3CF-553714D5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3758</Words>
  <Characters>20298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2019-01-29T11:29:00Z</dcterms:created>
  <dcterms:modified xsi:type="dcterms:W3CDTF">2019-02-05T11:29:00Z</dcterms:modified>
</cp:coreProperties>
</file>