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F34506" w:rsidRPr="00B57B36" w14:paraId="1A345DB9" w14:textId="77777777" w:rsidTr="00986237">
        <w:trPr>
          <w:trHeight w:val="852"/>
          <w:jc w:val="center"/>
        </w:trPr>
        <w:tc>
          <w:tcPr>
            <w:tcW w:w="6946" w:type="dxa"/>
            <w:vMerge w:val="restart"/>
            <w:tcBorders>
              <w:right w:val="single" w:sz="4" w:space="0" w:color="auto"/>
            </w:tcBorders>
          </w:tcPr>
          <w:p w14:paraId="44B6C977" w14:textId="77777777" w:rsidR="00F34506" w:rsidRPr="00B57B36" w:rsidRDefault="00F34506" w:rsidP="00986237">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92E82F9" wp14:editId="58633B89">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335BB33F" w14:textId="77777777" w:rsidR="00F34506" w:rsidRPr="00B57B36" w:rsidRDefault="00F34506" w:rsidP="00986237">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73, 2019</w:t>
            </w:r>
          </w:p>
        </w:tc>
        <w:tc>
          <w:tcPr>
            <w:tcW w:w="1843" w:type="dxa"/>
            <w:tcBorders>
              <w:left w:val="single" w:sz="4" w:space="0" w:color="auto"/>
              <w:bottom w:val="nil"/>
              <w:right w:val="single" w:sz="4" w:space="0" w:color="auto"/>
            </w:tcBorders>
          </w:tcPr>
          <w:p w14:paraId="5FF849A2" w14:textId="77777777" w:rsidR="00F34506" w:rsidRPr="00B57B36" w:rsidRDefault="00F34506" w:rsidP="00986237">
            <w:pPr>
              <w:spacing w:line="140" w:lineRule="atLeast"/>
              <w:jc w:val="right"/>
              <w:rPr>
                <w:rFonts w:cs="Arial"/>
                <w:sz w:val="14"/>
                <w:szCs w:val="14"/>
              </w:rPr>
            </w:pPr>
            <w:r w:rsidRPr="00B57B36">
              <w:rPr>
                <w:rFonts w:cs="Arial"/>
                <w:sz w:val="14"/>
                <w:szCs w:val="14"/>
              </w:rPr>
              <w:t>A publication of</w:t>
            </w:r>
          </w:p>
          <w:p w14:paraId="532DAC35" w14:textId="77777777" w:rsidR="00F34506" w:rsidRPr="00B57B36" w:rsidRDefault="00F34506" w:rsidP="00986237">
            <w:pPr>
              <w:jc w:val="right"/>
            </w:pPr>
            <w:r w:rsidRPr="00B57B36">
              <w:rPr>
                <w:noProof/>
                <w:lang w:val="it-IT" w:eastAsia="it-IT"/>
              </w:rPr>
              <w:drawing>
                <wp:inline distT="0" distB="0" distL="0" distR="0" wp14:anchorId="71EFCFA2" wp14:editId="17FD6407">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F34506" w:rsidRPr="00B57B36" w14:paraId="56EA53F8" w14:textId="77777777" w:rsidTr="00986237">
        <w:trPr>
          <w:trHeight w:val="567"/>
          <w:jc w:val="center"/>
        </w:trPr>
        <w:tc>
          <w:tcPr>
            <w:tcW w:w="6946" w:type="dxa"/>
            <w:vMerge/>
            <w:tcBorders>
              <w:right w:val="single" w:sz="4" w:space="0" w:color="auto"/>
            </w:tcBorders>
          </w:tcPr>
          <w:p w14:paraId="65FC4E55" w14:textId="77777777" w:rsidR="00F34506" w:rsidRPr="00B57B36" w:rsidRDefault="00F34506" w:rsidP="00986237">
            <w:pPr>
              <w:tabs>
                <w:tab w:val="left" w:pos="-108"/>
              </w:tabs>
            </w:pPr>
          </w:p>
        </w:tc>
        <w:tc>
          <w:tcPr>
            <w:tcW w:w="1843" w:type="dxa"/>
            <w:tcBorders>
              <w:left w:val="single" w:sz="4" w:space="0" w:color="auto"/>
              <w:bottom w:val="nil"/>
              <w:right w:val="single" w:sz="4" w:space="0" w:color="auto"/>
            </w:tcBorders>
          </w:tcPr>
          <w:p w14:paraId="1B5601B3" w14:textId="77777777" w:rsidR="00F34506" w:rsidRPr="00B57B36" w:rsidRDefault="00F34506" w:rsidP="00986237">
            <w:pPr>
              <w:spacing w:line="140" w:lineRule="atLeast"/>
              <w:jc w:val="right"/>
              <w:rPr>
                <w:rFonts w:cs="Arial"/>
                <w:sz w:val="14"/>
                <w:szCs w:val="14"/>
              </w:rPr>
            </w:pPr>
            <w:r w:rsidRPr="00B57B36">
              <w:rPr>
                <w:rFonts w:cs="Arial"/>
                <w:sz w:val="14"/>
                <w:szCs w:val="14"/>
              </w:rPr>
              <w:t>The Italian Association</w:t>
            </w:r>
          </w:p>
          <w:p w14:paraId="4D8BFC4E" w14:textId="77777777" w:rsidR="00F34506" w:rsidRPr="00B57B36" w:rsidRDefault="00F34506" w:rsidP="00986237">
            <w:pPr>
              <w:spacing w:line="140" w:lineRule="atLeast"/>
              <w:jc w:val="right"/>
              <w:rPr>
                <w:rFonts w:cs="Arial"/>
                <w:sz w:val="14"/>
                <w:szCs w:val="14"/>
              </w:rPr>
            </w:pPr>
            <w:r w:rsidRPr="00B57B36">
              <w:rPr>
                <w:rFonts w:cs="Arial"/>
                <w:sz w:val="14"/>
                <w:szCs w:val="14"/>
              </w:rPr>
              <w:t>of Chemical Engineering</w:t>
            </w:r>
          </w:p>
          <w:p w14:paraId="0E5B12BB" w14:textId="77777777" w:rsidR="00F34506" w:rsidRPr="00B57B36" w:rsidRDefault="00F34506" w:rsidP="00986237">
            <w:pPr>
              <w:spacing w:line="140" w:lineRule="atLeast"/>
              <w:jc w:val="right"/>
              <w:rPr>
                <w:rFonts w:cs="Arial"/>
                <w:sz w:val="14"/>
                <w:szCs w:val="14"/>
              </w:rPr>
            </w:pPr>
            <w:r w:rsidRPr="00B57B36">
              <w:rPr>
                <w:rFonts w:cs="Arial"/>
                <w:sz w:val="14"/>
                <w:szCs w:val="14"/>
              </w:rPr>
              <w:t xml:space="preserve">Online at </w:t>
            </w:r>
            <w:r w:rsidRPr="00963E05">
              <w:rPr>
                <w:rFonts w:cs="Arial"/>
                <w:sz w:val="14"/>
                <w:szCs w:val="14"/>
              </w:rPr>
              <w:t>www.aidic.it/cet</w:t>
            </w:r>
          </w:p>
        </w:tc>
      </w:tr>
      <w:tr w:rsidR="00F34506" w:rsidRPr="00E7235B" w14:paraId="61D6D176" w14:textId="77777777" w:rsidTr="00986237">
        <w:trPr>
          <w:trHeight w:val="68"/>
          <w:jc w:val="center"/>
        </w:trPr>
        <w:tc>
          <w:tcPr>
            <w:tcW w:w="8789" w:type="dxa"/>
            <w:gridSpan w:val="2"/>
          </w:tcPr>
          <w:p w14:paraId="76A4283B" w14:textId="77777777" w:rsidR="00F34506" w:rsidRPr="006F0401" w:rsidRDefault="00F34506" w:rsidP="00986237">
            <w:pPr>
              <w:ind w:left="-107"/>
              <w:rPr>
                <w:lang w:val="it-IT"/>
              </w:rPr>
            </w:pPr>
            <w:r w:rsidRPr="006F0401">
              <w:rPr>
                <w:rFonts w:ascii="Tahoma" w:hAnsi="Tahoma" w:cs="Tahoma"/>
                <w:iCs/>
                <w:color w:val="333333"/>
                <w:sz w:val="14"/>
                <w:szCs w:val="14"/>
                <w:lang w:val="it-IT" w:eastAsia="it-IT"/>
              </w:rPr>
              <w:t xml:space="preserve">Guest </w:t>
            </w:r>
            <w:proofErr w:type="spellStart"/>
            <w:r w:rsidRPr="006F0401">
              <w:rPr>
                <w:rFonts w:ascii="Tahoma" w:hAnsi="Tahoma" w:cs="Tahoma"/>
                <w:iCs/>
                <w:color w:val="333333"/>
                <w:sz w:val="14"/>
                <w:szCs w:val="14"/>
                <w:lang w:val="it-IT" w:eastAsia="it-IT"/>
              </w:rPr>
              <w:t>Editors</w:t>
            </w:r>
            <w:proofErr w:type="spellEnd"/>
            <w:r w:rsidRPr="006F0401">
              <w:rPr>
                <w:rFonts w:ascii="Tahoma" w:hAnsi="Tahoma" w:cs="Tahoma"/>
                <w:iCs/>
                <w:color w:val="333333"/>
                <w:sz w:val="14"/>
                <w:szCs w:val="14"/>
                <w:lang w:val="it-IT" w:eastAsia="it-IT"/>
              </w:rPr>
              <w:t xml:space="preserve">: </w:t>
            </w:r>
            <w:r w:rsidRPr="006F0401">
              <w:rPr>
                <w:rFonts w:ascii="Tahoma" w:hAnsi="Tahoma" w:cs="Tahoma"/>
                <w:color w:val="0D0D0D" w:themeColor="text1" w:themeTint="F2"/>
                <w:sz w:val="14"/>
                <w:szCs w:val="14"/>
                <w:lang w:val="it-IT"/>
              </w:rPr>
              <w:t xml:space="preserve">Andrea D’Anna, </w:t>
            </w:r>
            <w:r w:rsidRPr="006F0401">
              <w:rPr>
                <w:rFonts w:ascii="Tahoma" w:hAnsi="Tahoma" w:cs="Tahoma"/>
                <w:bCs/>
                <w:color w:val="0D0D0D" w:themeColor="text1" w:themeTint="F2"/>
                <w:sz w:val="14"/>
                <w:szCs w:val="14"/>
                <w:lang w:val="it-IT"/>
              </w:rPr>
              <w:t xml:space="preserve">Paolo </w:t>
            </w:r>
            <w:proofErr w:type="spellStart"/>
            <w:r w:rsidRPr="006F0401">
              <w:rPr>
                <w:rFonts w:ascii="Tahoma" w:hAnsi="Tahoma" w:cs="Tahoma"/>
                <w:bCs/>
                <w:color w:val="0D0D0D" w:themeColor="text1" w:themeTint="F2"/>
                <w:sz w:val="14"/>
                <w:szCs w:val="14"/>
                <w:lang w:val="it-IT"/>
              </w:rPr>
              <w:t>Ciambelli</w:t>
            </w:r>
            <w:proofErr w:type="spellEnd"/>
            <w:r w:rsidRPr="006F0401">
              <w:rPr>
                <w:rFonts w:ascii="Tahoma" w:hAnsi="Tahoma" w:cs="Tahoma"/>
                <w:bCs/>
                <w:color w:val="0D0D0D" w:themeColor="text1" w:themeTint="F2"/>
                <w:sz w:val="14"/>
                <w:szCs w:val="14"/>
                <w:lang w:val="it-IT"/>
              </w:rPr>
              <w:t xml:space="preserve">, Carmelo </w:t>
            </w:r>
            <w:proofErr w:type="spellStart"/>
            <w:r w:rsidRPr="006F0401">
              <w:rPr>
                <w:rFonts w:ascii="Tahoma" w:hAnsi="Tahoma" w:cs="Tahoma"/>
                <w:bCs/>
                <w:color w:val="0D0D0D" w:themeColor="text1" w:themeTint="F2"/>
                <w:sz w:val="14"/>
                <w:szCs w:val="14"/>
                <w:lang w:val="it-IT"/>
              </w:rPr>
              <w:t>Sunseri</w:t>
            </w:r>
            <w:proofErr w:type="spellEnd"/>
          </w:p>
          <w:p w14:paraId="12A86928" w14:textId="77777777" w:rsidR="00F34506" w:rsidRPr="00A92BDD" w:rsidRDefault="00F34506" w:rsidP="00986237">
            <w:pPr>
              <w:tabs>
                <w:tab w:val="left" w:pos="-108"/>
              </w:tabs>
              <w:spacing w:line="140" w:lineRule="atLeast"/>
              <w:ind w:left="-107"/>
              <w:jc w:val="left"/>
              <w:rPr>
                <w:lang w:val="en-US"/>
              </w:rPr>
            </w:pPr>
            <w:r w:rsidRPr="00A92BDD">
              <w:rPr>
                <w:rFonts w:ascii="Tahoma" w:hAnsi="Tahoma" w:cs="Tahoma"/>
                <w:iCs/>
                <w:color w:val="333333"/>
                <w:sz w:val="14"/>
                <w:szCs w:val="14"/>
                <w:lang w:val="en-US" w:eastAsia="it-IT"/>
              </w:rPr>
              <w:t xml:space="preserve">Copyright © 2019, AIDIC </w:t>
            </w:r>
            <w:proofErr w:type="spellStart"/>
            <w:r w:rsidRPr="00A92BDD">
              <w:rPr>
                <w:rFonts w:ascii="Tahoma" w:hAnsi="Tahoma" w:cs="Tahoma"/>
                <w:iCs/>
                <w:color w:val="333333"/>
                <w:sz w:val="14"/>
                <w:szCs w:val="14"/>
                <w:lang w:val="en-US" w:eastAsia="it-IT"/>
              </w:rPr>
              <w:t>Servizi</w:t>
            </w:r>
            <w:proofErr w:type="spellEnd"/>
            <w:r w:rsidRPr="00A92BDD">
              <w:rPr>
                <w:rFonts w:ascii="Tahoma" w:hAnsi="Tahoma" w:cs="Tahoma"/>
                <w:iCs/>
                <w:color w:val="333333"/>
                <w:sz w:val="14"/>
                <w:szCs w:val="14"/>
                <w:lang w:val="en-US" w:eastAsia="it-IT"/>
              </w:rPr>
              <w:t xml:space="preserve"> </w:t>
            </w:r>
            <w:proofErr w:type="spellStart"/>
            <w:r w:rsidRPr="00A92BDD">
              <w:rPr>
                <w:rFonts w:ascii="Tahoma" w:hAnsi="Tahoma" w:cs="Tahoma"/>
                <w:iCs/>
                <w:color w:val="333333"/>
                <w:sz w:val="14"/>
                <w:szCs w:val="14"/>
                <w:lang w:val="en-US" w:eastAsia="it-IT"/>
              </w:rPr>
              <w:t>S.r.l</w:t>
            </w:r>
            <w:proofErr w:type="spellEnd"/>
            <w:r w:rsidRPr="00A92BDD">
              <w:rPr>
                <w:rFonts w:ascii="Tahoma" w:hAnsi="Tahoma" w:cs="Tahoma"/>
                <w:iCs/>
                <w:color w:val="333333"/>
                <w:sz w:val="14"/>
                <w:szCs w:val="14"/>
                <w:lang w:val="en-US" w:eastAsia="it-IT"/>
              </w:rPr>
              <w:t>.</w:t>
            </w:r>
            <w:r w:rsidRPr="00A92BDD">
              <w:rPr>
                <w:rFonts w:ascii="Tahoma" w:hAnsi="Tahoma" w:cs="Tahoma"/>
                <w:iCs/>
                <w:color w:val="333333"/>
                <w:sz w:val="14"/>
                <w:szCs w:val="14"/>
                <w:lang w:val="en-US" w:eastAsia="it-IT"/>
              </w:rPr>
              <w:br/>
            </w:r>
            <w:r w:rsidRPr="00A92BDD">
              <w:rPr>
                <w:rFonts w:ascii="Tahoma" w:hAnsi="Tahoma" w:cs="Tahoma"/>
                <w:b/>
                <w:iCs/>
                <w:color w:val="000000"/>
                <w:sz w:val="14"/>
                <w:szCs w:val="14"/>
                <w:lang w:val="en-US" w:eastAsia="it-IT"/>
              </w:rPr>
              <w:t>ISBN</w:t>
            </w:r>
            <w:r w:rsidRPr="00A92BDD">
              <w:rPr>
                <w:rFonts w:ascii="Tahoma" w:hAnsi="Tahoma" w:cs="Tahoma"/>
                <w:iCs/>
                <w:color w:val="000000"/>
                <w:sz w:val="14"/>
                <w:szCs w:val="14"/>
                <w:lang w:val="en-US" w:eastAsia="it-IT"/>
              </w:rPr>
              <w:t xml:space="preserve"> </w:t>
            </w:r>
            <w:r w:rsidRPr="00A92BDD">
              <w:rPr>
                <w:rFonts w:ascii="Tahoma" w:hAnsi="Tahoma" w:cs="Tahoma"/>
                <w:sz w:val="14"/>
                <w:szCs w:val="14"/>
                <w:lang w:val="en-US"/>
              </w:rPr>
              <w:t>978-88-95608-7</w:t>
            </w:r>
            <w:r>
              <w:rPr>
                <w:rFonts w:ascii="Tahoma" w:hAnsi="Tahoma" w:cs="Tahoma"/>
                <w:sz w:val="14"/>
                <w:szCs w:val="14"/>
                <w:lang w:val="en-US"/>
              </w:rPr>
              <w:t>0</w:t>
            </w:r>
            <w:r w:rsidRPr="00A92BDD">
              <w:rPr>
                <w:rFonts w:ascii="Tahoma" w:hAnsi="Tahoma" w:cs="Tahoma"/>
                <w:sz w:val="14"/>
                <w:szCs w:val="14"/>
                <w:lang w:val="en-US"/>
              </w:rPr>
              <w:t>-9</w:t>
            </w:r>
            <w:r w:rsidRPr="00A92BDD">
              <w:rPr>
                <w:rFonts w:ascii="Tahoma" w:hAnsi="Tahoma" w:cs="Tahoma"/>
                <w:iCs/>
                <w:color w:val="333333"/>
                <w:sz w:val="14"/>
                <w:szCs w:val="14"/>
                <w:lang w:val="en-US" w:eastAsia="it-IT"/>
              </w:rPr>
              <w:t xml:space="preserve">; </w:t>
            </w:r>
            <w:r w:rsidRPr="00A92BDD">
              <w:rPr>
                <w:rFonts w:ascii="Tahoma" w:hAnsi="Tahoma" w:cs="Tahoma"/>
                <w:b/>
                <w:iCs/>
                <w:color w:val="333333"/>
                <w:sz w:val="14"/>
                <w:szCs w:val="14"/>
                <w:lang w:val="en-US" w:eastAsia="it-IT"/>
              </w:rPr>
              <w:t>ISSN</w:t>
            </w:r>
            <w:r w:rsidRPr="00A92BDD">
              <w:rPr>
                <w:rFonts w:ascii="Tahoma" w:hAnsi="Tahoma" w:cs="Tahoma"/>
                <w:iCs/>
                <w:color w:val="333333"/>
                <w:sz w:val="14"/>
                <w:szCs w:val="14"/>
                <w:lang w:val="en-US" w:eastAsia="it-IT"/>
              </w:rPr>
              <w:t xml:space="preserve"> 2283-9216</w:t>
            </w:r>
          </w:p>
        </w:tc>
      </w:tr>
    </w:tbl>
    <w:p w14:paraId="10DAA130" w14:textId="77777777" w:rsidR="000A03B2" w:rsidRPr="00B57B36" w:rsidRDefault="000A03B2" w:rsidP="004B619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57B0740" w:rsidR="00E978D0" w:rsidRPr="004B6192" w:rsidRDefault="00E45A9A" w:rsidP="004B6192">
      <w:pPr>
        <w:pStyle w:val="CETTitle"/>
      </w:pPr>
      <w:bookmarkStart w:id="0" w:name="_Hlk526435807"/>
      <w:r w:rsidRPr="004B6192">
        <w:lastRenderedPageBreak/>
        <w:t>Decolourization of Anionic Dye by Activated Carbon-Supported Nano-Zero Valent Iron (</w:t>
      </w:r>
      <w:proofErr w:type="spellStart"/>
      <w:r w:rsidRPr="004B6192">
        <w:t>nZVI</w:t>
      </w:r>
      <w:proofErr w:type="spellEnd"/>
      <w:r w:rsidRPr="004B6192">
        <w:t>)</w:t>
      </w:r>
    </w:p>
    <w:p w14:paraId="2B3CA35C" w14:textId="182F7B4E" w:rsidR="00E978D0" w:rsidRPr="00B57B36" w:rsidRDefault="00E45A9A" w:rsidP="004B6192">
      <w:pPr>
        <w:pStyle w:val="CETAuthors"/>
      </w:pPr>
      <w:r w:rsidRPr="00E45A9A">
        <w:t>Nur Aishah Zarime, Wan Zuhari Wan Yaacob</w:t>
      </w:r>
      <w:r w:rsidR="004B6192">
        <w:t>,</w:t>
      </w:r>
      <w:r w:rsidRPr="00E45A9A">
        <w:t xml:space="preserve"> Habibah Jamil</w:t>
      </w:r>
    </w:p>
    <w:p w14:paraId="443CCB52" w14:textId="305EA4EE" w:rsidR="00E45A9A" w:rsidRDefault="00E45A9A" w:rsidP="004B6192">
      <w:pPr>
        <w:pStyle w:val="CETemail"/>
        <w:spacing w:after="0" w:line="264" w:lineRule="auto"/>
      </w:pPr>
      <w:r>
        <w:t>Geology Programme, Faculty of Science and Technology, Universiti Kebangsaan Malaysia, Malaysia</w:t>
      </w:r>
    </w:p>
    <w:p w14:paraId="0127A28D" w14:textId="2041046E" w:rsidR="00E978D0" w:rsidRDefault="00E45A9A" w:rsidP="004B6192">
      <w:pPr>
        <w:pStyle w:val="CETemail"/>
        <w:spacing w:after="0" w:line="264" w:lineRule="auto"/>
      </w:pPr>
      <w:r>
        <w:t xml:space="preserve">aishahzarime@gmail.com, drwzwy@gmail.com and </w:t>
      </w:r>
      <w:hyperlink r:id="rId11" w:history="1">
        <w:r w:rsidRPr="00E45A9A">
          <w:rPr>
            <w:rStyle w:val="Collegamentoipertestuale"/>
            <w:color w:val="auto"/>
            <w:u w:val="none"/>
          </w:rPr>
          <w:t>bib@ukm.edu.my</w:t>
        </w:r>
      </w:hyperlink>
    </w:p>
    <w:p w14:paraId="27FFD115" w14:textId="1C04DBE9" w:rsidR="00E45A9A" w:rsidRDefault="00E45A9A" w:rsidP="004B6192">
      <w:pPr>
        <w:pStyle w:val="CETBodytext"/>
        <w:rPr>
          <w:lang w:val="en-GB"/>
        </w:rPr>
      </w:pPr>
    </w:p>
    <w:p w14:paraId="1D5466F7" w14:textId="77777777" w:rsidR="001A3325" w:rsidRPr="004B6192" w:rsidRDefault="001A3325" w:rsidP="004B6192">
      <w:pPr>
        <w:pStyle w:val="CETBodytext"/>
      </w:pPr>
      <w:bookmarkStart w:id="1" w:name="_Hlk526255051"/>
      <w:bookmarkStart w:id="2" w:name="_Hlk526254911"/>
      <w:bookmarkEnd w:id="0"/>
      <w:r w:rsidRPr="004B6192">
        <w:t xml:space="preserve">This study investigates the capability of activated carbon-supported </w:t>
      </w:r>
      <w:proofErr w:type="spellStart"/>
      <w:r w:rsidRPr="004B6192">
        <w:t>nano</w:t>
      </w:r>
      <w:proofErr w:type="spellEnd"/>
      <w:r w:rsidRPr="004B6192">
        <w:t>-zero valent iron (AC-</w:t>
      </w:r>
      <w:proofErr w:type="spellStart"/>
      <w:r w:rsidRPr="004B6192">
        <w:t>nZVI</w:t>
      </w:r>
      <w:proofErr w:type="spellEnd"/>
      <w:r w:rsidRPr="004B6192">
        <w:t xml:space="preserve">) to remediate the anionic dye (Acid Orange II). </w:t>
      </w:r>
      <w:bookmarkEnd w:id="1"/>
      <w:r w:rsidRPr="004B6192">
        <w:t>The supported nanoparticles (AC-</w:t>
      </w:r>
      <w:proofErr w:type="spellStart"/>
      <w:r w:rsidRPr="004B6192">
        <w:t>nZVI</w:t>
      </w:r>
      <w:proofErr w:type="spellEnd"/>
      <w:r w:rsidRPr="004B6192">
        <w:t xml:space="preserve">) were synthesized by using chemical reduction method of Ferric Chloride </w:t>
      </w:r>
      <w:proofErr w:type="spellStart"/>
      <w:r w:rsidRPr="004B6192">
        <w:t>Tetrahydrate</w:t>
      </w:r>
      <w:proofErr w:type="spellEnd"/>
      <w:r w:rsidRPr="004B6192">
        <w:t xml:space="preserve"> and Sodium Borohydride, NaBH4 solutions. The absorbents of </w:t>
      </w:r>
      <w:proofErr w:type="spellStart"/>
      <w:r w:rsidRPr="004B6192">
        <w:t>nZVI</w:t>
      </w:r>
      <w:proofErr w:type="spellEnd"/>
      <w:r w:rsidRPr="004B6192">
        <w:t xml:space="preserve"> and AC-</w:t>
      </w:r>
      <w:proofErr w:type="spellStart"/>
      <w:r w:rsidRPr="004B6192">
        <w:t>nZVI</w:t>
      </w:r>
      <w:proofErr w:type="spellEnd"/>
      <w:r w:rsidRPr="004B6192">
        <w:t xml:space="preserve"> were characterized by using </w:t>
      </w:r>
      <w:proofErr w:type="spellStart"/>
      <w:r w:rsidRPr="004B6192">
        <w:t>Brunnaer</w:t>
      </w:r>
      <w:proofErr w:type="spellEnd"/>
      <w:r w:rsidRPr="004B6192">
        <w:t>–Emmett–Teller (BET) surface area, Field Emission Scanning Electron Microscopy (FESEM), X-Ray Diffraction (XRD) and X-ray Photoelectron Spectroscopy with Auger Electron Spectroscopy (XPS-AES). Batch Tests were also conducted to delineate the effectiveness of adsorbent materials in removing Acid Orange II. Batch tests involved of five effects including dose, initial concentration, pH, kinetic and temperature. In initial concentration effect, AC-</w:t>
      </w:r>
      <w:proofErr w:type="spellStart"/>
      <w:r w:rsidRPr="004B6192">
        <w:t>nZVI</w:t>
      </w:r>
      <w:proofErr w:type="spellEnd"/>
      <w:r w:rsidRPr="004B6192">
        <w:t xml:space="preserve"> exhibits larger adsorption capacity (4.41 mg/g) compared to activated carbon (1.82 mg/g) due to the dispersion of </w:t>
      </w:r>
      <w:proofErr w:type="spellStart"/>
      <w:r w:rsidRPr="004B6192">
        <w:t>nZVI</w:t>
      </w:r>
      <w:proofErr w:type="spellEnd"/>
      <w:r w:rsidRPr="004B6192">
        <w:t xml:space="preserve"> particles on activated carbon particles, consequently providing more sites for adsorption. The results also revealed that the supported </w:t>
      </w:r>
      <w:proofErr w:type="spellStart"/>
      <w:r w:rsidRPr="004B6192">
        <w:t>nZVI</w:t>
      </w:r>
      <w:proofErr w:type="spellEnd"/>
      <w:r w:rsidRPr="004B6192">
        <w:t xml:space="preserve"> can be an effective absorbent to remove anionic dye wastewater.</w:t>
      </w:r>
    </w:p>
    <w:p w14:paraId="694EB735" w14:textId="77777777" w:rsidR="006135B9" w:rsidRPr="004B6192" w:rsidRDefault="006135B9" w:rsidP="004B6192">
      <w:pPr>
        <w:pStyle w:val="CETHeading1"/>
        <w:numPr>
          <w:ilvl w:val="1"/>
          <w:numId w:val="22"/>
        </w:numPr>
      </w:pPr>
      <w:bookmarkStart w:id="3" w:name="_Hlk526435745"/>
      <w:bookmarkStart w:id="4" w:name="_Hlk529807136"/>
      <w:r w:rsidRPr="004B6192">
        <w:t>Introduction</w:t>
      </w:r>
    </w:p>
    <w:p w14:paraId="29419524" w14:textId="08C93697" w:rsidR="001A3325" w:rsidRDefault="001A3325" w:rsidP="004B6192">
      <w:pPr>
        <w:rPr>
          <w:lang w:val="en-US"/>
        </w:rPr>
      </w:pPr>
      <w:r>
        <w:rPr>
          <w:lang w:val="en-US"/>
        </w:rPr>
        <w:t>N</w:t>
      </w:r>
      <w:r w:rsidRPr="00323BCD">
        <w:rPr>
          <w:lang w:val="en-US"/>
        </w:rPr>
        <w:t>ano zero-valent iron (</w:t>
      </w:r>
      <w:proofErr w:type="spellStart"/>
      <w:r w:rsidRPr="00323BCD">
        <w:rPr>
          <w:lang w:val="en-US"/>
        </w:rPr>
        <w:t>nZVI</w:t>
      </w:r>
      <w:proofErr w:type="spellEnd"/>
      <w:r w:rsidRPr="00323BCD">
        <w:rPr>
          <w:lang w:val="en-US"/>
        </w:rPr>
        <w:t xml:space="preserve">) has been </w:t>
      </w:r>
      <w:r>
        <w:rPr>
          <w:lang w:val="en-US"/>
        </w:rPr>
        <w:t>commonly</w:t>
      </w:r>
      <w:r w:rsidRPr="00323BCD">
        <w:rPr>
          <w:lang w:val="en-US"/>
        </w:rPr>
        <w:t xml:space="preserve"> used in groundwater treatment and site remediation due to its higher reactivity </w:t>
      </w:r>
      <w:r>
        <w:rPr>
          <w:lang w:val="en-US"/>
        </w:rPr>
        <w:fldChar w:fldCharType="begin" w:fldLock="1"/>
      </w:r>
      <w:r w:rsidR="008272A8">
        <w:rPr>
          <w:lang w:val="en-US"/>
        </w:rPr>
        <w:instrText>ADDIN CSL_CITATION {"citationItems":[{"id":"ITEM-1","itemData":{"DOI":"10.1007/978-3-319-05041-6_15","ISBN":"9783319050416","ISSN":"13880764","author":[{"dropping-particle":"","family":"Chen","given":"Zheng Xian","non-dropping-particle":"","parse-names":false,"suffix":""},{"dropping-particle":"","family":"Cheng","given":"Ying","non-dropping-particle":"","parse-names":false,"suffix":""},{"dropping-particle":"","family":"Chen","given":"Zuliang","non-dropping-particle":"","parse-names":false,"suffix":""},{"dropping-particle":"","family":"Megharaj","given":"Mallavarapu","non-dropping-particle":"","parse-names":false,"suffix":""},{"dropping-particle":"","family":"Naidu","given":"Ravendra","non-dropping-particle":"","parse-names":false,"suffix":""}],"container-title":"J Nanopart Res","id":"ITEM-1","issued":{"date-parts":[["2012"]]},"page":"189-196","title":"Kaolin-supported nanoscale zero-valent iron for removing cationic dye-crystal violet in aqueous solution","type":"article-journal"},"uris":["http://www.mendeley.com/documents/?uuid=406459f9-a479-4e3e-a0f5-2ce4e960072b"]},{"id":"ITEM-2","itemData":{"DOI":"10.3303/CET1760030","ISBN":"978-88-95608-50-1","ISSN":"22839216","abstract":"In various Countries, Cr(VI) still represents one of the groundwater pollutant of major concern, mainly due to its high toxicity, furthermore enhanced by the synergic effect in presence of other contaminants. As widely reported in the recent literature, nanoscale zero valent iron particles (nZVI-p) have been proved to be particularly effective in the removal of a wide range of contaminants from polluted waters. In this work, experimental tests of hexavalent chromium reduction in polluted groundwater in the presence of nitrate by nZVI-p are presented and discussed. The effect of different nitrate amounts on Cr(VI) reduction mechanism was investigated and the obtained results were successfully interpreted by the proposed kinetic model. nZVI-p produced by the classical borohydride reduction method were added in to synthetic solutions with the initial concentration of Cr(VI) set at 93, 62 and 31 mg L-1 and different nitrate contents in the range 10-100 mg L-1. According to the experimental results, nitrate showed an adverse effect on Cr(VI) reduction, depending on the nZVI/Cr(VI) and Cr(VI)/NO3 - ratio. The proposed kinetic model soundly grasps the competitive nature of the Cr(VI) reduction process when other chemical species are present in the treated solution. © 2017, AIDIC Servizi S.r.l.","author":[{"dropping-particle":"","family":"Vilardi","given":"G","non-dropping-particle":"","parse-names":false,"suffix":""},{"dropping-particle":"","family":"Palma","given":"L","non-dropping-particle":"Di","parse-names":false,"suffix":""},{"dropping-particle":"","family":"Verdone","given":"N","non-dropping-particle":"","parse-names":false,"suffix":""}],"container-title":"Chemical Engineering Transactions","id":"ITEM-2","issue":"Cmc","issued":{"date-parts":[["2017"]]},"page":"175-180","title":"Competitive reaction modelling in aqueous systems: The case of contemporary reduction of dichromates and nitrates by nZVI","type":"article-journal","volume":"60"},"uris":["http://www.mendeley.com/documents/?uuid=938c657f-f5f2-4927-9d8f-6e50de546d69"]}],"mendeley":{"formattedCitation":"(Chen et al. 2012)","manualFormatting":"(Chen et al. 2012; Vilardi et al. 2017; Bavasso et al. 2018)"},"properties":{"noteIndex":0},"schema":"https://github.com/citation-style-language/schema/raw/master/csl-citation.json"}</w:instrText>
      </w:r>
      <w:r>
        <w:rPr>
          <w:lang w:val="en-US"/>
        </w:rPr>
        <w:fldChar w:fldCharType="separate"/>
      </w:r>
      <w:r w:rsidRPr="0069283B">
        <w:rPr>
          <w:noProof/>
          <w:lang w:val="en-US"/>
        </w:rPr>
        <w:t>(Chen et al. 2012</w:t>
      </w:r>
      <w:r w:rsidR="008272A8">
        <w:rPr>
          <w:noProof/>
          <w:lang w:val="en-US"/>
        </w:rPr>
        <w:t>; Vilardi et al. 2017; Bavasso et al. 2018</w:t>
      </w:r>
      <w:r w:rsidRPr="0069283B">
        <w:rPr>
          <w:noProof/>
          <w:lang w:val="en-US"/>
        </w:rPr>
        <w:t>)</w:t>
      </w:r>
      <w:r>
        <w:rPr>
          <w:lang w:val="en-US"/>
        </w:rPr>
        <w:fldChar w:fldCharType="end"/>
      </w:r>
      <w:r>
        <w:rPr>
          <w:lang w:val="en-US"/>
        </w:rPr>
        <w:t xml:space="preserve">. This </w:t>
      </w:r>
      <w:proofErr w:type="spellStart"/>
      <w:r>
        <w:rPr>
          <w:lang w:val="en-US"/>
        </w:rPr>
        <w:t>nZVI</w:t>
      </w:r>
      <w:proofErr w:type="spellEnd"/>
      <w:r>
        <w:rPr>
          <w:lang w:val="en-US"/>
        </w:rPr>
        <w:t xml:space="preserve"> use the concept of </w:t>
      </w:r>
      <w:r w:rsidRPr="00F27DA7">
        <w:rPr>
          <w:lang w:val="en-US"/>
        </w:rPr>
        <w:t>adsorption process</w:t>
      </w:r>
      <w:r>
        <w:rPr>
          <w:lang w:val="en-US"/>
        </w:rPr>
        <w:t xml:space="preserve">, which is </w:t>
      </w:r>
      <w:r w:rsidRPr="00F27DA7">
        <w:rPr>
          <w:lang w:val="en-US"/>
        </w:rPr>
        <w:t xml:space="preserve">one of the most efficient methods </w:t>
      </w:r>
      <w:r>
        <w:rPr>
          <w:lang w:val="en-US"/>
        </w:rPr>
        <w:t xml:space="preserve">in removing </w:t>
      </w:r>
      <w:r w:rsidRPr="00F27DA7">
        <w:rPr>
          <w:lang w:val="en-US"/>
        </w:rPr>
        <w:t>pollutants from</w:t>
      </w:r>
      <w:r>
        <w:rPr>
          <w:lang w:val="en-US"/>
        </w:rPr>
        <w:t xml:space="preserve"> </w:t>
      </w:r>
      <w:r w:rsidRPr="00F27DA7">
        <w:rPr>
          <w:lang w:val="en-US"/>
        </w:rPr>
        <w:t>wastewater.</w:t>
      </w:r>
      <w:r>
        <w:rPr>
          <w:lang w:val="en-US"/>
        </w:rPr>
        <w:t xml:space="preserve"> According to </w:t>
      </w:r>
      <w:r>
        <w:rPr>
          <w:lang w:val="en-US"/>
        </w:rPr>
        <w:fldChar w:fldCharType="begin" w:fldLock="1"/>
      </w:r>
      <w:r>
        <w:rPr>
          <w:lang w:val="en-US"/>
        </w:rPr>
        <w:instrText>ADDIN CSL_CITATION {"citationItems":[{"id":"ITEM-1","itemData":{"DOI":"10.1016/j.jhazmat.2009.06.139","ISSN":"03043894","PMID":"19631461","abstract":"The performances of polydiallydimethylammonium modified bentonite (PDADMA-bentonite) as an adsorbent to remove anionic dyes, namely Acid Scarlet GR (AS-GR), Acid Turquoise Blue 2G (ATB-2G) and Indigo Carmine (IC), were investigated in single, binary and ternary dye systems. In adsorption from single dye solutions with initial concentration of 100 ??mol/L, the dosage of PDADMA-bentonite needed to remove 95% dye was 0.42, 0.68 and 0.75 g/L for AS-GR, ATB-2G and IC, respectively. The adsorption isotherms of the three dyes obeyed the Langmuir isotherm model with the equilibrium constants of 0.372, 0.629 and 4.31 L/??mol, the saturation adsorption amount of 176.3, 149.2 and 228.7 ??mol/g for ATB-2G, IC and AS-GR, respectively. In adsorption from mixed dye solutions, the isotherm of each individual dye followed an expanded Langmuir isotherm model and the relationship between the total amount of dyes adsorbed and the total equilibrium dye concentration was interpreted well by Langmuir isotherm model. In the region of insufficient dosage of PDADMA-bentonite, the dye with a larger affinity was preferentially removed by adsorption. Desorption was observed in the kinetic curve of the dye with lower affinity on PDADMA-bentonite surface by the competitive adsorption. The kinetics in single dye solution and the total adsorption of dyes in binary and ternary dye systems nicely followed pseudo-second-order kinetic model. ?? 2009 Elsevier B.V. All rights reserved.","author":[{"dropping-particle":"","family":"Shen","given":"Dazhong","non-dropping-particle":"","parse-names":false,"suffix":""},{"dropping-particle":"","family":"Fan","given":"Jianxin","non-dropping-particle":"","parse-names":false,"suffix":""},{"dropping-particle":"","family":"Zhou","given":"Weizhi","non-dropping-particle":"","parse-names":false,"suffix":""},{"dropping-particle":"","family":"Gao","given":"Baoyu","non-dropping-particle":"","parse-names":false,"suffix":""},{"dropping-particle":"","family":"Yue","given":"Qinyan","non-dropping-particle":"","parse-names":false,"suffix":""},{"dropping-particle":"","family":"Kang","given":"Qi","non-dropping-particle":"","parse-names":false,"suffix":""}],"container-title":"Journal of Hazardous Materials","id":"ITEM-1","issue":"1","issued":{"date-parts":[["2009"]]},"page":"99-107","title":"Adsorption kinetics and isotherm of anionic dyes onto organo-bentonite from single and multisolute systems","type":"article-journal","volume":"172"},"uris":["http://www.mendeley.com/documents/?uuid=181fa07d-ca92-4425-9403-2f44eb98328d"]}],"mendeley":{"formattedCitation":"(Shen et al. 2009)","manualFormatting":"Shen et al. (2009)","plainTextFormattedCitation":"(Shen et al. 2009)","previouslyFormattedCitation":"(Shen et al. 2009)"},"properties":{"noteIndex":0},"schema":"https://github.com/citation-style-language/schema/raw/master/csl-citation.json"}</w:instrText>
      </w:r>
      <w:r>
        <w:rPr>
          <w:lang w:val="en-US"/>
        </w:rPr>
        <w:fldChar w:fldCharType="separate"/>
      </w:r>
      <w:r w:rsidRPr="0069283B">
        <w:rPr>
          <w:noProof/>
          <w:lang w:val="en-US"/>
        </w:rPr>
        <w:t xml:space="preserve">Shen et al. </w:t>
      </w:r>
      <w:r>
        <w:rPr>
          <w:noProof/>
          <w:lang w:val="en-US"/>
        </w:rPr>
        <w:t>(</w:t>
      </w:r>
      <w:r w:rsidRPr="0069283B">
        <w:rPr>
          <w:noProof/>
          <w:lang w:val="en-US"/>
        </w:rPr>
        <w:t>2009)</w:t>
      </w:r>
      <w:r>
        <w:rPr>
          <w:lang w:val="en-US"/>
        </w:rPr>
        <w:fldChar w:fldCharType="end"/>
      </w:r>
      <w:r>
        <w:rPr>
          <w:lang w:val="en-US"/>
        </w:rPr>
        <w:t>, t</w:t>
      </w:r>
      <w:r w:rsidRPr="00F27DA7">
        <w:rPr>
          <w:lang w:val="en-US"/>
        </w:rPr>
        <w:t>he advantages of adsorption process are</w:t>
      </w:r>
      <w:r>
        <w:rPr>
          <w:lang w:val="en-US"/>
        </w:rPr>
        <w:t xml:space="preserve"> </w:t>
      </w:r>
      <w:r w:rsidRPr="00F27DA7">
        <w:rPr>
          <w:lang w:val="en-US"/>
        </w:rPr>
        <w:t>inexpensive</w:t>
      </w:r>
      <w:r>
        <w:rPr>
          <w:lang w:val="en-US"/>
        </w:rPr>
        <w:t xml:space="preserve">, simple in operation and no formation of sludge. However, </w:t>
      </w:r>
      <w:proofErr w:type="spellStart"/>
      <w:r>
        <w:rPr>
          <w:lang w:val="en-US"/>
        </w:rPr>
        <w:t>nZVI</w:t>
      </w:r>
      <w:proofErr w:type="spellEnd"/>
      <w:r>
        <w:rPr>
          <w:lang w:val="en-US"/>
        </w:rPr>
        <w:t xml:space="preserve"> itself has its own limitation that are easily agglomerate and sedimentation </w:t>
      </w:r>
      <w:r w:rsidRPr="0062427A">
        <w:rPr>
          <w:lang w:val="en-US"/>
        </w:rPr>
        <w:t>due to iron's magnetic</w:t>
      </w:r>
      <w:r>
        <w:rPr>
          <w:lang w:val="en-US"/>
        </w:rPr>
        <w:t xml:space="preserve"> </w:t>
      </w:r>
      <w:r w:rsidRPr="0062427A">
        <w:rPr>
          <w:lang w:val="en-US"/>
        </w:rPr>
        <w:t xml:space="preserve">attraction forces </w:t>
      </w:r>
      <w:r>
        <w:rPr>
          <w:lang w:val="en-US"/>
        </w:rPr>
        <w:t xml:space="preserve">resulting in reducing its </w:t>
      </w:r>
      <w:r w:rsidRPr="0062427A">
        <w:rPr>
          <w:lang w:val="en-US"/>
        </w:rPr>
        <w:t>mobility</w:t>
      </w:r>
      <w:r>
        <w:rPr>
          <w:lang w:val="en-US"/>
        </w:rPr>
        <w:t xml:space="preserve"> </w:t>
      </w:r>
      <w:r>
        <w:rPr>
          <w:lang w:val="en-US"/>
        </w:rPr>
        <w:fldChar w:fldCharType="begin" w:fldLock="1"/>
      </w:r>
      <w:r>
        <w:rPr>
          <w:lang w:val="en-US"/>
        </w:rPr>
        <w:instrText>ADDIN CSL_CITATION {"citationItems":[{"id":"ITEM-1","itemData":{"DOI":"10.1016/j.jconhyd.2015.03.009","ISBN":"0169-7722","ISSN":"18736009","PMID":"25864966","abstract":"The application of nanoscale zero-valent iron (nZVI) for subsurface remediation of groundwater contaminants is a promising new technology, which can be understood as alternative to the permeable reactive barrier technique using granular iron. Dechlorination of organic contaminants by zero-valent iron seems promising. Currently, one limitation to widespread deployment is the fast agglomeration and sedimentation of nZVI in colloidal suspensions, even more so when in soils and sediments, which limits the applicability for the treatment of sources and plumes of contamination. Colloid-supported nZVI shows promising characteristics to overcome these limitations. Mobility of Carbo-Iron Colloids (CIC) - a newly developed composite material based on finely ground activated carbon as a carrier for nZVI - was tested in a field application: In this study, a horizontal dipole flow field was established between two wells separated by 5.3m in a confined, natural aquifer. The injection/extraction rate was 500L/h. Approximately 1.2kg of CIC was suspended with the polyanionic stabilizer carboxymethyl cellulose. The suspension was introduced into the aquifer at the injection well. Breakthrough of CIC was observed visually and based on total particle and iron concentrations detected in samples from the extraction well. Filtration of water samples revealed a particle breakthrough of about 12% of the amount introduced. This demonstrates high mobility of CIC particles and we suggest that nZVI carried on CIC can be used for contaminant plume remediation by in-situ formation of reactive barriers.","author":[{"dropping-particle":"","family":"Busch","given":"J.","non-dropping-particle":"","parse-names":false,"suffix":""},{"dropping-particle":"","family":"Meißner","given":"T.","non-dropping-particle":"","parse-names":false,"suffix":""},{"dropping-particle":"","family":"Potthoff","given":"A.","non-dropping-particle":"","parse-names":false,"suffix":""},{"dropping-particle":"","family":"Bleyl","given":"S.","non-dropping-particle":"","parse-names":false,"suffix":""},{"dropping-particle":"","family":"Georgi","given":"A.","non-dropping-particle":"","parse-names":false,"suffix":""},{"dropping-particle":"","family":"Mackenzie","given":"K.","non-dropping-particle":"","parse-names":false,"suffix":""},{"dropping-particle":"","family":"Trabitzsch","given":"R.","non-dropping-particle":"","parse-names":false,"suffix":""},{"dropping-particle":"","family":"Werban","given":"U.","non-dropping-particle":"","parse-names":false,"suffix":""},{"dropping-particle":"","family":"Oswald","given":"S. E.","non-dropping-particle":"","parse-names":false,"suffix":""}],"container-title":"Journal of contaminant hydrology","id":"ITEM-1","issued":{"date-parts":[["2015"]]},"page":"59-68","publisher":"Elsevier B.V.","title":"A field investigation on transport of carbon-supported nanoscale zero-valent iron (nZVI) in groundwater","type":"article-journal","volume":"181"},"uris":["http://www.mendeley.com/documents/?uuid=b8093f79-4f15-459f-8316-4c15491ac801"]}],"mendeley":{"formattedCitation":"(Busch et al. 2015)","plainTextFormattedCitation":"(Busch et al. 2015)","previouslyFormattedCitation":"(Busch et al. 2015)"},"properties":{"noteIndex":0},"schema":"https://github.com/citation-style-language/schema/raw/master/csl-citation.json"}</w:instrText>
      </w:r>
      <w:r>
        <w:rPr>
          <w:lang w:val="en-US"/>
        </w:rPr>
        <w:fldChar w:fldCharType="separate"/>
      </w:r>
      <w:r w:rsidRPr="0069283B">
        <w:rPr>
          <w:noProof/>
          <w:lang w:val="en-US"/>
        </w:rPr>
        <w:t>(Busch et al. 2015)</w:t>
      </w:r>
      <w:r>
        <w:rPr>
          <w:lang w:val="en-US"/>
        </w:rPr>
        <w:fldChar w:fldCharType="end"/>
      </w:r>
      <w:r>
        <w:rPr>
          <w:lang w:val="en-US"/>
        </w:rPr>
        <w:t xml:space="preserve">. </w:t>
      </w:r>
      <w:r w:rsidRPr="0022129A">
        <w:rPr>
          <w:lang w:val="en-US"/>
        </w:rPr>
        <w:t xml:space="preserve">Modification on </w:t>
      </w:r>
      <w:proofErr w:type="spellStart"/>
      <w:r w:rsidRPr="0022129A">
        <w:rPr>
          <w:lang w:val="en-US"/>
        </w:rPr>
        <w:t>nZVI</w:t>
      </w:r>
      <w:proofErr w:type="spellEnd"/>
      <w:r w:rsidRPr="0022129A">
        <w:rPr>
          <w:lang w:val="en-US"/>
        </w:rPr>
        <w:t xml:space="preserve"> was proposed to reduce </w:t>
      </w:r>
      <w:proofErr w:type="spellStart"/>
      <w:r w:rsidRPr="0022129A">
        <w:rPr>
          <w:lang w:val="en-US"/>
        </w:rPr>
        <w:t>nZVI</w:t>
      </w:r>
      <w:proofErr w:type="spellEnd"/>
      <w:r w:rsidRPr="0022129A">
        <w:rPr>
          <w:lang w:val="en-US"/>
        </w:rPr>
        <w:t xml:space="preserve"> particles from agglomerated </w:t>
      </w:r>
      <w:r>
        <w:rPr>
          <w:lang w:val="en-US"/>
        </w:rPr>
        <w:fldChar w:fldCharType="begin" w:fldLock="1"/>
      </w:r>
      <w:r>
        <w:rPr>
          <w:lang w:val="en-US"/>
        </w:rPr>
        <w:instrText>ADDIN CSL_CITATION {"citationItems":[{"id":"ITEM-1","itemData":{"DOI":"10.1186/s40201-014-0115-5","ISSN":"2052-336X","PMID":"25184050","abstract":"Recently, adsorption process has been introduced as a favorable and effective technique for the removal of metal ions from aqueous solutions. In the present study, bimetallic nanoparticles consisting of zero valent iron and silver were loaded on the activated carbon powder for the preparation of a new adsorbent (PAC-Fe(o)/Ag). The above adsorbent was characterized by using XRD, SEM and TEM techniqes. Experimental data were exploited for kinetic, equilibrium and thermodynamic evaluations related to the adsorption processes. The Cr(VI) adsorption process was found to be favorable at pH 3 and it reached equilibrium state within 60 min. The stirring rate did not have a significant effect on the adsorption efficiency. Furthermore, the monolayer adsorption capacity of Cr(VI) based on the Langmuir model was measured to be 100 mg/g. The experimental equilibrium data were fitted to the Freundlich adsorption and pseudo second-order models. According to the thermodynamic study, the adsorption process was spontaneous and endothermic in nature, indicating the adsorption capacity increases with increasing the temperature. The results also revealed that the synthesized composite can be potentially applied as a magnetic adsorbent to remove Cr(VI) contaminants from aqueous solutions.","author":[{"dropping-particle":"","family":"Kakavandi","given":"Babak","non-dropping-particle":"","parse-names":false,"suffix":""},{"dropping-particle":"","family":"Kalantary","given":"Roshanak Rezaei","non-dropping-particle":"","parse-names":false,"suffix":""},{"dropping-particle":"","family":"Farzadkia","given":"Mahdi","non-dropping-particle":"","parse-names":false,"suffix":""},{"dropping-particle":"","family":"Mahvi","given":"Amir Hossein","non-dropping-particle":"","parse-names":false,"suffix":""},{"dropping-particle":"","family":"Esrafili","given":"Ali","non-dropping-particle":"","parse-names":false,"suffix":""},{"dropping-particle":"","family":"Azari","given":"Ali","non-dropping-particle":"","parse-names":false,"suffix":""},{"dropping-particle":"","family":"Yari","given":"Ahmad Reza","non-dropping-particle":"","parse-names":false,"suffix":""},{"dropping-particle":"","family":"Javid","given":"Allah Bakhsh","non-dropping-particle":"","parse-names":false,"suffix":""}],"container-title":"Journal of environmental health science &amp; engineering","id":"ITEM-1","issue":"1","issued":{"date-parts":[["2014"]]},"page":"115","title":"Enhanced chromium (VI) removal using activated carbon modified by zero valent iron and silver bimetallic nanoparticles.","type":"article-journal","volume":"12"},"uris":["http://www.mendeley.com/documents/?uuid=72ed80db-4990-488f-9b62-4626ecb32512"]},{"id":"ITEM-2","itemData":{"DOI":"10.1016/j.jconhyd.2015.03.009","ISBN":"0169-7722","ISSN":"18736009","PMID":"25864966","abstract":"The application of nanoscale zero-valent iron (nZVI) for subsurface remediation of groundwater contaminants is a promising new technology, which can be understood as alternative to the permeable reactive barrier technique using granular iron. Dechlorination of organic contaminants by zero-valent iron seems promising. Currently, one limitation to widespread deployment is the fast agglomeration and sedimentation of nZVI in colloidal suspensions, even more so when in soils and sediments, which limits the applicability for the treatment of sources and plumes of contamination. Colloid-supported nZVI shows promising characteristics to overcome these limitations. Mobility of Carbo-Iron Colloids (CIC) - a newly developed composite material based on finely ground activated carbon as a carrier for nZVI - was tested in a field application: In this study, a horizontal dipole flow field was established between two wells separated by 5.3m in a confined, natural aquifer. The injection/extraction rate was 500L/h. Approximately 1.2kg of CIC was suspended with the polyanionic stabilizer carboxymethyl cellulose. The suspension was introduced into the aquifer at the injection well. Breakthrough of CIC was observed visually and based on total particle and iron concentrations detected in samples from the extraction well. Filtration of water samples revealed a particle breakthrough of about 12% of the amount introduced. This demonstrates high mobility of CIC particles and we suggest that nZVI carried on CIC can be used for contaminant plume remediation by in-situ formation of reactive barriers.","author":[{"dropping-particle":"","family":"Busch","given":"J.","non-dropping-particle":"","parse-names":false,"suffix":""},{"dropping-particle":"","family":"Meißner","given":"T.","non-dropping-particle":"","parse-names":false,"suffix":""},{"dropping-particle":"","family":"Potthoff","given":"A.","non-dropping-particle":"","parse-names":false,"suffix":""},{"dropping-particle":"","family":"Bleyl","given":"S.","non-dropping-particle":"","parse-names":false,"suffix":""},{"dropping-particle":"","family":"Georgi","given":"A.","non-dropping-particle":"","parse-names":false,"suffix":""},{"dropping-particle":"","family":"Mackenzie","given":"K.","non-dropping-particle":"","parse-names":false,"suffix":""},{"dropping-particle":"","family":"Trabitzsch","given":"R.","non-dropping-particle":"","parse-names":false,"suffix":""},{"dropping-particle":"","family":"Werban","given":"U.","non-dropping-particle":"","parse-names":false,"suffix":""},{"dropping-particle":"","family":"Oswald","given":"S. E.","non-dropping-particle":"","parse-names":false,"suffix":""}],"container-title":"Journal of contaminant hydrology","id":"ITEM-2","issued":{"date-parts":[["2015"]]},"page":"59-68","publisher":"Elsevier B.V.","title":"A field investigation on transport of carbon-supported nanoscale zero-valent iron (nZVI) in groundwater","type":"article-journal","volume":"181"},"uris":["http://www.mendeley.com/documents/?uuid=b8093f79-4f15-459f-8316-4c15491ac801"]}],"mendeley":{"formattedCitation":"(Kakavandi et al. 2014; Busch et al. 2015)","plainTextFormattedCitation":"(Kakavandi et al. 2014; Busch et al. 2015)","previouslyFormattedCitation":"(Busch et al. 2015; Kakavandi et al. 2014)"},"properties":{"noteIndex":0},"schema":"https://github.com/citation-style-language/schema/raw/master/csl-citation.json"}</w:instrText>
      </w:r>
      <w:r>
        <w:rPr>
          <w:lang w:val="en-US"/>
        </w:rPr>
        <w:fldChar w:fldCharType="separate"/>
      </w:r>
      <w:r w:rsidRPr="0069283B">
        <w:rPr>
          <w:noProof/>
          <w:lang w:val="en-US"/>
        </w:rPr>
        <w:t>(Kakavandi et al. 2014; Busch et al. 2015)</w:t>
      </w:r>
      <w:r>
        <w:rPr>
          <w:lang w:val="en-US"/>
        </w:rPr>
        <w:fldChar w:fldCharType="end"/>
      </w:r>
      <w:r>
        <w:rPr>
          <w:lang w:val="en-US"/>
        </w:rPr>
        <w:t xml:space="preserve">. </w:t>
      </w:r>
      <w:r w:rsidRPr="00255B62">
        <w:rPr>
          <w:lang w:val="en-US"/>
        </w:rPr>
        <w:t xml:space="preserve">The main objective of the current study is to </w:t>
      </w:r>
      <w:r>
        <w:rPr>
          <w:szCs w:val="18"/>
        </w:rPr>
        <w:t>investigate</w:t>
      </w:r>
      <w:r w:rsidRPr="002F1788">
        <w:rPr>
          <w:szCs w:val="18"/>
        </w:rPr>
        <w:t xml:space="preserve"> the capability of activated carbon-supported </w:t>
      </w:r>
      <w:proofErr w:type="spellStart"/>
      <w:r w:rsidRPr="002F1788">
        <w:rPr>
          <w:szCs w:val="18"/>
        </w:rPr>
        <w:t>nano</w:t>
      </w:r>
      <w:proofErr w:type="spellEnd"/>
      <w:r w:rsidRPr="002F1788">
        <w:rPr>
          <w:szCs w:val="18"/>
        </w:rPr>
        <w:t>-zero valent iron nanoparticles (AC-</w:t>
      </w:r>
      <w:proofErr w:type="spellStart"/>
      <w:r w:rsidRPr="002F1788">
        <w:rPr>
          <w:szCs w:val="18"/>
        </w:rPr>
        <w:t>nZVI</w:t>
      </w:r>
      <w:proofErr w:type="spellEnd"/>
      <w:r w:rsidRPr="002F1788">
        <w:rPr>
          <w:szCs w:val="18"/>
        </w:rPr>
        <w:t>) to remediate the anionic dye (Acid Orange II).</w:t>
      </w:r>
      <w:r>
        <w:rPr>
          <w:szCs w:val="18"/>
        </w:rPr>
        <w:t xml:space="preserve"> According to </w:t>
      </w:r>
      <w:r>
        <w:rPr>
          <w:lang w:val="en-US"/>
        </w:rPr>
        <w:fldChar w:fldCharType="begin" w:fldLock="1"/>
      </w:r>
      <w:r>
        <w:rPr>
          <w:lang w:val="en-US"/>
        </w:rPr>
        <w:instrText>ADDIN CSL_CITATION {"citationItems":[{"id":"ITEM-1","itemData":{"DOI":"10.1016/j.jhazmat.2009.06.139","ISSN":"03043894","PMID":"19631461","abstract":"The performances of polydiallydimethylammonium modified bentonite (PDADMA-bentonite) as an adsorbent to remove anionic dyes, namely Acid Scarlet GR (AS-GR), Acid Turquoise Blue 2G (ATB-2G) and Indigo Carmine (IC), were investigated in single, binary and ternary dye systems. In adsorption from single dye solutions with initial concentration of 100 ??mol/L, the dosage of PDADMA-bentonite needed to remove 95% dye was 0.42, 0.68 and 0.75 g/L for AS-GR, ATB-2G and IC, respectively. The adsorption isotherms of the three dyes obeyed the Langmuir isotherm model with the equilibrium constants of 0.372, 0.629 and 4.31 L/??mol, the saturation adsorption amount of 176.3, 149.2 and 228.7 ??mol/g for ATB-2G, IC and AS-GR, respectively. In adsorption from mixed dye solutions, the isotherm of each individual dye followed an expanded Langmuir isotherm model and the relationship between the total amount of dyes adsorbed and the total equilibrium dye concentration was interpreted well by Langmuir isotherm model. In the region of insufficient dosage of PDADMA-bentonite, the dye with a larger affinity was preferentially removed by adsorption. Desorption was observed in the kinetic curve of the dye with lower affinity on PDADMA-bentonite surface by the competitive adsorption. The kinetics in single dye solution and the total adsorption of dyes in binary and ternary dye systems nicely followed pseudo-second-order kinetic model. ?? 2009 Elsevier B.V. All rights reserved.","author":[{"dropping-particle":"","family":"Shen","given":"Dazhong","non-dropping-particle":"","parse-names":false,"suffix":""},{"dropping-particle":"","family":"Fan","given":"Jianxin","non-dropping-particle":"","parse-names":false,"suffix":""},{"dropping-particle":"","family":"Zhou","given":"Weizhi","non-dropping-particle":"","parse-names":false,"suffix":""},{"dropping-particle":"","family":"Gao","given":"Baoyu","non-dropping-particle":"","parse-names":false,"suffix":""},{"dropping-particle":"","family":"Yue","given":"Qinyan","non-dropping-particle":"","parse-names":false,"suffix":""},{"dropping-particle":"","family":"Kang","given":"Qi","non-dropping-particle":"","parse-names":false,"suffix":""}],"container-title":"Journal of Hazardous Materials","id":"ITEM-1","issue":"1","issued":{"date-parts":[["2009"]]},"page":"99-107","title":"Adsorption kinetics and isotherm of anionic dyes onto organo-bentonite from single and multisolute systems","type":"article-journal","volume":"172"},"uris":["http://www.mendeley.com/documents/?uuid=181fa07d-ca92-4425-9403-2f44eb98328d"]}],"mendeley":{"formattedCitation":"(Shen et al. 2009)","manualFormatting":"Shen et al. (2009)","plainTextFormattedCitation":"(Shen et al. 2009)","previouslyFormattedCitation":"(Shen et al. 2009)"},"properties":{"noteIndex":0},"schema":"https://github.com/citation-style-language/schema/raw/master/csl-citation.json"}</w:instrText>
      </w:r>
      <w:r>
        <w:rPr>
          <w:lang w:val="en-US"/>
        </w:rPr>
        <w:fldChar w:fldCharType="separate"/>
      </w:r>
      <w:r w:rsidRPr="0069283B">
        <w:rPr>
          <w:noProof/>
          <w:lang w:val="en-US"/>
        </w:rPr>
        <w:t xml:space="preserve">Shen et al. </w:t>
      </w:r>
      <w:r>
        <w:rPr>
          <w:noProof/>
          <w:lang w:val="en-US"/>
        </w:rPr>
        <w:t>(</w:t>
      </w:r>
      <w:r w:rsidRPr="0069283B">
        <w:rPr>
          <w:noProof/>
          <w:lang w:val="en-US"/>
        </w:rPr>
        <w:t>2009)</w:t>
      </w:r>
      <w:r>
        <w:rPr>
          <w:lang w:val="en-US"/>
        </w:rPr>
        <w:fldChar w:fldCharType="end"/>
      </w:r>
      <w:r>
        <w:rPr>
          <w:lang w:val="en-US"/>
        </w:rPr>
        <w:t>, a</w:t>
      </w:r>
      <w:proofErr w:type="spellStart"/>
      <w:r>
        <w:rPr>
          <w:szCs w:val="18"/>
        </w:rPr>
        <w:t>ctivated</w:t>
      </w:r>
      <w:proofErr w:type="spellEnd"/>
      <w:r>
        <w:rPr>
          <w:szCs w:val="18"/>
        </w:rPr>
        <w:t xml:space="preserve"> carbon is frequently used in wastewater treatment due to its</w:t>
      </w:r>
      <w:r w:rsidRPr="00E1118D">
        <w:rPr>
          <w:lang w:val="en-US"/>
        </w:rPr>
        <w:t xml:space="preserve"> large specific surface area, although it is a bit expensive to run</w:t>
      </w:r>
      <w:r>
        <w:rPr>
          <w:lang w:val="en-US"/>
        </w:rPr>
        <w:t>.</w:t>
      </w:r>
      <w:r w:rsidRPr="007A0089">
        <w:t xml:space="preserve"> </w:t>
      </w:r>
    </w:p>
    <w:p w14:paraId="525E3DB2" w14:textId="77777777" w:rsidR="006135B9" w:rsidRPr="000A32E3" w:rsidRDefault="006135B9" w:rsidP="004B6192">
      <w:pPr>
        <w:pStyle w:val="CETHeading1"/>
        <w:numPr>
          <w:ilvl w:val="1"/>
          <w:numId w:val="22"/>
        </w:numPr>
        <w:tabs>
          <w:tab w:val="left" w:pos="720"/>
        </w:tabs>
        <w:spacing w:line="264" w:lineRule="auto"/>
      </w:pPr>
      <w:r w:rsidRPr="000A32E3">
        <w:t xml:space="preserve">Materials and Method </w:t>
      </w:r>
    </w:p>
    <w:p w14:paraId="5998F0CD" w14:textId="77777777" w:rsidR="001A3325" w:rsidRDefault="001A3325" w:rsidP="004B6192">
      <w:pPr>
        <w:rPr>
          <w:lang w:val="en-US"/>
        </w:rPr>
      </w:pPr>
      <w:r>
        <w:rPr>
          <w:lang w:val="en-US"/>
        </w:rPr>
        <w:t>Materials used in this study are</w:t>
      </w:r>
      <w:r w:rsidRPr="00F63F20">
        <w:t xml:space="preserve"> </w:t>
      </w:r>
      <w:r>
        <w:t xml:space="preserve">activated carbon and </w:t>
      </w:r>
      <w:r w:rsidRPr="00F63F20">
        <w:rPr>
          <w:lang w:val="en-US"/>
        </w:rPr>
        <w:t>Acid Orange II supplied in solid state</w:t>
      </w:r>
      <w:r>
        <w:rPr>
          <w:lang w:val="en-US"/>
        </w:rPr>
        <w:t xml:space="preserve">.  </w:t>
      </w:r>
      <w:r w:rsidRPr="00F63F20">
        <w:rPr>
          <w:lang w:val="en-US"/>
        </w:rPr>
        <w:t>Chemical</w:t>
      </w:r>
      <w:r>
        <w:rPr>
          <w:lang w:val="en-US"/>
        </w:rPr>
        <w:t xml:space="preserve">s </w:t>
      </w:r>
      <w:r w:rsidRPr="00F63F20">
        <w:rPr>
          <w:lang w:val="en-US"/>
        </w:rPr>
        <w:t xml:space="preserve">such as Ferric Chloride </w:t>
      </w:r>
      <w:proofErr w:type="spellStart"/>
      <w:r w:rsidRPr="00F63F20">
        <w:rPr>
          <w:lang w:val="en-US"/>
        </w:rPr>
        <w:t>Tetrahydrate</w:t>
      </w:r>
      <w:proofErr w:type="spellEnd"/>
      <w:r w:rsidRPr="00F63F20">
        <w:rPr>
          <w:lang w:val="en-US"/>
        </w:rPr>
        <w:t>, FeCl</w:t>
      </w:r>
      <w:r w:rsidRPr="00F63F20">
        <w:rPr>
          <w:vertAlign w:val="subscript"/>
          <w:lang w:val="en-US"/>
        </w:rPr>
        <w:t>3</w:t>
      </w:r>
      <w:r w:rsidRPr="00F63F20">
        <w:rPr>
          <w:lang w:val="en-US"/>
        </w:rPr>
        <w:t>.6H</w:t>
      </w:r>
      <w:r w:rsidRPr="007A0089">
        <w:rPr>
          <w:vertAlign w:val="subscript"/>
          <w:lang w:val="en-US"/>
        </w:rPr>
        <w:t>2</w:t>
      </w:r>
      <w:r w:rsidRPr="00F63F20">
        <w:rPr>
          <w:lang w:val="en-US"/>
        </w:rPr>
        <w:t>O (</w:t>
      </w:r>
      <w:proofErr w:type="spellStart"/>
      <w:r w:rsidRPr="00F63F20">
        <w:rPr>
          <w:lang w:val="en-US"/>
        </w:rPr>
        <w:t>Acros</w:t>
      </w:r>
      <w:proofErr w:type="spellEnd"/>
      <w:r>
        <w:rPr>
          <w:lang w:val="en-US"/>
        </w:rPr>
        <w:t xml:space="preserve"> </w:t>
      </w:r>
      <w:r w:rsidRPr="003C2A13">
        <w:rPr>
          <w:noProof/>
          <w:lang w:val="en-US"/>
        </w:rPr>
        <w:t>organics</w:t>
      </w:r>
      <w:r w:rsidRPr="00F63F20">
        <w:rPr>
          <w:lang w:val="en-US"/>
        </w:rPr>
        <w:t xml:space="preserve">, 99+%), Sodium </w:t>
      </w:r>
      <w:r w:rsidRPr="003C2A13">
        <w:rPr>
          <w:noProof/>
          <w:lang w:val="en-US"/>
        </w:rPr>
        <w:t>Borohidrate</w:t>
      </w:r>
      <w:r w:rsidRPr="00F63F20">
        <w:rPr>
          <w:lang w:val="en-US"/>
        </w:rPr>
        <w:t>, NaBH</w:t>
      </w:r>
      <w:r w:rsidRPr="00F63F20">
        <w:rPr>
          <w:vertAlign w:val="subscript"/>
          <w:lang w:val="en-US"/>
        </w:rPr>
        <w:t>4</w:t>
      </w:r>
      <w:r w:rsidRPr="00F63F20">
        <w:rPr>
          <w:lang w:val="en-US"/>
        </w:rPr>
        <w:t xml:space="preserve"> (</w:t>
      </w:r>
      <w:proofErr w:type="spellStart"/>
      <w:r w:rsidRPr="00F63F20">
        <w:rPr>
          <w:lang w:val="en-US"/>
        </w:rPr>
        <w:t>Acros</w:t>
      </w:r>
      <w:proofErr w:type="spellEnd"/>
      <w:r w:rsidRPr="00F63F20">
        <w:rPr>
          <w:lang w:val="en-US"/>
        </w:rPr>
        <w:t xml:space="preserve"> </w:t>
      </w:r>
      <w:r w:rsidRPr="003C2A13">
        <w:rPr>
          <w:noProof/>
          <w:lang w:val="en-US"/>
        </w:rPr>
        <w:t>organics</w:t>
      </w:r>
      <w:r w:rsidRPr="00F63F20">
        <w:rPr>
          <w:lang w:val="en-US"/>
        </w:rPr>
        <w:t>, 98+%) and Ethanol C</w:t>
      </w:r>
      <w:r w:rsidRPr="00F63F20">
        <w:rPr>
          <w:vertAlign w:val="subscript"/>
          <w:lang w:val="en-US"/>
        </w:rPr>
        <w:t>2</w:t>
      </w:r>
      <w:r w:rsidRPr="00F63F20">
        <w:rPr>
          <w:lang w:val="en-US"/>
        </w:rPr>
        <w:t>H</w:t>
      </w:r>
      <w:r w:rsidRPr="00F63F20">
        <w:rPr>
          <w:vertAlign w:val="subscript"/>
          <w:lang w:val="en-US"/>
        </w:rPr>
        <w:t>6</w:t>
      </w:r>
      <w:r w:rsidRPr="00F63F20">
        <w:rPr>
          <w:lang w:val="en-US"/>
        </w:rPr>
        <w:t>O (Fisher Scientific, 99.4%) were used in this analysis.</w:t>
      </w:r>
    </w:p>
    <w:p w14:paraId="711B6C6B" w14:textId="72054D28" w:rsidR="001A3325" w:rsidRPr="004C3C95" w:rsidRDefault="004B6192" w:rsidP="004B6192">
      <w:pPr>
        <w:pStyle w:val="CETheadingx"/>
      </w:pPr>
      <w:r>
        <w:t xml:space="preserve">2.1 </w:t>
      </w:r>
      <w:r w:rsidR="001A3325" w:rsidRPr="004C3C95">
        <w:t>Synthesizing Composite Nanoparticles</w:t>
      </w:r>
    </w:p>
    <w:p w14:paraId="63B76CEC" w14:textId="77777777" w:rsidR="001A3325" w:rsidRDefault="001A3325" w:rsidP="004B6192">
      <w:pPr>
        <w:tabs>
          <w:tab w:val="left" w:pos="7964"/>
        </w:tabs>
        <w:rPr>
          <w:lang w:val="en-US"/>
        </w:rPr>
      </w:pPr>
      <w:r w:rsidRPr="00C630E3">
        <w:rPr>
          <w:lang w:val="en-US"/>
        </w:rPr>
        <w:t xml:space="preserve">Composite nanoparticles were synthesized by using chemical reduction method </w:t>
      </w:r>
      <w:r w:rsidRPr="00C630E3">
        <w:rPr>
          <w:lang w:val="en-US"/>
        </w:rPr>
        <w:fldChar w:fldCharType="begin" w:fldLock="1"/>
      </w:r>
      <w:r>
        <w:rPr>
          <w:lang w:val="en-US"/>
        </w:rPr>
        <w:instrText>ADDIN CSL_CITATION {"citationItems":[{"id":"ITEM-1","itemData":{"DOI":"10.3844/ajessp.2015.115.124","ISSN":"1553-345X","author":[{"dropping-particle":"","family":"Yaacob","given":"Wan Zuhairi Wan","non-dropping-particle":"","parse-names":false,"suffix":""},{"dropping-particle":"","family":"How","given":"Ho Kuok","non-dropping-particle":"","parse-names":false,"suffix":""}],"container-title":"American Journal of Environmental Sciences","id":"ITEM-1","issue":"2","issued":{"date-parts":[["2015"]]},"page":"115-124","title":"Synthesis and Characterization of Marine Clay-Supported Nano Zero Valent Iron","type":"article-journal","volume":"11"},"uris":["http://www.mendeley.com/documents/?uuid=639b2b90-1018-4f40-bc37-42c0366350eb"]}],"mendeley":{"formattedCitation":"(Yaacob and How 2015)","manualFormatting":"(Yaacob and How, 2015)","plainTextFormattedCitation":"(Yaacob and How 2015)","previouslyFormattedCitation":"(Yaacob and How 2015)"},"properties":{"noteIndex":0},"schema":"https://github.com/citation-style-language/schema/raw/master/csl-citation.json"}</w:instrText>
      </w:r>
      <w:r w:rsidRPr="00C630E3">
        <w:rPr>
          <w:lang w:val="en-US"/>
        </w:rPr>
        <w:fldChar w:fldCharType="separate"/>
      </w:r>
      <w:r w:rsidRPr="0069283B">
        <w:rPr>
          <w:noProof/>
          <w:lang w:val="en-US"/>
        </w:rPr>
        <w:t>(Yaacob and How</w:t>
      </w:r>
      <w:r>
        <w:rPr>
          <w:noProof/>
          <w:lang w:val="en-US"/>
        </w:rPr>
        <w:t>,</w:t>
      </w:r>
      <w:r w:rsidRPr="0069283B">
        <w:rPr>
          <w:noProof/>
          <w:lang w:val="en-US"/>
        </w:rPr>
        <w:t xml:space="preserve"> 2015)</w:t>
      </w:r>
      <w:r w:rsidRPr="00C630E3">
        <w:rPr>
          <w:lang w:val="en-US"/>
        </w:rPr>
        <w:fldChar w:fldCharType="end"/>
      </w:r>
      <w:r>
        <w:rPr>
          <w:lang w:val="en-US"/>
        </w:rPr>
        <w:t xml:space="preserve">. </w:t>
      </w:r>
      <w:r w:rsidRPr="00F63F20">
        <w:rPr>
          <w:lang w:val="en-US"/>
        </w:rPr>
        <w:t xml:space="preserve">Ferric chloride solutions were prepared by mixing 4.38g ferric chloride tetrahydrate with 50 ml mixture of ethanol and deionized water (35ml ethanol + 15ml of deionized water). </w:t>
      </w:r>
      <w:r>
        <w:rPr>
          <w:lang w:val="en-US"/>
        </w:rPr>
        <w:t xml:space="preserve">4 g of activated carbon </w:t>
      </w:r>
      <w:r w:rsidRPr="00F63F20">
        <w:rPr>
          <w:lang w:val="en-US"/>
        </w:rPr>
        <w:t xml:space="preserve">was added to ferric chloride solution and the mixture was shaken using ultrasonic shaker for 30 minutes. </w:t>
      </w:r>
      <w:r>
        <w:rPr>
          <w:lang w:val="en-US"/>
        </w:rPr>
        <w:t>T</w:t>
      </w:r>
      <w:r w:rsidRPr="00F63F20">
        <w:rPr>
          <w:lang w:val="en-US"/>
        </w:rPr>
        <w:t>o produce NaBH</w:t>
      </w:r>
      <w:r w:rsidRPr="002F1788">
        <w:rPr>
          <w:vertAlign w:val="subscript"/>
          <w:lang w:val="en-US"/>
        </w:rPr>
        <w:t>4</w:t>
      </w:r>
      <w:r w:rsidRPr="00F63F20">
        <w:rPr>
          <w:lang w:val="en-US"/>
        </w:rPr>
        <w:t xml:space="preserve"> solutions</w:t>
      </w:r>
      <w:r>
        <w:rPr>
          <w:lang w:val="en-US"/>
        </w:rPr>
        <w:t xml:space="preserve">, </w:t>
      </w:r>
      <w:r w:rsidRPr="00F63F20">
        <w:rPr>
          <w:lang w:val="en-US"/>
        </w:rPr>
        <w:t>6.091 g sodium borohydride was dissolved in 100 ml deionized water</w:t>
      </w:r>
      <w:r>
        <w:rPr>
          <w:lang w:val="en-US"/>
        </w:rPr>
        <w:t xml:space="preserve">. </w:t>
      </w:r>
      <w:r w:rsidRPr="00F63F20">
        <w:rPr>
          <w:lang w:val="en-US"/>
        </w:rPr>
        <w:t>The NaBH</w:t>
      </w:r>
      <w:r w:rsidRPr="002F1788">
        <w:rPr>
          <w:vertAlign w:val="subscript"/>
          <w:lang w:val="en-US"/>
        </w:rPr>
        <w:t xml:space="preserve">4 </w:t>
      </w:r>
      <w:r w:rsidRPr="00F63F20">
        <w:rPr>
          <w:lang w:val="en-US"/>
        </w:rPr>
        <w:t xml:space="preserve">solutions were </w:t>
      </w:r>
      <w:r>
        <w:rPr>
          <w:lang w:val="en-US"/>
        </w:rPr>
        <w:t xml:space="preserve">then </w:t>
      </w:r>
      <w:r w:rsidRPr="00F63F20">
        <w:rPr>
          <w:lang w:val="en-US"/>
        </w:rPr>
        <w:t>pipetted into ferric chloride</w:t>
      </w:r>
      <w:r>
        <w:rPr>
          <w:lang w:val="en-US"/>
        </w:rPr>
        <w:t xml:space="preserve"> </w:t>
      </w:r>
      <w:r w:rsidRPr="00F63F20">
        <w:rPr>
          <w:lang w:val="en-US"/>
        </w:rPr>
        <w:t xml:space="preserve">solution on a magnetic stirrer. The mixture was stirred for 20 minutes after the </w:t>
      </w:r>
      <w:r w:rsidRPr="00F63F20">
        <w:rPr>
          <w:lang w:val="en-US"/>
        </w:rPr>
        <w:lastRenderedPageBreak/>
        <w:t>last dropped of NaBH</w:t>
      </w:r>
      <w:r w:rsidRPr="002F1788">
        <w:rPr>
          <w:vertAlign w:val="subscript"/>
          <w:lang w:val="en-US"/>
        </w:rPr>
        <w:t>4</w:t>
      </w:r>
      <w:r w:rsidRPr="00F63F20">
        <w:rPr>
          <w:lang w:val="en-US"/>
        </w:rPr>
        <w:t xml:space="preserve">. The black particles of </w:t>
      </w:r>
      <w:r>
        <w:rPr>
          <w:lang w:val="en-US"/>
        </w:rPr>
        <w:t>AC</w:t>
      </w:r>
      <w:r w:rsidRPr="00F63F20">
        <w:rPr>
          <w:lang w:val="en-US"/>
        </w:rPr>
        <w:t>-</w:t>
      </w:r>
      <w:proofErr w:type="spellStart"/>
      <w:r w:rsidRPr="00F63F20">
        <w:rPr>
          <w:lang w:val="en-US"/>
        </w:rPr>
        <w:t>nZVI</w:t>
      </w:r>
      <w:proofErr w:type="spellEnd"/>
      <w:r w:rsidRPr="00F63F20">
        <w:rPr>
          <w:lang w:val="en-US"/>
        </w:rPr>
        <w:t xml:space="preserve"> were filtered and were washed three times with ethanol (50ml). </w:t>
      </w:r>
      <w:r>
        <w:rPr>
          <w:lang w:val="en-US"/>
        </w:rPr>
        <w:t xml:space="preserve">Lastly, nanoparticles </w:t>
      </w:r>
      <w:r w:rsidRPr="00F63F20">
        <w:rPr>
          <w:lang w:val="en-US"/>
        </w:rPr>
        <w:t>were oven dried at 50</w:t>
      </w:r>
      <w:r w:rsidRPr="00C630E3">
        <w:rPr>
          <w:vertAlign w:val="superscript"/>
          <w:lang w:val="en-US"/>
        </w:rPr>
        <w:t>o</w:t>
      </w:r>
      <w:r w:rsidRPr="00F63F20">
        <w:rPr>
          <w:lang w:val="en-US"/>
        </w:rPr>
        <w:t>C for approximately 12 hours.</w:t>
      </w:r>
    </w:p>
    <w:p w14:paraId="7ACB2F4C" w14:textId="4A0662B3" w:rsidR="00935AA1" w:rsidRPr="004C3C95" w:rsidRDefault="004B6192" w:rsidP="004B6192">
      <w:pPr>
        <w:pStyle w:val="CETheadingx"/>
      </w:pPr>
      <w:r>
        <w:t xml:space="preserve">2.2 </w:t>
      </w:r>
      <w:r w:rsidR="00935AA1">
        <w:t>Batch Test</w:t>
      </w:r>
    </w:p>
    <w:p w14:paraId="28101FBA" w14:textId="28F2B711" w:rsidR="00935AA1" w:rsidRDefault="00935AA1" w:rsidP="004B6192">
      <w:pPr>
        <w:tabs>
          <w:tab w:val="left" w:pos="7964"/>
        </w:tabs>
        <w:rPr>
          <w:lang w:val="en-US"/>
        </w:rPr>
      </w:pPr>
      <w:r>
        <w:t>Batch Test studies were conducted to determine the effectiveness of absorbent materials in removing Acid Orange II. Batch tests involved of five effects including different doses</w:t>
      </w:r>
      <w:r w:rsidR="00817601">
        <w:t xml:space="preserve"> (</w:t>
      </w:r>
      <w:r w:rsidR="00817601">
        <w:rPr>
          <w:lang w:val="en-US"/>
        </w:rPr>
        <w:t xml:space="preserve">0.05 g </w:t>
      </w:r>
      <w:r w:rsidR="00817601" w:rsidRPr="00817601">
        <w:rPr>
          <w:lang w:val="en-US"/>
        </w:rPr>
        <w:t>to</w:t>
      </w:r>
      <w:r w:rsidR="00817601">
        <w:rPr>
          <w:lang w:val="en-US"/>
        </w:rPr>
        <w:t xml:space="preserve"> 1 g)</w:t>
      </w:r>
      <w:r>
        <w:t>, concentrations</w:t>
      </w:r>
      <w:r w:rsidR="00817601">
        <w:t xml:space="preserve"> (5 mg/L to 250 mg/L)</w:t>
      </w:r>
      <w:r>
        <w:t>, pH values</w:t>
      </w:r>
      <w:r w:rsidR="00817601">
        <w:t xml:space="preserve"> (pH 2 - pH 12)</w:t>
      </w:r>
      <w:r>
        <w:t>, kinetics</w:t>
      </w:r>
      <w:r w:rsidR="00817601">
        <w:t xml:space="preserve"> (0 min to 180 min)</w:t>
      </w:r>
      <w:r>
        <w:t xml:space="preserve"> and temperatures</w:t>
      </w:r>
      <w:r w:rsidR="00817601">
        <w:t xml:space="preserve"> (30</w:t>
      </w:r>
      <w:r w:rsidR="00817601" w:rsidRPr="00817601">
        <w:rPr>
          <w:vertAlign w:val="superscript"/>
        </w:rPr>
        <w:t>o</w:t>
      </w:r>
      <w:r w:rsidR="00817601">
        <w:t xml:space="preserve">C to 60 </w:t>
      </w:r>
      <w:proofErr w:type="spellStart"/>
      <w:r w:rsidR="00817601" w:rsidRPr="00817601">
        <w:rPr>
          <w:vertAlign w:val="superscript"/>
        </w:rPr>
        <w:t>o</w:t>
      </w:r>
      <w:r w:rsidR="00817601">
        <w:t>C</w:t>
      </w:r>
      <w:proofErr w:type="spellEnd"/>
      <w:r w:rsidR="00817601">
        <w:t>)</w:t>
      </w:r>
      <w:r>
        <w:t>.</w:t>
      </w:r>
      <w:r w:rsidR="00817601">
        <w:t xml:space="preserve"> </w:t>
      </w:r>
      <w:r w:rsidR="00D758BF" w:rsidRPr="00D758BF">
        <w:t xml:space="preserve">Each </w:t>
      </w:r>
      <w:r w:rsidR="00D758BF">
        <w:t>effect are performed three time replication under the same con</w:t>
      </w:r>
      <w:r w:rsidR="00D758BF" w:rsidRPr="00D758BF">
        <w:t>ditions</w:t>
      </w:r>
      <w:r w:rsidR="00D758BF">
        <w:t xml:space="preserve"> and a</w:t>
      </w:r>
      <w:r w:rsidR="00D758BF" w:rsidRPr="00D758BF">
        <w:t xml:space="preserve">ll the measured data are the average values for three replicates in </w:t>
      </w:r>
      <w:r w:rsidR="00D758BF">
        <w:t xml:space="preserve">each effects. </w:t>
      </w:r>
    </w:p>
    <w:p w14:paraId="364A99C4" w14:textId="51AB1A98" w:rsidR="006135B9" w:rsidRPr="001A3325" w:rsidRDefault="00652430" w:rsidP="004B6192">
      <w:pPr>
        <w:pStyle w:val="CETHeading1"/>
        <w:numPr>
          <w:ilvl w:val="1"/>
          <w:numId w:val="22"/>
        </w:numPr>
        <w:tabs>
          <w:tab w:val="left" w:pos="720"/>
        </w:tabs>
        <w:spacing w:line="264" w:lineRule="auto"/>
      </w:pPr>
      <w:bookmarkStart w:id="5" w:name="_Hlk531008372"/>
      <w:bookmarkEnd w:id="3"/>
      <w:bookmarkEnd w:id="4"/>
      <w:r w:rsidRPr="001A3325">
        <w:t>Re</w:t>
      </w:r>
      <w:r w:rsidR="006135B9" w:rsidRPr="001A3325">
        <w:t>sults and Discussions</w:t>
      </w:r>
    </w:p>
    <w:bookmarkEnd w:id="5"/>
    <w:p w14:paraId="310BE752" w14:textId="5379F499" w:rsidR="001A3325" w:rsidRPr="004B6192" w:rsidRDefault="001A3325" w:rsidP="004B6192">
      <w:pPr>
        <w:pStyle w:val="CETheadingx"/>
      </w:pPr>
      <w:r w:rsidRPr="00CE1964">
        <w:t xml:space="preserve">3.1 </w:t>
      </w:r>
      <w:proofErr w:type="spellStart"/>
      <w:r w:rsidR="0030163F" w:rsidRPr="00CE1964">
        <w:t>Brunnaer</w:t>
      </w:r>
      <w:proofErr w:type="spellEnd"/>
      <w:r w:rsidR="0030163F" w:rsidRPr="00CE1964">
        <w:t>–Emmett–Teller (BET) surface area</w:t>
      </w:r>
      <w:r w:rsidR="0030163F" w:rsidRPr="004B6192">
        <w:t xml:space="preserve"> </w:t>
      </w:r>
    </w:p>
    <w:p w14:paraId="51BB3AE9" w14:textId="77777777" w:rsidR="001A3325" w:rsidRDefault="001A3325" w:rsidP="004B6192">
      <w:pPr>
        <w:rPr>
          <w:b/>
        </w:rPr>
      </w:pPr>
      <w:r>
        <w:t>Table 1 shows t</w:t>
      </w:r>
      <w:r w:rsidRPr="00AF5230">
        <w:t xml:space="preserve">he </w:t>
      </w:r>
      <w:r>
        <w:t xml:space="preserve">result of </w:t>
      </w:r>
      <w:proofErr w:type="spellStart"/>
      <w:r w:rsidRPr="001033EA">
        <w:t>Brunnaer</w:t>
      </w:r>
      <w:proofErr w:type="spellEnd"/>
      <w:r w:rsidRPr="001033EA">
        <w:t>–Emmett–Teller (BET) surface area</w:t>
      </w:r>
      <w:r w:rsidRPr="00AF5230">
        <w:t xml:space="preserve"> </w:t>
      </w:r>
      <w:r>
        <w:t xml:space="preserve">for activated carbon </w:t>
      </w:r>
      <w:r w:rsidRPr="000B4DAB">
        <w:rPr>
          <w:noProof/>
        </w:rPr>
        <w:t>and</w:t>
      </w:r>
      <w:r>
        <w:rPr>
          <w:noProof/>
        </w:rPr>
        <w:t xml:space="preserve"> AC-nZVI</w:t>
      </w:r>
      <w:r>
        <w:t xml:space="preserve">. The results showed the activated carbon has higher surface area and pore volume (618.3522 </w:t>
      </w:r>
      <w:r w:rsidRPr="00CF3361">
        <w:t>m²/g</w:t>
      </w:r>
      <w:r>
        <w:t xml:space="preserve">, </w:t>
      </w:r>
      <w:r>
        <w:rPr>
          <w:rFonts w:cs="Arial"/>
          <w:szCs w:val="18"/>
        </w:rPr>
        <w:t xml:space="preserve">0.3684 </w:t>
      </w:r>
      <w:r w:rsidRPr="00E87433">
        <w:rPr>
          <w:rFonts w:cs="Arial"/>
          <w:szCs w:val="18"/>
        </w:rPr>
        <w:t>cm³/g</w:t>
      </w:r>
      <w:r>
        <w:rPr>
          <w:rFonts w:cs="Arial"/>
          <w:szCs w:val="18"/>
        </w:rPr>
        <w:t>; respectively</w:t>
      </w:r>
      <w:r>
        <w:t>) compared to AC-</w:t>
      </w:r>
      <w:proofErr w:type="spellStart"/>
      <w:r>
        <w:t>nZVI</w:t>
      </w:r>
      <w:proofErr w:type="spellEnd"/>
      <w:r>
        <w:t xml:space="preserve"> (157.3585 </w:t>
      </w:r>
      <w:r w:rsidRPr="00CF3361">
        <w:t>m²/g</w:t>
      </w:r>
      <w:r>
        <w:t xml:space="preserve">, 0.1104 </w:t>
      </w:r>
      <w:r w:rsidRPr="00E87433">
        <w:rPr>
          <w:rFonts w:cs="Arial"/>
          <w:szCs w:val="18"/>
        </w:rPr>
        <w:t>cm³/g</w:t>
      </w:r>
      <w:r>
        <w:rPr>
          <w:rFonts w:cs="Arial"/>
          <w:szCs w:val="18"/>
        </w:rPr>
        <w:t>; respectively</w:t>
      </w:r>
      <w:r>
        <w:t xml:space="preserve">). The results indicated that pores in the </w:t>
      </w:r>
      <w:r>
        <w:rPr>
          <w:noProof/>
        </w:rPr>
        <w:t xml:space="preserve">activated carbon </w:t>
      </w:r>
      <w:r>
        <w:t>were filled</w:t>
      </w:r>
      <w:r w:rsidRPr="00CF3361">
        <w:t xml:space="preserve"> </w:t>
      </w:r>
      <w:r>
        <w:t xml:space="preserve">with </w:t>
      </w:r>
      <w:r w:rsidRPr="00A05564">
        <w:rPr>
          <w:noProof/>
        </w:rPr>
        <w:t>added</w:t>
      </w:r>
      <w:r>
        <w:rPr>
          <w:noProof/>
        </w:rPr>
        <w:t xml:space="preserve"> </w:t>
      </w:r>
      <w:r w:rsidRPr="00A05564">
        <w:rPr>
          <w:noProof/>
        </w:rPr>
        <w:t>nZVI</w:t>
      </w:r>
      <w:r w:rsidRPr="00CF3361">
        <w:t xml:space="preserve"> particles</w:t>
      </w:r>
      <w:r>
        <w:t xml:space="preserve"> </w:t>
      </w:r>
      <w:r>
        <w:rPr>
          <w:b/>
        </w:rPr>
        <w:fldChar w:fldCharType="begin" w:fldLock="1"/>
      </w:r>
      <w:r>
        <w:instrText>ADDIN CSL_CITATION {"citationItems":[{"id":"ITEM-1","itemData":{"DOI":"10.1016/j.jhazmat.2009.08.031","ISBN":"0304-3894","ISSN":"03043894","PMID":"19733972","abstract":"Nano-sized zero-valent iron is an effective adsorbent for arsenic removal from drinking water. However, its application may be limited in public water system and small scale water treatment system due to its tiny particle size. In the present work, nanoscale zero-valent iron was supported onto activated carbon (NZVI/AC) by impregnating carbon with ferrous sulfate followed by chemical reduction with NaBH4. Approximate 8.2 wt% of iron was loaded onto carbon and SEM analysis showed that the iron particles in the pores of carbon were needle-shaped with the size of 30-500 ?? 1000-2000 nm. Kinetics study revealed that adsorption of arsenite and arsenate by NZVI/AC was fast in the first 12 h and the equilibrium was achieved in ???72 h. The adsorption capacity of the synthesized sorbent for arsenite and arsenate at pH 6.5 calculated from Langmuir adsorption isotherms in batch experiments was 18.2 and 12.0 mg/g, respectively. Phosphate and silicate markedly decreased the removal of both arsenite and arsenate, while the effect of other anions and humic acid was insignificant. Common metal cations (Ca2+, Mg2+) enhanced arsenate adsorption but ferrous iron (Fe2+) was found to suppress arsenite adsorption. NZVI/AC can be effectively regenerated by elution with 0.1 M NaOH. ?? 2009 Elsevier B.V. All rights reserved.","author":[{"dropping-particle":"","family":"Zhu","given":"Huijie","non-dropping-particle":"","parse-names":false,"suffix":""},{"dropping-particle":"","family":"Jia","given":"Yongfeng","non-dropping-particle":"","parse-names":false,"suffix":""},{"dropping-particle":"","family":"Wu","given":"Xing","non-dropping-particle":"","parse-names":false,"suffix":""},{"dropping-particle":"","family":"Wang","given":"He","non-dropping-particle":"","parse-names":false,"suffix":""}],"container-title":"Journal of Hazardous Materials","id":"ITEM-1","issue":"2-3","issued":{"date-parts":[["2009"]]},"page":"1591-1596","title":"Removal of arsenic from water by supported nano zero-valent iron on activated carbon","type":"article-journal","volume":"172"},"uris":["http://www.mendeley.com/documents/?uuid=8785d8af-5db4-4d2b-a0a9-8c451e4cc8e8"]},{"id":"ITEM-2","itemData":{"DOI":"10.1007/978-3-319-05041-6_15","ISBN":"9783319050416","ISSN":"13880764","author":[{"dropping-particle":"","family":"Chen","given":"Zheng Xian","non-dropping-particle":"","parse-names":false,"suffix":""},{"dropping-particle":"","family":"Cheng","given":"Ying","non-dropping-particle":"","parse-names":false,"suffix":""},{"dropping-particle":"","family":"Chen","given":"Zuliang","non-dropping-particle":"","parse-names":false,"suffix":""},{"dropping-particle":"","family":"Megharaj","given":"Mallavarapu","non-dropping-particle":"","parse-names":false,"suffix":""},{"dropping-particle":"","family":"Naidu","given":"Ravendra","non-dropping-particle":"","parse-names":false,"suffix":""}],"container-title":"Nanotechnology for Sustainable Development, First Edition","id":"ITEM-2","issued":{"date-parts":[["2012"]]},"page":"189-196","title":"Kaolin-supported nanoscale zero-valent iron for removing cationic dye-crystal violet in aqueous solution","type":"article-journal"},"uris":["http://www.mendeley.com/documents/?uuid=406459f9-a479-4e3e-a0f5-2ce4e960072b"]}],"mendeley":{"formattedCitation":"(Zhu et al. 2009; Chen et al. 2012)","plainTextFormattedCitation":"(Zhu et al. 2009; Chen et al. 2012)","previouslyFormattedCitation":"(Chen et al. 2012; Zhu et al. 2009)"},"properties":{"noteIndex":0},"schema":"https://github.com/citation-style-language/schema/raw/master/csl-citation.json"}</w:instrText>
      </w:r>
      <w:r>
        <w:rPr>
          <w:b/>
        </w:rPr>
        <w:fldChar w:fldCharType="separate"/>
      </w:r>
      <w:r w:rsidRPr="0069283B">
        <w:rPr>
          <w:noProof/>
        </w:rPr>
        <w:t>(Zhu et al. 2009; Chen et al. 2012)</w:t>
      </w:r>
      <w:r>
        <w:rPr>
          <w:b/>
        </w:rPr>
        <w:fldChar w:fldCharType="end"/>
      </w:r>
      <w:r>
        <w:t xml:space="preserve">. </w:t>
      </w:r>
    </w:p>
    <w:p w14:paraId="01160F68" w14:textId="11D52AF8" w:rsidR="00E87433" w:rsidRDefault="00E87433" w:rsidP="00CE1964">
      <w:pPr>
        <w:pStyle w:val="CETTabletitle"/>
      </w:pPr>
      <w:r>
        <w:t xml:space="preserve">Table 1: </w:t>
      </w:r>
      <w:r w:rsidR="00CA5BE0" w:rsidRPr="003A4F3E">
        <w:t>Specific surface areas (BET) result for</w:t>
      </w:r>
      <w:r w:rsidR="00CA5BE0">
        <w:t xml:space="preserve"> Activated Carbon and AC-</w:t>
      </w:r>
      <w:proofErr w:type="spellStart"/>
      <w:r w:rsidR="00CA5BE0">
        <w:t>nZVI</w:t>
      </w:r>
      <w:proofErr w:type="spellEnd"/>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33"/>
        <w:gridCol w:w="2633"/>
        <w:gridCol w:w="2633"/>
      </w:tblGrid>
      <w:tr w:rsidR="00E87433" w14:paraId="4FB10A0C" w14:textId="77777777" w:rsidTr="00CE1964">
        <w:trPr>
          <w:trHeight w:val="412"/>
        </w:trPr>
        <w:tc>
          <w:tcPr>
            <w:tcW w:w="2633" w:type="dxa"/>
            <w:tcBorders>
              <w:top w:val="single" w:sz="12" w:space="0" w:color="008000"/>
              <w:left w:val="nil"/>
              <w:bottom w:val="single" w:sz="6" w:space="0" w:color="008000"/>
              <w:right w:val="nil"/>
            </w:tcBorders>
            <w:shd w:val="clear" w:color="auto" w:fill="FFFFFF"/>
            <w:hideMark/>
          </w:tcPr>
          <w:p w14:paraId="4659C1CE" w14:textId="35D3331B" w:rsidR="00E87433" w:rsidRDefault="00E87433" w:rsidP="004B6192">
            <w:pPr>
              <w:pStyle w:val="CETBodytext"/>
              <w:jc w:val="center"/>
              <w:rPr>
                <w:lang w:val="en-GB"/>
              </w:rPr>
            </w:pPr>
            <w:r>
              <w:rPr>
                <w:lang w:val="en-GB"/>
              </w:rPr>
              <w:t>Sample</w:t>
            </w:r>
          </w:p>
        </w:tc>
        <w:tc>
          <w:tcPr>
            <w:tcW w:w="2633" w:type="dxa"/>
            <w:tcBorders>
              <w:top w:val="single" w:sz="12" w:space="0" w:color="008000"/>
              <w:left w:val="nil"/>
              <w:bottom w:val="single" w:sz="6" w:space="0" w:color="008000"/>
              <w:right w:val="nil"/>
            </w:tcBorders>
            <w:shd w:val="clear" w:color="auto" w:fill="FFFFFF"/>
            <w:hideMark/>
          </w:tcPr>
          <w:p w14:paraId="7C6CC393" w14:textId="09A8EF8C" w:rsidR="00E87433" w:rsidRDefault="00E87433" w:rsidP="004B6192">
            <w:pPr>
              <w:pStyle w:val="CETBodytext"/>
              <w:jc w:val="center"/>
              <w:rPr>
                <w:lang w:val="en-GB"/>
              </w:rPr>
            </w:pPr>
            <w:r>
              <w:rPr>
                <w:lang w:val="en-GB"/>
              </w:rPr>
              <w:t>Activated Carbon</w:t>
            </w:r>
          </w:p>
        </w:tc>
        <w:tc>
          <w:tcPr>
            <w:tcW w:w="2633" w:type="dxa"/>
            <w:tcBorders>
              <w:top w:val="single" w:sz="12" w:space="0" w:color="008000"/>
              <w:left w:val="nil"/>
              <w:bottom w:val="single" w:sz="6" w:space="0" w:color="008000"/>
              <w:right w:val="nil"/>
            </w:tcBorders>
            <w:shd w:val="clear" w:color="auto" w:fill="FFFFFF"/>
            <w:hideMark/>
          </w:tcPr>
          <w:p w14:paraId="7397D7C9" w14:textId="7834BC89" w:rsidR="00E87433" w:rsidRDefault="00E87433" w:rsidP="004B6192">
            <w:pPr>
              <w:pStyle w:val="CETBodytext"/>
              <w:jc w:val="center"/>
              <w:rPr>
                <w:lang w:val="en-GB"/>
              </w:rPr>
            </w:pPr>
            <w:r>
              <w:rPr>
                <w:lang w:val="en-GB"/>
              </w:rPr>
              <w:t>AC-</w:t>
            </w:r>
            <w:proofErr w:type="spellStart"/>
            <w:r>
              <w:rPr>
                <w:lang w:val="en-GB"/>
              </w:rPr>
              <w:t>nZVI</w:t>
            </w:r>
            <w:proofErr w:type="spellEnd"/>
          </w:p>
        </w:tc>
      </w:tr>
      <w:tr w:rsidR="00E87433" w14:paraId="5F490C18" w14:textId="77777777" w:rsidTr="00CE1964">
        <w:trPr>
          <w:trHeight w:val="219"/>
        </w:trPr>
        <w:tc>
          <w:tcPr>
            <w:tcW w:w="2633" w:type="dxa"/>
            <w:tcBorders>
              <w:top w:val="nil"/>
              <w:left w:val="nil"/>
              <w:bottom w:val="nil"/>
              <w:right w:val="nil"/>
            </w:tcBorders>
            <w:shd w:val="clear" w:color="auto" w:fill="FFFFFF"/>
            <w:hideMark/>
          </w:tcPr>
          <w:p w14:paraId="55DB438D" w14:textId="7A241968" w:rsidR="00E87433" w:rsidRDefault="00E87433" w:rsidP="004B6192">
            <w:pPr>
              <w:pStyle w:val="CETBodytext"/>
              <w:jc w:val="left"/>
              <w:rPr>
                <w:lang w:val="en-GB"/>
              </w:rPr>
            </w:pPr>
            <w:r w:rsidRPr="00E87433">
              <w:rPr>
                <w:lang w:val="en-GB"/>
              </w:rPr>
              <w:t>BET Surface Area (m²/g)</w:t>
            </w:r>
          </w:p>
        </w:tc>
        <w:tc>
          <w:tcPr>
            <w:tcW w:w="2633" w:type="dxa"/>
            <w:tcBorders>
              <w:top w:val="nil"/>
              <w:left w:val="nil"/>
              <w:bottom w:val="nil"/>
              <w:right w:val="nil"/>
            </w:tcBorders>
            <w:shd w:val="clear" w:color="auto" w:fill="FFFFFF"/>
          </w:tcPr>
          <w:p w14:paraId="57BB6637" w14:textId="7E93FE89" w:rsidR="00E87433" w:rsidRDefault="00E87433" w:rsidP="004B6192">
            <w:pPr>
              <w:pStyle w:val="CETBodytext"/>
              <w:jc w:val="center"/>
              <w:rPr>
                <w:lang w:val="en-GB"/>
              </w:rPr>
            </w:pPr>
            <w:r>
              <w:rPr>
                <w:lang w:val="en-GB"/>
              </w:rPr>
              <w:t>618.3522</w:t>
            </w:r>
          </w:p>
        </w:tc>
        <w:tc>
          <w:tcPr>
            <w:tcW w:w="2633" w:type="dxa"/>
            <w:tcBorders>
              <w:top w:val="nil"/>
              <w:left w:val="nil"/>
              <w:bottom w:val="nil"/>
              <w:right w:val="nil"/>
            </w:tcBorders>
            <w:shd w:val="clear" w:color="auto" w:fill="FFFFFF"/>
          </w:tcPr>
          <w:p w14:paraId="4B4D3EB2" w14:textId="1CF068D8" w:rsidR="00E87433" w:rsidRDefault="00E87433" w:rsidP="004B6192">
            <w:pPr>
              <w:pStyle w:val="CETBodytext"/>
              <w:jc w:val="center"/>
              <w:rPr>
                <w:lang w:val="en-GB"/>
              </w:rPr>
            </w:pPr>
            <w:r>
              <w:rPr>
                <w:lang w:val="en-GB"/>
              </w:rPr>
              <w:t>157.3585</w:t>
            </w:r>
          </w:p>
        </w:tc>
      </w:tr>
      <w:tr w:rsidR="00E87433" w14:paraId="7CE66A34" w14:textId="77777777" w:rsidTr="00CE1964">
        <w:trPr>
          <w:trHeight w:val="80"/>
        </w:trPr>
        <w:tc>
          <w:tcPr>
            <w:tcW w:w="2633" w:type="dxa"/>
            <w:tcBorders>
              <w:top w:val="nil"/>
              <w:left w:val="nil"/>
              <w:bottom w:val="nil"/>
              <w:right w:val="nil"/>
            </w:tcBorders>
            <w:shd w:val="clear" w:color="auto" w:fill="FFFFFF"/>
          </w:tcPr>
          <w:p w14:paraId="1061DB86" w14:textId="1E9DB016" w:rsidR="00E87433" w:rsidRDefault="00E87433" w:rsidP="004B6192">
            <w:pPr>
              <w:pStyle w:val="CETBodytext"/>
              <w:ind w:right="-1"/>
              <w:jc w:val="left"/>
              <w:rPr>
                <w:rFonts w:cs="Arial"/>
                <w:szCs w:val="18"/>
                <w:lang w:val="en-GB"/>
              </w:rPr>
            </w:pPr>
            <w:r w:rsidRPr="00E87433">
              <w:rPr>
                <w:rFonts w:cs="Arial"/>
                <w:szCs w:val="18"/>
                <w:lang w:val="en-GB"/>
              </w:rPr>
              <w:t>Pore Volume (cm³/g)</w:t>
            </w:r>
          </w:p>
        </w:tc>
        <w:tc>
          <w:tcPr>
            <w:tcW w:w="2633" w:type="dxa"/>
            <w:tcBorders>
              <w:top w:val="nil"/>
              <w:left w:val="nil"/>
              <w:bottom w:val="nil"/>
              <w:right w:val="nil"/>
            </w:tcBorders>
            <w:shd w:val="clear" w:color="auto" w:fill="FFFFFF"/>
          </w:tcPr>
          <w:p w14:paraId="152F5F40" w14:textId="2EEEE441" w:rsidR="00E87433" w:rsidRDefault="00E87433" w:rsidP="004B6192">
            <w:pPr>
              <w:pStyle w:val="CETBodytext"/>
              <w:ind w:right="-1"/>
              <w:jc w:val="center"/>
              <w:rPr>
                <w:rFonts w:cs="Arial"/>
                <w:szCs w:val="18"/>
                <w:lang w:val="en-GB"/>
              </w:rPr>
            </w:pPr>
            <w:r>
              <w:rPr>
                <w:rFonts w:cs="Arial"/>
                <w:szCs w:val="18"/>
                <w:lang w:val="en-GB"/>
              </w:rPr>
              <w:t>0.3684</w:t>
            </w:r>
          </w:p>
        </w:tc>
        <w:tc>
          <w:tcPr>
            <w:tcW w:w="2633" w:type="dxa"/>
            <w:tcBorders>
              <w:top w:val="nil"/>
              <w:left w:val="nil"/>
              <w:bottom w:val="nil"/>
              <w:right w:val="nil"/>
            </w:tcBorders>
            <w:shd w:val="clear" w:color="auto" w:fill="FFFFFF"/>
          </w:tcPr>
          <w:p w14:paraId="5565DD3C" w14:textId="0858F2F5" w:rsidR="00E87433" w:rsidRDefault="00E87433" w:rsidP="004B6192">
            <w:pPr>
              <w:pStyle w:val="CETBodytext"/>
              <w:ind w:right="-1"/>
              <w:jc w:val="center"/>
              <w:rPr>
                <w:rFonts w:cs="Arial"/>
                <w:szCs w:val="18"/>
                <w:lang w:val="en-GB"/>
              </w:rPr>
            </w:pPr>
            <w:r>
              <w:rPr>
                <w:rFonts w:cs="Arial"/>
                <w:szCs w:val="18"/>
                <w:lang w:val="en-GB"/>
              </w:rPr>
              <w:t>0.1104</w:t>
            </w:r>
          </w:p>
        </w:tc>
      </w:tr>
      <w:tr w:rsidR="00E87433" w14:paraId="1B7C90F7" w14:textId="77777777" w:rsidTr="00CE1964">
        <w:trPr>
          <w:trHeight w:val="206"/>
        </w:trPr>
        <w:tc>
          <w:tcPr>
            <w:tcW w:w="2633" w:type="dxa"/>
            <w:tcBorders>
              <w:top w:val="nil"/>
              <w:left w:val="nil"/>
              <w:bottom w:val="single" w:sz="12" w:space="0" w:color="008000"/>
              <w:right w:val="nil"/>
            </w:tcBorders>
            <w:shd w:val="clear" w:color="auto" w:fill="FFFFFF"/>
          </w:tcPr>
          <w:p w14:paraId="28DCBAD3" w14:textId="4DD786D4" w:rsidR="00E87433" w:rsidRPr="00E87433" w:rsidRDefault="00E87433" w:rsidP="004B6192">
            <w:pPr>
              <w:pStyle w:val="CETBodytext"/>
              <w:ind w:right="-1"/>
              <w:jc w:val="left"/>
              <w:rPr>
                <w:rFonts w:cs="Arial"/>
                <w:szCs w:val="18"/>
                <w:lang w:val="en-GB"/>
              </w:rPr>
            </w:pPr>
            <w:r w:rsidRPr="00E87433">
              <w:rPr>
                <w:rFonts w:cs="Arial"/>
                <w:szCs w:val="18"/>
                <w:lang w:val="en-GB"/>
              </w:rPr>
              <w:t>Pore Size (Å)</w:t>
            </w:r>
          </w:p>
        </w:tc>
        <w:tc>
          <w:tcPr>
            <w:tcW w:w="2633" w:type="dxa"/>
            <w:tcBorders>
              <w:top w:val="nil"/>
              <w:left w:val="nil"/>
              <w:bottom w:val="single" w:sz="12" w:space="0" w:color="008000"/>
              <w:right w:val="nil"/>
            </w:tcBorders>
            <w:shd w:val="clear" w:color="auto" w:fill="FFFFFF"/>
          </w:tcPr>
          <w:p w14:paraId="36F80C71" w14:textId="013780FE" w:rsidR="00E87433" w:rsidRDefault="00E87433" w:rsidP="004B6192">
            <w:pPr>
              <w:pStyle w:val="CETBodytext"/>
              <w:ind w:right="-1"/>
              <w:jc w:val="center"/>
              <w:rPr>
                <w:rFonts w:cs="Arial"/>
                <w:szCs w:val="18"/>
                <w:lang w:val="en-GB"/>
              </w:rPr>
            </w:pPr>
            <w:r>
              <w:rPr>
                <w:rFonts w:cs="Arial"/>
                <w:szCs w:val="18"/>
                <w:lang w:val="en-GB"/>
              </w:rPr>
              <w:t>23.8280</w:t>
            </w:r>
            <w:r w:rsidRPr="00E87433">
              <w:rPr>
                <w:rFonts w:cs="Arial"/>
                <w:szCs w:val="18"/>
                <w:lang w:val="en-GB"/>
              </w:rPr>
              <w:t xml:space="preserve"> (</w:t>
            </w:r>
            <w:r>
              <w:rPr>
                <w:rFonts w:cs="Arial"/>
                <w:szCs w:val="18"/>
                <w:lang w:val="en-GB"/>
              </w:rPr>
              <w:t>2.3828</w:t>
            </w:r>
            <w:r w:rsidRPr="00E87433">
              <w:rPr>
                <w:rFonts w:cs="Arial"/>
                <w:szCs w:val="18"/>
                <w:lang w:val="en-GB"/>
              </w:rPr>
              <w:t xml:space="preserve"> nm)</w:t>
            </w:r>
          </w:p>
        </w:tc>
        <w:tc>
          <w:tcPr>
            <w:tcW w:w="2633" w:type="dxa"/>
            <w:tcBorders>
              <w:top w:val="nil"/>
              <w:left w:val="nil"/>
              <w:bottom w:val="single" w:sz="12" w:space="0" w:color="008000"/>
              <w:right w:val="nil"/>
            </w:tcBorders>
            <w:shd w:val="clear" w:color="auto" w:fill="FFFFFF"/>
          </w:tcPr>
          <w:p w14:paraId="65021215" w14:textId="07783D1C" w:rsidR="00E87433" w:rsidRDefault="00E87433" w:rsidP="004B6192">
            <w:pPr>
              <w:pStyle w:val="CETBodytext"/>
              <w:ind w:right="-1"/>
              <w:jc w:val="center"/>
              <w:rPr>
                <w:rFonts w:cs="Arial"/>
                <w:szCs w:val="18"/>
                <w:lang w:val="en-GB"/>
              </w:rPr>
            </w:pPr>
            <w:r>
              <w:rPr>
                <w:rFonts w:cs="Arial"/>
                <w:szCs w:val="18"/>
                <w:lang w:val="en-GB"/>
              </w:rPr>
              <w:t>28.0597</w:t>
            </w:r>
            <w:r w:rsidRPr="00E87433">
              <w:rPr>
                <w:rFonts w:cs="Arial"/>
                <w:szCs w:val="18"/>
                <w:lang w:val="en-GB"/>
              </w:rPr>
              <w:t xml:space="preserve"> (</w:t>
            </w:r>
            <w:r>
              <w:rPr>
                <w:rFonts w:cs="Arial"/>
                <w:szCs w:val="18"/>
                <w:lang w:val="en-GB"/>
              </w:rPr>
              <w:t>2.8060</w:t>
            </w:r>
            <w:r w:rsidRPr="00E87433">
              <w:rPr>
                <w:rFonts w:cs="Arial"/>
                <w:szCs w:val="18"/>
                <w:lang w:val="en-GB"/>
              </w:rPr>
              <w:t xml:space="preserve"> nm)</w:t>
            </w:r>
          </w:p>
        </w:tc>
      </w:tr>
    </w:tbl>
    <w:p w14:paraId="1B4460A8" w14:textId="77777777" w:rsidR="001A3325" w:rsidRPr="00CE1964" w:rsidRDefault="001A3325" w:rsidP="00CE1964">
      <w:pPr>
        <w:pStyle w:val="CETheadingx"/>
      </w:pPr>
      <w:r w:rsidRPr="00CE1964">
        <w:t xml:space="preserve">3.2 Field Emission Scanning Electron Microscopy (FESEM) </w:t>
      </w:r>
    </w:p>
    <w:p w14:paraId="1B72A43C" w14:textId="3AD0AE6A" w:rsidR="001A3325" w:rsidRDefault="001A3325" w:rsidP="004B6192">
      <w:pPr>
        <w:pStyle w:val="CETBodytext"/>
      </w:pPr>
      <w:r>
        <w:tab/>
        <w:t>FESEM images with EDX spectrum of AC-</w:t>
      </w:r>
      <w:proofErr w:type="spellStart"/>
      <w:r>
        <w:t>nZVI</w:t>
      </w:r>
      <w:proofErr w:type="spellEnd"/>
      <w:r>
        <w:t xml:space="preserve"> are shown in Figure 1. </w:t>
      </w:r>
      <w:r w:rsidRPr="000D2430">
        <w:t xml:space="preserve">The </w:t>
      </w:r>
      <w:r>
        <w:t>AC-</w:t>
      </w:r>
      <w:proofErr w:type="spellStart"/>
      <w:r>
        <w:t>nZVI</w:t>
      </w:r>
      <w:proofErr w:type="spellEnd"/>
      <w:r>
        <w:t xml:space="preserve"> has</w:t>
      </w:r>
      <w:r w:rsidRPr="000D2430">
        <w:t xml:space="preserve"> </w:t>
      </w:r>
      <w:r>
        <w:t>spherical shapes, ranging between 45.61 nm to 69.42 nm</w:t>
      </w:r>
      <w:r w:rsidRPr="0095585C">
        <w:t xml:space="preserve"> and</w:t>
      </w:r>
      <w:r>
        <w:t xml:space="preserve"> were</w:t>
      </w:r>
      <w:r w:rsidRPr="0095585C">
        <w:t xml:space="preserve"> aggregated into a chain-like</w:t>
      </w:r>
      <w:r>
        <w:t xml:space="preserve"> </w:t>
      </w:r>
      <w:r>
        <w:rPr>
          <w:b/>
        </w:rPr>
        <w:fldChar w:fldCharType="begin" w:fldLock="1"/>
      </w:r>
      <w:r>
        <w:instrText>ADDIN CSL_CITATION {"citationItems":[{"id":"ITEM-1","itemData":{"DOI":"10.1016/j.watres.2010.09.025","ISBN":"0043-1354","ISSN":"00431354","PMID":"20950833","abstract":"Bentonite-supported nanoscale zero-valent iron (B-nZVI) was synthesized using liquid-phase reduction. The orthogonal method was used to evaluate the factors impacting Cr(VI) removal and this showed that the initial concentration of Cr(VI), pH, temperature, and B-nZVI loading were all importance factors. Characterization with scanning electron microscopy (SEM) validated the hypothesis that the presence of bentonite led to a decrease in aggregation of iron nanoparticles and a corresponding increase in the specific surface area (SSA) of the iron particles. B-nZVI with a 50% bentonite mass fraction had a SSA of 39.94 m2/g, while the SSA of nZVI and bentonite was 54.04 and 6.03 m2/g, respectively. X-ray diffraction (XRD) confirmed the existence of Fe0 before the reaction and the presence of Fe(II), Fe(III) and Cr(III) after the reaction. Batch experiments revealed that the removal of Cr (VI) using B-nZVI was consistent with pseudo first-order reaction kinetics. Finally, B-nZVI was used to remediate electroplating wastewater with removal efficiencies for Cr, Pb and Cu &gt; 90%. Reuse of B-nZVI after washing with ethylenediaminetetraacetic acid (EDTA) solution was possible but the capacity of B-nZVI for Cr(VI) removal decreased by approximately 70%. ?? 2010 Elsevier Ltd.","author":[{"dropping-particle":"","family":"Shi","given":"Li na","non-dropping-particle":"","parse-names":false,"suffix":""},{"dropping-particle":"","family":"Zhang","given":"Xin","non-dropping-particle":"","parse-names":false,"suffix":""},{"dropping-particle":"","family":"Chen","given":"Zu liang","non-dropping-particle":"","parse-names":false,"suffix":""}],"container-title":"Water Research","id":"ITEM-1","issue":"2","issued":{"date-parts":[["2011"]]},"page":"886-892","publisher":"Elsevier Ltd","title":"Removal of Chromium (VI) from wastewater using bentonite-supported nanoscale zero-valent iron","type":"article-journal","volume":"45"},"uris":["http://www.mendeley.com/documents/?uuid=9dd0013a-dd89-4746-a12f-61daa9affc21"]},{"id":"ITEM-2","itemData":{"DOI":"10.1016/j.jtice.2014.04.019","ISBN":"1876-1070","ISSN":"18761070","abstract":"For evaluation of oxidative degradation of industrial azo dye Rosso Zetanyl B-NG (RZ B-NG), three clay supported nanoscale zero-valent iron materials were synthesized: bentonite, kaolin and native clay-supported nanoscale zero-valent iron (B-nZVI, K-nZVI and NC-nZVI). All clays used as a support material not only dispersed and stabilized nanoscale zero valent iron (nZVI) but also improved the adsorption and degradation of dye as they consequently improved heterogeneous Fenton oxidation. Under the optimal conditions, for the used nanomaterial concentrations of 112, 168 and 224. mg/L for B-nZVI, NC-nZVI and K-nZVI, the decolourization efficiencies achieved were 92.7, 92.1 and 91.6% and appropriate TOC removals were 57.8, 57.2 and 50.7% in the same order. The best catalytic performance was exhibited when B-nZVI was used. These results correlate with the specific surface area and mesoporous structure of the synthesized materials. They contributed to Fenton reaction enhancement by generating effective reaction sites for potential adsorption and subsequent oxidative degradation of the azo dye. Based on these results, all clay supported nanomaterials have proved to be superior heterogeneous Fenton-like catalysts for removing azo dyes from wastewater.","author":[{"dropping-particle":"V.","family":"Kerkez","given":"Djurdja","non-dropping-particle":"","parse-names":false,"suffix":""},{"dropping-particle":"","family":"Tomašević","given":"Dragana D.","non-dropping-particle":"","parse-names":false,"suffix":""},{"dropping-particle":"","family":"Kozma","given":"Gábor","non-dropping-particle":"","parse-names":false,"suffix":""},{"dropping-particle":"","family":"Bečelić-Tomin","given":"Milena R.","non-dropping-particle":"","parse-names":false,"suffix":""},{"dropping-particle":"","family":"Prica","given":"Miljana Dj","non-dropping-particle":"","parse-names":false,"suffix":""},{"dropping-particle":"","family":"Rončević","given":"Srdjan D.","non-dropping-particle":"","parse-names":false,"suffix":""},{"dropping-particle":"","family":"Kukovecz","given":"Ákos","non-dropping-particle":"","parse-names":false,"suffix":""},{"dropping-particle":"","family":"Dalmacija","given":"Božo D.","non-dropping-particle":"","parse-names":false,"suffix":""},{"dropping-particle":"","family":"Kónya","given":"Zoltán","non-dropping-particle":"","parse-names":false,"suffix":""}],"container-title":"Journal of the Taiwan Institute of Chemical Engineers","id":"ITEM-2","issue":"5","issued":{"date-parts":[["2014"]]},"page":"2451-2461","title":"Three different clay-supported nanoscale zero-valent iron materials for industrial azo dye degradation: A comparative study","type":"article-journal","volume":"45"},"uris":["http://www.mendeley.com/documents/?uuid=e68f3437-d615-4776-a01d-8b8d5c0c808f"]}],"mendeley":{"formattedCitation":"(Shi, Zhang, and Chen 2011; Kerkez et al. 2014)","manualFormatting":"(Shi, et al., 2011; Kerkez et al. 2014)","plainTextFormattedCitation":"(Shi, Zhang, and Chen 2011; Kerkez et al. 2014)","previouslyFormattedCitation":"(Kerkez et al. 2014; Shi, Zhang, and Chen 2011)"},"properties":{"noteIndex":0},"schema":"https://github.com/citation-style-language/schema/raw/master/csl-citation.json"}</w:instrText>
      </w:r>
      <w:r>
        <w:rPr>
          <w:b/>
        </w:rPr>
        <w:fldChar w:fldCharType="separate"/>
      </w:r>
      <w:r w:rsidRPr="0069283B">
        <w:rPr>
          <w:noProof/>
        </w:rPr>
        <w:t xml:space="preserve">(Shi, </w:t>
      </w:r>
      <w:r>
        <w:rPr>
          <w:noProof/>
        </w:rPr>
        <w:t xml:space="preserve">et al., </w:t>
      </w:r>
      <w:r w:rsidRPr="0069283B">
        <w:rPr>
          <w:noProof/>
        </w:rPr>
        <w:t>2011; Kerkez et al.</w:t>
      </w:r>
      <w:r>
        <w:rPr>
          <w:noProof/>
        </w:rPr>
        <w:t>,</w:t>
      </w:r>
      <w:r w:rsidRPr="0069283B">
        <w:rPr>
          <w:noProof/>
        </w:rPr>
        <w:t xml:space="preserve"> 2014)</w:t>
      </w:r>
      <w:r>
        <w:rPr>
          <w:b/>
        </w:rPr>
        <w:fldChar w:fldCharType="end"/>
      </w:r>
      <w:r>
        <w:t xml:space="preserve"> on activated carbon surface. The aggregation of </w:t>
      </w:r>
      <w:proofErr w:type="spellStart"/>
      <w:r>
        <w:t>nZVI</w:t>
      </w:r>
      <w:proofErr w:type="spellEnd"/>
      <w:r>
        <w:t xml:space="preserve"> was due its </w:t>
      </w:r>
      <w:r w:rsidRPr="003508FF">
        <w:t>huge interface energy and magnetic property</w:t>
      </w:r>
      <w:r>
        <w:t xml:space="preserve"> </w:t>
      </w:r>
      <w:r>
        <w:rPr>
          <w:b/>
        </w:rPr>
        <w:fldChar w:fldCharType="begin" w:fldLock="1"/>
      </w:r>
      <w:r>
        <w:instrText>ADDIN CSL_CITATION {"citationItems":[{"id":"ITEM-1","itemData":{"DOI":"10.1371/journal.pone.0132067","ISSN":"19326203","PMID":"26204523","abstract":"The presence of organic contaminants in industrial effluents is an environmental concern of increasing global importance. One innovative technology for treating contaminated industrial effluents is nanoscale zero-valent iron supported on biochar (nZVI/BC). Based on Transmission Electron Microscopy, X-Ray Diffraction, and Brunauer-Emmett-Teller characterizations, the nZVI was well dispersed on the biochar and aggregation was dramatically reduced. Methyl orange (MO) served as the representative organic contaminant for verifying the effectiveness of the composite. Using decolorization efficiency as an indicator of treatment effectiveness, increasing doses of nZVI/BC yielded progressively better results with 98.51% of MO decolorized by 0.6 g/L of composite at an nZVI/BC mass ratio of 1:5. The superior decolorization efficiency of the nZVI/BC was attributed to the increase in the dispersion and reactivity of nZVI while biochar increasing the contact area with contaminant and the adsorption of composites. Additionally, the buffering function of acid-washed biochar could be in favor of maintaining the reactivity of nZVI. Furthermore, the aging nZVI/BC for 30 day was able to maintain the removal efficiency indicating that the oxidation of nZVI may be delayed in the presence of biochar. Therefore, the composite of nZVI/BC could represent an effective functional material for treating wastewater containing organic dyes in the future.","author":[{"dropping-particle":"","family":"Han","given":"Lu","non-dropping-particle":"","parse-names":false,"suffix":""},{"dropping-particle":"","family":"Xue","given":"Song","non-dropping-particle":"","parse-names":false,"suffix":""},{"dropping-particle":"","family":"Zhao","given":"Shichen","non-dropping-particle":"","parse-names":false,"suffix":""},{"dropping-particle":"","family":"Yan","given":"Jingchun","non-dropping-particle":"","parse-names":false,"suffix":""},{"dropping-particle":"","family":"Qian","given":"Linbo","non-dropping-particle":"","parse-names":false,"suffix":""},{"dropping-particle":"","family":"Chen","given":"Mengfang","non-dropping-particle":"","parse-names":false,"suffix":""}],"container-title":"PLoS ONE","id":"ITEM-1","issue":"7","issued":{"date-parts":[["2015"]]},"page":"1-15","title":"Biochar supported nanoscale iron particles for the efficient removal of methyl orange dye in aqueous solutions","type":"article-journal","volume":"10"},"uris":["http://www.mendeley.com/documents/?uuid=95951e2e-181d-43db-83df-c16f1999934d"]}],"mendeley":{"formattedCitation":"(Han et al. 2015)","manualFormatting":"(Han et al., 2015)","plainTextFormattedCitation":"(Han et al. 2015)","previouslyFormattedCitation":"(Han et al. 2015)"},"properties":{"noteIndex":0},"schema":"https://github.com/citation-style-language/schema/raw/master/csl-citation.json"}</w:instrText>
      </w:r>
      <w:r>
        <w:rPr>
          <w:b/>
        </w:rPr>
        <w:fldChar w:fldCharType="separate"/>
      </w:r>
      <w:r w:rsidRPr="0069283B">
        <w:rPr>
          <w:noProof/>
        </w:rPr>
        <w:t>(Han et al.</w:t>
      </w:r>
      <w:r>
        <w:rPr>
          <w:noProof/>
        </w:rPr>
        <w:t>,</w:t>
      </w:r>
      <w:r w:rsidRPr="0069283B">
        <w:rPr>
          <w:noProof/>
        </w:rPr>
        <w:t xml:space="preserve"> 2015)</w:t>
      </w:r>
      <w:r>
        <w:rPr>
          <w:b/>
        </w:rPr>
        <w:fldChar w:fldCharType="end"/>
      </w:r>
      <w:r>
        <w:t xml:space="preserve">. </w:t>
      </w:r>
      <w:r w:rsidRPr="000D2430">
        <w:t xml:space="preserve">The EDX </w:t>
      </w:r>
      <w:r>
        <w:t>image and EDX spectrum</w:t>
      </w:r>
      <w:r w:rsidRPr="000D2430">
        <w:t xml:space="preserve"> </w:t>
      </w:r>
      <w:r>
        <w:t xml:space="preserve">in </w:t>
      </w:r>
      <w:r w:rsidRPr="000D2430">
        <w:t>Fig</w:t>
      </w:r>
      <w:r>
        <w:t>ure 1(b) and Figure 1(c) c</w:t>
      </w:r>
      <w:r w:rsidRPr="000D2430">
        <w:t>ontain</w:t>
      </w:r>
      <w:r>
        <w:t>ed</w:t>
      </w:r>
      <w:r w:rsidRPr="000D2430">
        <w:t xml:space="preserve"> intense peaks of </w:t>
      </w:r>
      <w:r>
        <w:t>Fe</w:t>
      </w:r>
      <w:r w:rsidRPr="000D2430">
        <w:t xml:space="preserve">, </w:t>
      </w:r>
      <w:r>
        <w:t xml:space="preserve">C, O and </w:t>
      </w:r>
      <w:r w:rsidRPr="000D2430">
        <w:t>Na. The</w:t>
      </w:r>
      <w:r>
        <w:t xml:space="preserve"> elements of Fe, C, O and Na were </w:t>
      </w:r>
      <w:r w:rsidRPr="000D2430">
        <w:t>originat</w:t>
      </w:r>
      <w:r>
        <w:t>ed</w:t>
      </w:r>
      <w:r w:rsidRPr="000D2430">
        <w:t xml:space="preserve"> from </w:t>
      </w:r>
      <w:r>
        <w:t>f</w:t>
      </w:r>
      <w:r w:rsidRPr="006D297C">
        <w:t>erric chloride</w:t>
      </w:r>
      <w:r>
        <w:t xml:space="preserve">, </w:t>
      </w:r>
      <w:r w:rsidRPr="006D297C">
        <w:t>sodium borohydride</w:t>
      </w:r>
      <w:r>
        <w:t xml:space="preserve"> and activated carbon</w:t>
      </w:r>
      <w:r w:rsidRPr="006D297C">
        <w:t xml:space="preserve"> used to synthesize</w:t>
      </w:r>
      <w:r>
        <w:t xml:space="preserve"> the AC-</w:t>
      </w:r>
      <w:proofErr w:type="spellStart"/>
      <w:r>
        <w:t>nZVI</w:t>
      </w:r>
      <w:proofErr w:type="spellEnd"/>
      <w:r>
        <w:t>.</w:t>
      </w:r>
    </w:p>
    <w:p w14:paraId="326CE4BF" w14:textId="72BFE070" w:rsidR="00C5650F" w:rsidRDefault="00C5650F" w:rsidP="004B6192">
      <w:pPr>
        <w:pStyle w:val="CETBodytext"/>
      </w:pPr>
      <w:bookmarkStart w:id="6" w:name="_GoBack"/>
      <w:r w:rsidRPr="0007606A">
        <w:rPr>
          <w:noProof/>
          <w:lang w:val="it-IT" w:eastAsia="it-IT"/>
        </w:rPr>
        <w:drawing>
          <wp:anchor distT="0" distB="0" distL="114300" distR="114300" simplePos="0" relativeHeight="251716608" behindDoc="0" locked="0" layoutInCell="1" allowOverlap="1" wp14:anchorId="74D8069F" wp14:editId="383618F3">
            <wp:simplePos x="0" y="0"/>
            <wp:positionH relativeFrom="column">
              <wp:posOffset>4090035</wp:posOffset>
            </wp:positionH>
            <wp:positionV relativeFrom="paragraph">
              <wp:posOffset>64770</wp:posOffset>
            </wp:positionV>
            <wp:extent cx="1713230" cy="1583690"/>
            <wp:effectExtent l="0" t="0" r="1270" b="0"/>
            <wp:wrapNone/>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cstate="print"/>
                    <a:srcRect/>
                    <a:stretch>
                      <a:fillRect/>
                    </a:stretch>
                  </pic:blipFill>
                  <pic:spPr bwMode="auto">
                    <a:xfrm>
                      <a:off x="0" y="0"/>
                      <a:ext cx="1713230" cy="158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6"/>
      <w:r w:rsidRPr="0007606A">
        <w:rPr>
          <w:noProof/>
          <w:lang w:val="it-IT" w:eastAsia="it-IT"/>
        </w:rPr>
        <w:drawing>
          <wp:anchor distT="0" distB="0" distL="114300" distR="114300" simplePos="0" relativeHeight="251714560" behindDoc="0" locked="0" layoutInCell="1" allowOverlap="1" wp14:anchorId="3C07B58C" wp14:editId="0B6C00F1">
            <wp:simplePos x="0" y="0"/>
            <wp:positionH relativeFrom="column">
              <wp:posOffset>2192020</wp:posOffset>
            </wp:positionH>
            <wp:positionV relativeFrom="paragraph">
              <wp:posOffset>14605</wp:posOffset>
            </wp:positionV>
            <wp:extent cx="1791970" cy="1779270"/>
            <wp:effectExtent l="0" t="0" r="0" b="0"/>
            <wp:wrapNone/>
            <wp:docPr id="10"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cstate="print"/>
                    <a:srcRect/>
                    <a:stretch>
                      <a:fillRect/>
                    </a:stretch>
                  </pic:blipFill>
                  <pic:spPr bwMode="auto">
                    <a:xfrm>
                      <a:off x="0" y="0"/>
                      <a:ext cx="1791970" cy="1779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180F4DA" w14:textId="2CF983CA" w:rsidR="00C5650F" w:rsidRDefault="00C5650F" w:rsidP="00C5650F">
      <w:pPr>
        <w:pStyle w:val="CETBodytext"/>
      </w:pPr>
      <w:r>
        <w:rPr>
          <w:noProof/>
          <w:lang w:val="it-IT" w:eastAsia="it-IT"/>
        </w:rPr>
        <mc:AlternateContent>
          <mc:Choice Requires="wps">
            <w:drawing>
              <wp:anchor distT="0" distB="0" distL="114300" distR="114300" simplePos="0" relativeHeight="251668480" behindDoc="0" locked="0" layoutInCell="1" allowOverlap="1" wp14:anchorId="66CB4A83" wp14:editId="4E875DEC">
                <wp:simplePos x="0" y="0"/>
                <wp:positionH relativeFrom="column">
                  <wp:posOffset>4498975</wp:posOffset>
                </wp:positionH>
                <wp:positionV relativeFrom="paragraph">
                  <wp:posOffset>93345</wp:posOffset>
                </wp:positionV>
                <wp:extent cx="195580" cy="19050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195580" cy="1905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562E35" w14:textId="77777777" w:rsidR="001A3325" w:rsidRPr="007D1B05" w:rsidRDefault="001A3325" w:rsidP="001A3325">
                            <w:pPr>
                              <w:spacing w:line="240" w:lineRule="auto"/>
                              <w:jc w:val="left"/>
                              <w:rPr>
                                <w:sz w:val="14"/>
                                <w:lang w:val="en-MY"/>
                              </w:rPr>
                            </w:pPr>
                            <w:r>
                              <w:rPr>
                                <w:sz w:val="14"/>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354.25pt;margin-top:7.35pt;width:15.4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" fillcolor="white [3201]" strokecolor="black [3213]" strokeweight=".25pt">
                <v:textbox>
                  <w:txbxContent>
                    <w:p w14:paraId="63562E35" w14:textId="77777777" w:rsidR="001A3325" w:rsidRPr="007D1B05" w:rsidRDefault="001A3325" w:rsidP="001A3325">
                      <w:pPr>
                        <w:spacing w:line="240" w:lineRule="auto"/>
                        <w:jc w:val="left"/>
                        <w:rPr>
                          <w:sz w:val="14"/>
                          <w:lang w:val="en-MY"/>
                        </w:rPr>
                      </w:pPr>
                      <w:r>
                        <w:rPr>
                          <w:sz w:val="14"/>
                          <w:lang w:val="en-MY"/>
                        </w:rPr>
                        <w:t>c</w:t>
                      </w:r>
                    </w:p>
                  </w:txbxContent>
                </v:textbox>
              </v:rect>
            </w:pict>
          </mc:Fallback>
        </mc:AlternateContent>
      </w:r>
      <w:r>
        <w:rPr>
          <w:noProof/>
          <w:lang w:val="it-IT" w:eastAsia="it-IT"/>
        </w:rPr>
        <w:drawing>
          <wp:inline distT="0" distB="0" distL="0" distR="0" wp14:anchorId="2378A79D" wp14:editId="6E636E4C">
            <wp:extent cx="2014406" cy="1510748"/>
            <wp:effectExtent l="0" t="0" r="5080" b="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14406" cy="1510748"/>
                    </a:xfrm>
                    <a:prstGeom prst="rect">
                      <a:avLst/>
                    </a:prstGeom>
                  </pic:spPr>
                </pic:pic>
              </a:graphicData>
            </a:graphic>
          </wp:inline>
        </w:drawing>
      </w:r>
    </w:p>
    <w:p w14:paraId="0B3E2943" w14:textId="77777777" w:rsidR="00C5650F" w:rsidRDefault="00C5650F" w:rsidP="00C5650F">
      <w:pPr>
        <w:pStyle w:val="CETBodytext"/>
        <w:rPr>
          <w:i/>
        </w:rPr>
      </w:pPr>
    </w:p>
    <w:p w14:paraId="6AC1AF8D" w14:textId="1CF5C3CB" w:rsidR="00C5650F" w:rsidRDefault="00C5650F" w:rsidP="00C5650F">
      <w:pPr>
        <w:pStyle w:val="CETBodytext"/>
        <w:rPr>
          <w:i/>
        </w:rPr>
      </w:pPr>
      <w:r>
        <w:rPr>
          <w:i/>
        </w:rPr>
        <w:t xml:space="preserve">Figure 1: </w:t>
      </w:r>
      <w:r w:rsidRPr="00CA5BE0">
        <w:rPr>
          <w:i/>
        </w:rPr>
        <w:t>Field Emission Scanning Electron Microscopy (FESEM) results for AC-</w:t>
      </w:r>
      <w:proofErr w:type="spellStart"/>
      <w:r w:rsidRPr="00CA5BE0">
        <w:rPr>
          <w:i/>
        </w:rPr>
        <w:t>nZVI</w:t>
      </w:r>
      <w:proofErr w:type="spellEnd"/>
      <w:r w:rsidRPr="00CA5BE0">
        <w:t xml:space="preserve"> </w:t>
      </w:r>
      <w:r w:rsidRPr="00CA5BE0">
        <w:rPr>
          <w:i/>
        </w:rPr>
        <w:t>(a) Mag=100000X</w:t>
      </w:r>
      <w:r>
        <w:rPr>
          <w:i/>
        </w:rPr>
        <w:t xml:space="preserve"> (b) EDX- image and (c) EDX spectrum</w:t>
      </w:r>
    </w:p>
    <w:p w14:paraId="3AE18BBA" w14:textId="77777777" w:rsidR="001A3325" w:rsidRDefault="001A3325" w:rsidP="00CE1964">
      <w:pPr>
        <w:pStyle w:val="CETheadingx"/>
      </w:pPr>
      <w:r>
        <w:t>3.</w:t>
      </w:r>
      <w:r w:rsidRPr="001033EA">
        <w:t>3 X-Ray Diffraction (XRD)</w:t>
      </w:r>
    </w:p>
    <w:p w14:paraId="75192816" w14:textId="365DDBB6" w:rsidR="001A3325" w:rsidRDefault="001A3325" w:rsidP="004B6192">
      <w:pPr>
        <w:pStyle w:val="CETBodytext"/>
      </w:pPr>
      <w:r>
        <w:t>Figure 3 shows the XRD patterns of the activated carbon and AC-</w:t>
      </w:r>
      <w:proofErr w:type="spellStart"/>
      <w:r>
        <w:t>nZVI</w:t>
      </w:r>
      <w:proofErr w:type="spellEnd"/>
      <w:r>
        <w:t>. The XRD pattern of activated carbon, graphite and carbon oxide were indicated at the peaks of 24.7° and 27°respectively. In AC-</w:t>
      </w:r>
      <w:proofErr w:type="spellStart"/>
      <w:r>
        <w:t>nZVI</w:t>
      </w:r>
      <w:proofErr w:type="spellEnd"/>
      <w:r>
        <w:t xml:space="preserve">, </w:t>
      </w:r>
      <w:r w:rsidRPr="00883C10">
        <w:rPr>
          <w:noProof/>
        </w:rPr>
        <w:t>small</w:t>
      </w:r>
      <w:r>
        <w:t xml:space="preserve"> peak at </w:t>
      </w:r>
      <w:r w:rsidRPr="001057E2">
        <w:t>2θ = 44.9° corresponded to the formation of zero valent iron</w:t>
      </w:r>
      <w:r>
        <w:t xml:space="preserve"> </w:t>
      </w:r>
      <w:r>
        <w:rPr>
          <w:b/>
        </w:rPr>
        <w:fldChar w:fldCharType="begin" w:fldLock="1"/>
      </w:r>
      <w:r>
        <w:instrText>ADDIN CSL_CITATION {"citationItems":[{"id":"ITEM-1","itemData":{"DOI":"10.3844/ajessp.2015.115.124","ISSN":"1553-345X","author":[{"dropping-particle":"","family":"Yaacob","given":"Wan Zuhairi Wan","non-dropping-particle":"","parse-names":false,"suffix":""},{"dropping-particle":"","family":"How","given":"Ho Kuok","non-dropping-particle":"","parse-names":false,"suffix":""}],"container-title":"American Journal of Environmental Sciences","id":"ITEM-1","issue":"2","issued":{"date-parts":[["2015"]]},"page":"115-124","title":"Synthesis and Characterization of Marine Clay-Supported Nano Zero Valent Iron","type":"article-journal","volume":"11"},"uris":["http://www.mendeley.com/documents/?uuid=639b2b90-1018-4f40-bc37-42c0366350eb"]},{"id":"ITEM-2","itemData":{"author":[{"dropping-particle":"","family":"Al-Dokheily","given":"Mohsin E","non-dropping-particle":"","parse-names":false,"suffix":""},{"dropping-particle":"","family":"Sadoon","given":"Abd Al-Baqr. J.","non-dropping-particle":"","parse-names":false,"suffix":""}],"container-title":"Chemical and Process Engineering Research","id":"ITEM-2","issued":{"date-parts":[["2015"]]},"title":"Synthesis of Iron Nanoparticles and Applications in the Removal of Heavy Metals from Aqueous Solutions","type":"article-journal","volume":"34"},"uris":["http://www.mendeley.com/documents/?uuid=05f36555-4df8-4bb0-82c3-b64efad62bb7"]}],"mendeley":{"formattedCitation":"(Yaacob and How 2015; Al-Dokheily and Sadoon 2015)","manualFormatting":"(Yaacob and How, 2015; Al-Dokheily and Sadoon, 2015)","plainTextFormattedCitation":"(Yaacob and How 2015; Al-Dokheily and Sadoon 2015)","previouslyFormattedCitation":"(Al-Dokheily and Sadoon 2015; Yaacob and How 2015)"},"properties":{"noteIndex":0},"schema":"https://github.com/citation-style-language/schema/raw/master/csl-citation.json"}</w:instrText>
      </w:r>
      <w:r>
        <w:rPr>
          <w:b/>
        </w:rPr>
        <w:fldChar w:fldCharType="separate"/>
      </w:r>
      <w:r w:rsidRPr="0069283B">
        <w:rPr>
          <w:noProof/>
        </w:rPr>
        <w:t>(Yaacob and How</w:t>
      </w:r>
      <w:r>
        <w:rPr>
          <w:noProof/>
        </w:rPr>
        <w:t>,</w:t>
      </w:r>
      <w:r w:rsidRPr="0069283B">
        <w:rPr>
          <w:noProof/>
        </w:rPr>
        <w:t xml:space="preserve"> 2015; Al-Dokheily and Sadoon</w:t>
      </w:r>
      <w:r>
        <w:rPr>
          <w:noProof/>
        </w:rPr>
        <w:t xml:space="preserve">, </w:t>
      </w:r>
      <w:r w:rsidRPr="0069283B">
        <w:rPr>
          <w:noProof/>
        </w:rPr>
        <w:t>2015)</w:t>
      </w:r>
      <w:r>
        <w:rPr>
          <w:b/>
        </w:rPr>
        <w:fldChar w:fldCharType="end"/>
      </w:r>
      <w:r>
        <w:t xml:space="preserve">. </w:t>
      </w:r>
    </w:p>
    <w:p w14:paraId="1978F467" w14:textId="77777777" w:rsidR="001A3325" w:rsidRPr="001033EA" w:rsidRDefault="001A3325" w:rsidP="00CE1964">
      <w:pPr>
        <w:pStyle w:val="CETheadingx"/>
      </w:pPr>
      <w:r>
        <w:t>3.</w:t>
      </w:r>
      <w:r w:rsidRPr="001033EA">
        <w:t>4 X-ray Photoelectron Spectroscopy with Auger Electron Spectroscopy (XPS-AES)</w:t>
      </w:r>
    </w:p>
    <w:p w14:paraId="78D71923" w14:textId="77777777" w:rsidR="001A3325" w:rsidRDefault="001A3325" w:rsidP="004B6192">
      <w:pPr>
        <w:pStyle w:val="CETBodytext"/>
        <w:rPr>
          <w:b/>
        </w:rPr>
      </w:pPr>
      <w:r>
        <w:t xml:space="preserve">Figure 3 shows the </w:t>
      </w:r>
      <w:r w:rsidRPr="00852DF6">
        <w:t xml:space="preserve">X-ray photoelectron spectroscopy </w:t>
      </w:r>
      <w:r>
        <w:t>and</w:t>
      </w:r>
      <w:r w:rsidRPr="00852DF6">
        <w:t xml:space="preserve"> Auger Electron Spectroscopy (XPS-AES)</w:t>
      </w:r>
      <w:r>
        <w:t xml:space="preserve"> spectrum of </w:t>
      </w:r>
      <w:r>
        <w:rPr>
          <w:noProof/>
        </w:rPr>
        <w:t>activated carbon and AC-nZVI</w:t>
      </w:r>
      <w:r>
        <w:t>. As displayed in Figure 1(a), only O and C were found on activated carbon surface while Na, Fe, O, C, and B were distributed on AC-</w:t>
      </w:r>
      <w:proofErr w:type="spellStart"/>
      <w:r>
        <w:t>nZVI</w:t>
      </w:r>
      <w:proofErr w:type="spellEnd"/>
      <w:r>
        <w:t xml:space="preserve"> surface. Na and B were</w:t>
      </w:r>
      <w:r w:rsidRPr="00EC1E3F">
        <w:t xml:space="preserve"> expected</w:t>
      </w:r>
      <w:r>
        <w:t xml:space="preserve"> to be </w:t>
      </w:r>
      <w:r>
        <w:lastRenderedPageBreak/>
        <w:t>present</w:t>
      </w:r>
      <w:r w:rsidRPr="00EC1E3F">
        <w:t xml:space="preserve"> as </w:t>
      </w:r>
      <w:bookmarkStart w:id="7" w:name="_Hlk531358589"/>
      <w:r w:rsidRPr="00EC1E3F">
        <w:t>NaBH</w:t>
      </w:r>
      <w:r w:rsidRPr="0084215F">
        <w:rPr>
          <w:vertAlign w:val="subscript"/>
        </w:rPr>
        <w:t>4</w:t>
      </w:r>
      <w:r w:rsidRPr="00EC1E3F">
        <w:t xml:space="preserve"> was used to synthesize </w:t>
      </w:r>
      <w:bookmarkEnd w:id="7"/>
      <w:r>
        <w:t>AC-</w:t>
      </w:r>
      <w:proofErr w:type="spellStart"/>
      <w:r>
        <w:t>nZVI</w:t>
      </w:r>
      <w:proofErr w:type="spellEnd"/>
      <w:r>
        <w:t xml:space="preserve"> </w:t>
      </w:r>
      <w:r>
        <w:rPr>
          <w:b/>
        </w:rPr>
        <w:fldChar w:fldCharType="begin" w:fldLock="1"/>
      </w:r>
      <w:r>
        <w:instrText>ADDIN CSL_CITATION {"citationItems":[{"id":"ITEM-1","itemData":{"DOI":"10.3844/ajessp.2015.115.124","ISSN":"1553-345X","author":[{"dropping-particle":"","family":"Yaacob","given":"Wan Zuhairi Wan","non-dropping-particle":"","parse-names":false,"suffix":""},{"dropping-particle":"","family":"How","given":"Ho Kuok","non-dropping-particle":"","parse-names":false,"suffix":""}],"container-title":"American Journal of Environmental Sciences","id":"ITEM-1","issue":"2","issued":{"date-parts":[["2015"]]},"page":"115-124","title":"Synthesis and Characterization of Marine Clay-Supported Nano Zero Valent Iron","type":"article-journal","volume":"11"},"uris":["http://www.mendeley.com/documents/?uuid=639b2b90-1018-4f40-bc37-42c0366350eb"]}],"mendeley":{"formattedCitation":"(Yaacob and How 2015)","plainTextFormattedCitation":"(Yaacob and How 2015)","previouslyFormattedCitation":"(Yaacob and How 2015)"},"properties":{"noteIndex":0},"schema":"https://github.com/citation-style-language/schema/raw/master/csl-citation.json"}</w:instrText>
      </w:r>
      <w:r>
        <w:rPr>
          <w:b/>
        </w:rPr>
        <w:fldChar w:fldCharType="separate"/>
      </w:r>
      <w:r w:rsidRPr="0069283B">
        <w:rPr>
          <w:noProof/>
        </w:rPr>
        <w:t>(Yaacob and How 2015)</w:t>
      </w:r>
      <w:r>
        <w:rPr>
          <w:b/>
        </w:rPr>
        <w:fldChar w:fldCharType="end"/>
      </w:r>
      <w:r>
        <w:t>.</w:t>
      </w:r>
      <w:r w:rsidRPr="00525852">
        <w:t xml:space="preserve"> </w:t>
      </w:r>
      <w:r>
        <w:t xml:space="preserve">According to </w:t>
      </w:r>
      <w:r>
        <w:rPr>
          <w:b/>
        </w:rPr>
        <w:fldChar w:fldCharType="begin" w:fldLock="1"/>
      </w:r>
      <w:r>
        <w:instrText>ADDIN CSL_CITATION {"citationItems":[{"id":"ITEM-1","itemData":{"DOI":"10.3844/ajessp.2015.115.124","ISSN":"1553-345X","author":[{"dropping-particle":"","family":"Yaacob","given":"Wan Zuhairi Wan","non-dropping-particle":"","parse-names":false,"suffix":""},{"dropping-particle":"","family":"How","given":"Ho Kuok","non-dropping-particle":"","parse-names":false,"suffix":""}],"container-title":"American Journal of Environmental Sciences","id":"ITEM-1","issue":"2","issued":{"date-parts":[["2015"]]},"page":"115-124","title":"Synthesis and Characterization of Marine Clay-Supported Nano Zero Valent Iron","type":"article-journal","volume":"11"},"uris":["http://www.mendeley.com/documents/?uuid=639b2b90-1018-4f40-bc37-42c0366350eb"]}],"mendeley":{"formattedCitation":"(Yaacob and How 2015)","plainTextFormattedCitation":"(Yaacob and How 2015)","previouslyFormattedCitation":"(Yaacob and How 2015)"},"properties":{"noteIndex":0},"schema":"https://github.com/citation-style-language/schema/raw/master/csl-citation.json"}</w:instrText>
      </w:r>
      <w:r>
        <w:rPr>
          <w:b/>
        </w:rPr>
        <w:fldChar w:fldCharType="separate"/>
      </w:r>
      <w:r w:rsidRPr="0069283B">
        <w:rPr>
          <w:noProof/>
        </w:rPr>
        <w:t>(Yaacob and How</w:t>
      </w:r>
      <w:r>
        <w:rPr>
          <w:noProof/>
        </w:rPr>
        <w:t>,</w:t>
      </w:r>
      <w:r w:rsidRPr="0069283B">
        <w:rPr>
          <w:noProof/>
        </w:rPr>
        <w:t xml:space="preserve"> 2015)</w:t>
      </w:r>
      <w:r>
        <w:rPr>
          <w:b/>
        </w:rPr>
        <w:fldChar w:fldCharType="end"/>
      </w:r>
      <w:r>
        <w:t>, the</w:t>
      </w:r>
      <w:r w:rsidRPr="00EF676C">
        <w:t xml:space="preserve"> peaks at 719.7 eV (Fe0 2p1/2</w:t>
      </w:r>
      <w:r>
        <w:t xml:space="preserve">) </w:t>
      </w:r>
      <w:r w:rsidRPr="00EF676C">
        <w:t xml:space="preserve">corresponding to </w:t>
      </w:r>
      <w:r w:rsidRPr="007849C6">
        <w:rPr>
          <w:noProof/>
        </w:rPr>
        <w:t>zero valent</w:t>
      </w:r>
      <w:r w:rsidRPr="00EF676C">
        <w:t xml:space="preserve"> iron</w:t>
      </w:r>
      <w:r>
        <w:t xml:space="preserve">. </w:t>
      </w:r>
    </w:p>
    <w:p w14:paraId="0D682D12" w14:textId="0F56107F" w:rsidR="001A3325" w:rsidRDefault="00CA5BE0" w:rsidP="00C5650F">
      <w:pPr>
        <w:pStyle w:val="CETBodytext"/>
        <w:rPr>
          <w:i/>
        </w:rPr>
      </w:pPr>
      <w:r>
        <w:t xml:space="preserve">  </w:t>
      </w:r>
      <w:r w:rsidR="00EF70BA">
        <w:t xml:space="preserve">  </w:t>
      </w:r>
    </w:p>
    <w:p w14:paraId="7A51AD52" w14:textId="1C8239AA" w:rsidR="001A3325" w:rsidRDefault="00417871" w:rsidP="007D7E0C">
      <w:pPr>
        <w:pStyle w:val="CETCaption"/>
      </w:pPr>
      <w:r>
        <w:rPr>
          <w:noProof/>
          <w:lang w:val="it-IT" w:eastAsia="it-IT"/>
        </w:rPr>
        <mc:AlternateContent>
          <mc:Choice Requires="wps">
            <w:drawing>
              <wp:anchor distT="0" distB="0" distL="114300" distR="114300" simplePos="0" relativeHeight="251685888" behindDoc="0" locked="0" layoutInCell="1" allowOverlap="1" wp14:anchorId="3A1CB35C" wp14:editId="0EE743B7">
                <wp:simplePos x="0" y="0"/>
                <wp:positionH relativeFrom="column">
                  <wp:posOffset>1443829</wp:posOffset>
                </wp:positionH>
                <wp:positionV relativeFrom="paragraph">
                  <wp:posOffset>1141730</wp:posOffset>
                </wp:positionV>
                <wp:extent cx="859155" cy="316865"/>
                <wp:effectExtent l="0" t="0" r="0" b="0"/>
                <wp:wrapNone/>
                <wp:docPr id="32" name="Rectangle 32"/>
                <wp:cNvGraphicFramePr/>
                <a:graphic xmlns:a="http://schemas.openxmlformats.org/drawingml/2006/main">
                  <a:graphicData uri="http://schemas.microsoft.com/office/word/2010/wordprocessingShape">
                    <wps:wsp>
                      <wps:cNvSpPr/>
                      <wps:spPr>
                        <a:xfrm rot="5400000">
                          <a:off x="0" y="0"/>
                          <a:ext cx="859155" cy="3168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E9DF8A5" w14:textId="77777777" w:rsidR="00417871" w:rsidRPr="00A74D3D" w:rsidRDefault="00417871" w:rsidP="00417871">
                            <w:pPr>
                              <w:jc w:val="center"/>
                              <w:rPr>
                                <w:sz w:val="14"/>
                                <w:lang w:val="en-MY"/>
                              </w:rPr>
                            </w:pPr>
                            <w:r>
                              <w:rPr>
                                <w:sz w:val="14"/>
                                <w:lang w:val="en-MY"/>
                              </w:rPr>
                              <w:t>Carbon Oxide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7" style="position:absolute;left:0;text-align:left;margin-left:113.7pt;margin-top:89.9pt;width:67.65pt;height:24.9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" filled="f" stroked="f" strokeweight="2pt">
                <v:textbox>
                  <w:txbxContent>
                    <w:p w14:paraId="1E9DF8A5" w14:textId="77777777" w:rsidR="00417871" w:rsidRPr="00A74D3D" w:rsidRDefault="00417871" w:rsidP="00417871">
                      <w:pPr>
                        <w:jc w:val="center"/>
                        <w:rPr>
                          <w:sz w:val="14"/>
                          <w:lang w:val="en-MY"/>
                        </w:rPr>
                      </w:pPr>
                      <w:r>
                        <w:rPr>
                          <w:sz w:val="14"/>
                          <w:lang w:val="en-MY"/>
                        </w:rPr>
                        <w:t>Carbon Oxide</w:t>
                      </w:r>
                    </w:p>
                  </w:txbxContent>
                </v:textbox>
              </v:rect>
            </w:pict>
          </mc:Fallback>
        </mc:AlternateContent>
      </w:r>
      <w:r>
        <w:rPr>
          <w:noProof/>
          <w:lang w:val="it-IT" w:eastAsia="it-IT"/>
        </w:rPr>
        <mc:AlternateContent>
          <mc:Choice Requires="wps">
            <w:drawing>
              <wp:anchor distT="0" distB="0" distL="114300" distR="114300" simplePos="0" relativeHeight="251683840" behindDoc="0" locked="0" layoutInCell="1" allowOverlap="1" wp14:anchorId="56727F5C" wp14:editId="19A731F2">
                <wp:simplePos x="0" y="0"/>
                <wp:positionH relativeFrom="column">
                  <wp:posOffset>2507298</wp:posOffset>
                </wp:positionH>
                <wp:positionV relativeFrom="paragraph">
                  <wp:posOffset>1360478</wp:posOffset>
                </wp:positionV>
                <wp:extent cx="643890" cy="238125"/>
                <wp:effectExtent l="0" t="0" r="0" b="0"/>
                <wp:wrapNone/>
                <wp:docPr id="17" name="Rectangle 17"/>
                <wp:cNvGraphicFramePr/>
                <a:graphic xmlns:a="http://schemas.openxmlformats.org/drawingml/2006/main">
                  <a:graphicData uri="http://schemas.microsoft.com/office/word/2010/wordprocessingShape">
                    <wps:wsp>
                      <wps:cNvSpPr/>
                      <wps:spPr>
                        <a:xfrm rot="5400000">
                          <a:off x="0" y="0"/>
                          <a:ext cx="643890" cy="238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733504" w14:textId="77777777" w:rsidR="00417871" w:rsidRPr="00A74D3D" w:rsidRDefault="00417871" w:rsidP="00417871">
                            <w:pPr>
                              <w:jc w:val="center"/>
                              <w:rPr>
                                <w:sz w:val="14"/>
                                <w:lang w:val="en-MY"/>
                              </w:rPr>
                            </w:pPr>
                            <w:r w:rsidRPr="001403F1">
                              <w:rPr>
                                <w:sz w:val="14"/>
                                <w:lang w:val="en-MY"/>
                              </w:rPr>
                              <w:t>Iron, 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left:0;text-align:left;margin-left:197.45pt;margin-top:107.1pt;width:50.7pt;height:18.7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" filled="f" stroked="f" strokeweight="2pt">
                <v:textbox>
                  <w:txbxContent>
                    <w:p w14:paraId="00733504" w14:textId="77777777" w:rsidR="00417871" w:rsidRPr="00A74D3D" w:rsidRDefault="00417871" w:rsidP="00417871">
                      <w:pPr>
                        <w:jc w:val="center"/>
                        <w:rPr>
                          <w:sz w:val="14"/>
                          <w:lang w:val="en-MY"/>
                        </w:rPr>
                      </w:pPr>
                      <w:r w:rsidRPr="001403F1">
                        <w:rPr>
                          <w:sz w:val="14"/>
                          <w:lang w:val="en-MY"/>
                        </w:rPr>
                        <w:t>Iron, Fe</w:t>
                      </w:r>
                    </w:p>
                  </w:txbxContent>
                </v:textbox>
              </v:rect>
            </w:pict>
          </mc:Fallback>
        </mc:AlternateContent>
      </w:r>
      <w:r>
        <w:rPr>
          <w:noProof/>
          <w:lang w:val="it-IT" w:eastAsia="it-IT"/>
        </w:rPr>
        <mc:AlternateContent>
          <mc:Choice Requires="wps">
            <w:drawing>
              <wp:anchor distT="0" distB="0" distL="114300" distR="114300" simplePos="0" relativeHeight="251681792" behindDoc="0" locked="0" layoutInCell="1" allowOverlap="1" wp14:anchorId="31C8CD2E" wp14:editId="15D7A656">
                <wp:simplePos x="0" y="0"/>
                <wp:positionH relativeFrom="column">
                  <wp:posOffset>1447165</wp:posOffset>
                </wp:positionH>
                <wp:positionV relativeFrom="paragraph">
                  <wp:posOffset>272254</wp:posOffset>
                </wp:positionV>
                <wp:extent cx="859155" cy="316865"/>
                <wp:effectExtent l="0" t="0" r="0" b="0"/>
                <wp:wrapNone/>
                <wp:docPr id="23" name="Rectangle 23"/>
                <wp:cNvGraphicFramePr/>
                <a:graphic xmlns:a="http://schemas.openxmlformats.org/drawingml/2006/main">
                  <a:graphicData uri="http://schemas.microsoft.com/office/word/2010/wordprocessingShape">
                    <wps:wsp>
                      <wps:cNvSpPr/>
                      <wps:spPr>
                        <a:xfrm rot="5400000">
                          <a:off x="0" y="0"/>
                          <a:ext cx="859155" cy="3168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7BF69A" w14:textId="77777777" w:rsidR="00417871" w:rsidRPr="00A74D3D" w:rsidRDefault="00417871" w:rsidP="00417871">
                            <w:pPr>
                              <w:jc w:val="center"/>
                              <w:rPr>
                                <w:sz w:val="14"/>
                                <w:lang w:val="en-MY"/>
                              </w:rPr>
                            </w:pPr>
                            <w:r>
                              <w:rPr>
                                <w:sz w:val="14"/>
                                <w:lang w:val="en-MY"/>
                              </w:rPr>
                              <w:t>Carbon Oxide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left:0;text-align:left;margin-left:113.95pt;margin-top:21.45pt;width:67.65pt;height:24.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" filled="f" stroked="f" strokeweight="2pt">
                <v:textbox>
                  <w:txbxContent>
                    <w:p w14:paraId="387BF69A" w14:textId="77777777" w:rsidR="00417871" w:rsidRPr="00A74D3D" w:rsidRDefault="00417871" w:rsidP="00417871">
                      <w:pPr>
                        <w:jc w:val="center"/>
                        <w:rPr>
                          <w:sz w:val="14"/>
                          <w:lang w:val="en-MY"/>
                        </w:rPr>
                      </w:pPr>
                      <w:r>
                        <w:rPr>
                          <w:sz w:val="14"/>
                          <w:lang w:val="en-MY"/>
                        </w:rPr>
                        <w:t>Carbon Oxide</w:t>
                      </w:r>
                    </w:p>
                  </w:txbxContent>
                </v:textbox>
              </v:rect>
            </w:pict>
          </mc:Fallback>
        </mc:AlternateContent>
      </w:r>
      <w:r>
        <w:rPr>
          <w:noProof/>
          <w:lang w:val="it-IT" w:eastAsia="it-IT"/>
        </w:rPr>
        <mc:AlternateContent>
          <mc:Choice Requires="wps">
            <w:drawing>
              <wp:anchor distT="0" distB="0" distL="114300" distR="114300" simplePos="0" relativeHeight="251679744" behindDoc="0" locked="0" layoutInCell="1" allowOverlap="1" wp14:anchorId="087A73DE" wp14:editId="54B36DC7">
                <wp:simplePos x="0" y="0"/>
                <wp:positionH relativeFrom="column">
                  <wp:posOffset>1061877</wp:posOffset>
                </wp:positionH>
                <wp:positionV relativeFrom="paragraph">
                  <wp:posOffset>253047</wp:posOffset>
                </wp:positionV>
                <wp:extent cx="739140" cy="238125"/>
                <wp:effectExtent l="0" t="0" r="0" b="0"/>
                <wp:wrapNone/>
                <wp:docPr id="22" name="Rectangle 22"/>
                <wp:cNvGraphicFramePr/>
                <a:graphic xmlns:a="http://schemas.openxmlformats.org/drawingml/2006/main">
                  <a:graphicData uri="http://schemas.microsoft.com/office/word/2010/wordprocessingShape">
                    <wps:wsp>
                      <wps:cNvSpPr/>
                      <wps:spPr>
                        <a:xfrm rot="5400000">
                          <a:off x="0" y="0"/>
                          <a:ext cx="739140" cy="238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2990D8" w14:textId="77777777" w:rsidR="00417871" w:rsidRPr="00A74D3D" w:rsidRDefault="00417871" w:rsidP="00417871">
                            <w:pPr>
                              <w:jc w:val="center"/>
                              <w:rPr>
                                <w:sz w:val="14"/>
                                <w:lang w:val="en-MY"/>
                              </w:rPr>
                            </w:pPr>
                            <w:r>
                              <w:rPr>
                                <w:sz w:val="14"/>
                                <w:lang w:val="en-MY"/>
                              </w:rPr>
                              <w:t>Graphite,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left:0;text-align:left;margin-left:83.6pt;margin-top:19.9pt;width:58.2pt;height:18.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" filled="f" stroked="f" strokeweight="2pt">
                <v:textbox>
                  <w:txbxContent>
                    <w:p w14:paraId="582990D8" w14:textId="77777777" w:rsidR="00417871" w:rsidRPr="00A74D3D" w:rsidRDefault="00417871" w:rsidP="00417871">
                      <w:pPr>
                        <w:jc w:val="center"/>
                        <w:rPr>
                          <w:sz w:val="14"/>
                          <w:lang w:val="en-MY"/>
                        </w:rPr>
                      </w:pPr>
                      <w:r>
                        <w:rPr>
                          <w:sz w:val="14"/>
                          <w:lang w:val="en-MY"/>
                        </w:rPr>
                        <w:t>Graphite, C</w:t>
                      </w:r>
                    </w:p>
                  </w:txbxContent>
                </v:textbox>
              </v:rect>
            </w:pict>
          </mc:Fallback>
        </mc:AlternateContent>
      </w:r>
      <w:r w:rsidRPr="00417871">
        <w:rPr>
          <w:noProof/>
          <w:lang w:val="it-IT" w:eastAsia="it-IT"/>
        </w:rPr>
        <mc:AlternateContent>
          <mc:Choice Requires="wps">
            <w:drawing>
              <wp:anchor distT="0" distB="0" distL="114300" distR="114300" simplePos="0" relativeHeight="251674624" behindDoc="0" locked="0" layoutInCell="1" allowOverlap="1" wp14:anchorId="3F0E5532" wp14:editId="7B341957">
                <wp:simplePos x="0" y="0"/>
                <wp:positionH relativeFrom="column">
                  <wp:posOffset>2915285</wp:posOffset>
                </wp:positionH>
                <wp:positionV relativeFrom="paragraph">
                  <wp:posOffset>1476375</wp:posOffset>
                </wp:positionV>
                <wp:extent cx="7620" cy="206375"/>
                <wp:effectExtent l="76200" t="0" r="68580" b="60325"/>
                <wp:wrapNone/>
                <wp:docPr id="20" name="Straight Arrow Connector 20"/>
                <wp:cNvGraphicFramePr/>
                <a:graphic xmlns:a="http://schemas.openxmlformats.org/drawingml/2006/main">
                  <a:graphicData uri="http://schemas.microsoft.com/office/word/2010/wordprocessingShape">
                    <wps:wsp>
                      <wps:cNvCnPr/>
                      <wps:spPr>
                        <a:xfrm>
                          <a:off x="0" y="0"/>
                          <a:ext cx="7620" cy="20637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F1B0E0" id="_x0000_t32" coordsize="21600,21600" o:spt="32" o:oned="t" path="m,l21600,21600e" filled="f">
                <v:path arrowok="t" fillok="f" o:connecttype="none"/>
                <o:lock v:ext="edit" shapetype="t"/>
              </v:shapetype>
              <v:shape id="Straight Arrow Connector 20" o:spid="_x0000_s1026" type="#_x0000_t32" style="position:absolute;margin-left:229.55pt;margin-top:116.25pt;width:.6pt;height:1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" strokecolor="black [3200]">
                <v:stroke endarrow="open"/>
              </v:shape>
            </w:pict>
          </mc:Fallback>
        </mc:AlternateContent>
      </w:r>
      <w:r w:rsidRPr="00417871">
        <w:rPr>
          <w:noProof/>
          <w:lang w:val="it-IT" w:eastAsia="it-IT"/>
        </w:rPr>
        <mc:AlternateContent>
          <mc:Choice Requires="wps">
            <w:drawing>
              <wp:anchor distT="0" distB="0" distL="114300" distR="114300" simplePos="0" relativeHeight="251675648" behindDoc="0" locked="0" layoutInCell="1" allowOverlap="1" wp14:anchorId="75946EC9" wp14:editId="4E1AF4F4">
                <wp:simplePos x="0" y="0"/>
                <wp:positionH relativeFrom="column">
                  <wp:posOffset>1525905</wp:posOffset>
                </wp:positionH>
                <wp:positionV relativeFrom="paragraph">
                  <wp:posOffset>320675</wp:posOffset>
                </wp:positionV>
                <wp:extent cx="7620" cy="206375"/>
                <wp:effectExtent l="76200" t="0" r="68580" b="60325"/>
                <wp:wrapNone/>
                <wp:docPr id="30" name="Straight Arrow Connector 30"/>
                <wp:cNvGraphicFramePr/>
                <a:graphic xmlns:a="http://schemas.openxmlformats.org/drawingml/2006/main">
                  <a:graphicData uri="http://schemas.microsoft.com/office/word/2010/wordprocessingShape">
                    <wps:wsp>
                      <wps:cNvCnPr/>
                      <wps:spPr>
                        <a:xfrm>
                          <a:off x="0" y="0"/>
                          <a:ext cx="7620" cy="20637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1FF39" id="Straight Arrow Connector 30" o:spid="_x0000_s1026" type="#_x0000_t32" style="position:absolute;margin-left:120.15pt;margin-top:25.25pt;width:.6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" strokecolor="black [3200]">
                <v:stroke endarrow="open"/>
              </v:shape>
            </w:pict>
          </mc:Fallback>
        </mc:AlternateContent>
      </w:r>
      <w:r w:rsidRPr="00417871">
        <w:rPr>
          <w:noProof/>
          <w:lang w:val="it-IT" w:eastAsia="it-IT"/>
        </w:rPr>
        <mc:AlternateContent>
          <mc:Choice Requires="wps">
            <w:drawing>
              <wp:anchor distT="0" distB="0" distL="114300" distR="114300" simplePos="0" relativeHeight="251676672" behindDoc="0" locked="0" layoutInCell="1" allowOverlap="1" wp14:anchorId="593F5BB2" wp14:editId="290208DE">
                <wp:simplePos x="0" y="0"/>
                <wp:positionH relativeFrom="column">
                  <wp:posOffset>1779270</wp:posOffset>
                </wp:positionH>
                <wp:positionV relativeFrom="paragraph">
                  <wp:posOffset>361315</wp:posOffset>
                </wp:positionV>
                <wp:extent cx="7620" cy="206375"/>
                <wp:effectExtent l="76200" t="0" r="68580" b="60325"/>
                <wp:wrapNone/>
                <wp:docPr id="31" name="Straight Arrow Connector 31"/>
                <wp:cNvGraphicFramePr/>
                <a:graphic xmlns:a="http://schemas.openxmlformats.org/drawingml/2006/main">
                  <a:graphicData uri="http://schemas.microsoft.com/office/word/2010/wordprocessingShape">
                    <wps:wsp>
                      <wps:cNvCnPr/>
                      <wps:spPr>
                        <a:xfrm>
                          <a:off x="0" y="0"/>
                          <a:ext cx="7620" cy="20637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37ED8" id="Straight Arrow Connector 31" o:spid="_x0000_s1026" type="#_x0000_t32" style="position:absolute;margin-left:140.1pt;margin-top:28.45pt;width:.6pt;height:1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" strokecolor="black [3200]">
                <v:stroke endarrow="open"/>
              </v:shape>
            </w:pict>
          </mc:Fallback>
        </mc:AlternateContent>
      </w:r>
      <w:r w:rsidRPr="00417871">
        <w:rPr>
          <w:noProof/>
          <w:lang w:val="it-IT" w:eastAsia="it-IT"/>
        </w:rPr>
        <mc:AlternateContent>
          <mc:Choice Requires="wps">
            <w:drawing>
              <wp:anchor distT="0" distB="0" distL="114300" distR="114300" simplePos="0" relativeHeight="251677696" behindDoc="0" locked="0" layoutInCell="1" allowOverlap="1" wp14:anchorId="17B4405A" wp14:editId="027E76C8">
                <wp:simplePos x="0" y="0"/>
                <wp:positionH relativeFrom="column">
                  <wp:posOffset>1961970</wp:posOffset>
                </wp:positionH>
                <wp:positionV relativeFrom="paragraph">
                  <wp:posOffset>1217769</wp:posOffset>
                </wp:positionV>
                <wp:extent cx="7951" cy="206734"/>
                <wp:effectExtent l="76200" t="0" r="68580" b="60325"/>
                <wp:wrapNone/>
                <wp:docPr id="33" name="Straight Arrow Connector 33"/>
                <wp:cNvGraphicFramePr/>
                <a:graphic xmlns:a="http://schemas.openxmlformats.org/drawingml/2006/main">
                  <a:graphicData uri="http://schemas.microsoft.com/office/word/2010/wordprocessingShape">
                    <wps:wsp>
                      <wps:cNvCnPr/>
                      <wps:spPr>
                        <a:xfrm>
                          <a:off x="0" y="0"/>
                          <a:ext cx="7951" cy="206734"/>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B9F3F" id="Straight Arrow Connector 33" o:spid="_x0000_s1026" type="#_x0000_t32" style="position:absolute;margin-left:154.5pt;margin-top:95.9pt;width:.65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" strokecolor="black [3200]">
                <v:stroke endarrow="open"/>
              </v:shape>
            </w:pict>
          </mc:Fallback>
        </mc:AlternateContent>
      </w:r>
      <w:r>
        <w:rPr>
          <w:noProof/>
          <w:lang w:val="it-IT" w:eastAsia="it-IT"/>
        </w:rPr>
        <mc:AlternateContent>
          <mc:Choice Requires="wps">
            <w:drawing>
              <wp:anchor distT="0" distB="0" distL="114300" distR="114300" simplePos="0" relativeHeight="251672576" behindDoc="0" locked="0" layoutInCell="1" allowOverlap="1" wp14:anchorId="1082A18B" wp14:editId="499F2924">
                <wp:simplePos x="0" y="0"/>
                <wp:positionH relativeFrom="column">
                  <wp:posOffset>4251325</wp:posOffset>
                </wp:positionH>
                <wp:positionV relativeFrom="paragraph">
                  <wp:posOffset>1651796</wp:posOffset>
                </wp:positionV>
                <wp:extent cx="1001395" cy="238125"/>
                <wp:effectExtent l="0" t="0" r="8255" b="9525"/>
                <wp:wrapNone/>
                <wp:docPr id="19" name="Rectangle 19"/>
                <wp:cNvGraphicFramePr/>
                <a:graphic xmlns:a="http://schemas.openxmlformats.org/drawingml/2006/main">
                  <a:graphicData uri="http://schemas.microsoft.com/office/word/2010/wordprocessingShape">
                    <wps:wsp>
                      <wps:cNvSpPr/>
                      <wps:spPr>
                        <a:xfrm>
                          <a:off x="0" y="0"/>
                          <a:ext cx="1001395"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060E46" w14:textId="77777777" w:rsidR="00417871" w:rsidRPr="00A74D3D" w:rsidRDefault="00417871" w:rsidP="00417871">
                            <w:pPr>
                              <w:jc w:val="center"/>
                              <w:rPr>
                                <w:sz w:val="14"/>
                                <w:lang w:val="en-MY"/>
                              </w:rPr>
                            </w:pPr>
                            <w:r>
                              <w:rPr>
                                <w:sz w:val="14"/>
                                <w:lang w:val="en-MY"/>
                              </w:rPr>
                              <w:t>AC-</w:t>
                            </w:r>
                            <w:proofErr w:type="spellStart"/>
                            <w:r>
                              <w:rPr>
                                <w:sz w:val="14"/>
                                <w:lang w:val="en-MY"/>
                              </w:rPr>
                              <w:t>nZVI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334.75pt;margin-top:130.05pt;width:78.8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" fillcolor="white [3201]" stroked="f" strokeweight="2pt">
                <v:textbox>
                  <w:txbxContent>
                    <w:p w14:paraId="19060E46" w14:textId="77777777" w:rsidR="00417871" w:rsidRPr="00A74D3D" w:rsidRDefault="00417871" w:rsidP="00417871">
                      <w:pPr>
                        <w:jc w:val="center"/>
                        <w:rPr>
                          <w:sz w:val="14"/>
                          <w:lang w:val="en-MY"/>
                        </w:rPr>
                      </w:pPr>
                      <w:r>
                        <w:rPr>
                          <w:sz w:val="14"/>
                          <w:lang w:val="en-MY"/>
                        </w:rPr>
                        <w:t>AC-</w:t>
                      </w:r>
                      <w:proofErr w:type="spellStart"/>
                      <w:r>
                        <w:rPr>
                          <w:sz w:val="14"/>
                          <w:lang w:val="en-MY"/>
                        </w:rPr>
                        <w:t>nZVI</w:t>
                      </w:r>
                      <w:proofErr w:type="spellEnd"/>
                    </w:p>
                  </w:txbxContent>
                </v:textbox>
              </v:rect>
            </w:pict>
          </mc:Fallback>
        </mc:AlternateContent>
      </w:r>
      <w:r w:rsidR="00E16E55">
        <w:rPr>
          <w:noProof/>
          <w:lang w:val="it-IT" w:eastAsia="it-IT"/>
        </w:rPr>
        <mc:AlternateContent>
          <mc:Choice Requires="wps">
            <w:drawing>
              <wp:anchor distT="0" distB="0" distL="114300" distR="114300" simplePos="0" relativeHeight="251670528" behindDoc="0" locked="0" layoutInCell="1" allowOverlap="1" wp14:anchorId="29D333A1" wp14:editId="79FA2ABC">
                <wp:simplePos x="0" y="0"/>
                <wp:positionH relativeFrom="column">
                  <wp:posOffset>4209576</wp:posOffset>
                </wp:positionH>
                <wp:positionV relativeFrom="paragraph">
                  <wp:posOffset>1155065</wp:posOffset>
                </wp:positionV>
                <wp:extent cx="1001395" cy="238125"/>
                <wp:effectExtent l="0" t="0" r="8255" b="9525"/>
                <wp:wrapNone/>
                <wp:docPr id="18" name="Rectangle 18"/>
                <wp:cNvGraphicFramePr/>
                <a:graphic xmlns:a="http://schemas.openxmlformats.org/drawingml/2006/main">
                  <a:graphicData uri="http://schemas.microsoft.com/office/word/2010/wordprocessingShape">
                    <wps:wsp>
                      <wps:cNvSpPr/>
                      <wps:spPr>
                        <a:xfrm>
                          <a:off x="0" y="0"/>
                          <a:ext cx="1001395"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5C1E61" w14:textId="77777777" w:rsidR="00E16E55" w:rsidRPr="00A74D3D" w:rsidRDefault="00E16E55" w:rsidP="00E16E55">
                            <w:pPr>
                              <w:jc w:val="center"/>
                              <w:rPr>
                                <w:sz w:val="14"/>
                                <w:lang w:val="en-MY"/>
                              </w:rPr>
                            </w:pPr>
                            <w:r>
                              <w:rPr>
                                <w:sz w:val="14"/>
                                <w:lang w:val="en-MY"/>
                              </w:rPr>
                              <w:t>Activated Carbon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left:0;text-align:left;margin-left:331.45pt;margin-top:90.95pt;width:78.8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" fillcolor="white [3201]" stroked="f" strokeweight="2pt">
                <v:textbox>
                  <w:txbxContent>
                    <w:p w14:paraId="0E5C1E61" w14:textId="77777777" w:rsidR="00E16E55" w:rsidRPr="00A74D3D" w:rsidRDefault="00E16E55" w:rsidP="00E16E55">
                      <w:pPr>
                        <w:jc w:val="center"/>
                        <w:rPr>
                          <w:sz w:val="14"/>
                          <w:lang w:val="en-MY"/>
                        </w:rPr>
                      </w:pPr>
                      <w:r>
                        <w:rPr>
                          <w:sz w:val="14"/>
                          <w:lang w:val="en-MY"/>
                        </w:rPr>
                        <w:t>Activated Carbon</w:t>
                      </w:r>
                    </w:p>
                  </w:txbxContent>
                </v:textbox>
              </v:rect>
            </w:pict>
          </mc:Fallback>
        </mc:AlternateContent>
      </w:r>
      <w:r w:rsidR="001A3325">
        <w:rPr>
          <w:noProof/>
          <w:lang w:val="it-IT" w:eastAsia="it-IT"/>
        </w:rPr>
        <w:drawing>
          <wp:inline distT="0" distB="0" distL="0" distR="0" wp14:anchorId="1F7F4BAC" wp14:editId="7186D428">
            <wp:extent cx="5101169" cy="22764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4284" cy="2277865"/>
                    </a:xfrm>
                    <a:prstGeom prst="rect">
                      <a:avLst/>
                    </a:prstGeom>
                    <a:noFill/>
                  </pic:spPr>
                </pic:pic>
              </a:graphicData>
            </a:graphic>
          </wp:inline>
        </w:drawing>
      </w:r>
    </w:p>
    <w:p w14:paraId="2A732C82" w14:textId="582848EB" w:rsidR="001A3325" w:rsidRDefault="001A3325" w:rsidP="007D7E0C">
      <w:pPr>
        <w:pStyle w:val="CETCaption"/>
      </w:pPr>
      <w:r>
        <w:t xml:space="preserve">Figure 2: </w:t>
      </w:r>
      <w:r w:rsidRPr="00CA5BE0">
        <w:t xml:space="preserve">X-ray Diffraction (XRD) images for </w:t>
      </w:r>
      <w:r>
        <w:t>AC</w:t>
      </w:r>
      <w:r w:rsidRPr="00CA5BE0">
        <w:t xml:space="preserve"> and</w:t>
      </w:r>
      <w:r>
        <w:t xml:space="preserve"> AC</w:t>
      </w:r>
      <w:r w:rsidRPr="00CA5BE0">
        <w:t xml:space="preserve"> -</w:t>
      </w:r>
      <w:proofErr w:type="spellStart"/>
      <w:r w:rsidRPr="00CA5BE0">
        <w:t>nZVI</w:t>
      </w:r>
      <w:proofErr w:type="spellEnd"/>
    </w:p>
    <w:p w14:paraId="2ABABF10" w14:textId="3CB154AA" w:rsidR="001033EA" w:rsidRDefault="00417871" w:rsidP="007D7E0C">
      <w:pPr>
        <w:pStyle w:val="CETCaption"/>
      </w:pPr>
      <w:r>
        <w:rPr>
          <w:noProof/>
          <w:lang w:val="it-IT" w:eastAsia="it-IT"/>
        </w:rPr>
        <mc:AlternateContent>
          <mc:Choice Requires="wps">
            <w:drawing>
              <wp:anchor distT="0" distB="0" distL="114300" distR="114300" simplePos="0" relativeHeight="251687936" behindDoc="0" locked="0" layoutInCell="1" allowOverlap="1" wp14:anchorId="0626CEAA" wp14:editId="1EF975CC">
                <wp:simplePos x="0" y="0"/>
                <wp:positionH relativeFrom="column">
                  <wp:posOffset>4661535</wp:posOffset>
                </wp:positionH>
                <wp:positionV relativeFrom="paragraph">
                  <wp:posOffset>242096</wp:posOffset>
                </wp:positionV>
                <wp:extent cx="190500" cy="200660"/>
                <wp:effectExtent l="0" t="0" r="19050" b="27940"/>
                <wp:wrapNone/>
                <wp:docPr id="34" name="Rectangle 34"/>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1D531F" w14:textId="77777777" w:rsidR="00417871" w:rsidRPr="007D1B05" w:rsidRDefault="00417871" w:rsidP="00417871">
                            <w:pPr>
                              <w:spacing w:line="240" w:lineRule="auto"/>
                              <w:jc w:val="left"/>
                              <w:rPr>
                                <w:sz w:val="14"/>
                                <w:lang w:val="en-MY"/>
                              </w:rPr>
                            </w:pPr>
                            <w:r w:rsidRPr="007D1B05">
                              <w:rPr>
                                <w:sz w:val="14"/>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3" style="position:absolute;left:0;text-align:left;margin-left:367.05pt;margin-top:19.05pt;width:15pt;height:1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" fillcolor="white [3201]" strokecolor="black [3213]" strokeweight=".25pt">
                <v:textbox>
                  <w:txbxContent>
                    <w:p w14:paraId="021D531F" w14:textId="77777777" w:rsidR="00417871" w:rsidRPr="007D1B05" w:rsidRDefault="00417871" w:rsidP="00417871">
                      <w:pPr>
                        <w:spacing w:line="240" w:lineRule="auto"/>
                        <w:jc w:val="left"/>
                        <w:rPr>
                          <w:sz w:val="14"/>
                          <w:lang w:val="en-MY"/>
                        </w:rPr>
                      </w:pPr>
                      <w:r w:rsidRPr="007D1B05">
                        <w:rPr>
                          <w:sz w:val="14"/>
                          <w:lang w:val="en-MY"/>
                        </w:rPr>
                        <w:t>a</w:t>
                      </w:r>
                    </w:p>
                  </w:txbxContent>
                </v:textbox>
              </v:rect>
            </w:pict>
          </mc:Fallback>
        </mc:AlternateContent>
      </w:r>
      <w:r w:rsidR="0007606A">
        <w:rPr>
          <w:noProof/>
          <w:lang w:val="it-IT" w:eastAsia="it-IT"/>
        </w:rPr>
        <w:drawing>
          <wp:inline distT="0" distB="0" distL="0" distR="0" wp14:anchorId="5DE3C0D9" wp14:editId="47E8C38E">
            <wp:extent cx="4381500" cy="1420609"/>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28A0092B-C50C-407E-A947-70E740481C1C}">
                          <a14:useLocalDpi xmlns:a14="http://schemas.microsoft.com/office/drawing/2010/main" val="0"/>
                        </a:ext>
                      </a:extLst>
                    </a:blip>
                    <a:srcRect b="32499"/>
                    <a:stretch>
                      <a:fillRect/>
                    </a:stretch>
                  </pic:blipFill>
                  <pic:spPr>
                    <a:xfrm>
                      <a:off x="0" y="0"/>
                      <a:ext cx="4417573" cy="1432305"/>
                    </a:xfrm>
                    <a:prstGeom prst="rect">
                      <a:avLst/>
                    </a:prstGeom>
                  </pic:spPr>
                </pic:pic>
              </a:graphicData>
            </a:graphic>
          </wp:inline>
        </w:drawing>
      </w:r>
    </w:p>
    <w:p w14:paraId="5CA2EE17" w14:textId="6C329586" w:rsidR="001033EA" w:rsidRDefault="00417871" w:rsidP="007D7E0C">
      <w:pPr>
        <w:pStyle w:val="CETCaption"/>
        <w:rPr>
          <w:highlight w:val="yellow"/>
        </w:rPr>
      </w:pPr>
      <w:r>
        <w:rPr>
          <w:noProof/>
          <w:lang w:val="it-IT" w:eastAsia="it-IT"/>
        </w:rPr>
        <mc:AlternateContent>
          <mc:Choice Requires="wps">
            <w:drawing>
              <wp:anchor distT="0" distB="0" distL="114300" distR="114300" simplePos="0" relativeHeight="251689984" behindDoc="0" locked="0" layoutInCell="1" allowOverlap="1" wp14:anchorId="10C8CF2F" wp14:editId="7B780F41">
                <wp:simplePos x="0" y="0"/>
                <wp:positionH relativeFrom="column">
                  <wp:posOffset>4633121</wp:posOffset>
                </wp:positionH>
                <wp:positionV relativeFrom="paragraph">
                  <wp:posOffset>217170</wp:posOffset>
                </wp:positionV>
                <wp:extent cx="190500" cy="200660"/>
                <wp:effectExtent l="0" t="0" r="19050" b="27940"/>
                <wp:wrapNone/>
                <wp:docPr id="35" name="Rectangle 35"/>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5F8562" w14:textId="77777777" w:rsidR="00417871" w:rsidRPr="007D1B05" w:rsidRDefault="00417871" w:rsidP="00417871">
                            <w:pPr>
                              <w:spacing w:line="240" w:lineRule="auto"/>
                              <w:jc w:val="left"/>
                              <w:rPr>
                                <w:sz w:val="14"/>
                                <w:lang w:val="en-MY"/>
                              </w:rPr>
                            </w:pPr>
                            <w:r>
                              <w:rPr>
                                <w:sz w:val="14"/>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4" style="position:absolute;left:0;text-align:left;margin-left:364.8pt;margin-top:17.1pt;width:15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" fillcolor="white [3201]" strokecolor="black [3213]" strokeweight=".25pt">
                <v:textbox>
                  <w:txbxContent>
                    <w:p w14:paraId="605F8562" w14:textId="77777777" w:rsidR="00417871" w:rsidRPr="007D1B05" w:rsidRDefault="00417871" w:rsidP="00417871">
                      <w:pPr>
                        <w:spacing w:line="240" w:lineRule="auto"/>
                        <w:jc w:val="left"/>
                        <w:rPr>
                          <w:sz w:val="14"/>
                          <w:lang w:val="en-MY"/>
                        </w:rPr>
                      </w:pPr>
                      <w:r>
                        <w:rPr>
                          <w:sz w:val="14"/>
                          <w:lang w:val="en-MY"/>
                        </w:rPr>
                        <w:t>b</w:t>
                      </w:r>
                    </w:p>
                  </w:txbxContent>
                </v:textbox>
              </v:rect>
            </w:pict>
          </mc:Fallback>
        </mc:AlternateContent>
      </w:r>
      <w:r w:rsidR="0007606A">
        <w:rPr>
          <w:noProof/>
          <w:lang w:val="it-IT" w:eastAsia="it-IT"/>
        </w:rPr>
        <w:drawing>
          <wp:inline distT="0" distB="0" distL="0" distR="0" wp14:anchorId="548A6603" wp14:editId="69BC9FEC">
            <wp:extent cx="4294377" cy="15049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b="19154"/>
                    <a:stretch>
                      <a:fillRect/>
                    </a:stretch>
                  </pic:blipFill>
                  <pic:spPr>
                    <a:xfrm>
                      <a:off x="0" y="0"/>
                      <a:ext cx="4372809" cy="1532436"/>
                    </a:xfrm>
                    <a:prstGeom prst="rect">
                      <a:avLst/>
                    </a:prstGeom>
                  </pic:spPr>
                </pic:pic>
              </a:graphicData>
            </a:graphic>
          </wp:inline>
        </w:drawing>
      </w:r>
    </w:p>
    <w:p w14:paraId="69BA91F0" w14:textId="6C14D0DE" w:rsidR="0007606A" w:rsidRDefault="003C1D79" w:rsidP="007D7E0C">
      <w:pPr>
        <w:pStyle w:val="CETCaption"/>
        <w:rPr>
          <w:highlight w:val="yellow"/>
        </w:rPr>
      </w:pPr>
      <w:r>
        <w:rPr>
          <w:noProof/>
          <w:lang w:val="it-IT" w:eastAsia="it-IT"/>
        </w:rPr>
        <mc:AlternateContent>
          <mc:Choice Requires="wps">
            <w:drawing>
              <wp:anchor distT="0" distB="0" distL="114300" distR="114300" simplePos="0" relativeHeight="251702272" behindDoc="0" locked="0" layoutInCell="1" allowOverlap="1" wp14:anchorId="2A80E98F" wp14:editId="7C13DFAF">
                <wp:simplePos x="0" y="0"/>
                <wp:positionH relativeFrom="column">
                  <wp:posOffset>3347085</wp:posOffset>
                </wp:positionH>
                <wp:positionV relativeFrom="paragraph">
                  <wp:posOffset>264634</wp:posOffset>
                </wp:positionV>
                <wp:extent cx="545465" cy="3067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45465" cy="306705"/>
                        </a:xfrm>
                        <a:prstGeom prst="rect">
                          <a:avLst/>
                        </a:prstGeom>
                        <a:noFill/>
                        <a:ln w="6350">
                          <a:noFill/>
                        </a:ln>
                      </wps:spPr>
                      <wps:txbx>
                        <w:txbxContent>
                          <w:p w14:paraId="5BE51DAA" w14:textId="77777777" w:rsidR="003C1D79" w:rsidRDefault="003C1D79" w:rsidP="003C1D79">
                            <w:pPr>
                              <w:jc w:val="center"/>
                              <w:rPr>
                                <w:sz w:val="12"/>
                                <w:lang w:val="en-MY"/>
                              </w:rPr>
                            </w:pPr>
                            <w:r>
                              <w:rPr>
                                <w:sz w:val="12"/>
                                <w:lang w:val="en-MY"/>
                              </w:rPr>
                              <w:t>Fe 2p 2/3</w:t>
                            </w:r>
                          </w:p>
                          <w:p w14:paraId="7FAFDF37" w14:textId="77777777" w:rsidR="003C1D79" w:rsidRPr="00525852" w:rsidRDefault="003C1D79" w:rsidP="003C1D79">
                            <w:pPr>
                              <w:jc w:val="center"/>
                              <w:rPr>
                                <w:sz w:val="12"/>
                                <w:lang w:val="en-MY"/>
                              </w:rPr>
                            </w:pPr>
                            <w:r>
                              <w:rPr>
                                <w:sz w:val="12"/>
                                <w:lang w:val="en-MY"/>
                              </w:rPr>
                              <w:t>Fe3O4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left:0;text-align:left;margin-left:263.55pt;margin-top:20.85pt;width:42.95pt;height:2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" filled="f" stroked="f" strokeweight=".5pt">
                <v:textbox>
                  <w:txbxContent>
                    <w:p w14:paraId="5BE51DAA" w14:textId="77777777" w:rsidR="003C1D79" w:rsidRDefault="003C1D79" w:rsidP="003C1D79">
                      <w:pPr>
                        <w:jc w:val="center"/>
                        <w:rPr>
                          <w:sz w:val="12"/>
                          <w:lang w:val="en-MY"/>
                        </w:rPr>
                      </w:pPr>
                      <w:r>
                        <w:rPr>
                          <w:sz w:val="12"/>
                          <w:lang w:val="en-MY"/>
                        </w:rPr>
                        <w:t>Fe 2p 2/3</w:t>
                      </w:r>
                    </w:p>
                    <w:p w14:paraId="7FAFDF37" w14:textId="77777777" w:rsidR="003C1D79" w:rsidRPr="00525852" w:rsidRDefault="003C1D79" w:rsidP="003C1D79">
                      <w:pPr>
                        <w:jc w:val="center"/>
                        <w:rPr>
                          <w:sz w:val="12"/>
                          <w:lang w:val="en-MY"/>
                        </w:rPr>
                      </w:pPr>
                      <w:r>
                        <w:rPr>
                          <w:sz w:val="12"/>
                          <w:lang w:val="en-MY"/>
                        </w:rPr>
                        <w:t>Fe3O4</w:t>
                      </w:r>
                    </w:p>
                  </w:txbxContent>
                </v:textbox>
              </v:shape>
            </w:pict>
          </mc:Fallback>
        </mc:AlternateContent>
      </w:r>
      <w:r>
        <w:rPr>
          <w:noProof/>
          <w:lang w:val="it-IT" w:eastAsia="it-IT"/>
        </w:rPr>
        <mc:AlternateContent>
          <mc:Choice Requires="wps">
            <w:drawing>
              <wp:anchor distT="0" distB="0" distL="114300" distR="114300" simplePos="0" relativeHeight="251700224" behindDoc="0" locked="0" layoutInCell="1" allowOverlap="1" wp14:anchorId="3AA41B14" wp14:editId="775EFF70">
                <wp:simplePos x="0" y="0"/>
                <wp:positionH relativeFrom="column">
                  <wp:posOffset>2408237</wp:posOffset>
                </wp:positionH>
                <wp:positionV relativeFrom="paragraph">
                  <wp:posOffset>556417</wp:posOffset>
                </wp:positionV>
                <wp:extent cx="380365" cy="274320"/>
                <wp:effectExtent l="0" t="0" r="0" b="0"/>
                <wp:wrapNone/>
                <wp:docPr id="38" name="Text Box 38"/>
                <wp:cNvGraphicFramePr/>
                <a:graphic xmlns:a="http://schemas.openxmlformats.org/drawingml/2006/main">
                  <a:graphicData uri="http://schemas.microsoft.com/office/word/2010/wordprocessingShape">
                    <wps:wsp>
                      <wps:cNvSpPr txBox="1"/>
                      <wps:spPr>
                        <a:xfrm rot="5400000">
                          <a:off x="0" y="0"/>
                          <a:ext cx="380365" cy="274320"/>
                        </a:xfrm>
                        <a:prstGeom prst="rect">
                          <a:avLst/>
                        </a:prstGeom>
                        <a:noFill/>
                        <a:ln w="6350">
                          <a:noFill/>
                        </a:ln>
                      </wps:spPr>
                      <wps:txbx>
                        <w:txbxContent>
                          <w:p w14:paraId="770E51FD" w14:textId="77777777" w:rsidR="003C1D79" w:rsidRPr="00525852" w:rsidRDefault="003C1D79" w:rsidP="003C1D79">
                            <w:pPr>
                              <w:rPr>
                                <w:sz w:val="12"/>
                                <w:lang w:val="en-MY"/>
                              </w:rPr>
                            </w:pPr>
                            <w:r w:rsidRPr="00525852">
                              <w:rPr>
                                <w:sz w:val="12"/>
                                <w:lang w:val="en-MY"/>
                              </w:rPr>
                              <w:t>FeO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6" type="#_x0000_t202" style="position:absolute;left:0;text-align:left;margin-left:189.6pt;margin-top:43.8pt;width:29.95pt;height:21.6pt;rotation:90;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" filled="f" stroked="f" strokeweight=".5pt">
                <v:textbox>
                  <w:txbxContent>
                    <w:p w14:paraId="770E51FD" w14:textId="77777777" w:rsidR="003C1D79" w:rsidRPr="00525852" w:rsidRDefault="003C1D79" w:rsidP="003C1D79">
                      <w:pPr>
                        <w:rPr>
                          <w:sz w:val="12"/>
                          <w:lang w:val="en-MY"/>
                        </w:rPr>
                      </w:pPr>
                      <w:r w:rsidRPr="00525852">
                        <w:rPr>
                          <w:sz w:val="12"/>
                          <w:lang w:val="en-MY"/>
                        </w:rPr>
                        <w:t>FeO</w:t>
                      </w:r>
                    </w:p>
                  </w:txbxContent>
                </v:textbox>
              </v:shape>
            </w:pict>
          </mc:Fallback>
        </mc:AlternateContent>
      </w:r>
      <w:r>
        <w:rPr>
          <w:noProof/>
          <w:lang w:val="it-IT" w:eastAsia="it-IT"/>
        </w:rPr>
        <mc:AlternateContent>
          <mc:Choice Requires="wps">
            <w:drawing>
              <wp:anchor distT="0" distB="0" distL="114300" distR="114300" simplePos="0" relativeHeight="251698176" behindDoc="0" locked="0" layoutInCell="1" allowOverlap="1" wp14:anchorId="29C45AAD" wp14:editId="2DB049A5">
                <wp:simplePos x="0" y="0"/>
                <wp:positionH relativeFrom="column">
                  <wp:posOffset>1765300</wp:posOffset>
                </wp:positionH>
                <wp:positionV relativeFrom="paragraph">
                  <wp:posOffset>396714</wp:posOffset>
                </wp:positionV>
                <wp:extent cx="586740" cy="2743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6740" cy="274320"/>
                        </a:xfrm>
                        <a:prstGeom prst="rect">
                          <a:avLst/>
                        </a:prstGeom>
                        <a:noFill/>
                        <a:ln w="6350">
                          <a:noFill/>
                        </a:ln>
                      </wps:spPr>
                      <wps:txbx>
                        <w:txbxContent>
                          <w:p w14:paraId="47073FB0" w14:textId="77777777" w:rsidR="003C1D79" w:rsidRDefault="003C1D79" w:rsidP="003C1D79">
                            <w:pPr>
                              <w:jc w:val="center"/>
                              <w:rPr>
                                <w:sz w:val="12"/>
                                <w:lang w:val="en-MY"/>
                              </w:rPr>
                            </w:pPr>
                            <w:r>
                              <w:rPr>
                                <w:sz w:val="12"/>
                                <w:lang w:val="en-MY"/>
                              </w:rPr>
                              <w:t>Fe 2p ½</w:t>
                            </w:r>
                          </w:p>
                          <w:p w14:paraId="7C230DCA" w14:textId="77777777" w:rsidR="003C1D79" w:rsidRPr="00525852" w:rsidRDefault="003C1D79" w:rsidP="003C1D79">
                            <w:pPr>
                              <w:jc w:val="center"/>
                              <w:rPr>
                                <w:sz w:val="12"/>
                                <w:lang w:val="en-MY"/>
                              </w:rPr>
                            </w:pPr>
                            <w:r>
                              <w:rPr>
                                <w:sz w:val="12"/>
                                <w:lang w:val="en-MY"/>
                              </w:rPr>
                              <w:t>Fe2O3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left:0;text-align:left;margin-left:139pt;margin-top:31.25pt;width:46.2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OkMAIAAFo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" filled="f" stroked="f" strokeweight=".5pt">
                <v:textbox>
                  <w:txbxContent>
                    <w:p w14:paraId="47073FB0" w14:textId="77777777" w:rsidR="003C1D79" w:rsidRDefault="003C1D79" w:rsidP="003C1D79">
                      <w:pPr>
                        <w:jc w:val="center"/>
                        <w:rPr>
                          <w:sz w:val="12"/>
                          <w:lang w:val="en-MY"/>
                        </w:rPr>
                      </w:pPr>
                      <w:r>
                        <w:rPr>
                          <w:sz w:val="12"/>
                          <w:lang w:val="en-MY"/>
                        </w:rPr>
                        <w:t>Fe 2p ½</w:t>
                      </w:r>
                    </w:p>
                    <w:p w14:paraId="7C230DCA" w14:textId="77777777" w:rsidR="003C1D79" w:rsidRPr="00525852" w:rsidRDefault="003C1D79" w:rsidP="003C1D79">
                      <w:pPr>
                        <w:jc w:val="center"/>
                        <w:rPr>
                          <w:sz w:val="12"/>
                          <w:lang w:val="en-MY"/>
                        </w:rPr>
                      </w:pPr>
                      <w:r>
                        <w:rPr>
                          <w:sz w:val="12"/>
                          <w:lang w:val="en-MY"/>
                        </w:rPr>
                        <w:t>Fe2O3</w:t>
                      </w:r>
                    </w:p>
                  </w:txbxContent>
                </v:textbox>
              </v:shape>
            </w:pict>
          </mc:Fallback>
        </mc:AlternateContent>
      </w:r>
      <w:r w:rsidRPr="00417871">
        <w:rPr>
          <w:noProof/>
          <w:lang w:val="it-IT" w:eastAsia="it-IT"/>
        </w:rPr>
        <mc:AlternateContent>
          <mc:Choice Requires="wps">
            <w:drawing>
              <wp:anchor distT="0" distB="0" distL="114300" distR="114300" simplePos="0" relativeHeight="251694080" behindDoc="0" locked="0" layoutInCell="1" allowOverlap="1" wp14:anchorId="4B12B3CC" wp14:editId="07D8B0A4">
                <wp:simplePos x="0" y="0"/>
                <wp:positionH relativeFrom="column">
                  <wp:posOffset>2637790</wp:posOffset>
                </wp:positionH>
                <wp:positionV relativeFrom="paragraph">
                  <wp:posOffset>785495</wp:posOffset>
                </wp:positionV>
                <wp:extent cx="7620" cy="206375"/>
                <wp:effectExtent l="76200" t="0" r="68580" b="60325"/>
                <wp:wrapNone/>
                <wp:docPr id="37" name="Straight Arrow Connector 37"/>
                <wp:cNvGraphicFramePr/>
                <a:graphic xmlns:a="http://schemas.openxmlformats.org/drawingml/2006/main">
                  <a:graphicData uri="http://schemas.microsoft.com/office/word/2010/wordprocessingShape">
                    <wps:wsp>
                      <wps:cNvCnPr/>
                      <wps:spPr>
                        <a:xfrm>
                          <a:off x="0" y="0"/>
                          <a:ext cx="7620" cy="20637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80C76" id="Straight Arrow Connector 37" o:spid="_x0000_s1026" type="#_x0000_t32" style="position:absolute;margin-left:207.7pt;margin-top:61.85pt;width:.6pt;height:1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" strokecolor="black [3200]">
                <v:stroke endarrow="open"/>
              </v:shape>
            </w:pict>
          </mc:Fallback>
        </mc:AlternateContent>
      </w:r>
      <w:r w:rsidRPr="00417871">
        <w:rPr>
          <w:noProof/>
          <w:lang w:val="it-IT" w:eastAsia="it-IT"/>
        </w:rPr>
        <mc:AlternateContent>
          <mc:Choice Requires="wps">
            <w:drawing>
              <wp:anchor distT="0" distB="0" distL="114300" distR="114300" simplePos="0" relativeHeight="251695104" behindDoc="0" locked="0" layoutInCell="1" allowOverlap="1" wp14:anchorId="3B2FA91C" wp14:editId="43E6C9CE">
                <wp:simplePos x="0" y="0"/>
                <wp:positionH relativeFrom="column">
                  <wp:posOffset>3688715</wp:posOffset>
                </wp:positionH>
                <wp:positionV relativeFrom="paragraph">
                  <wp:posOffset>523240</wp:posOffset>
                </wp:positionV>
                <wp:extent cx="95250" cy="206375"/>
                <wp:effectExtent l="0" t="0" r="57150" b="60325"/>
                <wp:wrapNone/>
                <wp:docPr id="43" name="Straight Arrow Connector 43"/>
                <wp:cNvGraphicFramePr/>
                <a:graphic xmlns:a="http://schemas.openxmlformats.org/drawingml/2006/main">
                  <a:graphicData uri="http://schemas.microsoft.com/office/word/2010/wordprocessingShape">
                    <wps:wsp>
                      <wps:cNvCnPr/>
                      <wps:spPr>
                        <a:xfrm>
                          <a:off x="0" y="0"/>
                          <a:ext cx="95250" cy="206375"/>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B7A6C" id="Straight Arrow Connector 43" o:spid="_x0000_s1026" type="#_x0000_t32" style="position:absolute;margin-left:290.45pt;margin-top:41.2pt;width:7.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" strokecolor="black [3200]">
                <v:stroke endarrow="open"/>
              </v:shape>
            </w:pict>
          </mc:Fallback>
        </mc:AlternateContent>
      </w:r>
      <w:r w:rsidRPr="00417871">
        <w:rPr>
          <w:noProof/>
          <w:lang w:val="it-IT" w:eastAsia="it-IT"/>
        </w:rPr>
        <mc:AlternateContent>
          <mc:Choice Requires="wps">
            <w:drawing>
              <wp:anchor distT="0" distB="0" distL="114300" distR="114300" simplePos="0" relativeHeight="251696128" behindDoc="0" locked="0" layoutInCell="1" allowOverlap="1" wp14:anchorId="37682F90" wp14:editId="4C2BB5B5">
                <wp:simplePos x="0" y="0"/>
                <wp:positionH relativeFrom="column">
                  <wp:posOffset>2112910</wp:posOffset>
                </wp:positionH>
                <wp:positionV relativeFrom="paragraph">
                  <wp:posOffset>665774</wp:posOffset>
                </wp:positionV>
                <wp:extent cx="204716" cy="313898"/>
                <wp:effectExtent l="0" t="0" r="81280" b="48260"/>
                <wp:wrapNone/>
                <wp:docPr id="44" name="Straight Arrow Connector 44"/>
                <wp:cNvGraphicFramePr/>
                <a:graphic xmlns:a="http://schemas.openxmlformats.org/drawingml/2006/main">
                  <a:graphicData uri="http://schemas.microsoft.com/office/word/2010/wordprocessingShape">
                    <wps:wsp>
                      <wps:cNvCnPr/>
                      <wps:spPr>
                        <a:xfrm>
                          <a:off x="0" y="0"/>
                          <a:ext cx="204716" cy="313898"/>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9E939" id="Straight Arrow Connector 44" o:spid="_x0000_s1026" type="#_x0000_t32" style="position:absolute;margin-left:166.35pt;margin-top:52.4pt;width:16.1pt;height:2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" strokecolor="black [3200]">
                <v:stroke endarrow="open"/>
              </v:shape>
            </w:pict>
          </mc:Fallback>
        </mc:AlternateContent>
      </w:r>
      <w:r w:rsidR="00417871">
        <w:rPr>
          <w:noProof/>
          <w:lang w:val="it-IT" w:eastAsia="it-IT"/>
        </w:rPr>
        <mc:AlternateContent>
          <mc:Choice Requires="wps">
            <w:drawing>
              <wp:anchor distT="0" distB="0" distL="114300" distR="114300" simplePos="0" relativeHeight="251692032" behindDoc="0" locked="0" layoutInCell="1" allowOverlap="1" wp14:anchorId="32037BA7" wp14:editId="37AEBC07">
                <wp:simplePos x="0" y="0"/>
                <wp:positionH relativeFrom="column">
                  <wp:posOffset>4662805</wp:posOffset>
                </wp:positionH>
                <wp:positionV relativeFrom="paragraph">
                  <wp:posOffset>227804</wp:posOffset>
                </wp:positionV>
                <wp:extent cx="190500" cy="200660"/>
                <wp:effectExtent l="0" t="0" r="19050" b="27940"/>
                <wp:wrapNone/>
                <wp:docPr id="36" name="Rectangle 36"/>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8A75B" w14:textId="77777777" w:rsidR="00417871" w:rsidRPr="007D1B05" w:rsidRDefault="00417871" w:rsidP="00417871">
                            <w:pPr>
                              <w:spacing w:line="240" w:lineRule="auto"/>
                              <w:jc w:val="left"/>
                              <w:rPr>
                                <w:sz w:val="14"/>
                                <w:lang w:val="en-MY"/>
                              </w:rPr>
                            </w:pPr>
                            <w:r>
                              <w:rPr>
                                <w:sz w:val="14"/>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8" style="position:absolute;left:0;text-align:left;margin-left:367.15pt;margin-top:17.95pt;width:15pt;height:1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" fillcolor="white [3201]" strokecolor="black [3213]" strokeweight=".25pt">
                <v:textbox>
                  <w:txbxContent>
                    <w:p w14:paraId="7798A75B" w14:textId="77777777" w:rsidR="00417871" w:rsidRPr="007D1B05" w:rsidRDefault="00417871" w:rsidP="00417871">
                      <w:pPr>
                        <w:spacing w:line="240" w:lineRule="auto"/>
                        <w:jc w:val="left"/>
                        <w:rPr>
                          <w:sz w:val="14"/>
                          <w:lang w:val="en-MY"/>
                        </w:rPr>
                      </w:pPr>
                      <w:r>
                        <w:rPr>
                          <w:sz w:val="14"/>
                          <w:lang w:val="en-MY"/>
                        </w:rPr>
                        <w:t>c</w:t>
                      </w:r>
                    </w:p>
                  </w:txbxContent>
                </v:textbox>
              </v:rect>
            </w:pict>
          </mc:Fallback>
        </mc:AlternateContent>
      </w:r>
      <w:r w:rsidR="0007606A">
        <w:rPr>
          <w:noProof/>
          <w:lang w:val="it-IT" w:eastAsia="it-IT"/>
        </w:rPr>
        <w:drawing>
          <wp:inline distT="0" distB="0" distL="0" distR="0" wp14:anchorId="40054C58" wp14:editId="7EF435D2">
            <wp:extent cx="4391025" cy="1428695"/>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28A0092B-C50C-407E-A947-70E740481C1C}">
                          <a14:useLocalDpi xmlns:a14="http://schemas.microsoft.com/office/drawing/2010/main" val="0"/>
                        </a:ext>
                      </a:extLst>
                    </a:blip>
                    <a:srcRect b="32265"/>
                    <a:stretch>
                      <a:fillRect/>
                    </a:stretch>
                  </pic:blipFill>
                  <pic:spPr>
                    <a:xfrm>
                      <a:off x="0" y="0"/>
                      <a:ext cx="4417858" cy="1437426"/>
                    </a:xfrm>
                    <a:prstGeom prst="rect">
                      <a:avLst/>
                    </a:prstGeom>
                  </pic:spPr>
                </pic:pic>
              </a:graphicData>
            </a:graphic>
          </wp:inline>
        </w:drawing>
      </w:r>
    </w:p>
    <w:p w14:paraId="14761108" w14:textId="159A062F" w:rsidR="00417871" w:rsidRDefault="00417871" w:rsidP="007D7E0C">
      <w:pPr>
        <w:pStyle w:val="CETCaption"/>
      </w:pPr>
      <w:r>
        <w:t xml:space="preserve">Figure 3: </w:t>
      </w:r>
      <w:r w:rsidRPr="00CA5BE0">
        <w:t xml:space="preserve">X-ray photoelectron spectroscopy and Auger Electron Spectroscopy (XPS-AES) result for (a) </w:t>
      </w:r>
      <w:r>
        <w:t>Activated Carbon, (b) AC-</w:t>
      </w:r>
      <w:proofErr w:type="spellStart"/>
      <w:r>
        <w:t>nZVI</w:t>
      </w:r>
      <w:proofErr w:type="spellEnd"/>
      <w:r>
        <w:t xml:space="preserve"> </w:t>
      </w:r>
      <w:r w:rsidRPr="00CA5BE0">
        <w:t xml:space="preserve">and (b) </w:t>
      </w:r>
      <w:r>
        <w:t>AC-</w:t>
      </w:r>
      <w:proofErr w:type="spellStart"/>
      <w:r>
        <w:t>nZVI</w:t>
      </w:r>
      <w:proofErr w:type="spellEnd"/>
      <w:r>
        <w:t xml:space="preserve"> of </w:t>
      </w:r>
      <w:r w:rsidRPr="00CA5BE0">
        <w:t>Fe 2p line</w:t>
      </w:r>
    </w:p>
    <w:p w14:paraId="475A359B" w14:textId="069ED493" w:rsidR="003C1D79" w:rsidRPr="003C1D79" w:rsidRDefault="003C1D79" w:rsidP="004B6192">
      <w:pPr>
        <w:pStyle w:val="CETheadingx"/>
      </w:pPr>
      <w:r w:rsidRPr="003C1D79">
        <w:lastRenderedPageBreak/>
        <w:t>3.5 Batch Test</w:t>
      </w:r>
    </w:p>
    <w:p w14:paraId="50B38189" w14:textId="58739B6A" w:rsidR="003C1D79" w:rsidRDefault="003C1D79" w:rsidP="004B6192">
      <w:pPr>
        <w:pStyle w:val="CETBodytext"/>
      </w:pPr>
      <w:r w:rsidRPr="003C2A13">
        <w:t xml:space="preserve">The </w:t>
      </w:r>
      <w:r>
        <w:t xml:space="preserve">sorption results of different dosages are </w:t>
      </w:r>
      <w:r w:rsidRPr="003C2A13">
        <w:t xml:space="preserve">presented in </w:t>
      </w:r>
      <w:r>
        <w:t>Figure 4(a).  By using dye concentration of 50 ppm and pH values of pH=6, the results for both activated carbon and AC-</w:t>
      </w:r>
      <w:proofErr w:type="spellStart"/>
      <w:r>
        <w:t>nZVI</w:t>
      </w:r>
      <w:proofErr w:type="spellEnd"/>
      <w:r>
        <w:t xml:space="preserve"> showed the same trend and adsorption values. The </w:t>
      </w:r>
      <w:r w:rsidRPr="0040433E">
        <w:t>adsorption capacity for both materials decreased with the increas</w:t>
      </w:r>
      <w:r>
        <w:t>ing</w:t>
      </w:r>
      <w:r w:rsidRPr="0040433E">
        <w:t xml:space="preserve"> of adsorbent materials</w:t>
      </w:r>
      <w:r w:rsidRPr="00E24252">
        <w:t xml:space="preserve"> </w:t>
      </w:r>
      <w:r w:rsidRPr="0040433E">
        <w:t>due to the overlapping of adsorption sites</w:t>
      </w:r>
      <w:r>
        <w:t xml:space="preserve">, thus giving the </w:t>
      </w:r>
      <w:r w:rsidRPr="0040433E">
        <w:t>overcrowded adsorbent particles</w:t>
      </w:r>
      <w:r>
        <w:t xml:space="preserve"> </w:t>
      </w:r>
      <w:r>
        <w:fldChar w:fldCharType="begin" w:fldLock="1"/>
      </w:r>
      <w:r>
        <w:instrText>ADDIN CSL_CITATION {"citationItems":[{"id":"ITEM-1","itemData":{"author":[{"dropping-particle":"","family":"Hefne","given":"J A","non-dropping-particle":"","parse-names":false,"suffix":""},{"dropping-particle":"","family":"Mekhemer","given":"W K","non-dropping-particle":"","parse-names":false,"suffix":""},{"dropping-particle":"","family":"Alandis","given":"N M","non-dropping-particle":"","parse-names":false,"suffix":""},{"dropping-particle":"","family":"Aldayel","given":"O A","non-dropping-particle":"","parse-names":false,"suffix":""},{"dropping-particle":"","family":"Alajyan","given":"T","non-dropping-particle":"","parse-names":false,"suffix":""}],"id":"ITEM-1","issue":"1","issued":{"date-parts":[["2010"]]},"page":"155-176","title":"Removal of Silver ( I ) from Aqueous Solutions by Natural Bentonite","type":"article-journal","volume":"22"},"uris":["http://www.mendeley.com/documents/?uuid=9913b6d7-6f94-4ad7-b85b-0fdf13a8c75a"]}],"mendeley":{"formattedCitation":"(Hefne et al. 2010)","manualFormatting":"(Hefne et al., 2010)","plainTextFormattedCitation":"(Hefne et al. 2010)","previouslyFormattedCitation":"(Hefne et al. 2010)"},"properties":{"noteIndex":0},"schema":"https://github.com/citation-style-language/schema/raw/master/csl-citation.json"}</w:instrText>
      </w:r>
      <w:r>
        <w:fldChar w:fldCharType="separate"/>
      </w:r>
      <w:r w:rsidRPr="0069283B">
        <w:rPr>
          <w:noProof/>
        </w:rPr>
        <w:t>(Hefne et al.</w:t>
      </w:r>
      <w:r>
        <w:rPr>
          <w:noProof/>
        </w:rPr>
        <w:t>,</w:t>
      </w:r>
      <w:r w:rsidRPr="0069283B">
        <w:rPr>
          <w:noProof/>
        </w:rPr>
        <w:t xml:space="preserve"> 2010)</w:t>
      </w:r>
      <w:r>
        <w:fldChar w:fldCharType="end"/>
      </w:r>
      <w:r>
        <w:t xml:space="preserve">. The adsorption values for both materials were also the same in all dosage values, showing that both materials had same capability to adsorb dye. Based on the paper reported by </w:t>
      </w:r>
      <w:r>
        <w:fldChar w:fldCharType="begin" w:fldLock="1"/>
      </w:r>
      <w:r>
        <w:instrText>ADDIN CSL_CITATION {"citationItems":[{"id":"ITEM-1","itemData":{"DOI":"10.1016/j.jhazmat.2009.06.139","ISSN":"03043894","PMID":"19631461","abstract":"The performances of polydiallydimethylammonium modified bentonite (PDADMA-bentonite) as an adsorbent to remove anionic dyes, namely Acid Scarlet GR (AS-GR), Acid Turquoise Blue 2G (ATB-2G) and Indigo Carmine (IC), were investigated in single, binary and ternary dye systems. In adsorption from single dye solutions with initial concentration of 100 ??mol/L, the dosage of PDADMA-bentonite needed to remove 95% dye was 0.42, 0.68 and 0.75 g/L for AS-GR, ATB-2G and IC, respectively. The adsorption isotherms of the three dyes obeyed the Langmuir isotherm model with the equilibrium constants of 0.372, 0.629 and 4.31 L/??mol, the saturation adsorption amount of 176.3, 149.2 and 228.7 ??mol/g for ATB-2G, IC and AS-GR, respectively. In adsorption from mixed dye solutions, the isotherm of each individual dye followed an expanded Langmuir isotherm model and the relationship between the total amount of dyes adsorbed and the total equilibrium dye concentration was interpreted well by Langmuir isotherm model. In the region of insufficient dosage of PDADMA-bentonite, the dye with a larger affinity was preferentially removed by adsorption. Desorption was observed in the kinetic curve of the dye with lower affinity on PDADMA-bentonite surface by the competitive adsorption. The kinetics in single dye solution and the total adsorption of dyes in binary and ternary dye systems nicely followed pseudo-second-order kinetic model. ?? 2009 Elsevier B.V. All rights reserved.","author":[{"dropping-particle":"","family":"Shen","given":"Dazhong","non-dropping-particle":"","parse-names":false,"suffix":""},{"dropping-particle":"","family":"Fan","given":"Jianxin","non-dropping-particle":"","parse-names":false,"suffix":""},{"dropping-particle":"","family":"Zhou","given":"Weizhi","non-dropping-particle":"","parse-names":false,"suffix":""},{"dropping-particle":"","family":"Gao","given":"Baoyu","non-dropping-particle":"","parse-names":false,"suffix":""},{"dropping-particle":"","family":"Yue","given":"Qinyan","non-dropping-particle":"","parse-names":false,"suffix":""},{"dropping-particle":"","family":"Kang","given":"Qi","non-dropping-particle":"","parse-names":false,"suffix":""}],"container-title":"Journal of Hazardous Materials","id":"ITEM-1","issue":"1","issued":{"date-parts":[["2009"]]},"page":"99-107","title":"Adsorption kinetics and isotherm of anionic dyes onto organo-bentonite from single and multisolute systems","type":"article-journal","volume":"172"},"uris":["http://www.mendeley.com/documents/?uuid=181fa07d-ca92-4425-9403-2f44eb98328d"]}],"mendeley":{"formattedCitation":"(Shen et al. 2009)","plainTextFormattedCitation":"(Shen et al. 2009)","previouslyFormattedCitation":"(Shen et al. 2009)"},"properties":{"noteIndex":0},"schema":"https://github.com/citation-style-language/schema/raw/master/csl-citation.json"}</w:instrText>
      </w:r>
      <w:r>
        <w:fldChar w:fldCharType="separate"/>
      </w:r>
      <w:r w:rsidRPr="0069283B">
        <w:rPr>
          <w:noProof/>
        </w:rPr>
        <w:t>(Shen et al. 2009)</w:t>
      </w:r>
      <w:r>
        <w:fldChar w:fldCharType="end"/>
      </w:r>
      <w:r>
        <w:t xml:space="preserve">, activated carbon has higher adsorption capability in removing pollutant </w:t>
      </w:r>
      <w:r>
        <w:rPr>
          <w:szCs w:val="18"/>
        </w:rPr>
        <w:t>due to its</w:t>
      </w:r>
      <w:r w:rsidRPr="00E1118D">
        <w:t xml:space="preserve"> large specific surface area</w:t>
      </w:r>
      <w:r>
        <w:t xml:space="preserve">. This study suggests of using high concentration of Acid Orange II in order to know the different of </w:t>
      </w:r>
      <w:r w:rsidRPr="00E24252">
        <w:t xml:space="preserve">adsorption capacity </w:t>
      </w:r>
      <w:r>
        <w:t>between activated carbon and AC-</w:t>
      </w:r>
      <w:proofErr w:type="spellStart"/>
      <w:r>
        <w:t>nZVI</w:t>
      </w:r>
      <w:proofErr w:type="spellEnd"/>
      <w:r>
        <w:t>.</w:t>
      </w:r>
    </w:p>
    <w:p w14:paraId="73039103" w14:textId="04F6D40A" w:rsidR="003C1D79" w:rsidRDefault="00F34506" w:rsidP="004B6192">
      <w:pPr>
        <w:pStyle w:val="CETBodytext"/>
        <w:tabs>
          <w:tab w:val="clear" w:pos="7100"/>
          <w:tab w:val="left" w:pos="5220"/>
        </w:tabs>
      </w:pPr>
      <w:r>
        <w:rPr>
          <w:noProof/>
          <w:lang w:val="it-IT" w:eastAsia="it-IT"/>
        </w:rPr>
        <mc:AlternateContent>
          <mc:Choice Requires="wps">
            <w:drawing>
              <wp:anchor distT="0" distB="0" distL="114300" distR="114300" simplePos="0" relativeHeight="251710464" behindDoc="0" locked="0" layoutInCell="1" allowOverlap="1" wp14:anchorId="3C05EA58" wp14:editId="0C314785">
                <wp:simplePos x="0" y="0"/>
                <wp:positionH relativeFrom="column">
                  <wp:posOffset>4721225</wp:posOffset>
                </wp:positionH>
                <wp:positionV relativeFrom="paragraph">
                  <wp:posOffset>2634615</wp:posOffset>
                </wp:positionV>
                <wp:extent cx="190500" cy="200660"/>
                <wp:effectExtent l="0" t="0" r="19050" b="27940"/>
                <wp:wrapNone/>
                <wp:docPr id="29" name="Rectangle 29"/>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045EE1" w14:textId="77777777" w:rsidR="00861815" w:rsidRPr="007D1B05" w:rsidRDefault="00861815" w:rsidP="00861815">
                            <w:pPr>
                              <w:spacing w:line="240" w:lineRule="auto"/>
                              <w:jc w:val="left"/>
                              <w:rPr>
                                <w:sz w:val="14"/>
                                <w:lang w:val="en-MY"/>
                              </w:rPr>
                            </w:pPr>
                            <w:r>
                              <w:rPr>
                                <w:sz w:val="14"/>
                                <w:lang w:val="en-MY"/>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9" style="position:absolute;left:0;text-align:left;margin-left:371.75pt;margin-top:207.45pt;width:15pt;height:1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" fillcolor="white [3201]" strokecolor="black [3213]" strokeweight=".25pt">
                <v:textbox>
                  <w:txbxContent>
                    <w:p w14:paraId="2A045EE1" w14:textId="77777777" w:rsidR="00861815" w:rsidRPr="007D1B05" w:rsidRDefault="00861815" w:rsidP="00861815">
                      <w:pPr>
                        <w:spacing w:line="240" w:lineRule="auto"/>
                        <w:jc w:val="left"/>
                        <w:rPr>
                          <w:sz w:val="14"/>
                          <w:lang w:val="en-MY"/>
                        </w:rPr>
                      </w:pPr>
                      <w:r>
                        <w:rPr>
                          <w:sz w:val="14"/>
                          <w:lang w:val="en-MY"/>
                        </w:rPr>
                        <w:t>d</w:t>
                      </w:r>
                    </w:p>
                  </w:txbxContent>
                </v:textbox>
              </v:rect>
            </w:pict>
          </mc:Fallback>
        </mc:AlternateContent>
      </w:r>
      <w:r>
        <w:rPr>
          <w:noProof/>
          <w:lang w:val="it-IT" w:eastAsia="it-IT"/>
        </w:rPr>
        <mc:AlternateContent>
          <mc:Choice Requires="wps">
            <w:drawing>
              <wp:anchor distT="0" distB="0" distL="114300" distR="114300" simplePos="0" relativeHeight="251708416" behindDoc="0" locked="0" layoutInCell="1" allowOverlap="1" wp14:anchorId="79C8F26C" wp14:editId="2CCA15CE">
                <wp:simplePos x="0" y="0"/>
                <wp:positionH relativeFrom="column">
                  <wp:posOffset>2084070</wp:posOffset>
                </wp:positionH>
                <wp:positionV relativeFrom="paragraph">
                  <wp:posOffset>2667000</wp:posOffset>
                </wp:positionV>
                <wp:extent cx="190500" cy="200660"/>
                <wp:effectExtent l="0" t="0" r="19050" b="27940"/>
                <wp:wrapNone/>
                <wp:docPr id="27" name="Rectangle 27"/>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7C4D3E" w14:textId="77777777" w:rsidR="00861815" w:rsidRPr="007D1B05" w:rsidRDefault="00861815" w:rsidP="00861815">
                            <w:pPr>
                              <w:spacing w:line="240" w:lineRule="auto"/>
                              <w:jc w:val="left"/>
                              <w:rPr>
                                <w:sz w:val="14"/>
                                <w:lang w:val="en-MY"/>
                              </w:rPr>
                            </w:pPr>
                            <w:r>
                              <w:rPr>
                                <w:sz w:val="14"/>
                                <w:lang w:val="en-MY"/>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0" style="position:absolute;left:0;text-align:left;margin-left:164.1pt;margin-top:210pt;width:15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" fillcolor="white [3201]" strokecolor="black [3213]" strokeweight=".25pt">
                <v:textbox>
                  <w:txbxContent>
                    <w:p w14:paraId="317C4D3E" w14:textId="77777777" w:rsidR="00861815" w:rsidRPr="007D1B05" w:rsidRDefault="00861815" w:rsidP="00861815">
                      <w:pPr>
                        <w:spacing w:line="240" w:lineRule="auto"/>
                        <w:jc w:val="left"/>
                        <w:rPr>
                          <w:sz w:val="14"/>
                          <w:lang w:val="en-MY"/>
                        </w:rPr>
                      </w:pPr>
                      <w:r>
                        <w:rPr>
                          <w:sz w:val="14"/>
                          <w:lang w:val="en-MY"/>
                        </w:rPr>
                        <w:t>c</w:t>
                      </w:r>
                    </w:p>
                  </w:txbxContent>
                </v:textbox>
              </v:rect>
            </w:pict>
          </mc:Fallback>
        </mc:AlternateContent>
      </w:r>
      <w:r w:rsidR="00861815">
        <w:rPr>
          <w:noProof/>
          <w:lang w:val="it-IT" w:eastAsia="it-IT"/>
        </w:rPr>
        <mc:AlternateContent>
          <mc:Choice Requires="wps">
            <w:drawing>
              <wp:anchor distT="0" distB="0" distL="114300" distR="114300" simplePos="0" relativeHeight="251706368" behindDoc="0" locked="0" layoutInCell="1" allowOverlap="1" wp14:anchorId="52F1B83F" wp14:editId="7CEB977A">
                <wp:simplePos x="0" y="0"/>
                <wp:positionH relativeFrom="column">
                  <wp:posOffset>5274641</wp:posOffset>
                </wp:positionH>
                <wp:positionV relativeFrom="paragraph">
                  <wp:posOffset>1335405</wp:posOffset>
                </wp:positionV>
                <wp:extent cx="190500" cy="200660"/>
                <wp:effectExtent l="0" t="0" r="19050" b="27940"/>
                <wp:wrapNone/>
                <wp:docPr id="26" name="Rectangle 26"/>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CD2224" w14:textId="77777777" w:rsidR="00861815" w:rsidRPr="007D1B05" w:rsidRDefault="00861815" w:rsidP="00861815">
                            <w:pPr>
                              <w:spacing w:line="240" w:lineRule="auto"/>
                              <w:jc w:val="left"/>
                              <w:rPr>
                                <w:sz w:val="14"/>
                                <w:lang w:val="en-MY"/>
                              </w:rPr>
                            </w:pPr>
                            <w:r>
                              <w:rPr>
                                <w:sz w:val="14"/>
                                <w:lang w:val="en-MY"/>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1" style="position:absolute;left:0;text-align:left;margin-left:415.35pt;margin-top:105.15pt;width:15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" fillcolor="white [3201]" strokecolor="black [3213]" strokeweight=".25pt">
                <v:textbox>
                  <w:txbxContent>
                    <w:p w14:paraId="63CD2224" w14:textId="77777777" w:rsidR="00861815" w:rsidRPr="007D1B05" w:rsidRDefault="00861815" w:rsidP="00861815">
                      <w:pPr>
                        <w:spacing w:line="240" w:lineRule="auto"/>
                        <w:jc w:val="left"/>
                        <w:rPr>
                          <w:sz w:val="14"/>
                          <w:lang w:val="en-MY"/>
                        </w:rPr>
                      </w:pPr>
                      <w:r>
                        <w:rPr>
                          <w:sz w:val="14"/>
                          <w:lang w:val="en-MY"/>
                        </w:rPr>
                        <w:t>b</w:t>
                      </w:r>
                    </w:p>
                  </w:txbxContent>
                </v:textbox>
              </v:rect>
            </w:pict>
          </mc:Fallback>
        </mc:AlternateContent>
      </w:r>
      <w:r w:rsidR="00861815">
        <w:rPr>
          <w:noProof/>
          <w:lang w:val="it-IT" w:eastAsia="it-IT"/>
        </w:rPr>
        <mc:AlternateContent>
          <mc:Choice Requires="wps">
            <w:drawing>
              <wp:anchor distT="0" distB="0" distL="114300" distR="114300" simplePos="0" relativeHeight="251704320" behindDoc="0" locked="0" layoutInCell="1" allowOverlap="1" wp14:anchorId="43F8C680" wp14:editId="4F0F66BC">
                <wp:simplePos x="0" y="0"/>
                <wp:positionH relativeFrom="column">
                  <wp:posOffset>2437130</wp:posOffset>
                </wp:positionH>
                <wp:positionV relativeFrom="paragraph">
                  <wp:posOffset>87961</wp:posOffset>
                </wp:positionV>
                <wp:extent cx="190500" cy="200660"/>
                <wp:effectExtent l="0" t="0" r="19050" b="27940"/>
                <wp:wrapNone/>
                <wp:docPr id="24" name="Rectangle 24"/>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BC72E" w14:textId="77777777" w:rsidR="00861815" w:rsidRPr="007D1B05" w:rsidRDefault="00861815" w:rsidP="00861815">
                            <w:pPr>
                              <w:spacing w:line="240" w:lineRule="auto"/>
                              <w:jc w:val="left"/>
                              <w:rPr>
                                <w:sz w:val="14"/>
                                <w:lang w:val="en-MY"/>
                              </w:rPr>
                            </w:pPr>
                            <w:r w:rsidRPr="007D1B05">
                              <w:rPr>
                                <w:sz w:val="14"/>
                                <w:lang w:val="en-M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2" style="position:absolute;left:0;text-align:left;margin-left:191.9pt;margin-top:6.95pt;width:15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" fillcolor="white [3201]" strokecolor="black [3213]" strokeweight=".25pt">
                <v:textbox>
                  <w:txbxContent>
                    <w:p w14:paraId="716BC72E" w14:textId="77777777" w:rsidR="00861815" w:rsidRPr="007D1B05" w:rsidRDefault="00861815" w:rsidP="00861815">
                      <w:pPr>
                        <w:spacing w:line="240" w:lineRule="auto"/>
                        <w:jc w:val="left"/>
                        <w:rPr>
                          <w:sz w:val="14"/>
                          <w:lang w:val="en-MY"/>
                        </w:rPr>
                      </w:pPr>
                      <w:r w:rsidRPr="007D1B05">
                        <w:rPr>
                          <w:sz w:val="14"/>
                          <w:lang w:val="en-MY"/>
                        </w:rPr>
                        <w:t>a</w:t>
                      </w:r>
                    </w:p>
                  </w:txbxContent>
                </v:textbox>
              </v:rect>
            </w:pict>
          </mc:Fallback>
        </mc:AlternateContent>
      </w:r>
      <w:r w:rsidR="003C1D79">
        <w:t xml:space="preserve">   </w:t>
      </w:r>
      <w:r w:rsidR="003C1D79" w:rsidRPr="002E4A8F">
        <w:rPr>
          <w:noProof/>
          <w:lang w:val="it-IT" w:eastAsia="it-IT"/>
        </w:rPr>
        <w:drawing>
          <wp:inline distT="0" distB="0" distL="0" distR="0" wp14:anchorId="4775880E" wp14:editId="02F154EF">
            <wp:extent cx="2581275" cy="188595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B46CB0-5FE3-4794-BD03-DD89629DF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C1D79">
        <w:t xml:space="preserve">  </w:t>
      </w:r>
      <w:r w:rsidR="003C1D79" w:rsidRPr="002E4A8F">
        <w:t xml:space="preserve">   </w:t>
      </w:r>
      <w:r w:rsidR="003C1D79">
        <w:t xml:space="preserve"> </w:t>
      </w:r>
      <w:r w:rsidR="003C1D79" w:rsidRPr="002E4A8F">
        <w:rPr>
          <w:noProof/>
          <w:lang w:val="it-IT" w:eastAsia="it-IT"/>
        </w:rPr>
        <w:drawing>
          <wp:inline distT="0" distB="0" distL="0" distR="0" wp14:anchorId="7F54121D" wp14:editId="5747D2B4">
            <wp:extent cx="2524125" cy="1885950"/>
            <wp:effectExtent l="0" t="0" r="0" b="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88D6D-619C-4B99-B51C-48B5FCE19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C1D79">
        <w:t xml:space="preserve">      </w:t>
      </w:r>
      <w:r w:rsidR="003C1D79">
        <w:tab/>
      </w:r>
      <w:r>
        <w:rPr>
          <w:noProof/>
          <w:lang w:val="it-IT" w:eastAsia="it-IT"/>
        </w:rPr>
        <w:drawing>
          <wp:inline distT="0" distB="0" distL="0" distR="0" wp14:anchorId="486E7366" wp14:editId="504DF116">
            <wp:extent cx="2543175" cy="2066925"/>
            <wp:effectExtent l="0" t="0" r="0" b="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4A2605-441A-4D00-B552-DD198011F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val="it-IT" w:eastAsia="it-IT"/>
        </w:rPr>
        <w:drawing>
          <wp:inline distT="0" distB="0" distL="0" distR="0" wp14:anchorId="7B133EBC" wp14:editId="2C5AB26D">
            <wp:extent cx="2581275" cy="1962150"/>
            <wp:effectExtent l="0" t="0" r="9525" b="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B46CB0-5FE3-4794-BD03-DD89629DF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DF1D72" w14:textId="03984E0C" w:rsidR="003C1D79" w:rsidRDefault="003C1D79" w:rsidP="004B6192">
      <w:pPr>
        <w:pStyle w:val="CETBodytext"/>
      </w:pPr>
      <w:r>
        <w:t xml:space="preserve">                 </w:t>
      </w:r>
    </w:p>
    <w:p w14:paraId="0C797F73" w14:textId="53386707" w:rsidR="003C1D79" w:rsidRPr="00A00554" w:rsidRDefault="00861815" w:rsidP="004B6192">
      <w:pPr>
        <w:pStyle w:val="CETBodytext"/>
        <w:jc w:val="center"/>
      </w:pPr>
      <w:r>
        <w:rPr>
          <w:noProof/>
          <w:lang w:val="it-IT" w:eastAsia="it-IT"/>
        </w:rPr>
        <mc:AlternateContent>
          <mc:Choice Requires="wps">
            <w:drawing>
              <wp:anchor distT="0" distB="0" distL="114300" distR="114300" simplePos="0" relativeHeight="251712512" behindDoc="0" locked="0" layoutInCell="1" allowOverlap="1" wp14:anchorId="7C419E66" wp14:editId="0C5A3D23">
                <wp:simplePos x="0" y="0"/>
                <wp:positionH relativeFrom="column">
                  <wp:posOffset>3919220</wp:posOffset>
                </wp:positionH>
                <wp:positionV relativeFrom="paragraph">
                  <wp:posOffset>1397331</wp:posOffset>
                </wp:positionV>
                <wp:extent cx="190500" cy="200660"/>
                <wp:effectExtent l="0" t="0" r="19050" b="27940"/>
                <wp:wrapNone/>
                <wp:docPr id="41" name="Rectangle 41"/>
                <wp:cNvGraphicFramePr/>
                <a:graphic xmlns:a="http://schemas.openxmlformats.org/drawingml/2006/main">
                  <a:graphicData uri="http://schemas.microsoft.com/office/word/2010/wordprocessingShape">
                    <wps:wsp>
                      <wps:cNvSpPr/>
                      <wps:spPr>
                        <a:xfrm>
                          <a:off x="0" y="0"/>
                          <a:ext cx="190500" cy="2006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DC0185" w14:textId="77777777" w:rsidR="00861815" w:rsidRPr="007D1B05" w:rsidRDefault="00861815" w:rsidP="00861815">
                            <w:pPr>
                              <w:spacing w:line="240" w:lineRule="auto"/>
                              <w:jc w:val="left"/>
                              <w:rPr>
                                <w:sz w:val="14"/>
                                <w:lang w:val="en-MY"/>
                              </w:rPr>
                            </w:pPr>
                            <w:r>
                              <w:rPr>
                                <w:sz w:val="14"/>
                                <w:lang w:val="en-MY"/>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3" style="position:absolute;left:0;text-align:left;margin-left:308.6pt;margin-top:110.05pt;width:15pt;height:1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" fillcolor="white [3201]" strokecolor="black [3213]" strokeweight=".25pt">
                <v:textbox>
                  <w:txbxContent>
                    <w:p w14:paraId="4DDC0185" w14:textId="77777777" w:rsidR="00861815" w:rsidRPr="007D1B05" w:rsidRDefault="00861815" w:rsidP="00861815">
                      <w:pPr>
                        <w:spacing w:line="240" w:lineRule="auto"/>
                        <w:jc w:val="left"/>
                        <w:rPr>
                          <w:sz w:val="14"/>
                          <w:lang w:val="en-MY"/>
                        </w:rPr>
                      </w:pPr>
                      <w:r>
                        <w:rPr>
                          <w:sz w:val="14"/>
                          <w:lang w:val="en-MY"/>
                        </w:rPr>
                        <w:t>e</w:t>
                      </w:r>
                    </w:p>
                  </w:txbxContent>
                </v:textbox>
              </v:rect>
            </w:pict>
          </mc:Fallback>
        </mc:AlternateContent>
      </w:r>
      <w:r w:rsidR="003C1D79" w:rsidRPr="00C55AC7">
        <w:rPr>
          <w:noProof/>
          <w:vertAlign w:val="subscript"/>
          <w:lang w:val="it-IT" w:eastAsia="it-IT"/>
        </w:rPr>
        <w:drawing>
          <wp:inline distT="0" distB="0" distL="0" distR="0" wp14:anchorId="58D4D636" wp14:editId="0D68EB82">
            <wp:extent cx="2733675" cy="1971675"/>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25B4DE-0302-41C5-A389-5E953F2A6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1B1AF2" w14:textId="4ACA7006" w:rsidR="003C1D79" w:rsidRDefault="003C1D79" w:rsidP="00F34506">
      <w:pPr>
        <w:pStyle w:val="CETCaption"/>
      </w:pPr>
      <w:r w:rsidRPr="00293548">
        <w:t>Figure 4: Batch Test results of five factors (a) dose (b) initial concentration (c) pH (d) kinetic and (e) Temperature</w:t>
      </w:r>
    </w:p>
    <w:p w14:paraId="15B48BCF" w14:textId="77777777" w:rsidR="00F34506" w:rsidRDefault="00F34506" w:rsidP="00F34506">
      <w:pPr>
        <w:pStyle w:val="CETBodytext"/>
        <w:rPr>
          <w:highlight w:val="yellow"/>
        </w:rPr>
      </w:pPr>
      <w:r>
        <w:lastRenderedPageBreak/>
        <w:t>The effect of initial concentrations on Acid Orange II are presented in Figure 4(b). The curve showed the adsorption capacity increased with the increasing of initial concentration until at one point it became constant although the initial concentration was increased due to surface particles was saturated with dye. In initial concentration effect, AC-</w:t>
      </w:r>
      <w:proofErr w:type="spellStart"/>
      <w:r>
        <w:t>nZVI</w:t>
      </w:r>
      <w:proofErr w:type="spellEnd"/>
      <w:r>
        <w:t xml:space="preserve"> exhibited larger adsorption capacity (4.41 mg/g) compared to activated carbon (1.82 mg/g) due to the dispersion of </w:t>
      </w:r>
      <w:proofErr w:type="spellStart"/>
      <w:r>
        <w:t>nZVI</w:t>
      </w:r>
      <w:proofErr w:type="spellEnd"/>
      <w:r>
        <w:t xml:space="preserve"> particles on activated carbon particles, consequently providing more sites for adsorption. Figure 4(c) and 4(d) illustrate the effect of pH and kinetic study of Acid Orange II on activated carbon and AC-</w:t>
      </w:r>
      <w:proofErr w:type="spellStart"/>
      <w:r>
        <w:t>nZVI</w:t>
      </w:r>
      <w:proofErr w:type="spellEnd"/>
      <w:r>
        <w:t>. Both graphs were constant suggesting that the adsorption capacity was not affected by pH values and shaking time. The effect of temperature on the adsorption capacity of Acid Orange II on Gr and Gr-</w:t>
      </w:r>
      <w:proofErr w:type="spellStart"/>
      <w:r>
        <w:t>nZVI</w:t>
      </w:r>
      <w:proofErr w:type="spellEnd"/>
      <w:r>
        <w:t xml:space="preserve"> is illustrated in Figure 4(e). It can be observed that adsorption capacity of Acid Orange II was increased with the increasing of temperature. The same results reported by Reddy et al. (2012). For the AC-</w:t>
      </w:r>
      <w:proofErr w:type="spellStart"/>
      <w:r>
        <w:t>nZVI</w:t>
      </w:r>
      <w:proofErr w:type="spellEnd"/>
      <w:r>
        <w:t xml:space="preserve"> curved, it showed constant adsorption capacity values, and this showing that temperature did not give any significant effect on AC-</w:t>
      </w:r>
      <w:proofErr w:type="spellStart"/>
      <w:r>
        <w:t>nZVI</w:t>
      </w:r>
      <w:proofErr w:type="spellEnd"/>
      <w:r>
        <w:t xml:space="preserve"> particles. However, AC-</w:t>
      </w:r>
      <w:proofErr w:type="spellStart"/>
      <w:r>
        <w:t>nZVI</w:t>
      </w:r>
      <w:proofErr w:type="spellEnd"/>
      <w:r>
        <w:t xml:space="preserve"> showed higher adsorption capacity compared to activated carbon. This was due to AC-</w:t>
      </w:r>
      <w:proofErr w:type="spellStart"/>
      <w:r>
        <w:t>nZVI</w:t>
      </w:r>
      <w:proofErr w:type="spellEnd"/>
      <w:r>
        <w:t xml:space="preserve"> provided both mineral and </w:t>
      </w:r>
      <w:proofErr w:type="spellStart"/>
      <w:r>
        <w:t>nZVI</w:t>
      </w:r>
      <w:proofErr w:type="spellEnd"/>
      <w:r>
        <w:t xml:space="preserve"> particles surfaces for greater adsorption sites compared to activated carbon itself. The findings suggest the stability of AC-</w:t>
      </w:r>
      <w:proofErr w:type="spellStart"/>
      <w:r>
        <w:t>nZVI</w:t>
      </w:r>
      <w:proofErr w:type="spellEnd"/>
      <w:r>
        <w:t xml:space="preserve"> towards temperature effects and proven as better materials for water treatment in the natural environment.</w:t>
      </w:r>
    </w:p>
    <w:p w14:paraId="4EF6DA3A" w14:textId="7AEF1C14" w:rsidR="003C1D79" w:rsidRPr="00C80A7A" w:rsidRDefault="003C1D79" w:rsidP="004B6192">
      <w:pPr>
        <w:pStyle w:val="CETHeading1"/>
        <w:numPr>
          <w:ilvl w:val="1"/>
          <w:numId w:val="22"/>
        </w:numPr>
        <w:spacing w:line="264" w:lineRule="auto"/>
        <w:rPr>
          <w:lang w:val="en-GB"/>
        </w:rPr>
      </w:pPr>
      <w:r w:rsidRPr="00C80A7A">
        <w:rPr>
          <w:lang w:val="en-GB"/>
        </w:rPr>
        <w:t>Conclusions</w:t>
      </w:r>
    </w:p>
    <w:p w14:paraId="0847F392" w14:textId="60077287" w:rsidR="003C1D79" w:rsidRDefault="003C1D79" w:rsidP="004B6192">
      <w:pPr>
        <w:pStyle w:val="CETBodytext"/>
        <w:rPr>
          <w:lang w:val="en-GB"/>
        </w:rPr>
      </w:pPr>
      <w:r>
        <w:rPr>
          <w:lang w:val="en-GB"/>
        </w:rPr>
        <w:t>This study concludes that AC-</w:t>
      </w:r>
      <w:proofErr w:type="spellStart"/>
      <w:r>
        <w:rPr>
          <w:lang w:val="en-GB"/>
        </w:rPr>
        <w:t>nZVI</w:t>
      </w:r>
      <w:proofErr w:type="spellEnd"/>
      <w:r>
        <w:rPr>
          <w:lang w:val="en-GB"/>
        </w:rPr>
        <w:t xml:space="preserve"> was successfully synthesized using chemical reduction method</w:t>
      </w:r>
      <w:r w:rsidR="0030163F">
        <w:rPr>
          <w:lang w:val="en-GB"/>
        </w:rPr>
        <w:t xml:space="preserve">. </w:t>
      </w:r>
      <w:r w:rsidR="009E5A7D">
        <w:rPr>
          <w:lang w:val="en-GB"/>
        </w:rPr>
        <w:t>The c</w:t>
      </w:r>
      <w:r w:rsidR="0030163F" w:rsidRPr="0030163F">
        <w:rPr>
          <w:lang w:val="en-GB"/>
        </w:rPr>
        <w:t>haracterization of</w:t>
      </w:r>
      <w:r w:rsidR="009E5A7D">
        <w:rPr>
          <w:lang w:val="en-GB"/>
        </w:rPr>
        <w:t xml:space="preserve"> c</w:t>
      </w:r>
      <w:r w:rsidR="0030163F" w:rsidRPr="0030163F">
        <w:rPr>
          <w:lang w:val="en-GB"/>
        </w:rPr>
        <w:t xml:space="preserve">omposite </w:t>
      </w:r>
      <w:r w:rsidR="009E5A7D">
        <w:rPr>
          <w:lang w:val="en-GB"/>
        </w:rPr>
        <w:t>n</w:t>
      </w:r>
      <w:r w:rsidR="0030163F" w:rsidRPr="0030163F">
        <w:rPr>
          <w:lang w:val="en-GB"/>
        </w:rPr>
        <w:t>anoparticles</w:t>
      </w:r>
      <w:r w:rsidR="009E5A7D">
        <w:rPr>
          <w:lang w:val="en-GB"/>
        </w:rPr>
        <w:t xml:space="preserve"> </w:t>
      </w:r>
      <w:r w:rsidR="0030163F" w:rsidRPr="0030163F">
        <w:rPr>
          <w:lang w:val="en-GB"/>
        </w:rPr>
        <w:t>was performed using</w:t>
      </w:r>
      <w:r w:rsidR="009E5A7D">
        <w:rPr>
          <w:lang w:val="en-GB"/>
        </w:rPr>
        <w:t xml:space="preserve"> BET surface area, FESEM, XRD and XPS-AES.</w:t>
      </w:r>
      <w:r w:rsidR="00C35908">
        <w:rPr>
          <w:lang w:val="en-GB"/>
        </w:rPr>
        <w:t xml:space="preserve"> Through BET surface area, the </w:t>
      </w:r>
      <w:r w:rsidR="00C35908" w:rsidRPr="00C35908">
        <w:rPr>
          <w:lang w:val="en-GB"/>
        </w:rPr>
        <w:t xml:space="preserve">pores in the activated carbon were filled with added </w:t>
      </w:r>
      <w:proofErr w:type="spellStart"/>
      <w:r w:rsidR="00C35908" w:rsidRPr="00C35908">
        <w:rPr>
          <w:lang w:val="en-GB"/>
        </w:rPr>
        <w:t>nZVI</w:t>
      </w:r>
      <w:proofErr w:type="spellEnd"/>
      <w:r w:rsidR="00C35908" w:rsidRPr="00C35908">
        <w:rPr>
          <w:lang w:val="en-GB"/>
        </w:rPr>
        <w:t xml:space="preserve"> particles</w:t>
      </w:r>
      <w:r w:rsidR="00C35908">
        <w:rPr>
          <w:lang w:val="en-GB"/>
        </w:rPr>
        <w:t>.</w:t>
      </w:r>
      <w:r w:rsidR="00C35908" w:rsidRPr="00C35908">
        <w:t xml:space="preserve"> </w:t>
      </w:r>
      <w:r w:rsidR="00C35908">
        <w:t xml:space="preserve">The FESEM analysis shows the </w:t>
      </w:r>
      <w:r w:rsidR="00C35908" w:rsidRPr="00C35908">
        <w:rPr>
          <w:lang w:val="en-GB"/>
        </w:rPr>
        <w:t>AC-</w:t>
      </w:r>
      <w:proofErr w:type="spellStart"/>
      <w:r w:rsidR="00C35908" w:rsidRPr="00C35908">
        <w:rPr>
          <w:lang w:val="en-GB"/>
        </w:rPr>
        <w:t>nZVI</w:t>
      </w:r>
      <w:proofErr w:type="spellEnd"/>
      <w:r w:rsidR="00C35908" w:rsidRPr="00C35908">
        <w:rPr>
          <w:lang w:val="en-GB"/>
        </w:rPr>
        <w:t xml:space="preserve"> has spherical shapes, ranging between 45.61 nm to 69.42 nm and were aggregated into a chain-like on activated carbon surface.</w:t>
      </w:r>
      <w:r w:rsidR="00C35908">
        <w:rPr>
          <w:lang w:val="en-GB"/>
        </w:rPr>
        <w:t xml:space="preserve"> In </w:t>
      </w:r>
      <w:r w:rsidR="00C35908" w:rsidRPr="00C35908">
        <w:rPr>
          <w:lang w:val="en-GB"/>
        </w:rPr>
        <w:t>XRD pattern</w:t>
      </w:r>
      <w:r w:rsidR="00C35908">
        <w:rPr>
          <w:lang w:val="en-GB"/>
        </w:rPr>
        <w:t xml:space="preserve">, the </w:t>
      </w:r>
      <w:r w:rsidR="00C35908" w:rsidRPr="00C35908">
        <w:rPr>
          <w:lang w:val="en-GB"/>
        </w:rPr>
        <w:t>AC-</w:t>
      </w:r>
      <w:proofErr w:type="spellStart"/>
      <w:r w:rsidR="00C35908" w:rsidRPr="00C35908">
        <w:rPr>
          <w:lang w:val="en-GB"/>
        </w:rPr>
        <w:t>nZVI</w:t>
      </w:r>
      <w:proofErr w:type="spellEnd"/>
      <w:r w:rsidR="00C35908">
        <w:rPr>
          <w:lang w:val="en-GB"/>
        </w:rPr>
        <w:t xml:space="preserve"> shows</w:t>
      </w:r>
      <w:r w:rsidR="00C35908" w:rsidRPr="00C35908">
        <w:rPr>
          <w:lang w:val="en-GB"/>
        </w:rPr>
        <w:t xml:space="preserve"> small peak at 2θ = 44.9° </w:t>
      </w:r>
      <w:r w:rsidR="00C35908">
        <w:rPr>
          <w:lang w:val="en-GB"/>
        </w:rPr>
        <w:t xml:space="preserve">where it was </w:t>
      </w:r>
      <w:r w:rsidR="00C35908" w:rsidRPr="00C35908">
        <w:rPr>
          <w:lang w:val="en-GB"/>
        </w:rPr>
        <w:t>corresponded to the formation of zero valent iron</w:t>
      </w:r>
      <w:r w:rsidR="00C35908">
        <w:rPr>
          <w:lang w:val="en-GB"/>
        </w:rPr>
        <w:t xml:space="preserve">. In </w:t>
      </w:r>
      <w:r w:rsidRPr="00A41F78">
        <w:rPr>
          <w:lang w:val="en-GB"/>
        </w:rPr>
        <w:t>Batch test</w:t>
      </w:r>
      <w:r>
        <w:rPr>
          <w:lang w:val="en-GB"/>
        </w:rPr>
        <w:t xml:space="preserve"> results, only effects of initial concentration and temperature showed a significant difference between activated carbon and AC-</w:t>
      </w:r>
      <w:proofErr w:type="spellStart"/>
      <w:r>
        <w:rPr>
          <w:lang w:val="en-GB"/>
        </w:rPr>
        <w:t>nZVI</w:t>
      </w:r>
      <w:proofErr w:type="spellEnd"/>
      <w:r>
        <w:rPr>
          <w:lang w:val="en-GB"/>
        </w:rPr>
        <w:t xml:space="preserve"> in adsorbing dye. Other effects such as dose, pH and kinetic effects did not give any significant difference since activated carbon has their own capability in remediates dye. </w:t>
      </w:r>
    </w:p>
    <w:p w14:paraId="067B9262" w14:textId="77777777" w:rsidR="003C1D79" w:rsidRDefault="003C1D79" w:rsidP="004B6192">
      <w:pPr>
        <w:pStyle w:val="CETAcknowledgementstitle"/>
        <w:spacing w:line="264" w:lineRule="auto"/>
        <w:jc w:val="both"/>
      </w:pPr>
      <w:r>
        <w:t>Acknowledgments</w:t>
      </w:r>
    </w:p>
    <w:p w14:paraId="4DAB80B5" w14:textId="77777777" w:rsidR="003C1D79" w:rsidRDefault="003C1D79" w:rsidP="00F34506">
      <w:pPr>
        <w:pStyle w:val="CETBodytext"/>
        <w:rPr>
          <w:b/>
        </w:rPr>
      </w:pPr>
      <w:r>
        <w:t xml:space="preserve">Authors acknowledged the use of instruments in Centre for Research &amp; Instrumentation Management (CRIM), UKM with a financial support from Ministry of Education. Authors also wish to thank Geology Program, Faculty of Science and Technology, </w:t>
      </w:r>
      <w:proofErr w:type="spellStart"/>
      <w:r>
        <w:t>Universiti</w:t>
      </w:r>
      <w:proofErr w:type="spellEnd"/>
      <w:r>
        <w:t xml:space="preserve"> </w:t>
      </w:r>
      <w:proofErr w:type="spellStart"/>
      <w:r>
        <w:t>Kebangsaan</w:t>
      </w:r>
      <w:proofErr w:type="spellEnd"/>
      <w:r>
        <w:t xml:space="preserve"> Malaysia (UKM), Malaysia for their technical supports.</w:t>
      </w:r>
    </w:p>
    <w:p w14:paraId="27A97143" w14:textId="77777777" w:rsidR="006135B9" w:rsidRDefault="006135B9" w:rsidP="004B6192">
      <w:pPr>
        <w:pStyle w:val="CETReference"/>
        <w:spacing w:line="264" w:lineRule="auto"/>
      </w:pPr>
      <w:r w:rsidRPr="003C1D79">
        <w:t>References</w:t>
      </w:r>
    </w:p>
    <w:bookmarkStart w:id="8" w:name="_Hlk531443417"/>
    <w:p w14:paraId="006F4403" w14:textId="53D23B86" w:rsidR="003C1D79" w:rsidRDefault="003C1D79" w:rsidP="00F34506">
      <w:pPr>
        <w:pStyle w:val="CETReferencetext"/>
        <w:rPr>
          <w:rFonts w:cs="Arial"/>
          <w:noProof/>
          <w:szCs w:val="24"/>
        </w:rPr>
      </w:pPr>
      <w:r>
        <w:rPr>
          <w:b/>
        </w:rPr>
        <w:fldChar w:fldCharType="begin" w:fldLock="1"/>
      </w:r>
      <w:r>
        <w:rPr>
          <w:b/>
        </w:rPr>
        <w:instrText xml:space="preserve">ADDIN Mendeley Bibliography CSL_BIBLIOGRAPHY </w:instrText>
      </w:r>
      <w:r>
        <w:rPr>
          <w:b/>
        </w:rPr>
        <w:fldChar w:fldCharType="separate"/>
      </w:r>
      <w:r w:rsidRPr="0069283B">
        <w:rPr>
          <w:rFonts w:cs="Arial"/>
          <w:noProof/>
          <w:szCs w:val="24"/>
        </w:rPr>
        <w:t>Al-Dokheily M</w:t>
      </w:r>
      <w:r>
        <w:rPr>
          <w:rFonts w:cs="Arial"/>
          <w:noProof/>
          <w:szCs w:val="24"/>
        </w:rPr>
        <w:t>.</w:t>
      </w:r>
      <w:r w:rsidRPr="0069283B">
        <w:rPr>
          <w:rFonts w:cs="Arial"/>
          <w:noProof/>
          <w:szCs w:val="24"/>
        </w:rPr>
        <w:t>E</w:t>
      </w:r>
      <w:r>
        <w:rPr>
          <w:rFonts w:cs="Arial"/>
          <w:noProof/>
          <w:szCs w:val="24"/>
        </w:rPr>
        <w:t>.</w:t>
      </w:r>
      <w:r w:rsidRPr="0069283B">
        <w:rPr>
          <w:rFonts w:cs="Arial"/>
          <w:noProof/>
          <w:szCs w:val="24"/>
        </w:rPr>
        <w:t>, Abd Al-Baqr</w:t>
      </w:r>
      <w:r>
        <w:rPr>
          <w:rFonts w:cs="Arial"/>
          <w:noProof/>
          <w:szCs w:val="24"/>
        </w:rPr>
        <w:t xml:space="preserve"> </w:t>
      </w:r>
      <w:r w:rsidRPr="0069283B">
        <w:rPr>
          <w:rFonts w:cs="Arial"/>
          <w:noProof/>
          <w:szCs w:val="24"/>
        </w:rPr>
        <w:t>J.S</w:t>
      </w:r>
      <w:r>
        <w:rPr>
          <w:rFonts w:cs="Arial"/>
          <w:noProof/>
          <w:szCs w:val="24"/>
        </w:rPr>
        <w:t xml:space="preserve">., </w:t>
      </w:r>
      <w:r w:rsidRPr="0069283B">
        <w:rPr>
          <w:rFonts w:cs="Arial"/>
          <w:noProof/>
          <w:szCs w:val="24"/>
        </w:rPr>
        <w:t>2015</w:t>
      </w:r>
      <w:r>
        <w:rPr>
          <w:rFonts w:cs="Arial"/>
          <w:noProof/>
          <w:szCs w:val="24"/>
        </w:rPr>
        <w:t xml:space="preserve">, </w:t>
      </w:r>
      <w:r w:rsidRPr="0069283B">
        <w:rPr>
          <w:rFonts w:cs="Arial"/>
          <w:noProof/>
          <w:szCs w:val="24"/>
        </w:rPr>
        <w:t xml:space="preserve">Synthesis of Iron Nanoparticles and Applications in the Removal of Heavy Metals </w:t>
      </w:r>
      <w:r w:rsidRPr="00C23A0E">
        <w:rPr>
          <w:rFonts w:cs="Arial"/>
          <w:noProof/>
          <w:szCs w:val="24"/>
        </w:rPr>
        <w:t xml:space="preserve">from Aqueous Solutions, </w:t>
      </w:r>
      <w:r w:rsidRPr="00C23A0E">
        <w:rPr>
          <w:rFonts w:cs="Arial"/>
          <w:iCs/>
          <w:noProof/>
          <w:szCs w:val="24"/>
        </w:rPr>
        <w:t>Chemical and Process Engineering Research</w:t>
      </w:r>
      <w:r>
        <w:rPr>
          <w:rFonts w:cs="Arial"/>
          <w:iCs/>
          <w:noProof/>
          <w:szCs w:val="24"/>
        </w:rPr>
        <w:t>,</w:t>
      </w:r>
      <w:r w:rsidRPr="00C23A0E">
        <w:rPr>
          <w:rFonts w:cs="Arial"/>
          <w:noProof/>
          <w:szCs w:val="24"/>
        </w:rPr>
        <w:t xml:space="preserve"> 34.</w:t>
      </w:r>
    </w:p>
    <w:p w14:paraId="43427472" w14:textId="1525335D" w:rsidR="008272A8" w:rsidRPr="0069283B" w:rsidRDefault="008272A8" w:rsidP="00F34506">
      <w:pPr>
        <w:pStyle w:val="CETReferencetext"/>
        <w:rPr>
          <w:rFonts w:cs="Arial"/>
          <w:noProof/>
          <w:szCs w:val="24"/>
        </w:rPr>
      </w:pPr>
      <w:r w:rsidRPr="008272A8">
        <w:rPr>
          <w:rFonts w:cs="Arial"/>
          <w:noProof/>
          <w:szCs w:val="24"/>
        </w:rPr>
        <w:t>Bavass</w:t>
      </w:r>
      <w:r>
        <w:rPr>
          <w:rFonts w:cs="Arial"/>
          <w:noProof/>
          <w:szCs w:val="24"/>
        </w:rPr>
        <w:t>o I.</w:t>
      </w:r>
      <w:r w:rsidRPr="008272A8">
        <w:rPr>
          <w:rFonts w:cs="Arial"/>
          <w:noProof/>
          <w:szCs w:val="24"/>
        </w:rPr>
        <w:t>, Verdone</w:t>
      </w:r>
      <w:r>
        <w:rPr>
          <w:rFonts w:cs="Arial"/>
          <w:noProof/>
          <w:szCs w:val="24"/>
        </w:rPr>
        <w:t xml:space="preserve"> N.</w:t>
      </w:r>
      <w:r w:rsidRPr="008272A8">
        <w:rPr>
          <w:rFonts w:cs="Arial"/>
          <w:noProof/>
          <w:szCs w:val="24"/>
        </w:rPr>
        <w:t>, Di Palma</w:t>
      </w:r>
      <w:r>
        <w:rPr>
          <w:rFonts w:cs="Arial"/>
          <w:noProof/>
          <w:szCs w:val="24"/>
        </w:rPr>
        <w:t xml:space="preserve"> L., 2018, </w:t>
      </w:r>
      <w:r w:rsidRPr="008272A8">
        <w:rPr>
          <w:rFonts w:cs="Arial"/>
          <w:noProof/>
          <w:szCs w:val="24"/>
        </w:rPr>
        <w:t>Cr(VI) Removal by Green-Synthetized Iron-Based</w:t>
      </w:r>
      <w:r>
        <w:rPr>
          <w:rFonts w:cs="Arial"/>
          <w:noProof/>
          <w:szCs w:val="24"/>
        </w:rPr>
        <w:t xml:space="preserve"> </w:t>
      </w:r>
      <w:r w:rsidRPr="008272A8">
        <w:rPr>
          <w:rFonts w:cs="Arial"/>
          <w:noProof/>
          <w:szCs w:val="24"/>
        </w:rPr>
        <w:t>Nanoparticles: Effect of Cr(VI) Concentration and pH Condition on Adsorption Process</w:t>
      </w:r>
      <w:r>
        <w:rPr>
          <w:rFonts w:cs="Arial"/>
          <w:noProof/>
          <w:szCs w:val="24"/>
        </w:rPr>
        <w:t xml:space="preserve">, </w:t>
      </w:r>
      <w:r w:rsidRPr="008272A8">
        <w:rPr>
          <w:rFonts w:cs="Arial"/>
          <w:noProof/>
          <w:szCs w:val="24"/>
        </w:rPr>
        <w:t>Chemical Engineering Transactions</w:t>
      </w:r>
      <w:r>
        <w:rPr>
          <w:rFonts w:cs="Arial"/>
          <w:noProof/>
          <w:szCs w:val="24"/>
        </w:rPr>
        <w:t xml:space="preserve">, 70, </w:t>
      </w:r>
      <w:r w:rsidRPr="008272A8">
        <w:rPr>
          <w:rFonts w:cs="Arial"/>
          <w:noProof/>
          <w:szCs w:val="24"/>
        </w:rPr>
        <w:t>469-474</w:t>
      </w:r>
      <w:r>
        <w:rPr>
          <w:rFonts w:cs="Arial"/>
          <w:noProof/>
          <w:szCs w:val="24"/>
        </w:rPr>
        <w:t>.</w:t>
      </w:r>
    </w:p>
    <w:p w14:paraId="4790E56E" w14:textId="77777777" w:rsidR="003C1D79" w:rsidRPr="0069283B" w:rsidRDefault="003C1D79" w:rsidP="00F34506">
      <w:pPr>
        <w:pStyle w:val="CETReferencetext"/>
        <w:rPr>
          <w:rFonts w:cs="Arial"/>
          <w:noProof/>
          <w:szCs w:val="24"/>
        </w:rPr>
      </w:pPr>
      <w:r w:rsidRPr="0069283B">
        <w:rPr>
          <w:rFonts w:cs="Arial"/>
          <w:noProof/>
          <w:szCs w:val="24"/>
        </w:rPr>
        <w:t>Busch J., Meißner T.</w:t>
      </w:r>
      <w:r>
        <w:rPr>
          <w:rFonts w:cs="Arial"/>
          <w:noProof/>
          <w:szCs w:val="24"/>
        </w:rPr>
        <w:t xml:space="preserve">, </w:t>
      </w:r>
      <w:r w:rsidRPr="0069283B">
        <w:rPr>
          <w:rFonts w:cs="Arial"/>
          <w:noProof/>
          <w:szCs w:val="24"/>
        </w:rPr>
        <w:t>Potthoff</w:t>
      </w:r>
      <w:r>
        <w:rPr>
          <w:rFonts w:cs="Arial"/>
          <w:noProof/>
          <w:szCs w:val="24"/>
        </w:rPr>
        <w:t xml:space="preserve"> </w:t>
      </w:r>
      <w:r w:rsidRPr="0069283B">
        <w:rPr>
          <w:rFonts w:cs="Arial"/>
          <w:noProof/>
          <w:szCs w:val="24"/>
        </w:rPr>
        <w:t>A., Bleyl</w:t>
      </w:r>
      <w:r w:rsidRPr="00575B27">
        <w:rPr>
          <w:rFonts w:cs="Arial"/>
          <w:noProof/>
          <w:szCs w:val="24"/>
        </w:rPr>
        <w:t xml:space="preserve"> </w:t>
      </w:r>
      <w:r w:rsidRPr="0069283B">
        <w:rPr>
          <w:rFonts w:cs="Arial"/>
          <w:noProof/>
          <w:szCs w:val="24"/>
        </w:rPr>
        <w:t>S., Georgi A.</w:t>
      </w:r>
      <w:r>
        <w:rPr>
          <w:rFonts w:cs="Arial"/>
          <w:noProof/>
          <w:szCs w:val="24"/>
        </w:rPr>
        <w:t xml:space="preserve">, </w:t>
      </w:r>
      <w:r w:rsidRPr="0069283B">
        <w:rPr>
          <w:rFonts w:cs="Arial"/>
          <w:noProof/>
          <w:szCs w:val="24"/>
        </w:rPr>
        <w:t>Mackenzie</w:t>
      </w:r>
      <w:r w:rsidRPr="00575B27">
        <w:rPr>
          <w:rFonts w:cs="Arial"/>
          <w:noProof/>
          <w:szCs w:val="24"/>
        </w:rPr>
        <w:t xml:space="preserve"> </w:t>
      </w:r>
      <w:r w:rsidRPr="0069283B">
        <w:rPr>
          <w:rFonts w:cs="Arial"/>
          <w:noProof/>
          <w:szCs w:val="24"/>
        </w:rPr>
        <w:t>K., Trabitzsch</w:t>
      </w:r>
      <w:r w:rsidRPr="00575B27">
        <w:rPr>
          <w:rFonts w:cs="Arial"/>
          <w:noProof/>
          <w:szCs w:val="24"/>
        </w:rPr>
        <w:t xml:space="preserve"> </w:t>
      </w:r>
      <w:r w:rsidRPr="0069283B">
        <w:rPr>
          <w:rFonts w:cs="Arial"/>
          <w:noProof/>
          <w:szCs w:val="24"/>
        </w:rPr>
        <w:t>R., Werban</w:t>
      </w:r>
      <w:r w:rsidRPr="00575B27">
        <w:rPr>
          <w:rFonts w:cs="Arial"/>
          <w:noProof/>
          <w:szCs w:val="24"/>
        </w:rPr>
        <w:t xml:space="preserve"> </w:t>
      </w:r>
      <w:r w:rsidRPr="0069283B">
        <w:rPr>
          <w:rFonts w:cs="Arial"/>
          <w:noProof/>
          <w:szCs w:val="24"/>
        </w:rPr>
        <w:t>U., Oswald</w:t>
      </w:r>
      <w:r w:rsidRPr="00575B27">
        <w:rPr>
          <w:rFonts w:cs="Arial"/>
          <w:noProof/>
          <w:szCs w:val="24"/>
        </w:rPr>
        <w:t xml:space="preserve"> </w:t>
      </w:r>
      <w:r w:rsidRPr="0069283B">
        <w:rPr>
          <w:rFonts w:cs="Arial"/>
          <w:noProof/>
          <w:szCs w:val="24"/>
        </w:rPr>
        <w:t>S. E.</w:t>
      </w:r>
      <w:r>
        <w:rPr>
          <w:rFonts w:cs="Arial"/>
          <w:noProof/>
          <w:szCs w:val="24"/>
        </w:rPr>
        <w:t>,</w:t>
      </w:r>
      <w:r w:rsidRPr="0069283B">
        <w:rPr>
          <w:rFonts w:cs="Arial"/>
          <w:noProof/>
          <w:szCs w:val="24"/>
        </w:rPr>
        <w:t xml:space="preserve"> 2015</w:t>
      </w:r>
      <w:r>
        <w:rPr>
          <w:rFonts w:cs="Arial"/>
          <w:noProof/>
          <w:szCs w:val="24"/>
        </w:rPr>
        <w:t>,</w:t>
      </w:r>
      <w:r w:rsidRPr="0069283B">
        <w:rPr>
          <w:rFonts w:cs="Arial"/>
          <w:noProof/>
          <w:szCs w:val="24"/>
        </w:rPr>
        <w:t xml:space="preserve"> A Field Investigation on Transport of Carbon-Supported Nanoscale Zero-Valent Iron (</w:t>
      </w:r>
      <w:r>
        <w:rPr>
          <w:rFonts w:cs="Arial"/>
          <w:noProof/>
          <w:szCs w:val="24"/>
        </w:rPr>
        <w:t>n</w:t>
      </w:r>
      <w:r w:rsidRPr="0069283B">
        <w:rPr>
          <w:rFonts w:cs="Arial"/>
          <w:noProof/>
          <w:szCs w:val="24"/>
        </w:rPr>
        <w:t>ZVI) in Groundwater</w:t>
      </w:r>
      <w:r>
        <w:rPr>
          <w:rFonts w:cs="Arial"/>
          <w:noProof/>
          <w:szCs w:val="24"/>
        </w:rPr>
        <w:t xml:space="preserve">, </w:t>
      </w:r>
      <w:r w:rsidRPr="0069283B">
        <w:rPr>
          <w:rFonts w:cs="Arial"/>
          <w:noProof/>
          <w:szCs w:val="24"/>
        </w:rPr>
        <w:t xml:space="preserve"> </w:t>
      </w:r>
      <w:r w:rsidRPr="00575B27">
        <w:rPr>
          <w:rFonts w:cs="Arial"/>
          <w:iCs/>
          <w:noProof/>
          <w:szCs w:val="24"/>
        </w:rPr>
        <w:t>Journal of Contaminant Hydrology</w:t>
      </w:r>
      <w:r>
        <w:rPr>
          <w:rFonts w:cs="Arial"/>
          <w:noProof/>
          <w:szCs w:val="24"/>
        </w:rPr>
        <w:t>,</w:t>
      </w:r>
      <w:r w:rsidRPr="0069283B">
        <w:rPr>
          <w:rFonts w:cs="Arial"/>
          <w:noProof/>
          <w:szCs w:val="24"/>
        </w:rPr>
        <w:t>181</w:t>
      </w:r>
      <w:r>
        <w:rPr>
          <w:rFonts w:cs="Arial"/>
          <w:noProof/>
          <w:szCs w:val="24"/>
        </w:rPr>
        <w:t xml:space="preserve">, </w:t>
      </w:r>
      <w:r w:rsidRPr="0069283B">
        <w:rPr>
          <w:rFonts w:cs="Arial"/>
          <w:noProof/>
          <w:szCs w:val="24"/>
        </w:rPr>
        <w:t>59–68.</w:t>
      </w:r>
    </w:p>
    <w:p w14:paraId="1CBE8B99" w14:textId="77777777" w:rsidR="003C1D79" w:rsidRPr="0069283B" w:rsidRDefault="003C1D79" w:rsidP="00F34506">
      <w:pPr>
        <w:pStyle w:val="CETReferencetext"/>
        <w:rPr>
          <w:rFonts w:cs="Arial"/>
          <w:noProof/>
          <w:szCs w:val="24"/>
        </w:rPr>
      </w:pPr>
      <w:r w:rsidRPr="0069283B">
        <w:rPr>
          <w:rFonts w:cs="Arial"/>
          <w:noProof/>
          <w:szCs w:val="24"/>
        </w:rPr>
        <w:t>Chen</w:t>
      </w:r>
      <w:r>
        <w:rPr>
          <w:rFonts w:cs="Arial"/>
          <w:noProof/>
          <w:szCs w:val="24"/>
        </w:rPr>
        <w:t xml:space="preserve"> </w:t>
      </w:r>
      <w:r w:rsidRPr="0069283B">
        <w:rPr>
          <w:rFonts w:cs="Arial"/>
          <w:noProof/>
          <w:szCs w:val="24"/>
        </w:rPr>
        <w:t>Z</w:t>
      </w:r>
      <w:r>
        <w:rPr>
          <w:rFonts w:cs="Arial"/>
          <w:noProof/>
          <w:szCs w:val="24"/>
        </w:rPr>
        <w:t>.</w:t>
      </w:r>
      <w:r w:rsidRPr="0069283B">
        <w:rPr>
          <w:rFonts w:cs="Arial"/>
          <w:noProof/>
          <w:szCs w:val="24"/>
        </w:rPr>
        <w:t>X</w:t>
      </w:r>
      <w:r>
        <w:rPr>
          <w:rFonts w:cs="Arial"/>
          <w:noProof/>
          <w:szCs w:val="24"/>
        </w:rPr>
        <w:t xml:space="preserve">., </w:t>
      </w:r>
      <w:r w:rsidRPr="0069283B">
        <w:rPr>
          <w:rFonts w:cs="Arial"/>
          <w:noProof/>
          <w:szCs w:val="24"/>
        </w:rPr>
        <w:t>Cheng</w:t>
      </w:r>
      <w:r>
        <w:rPr>
          <w:rFonts w:cs="Arial"/>
          <w:noProof/>
          <w:szCs w:val="24"/>
        </w:rPr>
        <w:t xml:space="preserve"> Y., </w:t>
      </w:r>
      <w:r w:rsidRPr="0069283B">
        <w:rPr>
          <w:rFonts w:cs="Arial"/>
          <w:noProof/>
          <w:szCs w:val="24"/>
        </w:rPr>
        <w:t>Chen</w:t>
      </w:r>
      <w:r>
        <w:rPr>
          <w:rFonts w:cs="Arial"/>
          <w:noProof/>
          <w:szCs w:val="24"/>
        </w:rPr>
        <w:t xml:space="preserve"> Z.</w:t>
      </w:r>
      <w:r w:rsidRPr="0069283B">
        <w:rPr>
          <w:rFonts w:cs="Arial"/>
          <w:noProof/>
          <w:szCs w:val="24"/>
        </w:rPr>
        <w:t>, Megharaj</w:t>
      </w:r>
      <w:r>
        <w:rPr>
          <w:rFonts w:cs="Arial"/>
          <w:noProof/>
          <w:szCs w:val="24"/>
        </w:rPr>
        <w:t>.</w:t>
      </w:r>
      <w:r w:rsidRPr="0069283B">
        <w:rPr>
          <w:rFonts w:cs="Arial"/>
          <w:noProof/>
          <w:szCs w:val="24"/>
        </w:rPr>
        <w:t>,</w:t>
      </w:r>
      <w:r>
        <w:rPr>
          <w:rFonts w:cs="Arial"/>
          <w:noProof/>
          <w:szCs w:val="24"/>
        </w:rPr>
        <w:t xml:space="preserve"> N</w:t>
      </w:r>
      <w:r w:rsidRPr="0069283B">
        <w:rPr>
          <w:rFonts w:cs="Arial"/>
          <w:noProof/>
          <w:szCs w:val="24"/>
        </w:rPr>
        <w:t>aidu.</w:t>
      </w:r>
      <w:r>
        <w:rPr>
          <w:rFonts w:cs="Arial"/>
          <w:noProof/>
          <w:szCs w:val="24"/>
        </w:rPr>
        <w:t>,</w:t>
      </w:r>
      <w:r w:rsidRPr="0069283B">
        <w:rPr>
          <w:rFonts w:cs="Arial"/>
          <w:noProof/>
          <w:szCs w:val="24"/>
        </w:rPr>
        <w:t xml:space="preserve"> 2012</w:t>
      </w:r>
      <w:r>
        <w:rPr>
          <w:rFonts w:cs="Arial"/>
          <w:noProof/>
          <w:szCs w:val="24"/>
        </w:rPr>
        <w:t xml:space="preserve">, </w:t>
      </w:r>
      <w:r w:rsidRPr="0069283B">
        <w:rPr>
          <w:rFonts w:cs="Arial"/>
          <w:noProof/>
          <w:szCs w:val="24"/>
        </w:rPr>
        <w:t>Kaolin-Supported Nanoscale Zero-Valent Iron for Removing Cationic Dye-Crystal Violet in Aqueous Solution</w:t>
      </w:r>
      <w:r>
        <w:rPr>
          <w:rFonts w:cs="Arial"/>
          <w:noProof/>
          <w:szCs w:val="24"/>
        </w:rPr>
        <w:t xml:space="preserve">, </w:t>
      </w:r>
      <w:r w:rsidRPr="00575B27">
        <w:rPr>
          <w:rFonts w:cs="Arial"/>
          <w:iCs/>
          <w:noProof/>
          <w:szCs w:val="24"/>
        </w:rPr>
        <w:t>Nanotechnology for Sustainable Development, First Edition</w:t>
      </w:r>
      <w:r w:rsidRPr="0069283B">
        <w:rPr>
          <w:rFonts w:cs="Arial"/>
          <w:noProof/>
          <w:szCs w:val="24"/>
        </w:rPr>
        <w:t xml:space="preserve">, 189–96. </w:t>
      </w:r>
    </w:p>
    <w:p w14:paraId="54FE3B55" w14:textId="77777777" w:rsidR="003C1D79" w:rsidRPr="0069283B" w:rsidRDefault="003C1D79" w:rsidP="00F34506">
      <w:pPr>
        <w:pStyle w:val="CETReferencetext"/>
        <w:rPr>
          <w:rFonts w:cs="Arial"/>
          <w:noProof/>
          <w:szCs w:val="24"/>
        </w:rPr>
      </w:pPr>
      <w:r w:rsidRPr="0069283B">
        <w:rPr>
          <w:rFonts w:cs="Arial"/>
          <w:noProof/>
          <w:szCs w:val="24"/>
        </w:rPr>
        <w:t>Han</w:t>
      </w:r>
      <w:r>
        <w:rPr>
          <w:rFonts w:cs="Arial"/>
          <w:noProof/>
          <w:szCs w:val="24"/>
        </w:rPr>
        <w:t xml:space="preserve"> </w:t>
      </w:r>
      <w:r w:rsidRPr="0069283B">
        <w:rPr>
          <w:rFonts w:cs="Arial"/>
          <w:noProof/>
          <w:szCs w:val="24"/>
        </w:rPr>
        <w:t>L</w:t>
      </w:r>
      <w:r>
        <w:rPr>
          <w:rFonts w:cs="Arial"/>
          <w:noProof/>
          <w:szCs w:val="24"/>
        </w:rPr>
        <w:t>.</w:t>
      </w:r>
      <w:r w:rsidRPr="0069283B">
        <w:rPr>
          <w:rFonts w:cs="Arial"/>
          <w:noProof/>
          <w:szCs w:val="24"/>
        </w:rPr>
        <w:t>, Xue</w:t>
      </w:r>
      <w:r>
        <w:rPr>
          <w:rFonts w:cs="Arial"/>
          <w:noProof/>
          <w:szCs w:val="24"/>
        </w:rPr>
        <w:t xml:space="preserve"> S.</w:t>
      </w:r>
      <w:r w:rsidRPr="0069283B">
        <w:rPr>
          <w:rFonts w:cs="Arial"/>
          <w:noProof/>
          <w:szCs w:val="24"/>
        </w:rPr>
        <w:t>, Zhao</w:t>
      </w:r>
      <w:r>
        <w:rPr>
          <w:rFonts w:cs="Arial"/>
          <w:noProof/>
          <w:szCs w:val="24"/>
        </w:rPr>
        <w:t xml:space="preserve"> S.</w:t>
      </w:r>
      <w:r w:rsidRPr="0069283B">
        <w:rPr>
          <w:rFonts w:cs="Arial"/>
          <w:noProof/>
          <w:szCs w:val="24"/>
        </w:rPr>
        <w:t>, Yan</w:t>
      </w:r>
      <w:r>
        <w:rPr>
          <w:rFonts w:cs="Arial"/>
          <w:noProof/>
          <w:szCs w:val="24"/>
        </w:rPr>
        <w:t xml:space="preserve"> J.</w:t>
      </w:r>
      <w:r w:rsidRPr="0069283B">
        <w:rPr>
          <w:rFonts w:cs="Arial"/>
          <w:noProof/>
          <w:szCs w:val="24"/>
        </w:rPr>
        <w:t>, Qian</w:t>
      </w:r>
      <w:r>
        <w:rPr>
          <w:rFonts w:cs="Arial"/>
          <w:noProof/>
          <w:szCs w:val="24"/>
        </w:rPr>
        <w:t xml:space="preserve"> L.</w:t>
      </w:r>
      <w:r w:rsidRPr="0069283B">
        <w:rPr>
          <w:rFonts w:cs="Arial"/>
          <w:noProof/>
          <w:szCs w:val="24"/>
        </w:rPr>
        <w:t>, Chen</w:t>
      </w:r>
      <w:r>
        <w:rPr>
          <w:rFonts w:cs="Arial"/>
          <w:noProof/>
          <w:szCs w:val="24"/>
        </w:rPr>
        <w:t xml:space="preserve"> M</w:t>
      </w:r>
      <w:r w:rsidRPr="0069283B">
        <w:rPr>
          <w:rFonts w:cs="Arial"/>
          <w:noProof/>
          <w:szCs w:val="24"/>
        </w:rPr>
        <w:t>.</w:t>
      </w:r>
      <w:r>
        <w:rPr>
          <w:rFonts w:cs="Arial"/>
          <w:noProof/>
          <w:szCs w:val="24"/>
        </w:rPr>
        <w:t>,</w:t>
      </w:r>
      <w:r w:rsidRPr="0069283B">
        <w:rPr>
          <w:rFonts w:cs="Arial"/>
          <w:noProof/>
          <w:szCs w:val="24"/>
        </w:rPr>
        <w:t xml:space="preserve"> 2015</w:t>
      </w:r>
      <w:r>
        <w:rPr>
          <w:rFonts w:cs="Arial"/>
          <w:noProof/>
          <w:szCs w:val="24"/>
        </w:rPr>
        <w:t xml:space="preserve">, </w:t>
      </w:r>
      <w:r w:rsidRPr="0069283B">
        <w:rPr>
          <w:rFonts w:cs="Arial"/>
          <w:noProof/>
          <w:szCs w:val="24"/>
        </w:rPr>
        <w:t>Biochar Supported Nanoscale Iron Particles for the Efficient Removal of Methyl Orange Dye in Aqueous Solutions</w:t>
      </w:r>
      <w:r>
        <w:rPr>
          <w:rFonts w:cs="Arial"/>
          <w:noProof/>
          <w:szCs w:val="24"/>
        </w:rPr>
        <w:t xml:space="preserve">, </w:t>
      </w:r>
      <w:r w:rsidRPr="0069283B">
        <w:rPr>
          <w:rFonts w:cs="Arial"/>
          <w:i/>
          <w:iCs/>
          <w:noProof/>
          <w:szCs w:val="24"/>
        </w:rPr>
        <w:t>PLoS ONE</w:t>
      </w:r>
      <w:r w:rsidRPr="0069283B">
        <w:rPr>
          <w:rFonts w:cs="Arial"/>
          <w:noProof/>
          <w:szCs w:val="24"/>
        </w:rPr>
        <w:t xml:space="preserve"> 10 (7): 1–15. </w:t>
      </w:r>
    </w:p>
    <w:p w14:paraId="3837020C" w14:textId="77777777" w:rsidR="003C1D79" w:rsidRPr="0069283B" w:rsidRDefault="003C1D79" w:rsidP="00F34506">
      <w:pPr>
        <w:pStyle w:val="CETReferencetext"/>
        <w:rPr>
          <w:rFonts w:cs="Arial"/>
          <w:noProof/>
          <w:szCs w:val="24"/>
        </w:rPr>
      </w:pPr>
      <w:r w:rsidRPr="0069283B">
        <w:rPr>
          <w:rFonts w:cs="Arial"/>
          <w:noProof/>
          <w:szCs w:val="24"/>
        </w:rPr>
        <w:t>Hefne</w:t>
      </w:r>
      <w:r>
        <w:rPr>
          <w:rFonts w:cs="Arial"/>
          <w:noProof/>
          <w:szCs w:val="24"/>
        </w:rPr>
        <w:t xml:space="preserve"> </w:t>
      </w:r>
      <w:r w:rsidRPr="0069283B">
        <w:rPr>
          <w:rFonts w:cs="Arial"/>
          <w:noProof/>
          <w:szCs w:val="24"/>
        </w:rPr>
        <w:t>J</w:t>
      </w:r>
      <w:r>
        <w:rPr>
          <w:rFonts w:cs="Arial"/>
          <w:noProof/>
          <w:szCs w:val="24"/>
        </w:rPr>
        <w:t>.</w:t>
      </w:r>
      <w:r w:rsidRPr="0069283B">
        <w:rPr>
          <w:rFonts w:cs="Arial"/>
          <w:noProof/>
          <w:szCs w:val="24"/>
        </w:rPr>
        <w:t>A</w:t>
      </w:r>
      <w:r>
        <w:rPr>
          <w:rFonts w:cs="Arial"/>
          <w:noProof/>
          <w:szCs w:val="24"/>
        </w:rPr>
        <w:t>.</w:t>
      </w:r>
      <w:r w:rsidRPr="0069283B">
        <w:rPr>
          <w:rFonts w:cs="Arial"/>
          <w:noProof/>
          <w:szCs w:val="24"/>
        </w:rPr>
        <w:t>, Mekhemer</w:t>
      </w:r>
      <w:r w:rsidRPr="00575B27">
        <w:rPr>
          <w:rFonts w:cs="Arial"/>
          <w:noProof/>
          <w:szCs w:val="24"/>
        </w:rPr>
        <w:t xml:space="preserve"> </w:t>
      </w:r>
      <w:r w:rsidRPr="0069283B">
        <w:rPr>
          <w:rFonts w:cs="Arial"/>
          <w:noProof/>
          <w:szCs w:val="24"/>
        </w:rPr>
        <w:t>W</w:t>
      </w:r>
      <w:r>
        <w:rPr>
          <w:rFonts w:cs="Arial"/>
          <w:noProof/>
          <w:szCs w:val="24"/>
        </w:rPr>
        <w:t>.</w:t>
      </w:r>
      <w:r w:rsidRPr="0069283B">
        <w:rPr>
          <w:rFonts w:cs="Arial"/>
          <w:noProof/>
          <w:szCs w:val="24"/>
        </w:rPr>
        <w:t>K</w:t>
      </w:r>
      <w:r>
        <w:rPr>
          <w:rFonts w:cs="Arial"/>
          <w:noProof/>
          <w:szCs w:val="24"/>
        </w:rPr>
        <w:t>.</w:t>
      </w:r>
      <w:r w:rsidRPr="0069283B">
        <w:rPr>
          <w:rFonts w:cs="Arial"/>
          <w:noProof/>
          <w:szCs w:val="24"/>
        </w:rPr>
        <w:t>, Alandis</w:t>
      </w:r>
      <w:r>
        <w:rPr>
          <w:rFonts w:cs="Arial"/>
          <w:noProof/>
          <w:szCs w:val="24"/>
        </w:rPr>
        <w:t xml:space="preserve"> N.M.</w:t>
      </w:r>
      <w:r w:rsidRPr="0069283B">
        <w:rPr>
          <w:rFonts w:cs="Arial"/>
          <w:noProof/>
          <w:szCs w:val="24"/>
        </w:rPr>
        <w:t>, Aldayel</w:t>
      </w:r>
      <w:r>
        <w:rPr>
          <w:rFonts w:cs="Arial"/>
          <w:noProof/>
          <w:szCs w:val="24"/>
        </w:rPr>
        <w:t xml:space="preserve"> O.A., </w:t>
      </w:r>
      <w:r w:rsidRPr="0069283B">
        <w:rPr>
          <w:rFonts w:cs="Arial"/>
          <w:noProof/>
          <w:szCs w:val="24"/>
        </w:rPr>
        <w:t>Alajyan</w:t>
      </w:r>
      <w:r>
        <w:rPr>
          <w:rFonts w:cs="Arial"/>
          <w:noProof/>
          <w:szCs w:val="24"/>
        </w:rPr>
        <w:t xml:space="preserve"> T.,</w:t>
      </w:r>
      <w:r w:rsidRPr="0069283B">
        <w:rPr>
          <w:rFonts w:cs="Arial"/>
          <w:noProof/>
          <w:szCs w:val="24"/>
        </w:rPr>
        <w:t xml:space="preserve"> 2010</w:t>
      </w:r>
      <w:r>
        <w:rPr>
          <w:rFonts w:cs="Arial"/>
          <w:noProof/>
          <w:szCs w:val="24"/>
        </w:rPr>
        <w:t xml:space="preserve">, </w:t>
      </w:r>
      <w:r w:rsidRPr="0069283B">
        <w:rPr>
          <w:rFonts w:cs="Arial"/>
          <w:noProof/>
          <w:szCs w:val="24"/>
        </w:rPr>
        <w:t>Removal of Silver ( I ) from Aqueous Solutions by Natural Bentonite</w:t>
      </w:r>
      <w:r>
        <w:rPr>
          <w:rFonts w:cs="Arial"/>
          <w:noProof/>
          <w:szCs w:val="24"/>
        </w:rPr>
        <w:t xml:space="preserve">, JKAU, </w:t>
      </w:r>
      <w:r w:rsidRPr="0069283B">
        <w:rPr>
          <w:rFonts w:cs="Arial"/>
          <w:noProof/>
          <w:szCs w:val="24"/>
        </w:rPr>
        <w:t>22 (1): 155–76.</w:t>
      </w:r>
    </w:p>
    <w:p w14:paraId="31565BDB" w14:textId="77777777" w:rsidR="003C1D79" w:rsidRPr="0069283B" w:rsidRDefault="003C1D79" w:rsidP="00F34506">
      <w:pPr>
        <w:pStyle w:val="CETReferencetext"/>
        <w:rPr>
          <w:rFonts w:cs="Arial"/>
          <w:noProof/>
          <w:szCs w:val="24"/>
        </w:rPr>
      </w:pPr>
      <w:r>
        <w:rPr>
          <w:rFonts w:cs="Arial"/>
          <w:noProof/>
          <w:szCs w:val="24"/>
        </w:rPr>
        <w:t>How H.K.</w:t>
      </w:r>
      <w:r w:rsidRPr="0069283B">
        <w:rPr>
          <w:rFonts w:cs="Arial"/>
          <w:noProof/>
          <w:szCs w:val="24"/>
        </w:rPr>
        <w:t xml:space="preserve">, </w:t>
      </w:r>
      <w:r>
        <w:rPr>
          <w:rFonts w:cs="Arial"/>
          <w:noProof/>
          <w:szCs w:val="24"/>
        </w:rPr>
        <w:t>Yaacob W.Z.W,</w:t>
      </w:r>
      <w:r w:rsidRPr="0069283B">
        <w:rPr>
          <w:rFonts w:cs="Arial"/>
          <w:noProof/>
          <w:szCs w:val="24"/>
        </w:rPr>
        <w:t xml:space="preserve"> 2015</w:t>
      </w:r>
      <w:r>
        <w:rPr>
          <w:rFonts w:cs="Arial"/>
          <w:noProof/>
          <w:szCs w:val="24"/>
        </w:rPr>
        <w:t xml:space="preserve">, </w:t>
      </w:r>
      <w:r w:rsidRPr="0069283B">
        <w:rPr>
          <w:rFonts w:cs="Arial"/>
          <w:noProof/>
          <w:szCs w:val="24"/>
        </w:rPr>
        <w:t>Synthesis and Characterization of Marine Clay-Supported Nano Zero Valent Iron</w:t>
      </w:r>
      <w:r>
        <w:rPr>
          <w:rFonts w:cs="Arial"/>
          <w:noProof/>
          <w:szCs w:val="24"/>
        </w:rPr>
        <w:t xml:space="preserve">, </w:t>
      </w:r>
      <w:r w:rsidRPr="00765C72">
        <w:rPr>
          <w:rFonts w:cs="Arial"/>
          <w:iCs/>
          <w:noProof/>
          <w:szCs w:val="24"/>
        </w:rPr>
        <w:t>American Journal of Environmental Sciences</w:t>
      </w:r>
      <w:r>
        <w:rPr>
          <w:rFonts w:cs="Arial"/>
          <w:noProof/>
          <w:szCs w:val="24"/>
        </w:rPr>
        <w:t xml:space="preserve">, </w:t>
      </w:r>
      <w:r w:rsidRPr="0069283B">
        <w:rPr>
          <w:rFonts w:cs="Arial"/>
          <w:noProof/>
          <w:szCs w:val="24"/>
        </w:rPr>
        <w:t xml:space="preserve">11(2):115–24. </w:t>
      </w:r>
    </w:p>
    <w:p w14:paraId="590E9DB3" w14:textId="77777777" w:rsidR="003C1D79" w:rsidRPr="0069283B" w:rsidRDefault="003C1D79" w:rsidP="00F34506">
      <w:pPr>
        <w:pStyle w:val="CETReferencetext"/>
        <w:rPr>
          <w:rFonts w:cs="Arial"/>
          <w:noProof/>
          <w:szCs w:val="24"/>
        </w:rPr>
      </w:pPr>
      <w:r>
        <w:rPr>
          <w:rFonts w:cs="Arial"/>
          <w:noProof/>
          <w:szCs w:val="24"/>
        </w:rPr>
        <w:t>K</w:t>
      </w:r>
      <w:r w:rsidRPr="0069283B">
        <w:rPr>
          <w:rFonts w:cs="Arial"/>
          <w:noProof/>
          <w:szCs w:val="24"/>
        </w:rPr>
        <w:t>akavandi</w:t>
      </w:r>
      <w:r>
        <w:rPr>
          <w:rFonts w:cs="Arial"/>
          <w:noProof/>
          <w:szCs w:val="24"/>
        </w:rPr>
        <w:t xml:space="preserve"> </w:t>
      </w:r>
      <w:r w:rsidRPr="0069283B">
        <w:rPr>
          <w:rFonts w:cs="Arial"/>
          <w:noProof/>
          <w:szCs w:val="24"/>
        </w:rPr>
        <w:t>B</w:t>
      </w:r>
      <w:r>
        <w:rPr>
          <w:rFonts w:cs="Arial"/>
          <w:noProof/>
          <w:szCs w:val="24"/>
        </w:rPr>
        <w:t>.</w:t>
      </w:r>
      <w:r w:rsidRPr="0069283B">
        <w:rPr>
          <w:rFonts w:cs="Arial"/>
          <w:noProof/>
          <w:szCs w:val="24"/>
        </w:rPr>
        <w:t>, Kalantary</w:t>
      </w:r>
      <w:r>
        <w:rPr>
          <w:rFonts w:cs="Arial"/>
          <w:noProof/>
          <w:szCs w:val="24"/>
        </w:rPr>
        <w:t xml:space="preserve"> R.R.</w:t>
      </w:r>
      <w:r w:rsidRPr="0069283B">
        <w:rPr>
          <w:rFonts w:cs="Arial"/>
          <w:noProof/>
          <w:szCs w:val="24"/>
        </w:rPr>
        <w:t>, Farzadkia</w:t>
      </w:r>
      <w:r>
        <w:rPr>
          <w:rFonts w:cs="Arial"/>
          <w:noProof/>
          <w:szCs w:val="24"/>
        </w:rPr>
        <w:t xml:space="preserve"> M.</w:t>
      </w:r>
      <w:r w:rsidRPr="0069283B">
        <w:rPr>
          <w:rFonts w:cs="Arial"/>
          <w:noProof/>
          <w:szCs w:val="24"/>
        </w:rPr>
        <w:t>, Mahvi</w:t>
      </w:r>
      <w:r>
        <w:rPr>
          <w:rFonts w:cs="Arial"/>
          <w:noProof/>
          <w:szCs w:val="24"/>
        </w:rPr>
        <w:t xml:space="preserve"> A.H.</w:t>
      </w:r>
      <w:r w:rsidRPr="0069283B">
        <w:rPr>
          <w:rFonts w:cs="Arial"/>
          <w:noProof/>
          <w:szCs w:val="24"/>
        </w:rPr>
        <w:t>, Esrafili</w:t>
      </w:r>
      <w:r>
        <w:rPr>
          <w:rFonts w:cs="Arial"/>
          <w:noProof/>
          <w:szCs w:val="24"/>
        </w:rPr>
        <w:t xml:space="preserve"> A.</w:t>
      </w:r>
      <w:r w:rsidRPr="0069283B">
        <w:rPr>
          <w:rFonts w:cs="Arial"/>
          <w:noProof/>
          <w:szCs w:val="24"/>
        </w:rPr>
        <w:t>, Azari</w:t>
      </w:r>
      <w:r>
        <w:rPr>
          <w:rFonts w:cs="Arial"/>
          <w:noProof/>
          <w:szCs w:val="24"/>
        </w:rPr>
        <w:t xml:space="preserve"> A.</w:t>
      </w:r>
      <w:r w:rsidRPr="0069283B">
        <w:rPr>
          <w:rFonts w:cs="Arial"/>
          <w:noProof/>
          <w:szCs w:val="24"/>
        </w:rPr>
        <w:t>,</w:t>
      </w:r>
      <w:r>
        <w:rPr>
          <w:rFonts w:cs="Arial"/>
          <w:noProof/>
          <w:szCs w:val="24"/>
        </w:rPr>
        <w:t xml:space="preserve"> </w:t>
      </w:r>
      <w:r w:rsidRPr="0069283B">
        <w:rPr>
          <w:rFonts w:cs="Arial"/>
          <w:noProof/>
          <w:szCs w:val="24"/>
        </w:rPr>
        <w:t>Yari</w:t>
      </w:r>
      <w:r>
        <w:rPr>
          <w:rFonts w:cs="Arial"/>
          <w:noProof/>
          <w:szCs w:val="24"/>
        </w:rPr>
        <w:t xml:space="preserve"> A.R.</w:t>
      </w:r>
      <w:r w:rsidRPr="0069283B">
        <w:rPr>
          <w:rFonts w:cs="Arial"/>
          <w:noProof/>
          <w:szCs w:val="24"/>
        </w:rPr>
        <w:t>, Javid</w:t>
      </w:r>
      <w:r>
        <w:rPr>
          <w:rFonts w:cs="Arial"/>
          <w:noProof/>
          <w:szCs w:val="24"/>
        </w:rPr>
        <w:t xml:space="preserve"> A.B.,</w:t>
      </w:r>
      <w:r w:rsidRPr="0069283B">
        <w:rPr>
          <w:rFonts w:cs="Arial"/>
          <w:noProof/>
          <w:szCs w:val="24"/>
        </w:rPr>
        <w:t xml:space="preserve"> 2014</w:t>
      </w:r>
      <w:r>
        <w:rPr>
          <w:rFonts w:cs="Arial"/>
          <w:noProof/>
          <w:szCs w:val="24"/>
        </w:rPr>
        <w:t xml:space="preserve">, </w:t>
      </w:r>
      <w:r w:rsidRPr="0069283B">
        <w:rPr>
          <w:rFonts w:cs="Arial"/>
          <w:noProof/>
          <w:szCs w:val="24"/>
        </w:rPr>
        <w:t>Enhanced Chromium (VI) Removal Using Activated Carbon Modified by Zero Valent Iron and Silver Bimetallic Nanoparticles</w:t>
      </w:r>
      <w:r>
        <w:rPr>
          <w:rFonts w:cs="Arial"/>
          <w:noProof/>
          <w:szCs w:val="24"/>
        </w:rPr>
        <w:t>,</w:t>
      </w:r>
      <w:r w:rsidRPr="0069283B">
        <w:rPr>
          <w:rFonts w:cs="Arial"/>
          <w:noProof/>
          <w:szCs w:val="24"/>
        </w:rPr>
        <w:t xml:space="preserve"> </w:t>
      </w:r>
      <w:r w:rsidRPr="00575B27">
        <w:rPr>
          <w:rFonts w:cs="Arial"/>
          <w:iCs/>
          <w:noProof/>
          <w:szCs w:val="24"/>
        </w:rPr>
        <w:t>Journal of Environmental Health Science &amp; Engineering</w:t>
      </w:r>
      <w:r>
        <w:rPr>
          <w:rFonts w:cs="Arial"/>
          <w:noProof/>
          <w:szCs w:val="24"/>
        </w:rPr>
        <w:t xml:space="preserve">, </w:t>
      </w:r>
      <w:r w:rsidRPr="0069283B">
        <w:rPr>
          <w:rFonts w:cs="Arial"/>
          <w:noProof/>
          <w:szCs w:val="24"/>
        </w:rPr>
        <w:t xml:space="preserve">12 (1): 115. </w:t>
      </w:r>
    </w:p>
    <w:p w14:paraId="20C4BE43" w14:textId="77777777" w:rsidR="003C1D79" w:rsidRPr="0069283B" w:rsidRDefault="003C1D79" w:rsidP="00F34506">
      <w:pPr>
        <w:pStyle w:val="CETReferencetext"/>
        <w:rPr>
          <w:rFonts w:cs="Arial"/>
          <w:noProof/>
          <w:szCs w:val="24"/>
        </w:rPr>
      </w:pPr>
      <w:r w:rsidRPr="0069283B">
        <w:rPr>
          <w:rFonts w:cs="Arial"/>
          <w:noProof/>
          <w:szCs w:val="24"/>
        </w:rPr>
        <w:t>Kerkez</w:t>
      </w:r>
      <w:r>
        <w:rPr>
          <w:rFonts w:cs="Arial"/>
          <w:noProof/>
          <w:szCs w:val="24"/>
        </w:rPr>
        <w:t xml:space="preserve"> D.</w:t>
      </w:r>
      <w:r w:rsidRPr="0069283B">
        <w:rPr>
          <w:rFonts w:cs="Arial"/>
          <w:noProof/>
          <w:szCs w:val="24"/>
        </w:rPr>
        <w:t>V.,</w:t>
      </w:r>
      <w:r>
        <w:rPr>
          <w:rFonts w:cs="Arial"/>
          <w:noProof/>
          <w:szCs w:val="24"/>
        </w:rPr>
        <w:t xml:space="preserve"> </w:t>
      </w:r>
      <w:r w:rsidRPr="0069283B">
        <w:rPr>
          <w:rFonts w:cs="Arial"/>
          <w:noProof/>
          <w:szCs w:val="24"/>
        </w:rPr>
        <w:t>Tomašević</w:t>
      </w:r>
      <w:r>
        <w:rPr>
          <w:rFonts w:cs="Arial"/>
          <w:noProof/>
          <w:szCs w:val="24"/>
        </w:rPr>
        <w:t xml:space="preserve"> D.D.</w:t>
      </w:r>
      <w:r w:rsidRPr="0069283B">
        <w:rPr>
          <w:rFonts w:cs="Arial"/>
          <w:noProof/>
          <w:szCs w:val="24"/>
        </w:rPr>
        <w:t xml:space="preserve">, </w:t>
      </w:r>
      <w:r>
        <w:rPr>
          <w:rFonts w:cs="Arial"/>
          <w:noProof/>
          <w:szCs w:val="24"/>
        </w:rPr>
        <w:t>K</w:t>
      </w:r>
      <w:r w:rsidRPr="0069283B">
        <w:rPr>
          <w:rFonts w:cs="Arial"/>
          <w:noProof/>
          <w:szCs w:val="24"/>
        </w:rPr>
        <w:t>ozma</w:t>
      </w:r>
      <w:r>
        <w:rPr>
          <w:rFonts w:cs="Arial"/>
          <w:noProof/>
          <w:szCs w:val="24"/>
        </w:rPr>
        <w:t xml:space="preserve"> G.</w:t>
      </w:r>
      <w:r w:rsidRPr="0069283B">
        <w:rPr>
          <w:rFonts w:cs="Arial"/>
          <w:noProof/>
          <w:szCs w:val="24"/>
        </w:rPr>
        <w:t>, Bečelić-Tomin</w:t>
      </w:r>
      <w:r>
        <w:rPr>
          <w:rFonts w:cs="Arial"/>
          <w:noProof/>
          <w:szCs w:val="24"/>
        </w:rPr>
        <w:t xml:space="preserve"> M.R</w:t>
      </w:r>
      <w:r w:rsidRPr="0069283B">
        <w:rPr>
          <w:rFonts w:cs="Arial"/>
          <w:noProof/>
          <w:szCs w:val="24"/>
        </w:rPr>
        <w:t>, Prica</w:t>
      </w:r>
      <w:r>
        <w:rPr>
          <w:rFonts w:cs="Arial"/>
          <w:noProof/>
          <w:szCs w:val="24"/>
        </w:rPr>
        <w:t xml:space="preserve"> M.D.</w:t>
      </w:r>
      <w:r w:rsidRPr="0069283B">
        <w:rPr>
          <w:rFonts w:cs="Arial"/>
          <w:noProof/>
          <w:szCs w:val="24"/>
        </w:rPr>
        <w:t>, Rončević</w:t>
      </w:r>
      <w:r>
        <w:rPr>
          <w:rFonts w:cs="Arial"/>
          <w:noProof/>
          <w:szCs w:val="24"/>
        </w:rPr>
        <w:t xml:space="preserve"> S.D</w:t>
      </w:r>
      <w:r w:rsidRPr="0069283B">
        <w:rPr>
          <w:rFonts w:cs="Arial"/>
          <w:noProof/>
          <w:szCs w:val="24"/>
        </w:rPr>
        <w:t>, Kukovecz</w:t>
      </w:r>
      <w:r w:rsidRPr="00575B27">
        <w:rPr>
          <w:rFonts w:cs="Arial"/>
          <w:noProof/>
          <w:szCs w:val="24"/>
        </w:rPr>
        <w:t xml:space="preserve"> </w:t>
      </w:r>
      <w:r w:rsidRPr="0069283B">
        <w:rPr>
          <w:rFonts w:cs="Arial"/>
          <w:noProof/>
          <w:szCs w:val="24"/>
        </w:rPr>
        <w:t>Á, Dalmacija</w:t>
      </w:r>
      <w:r>
        <w:rPr>
          <w:rFonts w:cs="Arial"/>
          <w:noProof/>
          <w:szCs w:val="24"/>
        </w:rPr>
        <w:t xml:space="preserve"> B.D.</w:t>
      </w:r>
      <w:r w:rsidRPr="0069283B">
        <w:rPr>
          <w:rFonts w:cs="Arial"/>
          <w:noProof/>
          <w:szCs w:val="24"/>
        </w:rPr>
        <w:t>, Kónya</w:t>
      </w:r>
      <w:r>
        <w:rPr>
          <w:rFonts w:cs="Arial"/>
          <w:noProof/>
          <w:szCs w:val="24"/>
        </w:rPr>
        <w:t xml:space="preserve"> Z</w:t>
      </w:r>
      <w:r w:rsidRPr="0069283B">
        <w:rPr>
          <w:rFonts w:cs="Arial"/>
          <w:noProof/>
          <w:szCs w:val="24"/>
        </w:rPr>
        <w:t>.</w:t>
      </w:r>
      <w:r>
        <w:rPr>
          <w:rFonts w:cs="Arial"/>
          <w:noProof/>
          <w:szCs w:val="24"/>
        </w:rPr>
        <w:t>,</w:t>
      </w:r>
      <w:r w:rsidRPr="0069283B">
        <w:rPr>
          <w:rFonts w:cs="Arial"/>
          <w:noProof/>
          <w:szCs w:val="24"/>
        </w:rPr>
        <w:t xml:space="preserve"> 2014</w:t>
      </w:r>
      <w:r>
        <w:rPr>
          <w:rFonts w:cs="Arial"/>
          <w:noProof/>
          <w:szCs w:val="24"/>
        </w:rPr>
        <w:t xml:space="preserve">, </w:t>
      </w:r>
      <w:r w:rsidRPr="0069283B">
        <w:rPr>
          <w:rFonts w:cs="Arial"/>
          <w:noProof/>
          <w:szCs w:val="24"/>
        </w:rPr>
        <w:t>Three Different Clay-Supported Nanoscale Zero-Valent Iron Materials for Industrial Azo Dye Degradation: A Comparative Study</w:t>
      </w:r>
      <w:r>
        <w:rPr>
          <w:rFonts w:cs="Arial"/>
          <w:noProof/>
          <w:szCs w:val="24"/>
        </w:rPr>
        <w:t xml:space="preserve">, </w:t>
      </w:r>
      <w:r w:rsidRPr="00575B27">
        <w:rPr>
          <w:rFonts w:cs="Arial"/>
          <w:iCs/>
          <w:noProof/>
          <w:szCs w:val="24"/>
        </w:rPr>
        <w:t>Journal of the Taiwan Institute of Chemical Engineers</w:t>
      </w:r>
      <w:r>
        <w:rPr>
          <w:rFonts w:cs="Arial"/>
          <w:iCs/>
          <w:noProof/>
          <w:szCs w:val="24"/>
        </w:rPr>
        <w:t>,</w:t>
      </w:r>
      <w:r w:rsidRPr="0069283B">
        <w:rPr>
          <w:rFonts w:cs="Arial"/>
          <w:noProof/>
          <w:szCs w:val="24"/>
        </w:rPr>
        <w:t xml:space="preserve"> 45 (5): 2451–61</w:t>
      </w:r>
      <w:r>
        <w:rPr>
          <w:rFonts w:cs="Arial"/>
          <w:noProof/>
          <w:szCs w:val="24"/>
        </w:rPr>
        <w:t>.</w:t>
      </w:r>
    </w:p>
    <w:p w14:paraId="36C3C8D6" w14:textId="77777777" w:rsidR="003C1D79" w:rsidRPr="0069283B" w:rsidRDefault="003C1D79" w:rsidP="00F34506">
      <w:pPr>
        <w:pStyle w:val="CETReferencetext"/>
        <w:rPr>
          <w:rFonts w:cs="Arial"/>
          <w:noProof/>
          <w:szCs w:val="24"/>
        </w:rPr>
      </w:pPr>
      <w:r w:rsidRPr="0069283B">
        <w:rPr>
          <w:rFonts w:cs="Arial"/>
          <w:noProof/>
          <w:szCs w:val="24"/>
        </w:rPr>
        <w:lastRenderedPageBreak/>
        <w:t>Reddy</w:t>
      </w:r>
      <w:r>
        <w:rPr>
          <w:rFonts w:cs="Arial"/>
          <w:noProof/>
          <w:szCs w:val="24"/>
        </w:rPr>
        <w:t xml:space="preserve"> </w:t>
      </w:r>
      <w:r w:rsidRPr="0069283B">
        <w:rPr>
          <w:rFonts w:cs="Arial"/>
          <w:noProof/>
          <w:szCs w:val="24"/>
        </w:rPr>
        <w:t>M</w:t>
      </w:r>
      <w:r>
        <w:rPr>
          <w:rFonts w:cs="Arial"/>
          <w:noProof/>
          <w:szCs w:val="24"/>
        </w:rPr>
        <w:t>.</w:t>
      </w:r>
      <w:r w:rsidRPr="0069283B">
        <w:rPr>
          <w:rFonts w:cs="Arial"/>
          <w:noProof/>
          <w:szCs w:val="24"/>
        </w:rPr>
        <w:t>C</w:t>
      </w:r>
      <w:r>
        <w:rPr>
          <w:rFonts w:cs="Arial"/>
          <w:noProof/>
          <w:szCs w:val="24"/>
        </w:rPr>
        <w:t>.</w:t>
      </w:r>
      <w:r w:rsidRPr="0069283B">
        <w:rPr>
          <w:rFonts w:cs="Arial"/>
          <w:noProof/>
          <w:szCs w:val="24"/>
        </w:rPr>
        <w:t>S, Sivaramakrishna</w:t>
      </w:r>
      <w:r>
        <w:rPr>
          <w:rFonts w:cs="Arial"/>
          <w:noProof/>
          <w:szCs w:val="24"/>
        </w:rPr>
        <w:t xml:space="preserve"> L</w:t>
      </w:r>
      <w:r w:rsidRPr="0069283B">
        <w:rPr>
          <w:rFonts w:cs="Arial"/>
          <w:noProof/>
          <w:szCs w:val="24"/>
        </w:rPr>
        <w:t>, Reddy</w:t>
      </w:r>
      <w:r>
        <w:rPr>
          <w:rFonts w:cs="Arial"/>
          <w:noProof/>
          <w:szCs w:val="24"/>
        </w:rPr>
        <w:t xml:space="preserve"> A.V.,</w:t>
      </w:r>
      <w:r w:rsidRPr="0069283B">
        <w:rPr>
          <w:rFonts w:cs="Arial"/>
          <w:noProof/>
          <w:szCs w:val="24"/>
        </w:rPr>
        <w:t xml:space="preserve"> 2012</w:t>
      </w:r>
      <w:r>
        <w:rPr>
          <w:rFonts w:cs="Arial"/>
          <w:noProof/>
          <w:szCs w:val="24"/>
        </w:rPr>
        <w:t>,</w:t>
      </w:r>
      <w:r w:rsidRPr="0069283B">
        <w:rPr>
          <w:rFonts w:cs="Arial"/>
          <w:noProof/>
          <w:szCs w:val="24"/>
        </w:rPr>
        <w:t xml:space="preserve"> The Use of an Agricultural Waste Material, Jujuba Seeds for the Removal of Anionic Dye (Congo Red) from Aqueous Medium</w:t>
      </w:r>
      <w:r>
        <w:rPr>
          <w:rFonts w:cs="Arial"/>
          <w:noProof/>
          <w:szCs w:val="24"/>
        </w:rPr>
        <w:t xml:space="preserve">, </w:t>
      </w:r>
      <w:r w:rsidRPr="00575B27">
        <w:rPr>
          <w:rFonts w:cs="Arial"/>
          <w:iCs/>
          <w:noProof/>
          <w:szCs w:val="24"/>
        </w:rPr>
        <w:t>Journal of Hazardous Materials</w:t>
      </w:r>
      <w:r>
        <w:rPr>
          <w:rFonts w:cs="Arial"/>
          <w:noProof/>
          <w:szCs w:val="24"/>
        </w:rPr>
        <w:t xml:space="preserve">, </w:t>
      </w:r>
      <w:r w:rsidRPr="0069283B">
        <w:rPr>
          <w:rFonts w:cs="Arial"/>
          <w:noProof/>
          <w:szCs w:val="24"/>
        </w:rPr>
        <w:t xml:space="preserve">203–204: 118–27. </w:t>
      </w:r>
    </w:p>
    <w:p w14:paraId="0FFC91F0" w14:textId="77777777" w:rsidR="003C1D79" w:rsidRPr="0069283B" w:rsidRDefault="003C1D79" w:rsidP="00F34506">
      <w:pPr>
        <w:pStyle w:val="CETReferencetext"/>
        <w:rPr>
          <w:rFonts w:cs="Arial"/>
          <w:noProof/>
          <w:szCs w:val="24"/>
        </w:rPr>
      </w:pPr>
      <w:r w:rsidRPr="0069283B">
        <w:rPr>
          <w:rFonts w:cs="Arial"/>
          <w:noProof/>
          <w:szCs w:val="24"/>
        </w:rPr>
        <w:t>Shen D</w:t>
      </w:r>
      <w:r>
        <w:rPr>
          <w:rFonts w:cs="Arial"/>
          <w:noProof/>
          <w:szCs w:val="24"/>
        </w:rPr>
        <w:t>.</w:t>
      </w:r>
      <w:r w:rsidRPr="0069283B">
        <w:rPr>
          <w:rFonts w:cs="Arial"/>
          <w:noProof/>
          <w:szCs w:val="24"/>
        </w:rPr>
        <w:t>, Fan</w:t>
      </w:r>
      <w:r>
        <w:rPr>
          <w:rFonts w:cs="Arial"/>
          <w:noProof/>
          <w:szCs w:val="24"/>
        </w:rPr>
        <w:t xml:space="preserve"> J.</w:t>
      </w:r>
      <w:r w:rsidRPr="0069283B">
        <w:rPr>
          <w:rFonts w:cs="Arial"/>
          <w:noProof/>
          <w:szCs w:val="24"/>
        </w:rPr>
        <w:t>, Zhou</w:t>
      </w:r>
      <w:r>
        <w:rPr>
          <w:rFonts w:cs="Arial"/>
          <w:noProof/>
          <w:szCs w:val="24"/>
        </w:rPr>
        <w:t xml:space="preserve"> W.</w:t>
      </w:r>
      <w:r w:rsidRPr="0069283B">
        <w:rPr>
          <w:rFonts w:cs="Arial"/>
          <w:noProof/>
          <w:szCs w:val="24"/>
        </w:rPr>
        <w:t>, Gao</w:t>
      </w:r>
      <w:r>
        <w:rPr>
          <w:rFonts w:cs="Arial"/>
          <w:noProof/>
          <w:szCs w:val="24"/>
        </w:rPr>
        <w:t xml:space="preserve">  B.</w:t>
      </w:r>
      <w:r w:rsidRPr="0069283B">
        <w:rPr>
          <w:rFonts w:cs="Arial"/>
          <w:noProof/>
          <w:szCs w:val="24"/>
        </w:rPr>
        <w:t>, Yue</w:t>
      </w:r>
      <w:r>
        <w:rPr>
          <w:rFonts w:cs="Arial"/>
          <w:noProof/>
          <w:szCs w:val="24"/>
        </w:rPr>
        <w:t xml:space="preserve"> Q.</w:t>
      </w:r>
      <w:r w:rsidRPr="0069283B">
        <w:rPr>
          <w:rFonts w:cs="Arial"/>
          <w:noProof/>
          <w:szCs w:val="24"/>
        </w:rPr>
        <w:t>, Kang</w:t>
      </w:r>
      <w:r>
        <w:rPr>
          <w:rFonts w:cs="Arial"/>
          <w:noProof/>
          <w:szCs w:val="24"/>
        </w:rPr>
        <w:t xml:space="preserve"> Q,</w:t>
      </w:r>
      <w:r w:rsidRPr="0069283B">
        <w:rPr>
          <w:rFonts w:cs="Arial"/>
          <w:noProof/>
          <w:szCs w:val="24"/>
        </w:rPr>
        <w:t xml:space="preserve"> 2009</w:t>
      </w:r>
      <w:r>
        <w:rPr>
          <w:rFonts w:cs="Arial"/>
          <w:noProof/>
          <w:szCs w:val="24"/>
        </w:rPr>
        <w:t>,</w:t>
      </w:r>
      <w:r w:rsidRPr="0069283B">
        <w:rPr>
          <w:rFonts w:cs="Arial"/>
          <w:noProof/>
          <w:szCs w:val="24"/>
        </w:rPr>
        <w:t xml:space="preserve"> Adsorption Kinetics and Isotherm of Anionic Dyes onto Organo-Bentonite from Single and Multisolute Systems</w:t>
      </w:r>
      <w:r>
        <w:rPr>
          <w:rFonts w:cs="Arial"/>
          <w:noProof/>
          <w:szCs w:val="24"/>
        </w:rPr>
        <w:t xml:space="preserve">, </w:t>
      </w:r>
      <w:r w:rsidRPr="00765C72">
        <w:rPr>
          <w:rFonts w:cs="Arial"/>
          <w:iCs/>
          <w:noProof/>
          <w:szCs w:val="24"/>
        </w:rPr>
        <w:t>Journal of Hazardous Materials</w:t>
      </w:r>
      <w:r>
        <w:rPr>
          <w:rFonts w:cs="Arial"/>
          <w:iCs/>
          <w:noProof/>
          <w:szCs w:val="24"/>
        </w:rPr>
        <w:t>,</w:t>
      </w:r>
      <w:r w:rsidRPr="00765C72">
        <w:rPr>
          <w:rFonts w:cs="Arial"/>
          <w:noProof/>
          <w:szCs w:val="24"/>
        </w:rPr>
        <w:t xml:space="preserve"> </w:t>
      </w:r>
      <w:r w:rsidRPr="0069283B">
        <w:rPr>
          <w:rFonts w:cs="Arial"/>
          <w:noProof/>
          <w:szCs w:val="24"/>
        </w:rPr>
        <w:t xml:space="preserve">172 (1): 99–107. </w:t>
      </w:r>
    </w:p>
    <w:p w14:paraId="67774FA5" w14:textId="4F303FEA" w:rsidR="003C1D79" w:rsidRDefault="003C1D79" w:rsidP="00F34506">
      <w:pPr>
        <w:pStyle w:val="CETReferencetext"/>
        <w:rPr>
          <w:rFonts w:cs="Arial"/>
          <w:noProof/>
          <w:szCs w:val="24"/>
        </w:rPr>
      </w:pPr>
      <w:r w:rsidRPr="0069283B">
        <w:rPr>
          <w:rFonts w:cs="Arial"/>
          <w:noProof/>
          <w:szCs w:val="24"/>
        </w:rPr>
        <w:t>Shi</w:t>
      </w:r>
      <w:r>
        <w:rPr>
          <w:rFonts w:cs="Arial"/>
          <w:noProof/>
          <w:szCs w:val="24"/>
        </w:rPr>
        <w:t xml:space="preserve"> L.</w:t>
      </w:r>
      <w:r w:rsidRPr="0069283B">
        <w:rPr>
          <w:rFonts w:cs="Arial"/>
          <w:noProof/>
          <w:szCs w:val="24"/>
        </w:rPr>
        <w:t>, Zhang</w:t>
      </w:r>
      <w:r>
        <w:rPr>
          <w:rFonts w:cs="Arial"/>
          <w:noProof/>
          <w:szCs w:val="24"/>
        </w:rPr>
        <w:t xml:space="preserve"> X.</w:t>
      </w:r>
      <w:r w:rsidRPr="0069283B">
        <w:rPr>
          <w:rFonts w:cs="Arial"/>
          <w:noProof/>
          <w:szCs w:val="24"/>
        </w:rPr>
        <w:t>, Chen</w:t>
      </w:r>
      <w:r>
        <w:rPr>
          <w:rFonts w:cs="Arial"/>
          <w:noProof/>
          <w:szCs w:val="24"/>
        </w:rPr>
        <w:t xml:space="preserve"> Z.,</w:t>
      </w:r>
      <w:r w:rsidRPr="0069283B">
        <w:rPr>
          <w:rFonts w:cs="Arial"/>
          <w:noProof/>
          <w:szCs w:val="24"/>
        </w:rPr>
        <w:t xml:space="preserve"> 2011</w:t>
      </w:r>
      <w:r>
        <w:rPr>
          <w:rFonts w:cs="Arial"/>
          <w:noProof/>
          <w:szCs w:val="24"/>
        </w:rPr>
        <w:t xml:space="preserve">, </w:t>
      </w:r>
      <w:r w:rsidRPr="0069283B">
        <w:rPr>
          <w:rFonts w:cs="Arial"/>
          <w:noProof/>
          <w:szCs w:val="24"/>
        </w:rPr>
        <w:t>Removal of Chromium (VI) from Wastewater Using Bentonite-Supported Nanoscale Zero-Valent Iron</w:t>
      </w:r>
      <w:r>
        <w:rPr>
          <w:rFonts w:cs="Arial"/>
          <w:noProof/>
          <w:szCs w:val="24"/>
        </w:rPr>
        <w:t>,</w:t>
      </w:r>
      <w:r w:rsidRPr="0069283B">
        <w:rPr>
          <w:rFonts w:cs="Arial"/>
          <w:noProof/>
          <w:szCs w:val="24"/>
        </w:rPr>
        <w:t xml:space="preserve"> </w:t>
      </w:r>
      <w:r w:rsidRPr="0069283B">
        <w:rPr>
          <w:rFonts w:cs="Arial"/>
          <w:i/>
          <w:iCs/>
          <w:noProof/>
          <w:szCs w:val="24"/>
        </w:rPr>
        <w:t>Water Research</w:t>
      </w:r>
      <w:r>
        <w:rPr>
          <w:rFonts w:cs="Arial"/>
          <w:i/>
          <w:iCs/>
          <w:noProof/>
          <w:szCs w:val="24"/>
        </w:rPr>
        <w:t>,</w:t>
      </w:r>
      <w:r w:rsidRPr="0069283B">
        <w:rPr>
          <w:rFonts w:cs="Arial"/>
          <w:noProof/>
          <w:szCs w:val="24"/>
        </w:rPr>
        <w:t xml:space="preserve"> 45 (2): 886–92. </w:t>
      </w:r>
    </w:p>
    <w:p w14:paraId="5BEC50AA" w14:textId="6B246921" w:rsidR="008272A8" w:rsidRPr="0069283B" w:rsidRDefault="008272A8" w:rsidP="00F34506">
      <w:pPr>
        <w:pStyle w:val="CETReferencetext"/>
        <w:rPr>
          <w:rFonts w:cs="Arial"/>
          <w:noProof/>
          <w:szCs w:val="24"/>
        </w:rPr>
      </w:pPr>
      <w:r w:rsidRPr="008272A8">
        <w:rPr>
          <w:rFonts w:cs="Arial"/>
          <w:noProof/>
          <w:szCs w:val="24"/>
        </w:rPr>
        <w:t>Vilardi</w:t>
      </w:r>
      <w:r>
        <w:rPr>
          <w:rFonts w:cs="Arial"/>
          <w:noProof/>
          <w:szCs w:val="24"/>
        </w:rPr>
        <w:t xml:space="preserve"> G.</w:t>
      </w:r>
      <w:r w:rsidRPr="008272A8">
        <w:rPr>
          <w:rFonts w:cs="Arial"/>
          <w:noProof/>
          <w:szCs w:val="24"/>
        </w:rPr>
        <w:t xml:space="preserve">, </w:t>
      </w:r>
      <w:r>
        <w:rPr>
          <w:rFonts w:cs="Arial"/>
          <w:noProof/>
          <w:szCs w:val="24"/>
        </w:rPr>
        <w:t>D</w:t>
      </w:r>
      <w:r w:rsidRPr="008272A8">
        <w:rPr>
          <w:rFonts w:cs="Arial"/>
          <w:noProof/>
          <w:szCs w:val="24"/>
        </w:rPr>
        <w:t>i Palma</w:t>
      </w:r>
      <w:r>
        <w:rPr>
          <w:rFonts w:cs="Arial"/>
          <w:noProof/>
          <w:szCs w:val="24"/>
        </w:rPr>
        <w:t xml:space="preserve"> L</w:t>
      </w:r>
      <w:r w:rsidRPr="008272A8">
        <w:rPr>
          <w:rFonts w:cs="Arial"/>
          <w:noProof/>
          <w:szCs w:val="24"/>
        </w:rPr>
        <w:t>, Verdone</w:t>
      </w:r>
      <w:r>
        <w:rPr>
          <w:rFonts w:cs="Arial"/>
          <w:noProof/>
          <w:szCs w:val="24"/>
        </w:rPr>
        <w:t xml:space="preserve"> N., 2017, </w:t>
      </w:r>
      <w:r w:rsidRPr="008272A8">
        <w:rPr>
          <w:rFonts w:cs="Arial"/>
          <w:noProof/>
          <w:szCs w:val="24"/>
        </w:rPr>
        <w:t>Competitive reaction modelling in aqueous systems: The case of contemporary reduction of dichromates and nitrates by nZVI</w:t>
      </w:r>
      <w:r>
        <w:rPr>
          <w:rFonts w:cs="Arial"/>
          <w:noProof/>
          <w:szCs w:val="24"/>
        </w:rPr>
        <w:t xml:space="preserve">, </w:t>
      </w:r>
      <w:r w:rsidRPr="008272A8">
        <w:rPr>
          <w:rFonts w:cs="Arial"/>
          <w:noProof/>
          <w:szCs w:val="24"/>
        </w:rPr>
        <w:t>Chemical Engineering Transactions</w:t>
      </w:r>
      <w:r>
        <w:rPr>
          <w:rFonts w:cs="Arial"/>
          <w:noProof/>
          <w:szCs w:val="24"/>
        </w:rPr>
        <w:t>, 60, 175</w:t>
      </w:r>
      <w:r w:rsidRPr="008272A8">
        <w:rPr>
          <w:rFonts w:cs="Arial"/>
          <w:noProof/>
          <w:szCs w:val="24"/>
        </w:rPr>
        <w:t>-</w:t>
      </w:r>
      <w:r>
        <w:rPr>
          <w:rFonts w:cs="Arial"/>
          <w:noProof/>
          <w:szCs w:val="24"/>
        </w:rPr>
        <w:t>180.</w:t>
      </w:r>
    </w:p>
    <w:p w14:paraId="67375444" w14:textId="77777777" w:rsidR="003C1D79" w:rsidRPr="0069283B" w:rsidRDefault="003C1D79" w:rsidP="00F34506">
      <w:pPr>
        <w:pStyle w:val="CETReferencetext"/>
        <w:rPr>
          <w:rFonts w:cs="Arial"/>
          <w:noProof/>
        </w:rPr>
      </w:pPr>
      <w:r w:rsidRPr="0069283B">
        <w:rPr>
          <w:rFonts w:cs="Arial"/>
          <w:noProof/>
          <w:szCs w:val="24"/>
        </w:rPr>
        <w:t>Zhu H</w:t>
      </w:r>
      <w:r>
        <w:rPr>
          <w:rFonts w:cs="Arial"/>
          <w:noProof/>
          <w:szCs w:val="24"/>
        </w:rPr>
        <w:t>.</w:t>
      </w:r>
      <w:r w:rsidRPr="0069283B">
        <w:rPr>
          <w:rFonts w:cs="Arial"/>
          <w:noProof/>
          <w:szCs w:val="24"/>
        </w:rPr>
        <w:t>, Jia</w:t>
      </w:r>
      <w:r>
        <w:rPr>
          <w:rFonts w:cs="Arial"/>
          <w:noProof/>
          <w:szCs w:val="24"/>
        </w:rPr>
        <w:t xml:space="preserve"> Y.</w:t>
      </w:r>
      <w:r w:rsidRPr="0069283B">
        <w:rPr>
          <w:rFonts w:cs="Arial"/>
          <w:noProof/>
          <w:szCs w:val="24"/>
        </w:rPr>
        <w:t xml:space="preserve">, </w:t>
      </w:r>
      <w:r>
        <w:rPr>
          <w:rFonts w:cs="Arial"/>
          <w:noProof/>
          <w:szCs w:val="24"/>
        </w:rPr>
        <w:t xml:space="preserve"> </w:t>
      </w:r>
      <w:r w:rsidRPr="0069283B">
        <w:rPr>
          <w:rFonts w:cs="Arial"/>
          <w:noProof/>
          <w:szCs w:val="24"/>
        </w:rPr>
        <w:t>Wu</w:t>
      </w:r>
      <w:r>
        <w:rPr>
          <w:rFonts w:cs="Arial"/>
          <w:noProof/>
          <w:szCs w:val="24"/>
        </w:rPr>
        <w:t xml:space="preserve"> X</w:t>
      </w:r>
      <w:r w:rsidRPr="0069283B">
        <w:rPr>
          <w:rFonts w:cs="Arial"/>
          <w:noProof/>
          <w:szCs w:val="24"/>
        </w:rPr>
        <w:t>, Wang</w:t>
      </w:r>
      <w:r>
        <w:rPr>
          <w:rFonts w:cs="Arial"/>
          <w:noProof/>
          <w:szCs w:val="24"/>
        </w:rPr>
        <w:t xml:space="preserve"> H</w:t>
      </w:r>
      <w:r w:rsidRPr="0069283B">
        <w:rPr>
          <w:rFonts w:cs="Arial"/>
          <w:noProof/>
          <w:szCs w:val="24"/>
        </w:rPr>
        <w:t>.</w:t>
      </w:r>
      <w:r>
        <w:rPr>
          <w:rFonts w:cs="Arial"/>
          <w:noProof/>
          <w:szCs w:val="24"/>
        </w:rPr>
        <w:t>,</w:t>
      </w:r>
      <w:r w:rsidRPr="0069283B">
        <w:rPr>
          <w:rFonts w:cs="Arial"/>
          <w:noProof/>
          <w:szCs w:val="24"/>
        </w:rPr>
        <w:t xml:space="preserve"> 2009</w:t>
      </w:r>
      <w:r>
        <w:rPr>
          <w:rFonts w:cs="Arial"/>
          <w:noProof/>
          <w:szCs w:val="24"/>
        </w:rPr>
        <w:t>,</w:t>
      </w:r>
      <w:r w:rsidRPr="0069283B">
        <w:rPr>
          <w:rFonts w:cs="Arial"/>
          <w:noProof/>
          <w:szCs w:val="24"/>
        </w:rPr>
        <w:t xml:space="preserve"> Removal of Arsenic from Water by Supported Nano Zero-Valent Iron on Activated Carbon</w:t>
      </w:r>
      <w:r>
        <w:rPr>
          <w:rFonts w:cs="Arial"/>
          <w:noProof/>
          <w:szCs w:val="24"/>
        </w:rPr>
        <w:t xml:space="preserve">, </w:t>
      </w:r>
      <w:r w:rsidRPr="00765C72">
        <w:rPr>
          <w:rFonts w:cs="Arial"/>
          <w:iCs/>
          <w:noProof/>
          <w:szCs w:val="24"/>
        </w:rPr>
        <w:t>Journal of Hazardous Materials</w:t>
      </w:r>
      <w:r w:rsidRPr="00765C72">
        <w:rPr>
          <w:rFonts w:cs="Arial"/>
          <w:noProof/>
          <w:szCs w:val="24"/>
        </w:rPr>
        <w:t>,</w:t>
      </w:r>
      <w:r>
        <w:rPr>
          <w:rFonts w:cs="Arial"/>
          <w:noProof/>
          <w:szCs w:val="24"/>
        </w:rPr>
        <w:t xml:space="preserve"> </w:t>
      </w:r>
      <w:r w:rsidRPr="0069283B">
        <w:rPr>
          <w:rFonts w:cs="Arial"/>
          <w:noProof/>
          <w:szCs w:val="24"/>
        </w:rPr>
        <w:t xml:space="preserve">172 (2–3):1591–96. </w:t>
      </w:r>
    </w:p>
    <w:p w14:paraId="50A8A10C" w14:textId="77777777" w:rsidR="003C1D79" w:rsidRPr="00241354" w:rsidRDefault="003C1D79" w:rsidP="00F34506">
      <w:pPr>
        <w:pStyle w:val="CETReferencetext"/>
        <w:rPr>
          <w:b/>
        </w:rPr>
      </w:pPr>
      <w:r>
        <w:rPr>
          <w:b/>
        </w:rPr>
        <w:fldChar w:fldCharType="end"/>
      </w:r>
      <w:bookmarkEnd w:id="8"/>
    </w:p>
    <w:p w14:paraId="57259E6D" w14:textId="38834BF2" w:rsidR="006135B9" w:rsidRDefault="006135B9" w:rsidP="00F34506">
      <w:pPr>
        <w:pStyle w:val="CETReferencetext"/>
      </w:pPr>
    </w:p>
    <w:bookmarkEnd w:id="2"/>
    <w:p w14:paraId="19C4FC68" w14:textId="77777777" w:rsidR="004628D2" w:rsidRDefault="004628D2" w:rsidP="00F34506">
      <w:pPr>
        <w:pStyle w:val="CETReferencetext"/>
      </w:pP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AB646" w14:textId="77777777" w:rsidR="001759F7" w:rsidRDefault="001759F7" w:rsidP="004F5E36">
      <w:r>
        <w:separator/>
      </w:r>
    </w:p>
  </w:endnote>
  <w:endnote w:type="continuationSeparator" w:id="0">
    <w:p w14:paraId="722ED742" w14:textId="77777777" w:rsidR="001759F7" w:rsidRDefault="001759F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033B2" w14:textId="77777777" w:rsidR="001759F7" w:rsidRDefault="001759F7" w:rsidP="004F5E36">
      <w:r>
        <w:separator/>
      </w:r>
    </w:p>
  </w:footnote>
  <w:footnote w:type="continuationSeparator" w:id="0">
    <w:p w14:paraId="2763BD3A" w14:textId="77777777" w:rsidR="001759F7" w:rsidRDefault="001759F7"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03D47BB"/>
    <w:multiLevelType w:val="multilevel"/>
    <w:tmpl w:val="4B4E85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C83B85"/>
    <w:multiLevelType w:val="hybridMultilevel"/>
    <w:tmpl w:val="602AC7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CC012BB"/>
    <w:multiLevelType w:val="multilevel"/>
    <w:tmpl w:val="6D76A7C2"/>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1"/>
  </w:num>
  <w:num w:numId="16">
    <w:abstractNumId w:val="20"/>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kwMq4FAPCCjrUtAAAA"/>
  </w:docVars>
  <w:rsids>
    <w:rsidRoot w:val="000E414A"/>
    <w:rsid w:val="000027C0"/>
    <w:rsid w:val="000029D2"/>
    <w:rsid w:val="000052FB"/>
    <w:rsid w:val="00006F68"/>
    <w:rsid w:val="000117CB"/>
    <w:rsid w:val="00021E5D"/>
    <w:rsid w:val="000307FB"/>
    <w:rsid w:val="0003148D"/>
    <w:rsid w:val="000470A2"/>
    <w:rsid w:val="00051566"/>
    <w:rsid w:val="000604D1"/>
    <w:rsid w:val="00062A9A"/>
    <w:rsid w:val="00065058"/>
    <w:rsid w:val="0007606A"/>
    <w:rsid w:val="0008561F"/>
    <w:rsid w:val="00086C39"/>
    <w:rsid w:val="000A03B2"/>
    <w:rsid w:val="000A32E3"/>
    <w:rsid w:val="000B31DC"/>
    <w:rsid w:val="000D34BE"/>
    <w:rsid w:val="000E102F"/>
    <w:rsid w:val="000E36F1"/>
    <w:rsid w:val="000E3A73"/>
    <w:rsid w:val="000E414A"/>
    <w:rsid w:val="000F093C"/>
    <w:rsid w:val="000F276E"/>
    <w:rsid w:val="000F787B"/>
    <w:rsid w:val="001033EA"/>
    <w:rsid w:val="00106632"/>
    <w:rsid w:val="0012091F"/>
    <w:rsid w:val="00126BC2"/>
    <w:rsid w:val="001308B6"/>
    <w:rsid w:val="0013121F"/>
    <w:rsid w:val="00131FE6"/>
    <w:rsid w:val="0013263F"/>
    <w:rsid w:val="00134DE4"/>
    <w:rsid w:val="0014034D"/>
    <w:rsid w:val="0014464F"/>
    <w:rsid w:val="00150E59"/>
    <w:rsid w:val="00152DE3"/>
    <w:rsid w:val="00164CF9"/>
    <w:rsid w:val="001759F7"/>
    <w:rsid w:val="00184AD6"/>
    <w:rsid w:val="00187537"/>
    <w:rsid w:val="00196EEA"/>
    <w:rsid w:val="001A3325"/>
    <w:rsid w:val="001A5B78"/>
    <w:rsid w:val="001B0349"/>
    <w:rsid w:val="001B65C1"/>
    <w:rsid w:val="001C3776"/>
    <w:rsid w:val="001C684B"/>
    <w:rsid w:val="001D53FC"/>
    <w:rsid w:val="001F42A5"/>
    <w:rsid w:val="001F75B9"/>
    <w:rsid w:val="001F7B9D"/>
    <w:rsid w:val="00202492"/>
    <w:rsid w:val="002224B4"/>
    <w:rsid w:val="00241F08"/>
    <w:rsid w:val="002447EF"/>
    <w:rsid w:val="00251550"/>
    <w:rsid w:val="00252BC1"/>
    <w:rsid w:val="00255B62"/>
    <w:rsid w:val="00260D3C"/>
    <w:rsid w:val="00263B05"/>
    <w:rsid w:val="0027221A"/>
    <w:rsid w:val="00275B61"/>
    <w:rsid w:val="00281849"/>
    <w:rsid w:val="00282656"/>
    <w:rsid w:val="00296B83"/>
    <w:rsid w:val="002B78CE"/>
    <w:rsid w:val="002C2FB6"/>
    <w:rsid w:val="002E4466"/>
    <w:rsid w:val="002E4A8F"/>
    <w:rsid w:val="002E5DAA"/>
    <w:rsid w:val="002F3954"/>
    <w:rsid w:val="003009B7"/>
    <w:rsid w:val="00300E56"/>
    <w:rsid w:val="0030163F"/>
    <w:rsid w:val="0030469C"/>
    <w:rsid w:val="00321CA6"/>
    <w:rsid w:val="00334C09"/>
    <w:rsid w:val="00362137"/>
    <w:rsid w:val="003723D4"/>
    <w:rsid w:val="00383F4B"/>
    <w:rsid w:val="00384CC8"/>
    <w:rsid w:val="003871FD"/>
    <w:rsid w:val="003A1E30"/>
    <w:rsid w:val="003A4F3E"/>
    <w:rsid w:val="003A7D1C"/>
    <w:rsid w:val="003B304B"/>
    <w:rsid w:val="003B3146"/>
    <w:rsid w:val="003C1D79"/>
    <w:rsid w:val="003C438D"/>
    <w:rsid w:val="003E180F"/>
    <w:rsid w:val="003F015E"/>
    <w:rsid w:val="00400414"/>
    <w:rsid w:val="0041446B"/>
    <w:rsid w:val="004168B2"/>
    <w:rsid w:val="00417871"/>
    <w:rsid w:val="004365D4"/>
    <w:rsid w:val="0044329C"/>
    <w:rsid w:val="004577FE"/>
    <w:rsid w:val="00457B9C"/>
    <w:rsid w:val="0046164A"/>
    <w:rsid w:val="004628D2"/>
    <w:rsid w:val="00462DCD"/>
    <w:rsid w:val="004648AD"/>
    <w:rsid w:val="004703A9"/>
    <w:rsid w:val="004760DE"/>
    <w:rsid w:val="004A004E"/>
    <w:rsid w:val="004A14CB"/>
    <w:rsid w:val="004A24CF"/>
    <w:rsid w:val="004B6192"/>
    <w:rsid w:val="004C3C95"/>
    <w:rsid w:val="004C3D1D"/>
    <w:rsid w:val="004C7913"/>
    <w:rsid w:val="004E4DD6"/>
    <w:rsid w:val="004F5E36"/>
    <w:rsid w:val="00504244"/>
    <w:rsid w:val="00507B47"/>
    <w:rsid w:val="00507CC9"/>
    <w:rsid w:val="005119A5"/>
    <w:rsid w:val="00521F23"/>
    <w:rsid w:val="005278B7"/>
    <w:rsid w:val="00532016"/>
    <w:rsid w:val="005346C8"/>
    <w:rsid w:val="00543E7D"/>
    <w:rsid w:val="00545342"/>
    <w:rsid w:val="00547A68"/>
    <w:rsid w:val="005531C9"/>
    <w:rsid w:val="005B2110"/>
    <w:rsid w:val="005B61E6"/>
    <w:rsid w:val="005C77E1"/>
    <w:rsid w:val="005D6A2F"/>
    <w:rsid w:val="005E1A82"/>
    <w:rsid w:val="005E1EB0"/>
    <w:rsid w:val="005E794C"/>
    <w:rsid w:val="005F0A28"/>
    <w:rsid w:val="005F0E5E"/>
    <w:rsid w:val="005F4545"/>
    <w:rsid w:val="00600535"/>
    <w:rsid w:val="00607944"/>
    <w:rsid w:val="00610CD6"/>
    <w:rsid w:val="006135B9"/>
    <w:rsid w:val="00620C11"/>
    <w:rsid w:val="00620DEE"/>
    <w:rsid w:val="00621F92"/>
    <w:rsid w:val="00625639"/>
    <w:rsid w:val="00631B33"/>
    <w:rsid w:val="0064184D"/>
    <w:rsid w:val="00652430"/>
    <w:rsid w:val="00660E3E"/>
    <w:rsid w:val="00662E74"/>
    <w:rsid w:val="00680C23"/>
    <w:rsid w:val="00693766"/>
    <w:rsid w:val="006A3281"/>
    <w:rsid w:val="006A6A18"/>
    <w:rsid w:val="006B4888"/>
    <w:rsid w:val="006C2E45"/>
    <w:rsid w:val="006C359C"/>
    <w:rsid w:val="006C5579"/>
    <w:rsid w:val="006C6965"/>
    <w:rsid w:val="006E46D5"/>
    <w:rsid w:val="006E737D"/>
    <w:rsid w:val="00720A24"/>
    <w:rsid w:val="00732386"/>
    <w:rsid w:val="00743A29"/>
    <w:rsid w:val="007447F3"/>
    <w:rsid w:val="0075499F"/>
    <w:rsid w:val="007557C5"/>
    <w:rsid w:val="007661C8"/>
    <w:rsid w:val="0077098D"/>
    <w:rsid w:val="007A7BBA"/>
    <w:rsid w:val="007B0C50"/>
    <w:rsid w:val="007B59B6"/>
    <w:rsid w:val="007C1A43"/>
    <w:rsid w:val="007D2658"/>
    <w:rsid w:val="007D7E0C"/>
    <w:rsid w:val="0080313C"/>
    <w:rsid w:val="00810281"/>
    <w:rsid w:val="00813288"/>
    <w:rsid w:val="008168FC"/>
    <w:rsid w:val="00817601"/>
    <w:rsid w:val="008272A8"/>
    <w:rsid w:val="00830996"/>
    <w:rsid w:val="00830E4A"/>
    <w:rsid w:val="008345F1"/>
    <w:rsid w:val="0083515C"/>
    <w:rsid w:val="00843DB4"/>
    <w:rsid w:val="008468AE"/>
    <w:rsid w:val="00861815"/>
    <w:rsid w:val="00865B07"/>
    <w:rsid w:val="008667EA"/>
    <w:rsid w:val="00873D70"/>
    <w:rsid w:val="0087637F"/>
    <w:rsid w:val="00892AD5"/>
    <w:rsid w:val="00895642"/>
    <w:rsid w:val="008A1512"/>
    <w:rsid w:val="008C0726"/>
    <w:rsid w:val="008D0D37"/>
    <w:rsid w:val="008D433B"/>
    <w:rsid w:val="008E566E"/>
    <w:rsid w:val="0090161A"/>
    <w:rsid w:val="00901EB6"/>
    <w:rsid w:val="00904C62"/>
    <w:rsid w:val="00924DAC"/>
    <w:rsid w:val="00927058"/>
    <w:rsid w:val="00935AA1"/>
    <w:rsid w:val="009450CE"/>
    <w:rsid w:val="009458AE"/>
    <w:rsid w:val="00947179"/>
    <w:rsid w:val="0095164B"/>
    <w:rsid w:val="00954090"/>
    <w:rsid w:val="009573E7"/>
    <w:rsid w:val="009604CD"/>
    <w:rsid w:val="00963E05"/>
    <w:rsid w:val="00967D54"/>
    <w:rsid w:val="00986ED6"/>
    <w:rsid w:val="00996483"/>
    <w:rsid w:val="00996F5A"/>
    <w:rsid w:val="009B041A"/>
    <w:rsid w:val="009C6E23"/>
    <w:rsid w:val="009C7C86"/>
    <w:rsid w:val="009D2FF7"/>
    <w:rsid w:val="009E5A7D"/>
    <w:rsid w:val="009E7884"/>
    <w:rsid w:val="009E788A"/>
    <w:rsid w:val="009F0E08"/>
    <w:rsid w:val="009F7F64"/>
    <w:rsid w:val="00A00554"/>
    <w:rsid w:val="00A023EF"/>
    <w:rsid w:val="00A1763D"/>
    <w:rsid w:val="00A17CEC"/>
    <w:rsid w:val="00A25F0C"/>
    <w:rsid w:val="00A27EF0"/>
    <w:rsid w:val="00A3005A"/>
    <w:rsid w:val="00A41F78"/>
    <w:rsid w:val="00A50B20"/>
    <w:rsid w:val="00A51390"/>
    <w:rsid w:val="00A5678B"/>
    <w:rsid w:val="00A60D13"/>
    <w:rsid w:val="00A72745"/>
    <w:rsid w:val="00A76EFC"/>
    <w:rsid w:val="00A91010"/>
    <w:rsid w:val="00A97F29"/>
    <w:rsid w:val="00AA702E"/>
    <w:rsid w:val="00AB0964"/>
    <w:rsid w:val="00AB5011"/>
    <w:rsid w:val="00AC7368"/>
    <w:rsid w:val="00AD16B9"/>
    <w:rsid w:val="00AE377D"/>
    <w:rsid w:val="00B17FBD"/>
    <w:rsid w:val="00B315A6"/>
    <w:rsid w:val="00B31813"/>
    <w:rsid w:val="00B33365"/>
    <w:rsid w:val="00B57B36"/>
    <w:rsid w:val="00B66D96"/>
    <w:rsid w:val="00B8686D"/>
    <w:rsid w:val="00BC30C9"/>
    <w:rsid w:val="00BD6531"/>
    <w:rsid w:val="00BE3E58"/>
    <w:rsid w:val="00BF7F6A"/>
    <w:rsid w:val="00C01616"/>
    <w:rsid w:val="00C0162B"/>
    <w:rsid w:val="00C038D5"/>
    <w:rsid w:val="00C34580"/>
    <w:rsid w:val="00C345B1"/>
    <w:rsid w:val="00C35688"/>
    <w:rsid w:val="00C35908"/>
    <w:rsid w:val="00C40142"/>
    <w:rsid w:val="00C55AC7"/>
    <w:rsid w:val="00C5650F"/>
    <w:rsid w:val="00C57182"/>
    <w:rsid w:val="00C57863"/>
    <w:rsid w:val="00C655FD"/>
    <w:rsid w:val="00C71FB5"/>
    <w:rsid w:val="00C870A8"/>
    <w:rsid w:val="00C94434"/>
    <w:rsid w:val="00C948E2"/>
    <w:rsid w:val="00CA0D75"/>
    <w:rsid w:val="00CA1C95"/>
    <w:rsid w:val="00CA5A9C"/>
    <w:rsid w:val="00CA5BE0"/>
    <w:rsid w:val="00CD135C"/>
    <w:rsid w:val="00CD5FE2"/>
    <w:rsid w:val="00CE1964"/>
    <w:rsid w:val="00CE422F"/>
    <w:rsid w:val="00CE798F"/>
    <w:rsid w:val="00CE7C68"/>
    <w:rsid w:val="00D02B4C"/>
    <w:rsid w:val="00D040C4"/>
    <w:rsid w:val="00D57C84"/>
    <w:rsid w:val="00D6057D"/>
    <w:rsid w:val="00D758BF"/>
    <w:rsid w:val="00D84576"/>
    <w:rsid w:val="00DA1399"/>
    <w:rsid w:val="00DA24C6"/>
    <w:rsid w:val="00DA4D7B"/>
    <w:rsid w:val="00DB12F1"/>
    <w:rsid w:val="00DE264A"/>
    <w:rsid w:val="00E02D18"/>
    <w:rsid w:val="00E041E7"/>
    <w:rsid w:val="00E1118D"/>
    <w:rsid w:val="00E16E55"/>
    <w:rsid w:val="00E23CA1"/>
    <w:rsid w:val="00E409A8"/>
    <w:rsid w:val="00E45A9A"/>
    <w:rsid w:val="00E50C12"/>
    <w:rsid w:val="00E5130D"/>
    <w:rsid w:val="00E65B91"/>
    <w:rsid w:val="00E7209D"/>
    <w:rsid w:val="00E77223"/>
    <w:rsid w:val="00E8528B"/>
    <w:rsid w:val="00E85B94"/>
    <w:rsid w:val="00E87433"/>
    <w:rsid w:val="00E978D0"/>
    <w:rsid w:val="00EA4613"/>
    <w:rsid w:val="00EA7F91"/>
    <w:rsid w:val="00EB1523"/>
    <w:rsid w:val="00EC0E49"/>
    <w:rsid w:val="00EE0131"/>
    <w:rsid w:val="00EE5DAA"/>
    <w:rsid w:val="00EF2394"/>
    <w:rsid w:val="00EF70BA"/>
    <w:rsid w:val="00F27DA7"/>
    <w:rsid w:val="00F30C64"/>
    <w:rsid w:val="00F32CDB"/>
    <w:rsid w:val="00F34506"/>
    <w:rsid w:val="00F63A70"/>
    <w:rsid w:val="00F63F20"/>
    <w:rsid w:val="00F7080E"/>
    <w:rsid w:val="00FA21D0"/>
    <w:rsid w:val="00FA5F5F"/>
    <w:rsid w:val="00FB730C"/>
    <w:rsid w:val="00FC2695"/>
    <w:rsid w:val="00FC2E2C"/>
    <w:rsid w:val="00FC3E03"/>
    <w:rsid w:val="00FC3FC1"/>
    <w:rsid w:val="00FD2A0D"/>
    <w:rsid w:val="00FE2E16"/>
    <w:rsid w:val="00FE480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B6192"/>
    <w:pPr>
      <w:keepNext/>
      <w:suppressAutoHyphens/>
      <w:spacing w:before="120" w:after="120" w:line="264"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B6192"/>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UnresolvedMention">
    <w:name w:val="Unresolved Mention"/>
    <w:basedOn w:val="Carpredefinitoparagrafo"/>
    <w:uiPriority w:val="99"/>
    <w:semiHidden/>
    <w:unhideWhenUsed/>
    <w:rsid w:val="00E45A9A"/>
    <w:rPr>
      <w:color w:val="605E5C"/>
      <w:shd w:val="clear" w:color="auto" w:fill="E1DFDD"/>
    </w:rPr>
  </w:style>
  <w:style w:type="paragraph" w:styleId="Paragrafoelenco">
    <w:name w:val="List Paragraph"/>
    <w:basedOn w:val="Normale"/>
    <w:uiPriority w:val="34"/>
    <w:qFormat/>
    <w:rsid w:val="00281849"/>
    <w:pPr>
      <w:tabs>
        <w:tab w:val="clear" w:pos="7100"/>
        <w:tab w:val="left" w:pos="993"/>
      </w:tabs>
      <w:spacing w:line="240" w:lineRule="auto"/>
      <w:ind w:left="720"/>
      <w:contextualSpacing/>
      <w:jc w:val="center"/>
    </w:pPr>
    <w:rPr>
      <w:rFonts w:ascii="Times New Roman" w:eastAsia="MS Mincho" w:hAnsi="Times New Roman" w:cs="Angsana New"/>
      <w:b/>
      <w:bCs/>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B6192"/>
    <w:pPr>
      <w:keepNext/>
      <w:suppressAutoHyphens/>
      <w:spacing w:before="120" w:after="120" w:line="264"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B6192"/>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UnresolvedMention">
    <w:name w:val="Unresolved Mention"/>
    <w:basedOn w:val="Carpredefinitoparagrafo"/>
    <w:uiPriority w:val="99"/>
    <w:semiHidden/>
    <w:unhideWhenUsed/>
    <w:rsid w:val="00E45A9A"/>
    <w:rPr>
      <w:color w:val="605E5C"/>
      <w:shd w:val="clear" w:color="auto" w:fill="E1DFDD"/>
    </w:rPr>
  </w:style>
  <w:style w:type="paragraph" w:styleId="Paragrafoelenco">
    <w:name w:val="List Paragraph"/>
    <w:basedOn w:val="Normale"/>
    <w:uiPriority w:val="34"/>
    <w:qFormat/>
    <w:rsid w:val="00281849"/>
    <w:pPr>
      <w:tabs>
        <w:tab w:val="clear" w:pos="7100"/>
        <w:tab w:val="left" w:pos="993"/>
      </w:tabs>
      <w:spacing w:line="240" w:lineRule="auto"/>
      <w:ind w:left="720"/>
      <w:contextualSpacing/>
      <w:jc w:val="center"/>
    </w:pPr>
    <w:rPr>
      <w:rFonts w:ascii="Times New Roman" w:eastAsia="MS Mincho" w:hAnsi="Times New Roman" w:cs="Angsana New"/>
      <w:b/>
      <w:bC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217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433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b@ukm.edu.m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F:\DATA%20PHD%202016-2019\BATCH%20TEST%20ON%20DYE%20AND%20HEAVY%20METALS\PH%20EFFECTS%20(ok!)\Orange%20II\BATCH%20TEST%20ON%20DYE%20(pH%20Effect).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59657894474222"/>
          <c:y val="3.3838648956759192E-2"/>
          <c:w val="0.70430945181282001"/>
          <c:h val="0.79222407805084971"/>
        </c:manualLayout>
      </c:layout>
      <c:lineChart>
        <c:grouping val="standard"/>
        <c:varyColors val="0"/>
        <c:ser>
          <c:idx val="3"/>
          <c:order val="0"/>
          <c:tx>
            <c:strRef>
              <c:f>'ORANGE II (Co=50ppm) ok!'!$A$59</c:f>
              <c:strCache>
                <c:ptCount val="1"/>
                <c:pt idx="0">
                  <c:v>Activated Carbon</c:v>
                </c:pt>
              </c:strCache>
              <c:extLst xmlns:c15="http://schemas.microsoft.com/office/drawing/2012/chart" xmlns:c16r2="http://schemas.microsoft.com/office/drawing/2015/06/chart"/>
            </c:strRef>
          </c:tx>
          <c:spPr>
            <a:ln w="9525">
              <a:solidFill>
                <a:schemeClr val="tx1"/>
              </a:solidFill>
            </a:ln>
          </c:spPr>
          <c:marker>
            <c:symbol val="circle"/>
            <c:size val="7"/>
            <c:spPr>
              <a:noFill/>
              <a:ln>
                <a:solidFill>
                  <a:schemeClr val="tx1"/>
                </a:solidFill>
              </a:ln>
            </c:spPr>
          </c:marker>
          <c:cat>
            <c:numRef>
              <c:f>'ORANGE II (Co=50ppm) ok!'!$B$86:$B$94</c:f>
              <c:numCache>
                <c:formatCode>General</c:formatCode>
                <c:ptCount val="6"/>
                <c:pt idx="0">
                  <c:v>0.05</c:v>
                </c:pt>
                <c:pt idx="1">
                  <c:v>0.1</c:v>
                </c:pt>
                <c:pt idx="2">
                  <c:v>0.3</c:v>
                </c:pt>
                <c:pt idx="3">
                  <c:v>0.5</c:v>
                </c:pt>
                <c:pt idx="4">
                  <c:v>0.7</c:v>
                </c:pt>
                <c:pt idx="5">
                  <c:v>1</c:v>
                </c:pt>
              </c:numCache>
            </c:numRef>
          </c:cat>
          <c:val>
            <c:numRef>
              <c:f>'ORANGE II (Co=50ppm) ok!'!$M$59:$M$67</c:f>
              <c:numCache>
                <c:formatCode>#,##0.0000</c:formatCode>
                <c:ptCount val="6"/>
                <c:pt idx="0">
                  <c:v>31.914852558139536</c:v>
                </c:pt>
                <c:pt idx="1">
                  <c:v>15.98511627906977</c:v>
                </c:pt>
                <c:pt idx="2">
                  <c:v>5.3283720930232574</c:v>
                </c:pt>
                <c:pt idx="3">
                  <c:v>3.1970232558139542</c:v>
                </c:pt>
                <c:pt idx="4">
                  <c:v>2.2835880398671105</c:v>
                </c:pt>
                <c:pt idx="5">
                  <c:v>1.5985116279069771</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0-75C4-4924-B6D8-06AA97A1632E}"/>
            </c:ext>
          </c:extLst>
        </c:ser>
        <c:ser>
          <c:idx val="4"/>
          <c:order val="1"/>
          <c:tx>
            <c:strRef>
              <c:f>'ORANGE II (Co=50ppm) ok!'!$A$68</c:f>
              <c:strCache>
                <c:ptCount val="1"/>
                <c:pt idx="0">
                  <c:v>AC-nZVI</c:v>
                </c:pt>
              </c:strCache>
              <c:extLst xmlns:c15="http://schemas.microsoft.com/office/drawing/2012/chart" xmlns:c16r2="http://schemas.microsoft.com/office/drawing/2015/06/chart"/>
            </c:strRef>
          </c:tx>
          <c:spPr>
            <a:ln w="0">
              <a:solidFill>
                <a:schemeClr val="tx1"/>
              </a:solidFill>
            </a:ln>
          </c:spPr>
          <c:marker>
            <c:symbol val="star"/>
            <c:size val="7"/>
            <c:spPr>
              <a:noFill/>
              <a:ln>
                <a:solidFill>
                  <a:schemeClr val="tx1"/>
                </a:solidFill>
              </a:ln>
            </c:spPr>
          </c:marker>
          <c:cat>
            <c:numRef>
              <c:f>'ORANGE II (Co=50ppm) ok!'!$B$86:$B$94</c:f>
              <c:numCache>
                <c:formatCode>General</c:formatCode>
                <c:ptCount val="6"/>
                <c:pt idx="0">
                  <c:v>0.05</c:v>
                </c:pt>
                <c:pt idx="1">
                  <c:v>0.1</c:v>
                </c:pt>
                <c:pt idx="2">
                  <c:v>0.3</c:v>
                </c:pt>
                <c:pt idx="3">
                  <c:v>0.5</c:v>
                </c:pt>
                <c:pt idx="4">
                  <c:v>0.7</c:v>
                </c:pt>
                <c:pt idx="5">
                  <c:v>1</c:v>
                </c:pt>
              </c:numCache>
            </c:numRef>
          </c:cat>
          <c:val>
            <c:numRef>
              <c:f>'ORANGE II (Co=50ppm) ok!'!$M$68:$M$76</c:f>
              <c:numCache>
                <c:formatCode>#,##0.0000</c:formatCode>
                <c:ptCount val="6"/>
                <c:pt idx="0">
                  <c:v>31.970232558139539</c:v>
                </c:pt>
                <c:pt idx="1">
                  <c:v>15.98511627906977</c:v>
                </c:pt>
                <c:pt idx="2">
                  <c:v>5.3283720930232574</c:v>
                </c:pt>
                <c:pt idx="3">
                  <c:v>3.1970232558139542</c:v>
                </c:pt>
                <c:pt idx="4">
                  <c:v>2.2835880398671105</c:v>
                </c:pt>
                <c:pt idx="5">
                  <c:v>1.5985116279069771</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1-75C4-4924-B6D8-06AA97A1632E}"/>
            </c:ext>
          </c:extLst>
        </c:ser>
        <c:dLbls>
          <c:showLegendKey val="0"/>
          <c:showVal val="0"/>
          <c:showCatName val="0"/>
          <c:showSerName val="0"/>
          <c:showPercent val="0"/>
          <c:showBubbleSize val="0"/>
        </c:dLbls>
        <c:marker val="1"/>
        <c:smooth val="0"/>
        <c:axId val="184733056"/>
        <c:axId val="21634854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'ORANGE II (Co=50ppm) ok!'!$A$32</c15:sqref>
                        </c15:formulaRef>
                      </c:ext>
                    </c:extLst>
                    <c:strCache>
                      <c:ptCount val="1"/>
                      <c:pt idx="0">
                        <c:v>nZVI</c:v>
                      </c:pt>
                    </c:strCache>
                  </c:strRef>
                </c:tx>
                <c:spPr>
                  <a:ln w="12700">
                    <a:solidFill>
                      <a:sysClr val="windowText" lastClr="000000"/>
                    </a:solidFill>
                  </a:ln>
                </c:spPr>
                <c:marker>
                  <c:spPr>
                    <a:solidFill>
                      <a:sysClr val="window" lastClr="FFFFFF"/>
                    </a:solidFill>
                    <a:ln>
                      <a:solidFill>
                        <a:sysClr val="windowText" lastClr="000000"/>
                      </a:solidFill>
                    </a:ln>
                  </c:spPr>
                </c:marker>
                <c:cat>
                  <c:numRef>
                    <c:extLst>
                      <c:ext uri="{02D57815-91ED-43cb-92C2-25804820EDAC}">
                        <c15:formulaRef>
                          <c15:sqref>'ORANGE II (Co=50ppm) ok!'!$B$86:$B$94</c15:sqref>
                        </c15:formulaRef>
                      </c:ext>
                    </c:extLst>
                    <c:numCache>
                      <c:formatCode>General</c:formatCode>
                      <c:ptCount val="6"/>
                      <c:pt idx="0">
                        <c:v>0.05</c:v>
                      </c:pt>
                      <c:pt idx="1">
                        <c:v>0.1</c:v>
                      </c:pt>
                      <c:pt idx="2">
                        <c:v>0.3</c:v>
                      </c:pt>
                      <c:pt idx="3">
                        <c:v>0.5</c:v>
                      </c:pt>
                      <c:pt idx="4">
                        <c:v>0.7</c:v>
                      </c:pt>
                      <c:pt idx="5">
                        <c:v>1</c:v>
                      </c:pt>
                    </c:numCache>
                  </c:numRef>
                </c:cat>
                <c:val>
                  <c:numRef>
                    <c:extLst>
                      <c:ext uri="{02D57815-91ED-43cb-92C2-25804820EDAC}">
                        <c15:formulaRef>
                          <c15:sqref>'ORANGE II (Co=50ppm) ok!'!$M$32:$M$40</c15:sqref>
                        </c15:formulaRef>
                      </c:ext>
                    </c:extLst>
                    <c:numCache>
                      <c:formatCode>#,##0.0000</c:formatCode>
                      <c:ptCount val="6"/>
                      <c:pt idx="0">
                        <c:v>8.0093023255814035</c:v>
                      </c:pt>
                      <c:pt idx="1">
                        <c:v>11.246511627906976</c:v>
                      </c:pt>
                      <c:pt idx="2">
                        <c:v>5.3283720930232574</c:v>
                      </c:pt>
                      <c:pt idx="3">
                        <c:v>3.1970232558139542</c:v>
                      </c:pt>
                      <c:pt idx="4">
                        <c:v>2.2835880398671105</c:v>
                      </c:pt>
                      <c:pt idx="5">
                        <c:v>1.5985116279069771</c:v>
                      </c:pt>
                    </c:numCache>
                  </c:numRef>
                </c:val>
                <c:smooth val="0"/>
                <c:extLst>
                  <c:ext xmlns:c16="http://schemas.microsoft.com/office/drawing/2014/chart" uri="{C3380CC4-5D6E-409C-BE32-E72D297353CC}">
                    <c16:uniqueId val="{00000002-75C4-4924-B6D8-06AA97A1632E}"/>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'ORANGE II (Co=50ppm) ok!'!$A$50</c15:sqref>
                        </c15:formulaRef>
                      </c:ext>
                    </c:extLst>
                    <c:strCache>
                      <c:ptCount val="1"/>
                      <c:pt idx="0">
                        <c:v>Bentonite</c:v>
                      </c:pt>
                    </c:strCache>
                  </c:strRef>
                </c:tx>
                <c:spPr>
                  <a:ln w="12700">
                    <a:solidFill>
                      <a:schemeClr val="tx1"/>
                    </a:solidFill>
                  </a:ln>
                </c:spPr>
                <c:marker>
                  <c:spPr>
                    <a:solidFill>
                      <a:schemeClr val="bg1"/>
                    </a:solidFill>
                    <a:ln>
                      <a:solidFill>
                        <a:schemeClr val="tx1"/>
                      </a:solidFill>
                    </a:ln>
                  </c:spPr>
                </c:marker>
                <c:cat>
                  <c:numRef>
                    <c:extLst xmlns:c15="http://schemas.microsoft.com/office/drawing/2012/chart">
                      <c:ext xmlns:c15="http://schemas.microsoft.com/office/drawing/2012/chart" uri="{02D57815-91ED-43cb-92C2-25804820EDAC}">
                        <c15:formulaRef>
                          <c15:sqref>'ORANGE II (Co=50ppm) ok!'!$B$86:$B$94</c15:sqref>
                        </c15:formulaRef>
                      </c:ext>
                    </c:extLst>
                    <c:numCache>
                      <c:formatCode>General</c:formatCode>
                      <c:ptCount val="6"/>
                      <c:pt idx="0">
                        <c:v>0.05</c:v>
                      </c:pt>
                      <c:pt idx="1">
                        <c:v>0.1</c:v>
                      </c:pt>
                      <c:pt idx="2">
                        <c:v>0.3</c:v>
                      </c:pt>
                      <c:pt idx="3">
                        <c:v>0.5</c:v>
                      </c:pt>
                      <c:pt idx="4">
                        <c:v>0.7</c:v>
                      </c:pt>
                      <c:pt idx="5">
                        <c:v>1</c:v>
                      </c:pt>
                    </c:numCache>
                  </c:numRef>
                </c:cat>
                <c:val>
                  <c:numRef>
                    <c:extLst xmlns:c15="http://schemas.microsoft.com/office/drawing/2012/chart">
                      <c:ext xmlns:c15="http://schemas.microsoft.com/office/drawing/2012/chart" uri="{02D57815-91ED-43cb-92C2-25804820EDAC}">
                        <c15:formulaRef>
                          <c15:sqref>'ORANGE II (Co=50ppm) ok!'!$M$50:$M$58</c15:sqref>
                        </c15:formulaRef>
                      </c:ext>
                    </c:extLst>
                    <c:numCache>
                      <c:formatCode>#,##0.0000</c:formatCode>
                      <c:ptCount val="6"/>
                      <c:pt idx="0">
                        <c:v>11.051162790697676</c:v>
                      </c:pt>
                      <c:pt idx="1">
                        <c:v>15.403716279069769</c:v>
                      </c:pt>
                      <c:pt idx="2">
                        <c:v>5.2349420930232569</c:v>
                      </c:pt>
                      <c:pt idx="3">
                        <c:v>3.1532334558139539</c:v>
                      </c:pt>
                      <c:pt idx="4">
                        <c:v>2.2607366112956817</c:v>
                      </c:pt>
                      <c:pt idx="5">
                        <c:v>1.5985116279069771</c:v>
                      </c:pt>
                    </c:numCache>
                  </c:numRef>
                </c:val>
                <c:smooth val="0"/>
                <c:extLst xmlns:c15="http://schemas.microsoft.com/office/drawing/2012/chart">
                  <c:ext xmlns:c16="http://schemas.microsoft.com/office/drawing/2014/chart" uri="{C3380CC4-5D6E-409C-BE32-E72D297353CC}">
                    <c16:uniqueId val="{00000003-75C4-4924-B6D8-06AA97A1632E}"/>
                  </c:ext>
                </c:extLst>
              </c15:ser>
            </c15:filteredLineSeries>
            <c15:filteredLineSeries>
              <c15:ser>
                <c:idx val="1"/>
                <c:order val="2"/>
                <c:tx>
                  <c:strRef>
                    <c:extLst xmlns:c15="http://schemas.microsoft.com/office/drawing/2012/chart">
                      <c:ext xmlns:c15="http://schemas.microsoft.com/office/drawing/2012/chart" uri="{02D57815-91ED-43cb-92C2-25804820EDAC}">
                        <c15:formulaRef>
                          <c15:sqref>'ORANGE II (Co=50ppm) ok!'!$A$41</c15:sqref>
                        </c15:formulaRef>
                      </c:ext>
                    </c:extLst>
                    <c:strCache>
                      <c:ptCount val="1"/>
                      <c:pt idx="0">
                        <c:v>B-nZVI</c:v>
                      </c:pt>
                    </c:strCache>
                  </c:strRef>
                </c:tx>
                <c:spPr>
                  <a:ln w="12700">
                    <a:solidFill>
                      <a:sysClr val="windowText" lastClr="000000"/>
                    </a:solidFill>
                  </a:ln>
                </c:spPr>
                <c:marker>
                  <c:spPr>
                    <a:noFill/>
                    <a:ln>
                      <a:solidFill>
                        <a:sysClr val="windowText" lastClr="000000"/>
                      </a:solidFill>
                    </a:ln>
                  </c:spPr>
                </c:marker>
                <c:cat>
                  <c:numRef>
                    <c:extLst xmlns:c15="http://schemas.microsoft.com/office/drawing/2012/chart">
                      <c:ext xmlns:c15="http://schemas.microsoft.com/office/drawing/2012/chart" uri="{02D57815-91ED-43cb-92C2-25804820EDAC}">
                        <c15:formulaRef>
                          <c15:sqref>'ORANGE II (Co=50ppm) ok!'!$B$86:$B$94</c15:sqref>
                        </c15:formulaRef>
                      </c:ext>
                    </c:extLst>
                    <c:numCache>
                      <c:formatCode>General</c:formatCode>
                      <c:ptCount val="6"/>
                      <c:pt idx="0">
                        <c:v>0.05</c:v>
                      </c:pt>
                      <c:pt idx="1">
                        <c:v>0.1</c:v>
                      </c:pt>
                      <c:pt idx="2">
                        <c:v>0.3</c:v>
                      </c:pt>
                      <c:pt idx="3">
                        <c:v>0.5</c:v>
                      </c:pt>
                      <c:pt idx="4">
                        <c:v>0.7</c:v>
                      </c:pt>
                      <c:pt idx="5">
                        <c:v>1</c:v>
                      </c:pt>
                    </c:numCache>
                  </c:numRef>
                </c:cat>
                <c:val>
                  <c:numRef>
                    <c:extLst xmlns:c15="http://schemas.microsoft.com/office/drawing/2012/chart">
                      <c:ext xmlns:c15="http://schemas.microsoft.com/office/drawing/2012/chart" uri="{02D57815-91ED-43cb-92C2-25804820EDAC}">
                        <c15:formulaRef>
                          <c15:sqref>'ORANGE II (Co=50ppm) ok!'!$M$41:$M$49</c15:sqref>
                        </c15:formulaRef>
                      </c:ext>
                    </c:extLst>
                    <c:numCache>
                      <c:formatCode>#,##0.0000</c:formatCode>
                      <c:ptCount val="6"/>
                      <c:pt idx="0">
                        <c:v>23.720930232558139</c:v>
                      </c:pt>
                      <c:pt idx="1">
                        <c:v>15.98511627906977</c:v>
                      </c:pt>
                      <c:pt idx="2">
                        <c:v>5.3283720930232574</c:v>
                      </c:pt>
                      <c:pt idx="3">
                        <c:v>3.1970232558139542</c:v>
                      </c:pt>
                      <c:pt idx="4">
                        <c:v>2.2835880398671105</c:v>
                      </c:pt>
                      <c:pt idx="5">
                        <c:v>1.5985116279069771</c:v>
                      </c:pt>
                    </c:numCache>
                  </c:numRef>
                </c:val>
                <c:smooth val="0"/>
                <c:extLst xmlns:c15="http://schemas.microsoft.com/office/drawing/2012/chart">
                  <c:ext xmlns:c16="http://schemas.microsoft.com/office/drawing/2014/chart" uri="{C3380CC4-5D6E-409C-BE32-E72D297353CC}">
                    <c16:uniqueId val="{00000004-75C4-4924-B6D8-06AA97A163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'ORANGE II (Co=50ppm) ok!'!$A$77</c15:sqref>
                        </c15:formulaRef>
                      </c:ext>
                    </c:extLst>
                    <c:strCache>
                      <c:ptCount val="1"/>
                      <c:pt idx="0">
                        <c:v>Granite</c:v>
                      </c:pt>
                    </c:strCache>
                  </c:strRef>
                </c:tx>
                <c:cat>
                  <c:numRef>
                    <c:extLst xmlns:c15="http://schemas.microsoft.com/office/drawing/2012/chart">
                      <c:ext xmlns:c15="http://schemas.microsoft.com/office/drawing/2012/chart" uri="{02D57815-91ED-43cb-92C2-25804820EDAC}">
                        <c15:formulaRef>
                          <c15:sqref>'ORANGE II (Co=50ppm) ok!'!$B$86:$B$94</c15:sqref>
                        </c15:formulaRef>
                      </c:ext>
                    </c:extLst>
                    <c:numCache>
                      <c:formatCode>General</c:formatCode>
                      <c:ptCount val="6"/>
                      <c:pt idx="0">
                        <c:v>0.05</c:v>
                      </c:pt>
                      <c:pt idx="1">
                        <c:v>0.1</c:v>
                      </c:pt>
                      <c:pt idx="2">
                        <c:v>0.3</c:v>
                      </c:pt>
                      <c:pt idx="3">
                        <c:v>0.5</c:v>
                      </c:pt>
                      <c:pt idx="4">
                        <c:v>0.7</c:v>
                      </c:pt>
                      <c:pt idx="5">
                        <c:v>1</c:v>
                      </c:pt>
                    </c:numCache>
                  </c:numRef>
                </c:cat>
                <c:val>
                  <c:numRef>
                    <c:extLst xmlns:c15="http://schemas.microsoft.com/office/drawing/2012/chart">
                      <c:ext xmlns:c15="http://schemas.microsoft.com/office/drawing/2012/chart" uri="{02D57815-91ED-43cb-92C2-25804820EDAC}">
                        <c15:formulaRef>
                          <c15:sqref>'ORANGE II (Co=50ppm) ok!'!$M$77:$M$85</c15:sqref>
                        </c15:formulaRef>
                      </c:ext>
                    </c:extLst>
                    <c:numCache>
                      <c:formatCode>#,##0.0000</c:formatCode>
                      <c:ptCount val="6"/>
                      <c:pt idx="0">
                        <c:v>5.6930232558139586</c:v>
                      </c:pt>
                      <c:pt idx="1">
                        <c:v>4.2837209302325618</c:v>
                      </c:pt>
                      <c:pt idx="2">
                        <c:v>3.386046511627907</c:v>
                      </c:pt>
                      <c:pt idx="3">
                        <c:v>3.0781395348837211</c:v>
                      </c:pt>
                      <c:pt idx="4">
                        <c:v>2.2306423255813961</c:v>
                      </c:pt>
                      <c:pt idx="5">
                        <c:v>1.5872646279069771</c:v>
                      </c:pt>
                    </c:numCache>
                  </c:numRef>
                </c:val>
                <c:smooth val="0"/>
                <c:extLst xmlns:c15="http://schemas.microsoft.com/office/drawing/2012/chart">
                  <c:ext xmlns:c16="http://schemas.microsoft.com/office/drawing/2014/chart" uri="{C3380CC4-5D6E-409C-BE32-E72D297353CC}">
                    <c16:uniqueId val="{00000005-75C4-4924-B6D8-06AA97A1632E}"/>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'ORANGE II (Co=50ppm) ok!'!$A$86</c15:sqref>
                        </c15:formulaRef>
                      </c:ext>
                    </c:extLst>
                    <c:strCache>
                      <c:ptCount val="1"/>
                      <c:pt idx="0">
                        <c:v>Gr-nZVI</c:v>
                      </c:pt>
                    </c:strCache>
                  </c:strRef>
                </c:tx>
                <c:cat>
                  <c:numRef>
                    <c:extLst xmlns:c15="http://schemas.microsoft.com/office/drawing/2012/chart">
                      <c:ext xmlns:c15="http://schemas.microsoft.com/office/drawing/2012/chart" uri="{02D57815-91ED-43cb-92C2-25804820EDAC}">
                        <c15:formulaRef>
                          <c15:sqref>'ORANGE II (Co=50ppm) ok!'!$B$86:$B$94</c15:sqref>
                        </c15:formulaRef>
                      </c:ext>
                    </c:extLst>
                    <c:numCache>
                      <c:formatCode>General</c:formatCode>
                      <c:ptCount val="6"/>
                      <c:pt idx="0">
                        <c:v>0.05</c:v>
                      </c:pt>
                      <c:pt idx="1">
                        <c:v>0.1</c:v>
                      </c:pt>
                      <c:pt idx="2">
                        <c:v>0.3</c:v>
                      </c:pt>
                      <c:pt idx="3">
                        <c:v>0.5</c:v>
                      </c:pt>
                      <c:pt idx="4">
                        <c:v>0.7</c:v>
                      </c:pt>
                      <c:pt idx="5">
                        <c:v>1</c:v>
                      </c:pt>
                    </c:numCache>
                  </c:numRef>
                </c:cat>
                <c:val>
                  <c:numRef>
                    <c:extLst xmlns:c15="http://schemas.microsoft.com/office/drawing/2012/chart">
                      <c:ext xmlns:c15="http://schemas.microsoft.com/office/drawing/2012/chart" uri="{02D57815-91ED-43cb-92C2-25804820EDAC}">
                        <c15:formulaRef>
                          <c15:sqref>'ORANGE II (Co=50ppm) ok!'!$M$86:$M$94</c15:sqref>
                        </c15:formulaRef>
                      </c:ext>
                    </c:extLst>
                    <c:numCache>
                      <c:formatCode>#,##0.0000</c:formatCode>
                      <c:ptCount val="6"/>
                      <c:pt idx="0">
                        <c:v>22.772093023255813</c:v>
                      </c:pt>
                      <c:pt idx="1">
                        <c:v>15.076326279069768</c:v>
                      </c:pt>
                      <c:pt idx="2">
                        <c:v>5.3283720930232574</c:v>
                      </c:pt>
                      <c:pt idx="3">
                        <c:v>3.1970232558139542</c:v>
                      </c:pt>
                      <c:pt idx="4">
                        <c:v>2.2835880398671105</c:v>
                      </c:pt>
                      <c:pt idx="5">
                        <c:v>1.5985116279069771</c:v>
                      </c:pt>
                    </c:numCache>
                  </c:numRef>
                </c:val>
                <c:smooth val="0"/>
                <c:extLst xmlns:c15="http://schemas.microsoft.com/office/drawing/2012/chart">
                  <c:ext xmlns:c16="http://schemas.microsoft.com/office/drawing/2014/chart" uri="{C3380CC4-5D6E-409C-BE32-E72D297353CC}">
                    <c16:uniqueId val="{00000006-75C4-4924-B6D8-06AA97A1632E}"/>
                  </c:ext>
                </c:extLst>
              </c15:ser>
            </c15:filteredLineSeries>
          </c:ext>
        </c:extLst>
      </c:lineChart>
      <c:catAx>
        <c:axId val="184733056"/>
        <c:scaling>
          <c:orientation val="minMax"/>
        </c:scaling>
        <c:delete val="0"/>
        <c:axPos val="b"/>
        <c:title>
          <c:tx>
            <c:rich>
              <a:bodyPr/>
              <a:lstStyle/>
              <a:p>
                <a:pPr>
                  <a:defRPr/>
                </a:pPr>
                <a:r>
                  <a:rPr lang="en-US"/>
                  <a:t>Dose (g)</a:t>
                </a:r>
              </a:p>
            </c:rich>
          </c:tx>
          <c:layout>
            <c:manualLayout>
              <c:xMode val="edge"/>
              <c:yMode val="edge"/>
              <c:x val="0.42973106079164336"/>
              <c:y val="0.92028804318786017"/>
            </c:manualLayout>
          </c:layout>
          <c:overlay val="0"/>
        </c:title>
        <c:numFmt formatCode="General" sourceLinked="1"/>
        <c:majorTickMark val="none"/>
        <c:minorTickMark val="none"/>
        <c:tickLblPos val="nextTo"/>
        <c:crossAx val="216348544"/>
        <c:crossesAt val="0"/>
        <c:auto val="1"/>
        <c:lblAlgn val="ctr"/>
        <c:lblOffset val="100"/>
        <c:noMultiLvlLbl val="0"/>
      </c:catAx>
      <c:valAx>
        <c:axId val="216348544"/>
        <c:scaling>
          <c:orientation val="minMax"/>
        </c:scaling>
        <c:delete val="0"/>
        <c:axPos val="l"/>
        <c:title>
          <c:tx>
            <c:rich>
              <a:bodyPr/>
              <a:lstStyle/>
              <a:p>
                <a:pPr>
                  <a:defRPr/>
                </a:pPr>
                <a:r>
                  <a:rPr lang="en-US"/>
                  <a:t>Concentration</a:t>
                </a:r>
                <a:r>
                  <a:rPr lang="en-US" baseline="0"/>
                  <a:t> of Acid Orange II absorbed by particles, qe (mg/g)</a:t>
                </a:r>
                <a:endParaRPr lang="en-US"/>
              </a:p>
            </c:rich>
          </c:tx>
          <c:layout>
            <c:manualLayout>
              <c:xMode val="edge"/>
              <c:yMode val="edge"/>
              <c:x val="1.2059519176072574E-3"/>
              <c:y val="9.3128131710808873E-2"/>
            </c:manualLayout>
          </c:layout>
          <c:overlay val="0"/>
        </c:title>
        <c:numFmt formatCode="#,##0" sourceLinked="0"/>
        <c:majorTickMark val="none"/>
        <c:minorTickMark val="none"/>
        <c:tickLblPos val="nextTo"/>
        <c:spPr>
          <a:ln/>
        </c:spPr>
        <c:crossAx val="184733056"/>
        <c:crosses val="autoZero"/>
        <c:crossBetween val="between"/>
      </c:valAx>
      <c:spPr>
        <a:noFill/>
        <a:ln w="12700">
          <a:solidFill>
            <a:schemeClr val="tx1"/>
          </a:solidFill>
        </a:ln>
      </c:spPr>
    </c:plotArea>
    <c:legend>
      <c:legendPos val="r"/>
      <c:layout>
        <c:manualLayout>
          <c:xMode val="edge"/>
          <c:yMode val="edge"/>
          <c:x val="0.54845623384529407"/>
          <c:y val="0.23999416739574217"/>
          <c:w val="0.39591092780069154"/>
          <c:h val="0.28564515955893421"/>
        </c:manualLayout>
      </c:layout>
      <c:overlay val="0"/>
    </c:legend>
    <c:plotVisOnly val="1"/>
    <c:dispBlanksAs val="gap"/>
    <c:showDLblsOverMax val="0"/>
  </c:chart>
  <c:spPr>
    <a:ln>
      <a:noFill/>
    </a:ln>
  </c:spPr>
  <c:txPr>
    <a:bodyPr/>
    <a:lstStyle/>
    <a:p>
      <a:pPr>
        <a:defRPr sz="900" b="0">
          <a:latin typeface="Arial" panose="020B0604020202020204" pitchFamily="34" charset="0"/>
          <a:cs typeface="Arial" panose="020B0604020202020204" pitchFamily="34"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17793294706086"/>
          <c:y val="3.3838648956759192E-2"/>
          <c:w val="0.71993146139751396"/>
          <c:h val="0.79419655876348794"/>
        </c:manualLayout>
      </c:layout>
      <c:lineChart>
        <c:grouping val="standard"/>
        <c:varyColors val="0"/>
        <c:ser>
          <c:idx val="0"/>
          <c:order val="0"/>
          <c:tx>
            <c:strRef>
              <c:f>'ORANGE II'!$A$70</c:f>
              <c:strCache>
                <c:ptCount val="1"/>
                <c:pt idx="0">
                  <c:v>Activated Carbon</c:v>
                </c:pt>
              </c:strCache>
              <c:extLst xmlns:c15="http://schemas.microsoft.com/office/drawing/2012/chart" xmlns:c16r2="http://schemas.microsoft.com/office/drawing/2015/06/chart"/>
            </c:strRef>
          </c:tx>
          <c:spPr>
            <a:ln w="12700">
              <a:solidFill>
                <a:sysClr val="windowText" lastClr="000000"/>
              </a:solidFill>
            </a:ln>
          </c:spPr>
          <c:marker>
            <c:symbol val="diamond"/>
            <c:size val="7"/>
            <c:spPr>
              <a:solidFill>
                <a:sysClr val="window" lastClr="FFFFFF"/>
              </a:solidFill>
              <a:ln>
                <a:solidFill>
                  <a:sysClr val="windowText" lastClr="000000"/>
                </a:solidFill>
              </a:ln>
            </c:spPr>
          </c:marker>
          <c:cat>
            <c:numRef>
              <c:f>'ORANGE II'!$B$61:$B$69</c:f>
              <c:numCache>
                <c:formatCode>General</c:formatCode>
                <c:ptCount val="8"/>
                <c:pt idx="0">
                  <c:v>5</c:v>
                </c:pt>
                <c:pt idx="1">
                  <c:v>40</c:v>
                </c:pt>
                <c:pt idx="2">
                  <c:v>60</c:v>
                </c:pt>
                <c:pt idx="3">
                  <c:v>80</c:v>
                </c:pt>
                <c:pt idx="4">
                  <c:v>100</c:v>
                </c:pt>
                <c:pt idx="5">
                  <c:v>150</c:v>
                </c:pt>
                <c:pt idx="6">
                  <c:v>200</c:v>
                </c:pt>
                <c:pt idx="7">
                  <c:v>250</c:v>
                </c:pt>
              </c:numCache>
            </c:numRef>
          </c:cat>
          <c:val>
            <c:numRef>
              <c:f>'ORANGE II'!$M$70:$M$78</c:f>
              <c:numCache>
                <c:formatCode>#,##0.0000</c:formatCode>
                <c:ptCount val="8"/>
                <c:pt idx="0">
                  <c:v>1.8202721088435376</c:v>
                </c:pt>
                <c:pt idx="1">
                  <c:v>5.6299319727891159</c:v>
                </c:pt>
                <c:pt idx="2">
                  <c:v>7.7999999999999989</c:v>
                </c:pt>
                <c:pt idx="3">
                  <c:v>8.5857142857142872</c:v>
                </c:pt>
                <c:pt idx="4">
                  <c:v>8.7421768707483007</c:v>
                </c:pt>
                <c:pt idx="5">
                  <c:v>8.912244897959182</c:v>
                </c:pt>
                <c:pt idx="6">
                  <c:v>8.912244897959182</c:v>
                </c:pt>
                <c:pt idx="7">
                  <c:v>8.912244897959182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0-EDCB-4AA1-BA69-40CA03566DB2}"/>
            </c:ext>
          </c:extLst>
        </c:ser>
        <c:ser>
          <c:idx val="1"/>
          <c:order val="1"/>
          <c:tx>
            <c:strRef>
              <c:f>'ORANGE II'!$A$79</c:f>
              <c:strCache>
                <c:ptCount val="1"/>
                <c:pt idx="0">
                  <c:v>AC-nZVI</c:v>
                </c:pt>
              </c:strCache>
            </c:strRef>
          </c:tx>
          <c:spPr>
            <a:ln w="0">
              <a:solidFill>
                <a:sysClr val="windowText" lastClr="000000"/>
              </a:solidFill>
            </a:ln>
          </c:spPr>
          <c:marker>
            <c:symbol val="square"/>
            <c:size val="7"/>
            <c:spPr>
              <a:noFill/>
              <a:ln>
                <a:solidFill>
                  <a:sysClr val="windowText" lastClr="000000"/>
                </a:solidFill>
              </a:ln>
            </c:spPr>
          </c:marker>
          <c:cat>
            <c:numRef>
              <c:f>'ORANGE II'!$B$61:$B$69</c:f>
              <c:numCache>
                <c:formatCode>General</c:formatCode>
                <c:ptCount val="8"/>
                <c:pt idx="0">
                  <c:v>5</c:v>
                </c:pt>
                <c:pt idx="1">
                  <c:v>40</c:v>
                </c:pt>
                <c:pt idx="2">
                  <c:v>60</c:v>
                </c:pt>
                <c:pt idx="3">
                  <c:v>80</c:v>
                </c:pt>
                <c:pt idx="4">
                  <c:v>100</c:v>
                </c:pt>
                <c:pt idx="5">
                  <c:v>150</c:v>
                </c:pt>
                <c:pt idx="6">
                  <c:v>200</c:v>
                </c:pt>
                <c:pt idx="7">
                  <c:v>250</c:v>
                </c:pt>
              </c:numCache>
            </c:numRef>
          </c:cat>
          <c:val>
            <c:numRef>
              <c:f>'ORANGE II'!$M$79:$M$87</c:f>
              <c:numCache>
                <c:formatCode>#,##0.0000</c:formatCode>
                <c:ptCount val="8"/>
                <c:pt idx="0">
                  <c:v>4.4053061224489793</c:v>
                </c:pt>
                <c:pt idx="1">
                  <c:v>5.6299319727891159</c:v>
                </c:pt>
                <c:pt idx="2">
                  <c:v>7.7999999999999989</c:v>
                </c:pt>
                <c:pt idx="3">
                  <c:v>8.5857142857142872</c:v>
                </c:pt>
                <c:pt idx="4">
                  <c:v>8.7421768707483007</c:v>
                </c:pt>
                <c:pt idx="5">
                  <c:v>8.912244897959182</c:v>
                </c:pt>
                <c:pt idx="6">
                  <c:v>8.912244897959182</c:v>
                </c:pt>
                <c:pt idx="7">
                  <c:v>8.912244897959182</c:v>
                </c:pt>
              </c:numCache>
            </c:numRef>
          </c:val>
          <c:smooth val="0"/>
          <c:extLst xmlns:c16r2="http://schemas.microsoft.com/office/drawing/2015/06/chart">
            <c:ext xmlns:c16="http://schemas.microsoft.com/office/drawing/2014/chart" uri="{C3380CC4-5D6E-409C-BE32-E72D297353CC}">
              <c16:uniqueId val="{00000001-EDCB-4AA1-BA69-40CA03566DB2}"/>
            </c:ext>
          </c:extLst>
        </c:ser>
        <c:dLbls>
          <c:showLegendKey val="0"/>
          <c:showVal val="0"/>
          <c:showCatName val="0"/>
          <c:showSerName val="0"/>
          <c:showPercent val="0"/>
          <c:showBubbleSize val="0"/>
        </c:dLbls>
        <c:marker val="1"/>
        <c:smooth val="0"/>
        <c:axId val="154745856"/>
        <c:axId val="154752512"/>
        <c:extLst xmlns:c16r2="http://schemas.microsoft.com/office/drawing/2015/06/chart">
          <c:ext xmlns:c15="http://schemas.microsoft.com/office/drawing/2012/chart" uri="{02D57815-91ED-43cb-92C2-25804820EDAC}">
            <c15:filteredLineSeries>
              <c15:ser>
                <c:idx val="2"/>
                <c:order val="0"/>
                <c:tx>
                  <c:strRef>
                    <c:extLst>
                      <c:ext uri="{02D57815-91ED-43cb-92C2-25804820EDAC}">
                        <c15:formulaRef>
                          <c15:sqref>'ORANGE II'!$A$43</c15:sqref>
                        </c15:formulaRef>
                      </c:ext>
                    </c:extLst>
                    <c:strCache>
                      <c:ptCount val="1"/>
                      <c:pt idx="0">
                        <c:v>nZVI</c:v>
                      </c:pt>
                    </c:strCache>
                  </c:strRef>
                </c:tx>
                <c:cat>
                  <c:numRef>
                    <c:extLst>
                      <c:ext uri="{02D57815-91ED-43cb-92C2-25804820EDAC}">
                        <c15:formulaRef>
                          <c15:sqref>'ORANGE II'!$B$61:$B$69</c15:sqref>
                        </c15:formulaRef>
                      </c:ext>
                    </c:extLst>
                    <c:numCache>
                      <c:formatCode>General</c:formatCode>
                      <c:ptCount val="8"/>
                      <c:pt idx="0">
                        <c:v>5</c:v>
                      </c:pt>
                      <c:pt idx="1">
                        <c:v>40</c:v>
                      </c:pt>
                      <c:pt idx="2">
                        <c:v>60</c:v>
                      </c:pt>
                      <c:pt idx="3">
                        <c:v>80</c:v>
                      </c:pt>
                      <c:pt idx="4">
                        <c:v>100</c:v>
                      </c:pt>
                      <c:pt idx="5">
                        <c:v>150</c:v>
                      </c:pt>
                      <c:pt idx="6">
                        <c:v>200</c:v>
                      </c:pt>
                      <c:pt idx="7">
                        <c:v>250</c:v>
                      </c:pt>
                    </c:numCache>
                  </c:numRef>
                </c:cat>
                <c:val>
                  <c:numRef>
                    <c:extLst>
                      <c:ext uri="{02D57815-91ED-43cb-92C2-25804820EDAC}">
                        <c15:formulaRef>
                          <c15:sqref>'ORANGE II'!$M$46:$M$51</c15:sqref>
                        </c15:formulaRef>
                      </c:ext>
                    </c:extLst>
                    <c:numCache>
                      <c:formatCode>#,##0.0000</c:formatCode>
                      <c:ptCount val="5"/>
                      <c:pt idx="0">
                        <c:v>4.5816326530612228</c:v>
                      </c:pt>
                      <c:pt idx="1">
                        <c:v>8.1224489795918373</c:v>
                      </c:pt>
                      <c:pt idx="2">
                        <c:v>6.5646258503401347</c:v>
                      </c:pt>
                      <c:pt idx="3">
                        <c:v>8.912244897959182</c:v>
                      </c:pt>
                      <c:pt idx="4">
                        <c:v>8.912244897959182</c:v>
                      </c:pt>
                    </c:numCache>
                  </c:numRef>
                </c:val>
                <c:smooth val="0"/>
                <c:extLst>
                  <c:ext xmlns:c16="http://schemas.microsoft.com/office/drawing/2014/chart" uri="{C3380CC4-5D6E-409C-BE32-E72D297353CC}">
                    <c16:uniqueId val="{00000002-EDCB-4AA1-BA69-40CA03566DB2}"/>
                  </c:ext>
                </c:extLst>
              </c15:ser>
            </c15:filteredLineSeries>
          </c:ext>
        </c:extLst>
      </c:lineChart>
      <c:catAx>
        <c:axId val="154745856"/>
        <c:scaling>
          <c:orientation val="minMax"/>
        </c:scaling>
        <c:delete val="0"/>
        <c:axPos val="b"/>
        <c:title>
          <c:tx>
            <c:rich>
              <a:bodyPr/>
              <a:lstStyle/>
              <a:p>
                <a:pPr>
                  <a:defRPr/>
                </a:pPr>
                <a:r>
                  <a:rPr lang="en-US"/>
                  <a:t>Initial Concentration (Co) </a:t>
                </a:r>
              </a:p>
            </c:rich>
          </c:tx>
          <c:layout>
            <c:manualLayout>
              <c:xMode val="edge"/>
              <c:yMode val="edge"/>
              <c:x val="0.33799306046496508"/>
              <c:y val="0.91323677132950976"/>
            </c:manualLayout>
          </c:layout>
          <c:overlay val="0"/>
        </c:title>
        <c:numFmt formatCode="General" sourceLinked="1"/>
        <c:majorTickMark val="none"/>
        <c:minorTickMark val="none"/>
        <c:tickLblPos val="nextTo"/>
        <c:crossAx val="154752512"/>
        <c:crosses val="autoZero"/>
        <c:auto val="1"/>
        <c:lblAlgn val="ctr"/>
        <c:lblOffset val="100"/>
        <c:noMultiLvlLbl val="0"/>
      </c:catAx>
      <c:valAx>
        <c:axId val="154752512"/>
        <c:scaling>
          <c:orientation val="minMax"/>
        </c:scaling>
        <c:delete val="0"/>
        <c:axPos val="l"/>
        <c:title>
          <c:tx>
            <c:rich>
              <a:bodyPr/>
              <a:lstStyle/>
              <a:p>
                <a:pPr>
                  <a:defRPr/>
                </a:pPr>
                <a:r>
                  <a:rPr lang="en-US"/>
                  <a:t>Concentration of Acid Orange II absorbed by particles, qe (mg/g)</a:t>
                </a:r>
              </a:p>
            </c:rich>
          </c:tx>
          <c:layout>
            <c:manualLayout>
              <c:xMode val="edge"/>
              <c:yMode val="edge"/>
              <c:x val="4.3484375773782998E-3"/>
              <c:y val="8.7556934171107395E-2"/>
            </c:manualLayout>
          </c:layout>
          <c:overlay val="0"/>
        </c:title>
        <c:numFmt formatCode="#,##0" sourceLinked="0"/>
        <c:majorTickMark val="none"/>
        <c:minorTickMark val="none"/>
        <c:tickLblPos val="nextTo"/>
        <c:spPr>
          <a:ln/>
        </c:spPr>
        <c:crossAx val="154745856"/>
        <c:crosses val="autoZero"/>
        <c:crossBetween val="between"/>
      </c:valAx>
      <c:spPr>
        <a:solidFill>
          <a:sysClr val="window" lastClr="FFFFFF"/>
        </a:solidFill>
        <a:ln w="12700">
          <a:solidFill>
            <a:sysClr val="windowText" lastClr="000000"/>
          </a:solidFill>
        </a:ln>
      </c:spPr>
    </c:plotArea>
    <c:legend>
      <c:legendPos val="r"/>
      <c:layout>
        <c:manualLayout>
          <c:xMode val="edge"/>
          <c:yMode val="edge"/>
          <c:x val="0.60002337443668596"/>
          <c:y val="0.51790556483469863"/>
          <c:w val="0.32063290384156529"/>
          <c:h val="0.25444230888461777"/>
        </c:manualLayout>
      </c:layout>
      <c:overlay val="0"/>
    </c:legend>
    <c:plotVisOnly val="1"/>
    <c:dispBlanksAs val="gap"/>
    <c:showDLblsOverMax val="0"/>
  </c:chart>
  <c:spPr>
    <a:solidFill>
      <a:sysClr val="window" lastClr="FFFFFF"/>
    </a:solidFill>
    <a:ln>
      <a:noFill/>
    </a:ln>
  </c:spPr>
  <c:txPr>
    <a:bodyPr/>
    <a:lstStyle/>
    <a:p>
      <a:pPr>
        <a:defRPr sz="900" b="0">
          <a:latin typeface="Arial" panose="020B0604020202020204" pitchFamily="34" charset="0"/>
          <a:cs typeface="Arial" panose="020B060402020202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56862976397614"/>
          <c:y val="8.2050872673173916E-2"/>
          <c:w val="0.72582500221180224"/>
          <c:h val="0.73140147804105127"/>
        </c:manualLayout>
      </c:layout>
      <c:lineChart>
        <c:grouping val="standard"/>
        <c:varyColors val="0"/>
        <c:ser>
          <c:idx val="10"/>
          <c:order val="0"/>
          <c:tx>
            <c:strRef>
              <c:f>'[BATCH TEST ON DYE (Kinetic Effect).xlsx]ORANGE II (Co=50ppm)'!$A$62</c:f>
              <c:strCache>
                <c:ptCount val="1"/>
                <c:pt idx="0">
                  <c:v>Activated Carbon</c:v>
                </c:pt>
              </c:strCache>
              <c:extLst xmlns:c15="http://schemas.microsoft.com/office/drawing/2012/chart" xmlns:c16r2="http://schemas.microsoft.com/office/drawing/2015/06/chart"/>
            </c:strRef>
          </c:tx>
          <c:spPr>
            <a:ln w="12700">
              <a:solidFill>
                <a:schemeClr val="tx1"/>
              </a:solidFill>
            </a:ln>
          </c:spPr>
          <c:marker>
            <c:symbol val="square"/>
            <c:size val="7"/>
            <c:spPr>
              <a:noFill/>
              <a:ln>
                <a:solidFill>
                  <a:schemeClr val="tx1"/>
                </a:solidFill>
              </a:ln>
            </c:spPr>
          </c:marker>
          <c:cat>
            <c:numRef>
              <c:f>'[BATCH TEST ON DYE (Kinetic Effect).xlsx]ORANGE II (Co=50ppm)'!$B$92:$B$101</c:f>
              <c:numCache>
                <c:formatCode>General</c:formatCode>
                <c:ptCount val="10"/>
                <c:pt idx="0">
                  <c:v>0</c:v>
                </c:pt>
                <c:pt idx="1">
                  <c:v>5</c:v>
                </c:pt>
                <c:pt idx="2">
                  <c:v>10</c:v>
                </c:pt>
                <c:pt idx="3">
                  <c:v>20</c:v>
                </c:pt>
                <c:pt idx="4">
                  <c:v>30</c:v>
                </c:pt>
                <c:pt idx="5">
                  <c:v>45</c:v>
                </c:pt>
                <c:pt idx="6">
                  <c:v>60</c:v>
                </c:pt>
                <c:pt idx="7">
                  <c:v>120</c:v>
                </c:pt>
                <c:pt idx="8">
                  <c:v>180</c:v>
                </c:pt>
                <c:pt idx="9">
                  <c:v>360</c:v>
                </c:pt>
              </c:numCache>
              <c:extLst xmlns:c15="http://schemas.microsoft.com/office/drawing/2012/chart" xmlns:c16r2="http://schemas.microsoft.com/office/drawing/2015/06/chart"/>
            </c:numRef>
          </c:cat>
          <c:val>
            <c:numRef>
              <c:f>'[BATCH TEST ON DYE (Kinetic Effect).xlsx]ORANGE II (Co=50ppm)'!$M$63:$M$71</c:f>
              <c:numCache>
                <c:formatCode>#,##0.0000</c:formatCode>
                <c:ptCount val="9"/>
                <c:pt idx="0">
                  <c:v>7</c:v>
                </c:pt>
                <c:pt idx="1">
                  <c:v>7</c:v>
                </c:pt>
                <c:pt idx="2">
                  <c:v>7</c:v>
                </c:pt>
                <c:pt idx="3">
                  <c:v>7</c:v>
                </c:pt>
                <c:pt idx="4">
                  <c:v>7</c:v>
                </c:pt>
                <c:pt idx="5">
                  <c:v>7</c:v>
                </c:pt>
                <c:pt idx="6">
                  <c:v>7</c:v>
                </c:pt>
                <c:pt idx="7">
                  <c:v>7</c:v>
                </c:pt>
                <c:pt idx="8">
                  <c:v>7</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0-6247-41A4-818D-4F75FB88D4A9}"/>
            </c:ext>
          </c:extLst>
        </c:ser>
        <c:ser>
          <c:idx val="11"/>
          <c:order val="1"/>
          <c:tx>
            <c:strRef>
              <c:f>'[BATCH TEST ON DYE (Kinetic Effect).xlsx]ORANGE II (Co=50ppm)'!$A$72</c:f>
              <c:strCache>
                <c:ptCount val="1"/>
                <c:pt idx="0">
                  <c:v>AC-nZVI</c:v>
                </c:pt>
              </c:strCache>
              <c:extLst xmlns:c15="http://schemas.microsoft.com/office/drawing/2012/chart" xmlns:c16r2="http://schemas.microsoft.com/office/drawing/2015/06/chart"/>
            </c:strRef>
          </c:tx>
          <c:spPr>
            <a:ln w="12700">
              <a:solidFill>
                <a:schemeClr val="tx1"/>
              </a:solidFill>
            </a:ln>
          </c:spPr>
          <c:marker>
            <c:symbol val="x"/>
            <c:size val="7"/>
            <c:spPr>
              <a:noFill/>
              <a:ln>
                <a:solidFill>
                  <a:schemeClr val="tx1"/>
                </a:solidFill>
              </a:ln>
            </c:spPr>
          </c:marker>
          <c:cat>
            <c:numRef>
              <c:f>'[BATCH TEST ON DYE (Kinetic Effect).xlsx]ORANGE II (Co=50ppm)'!$B$92:$B$101</c:f>
              <c:numCache>
                <c:formatCode>General</c:formatCode>
                <c:ptCount val="10"/>
                <c:pt idx="0">
                  <c:v>0</c:v>
                </c:pt>
                <c:pt idx="1">
                  <c:v>5</c:v>
                </c:pt>
                <c:pt idx="2">
                  <c:v>10</c:v>
                </c:pt>
                <c:pt idx="3">
                  <c:v>20</c:v>
                </c:pt>
                <c:pt idx="4">
                  <c:v>30</c:v>
                </c:pt>
                <c:pt idx="5">
                  <c:v>45</c:v>
                </c:pt>
                <c:pt idx="6">
                  <c:v>60</c:v>
                </c:pt>
                <c:pt idx="7">
                  <c:v>120</c:v>
                </c:pt>
                <c:pt idx="8">
                  <c:v>180</c:v>
                </c:pt>
                <c:pt idx="9">
                  <c:v>360</c:v>
                </c:pt>
              </c:numCache>
              <c:extLst xmlns:c15="http://schemas.microsoft.com/office/drawing/2012/chart" xmlns:c16r2="http://schemas.microsoft.com/office/drawing/2015/06/chart"/>
            </c:numRef>
          </c:cat>
          <c:val>
            <c:numRef>
              <c:f>'[BATCH TEST ON DYE (Kinetic Effect).xlsx]ORANGE II (Co=50ppm)'!$M$73:$M$81</c:f>
              <c:numCache>
                <c:formatCode>#,##0.0000</c:formatCode>
                <c:ptCount val="9"/>
                <c:pt idx="0">
                  <c:v>7</c:v>
                </c:pt>
                <c:pt idx="1">
                  <c:v>7</c:v>
                </c:pt>
                <c:pt idx="2">
                  <c:v>7</c:v>
                </c:pt>
                <c:pt idx="3">
                  <c:v>7</c:v>
                </c:pt>
                <c:pt idx="4">
                  <c:v>7</c:v>
                </c:pt>
                <c:pt idx="5">
                  <c:v>7</c:v>
                </c:pt>
                <c:pt idx="6">
                  <c:v>7</c:v>
                </c:pt>
                <c:pt idx="7">
                  <c:v>7</c:v>
                </c:pt>
                <c:pt idx="8">
                  <c:v>7</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1-6247-41A4-818D-4F75FB88D4A9}"/>
            </c:ext>
          </c:extLst>
        </c:ser>
        <c:dLbls>
          <c:showLegendKey val="0"/>
          <c:showVal val="0"/>
          <c:showCatName val="0"/>
          <c:showSerName val="0"/>
          <c:showPercent val="0"/>
          <c:showBubbleSize val="0"/>
        </c:dLbls>
        <c:marker val="1"/>
        <c:smooth val="0"/>
        <c:axId val="155257472"/>
        <c:axId val="155260032"/>
        <c:extLst xmlns:c16r2="http://schemas.microsoft.com/office/drawing/2015/06/chart">
          <c:ext xmlns:c15="http://schemas.microsoft.com/office/drawing/2012/chart" uri="{02D57815-91ED-43cb-92C2-25804820EDAC}">
            <c15:filteredLineSeries>
              <c15:ser>
                <c:idx val="7"/>
                <c:order val="0"/>
                <c:tx>
                  <c:strRef>
                    <c:extLst>
                      <c:ext uri="{02D57815-91ED-43cb-92C2-25804820EDAC}">
                        <c15:formulaRef>
                          <c15:sqref>'[BATCH TEST ON DYE (Kinetic Effect).xlsx]ORANGE II (Co=50ppm)'!$A$32</c15:sqref>
                        </c15:formulaRef>
                      </c:ext>
                    </c:extLst>
                    <c:strCache>
                      <c:ptCount val="1"/>
                      <c:pt idx="0">
                        <c:v>nZVI</c:v>
                      </c:pt>
                    </c:strCache>
                  </c:strRef>
                </c:tx>
                <c:cat>
                  <c:numRef>
                    <c:extLst>
                      <c:ex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c:ext uri="{02D57815-91ED-43cb-92C2-25804820EDAC}">
                        <c15:formulaRef>
                          <c15:sqref>'[BATCH TEST ON DYE (Kinetic Effect).xlsx]ORANGE II (Co=50ppm)'!$M$32:$M$41</c15:sqref>
                        </c15:formulaRef>
                      </c:ext>
                    </c:extLst>
                    <c:numCache>
                      <c:formatCode>#,##0.0000</c:formatCode>
                      <c:ptCount val="10"/>
                      <c:pt idx="0" formatCode="General">
                        <c:v>0</c:v>
                      </c:pt>
                      <c:pt idx="1">
                        <c:v>6.8607000000000005</c:v>
                      </c:pt>
                      <c:pt idx="2">
                        <c:v>6.8617000000000008</c:v>
                      </c:pt>
                      <c:pt idx="3">
                        <c:v>6.8307000000000002</c:v>
                      </c:pt>
                      <c:pt idx="4">
                        <c:v>6.9181395348837205</c:v>
                      </c:pt>
                      <c:pt idx="5">
                        <c:v>6.960160000000001</c:v>
                      </c:pt>
                      <c:pt idx="6">
                        <c:v>6.9374700000000011</c:v>
                      </c:pt>
                      <c:pt idx="7">
                        <c:v>6.9162700000000008</c:v>
                      </c:pt>
                      <c:pt idx="8">
                        <c:v>6.9127000000000001</c:v>
                      </c:pt>
                      <c:pt idx="9">
                        <c:v>6.9110000000000005</c:v>
                      </c:pt>
                    </c:numCache>
                  </c:numRef>
                </c:val>
                <c:smooth val="0"/>
                <c:extLst>
                  <c:ext xmlns:c16="http://schemas.microsoft.com/office/drawing/2014/chart" uri="{C3380CC4-5D6E-409C-BE32-E72D297353CC}">
                    <c16:uniqueId val="{00000002-6247-41A4-818D-4F75FB88D4A9}"/>
                  </c:ext>
                </c:extLst>
              </c15:ser>
            </c15:filteredLineSeries>
            <c15:filteredLineSeries>
              <c15:ser>
                <c:idx val="8"/>
                <c:order val="1"/>
                <c:tx>
                  <c:strRef>
                    <c:extLst xmlns:c15="http://schemas.microsoft.com/office/drawing/2012/chart">
                      <c:ext xmlns:c15="http://schemas.microsoft.com/office/drawing/2012/chart" uri="{02D57815-91ED-43cb-92C2-25804820EDAC}">
                        <c15:formulaRef>
                          <c15:sqref>'[BATCH TEST ON DYE (Kinetic Effect).xlsx]ORANGE II (Co=50ppm)'!$A$42</c15:sqref>
                        </c15:formulaRef>
                      </c:ext>
                    </c:extLst>
                    <c:strCache>
                      <c:ptCount val="1"/>
                      <c:pt idx="0">
                        <c:v>Bentonite</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(Co=50ppm)'!$M$42:$M$51</c15:sqref>
                        </c15:formulaRef>
                      </c:ext>
                    </c:extLst>
                    <c:numCache>
                      <c:formatCode>#,##0.0000</c:formatCode>
                      <c:ptCount val="10"/>
                      <c:pt idx="0" formatCode="General">
                        <c:v>0</c:v>
                      </c:pt>
                      <c:pt idx="1">
                        <c:v>0.32279069767441942</c:v>
                      </c:pt>
                      <c:pt idx="2">
                        <c:v>0.30769999999999986</c:v>
                      </c:pt>
                      <c:pt idx="3">
                        <c:v>0.21116279069767502</c:v>
                      </c:pt>
                      <c:pt idx="4">
                        <c:v>9.0232558139534555E-2</c:v>
                      </c:pt>
                      <c:pt idx="5">
                        <c:v>9.0232558139534555E-2</c:v>
                      </c:pt>
                      <c:pt idx="6">
                        <c:v>0.21116279069767502</c:v>
                      </c:pt>
                      <c:pt idx="7">
                        <c:v>9.0232558139534555E-2</c:v>
                      </c:pt>
                      <c:pt idx="8">
                        <c:v>0.21116279069767502</c:v>
                      </c:pt>
                      <c:pt idx="9">
                        <c:v>0.49069999999999969</c:v>
                      </c:pt>
                    </c:numCache>
                  </c:numRef>
                </c:val>
                <c:smooth val="0"/>
                <c:extLst xmlns:c15="http://schemas.microsoft.com/office/drawing/2012/chart">
                  <c:ext xmlns:c16="http://schemas.microsoft.com/office/drawing/2014/chart" uri="{C3380CC4-5D6E-409C-BE32-E72D297353CC}">
                    <c16:uniqueId val="{00000003-6247-41A4-818D-4F75FB88D4A9}"/>
                  </c:ext>
                </c:extLst>
              </c15:ser>
            </c15:filteredLineSeries>
            <c15:filteredLineSeries>
              <c15:ser>
                <c:idx val="9"/>
                <c:order val="2"/>
                <c:tx>
                  <c:strRef>
                    <c:extLst xmlns:c15="http://schemas.microsoft.com/office/drawing/2012/chart">
                      <c:ext xmlns:c15="http://schemas.microsoft.com/office/drawing/2012/chart" uri="{02D57815-91ED-43cb-92C2-25804820EDAC}">
                        <c15:formulaRef>
                          <c15:sqref>'[BATCH TEST ON DYE (Kinetic Effect).xlsx]ORANGE II (Co=50ppm)'!$A$52</c15:sqref>
                        </c15:formulaRef>
                      </c:ext>
                    </c:extLst>
                    <c:strCache>
                      <c:ptCount val="1"/>
                      <c:pt idx="0">
                        <c:v>B-nZVI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(Co=50ppm)'!$M$52:$M$61</c15:sqref>
                        </c15:formulaRef>
                      </c:ext>
                    </c:extLst>
                    <c:numCache>
                      <c:formatCode>#,##0.0000</c:formatCode>
                      <c:ptCount val="10"/>
                      <c:pt idx="0" formatCode="General">
                        <c:v>0</c:v>
                      </c:pt>
                      <c:pt idx="1">
                        <c:v>6.7261600000000001</c:v>
                      </c:pt>
                      <c:pt idx="2">
                        <c:v>6.5786046511627907</c:v>
                      </c:pt>
                      <c:pt idx="3">
                        <c:v>6.6436200000000003</c:v>
                      </c:pt>
                      <c:pt idx="4">
                        <c:v>6.6702699999999995</c:v>
                      </c:pt>
                      <c:pt idx="5">
                        <c:v>6.6172700000000013</c:v>
                      </c:pt>
                      <c:pt idx="6">
                        <c:v>6.6120999999999999</c:v>
                      </c:pt>
                      <c:pt idx="7">
                        <c:v>6.6711</c:v>
                      </c:pt>
                      <c:pt idx="8">
                        <c:v>6.3553488372093012</c:v>
                      </c:pt>
                      <c:pt idx="9">
                        <c:v>6.5711700000000013</c:v>
                      </c:pt>
                    </c:numCache>
                  </c:numRef>
                </c:val>
                <c:smooth val="0"/>
                <c:extLst xmlns:c15="http://schemas.microsoft.com/office/drawing/2012/chart">
                  <c:ext xmlns:c16="http://schemas.microsoft.com/office/drawing/2014/chart" uri="{C3380CC4-5D6E-409C-BE32-E72D297353CC}">
                    <c16:uniqueId val="{00000004-6247-41A4-818D-4F75FB88D4A9}"/>
                  </c:ext>
                </c:extLst>
              </c15:ser>
            </c15:filteredLineSeries>
            <c15:filteredLineSeries>
              <c15:ser>
                <c:idx val="12"/>
                <c:order val="5"/>
                <c:tx>
                  <c:strRef>
                    <c:extLst xmlns:c15="http://schemas.microsoft.com/office/drawing/2012/chart">
                      <c:ext xmlns:c15="http://schemas.microsoft.com/office/drawing/2012/chart" uri="{02D57815-91ED-43cb-92C2-25804820EDAC}">
                        <c15:formulaRef>
                          <c15:sqref>'[BATCH TEST ON DYE (Kinetic Effect).xlsx]ORANGE II (Co=50ppm)'!$A$82</c15:sqref>
                        </c15:formulaRef>
                      </c:ext>
                    </c:extLst>
                    <c:strCache>
                      <c:ptCount val="1"/>
                      <c:pt idx="0">
                        <c:v>Granite</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(Co=50ppm)'!$M$83:$M$91</c15:sqref>
                        </c15:formulaRef>
                      </c:ext>
                    </c:extLst>
                    <c:numCache>
                      <c:formatCode>#,##0.0000</c:formatCode>
                      <c:ptCount val="9"/>
                      <c:pt idx="0">
                        <c:v>3.8707000000000003</c:v>
                      </c:pt>
                      <c:pt idx="1">
                        <c:v>3.7925581395348824</c:v>
                      </c:pt>
                      <c:pt idx="2">
                        <c:v>3.6204651162790693</c:v>
                      </c:pt>
                      <c:pt idx="3">
                        <c:v>3.7739534883720918</c:v>
                      </c:pt>
                      <c:pt idx="4">
                        <c:v>4.0018604651162777</c:v>
                      </c:pt>
                      <c:pt idx="5">
                        <c:v>3.8530232558139534</c:v>
                      </c:pt>
                      <c:pt idx="6">
                        <c:v>3.927441860465116</c:v>
                      </c:pt>
                      <c:pt idx="7">
                        <c:v>3.927441860465116</c:v>
                      </c:pt>
                      <c:pt idx="8">
                        <c:v>4.1274418604651153</c:v>
                      </c:pt>
                    </c:numCache>
                  </c:numRef>
                </c:val>
                <c:smooth val="0"/>
                <c:extLst xmlns:c15="http://schemas.microsoft.com/office/drawing/2012/chart">
                  <c:ext xmlns:c16="http://schemas.microsoft.com/office/drawing/2014/chart" uri="{C3380CC4-5D6E-409C-BE32-E72D297353CC}">
                    <c16:uniqueId val="{00000005-6247-41A4-818D-4F75FB88D4A9}"/>
                  </c:ext>
                </c:extLst>
              </c15:ser>
            </c15:filteredLineSeries>
            <c15:filteredLineSeries>
              <c15:ser>
                <c:idx val="13"/>
                <c:order val="6"/>
                <c:tx>
                  <c:strRef>
                    <c:extLst xmlns:c15="http://schemas.microsoft.com/office/drawing/2012/chart">
                      <c:ext xmlns:c15="http://schemas.microsoft.com/office/drawing/2012/chart" uri="{02D57815-91ED-43cb-92C2-25804820EDAC}">
                        <c15:formulaRef>
                          <c15:sqref>'[BATCH TEST ON DYE (Kinetic Effect).xlsx]ORANGE II (Co=50ppm)'!$A$92</c15:sqref>
                        </c15:formulaRef>
                      </c:ext>
                    </c:extLst>
                    <c:strCache>
                      <c:ptCount val="1"/>
                      <c:pt idx="0">
                        <c:v>Gr-nZVI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(Co=50ppm)'!$M$93:$M$101</c15:sqref>
                        </c15:formulaRef>
                      </c:ext>
                    </c:extLst>
                    <c:numCache>
                      <c:formatCode>#,##0.0000</c:formatCode>
                      <c:ptCount val="9"/>
                      <c:pt idx="0">
                        <c:v>7</c:v>
                      </c:pt>
                      <c:pt idx="1">
                        <c:v>6.9808000000000012</c:v>
                      </c:pt>
                      <c:pt idx="2">
                        <c:v>6.9946200000000012</c:v>
                      </c:pt>
                      <c:pt idx="3">
                        <c:v>6.9813800000000006</c:v>
                      </c:pt>
                      <c:pt idx="4">
                        <c:v>6.9961799999999998</c:v>
                      </c:pt>
                      <c:pt idx="5">
                        <c:v>6.9607200000000011</c:v>
                      </c:pt>
                      <c:pt idx="6">
                        <c:v>6.96</c:v>
                      </c:pt>
                      <c:pt idx="7">
                        <c:v>6.9607700000000001</c:v>
                      </c:pt>
                      <c:pt idx="8">
                        <c:v>6.9617100000000001</c:v>
                      </c:pt>
                    </c:numCache>
                  </c:numRef>
                </c:val>
                <c:smooth val="0"/>
                <c:extLst xmlns:c15="http://schemas.microsoft.com/office/drawing/2012/chart">
                  <c:ext xmlns:c16="http://schemas.microsoft.com/office/drawing/2014/chart" uri="{C3380CC4-5D6E-409C-BE32-E72D297353CC}">
                    <c16:uniqueId val="{00000006-6247-41A4-818D-4F75FB88D4A9}"/>
                  </c:ext>
                </c:extLst>
              </c15:ser>
            </c15:filteredLineSeries>
            <c15:filteredLineSeries>
              <c15:ser>
                <c:idx val="14"/>
                <c:order val="7"/>
                <c:tx>
                  <c:strRef>
                    <c:extLst xmlns:c15="http://schemas.microsoft.com/office/drawing/2012/chart">
                      <c:ext xmlns:c15="http://schemas.microsoft.com/office/drawing/2012/chart" uri="{02D57815-91ED-43cb-92C2-25804820EDAC}">
                        <c15:formulaRef>
                          <c15:sqref>'[BATCH TEST ON DYE (Kinetic Effect).xlsx]ORANGE II (Co=50ppm)'!$A$32</c15:sqref>
                        </c15:formulaRef>
                      </c:ext>
                    </c:extLst>
                    <c:strCache>
                      <c:ptCount val="1"/>
                      <c:pt idx="0">
                        <c:v>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(Co=50ppm)'!$M$33:$M$41</c15:sqref>
                        </c15:formulaRef>
                      </c:ext>
                    </c:extLst>
                    <c:numCache>
                      <c:formatCode>#,##0.0000</c:formatCode>
                      <c:ptCount val="9"/>
                      <c:pt idx="0">
                        <c:v>6.8607000000000005</c:v>
                      </c:pt>
                      <c:pt idx="1">
                        <c:v>6.8617000000000008</c:v>
                      </c:pt>
                      <c:pt idx="2">
                        <c:v>6.8307000000000002</c:v>
                      </c:pt>
                      <c:pt idx="3">
                        <c:v>6.9181395348837205</c:v>
                      </c:pt>
                      <c:pt idx="4">
                        <c:v>6.960160000000001</c:v>
                      </c:pt>
                      <c:pt idx="5">
                        <c:v>6.9374700000000011</c:v>
                      </c:pt>
                      <c:pt idx="6">
                        <c:v>6.9162700000000008</c:v>
                      </c:pt>
                      <c:pt idx="7">
                        <c:v>6.9127000000000001</c:v>
                      </c:pt>
                      <c:pt idx="8">
                        <c:v>6.9110000000000005</c:v>
                      </c:pt>
                    </c:numCache>
                  </c:numRef>
                </c:val>
                <c:smooth val="0"/>
                <c:extLst xmlns:c15="http://schemas.microsoft.com/office/drawing/2012/chart">
                  <c:ext xmlns:c16="http://schemas.microsoft.com/office/drawing/2014/chart" uri="{C3380CC4-5D6E-409C-BE32-E72D297353CC}">
                    <c16:uniqueId val="{00000007-6247-41A4-818D-4F75FB88D4A9}"/>
                  </c:ext>
                </c:extLst>
              </c15:ser>
            </c15:filteredLineSeries>
            <c15:filteredLineSeries>
              <c15:ser>
                <c:idx val="15"/>
                <c:order val="8"/>
                <c:tx>
                  <c:strRef>
                    <c:extLst xmlns:c15="http://schemas.microsoft.com/office/drawing/2012/chart">
                      <c:ext xmlns:c15="http://schemas.microsoft.com/office/drawing/2012/chart" uri="{02D57815-91ED-43cb-92C2-25804820EDAC}">
                        <c15:formulaRef>
                          <c15:sqref>'[BATCH TEST ON DYE (Kinetic Effect).xlsx]ORANGE II (Co=50ppm)'!$A$42</c15:sqref>
                        </c15:formulaRef>
                      </c:ext>
                    </c:extLst>
                    <c:strCache>
                      <c:ptCount val="1"/>
                      <c:pt idx="0">
                        <c:v>Bentonite</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(Co=50ppm)'!$M$43:$M$51</c15:sqref>
                        </c15:formulaRef>
                      </c:ext>
                    </c:extLst>
                    <c:numCache>
                      <c:formatCode>#,##0.0000</c:formatCode>
                      <c:ptCount val="9"/>
                      <c:pt idx="0">
                        <c:v>0.32279069767441942</c:v>
                      </c:pt>
                      <c:pt idx="1">
                        <c:v>0.30769999999999986</c:v>
                      </c:pt>
                      <c:pt idx="2">
                        <c:v>0.21116279069767502</c:v>
                      </c:pt>
                      <c:pt idx="3">
                        <c:v>9.0232558139534555E-2</c:v>
                      </c:pt>
                      <c:pt idx="4">
                        <c:v>9.0232558139534555E-2</c:v>
                      </c:pt>
                      <c:pt idx="5">
                        <c:v>0.21116279069767502</c:v>
                      </c:pt>
                      <c:pt idx="6">
                        <c:v>9.0232558139534555E-2</c:v>
                      </c:pt>
                      <c:pt idx="7">
                        <c:v>0.21116279069767502</c:v>
                      </c:pt>
                      <c:pt idx="8">
                        <c:v>0.49069999999999969</c:v>
                      </c:pt>
                    </c:numCache>
                  </c:numRef>
                </c:val>
                <c:smooth val="0"/>
                <c:extLst xmlns:c15="http://schemas.microsoft.com/office/drawing/2012/chart">
                  <c:ext xmlns:c16="http://schemas.microsoft.com/office/drawing/2014/chart" uri="{C3380CC4-5D6E-409C-BE32-E72D297353CC}">
                    <c16:uniqueId val="{00000008-6247-41A4-818D-4F75FB88D4A9}"/>
                  </c:ext>
                </c:extLst>
              </c15:ser>
            </c15:filteredLineSeries>
            <c15:filteredLineSeries>
              <c15:ser>
                <c:idx val="16"/>
                <c:order val="9"/>
                <c:tx>
                  <c:strRef>
                    <c:extLst xmlns:c15="http://schemas.microsoft.com/office/drawing/2012/chart">
                      <c:ext xmlns:c15="http://schemas.microsoft.com/office/drawing/2012/chart" uri="{02D57815-91ED-43cb-92C2-25804820EDAC}">
                        <c15:formulaRef>
                          <c15:sqref>'[BATCH TEST ON DYE (Kinetic Effect).xlsx]ORANGE II (Co=50ppm)'!$A$52</c15:sqref>
                        </c15:formulaRef>
                      </c:ext>
                    </c:extLst>
                    <c:strCache>
                      <c:ptCount val="1"/>
                      <c:pt idx="0">
                        <c:v>B-nZVI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(Co=50ppm)'!$M$53:$M$61</c15:sqref>
                        </c15:formulaRef>
                      </c:ext>
                    </c:extLst>
                    <c:numCache>
                      <c:formatCode>#,##0.0000</c:formatCode>
                      <c:ptCount val="9"/>
                      <c:pt idx="0">
                        <c:v>6.7261600000000001</c:v>
                      </c:pt>
                      <c:pt idx="1">
                        <c:v>6.5786046511627907</c:v>
                      </c:pt>
                      <c:pt idx="2">
                        <c:v>6.6436200000000003</c:v>
                      </c:pt>
                      <c:pt idx="3">
                        <c:v>6.6702699999999995</c:v>
                      </c:pt>
                      <c:pt idx="4">
                        <c:v>6.6172700000000013</c:v>
                      </c:pt>
                      <c:pt idx="5">
                        <c:v>6.6120999999999999</c:v>
                      </c:pt>
                      <c:pt idx="6">
                        <c:v>6.6711</c:v>
                      </c:pt>
                      <c:pt idx="7">
                        <c:v>6.3553488372093012</c:v>
                      </c:pt>
                      <c:pt idx="8">
                        <c:v>6.5711700000000013</c:v>
                      </c:pt>
                    </c:numCache>
                  </c:numRef>
                </c:val>
                <c:smooth val="0"/>
                <c:extLst xmlns:c15="http://schemas.microsoft.com/office/drawing/2012/chart">
                  <c:ext xmlns:c16="http://schemas.microsoft.com/office/drawing/2014/chart" uri="{C3380CC4-5D6E-409C-BE32-E72D297353CC}">
                    <c16:uniqueId val="{00000009-6247-41A4-818D-4F75FB88D4A9}"/>
                  </c:ext>
                </c:extLst>
              </c15:ser>
            </c15:filteredLineSeries>
            <c15:filteredLineSeries>
              <c15:ser>
                <c:idx val="17"/>
                <c:order val="10"/>
                <c:tx>
                  <c:strRef>
                    <c:extLst xmlns:c15="http://schemas.microsoft.com/office/drawing/2012/chart">
                      <c:ext xmlns:c15="http://schemas.microsoft.com/office/drawing/2012/chart" uri="{02D57815-91ED-43cb-92C2-25804820EDAC}">
                        <c15:formulaRef>
                          <c15:sqref>'[BATCH TEST ON DYE (Kinetic Effect).xlsx]ORANGE II (Co=50ppm)'!$A$62</c15:sqref>
                        </c15:formulaRef>
                      </c:ext>
                    </c:extLst>
                    <c:strCache>
                      <c:ptCount val="1"/>
                      <c:pt idx="0">
                        <c:v>Activated Carbon</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(Co=50ppm)'!$M$63:$M$71</c15:sqref>
                        </c15:formulaRef>
                      </c:ext>
                    </c:extLst>
                    <c:numCache>
                      <c:formatCode>#,##0.0000</c:formatCode>
                      <c:ptCount val="9"/>
                      <c:pt idx="0">
                        <c:v>7</c:v>
                      </c:pt>
                      <c:pt idx="1">
                        <c:v>7</c:v>
                      </c:pt>
                      <c:pt idx="2">
                        <c:v>7</c:v>
                      </c:pt>
                      <c:pt idx="3">
                        <c:v>7</c:v>
                      </c:pt>
                      <c:pt idx="4">
                        <c:v>7</c:v>
                      </c:pt>
                      <c:pt idx="5">
                        <c:v>7</c:v>
                      </c:pt>
                      <c:pt idx="6">
                        <c:v>7</c:v>
                      </c:pt>
                      <c:pt idx="7">
                        <c:v>7</c:v>
                      </c:pt>
                      <c:pt idx="8">
                        <c:v>7</c:v>
                      </c:pt>
                    </c:numCache>
                  </c:numRef>
                </c:val>
                <c:smooth val="0"/>
                <c:extLst xmlns:c15="http://schemas.microsoft.com/office/drawing/2012/chart">
                  <c:ext xmlns:c16="http://schemas.microsoft.com/office/drawing/2014/chart" uri="{C3380CC4-5D6E-409C-BE32-E72D297353CC}">
                    <c16:uniqueId val="{0000000A-6247-41A4-818D-4F75FB88D4A9}"/>
                  </c:ext>
                </c:extLst>
              </c15:ser>
            </c15:filteredLineSeries>
            <c15:filteredLineSeries>
              <c15:ser>
                <c:idx val="18"/>
                <c:order val="11"/>
                <c:tx>
                  <c:strRef>
                    <c:extLst xmlns:c15="http://schemas.microsoft.com/office/drawing/2012/chart">
                      <c:ext xmlns:c15="http://schemas.microsoft.com/office/drawing/2012/chart" uri="{02D57815-91ED-43cb-92C2-25804820EDAC}">
                        <c15:formulaRef>
                          <c15:sqref>'[BATCH TEST ON DYE (Kinetic Effect).xlsx]ORANGE II (Co=50ppm)'!$A$72</c15:sqref>
                        </c15:formulaRef>
                      </c:ext>
                    </c:extLst>
                    <c:strCache>
                      <c:ptCount val="1"/>
                      <c:pt idx="0">
                        <c:v>AC-nZVI</c:v>
                      </c:pt>
                    </c:strCache>
                  </c:strRef>
                </c:tx>
                <c:spPr>
                  <a:ln>
                    <a:solidFill>
                      <a:schemeClr val="accent2">
                        <a:shade val="95000"/>
                        <a:satMod val="105000"/>
                      </a:schemeClr>
                    </a:solidFill>
                  </a:ln>
                </c:spPr>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(Co=50ppm)'!$M$73:$M$81</c15:sqref>
                        </c15:formulaRef>
                      </c:ext>
                    </c:extLst>
                    <c:numCache>
                      <c:formatCode>#,##0.0000</c:formatCode>
                      <c:ptCount val="9"/>
                      <c:pt idx="0">
                        <c:v>7</c:v>
                      </c:pt>
                      <c:pt idx="1">
                        <c:v>7</c:v>
                      </c:pt>
                      <c:pt idx="2">
                        <c:v>7</c:v>
                      </c:pt>
                      <c:pt idx="3">
                        <c:v>7</c:v>
                      </c:pt>
                      <c:pt idx="4">
                        <c:v>7</c:v>
                      </c:pt>
                      <c:pt idx="5">
                        <c:v>7</c:v>
                      </c:pt>
                      <c:pt idx="6">
                        <c:v>7</c:v>
                      </c:pt>
                      <c:pt idx="7">
                        <c:v>7</c:v>
                      </c:pt>
                      <c:pt idx="8">
                        <c:v>7</c:v>
                      </c:pt>
                    </c:numCache>
                  </c:numRef>
                </c:val>
                <c:smooth val="0"/>
                <c:extLst xmlns:c15="http://schemas.microsoft.com/office/drawing/2012/chart">
                  <c:ext xmlns:c16="http://schemas.microsoft.com/office/drawing/2014/chart" uri="{C3380CC4-5D6E-409C-BE32-E72D297353CC}">
                    <c16:uniqueId val="{0000000B-6247-41A4-818D-4F75FB88D4A9}"/>
                  </c:ext>
                </c:extLst>
              </c15:ser>
            </c15:filteredLineSeries>
            <c15:filteredLineSeries>
              <c15:ser>
                <c:idx val="19"/>
                <c:order val="12"/>
                <c:tx>
                  <c:strRef>
                    <c:extLst xmlns:c15="http://schemas.microsoft.com/office/drawing/2012/chart">
                      <c:ext xmlns:c15="http://schemas.microsoft.com/office/drawing/2012/chart" uri="{02D57815-91ED-43cb-92C2-25804820EDAC}">
                        <c15:formulaRef>
                          <c15:sqref>'[BATCH TEST ON DYE (Kinetic Effect).xlsx]ORANGE II (Co=50ppm)'!$A$82</c15:sqref>
                        </c15:formulaRef>
                      </c:ext>
                    </c:extLst>
                    <c:strCache>
                      <c:ptCount val="1"/>
                      <c:pt idx="0">
                        <c:v>Granite</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(Co=50ppm)'!$M$83:$M$91</c15:sqref>
                        </c15:formulaRef>
                      </c:ext>
                    </c:extLst>
                    <c:numCache>
                      <c:formatCode>#,##0.0000</c:formatCode>
                      <c:ptCount val="9"/>
                      <c:pt idx="0">
                        <c:v>3.8707000000000003</c:v>
                      </c:pt>
                      <c:pt idx="1">
                        <c:v>3.7925581395348824</c:v>
                      </c:pt>
                      <c:pt idx="2">
                        <c:v>3.6204651162790693</c:v>
                      </c:pt>
                      <c:pt idx="3">
                        <c:v>3.7739534883720918</c:v>
                      </c:pt>
                      <c:pt idx="4">
                        <c:v>4.0018604651162777</c:v>
                      </c:pt>
                      <c:pt idx="5">
                        <c:v>3.8530232558139534</c:v>
                      </c:pt>
                      <c:pt idx="6">
                        <c:v>3.927441860465116</c:v>
                      </c:pt>
                      <c:pt idx="7">
                        <c:v>3.927441860465116</c:v>
                      </c:pt>
                      <c:pt idx="8">
                        <c:v>4.1274418604651153</c:v>
                      </c:pt>
                    </c:numCache>
                  </c:numRef>
                </c:val>
                <c:smooth val="0"/>
                <c:extLst xmlns:c15="http://schemas.microsoft.com/office/drawing/2012/chart">
                  <c:ext xmlns:c16="http://schemas.microsoft.com/office/drawing/2014/chart" uri="{C3380CC4-5D6E-409C-BE32-E72D297353CC}">
                    <c16:uniqueId val="{0000000C-6247-41A4-818D-4F75FB88D4A9}"/>
                  </c:ext>
                </c:extLst>
              </c15:ser>
            </c15:filteredLineSeries>
            <c15:filteredLineSeries>
              <c15:ser>
                <c:idx val="20"/>
                <c:order val="13"/>
                <c:tx>
                  <c:strRef>
                    <c:extLst xmlns:c15="http://schemas.microsoft.com/office/drawing/2012/chart">
                      <c:ext xmlns:c15="http://schemas.microsoft.com/office/drawing/2012/chart" uri="{02D57815-91ED-43cb-92C2-25804820EDAC}">
                        <c15:formulaRef>
                          <c15:sqref>'[BATCH TEST ON DYE (Kinetic Effect).xlsx]ORANGE II (Co=50ppm)'!$A$92</c15:sqref>
                        </c15:formulaRef>
                      </c:ext>
                    </c:extLst>
                    <c:strCache>
                      <c:ptCount val="1"/>
                      <c:pt idx="0">
                        <c:v>Gr-nZVI</c:v>
                      </c:pt>
                    </c:strCache>
                  </c:strRef>
                </c:tx>
                <c:spPr>
                  <a:ln>
                    <a:solidFill>
                      <a:schemeClr val="accent2">
                        <a:shade val="95000"/>
                        <a:satMod val="105000"/>
                      </a:schemeClr>
                    </a:solidFill>
                  </a:ln>
                </c:spPr>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(Co=50ppm)'!$M$93:$M$101</c15:sqref>
                        </c15:formulaRef>
                      </c:ext>
                    </c:extLst>
                    <c:numCache>
                      <c:formatCode>#,##0.0000</c:formatCode>
                      <c:ptCount val="9"/>
                      <c:pt idx="0">
                        <c:v>7</c:v>
                      </c:pt>
                      <c:pt idx="1">
                        <c:v>6.9808000000000012</c:v>
                      </c:pt>
                      <c:pt idx="2">
                        <c:v>6.9946200000000012</c:v>
                      </c:pt>
                      <c:pt idx="3">
                        <c:v>6.9813800000000006</c:v>
                      </c:pt>
                      <c:pt idx="4">
                        <c:v>6.9961799999999998</c:v>
                      </c:pt>
                      <c:pt idx="5">
                        <c:v>6.9607200000000011</c:v>
                      </c:pt>
                      <c:pt idx="6">
                        <c:v>6.96</c:v>
                      </c:pt>
                      <c:pt idx="7">
                        <c:v>6.9607700000000001</c:v>
                      </c:pt>
                      <c:pt idx="8">
                        <c:v>6.9617100000000001</c:v>
                      </c:pt>
                    </c:numCache>
                  </c:numRef>
                </c:val>
                <c:smooth val="0"/>
                <c:extLst xmlns:c15="http://schemas.microsoft.com/office/drawing/2012/chart">
                  <c:ext xmlns:c16="http://schemas.microsoft.com/office/drawing/2014/chart" uri="{C3380CC4-5D6E-409C-BE32-E72D297353CC}">
                    <c16:uniqueId val="{0000000D-6247-41A4-818D-4F75FB88D4A9}"/>
                  </c:ext>
                </c:extLst>
              </c15:ser>
            </c15:filteredLineSeries>
            <c15:filteredLineSeries>
              <c15:ser>
                <c:idx val="0"/>
                <c:order val="14"/>
                <c:tx>
                  <c:strRef>
                    <c:extLst xmlns:c15="http://schemas.microsoft.com/office/drawing/2012/chart">
                      <c:ext xmlns:c15="http://schemas.microsoft.com/office/drawing/2012/chart" uri="{02D57815-91ED-43cb-92C2-25804820EDAC}">
                        <c15:formulaRef>
                          <c15:sqref>'[BATCH TEST ON DYE (Kinetic Effect).xlsx]ORANGE II (Co=50ppm)'!$A$32</c15:sqref>
                        </c15:formulaRef>
                      </c:ext>
                    </c:extLst>
                    <c:strCache>
                      <c:ptCount val="1"/>
                      <c:pt idx="0">
                        <c:v>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(Co=50ppm)'!$M$33:$M$41</c15:sqref>
                        </c15:formulaRef>
                      </c:ext>
                    </c:extLst>
                    <c:numCache>
                      <c:formatCode>#,##0.0000</c:formatCode>
                      <c:ptCount val="9"/>
                      <c:pt idx="0">
                        <c:v>6.8607000000000005</c:v>
                      </c:pt>
                      <c:pt idx="1">
                        <c:v>6.8617000000000008</c:v>
                      </c:pt>
                      <c:pt idx="2">
                        <c:v>6.8307000000000002</c:v>
                      </c:pt>
                      <c:pt idx="3">
                        <c:v>6.9181395348837205</c:v>
                      </c:pt>
                      <c:pt idx="4">
                        <c:v>6.960160000000001</c:v>
                      </c:pt>
                      <c:pt idx="5">
                        <c:v>6.9374700000000011</c:v>
                      </c:pt>
                      <c:pt idx="6">
                        <c:v>6.9162700000000008</c:v>
                      </c:pt>
                      <c:pt idx="7">
                        <c:v>6.9127000000000001</c:v>
                      </c:pt>
                      <c:pt idx="8">
                        <c:v>6.9110000000000005</c:v>
                      </c:pt>
                    </c:numCache>
                  </c:numRef>
                </c:val>
                <c:smooth val="0"/>
                <c:extLst xmlns:c15="http://schemas.microsoft.com/office/drawing/2012/chart">
                  <c:ext xmlns:c16="http://schemas.microsoft.com/office/drawing/2014/chart" uri="{C3380CC4-5D6E-409C-BE32-E72D297353CC}">
                    <c16:uniqueId val="{0000000E-6247-41A4-818D-4F75FB88D4A9}"/>
                  </c:ext>
                </c:extLst>
              </c15:ser>
            </c15:filteredLineSeries>
            <c15:filteredLineSeries>
              <c15:ser>
                <c:idx val="1"/>
                <c:order val="15"/>
                <c:tx>
                  <c:strRef>
                    <c:extLst xmlns:c15="http://schemas.microsoft.com/office/drawing/2012/chart">
                      <c:ext xmlns:c15="http://schemas.microsoft.com/office/drawing/2012/chart" uri="{02D57815-91ED-43cb-92C2-25804820EDAC}">
                        <c15:formulaRef>
                          <c15:sqref>'[BATCH TEST ON DYE (Kinetic Effect).xlsx]ORANGE II (Co=50ppm)'!$A$42</c15:sqref>
                        </c15:formulaRef>
                      </c:ext>
                    </c:extLst>
                    <c:strCache>
                      <c:ptCount val="1"/>
                      <c:pt idx="0">
                        <c:v>Bentonite</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(Co=50ppm)'!$M$43:$M$51</c15:sqref>
                        </c15:formulaRef>
                      </c:ext>
                    </c:extLst>
                    <c:numCache>
                      <c:formatCode>#,##0.0000</c:formatCode>
                      <c:ptCount val="9"/>
                      <c:pt idx="0">
                        <c:v>0.32279069767441942</c:v>
                      </c:pt>
                      <c:pt idx="1">
                        <c:v>0.30769999999999986</c:v>
                      </c:pt>
                      <c:pt idx="2">
                        <c:v>0.21116279069767502</c:v>
                      </c:pt>
                      <c:pt idx="3">
                        <c:v>9.0232558139534555E-2</c:v>
                      </c:pt>
                      <c:pt idx="4">
                        <c:v>9.0232558139534555E-2</c:v>
                      </c:pt>
                      <c:pt idx="5">
                        <c:v>0.21116279069767502</c:v>
                      </c:pt>
                      <c:pt idx="6">
                        <c:v>9.0232558139534555E-2</c:v>
                      </c:pt>
                      <c:pt idx="7">
                        <c:v>0.21116279069767502</c:v>
                      </c:pt>
                      <c:pt idx="8">
                        <c:v>0.49069999999999969</c:v>
                      </c:pt>
                    </c:numCache>
                  </c:numRef>
                </c:val>
                <c:smooth val="0"/>
                <c:extLst xmlns:c15="http://schemas.microsoft.com/office/drawing/2012/chart">
                  <c:ext xmlns:c16="http://schemas.microsoft.com/office/drawing/2014/chart" uri="{C3380CC4-5D6E-409C-BE32-E72D297353CC}">
                    <c16:uniqueId val="{0000000F-6247-41A4-818D-4F75FB88D4A9}"/>
                  </c:ext>
                </c:extLst>
              </c15:ser>
            </c15:filteredLineSeries>
            <c15:filteredLineSeries>
              <c15:ser>
                <c:idx val="2"/>
                <c:order val="16"/>
                <c:tx>
                  <c:strRef>
                    <c:extLst xmlns:c15="http://schemas.microsoft.com/office/drawing/2012/chart">
                      <c:ext xmlns:c15="http://schemas.microsoft.com/office/drawing/2012/chart" uri="{02D57815-91ED-43cb-92C2-25804820EDAC}">
                        <c15:formulaRef>
                          <c15:sqref>'[BATCH TEST ON DYE (Kinetic Effect).xlsx]ORANGE II (Co=50ppm)'!$A$52</c15:sqref>
                        </c15:formulaRef>
                      </c:ext>
                    </c:extLst>
                    <c:strCache>
                      <c:ptCount val="1"/>
                      <c:pt idx="0">
                        <c:v>B-nZVI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(Co=50ppm)'!$M$53:$M$61</c15:sqref>
                        </c15:formulaRef>
                      </c:ext>
                    </c:extLst>
                    <c:numCache>
                      <c:formatCode>#,##0.0000</c:formatCode>
                      <c:ptCount val="9"/>
                      <c:pt idx="0">
                        <c:v>6.7261600000000001</c:v>
                      </c:pt>
                      <c:pt idx="1">
                        <c:v>6.5786046511627907</c:v>
                      </c:pt>
                      <c:pt idx="2">
                        <c:v>6.6436200000000003</c:v>
                      </c:pt>
                      <c:pt idx="3">
                        <c:v>6.6702699999999995</c:v>
                      </c:pt>
                      <c:pt idx="4">
                        <c:v>6.6172700000000013</c:v>
                      </c:pt>
                      <c:pt idx="5">
                        <c:v>6.6120999999999999</c:v>
                      </c:pt>
                      <c:pt idx="6">
                        <c:v>6.6711</c:v>
                      </c:pt>
                      <c:pt idx="7">
                        <c:v>6.3553488372093012</c:v>
                      </c:pt>
                      <c:pt idx="8">
                        <c:v>6.5711700000000013</c:v>
                      </c:pt>
                    </c:numCache>
                  </c:numRef>
                </c:val>
                <c:smooth val="0"/>
                <c:extLst xmlns:c15="http://schemas.microsoft.com/office/drawing/2012/chart">
                  <c:ext xmlns:c16="http://schemas.microsoft.com/office/drawing/2014/chart" uri="{C3380CC4-5D6E-409C-BE32-E72D297353CC}">
                    <c16:uniqueId val="{00000010-6247-41A4-818D-4F75FB88D4A9}"/>
                  </c:ext>
                </c:extLst>
              </c15:ser>
            </c15:filteredLineSeries>
            <c15:filteredLineSeries>
              <c15:ser>
                <c:idx val="3"/>
                <c:order val="17"/>
                <c:tx>
                  <c:strRef>
                    <c:extLst xmlns:c15="http://schemas.microsoft.com/office/drawing/2012/chart">
                      <c:ext xmlns:c15="http://schemas.microsoft.com/office/drawing/2012/chart" uri="{02D57815-91ED-43cb-92C2-25804820EDAC}">
                        <c15:formulaRef>
                          <c15:sqref>'[BATCH TEST ON DYE (Kinetic Effect).xlsx]ORANGE II (Co=50ppm)'!$A$62</c15:sqref>
                        </c15:formulaRef>
                      </c:ext>
                    </c:extLst>
                    <c:strCache>
                      <c:ptCount val="1"/>
                      <c:pt idx="0">
                        <c:v>Activated Carbon</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(Co=50ppm)'!$M$63:$M$71</c15:sqref>
                        </c15:formulaRef>
                      </c:ext>
                    </c:extLst>
                    <c:numCache>
                      <c:formatCode>#,##0.0000</c:formatCode>
                      <c:ptCount val="9"/>
                      <c:pt idx="0">
                        <c:v>7</c:v>
                      </c:pt>
                      <c:pt idx="1">
                        <c:v>7</c:v>
                      </c:pt>
                      <c:pt idx="2">
                        <c:v>7</c:v>
                      </c:pt>
                      <c:pt idx="3">
                        <c:v>7</c:v>
                      </c:pt>
                      <c:pt idx="4">
                        <c:v>7</c:v>
                      </c:pt>
                      <c:pt idx="5">
                        <c:v>7</c:v>
                      </c:pt>
                      <c:pt idx="6">
                        <c:v>7</c:v>
                      </c:pt>
                      <c:pt idx="7">
                        <c:v>7</c:v>
                      </c:pt>
                      <c:pt idx="8">
                        <c:v>7</c:v>
                      </c:pt>
                    </c:numCache>
                  </c:numRef>
                </c:val>
                <c:smooth val="0"/>
                <c:extLst xmlns:c15="http://schemas.microsoft.com/office/drawing/2012/chart">
                  <c:ext xmlns:c16="http://schemas.microsoft.com/office/drawing/2014/chart" uri="{C3380CC4-5D6E-409C-BE32-E72D297353CC}">
                    <c16:uniqueId val="{00000011-6247-41A4-818D-4F75FB88D4A9}"/>
                  </c:ext>
                </c:extLst>
              </c15:ser>
            </c15:filteredLineSeries>
            <c15:filteredLineSeries>
              <c15:ser>
                <c:idx val="4"/>
                <c:order val="18"/>
                <c:tx>
                  <c:strRef>
                    <c:extLst xmlns:c15="http://schemas.microsoft.com/office/drawing/2012/chart">
                      <c:ext xmlns:c15="http://schemas.microsoft.com/office/drawing/2012/chart" uri="{02D57815-91ED-43cb-92C2-25804820EDAC}">
                        <c15:formulaRef>
                          <c15:sqref>'[BATCH TEST ON DYE (Kinetic Effect).xlsx]ORANGE II (Co=50ppm)'!$A$72</c15:sqref>
                        </c15:formulaRef>
                      </c:ext>
                    </c:extLst>
                    <c:strCache>
                      <c:ptCount val="1"/>
                      <c:pt idx="0">
                        <c:v>AC-nZVI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(Co=50ppm)'!$M$73:$M$81</c15:sqref>
                        </c15:formulaRef>
                      </c:ext>
                    </c:extLst>
                    <c:numCache>
                      <c:formatCode>#,##0.0000</c:formatCode>
                      <c:ptCount val="9"/>
                      <c:pt idx="0">
                        <c:v>7</c:v>
                      </c:pt>
                      <c:pt idx="1">
                        <c:v>7</c:v>
                      </c:pt>
                      <c:pt idx="2">
                        <c:v>7</c:v>
                      </c:pt>
                      <c:pt idx="3">
                        <c:v>7</c:v>
                      </c:pt>
                      <c:pt idx="4">
                        <c:v>7</c:v>
                      </c:pt>
                      <c:pt idx="5">
                        <c:v>7</c:v>
                      </c:pt>
                      <c:pt idx="6">
                        <c:v>7</c:v>
                      </c:pt>
                      <c:pt idx="7">
                        <c:v>7</c:v>
                      </c:pt>
                      <c:pt idx="8">
                        <c:v>7</c:v>
                      </c:pt>
                    </c:numCache>
                  </c:numRef>
                </c:val>
                <c:smooth val="0"/>
                <c:extLst xmlns:c15="http://schemas.microsoft.com/office/drawing/2012/chart">
                  <c:ext xmlns:c16="http://schemas.microsoft.com/office/drawing/2014/chart" uri="{C3380CC4-5D6E-409C-BE32-E72D297353CC}">
                    <c16:uniqueId val="{00000012-6247-41A4-818D-4F75FB88D4A9}"/>
                  </c:ext>
                </c:extLst>
              </c15:ser>
            </c15:filteredLineSeries>
            <c15:filteredLineSeries>
              <c15:ser>
                <c:idx val="5"/>
                <c:order val="19"/>
                <c:tx>
                  <c:strRef>
                    <c:extLst xmlns:c15="http://schemas.microsoft.com/office/drawing/2012/chart">
                      <c:ext xmlns:c15="http://schemas.microsoft.com/office/drawing/2012/chart" uri="{02D57815-91ED-43cb-92C2-25804820EDAC}">
                        <c15:formulaRef>
                          <c15:sqref>'[BATCH TEST ON DYE (Kinetic Effect).xlsx]ORANGE II (Co=50ppm)'!$A$82</c15:sqref>
                        </c15:formulaRef>
                      </c:ext>
                    </c:extLst>
                    <c:strCache>
                      <c:ptCount val="1"/>
                      <c:pt idx="0">
                        <c:v>Granite</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(Co=50ppm)'!$M$83:$M$91</c15:sqref>
                        </c15:formulaRef>
                      </c:ext>
                    </c:extLst>
                    <c:numCache>
                      <c:formatCode>#,##0.0000</c:formatCode>
                      <c:ptCount val="9"/>
                      <c:pt idx="0">
                        <c:v>3.8707000000000003</c:v>
                      </c:pt>
                      <c:pt idx="1">
                        <c:v>3.7925581395348824</c:v>
                      </c:pt>
                      <c:pt idx="2">
                        <c:v>3.6204651162790693</c:v>
                      </c:pt>
                      <c:pt idx="3">
                        <c:v>3.7739534883720918</c:v>
                      </c:pt>
                      <c:pt idx="4">
                        <c:v>4.0018604651162777</c:v>
                      </c:pt>
                      <c:pt idx="5">
                        <c:v>3.8530232558139534</c:v>
                      </c:pt>
                      <c:pt idx="6">
                        <c:v>3.927441860465116</c:v>
                      </c:pt>
                      <c:pt idx="7">
                        <c:v>3.927441860465116</c:v>
                      </c:pt>
                      <c:pt idx="8">
                        <c:v>4.1274418604651153</c:v>
                      </c:pt>
                    </c:numCache>
                  </c:numRef>
                </c:val>
                <c:smooth val="0"/>
                <c:extLst xmlns:c15="http://schemas.microsoft.com/office/drawing/2012/chart">
                  <c:ext xmlns:c16="http://schemas.microsoft.com/office/drawing/2014/chart" uri="{C3380CC4-5D6E-409C-BE32-E72D297353CC}">
                    <c16:uniqueId val="{00000013-6247-41A4-818D-4F75FB88D4A9}"/>
                  </c:ext>
                </c:extLst>
              </c15:ser>
            </c15:filteredLineSeries>
            <c15:filteredLineSeries>
              <c15:ser>
                <c:idx val="6"/>
                <c:order val="20"/>
                <c:tx>
                  <c:strRef>
                    <c:extLst xmlns:c15="http://schemas.microsoft.com/office/drawing/2012/chart">
                      <c:ext xmlns:c15="http://schemas.microsoft.com/office/drawing/2012/chart" uri="{02D57815-91ED-43cb-92C2-25804820EDAC}">
                        <c15:formulaRef>
                          <c15:sqref>'[BATCH TEST ON DYE (Kinetic Effect).xlsx]ORANGE II (Co=50ppm)'!$A$92</c15:sqref>
                        </c15:formulaRef>
                      </c:ext>
                    </c:extLst>
                    <c:strCache>
                      <c:ptCount val="1"/>
                      <c:pt idx="0">
                        <c:v>Gr-nZVI</c:v>
                      </c:pt>
                    </c:strCache>
                  </c:strRef>
                </c:tx>
                <c:cat>
                  <c:numRef>
                    <c:extLst xmlns:c15="http://schemas.microsoft.com/office/drawing/2012/chart">
                      <c:ext xmlns:c15="http://schemas.microsoft.com/office/drawing/2012/chart" uri="{02D57815-91ED-43cb-92C2-25804820EDAC}">
                        <c15:formulaRef>
                          <c15:sqref>'[BATCH TEST ON DYE (Kinetic Effect).xlsx]ORANGE II (Co=50ppm)'!$B$92:$B$101</c15:sqref>
                        </c15:formulaRef>
                      </c:ext>
                    </c:extLst>
                    <c:numCache>
                      <c:formatCode>General</c:formatCode>
                      <c:ptCount val="10"/>
                      <c:pt idx="0">
                        <c:v>0</c:v>
                      </c:pt>
                      <c:pt idx="1">
                        <c:v>5</c:v>
                      </c:pt>
                      <c:pt idx="2">
                        <c:v>10</c:v>
                      </c:pt>
                      <c:pt idx="3">
                        <c:v>20</c:v>
                      </c:pt>
                      <c:pt idx="4">
                        <c:v>30</c:v>
                      </c:pt>
                      <c:pt idx="5">
                        <c:v>45</c:v>
                      </c:pt>
                      <c:pt idx="6">
                        <c:v>60</c:v>
                      </c:pt>
                      <c:pt idx="7">
                        <c:v>120</c:v>
                      </c:pt>
                      <c:pt idx="8">
                        <c:v>180</c:v>
                      </c:pt>
                      <c:pt idx="9">
                        <c:v>360</c:v>
                      </c:pt>
                    </c:numCache>
                  </c:numRef>
                </c:cat>
                <c:val>
                  <c:numRef>
                    <c:extLst xmlns:c15="http://schemas.microsoft.com/office/drawing/2012/chart">
                      <c:ext xmlns:c15="http://schemas.microsoft.com/office/drawing/2012/chart" uri="{02D57815-91ED-43cb-92C2-25804820EDAC}">
                        <c15:formulaRef>
                          <c15:sqref>'[BATCH TEST ON DYE (Kinetic Effect).xlsx]ORANGE II (Co=50ppm)'!$M$93:$M$101</c15:sqref>
                        </c15:formulaRef>
                      </c:ext>
                    </c:extLst>
                    <c:numCache>
                      <c:formatCode>#,##0.0000</c:formatCode>
                      <c:ptCount val="9"/>
                      <c:pt idx="0">
                        <c:v>7</c:v>
                      </c:pt>
                      <c:pt idx="1">
                        <c:v>6.9808000000000012</c:v>
                      </c:pt>
                      <c:pt idx="2">
                        <c:v>6.9946200000000012</c:v>
                      </c:pt>
                      <c:pt idx="3">
                        <c:v>6.9813800000000006</c:v>
                      </c:pt>
                      <c:pt idx="4">
                        <c:v>6.9961799999999998</c:v>
                      </c:pt>
                      <c:pt idx="5">
                        <c:v>6.9607200000000011</c:v>
                      </c:pt>
                      <c:pt idx="6">
                        <c:v>6.96</c:v>
                      </c:pt>
                      <c:pt idx="7">
                        <c:v>6.9607700000000001</c:v>
                      </c:pt>
                      <c:pt idx="8">
                        <c:v>6.9617100000000001</c:v>
                      </c:pt>
                    </c:numCache>
                  </c:numRef>
                </c:val>
                <c:smooth val="0"/>
                <c:extLst xmlns:c15="http://schemas.microsoft.com/office/drawing/2012/chart">
                  <c:ext xmlns:c16="http://schemas.microsoft.com/office/drawing/2014/chart" uri="{C3380CC4-5D6E-409C-BE32-E72D297353CC}">
                    <c16:uniqueId val="{00000014-6247-41A4-818D-4F75FB88D4A9}"/>
                  </c:ext>
                </c:extLst>
              </c15:ser>
            </c15:filteredLineSeries>
          </c:ext>
        </c:extLst>
      </c:lineChart>
      <c:catAx>
        <c:axId val="155257472"/>
        <c:scaling>
          <c:orientation val="minMax"/>
        </c:scaling>
        <c:delete val="0"/>
        <c:axPos val="b"/>
        <c:title>
          <c:tx>
            <c:rich>
              <a:bodyPr/>
              <a:lstStyle/>
              <a:p>
                <a:pPr>
                  <a:defRPr/>
                </a:pPr>
                <a:r>
                  <a:rPr lang="en-US"/>
                  <a:t>Shaking time (min)</a:t>
                </a:r>
              </a:p>
            </c:rich>
          </c:tx>
          <c:layout>
            <c:manualLayout>
              <c:xMode val="edge"/>
              <c:yMode val="edge"/>
              <c:x val="0.42973106079164336"/>
              <c:y val="0.92028804318786017"/>
            </c:manualLayout>
          </c:layout>
          <c:overlay val="0"/>
        </c:title>
        <c:numFmt formatCode="General" sourceLinked="1"/>
        <c:majorTickMark val="none"/>
        <c:minorTickMark val="none"/>
        <c:tickLblPos val="nextTo"/>
        <c:crossAx val="155260032"/>
        <c:crosses val="autoZero"/>
        <c:auto val="1"/>
        <c:lblAlgn val="ctr"/>
        <c:lblOffset val="100"/>
        <c:noMultiLvlLbl val="0"/>
      </c:catAx>
      <c:valAx>
        <c:axId val="155260032"/>
        <c:scaling>
          <c:orientation val="minMax"/>
        </c:scaling>
        <c:delete val="0"/>
        <c:axPos val="l"/>
        <c:title>
          <c:tx>
            <c:rich>
              <a:bodyPr/>
              <a:lstStyle/>
              <a:p>
                <a:pPr algn="ctr" rtl="0">
                  <a:defRPr/>
                </a:pPr>
                <a:r>
                  <a:rPr lang="en-US"/>
                  <a:t>Concentration of Acid Orange II adsorbed by particles, qe (mg/g)</a:t>
                </a:r>
                <a:endParaRPr lang="en-MY"/>
              </a:p>
              <a:p>
                <a:pPr algn="ctr" rtl="0">
                  <a:defRPr/>
                </a:pPr>
                <a:endParaRPr lang="en-US"/>
              </a:p>
            </c:rich>
          </c:tx>
          <c:layout>
            <c:manualLayout>
              <c:xMode val="edge"/>
              <c:yMode val="edge"/>
              <c:x val="7.0773737552468864E-3"/>
              <c:y val="6.8434994012845182E-2"/>
            </c:manualLayout>
          </c:layout>
          <c:overlay val="0"/>
        </c:title>
        <c:numFmt formatCode="#,##0" sourceLinked="0"/>
        <c:majorTickMark val="none"/>
        <c:minorTickMark val="none"/>
        <c:tickLblPos val="nextTo"/>
        <c:spPr>
          <a:noFill/>
          <a:ln w="9525" cap="flat" cmpd="sng" algn="ctr">
            <a:solidFill>
              <a:schemeClr val="tx1"/>
            </a:solidFill>
            <a:prstDash val="solid"/>
          </a:ln>
          <a:effectLst/>
        </c:spPr>
        <c:crossAx val="155257472"/>
        <c:crosses val="autoZero"/>
        <c:crossBetween val="between"/>
      </c:valAx>
      <c:spPr>
        <a:noFill/>
        <a:ln w="12700">
          <a:solidFill>
            <a:schemeClr val="tx1"/>
          </a:solidFill>
        </a:ln>
      </c:spPr>
    </c:plotArea>
    <c:legend>
      <c:legendPos val="r"/>
      <c:layout>
        <c:manualLayout>
          <c:xMode val="edge"/>
          <c:yMode val="edge"/>
          <c:x val="0.56646554012209149"/>
          <c:y val="0.50414794924827944"/>
          <c:w val="0.35883767338071498"/>
          <c:h val="0.25380311332051236"/>
        </c:manualLayout>
      </c:layout>
      <c:overlay val="0"/>
    </c:legend>
    <c:plotVisOnly val="1"/>
    <c:dispBlanksAs val="gap"/>
    <c:showDLblsOverMax val="0"/>
  </c:chart>
  <c:spPr>
    <a:ln>
      <a:noFill/>
    </a:ln>
  </c:spPr>
  <c:txPr>
    <a:bodyPr/>
    <a:lstStyle/>
    <a:p>
      <a:pPr>
        <a:defRPr sz="900" b="0">
          <a:latin typeface="Arial" panose="020B0604020202020204" pitchFamily="34" charset="0"/>
          <a:cs typeface="Arial" panose="020B060402020202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58698483300276"/>
          <c:y val="4.0109064036898304E-2"/>
          <c:w val="0.71126143322993718"/>
          <c:h val="0.78396911551104653"/>
        </c:manualLayout>
      </c:layout>
      <c:lineChart>
        <c:grouping val="standard"/>
        <c:varyColors val="0"/>
        <c:ser>
          <c:idx val="3"/>
          <c:order val="0"/>
          <c:tx>
            <c:strRef>
              <c:f>'ORANGE II (Co=50ppm)'!$A$50</c:f>
              <c:strCache>
                <c:ptCount val="1"/>
                <c:pt idx="0">
                  <c:v>Activated Carbon</c:v>
                </c:pt>
              </c:strCache>
              <c:extLst xmlns:c15="http://schemas.microsoft.com/office/drawing/2012/chart" xmlns:c16r2="http://schemas.microsoft.com/office/drawing/2015/06/chart"/>
            </c:strRef>
          </c:tx>
          <c:spPr>
            <a:ln w="12700">
              <a:solidFill>
                <a:sysClr val="windowText" lastClr="000000"/>
              </a:solidFill>
            </a:ln>
          </c:spPr>
          <c:marker>
            <c:symbol val="square"/>
            <c:size val="7"/>
            <c:spPr>
              <a:noFill/>
              <a:ln>
                <a:solidFill>
                  <a:sysClr val="windowText" lastClr="000000"/>
                </a:solidFill>
              </a:ln>
            </c:spPr>
          </c:marker>
          <c:cat>
            <c:numRef>
              <c:f>'ORANGE II (Co=50ppm)'!$B$68:$B$73</c:f>
              <c:numCache>
                <c:formatCode>General</c:formatCode>
                <c:ptCount val="6"/>
                <c:pt idx="0">
                  <c:v>2</c:v>
                </c:pt>
                <c:pt idx="1">
                  <c:v>4</c:v>
                </c:pt>
                <c:pt idx="2">
                  <c:v>6</c:v>
                </c:pt>
                <c:pt idx="3">
                  <c:v>8</c:v>
                </c:pt>
                <c:pt idx="4">
                  <c:v>10</c:v>
                </c:pt>
                <c:pt idx="5">
                  <c:v>12</c:v>
                </c:pt>
              </c:numCache>
              <c:extLst xmlns:c15="http://schemas.microsoft.com/office/drawing/2012/chart" xmlns:c16r2="http://schemas.microsoft.com/office/drawing/2015/06/chart"/>
            </c:numRef>
          </c:cat>
          <c:val>
            <c:numRef>
              <c:f>'ORANGE II (Co=50ppm)'!$M$50:$M$55</c:f>
              <c:numCache>
                <c:formatCode>#,##0.0000</c:formatCode>
                <c:ptCount val="6"/>
                <c:pt idx="0">
                  <c:v>5.3283720930232574</c:v>
                </c:pt>
                <c:pt idx="1">
                  <c:v>5.3283720930232574</c:v>
                </c:pt>
                <c:pt idx="2">
                  <c:v>5.3283720930232574</c:v>
                </c:pt>
                <c:pt idx="3">
                  <c:v>5.3283720930232574</c:v>
                </c:pt>
                <c:pt idx="4">
                  <c:v>5.3283720930232574</c:v>
                </c:pt>
                <c:pt idx="5">
                  <c:v>5.3283720930232574</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0-AF69-4CAC-91C2-6A86CAD47DD4}"/>
            </c:ext>
          </c:extLst>
        </c:ser>
        <c:ser>
          <c:idx val="4"/>
          <c:order val="1"/>
          <c:tx>
            <c:strRef>
              <c:f>'ORANGE II (Co=50ppm)'!$A$56</c:f>
              <c:strCache>
                <c:ptCount val="1"/>
                <c:pt idx="0">
                  <c:v>AC-nZVI</c:v>
                </c:pt>
              </c:strCache>
              <c:extLst xmlns:c15="http://schemas.microsoft.com/office/drawing/2012/chart" xmlns:c16r2="http://schemas.microsoft.com/office/drawing/2015/06/chart"/>
            </c:strRef>
          </c:tx>
          <c:spPr>
            <a:ln w="12700">
              <a:solidFill>
                <a:sysClr val="windowText" lastClr="000000"/>
              </a:solidFill>
            </a:ln>
          </c:spPr>
          <c:marker>
            <c:symbol val="triangle"/>
            <c:size val="7"/>
            <c:spPr>
              <a:noFill/>
              <a:ln>
                <a:solidFill>
                  <a:sysClr val="windowText" lastClr="000000"/>
                </a:solidFill>
              </a:ln>
            </c:spPr>
          </c:marker>
          <c:cat>
            <c:numRef>
              <c:f>'ORANGE II (Co=50ppm)'!$B$68:$B$73</c:f>
              <c:numCache>
                <c:formatCode>General</c:formatCode>
                <c:ptCount val="6"/>
                <c:pt idx="0">
                  <c:v>2</c:v>
                </c:pt>
                <c:pt idx="1">
                  <c:v>4</c:v>
                </c:pt>
                <c:pt idx="2">
                  <c:v>6</c:v>
                </c:pt>
                <c:pt idx="3">
                  <c:v>8</c:v>
                </c:pt>
                <c:pt idx="4">
                  <c:v>10</c:v>
                </c:pt>
                <c:pt idx="5">
                  <c:v>12</c:v>
                </c:pt>
              </c:numCache>
              <c:extLst xmlns:c15="http://schemas.microsoft.com/office/drawing/2012/chart" xmlns:c16r2="http://schemas.microsoft.com/office/drawing/2015/06/chart"/>
            </c:numRef>
          </c:cat>
          <c:val>
            <c:numRef>
              <c:f>'ORANGE II (Co=50ppm)'!$M$56:$M$61</c:f>
              <c:numCache>
                <c:formatCode>#,##0.0000</c:formatCode>
                <c:ptCount val="6"/>
                <c:pt idx="0">
                  <c:v>5.3283720930232574</c:v>
                </c:pt>
                <c:pt idx="1">
                  <c:v>5.3283720930232574</c:v>
                </c:pt>
                <c:pt idx="2">
                  <c:v>5.3283720930232574</c:v>
                </c:pt>
                <c:pt idx="3">
                  <c:v>5.3283720930232574</c:v>
                </c:pt>
                <c:pt idx="4">
                  <c:v>5.3283720930232574</c:v>
                </c:pt>
                <c:pt idx="5">
                  <c:v>5.3283720930232574</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1-AF69-4CAC-91C2-6A86CAD47DD4}"/>
            </c:ext>
          </c:extLst>
        </c:ser>
        <c:dLbls>
          <c:showLegendKey val="0"/>
          <c:showVal val="0"/>
          <c:showCatName val="0"/>
          <c:showSerName val="0"/>
          <c:showPercent val="0"/>
          <c:showBubbleSize val="0"/>
        </c:dLbls>
        <c:marker val="1"/>
        <c:smooth val="0"/>
        <c:axId val="154733184"/>
        <c:axId val="15528460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'ORANGE II (Co=50ppm)'!$A$32</c15:sqref>
                        </c15:formulaRef>
                      </c:ext>
                    </c:extLst>
                    <c:strCache>
                      <c:ptCount val="1"/>
                      <c:pt idx="0">
                        <c:v>nZVI</c:v>
                      </c:pt>
                    </c:strCache>
                  </c:strRef>
                </c:tx>
                <c:spPr>
                  <a:ln w="12700">
                    <a:solidFill>
                      <a:sysClr val="windowText" lastClr="000000"/>
                    </a:solidFill>
                  </a:ln>
                </c:spPr>
                <c:marker>
                  <c:spPr>
                    <a:noFill/>
                    <a:ln>
                      <a:solidFill>
                        <a:sysClr val="windowText" lastClr="000000"/>
                      </a:solidFill>
                    </a:ln>
                  </c:spPr>
                </c:marker>
                <c:cat>
                  <c:numRef>
                    <c:extLst>
                      <c:ext uri="{02D57815-91ED-43cb-92C2-25804820EDAC}">
                        <c15:formulaRef>
                          <c15:sqref>'ORANGE II (Co=50ppm)'!$B$68:$B$73</c15:sqref>
                        </c15:formulaRef>
                      </c:ext>
                    </c:extLst>
                    <c:numCache>
                      <c:formatCode>General</c:formatCode>
                      <c:ptCount val="6"/>
                      <c:pt idx="0">
                        <c:v>2</c:v>
                      </c:pt>
                      <c:pt idx="1">
                        <c:v>4</c:v>
                      </c:pt>
                      <c:pt idx="2">
                        <c:v>6</c:v>
                      </c:pt>
                      <c:pt idx="3">
                        <c:v>8</c:v>
                      </c:pt>
                      <c:pt idx="4">
                        <c:v>10</c:v>
                      </c:pt>
                      <c:pt idx="5">
                        <c:v>12</c:v>
                      </c:pt>
                    </c:numCache>
                  </c:numRef>
                </c:cat>
                <c:val>
                  <c:numRef>
                    <c:extLst>
                      <c:ext uri="{02D57815-91ED-43cb-92C2-25804820EDAC}">
                        <c15:formulaRef>
                          <c15:sqref>'ORANGE II (Co=50ppm)'!$M$32:$M$37</c15:sqref>
                        </c15:formulaRef>
                      </c:ext>
                    </c:extLst>
                    <c:numCache>
                      <c:formatCode>#,##0.0000</c:formatCode>
                      <c:ptCount val="6"/>
                      <c:pt idx="0">
                        <c:v>5.3283720930232574</c:v>
                      </c:pt>
                      <c:pt idx="1">
                        <c:v>5.3283720930232574</c:v>
                      </c:pt>
                      <c:pt idx="2">
                        <c:v>5.3283720930232574</c:v>
                      </c:pt>
                      <c:pt idx="3">
                        <c:v>5.3283720930232574</c:v>
                      </c:pt>
                      <c:pt idx="4">
                        <c:v>5.3283720930232574</c:v>
                      </c:pt>
                      <c:pt idx="5">
                        <c:v>5.3283720930232574</c:v>
                      </c:pt>
                    </c:numCache>
                  </c:numRef>
                </c:val>
                <c:smooth val="0"/>
                <c:extLst>
                  <c:ext xmlns:c16="http://schemas.microsoft.com/office/drawing/2014/chart" uri="{C3380CC4-5D6E-409C-BE32-E72D297353CC}">
                    <c16:uniqueId val="{00000002-AF69-4CAC-91C2-6A86CAD47DD4}"/>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'ORANGE II (Co=50ppm)'!$A$44</c15:sqref>
                        </c15:formulaRef>
                      </c:ext>
                    </c:extLst>
                    <c:strCache>
                      <c:ptCount val="1"/>
                      <c:pt idx="0">
                        <c:v>Bentonite</c:v>
                      </c:pt>
                    </c:strCache>
                  </c:strRef>
                </c:tx>
                <c:spPr>
                  <a:ln w="12700">
                    <a:solidFill>
                      <a:sysClr val="windowText" lastClr="000000"/>
                    </a:solidFill>
                  </a:ln>
                </c:spPr>
                <c:marker>
                  <c:spPr>
                    <a:noFill/>
                    <a:ln>
                      <a:solidFill>
                        <a:sysClr val="windowText" lastClr="000000"/>
                      </a:solidFill>
                    </a:ln>
                  </c:spPr>
                </c:marker>
                <c:cat>
                  <c:numRef>
                    <c:extLst xmlns:c15="http://schemas.microsoft.com/office/drawing/2012/chart">
                      <c:ext xmlns:c15="http://schemas.microsoft.com/office/drawing/2012/chart" uri="{02D57815-91ED-43cb-92C2-25804820EDAC}">
                        <c15:formulaRef>
                          <c15:sqref>'ORANGE II (Co=50ppm)'!$B$68:$B$73</c15:sqref>
                        </c15:formulaRef>
                      </c:ext>
                    </c:extLst>
                    <c:numCache>
                      <c:formatCode>General</c:formatCode>
                      <c:ptCount val="6"/>
                      <c:pt idx="0">
                        <c:v>2</c:v>
                      </c:pt>
                      <c:pt idx="1">
                        <c:v>4</c:v>
                      </c:pt>
                      <c:pt idx="2">
                        <c:v>6</c:v>
                      </c:pt>
                      <c:pt idx="3">
                        <c:v>8</c:v>
                      </c:pt>
                      <c:pt idx="4">
                        <c:v>10</c:v>
                      </c:pt>
                      <c:pt idx="5">
                        <c:v>12</c:v>
                      </c:pt>
                    </c:numCache>
                  </c:numRef>
                </c:cat>
                <c:val>
                  <c:numRef>
                    <c:extLst xmlns:c15="http://schemas.microsoft.com/office/drawing/2012/chart">
                      <c:ext xmlns:c15="http://schemas.microsoft.com/office/drawing/2012/chart" uri="{02D57815-91ED-43cb-92C2-25804820EDAC}">
                        <c15:formulaRef>
                          <c15:sqref>'ORANGE II (Co=50ppm)'!$M$44:$M$49</c15:sqref>
                        </c15:formulaRef>
                      </c:ext>
                    </c:extLst>
                    <c:numCache>
                      <c:formatCode>#,##0.0000</c:formatCode>
                      <c:ptCount val="6"/>
                      <c:pt idx="0">
                        <c:v>0.56744186046511802</c:v>
                      </c:pt>
                      <c:pt idx="1">
                        <c:v>0.10232558139534974</c:v>
                      </c:pt>
                      <c:pt idx="2">
                        <c:v>0.10232558139534974</c:v>
                      </c:pt>
                      <c:pt idx="3">
                        <c:v>0.10232558139534974</c:v>
                      </c:pt>
                      <c:pt idx="4">
                        <c:v>4.651162790698749E-3</c:v>
                      </c:pt>
                      <c:pt idx="5">
                        <c:v>0</c:v>
                      </c:pt>
                    </c:numCache>
                  </c:numRef>
                </c:val>
                <c:smooth val="0"/>
                <c:extLst xmlns:c15="http://schemas.microsoft.com/office/drawing/2012/chart">
                  <c:ext xmlns:c16="http://schemas.microsoft.com/office/drawing/2014/chart" uri="{C3380CC4-5D6E-409C-BE32-E72D297353CC}">
                    <c16:uniqueId val="{00000003-AF69-4CAC-91C2-6A86CAD47DD4}"/>
                  </c:ext>
                </c:extLst>
              </c15:ser>
            </c15:filteredLineSeries>
            <c15:filteredLineSeries>
              <c15:ser>
                <c:idx val="1"/>
                <c:order val="2"/>
                <c:tx>
                  <c:strRef>
                    <c:extLst xmlns:c15="http://schemas.microsoft.com/office/drawing/2012/chart">
                      <c:ext xmlns:c15="http://schemas.microsoft.com/office/drawing/2012/chart" uri="{02D57815-91ED-43cb-92C2-25804820EDAC}">
                        <c15:formulaRef>
                          <c15:sqref>'ORANGE II (Co=50ppm)'!$A$38</c15:sqref>
                        </c15:formulaRef>
                      </c:ext>
                    </c:extLst>
                    <c:strCache>
                      <c:ptCount val="1"/>
                      <c:pt idx="0">
                        <c:v>B-nZVI</c:v>
                      </c:pt>
                    </c:strCache>
                  </c:strRef>
                </c:tx>
                <c:spPr>
                  <a:ln w="12700">
                    <a:solidFill>
                      <a:sysClr val="windowText" lastClr="000000"/>
                    </a:solidFill>
                  </a:ln>
                </c:spPr>
                <c:marker>
                  <c:spPr>
                    <a:noFill/>
                    <a:ln>
                      <a:solidFill>
                        <a:sysClr val="windowText" lastClr="000000"/>
                      </a:solidFill>
                    </a:ln>
                  </c:spPr>
                </c:marker>
                <c:cat>
                  <c:numRef>
                    <c:extLst xmlns:c15="http://schemas.microsoft.com/office/drawing/2012/chart">
                      <c:ext xmlns:c15="http://schemas.microsoft.com/office/drawing/2012/chart" uri="{02D57815-91ED-43cb-92C2-25804820EDAC}">
                        <c15:formulaRef>
                          <c15:sqref>'ORANGE II (Co=50ppm)'!$B$68:$B$73</c15:sqref>
                        </c15:formulaRef>
                      </c:ext>
                    </c:extLst>
                    <c:numCache>
                      <c:formatCode>General</c:formatCode>
                      <c:ptCount val="6"/>
                      <c:pt idx="0">
                        <c:v>2</c:v>
                      </c:pt>
                      <c:pt idx="1">
                        <c:v>4</c:v>
                      </c:pt>
                      <c:pt idx="2">
                        <c:v>6</c:v>
                      </c:pt>
                      <c:pt idx="3">
                        <c:v>8</c:v>
                      </c:pt>
                      <c:pt idx="4">
                        <c:v>10</c:v>
                      </c:pt>
                      <c:pt idx="5">
                        <c:v>12</c:v>
                      </c:pt>
                    </c:numCache>
                  </c:numRef>
                </c:cat>
                <c:val>
                  <c:numRef>
                    <c:extLst xmlns:c15="http://schemas.microsoft.com/office/drawing/2012/chart">
                      <c:ext xmlns:c15="http://schemas.microsoft.com/office/drawing/2012/chart" uri="{02D57815-91ED-43cb-92C2-25804820EDAC}">
                        <c15:formulaRef>
                          <c15:sqref>'ORANGE II (Co=50ppm)'!$M$38:$M$43</c15:sqref>
                        </c15:formulaRef>
                      </c:ext>
                    </c:extLst>
                    <c:numCache>
                      <c:formatCode>#,##0.0000</c:formatCode>
                      <c:ptCount val="6"/>
                      <c:pt idx="0">
                        <c:v>5.3283720930232574</c:v>
                      </c:pt>
                      <c:pt idx="1">
                        <c:v>5.3283720930232574</c:v>
                      </c:pt>
                      <c:pt idx="2">
                        <c:v>5.3283720930232574</c:v>
                      </c:pt>
                      <c:pt idx="3">
                        <c:v>5.3283720930232574</c:v>
                      </c:pt>
                      <c:pt idx="4">
                        <c:v>5.3283720930232574</c:v>
                      </c:pt>
                      <c:pt idx="5">
                        <c:v>5.3283720930232574</c:v>
                      </c:pt>
                    </c:numCache>
                  </c:numRef>
                </c:val>
                <c:smooth val="0"/>
                <c:extLst xmlns:c15="http://schemas.microsoft.com/office/drawing/2012/chart">
                  <c:ext xmlns:c16="http://schemas.microsoft.com/office/drawing/2014/chart" uri="{C3380CC4-5D6E-409C-BE32-E72D297353CC}">
                    <c16:uniqueId val="{00000004-AF69-4CAC-91C2-6A86CAD47DD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'ORANGE II (Co=50ppm)'!$A$62</c15:sqref>
                        </c15:formulaRef>
                      </c:ext>
                    </c:extLst>
                    <c:strCache>
                      <c:ptCount val="1"/>
                      <c:pt idx="0">
                        <c:v>Granite</c:v>
                      </c:pt>
                    </c:strCache>
                  </c:strRef>
                </c:tx>
                <c:cat>
                  <c:numRef>
                    <c:extLst xmlns:c15="http://schemas.microsoft.com/office/drawing/2012/chart">
                      <c:ext xmlns:c15="http://schemas.microsoft.com/office/drawing/2012/chart" uri="{02D57815-91ED-43cb-92C2-25804820EDAC}">
                        <c15:formulaRef>
                          <c15:sqref>'ORANGE II (Co=50ppm)'!$B$68:$B$73</c15:sqref>
                        </c15:formulaRef>
                      </c:ext>
                    </c:extLst>
                    <c:numCache>
                      <c:formatCode>General</c:formatCode>
                      <c:ptCount val="6"/>
                      <c:pt idx="0">
                        <c:v>2</c:v>
                      </c:pt>
                      <c:pt idx="1">
                        <c:v>4</c:v>
                      </c:pt>
                      <c:pt idx="2">
                        <c:v>6</c:v>
                      </c:pt>
                      <c:pt idx="3">
                        <c:v>8</c:v>
                      </c:pt>
                      <c:pt idx="4">
                        <c:v>10</c:v>
                      </c:pt>
                      <c:pt idx="5">
                        <c:v>12</c:v>
                      </c:pt>
                    </c:numCache>
                  </c:numRef>
                </c:cat>
                <c:val>
                  <c:numRef>
                    <c:extLst xmlns:c15="http://schemas.microsoft.com/office/drawing/2012/chart">
                      <c:ext xmlns:c15="http://schemas.microsoft.com/office/drawing/2012/chart" uri="{02D57815-91ED-43cb-92C2-25804820EDAC}">
                        <c15:formulaRef>
                          <c15:sqref>'ORANGE II (Co=50ppm)'!$M$62:$M$67</c15:sqref>
                        </c15:formulaRef>
                      </c:ext>
                    </c:extLst>
                    <c:numCache>
                      <c:formatCode>#,##0.0000</c:formatCode>
                      <c:ptCount val="6"/>
                      <c:pt idx="0">
                        <c:v>3.0288372093023277</c:v>
                      </c:pt>
                      <c:pt idx="1">
                        <c:v>2.8139534883720945</c:v>
                      </c:pt>
                      <c:pt idx="2">
                        <c:v>0.98604651162790802</c:v>
                      </c:pt>
                      <c:pt idx="3">
                        <c:v>1.4046511627906981</c:v>
                      </c:pt>
                      <c:pt idx="4">
                        <c:v>0.10232558139534974</c:v>
                      </c:pt>
                      <c:pt idx="5">
                        <c:v>0.10232558139534974</c:v>
                      </c:pt>
                    </c:numCache>
                  </c:numRef>
                </c:val>
                <c:smooth val="0"/>
                <c:extLst xmlns:c15="http://schemas.microsoft.com/office/drawing/2012/chart">
                  <c:ext xmlns:c16="http://schemas.microsoft.com/office/drawing/2014/chart" uri="{C3380CC4-5D6E-409C-BE32-E72D297353CC}">
                    <c16:uniqueId val="{00000005-AF69-4CAC-91C2-6A86CAD47DD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'ORANGE II (Co=50ppm)'!$A$68</c15:sqref>
                        </c15:formulaRef>
                      </c:ext>
                    </c:extLst>
                    <c:strCache>
                      <c:ptCount val="1"/>
                      <c:pt idx="0">
                        <c:v>Gr-nZVI</c:v>
                      </c:pt>
                    </c:strCache>
                  </c:strRef>
                </c:tx>
                <c:cat>
                  <c:numRef>
                    <c:extLst xmlns:c15="http://schemas.microsoft.com/office/drawing/2012/chart">
                      <c:ext xmlns:c15="http://schemas.microsoft.com/office/drawing/2012/chart" uri="{02D57815-91ED-43cb-92C2-25804820EDAC}">
                        <c15:formulaRef>
                          <c15:sqref>'ORANGE II (Co=50ppm)'!$B$68:$B$73</c15:sqref>
                        </c15:formulaRef>
                      </c:ext>
                    </c:extLst>
                    <c:numCache>
                      <c:formatCode>General</c:formatCode>
                      <c:ptCount val="6"/>
                      <c:pt idx="0">
                        <c:v>2</c:v>
                      </c:pt>
                      <c:pt idx="1">
                        <c:v>4</c:v>
                      </c:pt>
                      <c:pt idx="2">
                        <c:v>6</c:v>
                      </c:pt>
                      <c:pt idx="3">
                        <c:v>8</c:v>
                      </c:pt>
                      <c:pt idx="4">
                        <c:v>10</c:v>
                      </c:pt>
                      <c:pt idx="5">
                        <c:v>12</c:v>
                      </c:pt>
                    </c:numCache>
                  </c:numRef>
                </c:cat>
                <c:val>
                  <c:numRef>
                    <c:extLst xmlns:c15="http://schemas.microsoft.com/office/drawing/2012/chart">
                      <c:ext xmlns:c15="http://schemas.microsoft.com/office/drawing/2012/chart" uri="{02D57815-91ED-43cb-92C2-25804820EDAC}">
                        <c15:formulaRef>
                          <c15:sqref>'ORANGE II (Co=50ppm)'!$M$68:$M$73</c15:sqref>
                        </c15:formulaRef>
                      </c:ext>
                    </c:extLst>
                    <c:numCache>
                      <c:formatCode>#,##0.0000</c:formatCode>
                      <c:ptCount val="6"/>
                      <c:pt idx="0">
                        <c:v>5.3283720930232574</c:v>
                      </c:pt>
                      <c:pt idx="1">
                        <c:v>5.3283720930232574</c:v>
                      </c:pt>
                      <c:pt idx="2">
                        <c:v>5.3283720930232574</c:v>
                      </c:pt>
                      <c:pt idx="3">
                        <c:v>5.3283720930232574</c:v>
                      </c:pt>
                      <c:pt idx="4">
                        <c:v>5.3283720930232574</c:v>
                      </c:pt>
                      <c:pt idx="5">
                        <c:v>5.3283720930232574</c:v>
                      </c:pt>
                    </c:numCache>
                  </c:numRef>
                </c:val>
                <c:smooth val="0"/>
                <c:extLst xmlns:c15="http://schemas.microsoft.com/office/drawing/2012/chart">
                  <c:ext xmlns:c16="http://schemas.microsoft.com/office/drawing/2014/chart" uri="{C3380CC4-5D6E-409C-BE32-E72D297353CC}">
                    <c16:uniqueId val="{00000006-AF69-4CAC-91C2-6A86CAD47DD4}"/>
                  </c:ext>
                </c:extLst>
              </c15:ser>
            </c15:filteredLineSeries>
          </c:ext>
        </c:extLst>
      </c:lineChart>
      <c:catAx>
        <c:axId val="154733184"/>
        <c:scaling>
          <c:orientation val="minMax"/>
        </c:scaling>
        <c:delete val="0"/>
        <c:axPos val="b"/>
        <c:title>
          <c:tx>
            <c:rich>
              <a:bodyPr/>
              <a:lstStyle/>
              <a:p>
                <a:pPr>
                  <a:defRPr/>
                </a:pPr>
                <a:r>
                  <a:rPr lang="en-US"/>
                  <a:t>pH</a:t>
                </a:r>
              </a:p>
            </c:rich>
          </c:tx>
          <c:layout>
            <c:manualLayout>
              <c:xMode val="edge"/>
              <c:yMode val="edge"/>
              <c:x val="0.42973106079164336"/>
              <c:y val="0.92028804318786017"/>
            </c:manualLayout>
          </c:layout>
          <c:overlay val="0"/>
        </c:title>
        <c:numFmt formatCode="General" sourceLinked="1"/>
        <c:majorTickMark val="none"/>
        <c:minorTickMark val="none"/>
        <c:tickLblPos val="nextTo"/>
        <c:crossAx val="155284608"/>
        <c:crossesAt val="0"/>
        <c:auto val="1"/>
        <c:lblAlgn val="ctr"/>
        <c:lblOffset val="100"/>
        <c:noMultiLvlLbl val="0"/>
      </c:catAx>
      <c:valAx>
        <c:axId val="155284608"/>
        <c:scaling>
          <c:orientation val="minMax"/>
        </c:scaling>
        <c:delete val="0"/>
        <c:axPos val="l"/>
        <c:title>
          <c:tx>
            <c:rich>
              <a:bodyPr/>
              <a:lstStyle/>
              <a:p>
                <a:pPr>
                  <a:defRPr/>
                </a:pPr>
                <a:r>
                  <a:rPr lang="en-US"/>
                  <a:t>Concentration of Acid Orange II adsorbed by particles, qe (mg/g)</a:t>
                </a:r>
                <a:endParaRPr lang="en-MY"/>
              </a:p>
            </c:rich>
          </c:tx>
          <c:layout>
            <c:manualLayout>
              <c:xMode val="edge"/>
              <c:yMode val="edge"/>
              <c:x val="1.9721442830990126E-2"/>
              <c:y val="7.0758385165577448E-2"/>
            </c:manualLayout>
          </c:layout>
          <c:overlay val="0"/>
        </c:title>
        <c:numFmt formatCode="#,##0" sourceLinked="0"/>
        <c:majorTickMark val="none"/>
        <c:minorTickMark val="none"/>
        <c:tickLblPos val="nextTo"/>
        <c:spPr>
          <a:ln/>
        </c:spPr>
        <c:crossAx val="154733184"/>
        <c:crosses val="autoZero"/>
        <c:crossBetween val="between"/>
      </c:valAx>
      <c:spPr>
        <a:noFill/>
        <a:ln w="12700">
          <a:solidFill>
            <a:sysClr val="windowText" lastClr="000000"/>
          </a:solidFill>
        </a:ln>
      </c:spPr>
    </c:plotArea>
    <c:legend>
      <c:legendPos val="r"/>
      <c:layout>
        <c:manualLayout>
          <c:xMode val="edge"/>
          <c:yMode val="edge"/>
          <c:x val="0.56371581414918559"/>
          <c:y val="0.44440639094870416"/>
          <c:w val="0.3551542881464142"/>
          <c:h val="0.31494992737558292"/>
        </c:manualLayout>
      </c:layout>
      <c:overlay val="0"/>
      <c:spPr>
        <a:noFill/>
      </c:spPr>
    </c:legend>
    <c:plotVisOnly val="1"/>
    <c:dispBlanksAs val="gap"/>
    <c:showDLblsOverMax val="0"/>
  </c:chart>
  <c:spPr>
    <a:ln>
      <a:solidFill>
        <a:schemeClr val="bg1"/>
      </a:solidFill>
    </a:ln>
  </c:spPr>
  <c:txPr>
    <a:bodyPr/>
    <a:lstStyle/>
    <a:p>
      <a:pPr>
        <a:defRPr sz="900" b="0">
          <a:latin typeface="Arial" panose="020B0604020202020204" pitchFamily="34" charset="0"/>
          <a:cs typeface="Arial" panose="020B060402020202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96755349870959"/>
          <c:y val="5.1153968072831478E-2"/>
          <c:w val="0.67430335292595467"/>
          <c:h val="0.76346304538019705"/>
        </c:manualLayout>
      </c:layout>
      <c:lineChart>
        <c:grouping val="standard"/>
        <c:varyColors val="0"/>
        <c:ser>
          <c:idx val="3"/>
          <c:order val="0"/>
          <c:tx>
            <c:strRef>
              <c:f>'ORANGE II (Co=50ppm)'!$A$44</c:f>
              <c:strCache>
                <c:ptCount val="1"/>
                <c:pt idx="0">
                  <c:v>Activated Carbon</c:v>
                </c:pt>
              </c:strCache>
              <c:extLst xmlns:c15="http://schemas.microsoft.com/office/drawing/2012/chart" xmlns:c16r2="http://schemas.microsoft.com/office/drawing/2015/06/chart"/>
            </c:strRef>
          </c:tx>
          <c:spPr>
            <a:ln w="12700">
              <a:solidFill>
                <a:schemeClr val="tx1"/>
              </a:solidFill>
            </a:ln>
          </c:spPr>
          <c:marker>
            <c:symbol val="circle"/>
            <c:size val="7"/>
            <c:spPr>
              <a:noFill/>
              <a:ln>
                <a:solidFill>
                  <a:schemeClr val="tx1"/>
                </a:solidFill>
              </a:ln>
            </c:spPr>
          </c:marker>
          <c:cat>
            <c:numRef>
              <c:f>'ORANGE II (Co=50ppm)'!$B$56:$B$59</c:f>
              <c:numCache>
                <c:formatCode>General</c:formatCode>
                <c:ptCount val="4"/>
                <c:pt idx="0">
                  <c:v>30</c:v>
                </c:pt>
                <c:pt idx="1">
                  <c:v>40</c:v>
                </c:pt>
                <c:pt idx="2">
                  <c:v>50</c:v>
                </c:pt>
                <c:pt idx="3">
                  <c:v>60</c:v>
                </c:pt>
              </c:numCache>
              <c:extLst xmlns:c15="http://schemas.microsoft.com/office/drawing/2012/chart" xmlns:c16r2="http://schemas.microsoft.com/office/drawing/2015/06/chart"/>
            </c:numRef>
          </c:cat>
          <c:val>
            <c:numRef>
              <c:f>'ORANGE II (Co=50ppm)'!$M$44:$M$47</c:f>
              <c:numCache>
                <c:formatCode>#,##0.0000</c:formatCode>
                <c:ptCount val="4"/>
                <c:pt idx="0">
                  <c:v>5.6781200000000007</c:v>
                </c:pt>
                <c:pt idx="1">
                  <c:v>5.6789200000000006</c:v>
                </c:pt>
                <c:pt idx="2">
                  <c:v>5.6804700000000006</c:v>
                </c:pt>
                <c:pt idx="3">
                  <c:v>5.6815700000000007</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0-BFFF-4FA4-9461-274A44176970}"/>
            </c:ext>
          </c:extLst>
        </c:ser>
        <c:ser>
          <c:idx val="4"/>
          <c:order val="1"/>
          <c:tx>
            <c:strRef>
              <c:f>'ORANGE II (Co=50ppm)'!$A$48</c:f>
              <c:strCache>
                <c:ptCount val="1"/>
                <c:pt idx="0">
                  <c:v>AC-nZVI</c:v>
                </c:pt>
              </c:strCache>
              <c:extLst xmlns:c15="http://schemas.microsoft.com/office/drawing/2012/chart" xmlns:c16r2="http://schemas.microsoft.com/office/drawing/2015/06/chart"/>
            </c:strRef>
          </c:tx>
          <c:spPr>
            <a:ln w="9525" cap="rnd">
              <a:solidFill>
                <a:schemeClr val="tx1"/>
              </a:solidFill>
            </a:ln>
          </c:spPr>
          <c:marker>
            <c:symbol val="square"/>
            <c:size val="7"/>
            <c:spPr>
              <a:noFill/>
              <a:ln cap="rnd">
                <a:solidFill>
                  <a:schemeClr val="tx1"/>
                </a:solidFill>
              </a:ln>
            </c:spPr>
          </c:marker>
          <c:cat>
            <c:numRef>
              <c:f>'ORANGE II (Co=50ppm)'!$B$56:$B$59</c:f>
              <c:numCache>
                <c:formatCode>General</c:formatCode>
                <c:ptCount val="4"/>
                <c:pt idx="0">
                  <c:v>30</c:v>
                </c:pt>
                <c:pt idx="1">
                  <c:v>40</c:v>
                </c:pt>
                <c:pt idx="2">
                  <c:v>50</c:v>
                </c:pt>
                <c:pt idx="3">
                  <c:v>60</c:v>
                </c:pt>
              </c:numCache>
              <c:extLst xmlns:c15="http://schemas.microsoft.com/office/drawing/2012/chart" xmlns:c16r2="http://schemas.microsoft.com/office/drawing/2015/06/chart"/>
            </c:numRef>
          </c:cat>
          <c:val>
            <c:numRef>
              <c:f>'ORANGE II (Co=50ppm)'!$M$48:$M$51</c:f>
              <c:numCache>
                <c:formatCode>#,##0.0000</c:formatCode>
                <c:ptCount val="4"/>
                <c:pt idx="0">
                  <c:v>5.6818600000000004</c:v>
                </c:pt>
                <c:pt idx="1">
                  <c:v>5.6818600000000004</c:v>
                </c:pt>
                <c:pt idx="2">
                  <c:v>5.6818600000000004</c:v>
                </c:pt>
                <c:pt idx="3">
                  <c:v>5.6818600000000004</c:v>
                </c:pt>
              </c:numCache>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1-BFFF-4FA4-9461-274A44176970}"/>
            </c:ext>
          </c:extLst>
        </c:ser>
        <c:dLbls>
          <c:showLegendKey val="0"/>
          <c:showVal val="0"/>
          <c:showCatName val="0"/>
          <c:showSerName val="0"/>
          <c:showPercent val="0"/>
          <c:showBubbleSize val="0"/>
        </c:dLbls>
        <c:marker val="1"/>
        <c:smooth val="0"/>
        <c:axId val="160406528"/>
        <c:axId val="16042956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'ORANGE II (Co=50ppm)'!$A$32</c15:sqref>
                        </c15:formulaRef>
                      </c:ext>
                    </c:extLst>
                    <c:strCache>
                      <c:ptCount val="1"/>
                      <c:pt idx="0">
                        <c:v>nZVI</c:v>
                      </c:pt>
                    </c:strCache>
                  </c:strRef>
                </c:tx>
                <c:spPr>
                  <a:ln w="12700">
                    <a:solidFill>
                      <a:sysClr val="windowText" lastClr="000000"/>
                    </a:solidFill>
                  </a:ln>
                </c:spPr>
                <c:marker>
                  <c:spPr>
                    <a:noFill/>
                    <a:ln>
                      <a:solidFill>
                        <a:sysClr val="windowText" lastClr="000000"/>
                      </a:solidFill>
                    </a:ln>
                  </c:spPr>
                </c:marker>
                <c:cat>
                  <c:numRef>
                    <c:extLst>
                      <c:ext uri="{02D57815-91ED-43cb-92C2-25804820EDAC}">
                        <c15:formulaRef>
                          <c15:sqref>'ORANGE II (Co=50ppm)'!$B$56:$B$59</c15:sqref>
                        </c15:formulaRef>
                      </c:ext>
                    </c:extLst>
                    <c:numCache>
                      <c:formatCode>General</c:formatCode>
                      <c:ptCount val="4"/>
                      <c:pt idx="0">
                        <c:v>30</c:v>
                      </c:pt>
                      <c:pt idx="1">
                        <c:v>40</c:v>
                      </c:pt>
                      <c:pt idx="2">
                        <c:v>50</c:v>
                      </c:pt>
                      <c:pt idx="3">
                        <c:v>60</c:v>
                      </c:pt>
                    </c:numCache>
                  </c:numRef>
                </c:cat>
                <c:val>
                  <c:numRef>
                    <c:extLst>
                      <c:ext uri="{02D57815-91ED-43cb-92C2-25804820EDAC}">
                        <c15:formulaRef>
                          <c15:sqref>'ORANGE II (Co=50ppm)'!$M$32:$M$35</c15:sqref>
                        </c15:formulaRef>
                      </c:ext>
                    </c:extLst>
                    <c:numCache>
                      <c:formatCode>#,##0.0000</c:formatCode>
                      <c:ptCount val="4"/>
                      <c:pt idx="0">
                        <c:v>5.6818600000000004</c:v>
                      </c:pt>
                      <c:pt idx="1">
                        <c:v>5.6818600000000004</c:v>
                      </c:pt>
                      <c:pt idx="2">
                        <c:v>5.6818600000000004</c:v>
                      </c:pt>
                      <c:pt idx="3">
                        <c:v>5.6818600000000004</c:v>
                      </c:pt>
                    </c:numCache>
                  </c:numRef>
                </c:val>
                <c:smooth val="0"/>
                <c:extLst>
                  <c:ext xmlns:c16="http://schemas.microsoft.com/office/drawing/2014/chart" uri="{C3380CC4-5D6E-409C-BE32-E72D297353CC}">
                    <c16:uniqueId val="{00000002-BFFF-4FA4-9461-274A4417697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'ORANGE II (Co=50ppm)'!$A$36</c15:sqref>
                        </c15:formulaRef>
                      </c:ext>
                    </c:extLst>
                    <c:strCache>
                      <c:ptCount val="1"/>
                      <c:pt idx="0">
                        <c:v>Bentonite</c:v>
                      </c:pt>
                    </c:strCache>
                  </c:strRef>
                </c:tx>
                <c:spPr>
                  <a:ln w="12700">
                    <a:solidFill>
                      <a:sysClr val="windowText" lastClr="000000"/>
                    </a:solidFill>
                  </a:ln>
                </c:spPr>
                <c:marker>
                  <c:spPr>
                    <a:noFill/>
                    <a:ln>
                      <a:solidFill>
                        <a:sysClr val="windowText" lastClr="000000"/>
                      </a:solidFill>
                    </a:ln>
                  </c:spPr>
                </c:marker>
                <c:cat>
                  <c:numRef>
                    <c:extLst xmlns:c15="http://schemas.microsoft.com/office/drawing/2012/chart">
                      <c:ext xmlns:c15="http://schemas.microsoft.com/office/drawing/2012/chart" uri="{02D57815-91ED-43cb-92C2-25804820EDAC}">
                        <c15:formulaRef>
                          <c15:sqref>'ORANGE II (Co=50ppm)'!$B$56:$B$59</c15:sqref>
                        </c15:formulaRef>
                      </c:ext>
                    </c:extLst>
                    <c:numCache>
                      <c:formatCode>General</c:formatCode>
                      <c:ptCount val="4"/>
                      <c:pt idx="0">
                        <c:v>30</c:v>
                      </c:pt>
                      <c:pt idx="1">
                        <c:v>40</c:v>
                      </c:pt>
                      <c:pt idx="2">
                        <c:v>50</c:v>
                      </c:pt>
                      <c:pt idx="3">
                        <c:v>60</c:v>
                      </c:pt>
                    </c:numCache>
                  </c:numRef>
                </c:cat>
                <c:val>
                  <c:numRef>
                    <c:extLst xmlns:c15="http://schemas.microsoft.com/office/drawing/2012/chart">
                      <c:ext xmlns:c15="http://schemas.microsoft.com/office/drawing/2012/chart" uri="{02D57815-91ED-43cb-92C2-25804820EDAC}">
                        <c15:formulaRef>
                          <c15:sqref>'ORANGE II (Co=50ppm)'!$M$36:$M$39</c15:sqref>
                        </c15:formulaRef>
                      </c:ext>
                    </c:extLst>
                    <c:numCache>
                      <c:formatCode>#,##0.0000</c:formatCode>
                      <c:ptCount val="4"/>
                      <c:pt idx="0">
                        <c:v>0.29767395348837128</c:v>
                      </c:pt>
                      <c:pt idx="1">
                        <c:v>0.12092976744186075</c:v>
                      </c:pt>
                      <c:pt idx="2">
                        <c:v>0.17674372093023225</c:v>
                      </c:pt>
                      <c:pt idx="3">
                        <c:v>0.12092976744186075</c:v>
                      </c:pt>
                    </c:numCache>
                  </c:numRef>
                </c:val>
                <c:smooth val="0"/>
                <c:extLst xmlns:c15="http://schemas.microsoft.com/office/drawing/2012/chart">
                  <c:ext xmlns:c16="http://schemas.microsoft.com/office/drawing/2014/chart" uri="{C3380CC4-5D6E-409C-BE32-E72D297353CC}">
                    <c16:uniqueId val="{00000003-BFFF-4FA4-9461-274A4417697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'ORANGE II (Co=50ppm)'!$A$40</c15:sqref>
                        </c15:formulaRef>
                      </c:ext>
                    </c:extLst>
                    <c:strCache>
                      <c:ptCount val="1"/>
                      <c:pt idx="0">
                        <c:v>B-nZVI</c:v>
                      </c:pt>
                    </c:strCache>
                  </c:strRef>
                </c:tx>
                <c:spPr>
                  <a:ln w="12700">
                    <a:solidFill>
                      <a:sysClr val="windowText" lastClr="000000"/>
                    </a:solidFill>
                  </a:ln>
                </c:spPr>
                <c:marker>
                  <c:spPr>
                    <a:noFill/>
                    <a:ln>
                      <a:solidFill>
                        <a:sysClr val="windowText" lastClr="000000"/>
                      </a:solidFill>
                    </a:ln>
                  </c:spPr>
                </c:marker>
                <c:cat>
                  <c:numRef>
                    <c:extLst xmlns:c15="http://schemas.microsoft.com/office/drawing/2012/chart">
                      <c:ext xmlns:c15="http://schemas.microsoft.com/office/drawing/2012/chart" uri="{02D57815-91ED-43cb-92C2-25804820EDAC}">
                        <c15:formulaRef>
                          <c15:sqref>'ORANGE II (Co=50ppm)'!$B$56:$B$59</c15:sqref>
                        </c15:formulaRef>
                      </c:ext>
                    </c:extLst>
                    <c:numCache>
                      <c:formatCode>General</c:formatCode>
                      <c:ptCount val="4"/>
                      <c:pt idx="0">
                        <c:v>30</c:v>
                      </c:pt>
                      <c:pt idx="1">
                        <c:v>40</c:v>
                      </c:pt>
                      <c:pt idx="2">
                        <c:v>50</c:v>
                      </c:pt>
                      <c:pt idx="3">
                        <c:v>60</c:v>
                      </c:pt>
                    </c:numCache>
                  </c:numRef>
                </c:cat>
                <c:val>
                  <c:numRef>
                    <c:extLst xmlns:c15="http://schemas.microsoft.com/office/drawing/2012/chart">
                      <c:ext xmlns:c15="http://schemas.microsoft.com/office/drawing/2012/chart" uri="{02D57815-91ED-43cb-92C2-25804820EDAC}">
                        <c15:formulaRef>
                          <c15:sqref>'ORANGE II (Co=50ppm)'!$M$40:$M$43</c15:sqref>
                        </c15:formulaRef>
                      </c:ext>
                    </c:extLst>
                    <c:numCache>
                      <c:formatCode>#,##0.0000</c:formatCode>
                      <c:ptCount val="4"/>
                      <c:pt idx="0">
                        <c:v>5.6818600000000004</c:v>
                      </c:pt>
                      <c:pt idx="1">
                        <c:v>5.6818600000000004</c:v>
                      </c:pt>
                      <c:pt idx="2">
                        <c:v>5.6818600000000004</c:v>
                      </c:pt>
                      <c:pt idx="3">
                        <c:v>5.6818600000000004</c:v>
                      </c:pt>
                    </c:numCache>
                  </c:numRef>
                </c:val>
                <c:smooth val="0"/>
                <c:extLst xmlns:c15="http://schemas.microsoft.com/office/drawing/2012/chart">
                  <c:ext xmlns:c16="http://schemas.microsoft.com/office/drawing/2014/chart" uri="{C3380CC4-5D6E-409C-BE32-E72D297353CC}">
                    <c16:uniqueId val="{00000004-BFFF-4FA4-9461-274A4417697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'ORANGE II (Co=50ppm)'!$A$52</c15:sqref>
                        </c15:formulaRef>
                      </c:ext>
                    </c:extLst>
                    <c:strCache>
                      <c:ptCount val="1"/>
                      <c:pt idx="0">
                        <c:v>Granite</c:v>
                      </c:pt>
                    </c:strCache>
                  </c:strRef>
                </c:tx>
                <c:cat>
                  <c:numRef>
                    <c:extLst xmlns:c15="http://schemas.microsoft.com/office/drawing/2012/chart">
                      <c:ext xmlns:c15="http://schemas.microsoft.com/office/drawing/2012/chart" uri="{02D57815-91ED-43cb-92C2-25804820EDAC}">
                        <c15:formulaRef>
                          <c15:sqref>'ORANGE II (Co=50ppm)'!$B$56:$B$59</c15:sqref>
                        </c15:formulaRef>
                      </c:ext>
                    </c:extLst>
                    <c:numCache>
                      <c:formatCode>General</c:formatCode>
                      <c:ptCount val="4"/>
                      <c:pt idx="0">
                        <c:v>30</c:v>
                      </c:pt>
                      <c:pt idx="1">
                        <c:v>40</c:v>
                      </c:pt>
                      <c:pt idx="2">
                        <c:v>50</c:v>
                      </c:pt>
                      <c:pt idx="3">
                        <c:v>60</c:v>
                      </c:pt>
                    </c:numCache>
                  </c:numRef>
                </c:cat>
                <c:val>
                  <c:numRef>
                    <c:extLst xmlns:c15="http://schemas.microsoft.com/office/drawing/2012/chart">
                      <c:ext xmlns:c15="http://schemas.microsoft.com/office/drawing/2012/chart" uri="{02D57815-91ED-43cb-92C2-25804820EDAC}">
                        <c15:formulaRef>
                          <c15:sqref>'ORANGE II (Co=50ppm)'!$M$52:$M$55</c15:sqref>
                        </c15:formulaRef>
                      </c:ext>
                    </c:extLst>
                    <c:numCache>
                      <c:formatCode>#,##0.0000</c:formatCode>
                      <c:ptCount val="4"/>
                      <c:pt idx="0">
                        <c:v>2.8744181395348845</c:v>
                      </c:pt>
                      <c:pt idx="1">
                        <c:v>2.6558134883720932</c:v>
                      </c:pt>
                      <c:pt idx="2">
                        <c:v>2.5302320930232565</c:v>
                      </c:pt>
                      <c:pt idx="3">
                        <c:v>4.5999995348837217</c:v>
                      </c:pt>
                    </c:numCache>
                  </c:numRef>
                </c:val>
                <c:smooth val="0"/>
                <c:extLst xmlns:c15="http://schemas.microsoft.com/office/drawing/2012/chart">
                  <c:ext xmlns:c16="http://schemas.microsoft.com/office/drawing/2014/chart" uri="{C3380CC4-5D6E-409C-BE32-E72D297353CC}">
                    <c16:uniqueId val="{00000005-BFFF-4FA4-9461-274A44176970}"/>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'ORANGE II (Co=50ppm)'!$A$56</c15:sqref>
                        </c15:formulaRef>
                      </c:ext>
                    </c:extLst>
                    <c:strCache>
                      <c:ptCount val="1"/>
                      <c:pt idx="0">
                        <c:v>Gr-nZVI</c:v>
                      </c:pt>
                    </c:strCache>
                  </c:strRef>
                </c:tx>
                <c:cat>
                  <c:numRef>
                    <c:extLst xmlns:c15="http://schemas.microsoft.com/office/drawing/2012/chart">
                      <c:ext xmlns:c15="http://schemas.microsoft.com/office/drawing/2012/chart" uri="{02D57815-91ED-43cb-92C2-25804820EDAC}">
                        <c15:formulaRef>
                          <c15:sqref>'ORANGE II (Co=50ppm)'!$B$56:$B$59</c15:sqref>
                        </c15:formulaRef>
                      </c:ext>
                    </c:extLst>
                    <c:numCache>
                      <c:formatCode>General</c:formatCode>
                      <c:ptCount val="4"/>
                      <c:pt idx="0">
                        <c:v>30</c:v>
                      </c:pt>
                      <c:pt idx="1">
                        <c:v>40</c:v>
                      </c:pt>
                      <c:pt idx="2">
                        <c:v>50</c:v>
                      </c:pt>
                      <c:pt idx="3">
                        <c:v>60</c:v>
                      </c:pt>
                    </c:numCache>
                  </c:numRef>
                </c:cat>
                <c:val>
                  <c:numRef>
                    <c:extLst xmlns:c15="http://schemas.microsoft.com/office/drawing/2012/chart">
                      <c:ext xmlns:c15="http://schemas.microsoft.com/office/drawing/2012/chart" uri="{02D57815-91ED-43cb-92C2-25804820EDAC}">
                        <c15:formulaRef>
                          <c15:sqref>'ORANGE II (Co=50ppm)'!$M$56:$M$59</c15:sqref>
                        </c15:formulaRef>
                      </c:ext>
                    </c:extLst>
                    <c:numCache>
                      <c:formatCode>#,##0.0000</c:formatCode>
                      <c:ptCount val="4"/>
                      <c:pt idx="0">
                        <c:v>5.6818600000000004</c:v>
                      </c:pt>
                      <c:pt idx="1">
                        <c:v>5.6818600000000004</c:v>
                      </c:pt>
                      <c:pt idx="2">
                        <c:v>5.5801887920072666</c:v>
                      </c:pt>
                      <c:pt idx="3">
                        <c:v>5.6799400000000011</c:v>
                      </c:pt>
                    </c:numCache>
                  </c:numRef>
                </c:val>
                <c:smooth val="0"/>
                <c:extLst xmlns:c15="http://schemas.microsoft.com/office/drawing/2012/chart">
                  <c:ext xmlns:c16="http://schemas.microsoft.com/office/drawing/2014/chart" uri="{C3380CC4-5D6E-409C-BE32-E72D297353CC}">
                    <c16:uniqueId val="{00000006-BFFF-4FA4-9461-274A44176970}"/>
                  </c:ext>
                </c:extLst>
              </c15:ser>
            </c15:filteredLineSeries>
          </c:ext>
        </c:extLst>
      </c:lineChart>
      <c:catAx>
        <c:axId val="160406528"/>
        <c:scaling>
          <c:orientation val="minMax"/>
        </c:scaling>
        <c:delete val="0"/>
        <c:axPos val="b"/>
        <c:title>
          <c:tx>
            <c:rich>
              <a:bodyPr/>
              <a:lstStyle/>
              <a:p>
                <a:pPr>
                  <a:defRPr/>
                </a:pPr>
                <a:r>
                  <a:rPr lang="en-US"/>
                  <a:t>Temperature (oC)</a:t>
                </a:r>
              </a:p>
            </c:rich>
          </c:tx>
          <c:layout>
            <c:manualLayout>
              <c:xMode val="edge"/>
              <c:yMode val="edge"/>
              <c:x val="0.36610549665543785"/>
              <c:y val="0.90447056617922761"/>
            </c:manualLayout>
          </c:layout>
          <c:overlay val="0"/>
        </c:title>
        <c:numFmt formatCode="General" sourceLinked="1"/>
        <c:majorTickMark val="none"/>
        <c:minorTickMark val="none"/>
        <c:tickLblPos val="nextTo"/>
        <c:crossAx val="160429568"/>
        <c:crossesAt val="0"/>
        <c:auto val="1"/>
        <c:lblAlgn val="ctr"/>
        <c:lblOffset val="100"/>
        <c:noMultiLvlLbl val="0"/>
      </c:catAx>
      <c:valAx>
        <c:axId val="160429568"/>
        <c:scaling>
          <c:orientation val="minMax"/>
        </c:scaling>
        <c:delete val="0"/>
        <c:axPos val="l"/>
        <c:title>
          <c:tx>
            <c:rich>
              <a:bodyPr/>
              <a:lstStyle/>
              <a:p>
                <a:pPr>
                  <a:defRPr/>
                </a:pPr>
                <a:r>
                  <a:rPr lang="en-US"/>
                  <a:t>Concentration of Acid Orange II adsorbed by particles, qe (mg/g)</a:t>
                </a:r>
              </a:p>
            </c:rich>
          </c:tx>
          <c:layout>
            <c:manualLayout>
              <c:xMode val="edge"/>
              <c:yMode val="edge"/>
              <c:x val="1.194907676681743E-2"/>
              <c:y val="6.9098110488522185E-2"/>
            </c:manualLayout>
          </c:layout>
          <c:overlay val="0"/>
        </c:title>
        <c:numFmt formatCode="#,##0.000" sourceLinked="0"/>
        <c:majorTickMark val="none"/>
        <c:minorTickMark val="none"/>
        <c:tickLblPos val="nextTo"/>
        <c:spPr>
          <a:ln/>
        </c:spPr>
        <c:crossAx val="160406528"/>
        <c:crosses val="autoZero"/>
        <c:crossBetween val="between"/>
      </c:valAx>
      <c:spPr>
        <a:noFill/>
        <a:ln w="12700">
          <a:solidFill>
            <a:schemeClr val="tx1"/>
          </a:solidFill>
        </a:ln>
      </c:spPr>
    </c:plotArea>
    <c:legend>
      <c:legendPos val="r"/>
      <c:layout>
        <c:manualLayout>
          <c:xMode val="edge"/>
          <c:yMode val="edge"/>
          <c:x val="0.63243436033910383"/>
          <c:y val="0.48399102286127277"/>
          <c:w val="0.36077076633026511"/>
          <c:h val="0.28494249812976274"/>
        </c:manualLayout>
      </c:layout>
      <c:overlay val="0"/>
    </c:legend>
    <c:plotVisOnly val="1"/>
    <c:dispBlanksAs val="gap"/>
    <c:showDLblsOverMax val="0"/>
  </c:chart>
  <c:spPr>
    <a:ln>
      <a:noFill/>
    </a:ln>
  </c:spPr>
  <c:txPr>
    <a:bodyPr/>
    <a:lstStyle/>
    <a:p>
      <a:pPr>
        <a:defRPr sz="900" b="0">
          <a:latin typeface="Arial" panose="020B0604020202020204" pitchFamily="34" charset="0"/>
          <a:cs typeface="Arial" panose="020B0604020202020204" pitchFamily="34" charset="0"/>
        </a:defRPr>
      </a:pPr>
      <a:endParaRPr lang="it-IT"/>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D8A4-2556-4DA1-819E-08C5E21F4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6</Pages>
  <Words>8244</Words>
  <Characters>46994</Characters>
  <Application>Microsoft Office Word</Application>
  <DocSecurity>0</DocSecurity>
  <Lines>391</Lines>
  <Paragraphs>110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raffaella</cp:lastModifiedBy>
  <cp:revision>23</cp:revision>
  <cp:lastPrinted>2015-05-12T18:31:00Z</cp:lastPrinted>
  <dcterms:created xsi:type="dcterms:W3CDTF">2018-11-12T08:22:00Z</dcterms:created>
  <dcterms:modified xsi:type="dcterms:W3CDTF">2019-04-01T14:13:00Z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a79a1e02-23a8-3574-aa58-1931c663be7f</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16th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