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015381C" w14:textId="77777777">
        <w:trPr>
          <w:trHeight w:val="852"/>
          <w:jc w:val="center"/>
        </w:trPr>
        <w:tc>
          <w:tcPr>
            <w:tcW w:w="6946" w:type="dxa"/>
            <w:vMerge w:val="restart"/>
            <w:tcBorders>
              <w:right w:val="single" w:sz="4" w:space="0" w:color="auto"/>
            </w:tcBorders>
          </w:tcPr>
          <w:p w14:paraId="4154FDC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7B2E9C7" wp14:editId="25BF7DB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4996B20" w14:textId="451762C7" w:rsidR="000A03B2" w:rsidRPr="00B57B36" w:rsidRDefault="00A76EFC" w:rsidP="00BD72A5">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BD72A5">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CAF99AB"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7A71674" w14:textId="77777777" w:rsidR="000A03B2" w:rsidRPr="00B57B36" w:rsidRDefault="000A03B2" w:rsidP="00CD5FE2">
            <w:pPr>
              <w:jc w:val="right"/>
            </w:pPr>
            <w:r w:rsidRPr="00B57B36">
              <w:rPr>
                <w:noProof/>
                <w:lang w:val="it-IT" w:eastAsia="it-IT"/>
              </w:rPr>
              <w:drawing>
                <wp:inline distT="0" distB="0" distL="0" distR="0" wp14:anchorId="3E46AA3A" wp14:editId="37FD374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9346DB7" w14:textId="77777777">
        <w:trPr>
          <w:trHeight w:val="567"/>
          <w:jc w:val="center"/>
        </w:trPr>
        <w:tc>
          <w:tcPr>
            <w:tcW w:w="6946" w:type="dxa"/>
            <w:vMerge/>
            <w:tcBorders>
              <w:right w:val="single" w:sz="4" w:space="0" w:color="auto"/>
            </w:tcBorders>
          </w:tcPr>
          <w:p w14:paraId="69164716"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6B20AA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750A06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B279963"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1EC6FC3A" w14:textId="77777777">
        <w:trPr>
          <w:trHeight w:val="68"/>
          <w:jc w:val="center"/>
        </w:trPr>
        <w:tc>
          <w:tcPr>
            <w:tcW w:w="8789" w:type="dxa"/>
            <w:gridSpan w:val="2"/>
          </w:tcPr>
          <w:p w14:paraId="2B61DDF9" w14:textId="77777777" w:rsidR="00300E56" w:rsidRPr="008531D2" w:rsidRDefault="00300E56" w:rsidP="003365E3">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bookmarkStart w:id="0" w:name="_GoBack"/>
            <w:bookmarkEnd w:id="0"/>
            <w:proofErr w:type="spellEnd"/>
            <w:r w:rsidRPr="008531D2">
              <w:rPr>
                <w:rFonts w:ascii="Tahoma" w:hAnsi="Tahoma" w:cs="Tahoma"/>
                <w:iCs/>
                <w:color w:val="333333"/>
                <w:sz w:val="14"/>
                <w:szCs w:val="14"/>
                <w:lang w:val="it-IT" w:eastAsia="it-IT"/>
              </w:rPr>
              <w:t>:</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 xml:space="preserve">Paolo </w:t>
            </w:r>
            <w:proofErr w:type="spellStart"/>
            <w:r w:rsidR="008531D2" w:rsidRPr="006F0401">
              <w:rPr>
                <w:rFonts w:ascii="Tahoma" w:hAnsi="Tahoma" w:cs="Tahoma"/>
                <w:bCs/>
                <w:color w:val="0D0D0D" w:themeColor="text1" w:themeTint="F2"/>
                <w:sz w:val="14"/>
                <w:szCs w:val="14"/>
                <w:lang w:val="it-IT"/>
              </w:rPr>
              <w:t>Ciambelli</w:t>
            </w:r>
            <w:proofErr w:type="spellEnd"/>
            <w:r w:rsidR="008531D2" w:rsidRPr="006F0401">
              <w:rPr>
                <w:rFonts w:ascii="Tahoma" w:hAnsi="Tahoma" w:cs="Tahoma"/>
                <w:bCs/>
                <w:color w:val="0D0D0D" w:themeColor="text1" w:themeTint="F2"/>
                <w:sz w:val="14"/>
                <w:szCs w:val="14"/>
                <w:lang w:val="it-IT"/>
              </w:rPr>
              <w:t xml:space="preserve">, Carmelo </w:t>
            </w:r>
            <w:proofErr w:type="spellStart"/>
            <w:r w:rsidR="008531D2" w:rsidRPr="006F0401">
              <w:rPr>
                <w:rFonts w:ascii="Tahoma" w:hAnsi="Tahoma" w:cs="Tahoma"/>
                <w:bCs/>
                <w:color w:val="0D0D0D" w:themeColor="text1" w:themeTint="F2"/>
                <w:sz w:val="14"/>
                <w:szCs w:val="14"/>
                <w:lang w:val="it-IT"/>
              </w:rPr>
              <w:t>Sunseri</w:t>
            </w:r>
            <w:proofErr w:type="spellEnd"/>
          </w:p>
          <w:p w14:paraId="648D60C9" w14:textId="5B094DA8" w:rsidR="000A03B2" w:rsidRPr="00B57B36" w:rsidRDefault="00FA5F5F" w:rsidP="00BD72A5">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w:t>
            </w:r>
            <w:r w:rsidR="00BD72A5">
              <w:rPr>
                <w:rFonts w:ascii="Tahoma" w:hAnsi="Tahoma" w:cs="Tahoma"/>
                <w:sz w:val="14"/>
                <w:szCs w:val="14"/>
              </w:rPr>
              <w:t>0</w:t>
            </w:r>
            <w:r w:rsidR="008D32B9" w:rsidRPr="00131FAB">
              <w:rPr>
                <w:rFonts w:ascii="Tahoma" w:hAnsi="Tahoma" w:cs="Tahoma"/>
                <w:sz w:val="14"/>
                <w:szCs w:val="14"/>
              </w:rPr>
              <w:t>-</w:t>
            </w:r>
            <w:r w:rsidR="00BD72A5">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2C7048D"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38067A01" w14:textId="65854B52" w:rsidR="00E978D0" w:rsidRPr="00B57B36" w:rsidRDefault="00955B7A" w:rsidP="00E978D0">
      <w:pPr>
        <w:pStyle w:val="CETTitle"/>
      </w:pPr>
      <w:r w:rsidRPr="00955B7A">
        <w:lastRenderedPageBreak/>
        <w:t xml:space="preserve">Steam </w:t>
      </w:r>
      <w:r w:rsidR="00BD72A5">
        <w:t>Reforming of Model Compounds from Biomass Fermentation o</w:t>
      </w:r>
      <w:r w:rsidR="00BD72A5" w:rsidRPr="00955B7A">
        <w:t xml:space="preserve">ver </w:t>
      </w:r>
      <w:proofErr w:type="spellStart"/>
      <w:r w:rsidR="00BD72A5" w:rsidRPr="00955B7A">
        <w:t>Nanometric</w:t>
      </w:r>
      <w:proofErr w:type="spellEnd"/>
      <w:r w:rsidR="00BD72A5" w:rsidRPr="00955B7A">
        <w:t xml:space="preserve"> </w:t>
      </w:r>
      <w:r w:rsidRPr="00955B7A">
        <w:t xml:space="preserve">Ruthenium </w:t>
      </w:r>
      <w:r w:rsidR="00BD72A5" w:rsidRPr="00955B7A">
        <w:t xml:space="preserve">Modified </w:t>
      </w:r>
      <w:r w:rsidRPr="00955B7A">
        <w:t>Nickel</w:t>
      </w:r>
      <w:r w:rsidR="00BD72A5" w:rsidRPr="00955B7A">
        <w:t>-</w:t>
      </w:r>
      <w:r w:rsidRPr="00955B7A">
        <w:t xml:space="preserve">Lanthanum </w:t>
      </w:r>
      <w:r w:rsidR="00BD72A5">
        <w:t>Perovskites Catalysts</w:t>
      </w:r>
    </w:p>
    <w:p w14:paraId="6B83379A" w14:textId="59628F05" w:rsidR="00E978D0" w:rsidRPr="00BD72A5" w:rsidRDefault="00BD72A5" w:rsidP="00BD72A5">
      <w:pPr>
        <w:pStyle w:val="CETAuthors"/>
        <w:jc w:val="left"/>
        <w:rPr>
          <w:spacing w:val="-2"/>
          <w:lang w:val="it-IT"/>
        </w:rPr>
      </w:pPr>
      <w:r w:rsidRPr="00BD72A5">
        <w:rPr>
          <w:spacing w:val="-2"/>
          <w:lang w:val="it-IT"/>
        </w:rPr>
        <w:t>Maria</w:t>
      </w:r>
      <w:r w:rsidR="00955B7A" w:rsidRPr="00BD72A5">
        <w:rPr>
          <w:spacing w:val="-2"/>
          <w:lang w:val="it-IT"/>
        </w:rPr>
        <w:t xml:space="preserve"> P</w:t>
      </w:r>
      <w:r w:rsidR="005A01AF" w:rsidRPr="00BD72A5">
        <w:rPr>
          <w:spacing w:val="-2"/>
          <w:lang w:val="it-IT"/>
        </w:rPr>
        <w:t>aola</w:t>
      </w:r>
      <w:r w:rsidR="00955B7A" w:rsidRPr="00BD72A5">
        <w:rPr>
          <w:spacing w:val="-2"/>
          <w:lang w:val="it-IT"/>
        </w:rPr>
        <w:t xml:space="preserve"> Bracciale</w:t>
      </w:r>
      <w:r w:rsidR="005A01AF" w:rsidRPr="00BD72A5">
        <w:rPr>
          <w:spacing w:val="-2"/>
          <w:lang w:val="it-IT"/>
        </w:rPr>
        <w:t>, Benedetta</w:t>
      </w:r>
      <w:r w:rsidR="00955B7A" w:rsidRPr="00BD72A5">
        <w:rPr>
          <w:spacing w:val="-2"/>
          <w:lang w:val="it-IT"/>
        </w:rPr>
        <w:t xml:space="preserve"> de Caprariis, P</w:t>
      </w:r>
      <w:r w:rsidR="005A01AF" w:rsidRPr="00BD72A5">
        <w:rPr>
          <w:spacing w:val="-2"/>
          <w:lang w:val="it-IT"/>
        </w:rPr>
        <w:t>aolo</w:t>
      </w:r>
      <w:r w:rsidR="00955B7A" w:rsidRPr="00BD72A5">
        <w:rPr>
          <w:spacing w:val="-2"/>
          <w:lang w:val="it-IT"/>
        </w:rPr>
        <w:t xml:space="preserve"> De Filippis</w:t>
      </w:r>
      <w:r w:rsidR="005A01AF" w:rsidRPr="00BD72A5">
        <w:rPr>
          <w:spacing w:val="-2"/>
          <w:lang w:val="it-IT"/>
        </w:rPr>
        <w:t>, Marco</w:t>
      </w:r>
      <w:r w:rsidRPr="00BD72A5">
        <w:rPr>
          <w:spacing w:val="-2"/>
          <w:lang w:val="it-IT"/>
        </w:rPr>
        <w:t xml:space="preserve"> </w:t>
      </w:r>
      <w:r w:rsidR="00955B7A" w:rsidRPr="00BD72A5">
        <w:rPr>
          <w:spacing w:val="-2"/>
          <w:lang w:val="it-IT"/>
        </w:rPr>
        <w:t>Scarsella*</w:t>
      </w:r>
    </w:p>
    <w:p w14:paraId="23F8F47A" w14:textId="77777777" w:rsidR="00E978D0" w:rsidRPr="005A01AF" w:rsidRDefault="005A01AF" w:rsidP="00BA44E8">
      <w:pPr>
        <w:pStyle w:val="CETAddress"/>
      </w:pPr>
      <w:r w:rsidRPr="005A01AF">
        <w:t>Department of Chemical Engineering, Sapienza University of Rome, Via Eudossiana 18, 00184 Rome, Italy</w:t>
      </w:r>
    </w:p>
    <w:p w14:paraId="20C7A498" w14:textId="4297A790" w:rsidR="00E978D0" w:rsidRPr="005A01AF" w:rsidRDefault="00BA44E8" w:rsidP="00BA44E8">
      <w:pPr>
        <w:pStyle w:val="CETAddress"/>
      </w:pPr>
      <w:r w:rsidRPr="00BD72A5">
        <w:t>marco.scarsella@uniroma1.it</w:t>
      </w:r>
    </w:p>
    <w:p w14:paraId="26021E82" w14:textId="77777777" w:rsidR="00BA44E8" w:rsidRPr="005A01AF" w:rsidRDefault="00BA44E8" w:rsidP="00600535">
      <w:pPr>
        <w:pStyle w:val="CETBodytext"/>
        <w:rPr>
          <w:lang w:val="en-GB"/>
        </w:rPr>
      </w:pPr>
    </w:p>
    <w:p w14:paraId="0722C791" w14:textId="161E790C" w:rsidR="00BA44E8" w:rsidRDefault="00BF18C7" w:rsidP="00BF18C7">
      <w:pPr>
        <w:pStyle w:val="CETBodytext"/>
      </w:pPr>
      <w:r>
        <w:rPr>
          <w:lang w:val="en-GB"/>
        </w:rPr>
        <w:t>N</w:t>
      </w:r>
      <w:proofErr w:type="spellStart"/>
      <w:r w:rsidRPr="00BF18C7">
        <w:t>anometric</w:t>
      </w:r>
      <w:proofErr w:type="spellEnd"/>
      <w:r w:rsidRPr="00BF18C7">
        <w:t xml:space="preserve"> ruthenium-modified LaNiO</w:t>
      </w:r>
      <w:r w:rsidRPr="00BF18C7">
        <w:rPr>
          <w:vertAlign w:val="subscript"/>
        </w:rPr>
        <w:t>3</w:t>
      </w:r>
      <w:r>
        <w:t xml:space="preserve"> perovskites</w:t>
      </w:r>
      <w:r w:rsidRPr="00BF18C7">
        <w:t xml:space="preserve"> prepared by </w:t>
      </w:r>
      <w:proofErr w:type="spellStart"/>
      <w:r w:rsidRPr="00BF18C7">
        <w:t>coprecipitation</w:t>
      </w:r>
      <w:proofErr w:type="spellEnd"/>
      <w:r w:rsidRPr="00BF18C7">
        <w:t xml:space="preserve"> method in aqueous and non-aqueous solvents</w:t>
      </w:r>
      <w:r w:rsidR="00A664E6">
        <w:t xml:space="preserve"> were tested as catalysts in the steam reforming of</w:t>
      </w:r>
      <w:r w:rsidRPr="00BF18C7">
        <w:t xml:space="preserve"> butanol, acetone and ethanol</w:t>
      </w:r>
      <w:r w:rsidR="00A664E6">
        <w:t xml:space="preserve"> and their mixture, named ABE, usually produced by fermentation. ABE is potentially of great interest for hydrogen production, notwithstanding the strong tendency of this mixture of oxygenated compound</w:t>
      </w:r>
      <w:r w:rsidR="003C0754">
        <w:t>s</w:t>
      </w:r>
      <w:r w:rsidR="00A664E6">
        <w:t xml:space="preserve"> to produce coke in the steam reforming conditions. The tested catalyst showed high feed conversion</w:t>
      </w:r>
      <w:r w:rsidR="003C0754">
        <w:t>s</w:t>
      </w:r>
      <w:r w:rsidR="00A664E6">
        <w:t xml:space="preserve"> with improved stability.</w:t>
      </w:r>
    </w:p>
    <w:p w14:paraId="502F99C9" w14:textId="77777777" w:rsidR="00600535" w:rsidRPr="00B57B36" w:rsidRDefault="00600535" w:rsidP="00600535">
      <w:pPr>
        <w:pStyle w:val="CETHeading1"/>
        <w:rPr>
          <w:lang w:val="en-GB"/>
        </w:rPr>
      </w:pPr>
      <w:r w:rsidRPr="00B57B36">
        <w:rPr>
          <w:lang w:val="en-GB"/>
        </w:rPr>
        <w:t>Introduction</w:t>
      </w:r>
    </w:p>
    <w:p w14:paraId="4D2B99C6" w14:textId="3F7167E1" w:rsidR="005A01AF" w:rsidRPr="005A01AF" w:rsidRDefault="005A01AF" w:rsidP="00B81FA0">
      <w:pPr>
        <w:pStyle w:val="CETBodytext"/>
        <w:rPr>
          <w:lang w:val="en-GB"/>
        </w:rPr>
      </w:pPr>
      <w:r w:rsidRPr="005A01AF">
        <w:rPr>
          <w:lang w:val="en-GB"/>
        </w:rPr>
        <w:t xml:space="preserve">The renewable production of hydrogen from sustainable resources such as biomass is becoming more and more attractive. In this context oxygenated compounds obtained from biomass fermentation constitute a very promising feedstock. Through fermentation of a wide variety of lignocellulosic materials it is possible to obtain a mixture of oxygenated compounds, principally ethanol, acetone and butanol (generally in a mass ratio </w:t>
      </w:r>
      <w:proofErr w:type="spellStart"/>
      <w:r w:rsidRPr="005A01AF">
        <w:rPr>
          <w:lang w:val="en-GB"/>
        </w:rPr>
        <w:t>butanol:acetone:ethanol</w:t>
      </w:r>
      <w:proofErr w:type="spellEnd"/>
      <w:r w:rsidRPr="005A01AF">
        <w:rPr>
          <w:lang w:val="en-GB"/>
        </w:rPr>
        <w:t xml:space="preserve"> of about 6:3:1) </w:t>
      </w:r>
      <w:r w:rsidR="00573EDF">
        <w:rPr>
          <w:lang w:val="en-GB"/>
        </w:rPr>
        <w:t>[</w:t>
      </w:r>
      <w:proofErr w:type="spellStart"/>
      <w:r w:rsidR="00573EDF">
        <w:rPr>
          <w:lang w:val="en-GB"/>
        </w:rPr>
        <w:t>Karimi</w:t>
      </w:r>
      <w:proofErr w:type="spellEnd"/>
      <w:r w:rsidR="00573EDF">
        <w:rPr>
          <w:lang w:val="en-GB"/>
        </w:rPr>
        <w:t xml:space="preserve"> et al., 2015]</w:t>
      </w:r>
      <w:r w:rsidR="00B81FA0">
        <w:rPr>
          <w:lang w:val="en-GB"/>
        </w:rPr>
        <w:t xml:space="preserve">. </w:t>
      </w:r>
      <w:r w:rsidR="00595E2B">
        <w:rPr>
          <w:lang w:val="en-GB"/>
        </w:rPr>
        <w:t>The mixture, usually known with the acronym ABE (</w:t>
      </w:r>
      <w:r w:rsidR="00595E2B">
        <w:t xml:space="preserve">acetone-butanol-ethanol ), </w:t>
      </w:r>
      <w:r w:rsidR="00595E2B">
        <w:rPr>
          <w:lang w:val="en-GB"/>
        </w:rPr>
        <w:t xml:space="preserve">other </w:t>
      </w:r>
      <w:r w:rsidR="00B81FA0">
        <w:rPr>
          <w:lang w:val="en-GB"/>
        </w:rPr>
        <w:t xml:space="preserve">than as biofuel, in </w:t>
      </w:r>
      <w:r w:rsidR="00B81FA0" w:rsidRPr="00B81FA0">
        <w:rPr>
          <w:lang w:val="en-GB"/>
        </w:rPr>
        <w:t xml:space="preserve">blend </w:t>
      </w:r>
      <w:r w:rsidR="00B81FA0">
        <w:rPr>
          <w:lang w:val="en-GB"/>
        </w:rPr>
        <w:t>with</w:t>
      </w:r>
      <w:r w:rsidR="00B81FA0" w:rsidRPr="00B81FA0">
        <w:rPr>
          <w:lang w:val="en-GB"/>
        </w:rPr>
        <w:t xml:space="preserve"> diesel and gasoline</w:t>
      </w:r>
      <w:r w:rsidR="00B81FA0">
        <w:rPr>
          <w:lang w:val="en-GB"/>
        </w:rPr>
        <w:t xml:space="preserve"> [</w:t>
      </w:r>
      <w:proofErr w:type="spellStart"/>
      <w:r w:rsidR="00B81FA0" w:rsidRPr="00B81FA0">
        <w:rPr>
          <w:lang w:val="en-GB"/>
        </w:rPr>
        <w:t>Algayyim</w:t>
      </w:r>
      <w:proofErr w:type="spellEnd"/>
      <w:r w:rsidR="00B81FA0" w:rsidRPr="00B81FA0">
        <w:rPr>
          <w:lang w:val="en-GB"/>
        </w:rPr>
        <w:t xml:space="preserve"> et al.</w:t>
      </w:r>
      <w:r w:rsidR="00B81FA0">
        <w:rPr>
          <w:lang w:val="en-GB"/>
        </w:rPr>
        <w:t>, 2018],</w:t>
      </w:r>
      <w:r w:rsidR="00573EDF">
        <w:rPr>
          <w:lang w:val="en-GB"/>
        </w:rPr>
        <w:t xml:space="preserve"> </w:t>
      </w:r>
      <w:r w:rsidRPr="005A01AF">
        <w:rPr>
          <w:lang w:val="en-GB"/>
        </w:rPr>
        <w:t>can constitute a potential source of H</w:t>
      </w:r>
      <w:r w:rsidRPr="006166D7">
        <w:rPr>
          <w:vertAlign w:val="subscript"/>
          <w:lang w:val="en-GB"/>
        </w:rPr>
        <w:t>2</w:t>
      </w:r>
      <w:r w:rsidRPr="005A01AF">
        <w:rPr>
          <w:lang w:val="en-GB"/>
        </w:rPr>
        <w:t xml:space="preserve">, due to its high weight % of hydrogen content. Moreover this mixture is easy to handle and obviously such to assure a neutral carbon dioxide balance in the hydrogen production. Notwithstanding the use of the mixture of oxygenated compounds obtained from fermentation broths </w:t>
      </w:r>
      <w:r w:rsidR="00595E2B">
        <w:rPr>
          <w:lang w:val="en-GB"/>
        </w:rPr>
        <w:t>could</w:t>
      </w:r>
      <w:r w:rsidR="00595E2B" w:rsidRPr="005A01AF">
        <w:rPr>
          <w:lang w:val="en-GB"/>
        </w:rPr>
        <w:t xml:space="preserve"> </w:t>
      </w:r>
      <w:r w:rsidRPr="005A01AF">
        <w:rPr>
          <w:lang w:val="en-GB"/>
        </w:rPr>
        <w:t>be a very economical option, considering the cost of the separation processes necessary to obtain the single constituents, few studies are available on its reforming and also on reforming of butanol and acetone</w:t>
      </w:r>
      <w:r w:rsidR="00573EDF">
        <w:rPr>
          <w:lang w:val="en-GB"/>
        </w:rPr>
        <w:t xml:space="preserve"> [</w:t>
      </w:r>
      <w:r w:rsidR="00573EDF" w:rsidRPr="00573EDF">
        <w:rPr>
          <w:lang w:val="en-GB"/>
        </w:rPr>
        <w:t>Kumar et al</w:t>
      </w:r>
      <w:r w:rsidRPr="005A01AF">
        <w:rPr>
          <w:lang w:val="en-GB"/>
        </w:rPr>
        <w:t>.</w:t>
      </w:r>
      <w:r w:rsidR="00B81FA0">
        <w:rPr>
          <w:lang w:val="en-GB"/>
        </w:rPr>
        <w:t>, 2018].</w:t>
      </w:r>
      <w:r w:rsidRPr="005A01AF">
        <w:rPr>
          <w:lang w:val="en-GB"/>
        </w:rPr>
        <w:t xml:space="preserve"> For the steam reforming of these oxygenated compounds and their mixtures nickel and cobalt based catalysts are the most suggested</w:t>
      </w:r>
      <w:r w:rsidR="00535F09">
        <w:rPr>
          <w:lang w:val="en-GB"/>
        </w:rPr>
        <w:t xml:space="preserve"> [Yadav et al., 2018;</w:t>
      </w:r>
      <w:r w:rsidR="006B7D37">
        <w:rPr>
          <w:lang w:val="en-GB"/>
        </w:rPr>
        <w:t xml:space="preserve"> Wang et al., 2016;</w:t>
      </w:r>
      <w:r w:rsidR="007C63F2">
        <w:rPr>
          <w:lang w:val="en-GB"/>
        </w:rPr>
        <w:t xml:space="preserve"> </w:t>
      </w:r>
      <w:proofErr w:type="spellStart"/>
      <w:r w:rsidR="007C63F2" w:rsidRPr="007C63F2">
        <w:rPr>
          <w:lang w:val="en-GB"/>
        </w:rPr>
        <w:t>Bizkarra</w:t>
      </w:r>
      <w:proofErr w:type="spellEnd"/>
      <w:r w:rsidR="007C63F2">
        <w:rPr>
          <w:lang w:val="en-GB"/>
        </w:rPr>
        <w:t xml:space="preserve"> et al., 2015;</w:t>
      </w:r>
      <w:r w:rsidR="006B7D37">
        <w:rPr>
          <w:lang w:val="en-GB"/>
        </w:rPr>
        <w:t xml:space="preserve"> </w:t>
      </w:r>
      <w:proofErr w:type="spellStart"/>
      <w:r w:rsidR="006B7D37">
        <w:rPr>
          <w:lang w:val="en-GB"/>
        </w:rPr>
        <w:t>Cai</w:t>
      </w:r>
      <w:proofErr w:type="spellEnd"/>
      <w:r w:rsidR="006B7D37">
        <w:rPr>
          <w:lang w:val="en-GB"/>
        </w:rPr>
        <w:t xml:space="preserve"> et al. 2012;</w:t>
      </w:r>
      <w:r w:rsidR="00535F09">
        <w:rPr>
          <w:lang w:val="en-GB"/>
        </w:rPr>
        <w:t xml:space="preserve"> </w:t>
      </w:r>
      <w:r w:rsidR="00535F09" w:rsidRPr="00535F09">
        <w:rPr>
          <w:lang w:val="en-GB"/>
        </w:rPr>
        <w:t>Roy et al.</w:t>
      </w:r>
      <w:r w:rsidR="00535F09">
        <w:rPr>
          <w:lang w:val="en-GB"/>
        </w:rPr>
        <w:t>, 2011</w:t>
      </w:r>
      <w:r w:rsidR="007C63F2">
        <w:rPr>
          <w:lang w:val="en-GB"/>
        </w:rPr>
        <w:t>]</w:t>
      </w:r>
      <w:r w:rsidRPr="005A01AF">
        <w:rPr>
          <w:lang w:val="en-GB"/>
        </w:rPr>
        <w:t xml:space="preserve">, anyway the challenge of developing catalysts with a suitable resistance to deactivation by coke deposition is still open. In this context growing attention have received perovskite-type oxides (ABO3, where A = alkali, alkaline earth or rare-earth elements and B = transition metal). These oxides show high thermal stability and when subjected to reduction of the B-sites cations they produce </w:t>
      </w:r>
      <w:proofErr w:type="spellStart"/>
      <w:r w:rsidRPr="005A01AF">
        <w:rPr>
          <w:lang w:val="en-GB"/>
        </w:rPr>
        <w:t>nanometric</w:t>
      </w:r>
      <w:proofErr w:type="spellEnd"/>
      <w:r w:rsidRPr="005A01AF">
        <w:rPr>
          <w:lang w:val="en-GB"/>
        </w:rPr>
        <w:t xml:space="preserve"> particles with the transition metal highly dispersed at the surface of the support, thus increasing the catalytic activity and stability and providing unfavourable conditions to carbon deposition.</w:t>
      </w:r>
    </w:p>
    <w:p w14:paraId="1CB70E09" w14:textId="59869483" w:rsidR="005A01AF" w:rsidRPr="00B57B36" w:rsidRDefault="005A01AF" w:rsidP="005A01AF">
      <w:pPr>
        <w:pStyle w:val="CETBodytext"/>
      </w:pPr>
      <w:r w:rsidRPr="005A01AF">
        <w:rPr>
          <w:lang w:val="en-GB"/>
        </w:rPr>
        <w:t xml:space="preserve">In the present work </w:t>
      </w:r>
      <w:proofErr w:type="spellStart"/>
      <w:r w:rsidRPr="005A01AF">
        <w:rPr>
          <w:lang w:val="en-GB"/>
        </w:rPr>
        <w:t>nanometric</w:t>
      </w:r>
      <w:proofErr w:type="spellEnd"/>
      <w:r w:rsidRPr="005A01AF">
        <w:rPr>
          <w:lang w:val="en-GB"/>
        </w:rPr>
        <w:t xml:space="preserve"> ruthenium-modified LaNiO3 perovskites were prepared by </w:t>
      </w:r>
      <w:proofErr w:type="spellStart"/>
      <w:r w:rsidRPr="005A01AF">
        <w:rPr>
          <w:lang w:val="en-GB"/>
        </w:rPr>
        <w:t>coprecipitation</w:t>
      </w:r>
      <w:proofErr w:type="spellEnd"/>
      <w:r w:rsidRPr="005A01AF">
        <w:rPr>
          <w:lang w:val="en-GB"/>
        </w:rPr>
        <w:t xml:space="preserve"> method in aqueous and non-aqueous solvents and characterized. The results of their use as catalysts for the steam </w:t>
      </w:r>
      <w:r w:rsidR="00E12B27">
        <w:rPr>
          <w:lang w:val="en-GB"/>
        </w:rPr>
        <w:t xml:space="preserve">reforming </w:t>
      </w:r>
      <w:r w:rsidRPr="005A01AF">
        <w:rPr>
          <w:lang w:val="en-GB"/>
        </w:rPr>
        <w:t xml:space="preserve">of model mixtures constituted of butanol, acetone and ethanol are presented. The tests were performed in a fixed bed reactor in a temperature </w:t>
      </w:r>
      <w:r w:rsidRPr="00967F29">
        <w:rPr>
          <w:lang w:val="en-GB"/>
        </w:rPr>
        <w:t xml:space="preserve">range of </w:t>
      </w:r>
      <w:r w:rsidR="00486504" w:rsidRPr="00967F29">
        <w:rPr>
          <w:lang w:val="en-GB"/>
        </w:rPr>
        <w:t>500-700</w:t>
      </w:r>
      <w:r w:rsidR="00486504" w:rsidRPr="005A01AF">
        <w:rPr>
          <w:lang w:val="en-GB"/>
        </w:rPr>
        <w:t xml:space="preserve"> </w:t>
      </w:r>
      <w:r w:rsidRPr="005A01AF">
        <w:rPr>
          <w:lang w:val="en-GB"/>
        </w:rPr>
        <w:t xml:space="preserve">°C. The stability of the catalysts over time </w:t>
      </w:r>
      <w:r w:rsidRPr="00967F29">
        <w:rPr>
          <w:lang w:val="en-GB"/>
        </w:rPr>
        <w:t xml:space="preserve">were </w:t>
      </w:r>
      <w:r w:rsidR="00967F29" w:rsidRPr="00967F29">
        <w:rPr>
          <w:lang w:val="en-GB"/>
        </w:rPr>
        <w:t xml:space="preserve">also </w:t>
      </w:r>
      <w:r w:rsidRPr="00967F29">
        <w:rPr>
          <w:lang w:val="en-GB"/>
        </w:rPr>
        <w:t>evaluated.</w:t>
      </w:r>
      <w:r w:rsidR="00600535" w:rsidRPr="00FA5F5F">
        <w:rPr>
          <w:lang w:val="en-GB"/>
        </w:rPr>
        <w:t xml:space="preserve"> </w:t>
      </w:r>
    </w:p>
    <w:p w14:paraId="2794B124" w14:textId="77777777" w:rsidR="00600535" w:rsidRPr="00B57B36" w:rsidRDefault="005A01AF" w:rsidP="00600535">
      <w:pPr>
        <w:pStyle w:val="CETHeading1"/>
        <w:tabs>
          <w:tab w:val="clear" w:pos="360"/>
          <w:tab w:val="right" w:pos="7100"/>
        </w:tabs>
        <w:jc w:val="both"/>
        <w:rPr>
          <w:lang w:val="en-GB"/>
        </w:rPr>
      </w:pPr>
      <w:r>
        <w:rPr>
          <w:lang w:val="en-GB"/>
        </w:rPr>
        <w:t>Experimental</w:t>
      </w:r>
    </w:p>
    <w:p w14:paraId="0E5C66FB" w14:textId="77777777" w:rsidR="00600535" w:rsidRPr="00B57B36" w:rsidRDefault="009518F1" w:rsidP="00FA5F5F">
      <w:pPr>
        <w:pStyle w:val="CETheadingx"/>
      </w:pPr>
      <w:r>
        <w:t>Catalysts synthesis</w:t>
      </w:r>
    </w:p>
    <w:p w14:paraId="09E767CE" w14:textId="28D03673" w:rsidR="00772132" w:rsidRDefault="00A71640" w:rsidP="00DE335B">
      <w:pPr>
        <w:pStyle w:val="CETBodytext"/>
      </w:pPr>
      <w:r>
        <w:t>Catalysts were prepared by</w:t>
      </w:r>
      <w:r w:rsidR="00DE335B">
        <w:t xml:space="preserve"> </w:t>
      </w:r>
      <w:proofErr w:type="spellStart"/>
      <w:r w:rsidR="00DE335B">
        <w:t>coprecipitation</w:t>
      </w:r>
      <w:proofErr w:type="spellEnd"/>
      <w:r w:rsidR="00DE335B">
        <w:t xml:space="preserve"> method</w:t>
      </w:r>
      <w:r>
        <w:t xml:space="preserve"> using two different so</w:t>
      </w:r>
      <w:r w:rsidR="00DE335B">
        <w:t>lvents,</w:t>
      </w:r>
      <w:r>
        <w:t xml:space="preserve"> water and a deep eutectic so</w:t>
      </w:r>
      <w:r w:rsidR="00FE2EBB">
        <w:t>lvent (DES)</w:t>
      </w:r>
      <w:r w:rsidR="00DE335B">
        <w:t>. Nickel</w:t>
      </w:r>
      <w:r w:rsidR="001C47AB">
        <w:t xml:space="preserve"> nitrate hexahydrate</w:t>
      </w:r>
      <w:r w:rsidR="00E2242D">
        <w:t xml:space="preserve"> (</w:t>
      </w:r>
      <w:r w:rsidR="00673110" w:rsidRPr="00673110">
        <w:t xml:space="preserve">Sigma-Aldrich, </w:t>
      </w:r>
      <w:proofErr w:type="spellStart"/>
      <w:r w:rsidR="00673110" w:rsidRPr="00673110">
        <w:t>purum</w:t>
      </w:r>
      <w:proofErr w:type="spellEnd"/>
      <w:r w:rsidR="00673110" w:rsidRPr="00673110">
        <w:t xml:space="preserve"> p.a., ≥9</w:t>
      </w:r>
      <w:r w:rsidR="00673110">
        <w:t>7</w:t>
      </w:r>
      <w:r w:rsidR="00673110" w:rsidRPr="00673110">
        <w:t>.0</w:t>
      </w:r>
      <w:r w:rsidR="00673110">
        <w:t xml:space="preserve">), </w:t>
      </w:r>
      <w:r w:rsidR="00DE335B">
        <w:t>lanthanum nitrate hexahydr</w:t>
      </w:r>
      <w:r w:rsidR="001C47AB">
        <w:t>ate</w:t>
      </w:r>
      <w:r w:rsidR="00E2242D">
        <w:t xml:space="preserve"> </w:t>
      </w:r>
      <w:r w:rsidR="00E2242D">
        <w:lastRenderedPageBreak/>
        <w:t>(</w:t>
      </w:r>
      <w:proofErr w:type="spellStart"/>
      <w:r w:rsidR="00673110" w:rsidRPr="00673110">
        <w:t>Fluka</w:t>
      </w:r>
      <w:proofErr w:type="spellEnd"/>
      <w:r w:rsidR="00673110" w:rsidRPr="00673110">
        <w:t xml:space="preserve">, </w:t>
      </w:r>
      <w:proofErr w:type="spellStart"/>
      <w:r w:rsidR="00673110" w:rsidRPr="00673110">
        <w:t>puriss</w:t>
      </w:r>
      <w:proofErr w:type="spellEnd"/>
      <w:r w:rsidR="00673110" w:rsidRPr="00673110">
        <w:t>. p.a., ≥99.0%</w:t>
      </w:r>
      <w:r w:rsidR="00DE335B">
        <w:t xml:space="preserve">) and ruthenium </w:t>
      </w:r>
      <w:proofErr w:type="spellStart"/>
      <w:r w:rsidR="00DE335B">
        <w:t>nitrosyl</w:t>
      </w:r>
      <w:proofErr w:type="spellEnd"/>
      <w:r w:rsidR="00DE335B">
        <w:t xml:space="preserve"> nitrate (</w:t>
      </w:r>
      <w:r w:rsidR="00DE335B" w:rsidRPr="00673110">
        <w:t xml:space="preserve">Sigma-Aldrich, </w:t>
      </w:r>
      <w:r w:rsidR="00E2242D" w:rsidRPr="00673110">
        <w:t xml:space="preserve">diluted </w:t>
      </w:r>
      <w:r w:rsidR="00DE335B" w:rsidRPr="00673110">
        <w:t>nitrate solution, 1.5 % Ru)</w:t>
      </w:r>
      <w:r w:rsidR="00E2242D">
        <w:t xml:space="preserve"> </w:t>
      </w:r>
      <w:r w:rsidR="00772132">
        <w:t>were used as metals precursors.</w:t>
      </w:r>
    </w:p>
    <w:p w14:paraId="0D85FB4B" w14:textId="7E4AA4E5" w:rsidR="00772132" w:rsidRDefault="00FE2EBB" w:rsidP="00DE335B">
      <w:pPr>
        <w:pStyle w:val="CETBodytext"/>
      </w:pPr>
      <w:r>
        <w:t xml:space="preserve">In the water route, to a solution of </w:t>
      </w:r>
      <w:r w:rsidR="00E2242D">
        <w:t xml:space="preserve">the metal precursors in the stoichiometric ratio necessary to obtain the target perovskite was </w:t>
      </w:r>
      <w:r w:rsidR="0088462B">
        <w:t xml:space="preserve">rapidly </w:t>
      </w:r>
      <w:r w:rsidR="00E2242D">
        <w:t xml:space="preserve">added, under intense </w:t>
      </w:r>
      <w:r w:rsidR="001A286E">
        <w:t>stirring</w:t>
      </w:r>
      <w:r w:rsidR="00E2242D">
        <w:t xml:space="preserve"> at room temperature, an </w:t>
      </w:r>
      <w:r w:rsidR="001A286E">
        <w:t xml:space="preserve">equivalent volume of </w:t>
      </w:r>
      <w:proofErr w:type="spellStart"/>
      <w:r w:rsidR="00E2242D">
        <w:t>NaOH</w:t>
      </w:r>
      <w:proofErr w:type="spellEnd"/>
      <w:r w:rsidR="00E2242D">
        <w:t xml:space="preserve"> solution </w:t>
      </w:r>
      <w:r w:rsidR="001A286E">
        <w:t xml:space="preserve">3.2M. The obtained suspension was left under stirring at room temperature overnight, then was filtered, washed with water to neutrality, dried at 80 °C for 24h and finally the resultant solid was grinded and calcined </w:t>
      </w:r>
      <w:r w:rsidR="001A286E" w:rsidRPr="003D76BD">
        <w:t xml:space="preserve">at </w:t>
      </w:r>
      <w:r w:rsidR="003D76BD" w:rsidRPr="003D76BD">
        <w:t>75</w:t>
      </w:r>
      <w:r w:rsidR="001A286E" w:rsidRPr="003D76BD">
        <w:t>0 °C for 6 hours</w:t>
      </w:r>
      <w:r w:rsidR="001A286E" w:rsidRPr="001A286E">
        <w:t xml:space="preserve"> under static air</w:t>
      </w:r>
      <w:r w:rsidR="00772132">
        <w:t>.</w:t>
      </w:r>
    </w:p>
    <w:p w14:paraId="68061B39" w14:textId="77777777" w:rsidR="00EE0DA9" w:rsidRDefault="001A286E" w:rsidP="00DC4D02">
      <w:pPr>
        <w:pStyle w:val="CETBodytext"/>
      </w:pPr>
      <w:r>
        <w:t>For the DES route</w:t>
      </w:r>
      <w:r w:rsidR="00772132">
        <w:t xml:space="preserve"> was used</w:t>
      </w:r>
      <w:r>
        <w:t xml:space="preserve"> as solvent a</w:t>
      </w:r>
      <w:r w:rsidR="00772132">
        <w:t xml:space="preserve"> deep eutectic solvent constituted by </w:t>
      </w:r>
      <w:r w:rsidR="00772132" w:rsidRPr="00772132">
        <w:t>choline chloride</w:t>
      </w:r>
      <w:r w:rsidR="00772132">
        <w:t xml:space="preserve"> and urea in a 1:2 molar ratio. The procedure was the same as in the water route, but performed at a temperature of 80 °C to assure the low viscosity for the DES necessary for a correct mixing and homogeneity of the suspension.</w:t>
      </w:r>
    </w:p>
    <w:p w14:paraId="4D4F55A3" w14:textId="77777777" w:rsidR="00856F59" w:rsidRPr="00DC4D02" w:rsidRDefault="001C47AB" w:rsidP="00673110">
      <w:pPr>
        <w:pStyle w:val="CETBodytextItalic"/>
      </w:pPr>
      <w:r w:rsidRPr="00673110">
        <w:rPr>
          <w:i w:val="0"/>
        </w:rPr>
        <w:t>Both LaNiO</w:t>
      </w:r>
      <w:r w:rsidRPr="00673110">
        <w:rPr>
          <w:i w:val="0"/>
          <w:vertAlign w:val="subscript"/>
        </w:rPr>
        <w:t>3</w:t>
      </w:r>
      <w:r w:rsidRPr="00673110">
        <w:rPr>
          <w:i w:val="0"/>
        </w:rPr>
        <w:t xml:space="preserve"> and ruthenium-modified with 5%wt</w:t>
      </w:r>
      <w:r w:rsidR="00DC4D02" w:rsidRPr="00673110">
        <w:rPr>
          <w:i w:val="0"/>
        </w:rPr>
        <w:t xml:space="preserve"> Ru (LaRu</w:t>
      </w:r>
      <w:r w:rsidR="00DC4D02" w:rsidRPr="00673110">
        <w:rPr>
          <w:i w:val="0"/>
          <w:vertAlign w:val="subscript"/>
        </w:rPr>
        <w:t>x</w:t>
      </w:r>
      <w:r w:rsidR="00DC4D02" w:rsidRPr="00673110">
        <w:rPr>
          <w:i w:val="0"/>
        </w:rPr>
        <w:t>Ni</w:t>
      </w:r>
      <w:r w:rsidR="00DC4D02" w:rsidRPr="00673110">
        <w:rPr>
          <w:i w:val="0"/>
          <w:vertAlign w:val="subscript"/>
        </w:rPr>
        <w:t>1-x</w:t>
      </w:r>
      <w:r w:rsidR="00DC4D02" w:rsidRPr="00673110">
        <w:rPr>
          <w:i w:val="0"/>
        </w:rPr>
        <w:t>O</w:t>
      </w:r>
      <w:r w:rsidR="00DC4D02" w:rsidRPr="00673110">
        <w:rPr>
          <w:i w:val="0"/>
          <w:vertAlign w:val="subscript"/>
        </w:rPr>
        <w:t>3</w:t>
      </w:r>
      <w:r w:rsidR="00DC4D02" w:rsidRPr="00673110">
        <w:rPr>
          <w:i w:val="0"/>
        </w:rPr>
        <w:t>) catalysts were prepared in water and in DES</w:t>
      </w:r>
      <w:r w:rsidR="00DC4D02">
        <w:t xml:space="preserve">. </w:t>
      </w:r>
      <w:r w:rsidR="00DC4D02" w:rsidRPr="00673110">
        <w:rPr>
          <w:rFonts w:eastAsiaTheme="minorHAnsi"/>
          <w:i w:val="0"/>
        </w:rPr>
        <w:t>To evaluate the formation of the perovskite structure and the degree of crystallinity, X-ray diffraction (XRD) was performed on all the obtained samples. XRD patterns were o</w:t>
      </w:r>
      <w:r w:rsidR="00FF59E5" w:rsidRPr="00673110">
        <w:rPr>
          <w:rFonts w:eastAsiaTheme="minorHAnsi"/>
          <w:i w:val="0"/>
        </w:rPr>
        <w:t>btained using a</w:t>
      </w:r>
      <w:r w:rsidR="00DC4D02" w:rsidRPr="00673110">
        <w:rPr>
          <w:rFonts w:eastAsiaTheme="minorHAnsi"/>
          <w:i w:val="0"/>
        </w:rPr>
        <w:t xml:space="preserve"> </w:t>
      </w:r>
      <w:r w:rsidR="00FF59E5" w:rsidRPr="00673110">
        <w:rPr>
          <w:rFonts w:eastAsiaTheme="minorHAnsi"/>
          <w:i w:val="0"/>
        </w:rPr>
        <w:t xml:space="preserve">Philips Analytical PW1830 X-ray diffractometer, equipped with Cu Kα (1.54056 Å) radiation, in the 2θ range from 15 to 70° with a step size of 0.02° and a time for step of 3.5 sec. The data were collected with an acceleration voltage and applied current of 40 kV and 30 mA, respectively. </w:t>
      </w:r>
      <w:r w:rsidR="00DC4D02" w:rsidRPr="00673110">
        <w:rPr>
          <w:rFonts w:eastAsiaTheme="minorHAnsi"/>
          <w:i w:val="0"/>
        </w:rPr>
        <w:t xml:space="preserve">X-ray </w:t>
      </w:r>
      <w:proofErr w:type="spellStart"/>
      <w:r w:rsidR="00DC4D02" w:rsidRPr="00673110">
        <w:rPr>
          <w:rFonts w:eastAsiaTheme="minorHAnsi"/>
          <w:i w:val="0"/>
        </w:rPr>
        <w:t>microdiffractometer</w:t>
      </w:r>
      <w:proofErr w:type="spellEnd"/>
      <w:r w:rsidR="00DC4D02" w:rsidRPr="00673110">
        <w:rPr>
          <w:rFonts w:eastAsiaTheme="minorHAnsi"/>
          <w:i w:val="0"/>
        </w:rPr>
        <w:t xml:space="preserve">, </w:t>
      </w:r>
      <w:proofErr w:type="spellStart"/>
      <w:r w:rsidR="00DC4D02" w:rsidRPr="00673110">
        <w:rPr>
          <w:rFonts w:eastAsiaTheme="minorHAnsi"/>
          <w:i w:val="0"/>
        </w:rPr>
        <w:t>Rigaku</w:t>
      </w:r>
      <w:proofErr w:type="spellEnd"/>
      <w:r w:rsidR="00DC4D02" w:rsidRPr="00673110">
        <w:rPr>
          <w:rFonts w:eastAsiaTheme="minorHAnsi"/>
          <w:i w:val="0"/>
        </w:rPr>
        <w:t xml:space="preserve"> D-max-RAPID, using Cu-K</w:t>
      </w:r>
      <w:r w:rsidR="00DC4D02" w:rsidRPr="00673110">
        <w:rPr>
          <w:rFonts w:eastAsiaTheme="minorHAnsi"/>
          <w:i w:val="0"/>
          <w:lang w:val="it-IT"/>
        </w:rPr>
        <w:t>α</w:t>
      </w:r>
      <w:r w:rsidR="00DC4D02" w:rsidRPr="00673110">
        <w:rPr>
          <w:rFonts w:eastAsiaTheme="minorHAnsi"/>
          <w:i w:val="0"/>
        </w:rPr>
        <w:t xml:space="preserve"> radiation</w:t>
      </w:r>
      <w:r w:rsidR="00DC4D02" w:rsidRPr="00673110">
        <w:rPr>
          <w:rFonts w:eastAsiaTheme="minorHAnsi"/>
        </w:rPr>
        <w:t>.</w:t>
      </w:r>
    </w:p>
    <w:p w14:paraId="32AC960C" w14:textId="77777777" w:rsidR="00600535" w:rsidRPr="00B57B36" w:rsidRDefault="009518F1" w:rsidP="00FA5F5F">
      <w:pPr>
        <w:pStyle w:val="CETheadingx"/>
      </w:pPr>
      <w:r>
        <w:t>Experimental set-up</w:t>
      </w:r>
    </w:p>
    <w:p w14:paraId="5CB8C144" w14:textId="50876665" w:rsidR="00673110" w:rsidRDefault="00EE0DA9" w:rsidP="00673110">
      <w:pPr>
        <w:pStyle w:val="CETBodytext"/>
      </w:pPr>
      <w:r w:rsidRPr="00F258DB">
        <w:t>The laboratory set-up</w:t>
      </w:r>
      <w:r>
        <w:t xml:space="preserve"> consisted in a</w:t>
      </w:r>
      <w:r w:rsidRPr="00F258DB">
        <w:t xml:space="preserve"> </w:t>
      </w:r>
      <w:r>
        <w:t xml:space="preserve">stainless steel </w:t>
      </w:r>
      <w:r w:rsidRPr="00F258DB">
        <w:t xml:space="preserve">tube reactor </w:t>
      </w:r>
      <w:r w:rsidRPr="00673110">
        <w:t>(id=</w:t>
      </w:r>
      <w:r w:rsidR="00D93C96" w:rsidRPr="00673110">
        <w:t xml:space="preserve"> 10mm</w:t>
      </w:r>
      <w:r w:rsidRPr="00673110">
        <w:t>, h=</w:t>
      </w:r>
      <w:r w:rsidR="00D93C96" w:rsidRPr="00673110">
        <w:t xml:space="preserve"> 330 m</w:t>
      </w:r>
      <w:r w:rsidRPr="00673110">
        <w:t>m</w:t>
      </w:r>
      <w:r w:rsidR="0088462B" w:rsidRPr="00673110">
        <w:t>)</w:t>
      </w:r>
      <w:r w:rsidRPr="00F258DB">
        <w:t xml:space="preserve"> with a </w:t>
      </w:r>
      <w:r w:rsidR="0088462B">
        <w:t xml:space="preserve">support </w:t>
      </w:r>
      <w:r>
        <w:t>grid f</w:t>
      </w:r>
      <w:r w:rsidRPr="00F258DB">
        <w:t xml:space="preserve">or the </w:t>
      </w:r>
      <w:r w:rsidR="0088462B">
        <w:t xml:space="preserve">catalytic bed constituted by </w:t>
      </w:r>
      <w:r w:rsidRPr="00F258DB">
        <w:t>0.1 g of catalyst diluted in 2 g of silicon</w:t>
      </w:r>
      <w:r>
        <w:t xml:space="preserve"> </w:t>
      </w:r>
      <w:r w:rsidRPr="00F258DB">
        <w:t xml:space="preserve">dioxide. The reactor was heated by an external cable heater </w:t>
      </w:r>
      <w:r w:rsidR="0088462B">
        <w:t xml:space="preserve">and </w:t>
      </w:r>
      <w:r w:rsidRPr="00F258DB">
        <w:t>contr</w:t>
      </w:r>
      <w:r>
        <w:t xml:space="preserve">olled by </w:t>
      </w:r>
      <w:r w:rsidR="000F70C4">
        <w:t>a PLC.</w:t>
      </w:r>
      <w:r>
        <w:t>K-type thermocouple</w:t>
      </w:r>
      <w:r w:rsidR="0088462B">
        <w:t>s were used for temperature measurement</w:t>
      </w:r>
      <w:r w:rsidR="000F70C4">
        <w:t>s</w:t>
      </w:r>
      <w:r>
        <w:t>. Deionized water and one between acetone (</w:t>
      </w:r>
      <w:r w:rsidR="00673110" w:rsidRPr="00673110">
        <w:t>S</w:t>
      </w:r>
      <w:r w:rsidRPr="00673110">
        <w:t>igma-</w:t>
      </w:r>
      <w:r w:rsidR="00673110" w:rsidRPr="00673110">
        <w:t>A</w:t>
      </w:r>
      <w:r w:rsidRPr="00673110">
        <w:t>ldrich</w:t>
      </w:r>
      <w:r w:rsidR="00673110" w:rsidRPr="00673110">
        <w:t>, ACS reagent, ≥99.5%</w:t>
      </w:r>
      <w:r w:rsidR="00673110">
        <w:t>)</w:t>
      </w:r>
      <w:r>
        <w:t>, n-butanol (</w:t>
      </w:r>
      <w:r w:rsidR="00673110" w:rsidRPr="00673110">
        <w:t>Sigma-Aldrich</w:t>
      </w:r>
      <w:r w:rsidR="00673110">
        <w:t>,</w:t>
      </w:r>
    </w:p>
    <w:p w14:paraId="22052998" w14:textId="2C98D0BD" w:rsidR="00EE0DA9" w:rsidRDefault="00673110" w:rsidP="00673110">
      <w:pPr>
        <w:pStyle w:val="CETBodytext"/>
      </w:pPr>
      <w:proofErr w:type="spellStart"/>
      <w:r>
        <w:t>puriss</w:t>
      </w:r>
      <w:proofErr w:type="spellEnd"/>
      <w:r>
        <w:t>. p.a., ≥99.5%)</w:t>
      </w:r>
      <w:r w:rsidR="00EE0DA9">
        <w:t>, ethanol (</w:t>
      </w:r>
      <w:r w:rsidR="001436AD" w:rsidRPr="001436AD">
        <w:t xml:space="preserve">Sigma-Aldrich , </w:t>
      </w:r>
      <w:proofErr w:type="spellStart"/>
      <w:r w:rsidR="001436AD" w:rsidRPr="001436AD">
        <w:t>puriss</w:t>
      </w:r>
      <w:proofErr w:type="spellEnd"/>
      <w:r w:rsidR="001436AD" w:rsidRPr="001436AD">
        <w:t>., ≥99.8%</w:t>
      </w:r>
      <w:r w:rsidR="001436AD">
        <w:t>)</w:t>
      </w:r>
      <w:r w:rsidR="00EE0DA9">
        <w:t xml:space="preserve"> or a mixture of these three </w:t>
      </w:r>
      <w:r w:rsidR="00EE0DA9" w:rsidRPr="001436AD">
        <w:t>(A:B:E</w:t>
      </w:r>
      <w:r w:rsidR="006D4B94" w:rsidRPr="001436AD">
        <w:t xml:space="preserve"> 0.27:0.43:0.30 molar ratio</w:t>
      </w:r>
      <w:r w:rsidR="00EE0DA9" w:rsidRPr="001436AD">
        <w:t>)</w:t>
      </w:r>
      <w:r w:rsidR="00EE0DA9">
        <w:t xml:space="preserve"> were fed separately </w:t>
      </w:r>
      <w:r w:rsidR="00EE0DA9" w:rsidRPr="00CD4F3D">
        <w:t>with two syringe</w:t>
      </w:r>
      <w:r w:rsidR="00EE0DA9">
        <w:t xml:space="preserve"> </w:t>
      </w:r>
      <w:r w:rsidR="00EE0DA9" w:rsidRPr="00CD4F3D">
        <w:t>pumps</w:t>
      </w:r>
      <w:r w:rsidR="00EE0DA9">
        <w:t xml:space="preserve"> to the reactor, </w:t>
      </w:r>
      <w:r w:rsidR="00EE0DA9" w:rsidRPr="00A42578">
        <w:t xml:space="preserve">in the </w:t>
      </w:r>
      <w:r w:rsidR="00EE0DA9">
        <w:t>selected</w:t>
      </w:r>
      <w:r w:rsidR="00EE0DA9" w:rsidRPr="00A42578">
        <w:t xml:space="preserve"> steam to carbon </w:t>
      </w:r>
      <w:r w:rsidR="009307D4" w:rsidRPr="006F3AB5">
        <w:t>(S/C)</w:t>
      </w:r>
      <w:r w:rsidR="009307D4">
        <w:t xml:space="preserve"> </w:t>
      </w:r>
      <w:r w:rsidR="00EE0DA9" w:rsidRPr="00A42578">
        <w:t>ratio</w:t>
      </w:r>
      <w:r w:rsidR="006D4B94">
        <w:t xml:space="preserve"> that is 3.8</w:t>
      </w:r>
      <w:r w:rsidR="00EE0DA9" w:rsidRPr="00A42578">
        <w:t>. N</w:t>
      </w:r>
      <w:r w:rsidR="00EE0DA9" w:rsidRPr="00EE0DA9">
        <w:rPr>
          <w:vertAlign w:val="subscript"/>
        </w:rPr>
        <w:t>2</w:t>
      </w:r>
      <w:r w:rsidR="00EE0DA9" w:rsidRPr="00A42578">
        <w:t xml:space="preserve"> was employed as carrier gas and was mixed with the reactants in a mixing valve before entering to an evaporator held at </w:t>
      </w:r>
      <w:r w:rsidR="006D4B94">
        <w:t>23</w:t>
      </w:r>
      <w:r w:rsidR="00EE0DA9" w:rsidRPr="00A42578">
        <w:t>0 °C to vaporize the feed before it entered to the reactor.</w:t>
      </w:r>
      <w:r w:rsidR="00EE0DA9">
        <w:t xml:space="preserve"> </w:t>
      </w:r>
      <w:r w:rsidR="00EE0DA9" w:rsidRPr="007C7206">
        <w:t xml:space="preserve">The experimental set-up scheme is reported in </w:t>
      </w:r>
      <w:r w:rsidR="006F3AB5" w:rsidRPr="007C7206">
        <w:rPr>
          <w:rFonts w:cs="Arial"/>
          <w:szCs w:val="18"/>
        </w:rPr>
        <w:t>[</w:t>
      </w:r>
      <w:r w:rsidR="006F3AB5" w:rsidRPr="007C7206">
        <w:rPr>
          <w:rFonts w:eastAsia="Calibri" w:cs="Arial"/>
          <w:noProof/>
          <w:szCs w:val="18"/>
          <w:lang w:val="en-GB"/>
        </w:rPr>
        <w:t>B. de Caprariis et al., 2017</w:t>
      </w:r>
      <w:r w:rsidR="006F3AB5" w:rsidRPr="007C7206">
        <w:rPr>
          <w:rFonts w:cs="Arial"/>
          <w:szCs w:val="18"/>
        </w:rPr>
        <w:t>]</w:t>
      </w:r>
      <w:r w:rsidR="007C7206">
        <w:t>.</w:t>
      </w:r>
      <w:r w:rsidR="00E12B27">
        <w:t xml:space="preserve"> </w:t>
      </w:r>
      <w:r w:rsidR="00EE0DA9" w:rsidRPr="00F5473B">
        <w:t xml:space="preserve">The </w:t>
      </w:r>
      <w:r w:rsidR="00A91656">
        <w:t xml:space="preserve">laboratory set-up and the </w:t>
      </w:r>
      <w:r w:rsidR="00EE0DA9" w:rsidRPr="00F5473B">
        <w:t>operative conditions used in the</w:t>
      </w:r>
      <w:r w:rsidR="00EE0DA9">
        <w:t xml:space="preserve"> </w:t>
      </w:r>
      <w:r w:rsidR="00EE0DA9" w:rsidRPr="00F258DB">
        <w:t xml:space="preserve">experimental tests are reported in </w:t>
      </w:r>
      <w:r w:rsidR="00A91656">
        <w:t xml:space="preserve">Figure 1 and </w:t>
      </w:r>
      <w:r w:rsidR="00EE0DA9" w:rsidRPr="00F258DB">
        <w:t>Table 1</w:t>
      </w:r>
      <w:r w:rsidR="00A91656">
        <w:t>, respectively</w:t>
      </w:r>
      <w:r w:rsidR="00EE0DA9" w:rsidRPr="00F258DB">
        <w:t>.</w:t>
      </w:r>
    </w:p>
    <w:p w14:paraId="3F19CC35" w14:textId="7A55DEB2" w:rsidR="00444CF8" w:rsidRDefault="00B57936" w:rsidP="00673110">
      <w:pPr>
        <w:pStyle w:val="CETBodytext"/>
      </w:pPr>
      <w:r>
        <w:rPr>
          <w:noProof/>
          <w:lang w:val="it-IT" w:eastAsia="it-IT"/>
        </w:rPr>
        <w:drawing>
          <wp:inline distT="0" distB="0" distL="0" distR="0" wp14:anchorId="4B4D3B6A" wp14:editId="0DA19E31">
            <wp:extent cx="3800353" cy="20478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up AB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4361" cy="2130864"/>
                    </a:xfrm>
                    <a:prstGeom prst="rect">
                      <a:avLst/>
                    </a:prstGeom>
                  </pic:spPr>
                </pic:pic>
              </a:graphicData>
            </a:graphic>
          </wp:inline>
        </w:drawing>
      </w:r>
    </w:p>
    <w:p w14:paraId="5BBBE3CB" w14:textId="77777777" w:rsidR="00444CF8" w:rsidRDefault="00444CF8" w:rsidP="00673110">
      <w:pPr>
        <w:pStyle w:val="CETBodytext"/>
      </w:pPr>
    </w:p>
    <w:p w14:paraId="521EDB15" w14:textId="259B3D2A" w:rsidR="00444CF8" w:rsidRPr="00B57936" w:rsidRDefault="00B57936" w:rsidP="00673110">
      <w:pPr>
        <w:pStyle w:val="CETBodytext"/>
        <w:rPr>
          <w:i/>
        </w:rPr>
      </w:pPr>
      <w:r>
        <w:rPr>
          <w:i/>
        </w:rPr>
        <w:t>Figure 1: Experimental set-up</w:t>
      </w:r>
    </w:p>
    <w:p w14:paraId="3B1980E3" w14:textId="77777777" w:rsidR="00E12B27" w:rsidRPr="00B57B36" w:rsidRDefault="00E12B27" w:rsidP="00E12B27">
      <w:pPr>
        <w:pStyle w:val="CETTabletitle"/>
      </w:pPr>
      <w:r>
        <w:t>Table 1: Operative conditions used in the steam reforming tests.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9"/>
        <w:gridCol w:w="1701"/>
        <w:gridCol w:w="2834"/>
        <w:gridCol w:w="1843"/>
      </w:tblGrid>
      <w:tr w:rsidR="00E51F44" w:rsidRPr="00E64B02" w14:paraId="029A2544" w14:textId="77777777" w:rsidTr="009D1861">
        <w:tc>
          <w:tcPr>
            <w:tcW w:w="2410" w:type="dxa"/>
            <w:tcBorders>
              <w:top w:val="single" w:sz="12" w:space="0" w:color="008000"/>
              <w:bottom w:val="single" w:sz="6" w:space="0" w:color="008000"/>
            </w:tcBorders>
            <w:shd w:val="clear" w:color="auto" w:fill="FFFFFF"/>
          </w:tcPr>
          <w:p w14:paraId="526C0F51" w14:textId="77777777" w:rsidR="00E51F44" w:rsidRPr="00E64B02" w:rsidRDefault="00E51F44" w:rsidP="009D1861"/>
        </w:tc>
        <w:tc>
          <w:tcPr>
            <w:tcW w:w="1701" w:type="dxa"/>
            <w:tcBorders>
              <w:top w:val="single" w:sz="12" w:space="0" w:color="008000"/>
              <w:bottom w:val="single" w:sz="6" w:space="0" w:color="008000"/>
            </w:tcBorders>
            <w:shd w:val="clear" w:color="auto" w:fill="FFFFFF"/>
          </w:tcPr>
          <w:p w14:paraId="16947942" w14:textId="77777777" w:rsidR="00E51F44" w:rsidRPr="00E64B02" w:rsidRDefault="00E51F44" w:rsidP="009D1861">
            <w:pPr>
              <w:jc w:val="center"/>
            </w:pPr>
            <w:r w:rsidRPr="00E64B02">
              <w:t>Operative conditions</w:t>
            </w:r>
          </w:p>
        </w:tc>
        <w:tc>
          <w:tcPr>
            <w:tcW w:w="2835" w:type="dxa"/>
            <w:tcBorders>
              <w:top w:val="single" w:sz="12" w:space="0" w:color="008000"/>
              <w:bottom w:val="single" w:sz="6" w:space="0" w:color="008000"/>
            </w:tcBorders>
            <w:shd w:val="clear" w:color="auto" w:fill="FFFFFF"/>
          </w:tcPr>
          <w:p w14:paraId="58FCA2DB" w14:textId="77777777" w:rsidR="00E51F44" w:rsidRPr="00E64B02" w:rsidRDefault="00E51F44" w:rsidP="009D1861">
            <w:pPr>
              <w:jc w:val="center"/>
            </w:pPr>
          </w:p>
        </w:tc>
        <w:tc>
          <w:tcPr>
            <w:tcW w:w="1843" w:type="dxa"/>
            <w:tcBorders>
              <w:top w:val="single" w:sz="12" w:space="0" w:color="008000"/>
              <w:bottom w:val="single" w:sz="6" w:space="0" w:color="008000"/>
            </w:tcBorders>
            <w:shd w:val="clear" w:color="auto" w:fill="FFFFFF"/>
          </w:tcPr>
          <w:p w14:paraId="6F008924" w14:textId="77777777" w:rsidR="00E51F44" w:rsidRPr="00E64B02" w:rsidRDefault="00E51F44" w:rsidP="009D1861">
            <w:pPr>
              <w:jc w:val="center"/>
            </w:pPr>
            <w:r w:rsidRPr="00E64B02">
              <w:t>Operative conditions</w:t>
            </w:r>
          </w:p>
        </w:tc>
      </w:tr>
      <w:tr w:rsidR="00E51F44" w:rsidRPr="00E64B02" w14:paraId="3C05DD41" w14:textId="77777777" w:rsidTr="009D1861">
        <w:tc>
          <w:tcPr>
            <w:tcW w:w="2410" w:type="dxa"/>
            <w:shd w:val="clear" w:color="auto" w:fill="FFFFFF"/>
          </w:tcPr>
          <w:p w14:paraId="6E94467E" w14:textId="77777777" w:rsidR="00E51F44" w:rsidRPr="00E64B02" w:rsidRDefault="00E51F44" w:rsidP="009D1861">
            <w:r w:rsidRPr="00E64B02">
              <w:t>Temperature (°C)</w:t>
            </w:r>
          </w:p>
        </w:tc>
        <w:tc>
          <w:tcPr>
            <w:tcW w:w="1701" w:type="dxa"/>
            <w:shd w:val="clear" w:color="auto" w:fill="FFFFFF"/>
          </w:tcPr>
          <w:p w14:paraId="496130BC" w14:textId="77777777" w:rsidR="00E51F44" w:rsidRPr="00E64B02" w:rsidRDefault="00E51F44" w:rsidP="009D1861">
            <w:pPr>
              <w:jc w:val="center"/>
            </w:pPr>
            <w:r w:rsidRPr="00E64B02">
              <w:t>500-700</w:t>
            </w:r>
          </w:p>
        </w:tc>
        <w:tc>
          <w:tcPr>
            <w:tcW w:w="2835" w:type="dxa"/>
            <w:shd w:val="clear" w:color="auto" w:fill="FFFFFF"/>
          </w:tcPr>
          <w:p w14:paraId="30976880" w14:textId="77777777" w:rsidR="00E51F44" w:rsidRPr="00E64B02" w:rsidRDefault="00E51F44" w:rsidP="009D1861">
            <w:pPr>
              <w:ind w:right="-1"/>
              <w:rPr>
                <w:rFonts w:cs="Arial"/>
                <w:szCs w:val="18"/>
              </w:rPr>
            </w:pPr>
            <w:r>
              <w:rPr>
                <w:rFonts w:eastAsia="Calibri" w:cs="Arial"/>
                <w:szCs w:val="18"/>
              </w:rPr>
              <w:t xml:space="preserve">      </w:t>
            </w:r>
            <w:r w:rsidRPr="00E64B02">
              <w:rPr>
                <w:rFonts w:eastAsia="Calibri" w:cs="Arial"/>
                <w:szCs w:val="18"/>
              </w:rPr>
              <w:t>Catalyst bed volume (cm</w:t>
            </w:r>
            <w:r w:rsidRPr="00E64B02">
              <w:rPr>
                <w:rFonts w:eastAsia="Calibri" w:cs="Arial"/>
                <w:szCs w:val="18"/>
                <w:vertAlign w:val="superscript"/>
              </w:rPr>
              <w:t>3</w:t>
            </w:r>
            <w:r w:rsidRPr="00E64B02">
              <w:rPr>
                <w:rFonts w:eastAsia="Calibri" w:cs="Arial"/>
                <w:szCs w:val="18"/>
              </w:rPr>
              <w:t>)</w:t>
            </w:r>
          </w:p>
        </w:tc>
        <w:tc>
          <w:tcPr>
            <w:tcW w:w="1843" w:type="dxa"/>
            <w:shd w:val="clear" w:color="auto" w:fill="FFFFFF"/>
          </w:tcPr>
          <w:p w14:paraId="3B90C5ED" w14:textId="77777777" w:rsidR="00E51F44" w:rsidRPr="00E64B02" w:rsidRDefault="00E51F44" w:rsidP="009D1861">
            <w:pPr>
              <w:ind w:right="-1"/>
              <w:jc w:val="center"/>
              <w:rPr>
                <w:rFonts w:cs="Arial"/>
                <w:szCs w:val="18"/>
              </w:rPr>
            </w:pPr>
            <w:r w:rsidRPr="00E64B02">
              <w:rPr>
                <w:rFonts w:cs="Arial"/>
                <w:szCs w:val="18"/>
              </w:rPr>
              <w:t>1</w:t>
            </w:r>
          </w:p>
        </w:tc>
      </w:tr>
      <w:tr w:rsidR="00E51F44" w:rsidRPr="00E64B02" w14:paraId="632CBB45" w14:textId="77777777" w:rsidTr="009D1861">
        <w:tc>
          <w:tcPr>
            <w:tcW w:w="2410" w:type="dxa"/>
            <w:shd w:val="clear" w:color="auto" w:fill="FFFFFF"/>
          </w:tcPr>
          <w:p w14:paraId="4805DD61" w14:textId="77777777" w:rsidR="00E51F44" w:rsidRPr="00E64B02" w:rsidRDefault="00E51F44" w:rsidP="009D1861">
            <w:pPr>
              <w:ind w:right="-1"/>
              <w:rPr>
                <w:rFonts w:cs="Arial"/>
                <w:szCs w:val="18"/>
              </w:rPr>
            </w:pPr>
            <w:r w:rsidRPr="00E64B02">
              <w:rPr>
                <w:rFonts w:eastAsia="Calibri" w:cs="Arial"/>
                <w:szCs w:val="18"/>
              </w:rPr>
              <w:t>N2 flow rate (l/h)</w:t>
            </w:r>
          </w:p>
        </w:tc>
        <w:tc>
          <w:tcPr>
            <w:tcW w:w="1701" w:type="dxa"/>
            <w:shd w:val="clear" w:color="auto" w:fill="FFFFFF"/>
          </w:tcPr>
          <w:p w14:paraId="240AB91E" w14:textId="77777777" w:rsidR="00E51F44" w:rsidRPr="00E64B02" w:rsidRDefault="00E51F44" w:rsidP="009D1861">
            <w:pPr>
              <w:ind w:right="-1"/>
              <w:jc w:val="center"/>
              <w:rPr>
                <w:rFonts w:cs="Arial"/>
                <w:szCs w:val="18"/>
              </w:rPr>
            </w:pPr>
            <w:r w:rsidRPr="00E64B02">
              <w:rPr>
                <w:rFonts w:cs="Arial"/>
                <w:szCs w:val="18"/>
              </w:rPr>
              <w:t>6.6</w:t>
            </w:r>
          </w:p>
        </w:tc>
        <w:tc>
          <w:tcPr>
            <w:tcW w:w="2835" w:type="dxa"/>
            <w:shd w:val="clear" w:color="auto" w:fill="FFFFFF"/>
          </w:tcPr>
          <w:p w14:paraId="4A6C766F" w14:textId="77777777" w:rsidR="00E51F44" w:rsidRPr="00E64B02" w:rsidRDefault="00E51F44" w:rsidP="009D1861">
            <w:pPr>
              <w:ind w:right="-1"/>
              <w:rPr>
                <w:rFonts w:cs="Arial"/>
                <w:szCs w:val="18"/>
              </w:rPr>
            </w:pPr>
            <w:r>
              <w:rPr>
                <w:rFonts w:eastAsia="Calibri" w:cs="Arial"/>
                <w:szCs w:val="18"/>
              </w:rPr>
              <w:t xml:space="preserve">      </w:t>
            </w:r>
            <w:r w:rsidRPr="00E64B02">
              <w:rPr>
                <w:rFonts w:eastAsia="Calibri" w:cs="Arial"/>
                <w:szCs w:val="18"/>
              </w:rPr>
              <w:t>Catalyst amount (g)</w:t>
            </w:r>
          </w:p>
        </w:tc>
        <w:tc>
          <w:tcPr>
            <w:tcW w:w="1843" w:type="dxa"/>
            <w:shd w:val="clear" w:color="auto" w:fill="FFFFFF"/>
          </w:tcPr>
          <w:p w14:paraId="3E08658E" w14:textId="77777777" w:rsidR="00E51F44" w:rsidRPr="00E64B02" w:rsidRDefault="00E51F44" w:rsidP="009D1861">
            <w:pPr>
              <w:ind w:right="-1"/>
              <w:jc w:val="center"/>
              <w:rPr>
                <w:rFonts w:cs="Arial"/>
                <w:szCs w:val="18"/>
              </w:rPr>
            </w:pPr>
            <w:r w:rsidRPr="00E64B02">
              <w:rPr>
                <w:rFonts w:cs="Arial"/>
                <w:szCs w:val="18"/>
              </w:rPr>
              <w:t>0.1</w:t>
            </w:r>
          </w:p>
        </w:tc>
      </w:tr>
      <w:tr w:rsidR="00E51F44" w:rsidRPr="00E64B02" w14:paraId="680A0DD3" w14:textId="77777777" w:rsidTr="009D1861">
        <w:tc>
          <w:tcPr>
            <w:tcW w:w="2410" w:type="dxa"/>
            <w:shd w:val="clear" w:color="auto" w:fill="FFFFFF"/>
          </w:tcPr>
          <w:p w14:paraId="4619393B" w14:textId="77777777" w:rsidR="00E51F44" w:rsidRPr="00E64B02" w:rsidRDefault="00E51F44" w:rsidP="009D1861">
            <w:pPr>
              <w:ind w:right="-1"/>
              <w:rPr>
                <w:rFonts w:cs="Arial"/>
                <w:szCs w:val="18"/>
              </w:rPr>
            </w:pPr>
            <w:r w:rsidRPr="00E64B02">
              <w:rPr>
                <w:rFonts w:eastAsia="Calibri" w:cs="Arial"/>
                <w:szCs w:val="18"/>
              </w:rPr>
              <w:t>Liquid feed flow rate (ml/h )</w:t>
            </w:r>
          </w:p>
        </w:tc>
        <w:tc>
          <w:tcPr>
            <w:tcW w:w="1701" w:type="dxa"/>
            <w:shd w:val="clear" w:color="auto" w:fill="FFFFFF"/>
          </w:tcPr>
          <w:p w14:paraId="50B56D3E" w14:textId="77777777" w:rsidR="00E51F44" w:rsidRPr="00E64B02" w:rsidRDefault="00E51F44" w:rsidP="009D1861">
            <w:pPr>
              <w:ind w:right="-1"/>
              <w:jc w:val="center"/>
              <w:rPr>
                <w:rFonts w:cs="Arial"/>
                <w:szCs w:val="18"/>
              </w:rPr>
            </w:pPr>
            <w:r w:rsidRPr="00E64B02">
              <w:rPr>
                <w:rFonts w:cs="Arial"/>
                <w:szCs w:val="18"/>
              </w:rPr>
              <w:t>7.5</w:t>
            </w:r>
          </w:p>
        </w:tc>
        <w:tc>
          <w:tcPr>
            <w:tcW w:w="2835" w:type="dxa"/>
            <w:shd w:val="clear" w:color="auto" w:fill="FFFFFF"/>
          </w:tcPr>
          <w:p w14:paraId="5B2CB113" w14:textId="77777777" w:rsidR="00E51F44" w:rsidRPr="00E64B02" w:rsidRDefault="00E51F44" w:rsidP="009D1861">
            <w:pPr>
              <w:ind w:right="-1"/>
              <w:rPr>
                <w:rFonts w:cs="Arial"/>
                <w:szCs w:val="18"/>
              </w:rPr>
            </w:pPr>
            <w:r>
              <w:rPr>
                <w:rFonts w:eastAsia="Calibri" w:cs="Arial"/>
                <w:szCs w:val="18"/>
              </w:rPr>
              <w:t xml:space="preserve">       </w:t>
            </w:r>
            <w:r w:rsidRPr="00E64B02">
              <w:rPr>
                <w:rFonts w:eastAsia="Calibri" w:cs="Arial"/>
                <w:szCs w:val="18"/>
              </w:rPr>
              <w:t>S/C</w:t>
            </w:r>
          </w:p>
        </w:tc>
        <w:tc>
          <w:tcPr>
            <w:tcW w:w="1843" w:type="dxa"/>
            <w:shd w:val="clear" w:color="auto" w:fill="FFFFFF"/>
          </w:tcPr>
          <w:p w14:paraId="5C91FFAA" w14:textId="77777777" w:rsidR="00E51F44" w:rsidRPr="00E64B02" w:rsidRDefault="00E51F44" w:rsidP="009D1861">
            <w:pPr>
              <w:ind w:right="-1"/>
              <w:jc w:val="center"/>
              <w:rPr>
                <w:rFonts w:cs="Arial"/>
                <w:szCs w:val="18"/>
              </w:rPr>
            </w:pPr>
            <w:r w:rsidRPr="00E64B02">
              <w:rPr>
                <w:rFonts w:cs="Arial"/>
                <w:szCs w:val="18"/>
              </w:rPr>
              <w:t>3.8</w:t>
            </w:r>
          </w:p>
        </w:tc>
      </w:tr>
      <w:tr w:rsidR="00E51F44" w:rsidRPr="00E64B02" w14:paraId="2080A1A6" w14:textId="77777777" w:rsidTr="009D1861">
        <w:tc>
          <w:tcPr>
            <w:tcW w:w="2410" w:type="dxa"/>
            <w:shd w:val="clear" w:color="auto" w:fill="FFFFFF"/>
          </w:tcPr>
          <w:p w14:paraId="64C13529" w14:textId="77777777" w:rsidR="00E51F44" w:rsidRPr="00E64B02" w:rsidRDefault="00E51F44" w:rsidP="009D1861">
            <w:pPr>
              <w:ind w:right="-1"/>
              <w:rPr>
                <w:rFonts w:cs="Arial"/>
                <w:szCs w:val="18"/>
              </w:rPr>
            </w:pPr>
          </w:p>
        </w:tc>
        <w:tc>
          <w:tcPr>
            <w:tcW w:w="1701" w:type="dxa"/>
            <w:shd w:val="clear" w:color="auto" w:fill="FFFFFF"/>
          </w:tcPr>
          <w:p w14:paraId="63215A1B" w14:textId="77777777" w:rsidR="00E51F44" w:rsidRPr="00E64B02" w:rsidRDefault="00E51F44" w:rsidP="009D1861">
            <w:pPr>
              <w:ind w:right="-1"/>
              <w:jc w:val="center"/>
              <w:rPr>
                <w:rFonts w:cs="Arial"/>
                <w:szCs w:val="18"/>
              </w:rPr>
            </w:pPr>
          </w:p>
        </w:tc>
        <w:tc>
          <w:tcPr>
            <w:tcW w:w="2835" w:type="dxa"/>
            <w:shd w:val="clear" w:color="auto" w:fill="FFFFFF"/>
          </w:tcPr>
          <w:p w14:paraId="118AB373" w14:textId="77777777" w:rsidR="00E51F44" w:rsidRPr="00E64B02" w:rsidRDefault="00E51F44" w:rsidP="009D1861">
            <w:pPr>
              <w:ind w:right="-1"/>
              <w:rPr>
                <w:rFonts w:cs="Arial"/>
                <w:szCs w:val="18"/>
              </w:rPr>
            </w:pPr>
            <w:r>
              <w:rPr>
                <w:rFonts w:eastAsia="Calibri" w:cs="Arial"/>
                <w:szCs w:val="18"/>
              </w:rPr>
              <w:t xml:space="preserve">       </w:t>
            </w:r>
            <w:r w:rsidRPr="00E64B02">
              <w:rPr>
                <w:rFonts w:eastAsia="Calibri" w:cs="Arial"/>
                <w:szCs w:val="18"/>
              </w:rPr>
              <w:t>GHSV (h</w:t>
            </w:r>
            <w:r w:rsidRPr="00E64B02">
              <w:rPr>
                <w:rFonts w:eastAsia="Calibri" w:cs="Arial"/>
                <w:szCs w:val="18"/>
                <w:vertAlign w:val="superscript"/>
              </w:rPr>
              <w:t>-1</w:t>
            </w:r>
            <w:r w:rsidRPr="00E64B02">
              <w:rPr>
                <w:rFonts w:eastAsia="Calibri" w:cs="Arial"/>
                <w:szCs w:val="18"/>
              </w:rPr>
              <w:t>)</w:t>
            </w:r>
          </w:p>
        </w:tc>
        <w:tc>
          <w:tcPr>
            <w:tcW w:w="1843" w:type="dxa"/>
            <w:shd w:val="clear" w:color="auto" w:fill="FFFFFF"/>
          </w:tcPr>
          <w:p w14:paraId="1112FD00" w14:textId="77777777" w:rsidR="00E51F44" w:rsidRPr="00E64B02" w:rsidRDefault="00E51F44" w:rsidP="009D1861">
            <w:pPr>
              <w:ind w:right="-1"/>
              <w:jc w:val="center"/>
              <w:rPr>
                <w:rFonts w:cs="Arial"/>
                <w:szCs w:val="18"/>
              </w:rPr>
            </w:pPr>
            <w:r w:rsidRPr="00E64B02">
              <w:rPr>
                <w:rFonts w:cs="Arial"/>
                <w:szCs w:val="18"/>
              </w:rPr>
              <w:t>13703</w:t>
            </w:r>
          </w:p>
        </w:tc>
      </w:tr>
    </w:tbl>
    <w:p w14:paraId="043D6358" w14:textId="77777777" w:rsidR="004835DC" w:rsidRDefault="004835DC" w:rsidP="00EE0DA9">
      <w:pPr>
        <w:pStyle w:val="CETBodytext"/>
      </w:pPr>
    </w:p>
    <w:p w14:paraId="4EF94A86" w14:textId="77777777" w:rsidR="00447149" w:rsidRDefault="00EE0DA9" w:rsidP="00EE0DA9">
      <w:pPr>
        <w:pStyle w:val="CETBodytext"/>
      </w:pPr>
      <w:r w:rsidRPr="00F258DB">
        <w:t xml:space="preserve">At the reactor exit the </w:t>
      </w:r>
      <w:r>
        <w:t xml:space="preserve">condensable fraction (unreacted feed and condensable products) was separated and </w:t>
      </w:r>
      <w:r w:rsidRPr="00F258DB">
        <w:t>the</w:t>
      </w:r>
      <w:r>
        <w:t xml:space="preserve"> </w:t>
      </w:r>
      <w:r w:rsidRPr="00F258DB">
        <w:t>gas sent to an online analyzer (</w:t>
      </w:r>
      <w:r w:rsidRPr="006F3AB5">
        <w:t xml:space="preserve">Siemens </w:t>
      </w:r>
      <w:proofErr w:type="spellStart"/>
      <w:r w:rsidRPr="006F3AB5">
        <w:t>Ultramat</w:t>
      </w:r>
      <w:proofErr w:type="spellEnd"/>
      <w:r w:rsidRPr="006F3AB5">
        <w:t xml:space="preserve"> 23</w:t>
      </w:r>
      <w:r w:rsidRPr="00F258DB">
        <w:t>)</w:t>
      </w:r>
      <w:r>
        <w:t xml:space="preserve"> </w:t>
      </w:r>
      <w:r w:rsidRPr="00F258DB">
        <w:t>for the CO, CO</w:t>
      </w:r>
      <w:r w:rsidRPr="00F258DB">
        <w:rPr>
          <w:sz w:val="12"/>
          <w:szCs w:val="12"/>
        </w:rPr>
        <w:t xml:space="preserve">2 </w:t>
      </w:r>
      <w:r w:rsidRPr="00F258DB">
        <w:t>and CH</w:t>
      </w:r>
      <w:r w:rsidRPr="00F258DB">
        <w:rPr>
          <w:sz w:val="12"/>
          <w:szCs w:val="12"/>
        </w:rPr>
        <w:t xml:space="preserve">4 </w:t>
      </w:r>
      <w:r w:rsidRPr="00F258DB">
        <w:t>. The hydrogen</w:t>
      </w:r>
      <w:r>
        <w:t xml:space="preserve"> </w:t>
      </w:r>
      <w:r w:rsidRPr="00F258DB">
        <w:t xml:space="preserve">concentration was </w:t>
      </w:r>
      <w:r>
        <w:t xml:space="preserve">measured </w:t>
      </w:r>
      <w:r w:rsidRPr="00CD4F3D">
        <w:t>by a GC mass spectrometer (</w:t>
      </w:r>
      <w:proofErr w:type="spellStart"/>
      <w:r w:rsidRPr="00CD4F3D">
        <w:t>Hiden</w:t>
      </w:r>
      <w:proofErr w:type="spellEnd"/>
      <w:r w:rsidRPr="00CD4F3D">
        <w:t xml:space="preserve"> QGA).</w:t>
      </w:r>
      <w:r w:rsidR="00447149">
        <w:t xml:space="preserve"> </w:t>
      </w:r>
    </w:p>
    <w:p w14:paraId="4CACE426" w14:textId="76A6F333" w:rsidR="00600535" w:rsidRPr="00324F94" w:rsidRDefault="00447149" w:rsidP="00EE0DA9">
      <w:pPr>
        <w:pStyle w:val="CETBodytext"/>
      </w:pPr>
      <w:r>
        <w:lastRenderedPageBreak/>
        <w:t>Before the reforming tes</w:t>
      </w:r>
      <w:r w:rsidRPr="00447149">
        <w:t>ts catalysts were a</w:t>
      </w:r>
      <w:r>
        <w:t>c</w:t>
      </w:r>
      <w:r w:rsidR="007E09CF">
        <w:t>tivated in situ at 7</w:t>
      </w:r>
      <w:r w:rsidR="006D4B94">
        <w:t>5</w:t>
      </w:r>
      <w:r w:rsidR="007E09CF">
        <w:t xml:space="preserve">0 °C </w:t>
      </w:r>
      <w:r w:rsidR="00EB36B2">
        <w:t xml:space="preserve">using a hydrogen-nitrogen mixture with the following procedure: 1 h gas flow rate of </w:t>
      </w:r>
      <w:r w:rsidR="007E09CF">
        <w:t>0.6</w:t>
      </w:r>
      <w:r w:rsidRPr="00447149">
        <w:t xml:space="preserve"> </w:t>
      </w:r>
      <w:proofErr w:type="spellStart"/>
      <w:r w:rsidR="00EB36B2" w:rsidRPr="00447149">
        <w:t>N</w:t>
      </w:r>
      <w:r w:rsidR="00EB36B2">
        <w:t>l</w:t>
      </w:r>
      <w:proofErr w:type="spellEnd"/>
      <w:r w:rsidR="00EB36B2" w:rsidRPr="00447149">
        <w:t xml:space="preserve"> </w:t>
      </w:r>
      <w:r w:rsidRPr="00447149">
        <w:t>min</w:t>
      </w:r>
      <w:r w:rsidRPr="00447149">
        <w:rPr>
          <w:vertAlign w:val="superscript"/>
        </w:rPr>
        <w:t>-1</w:t>
      </w:r>
      <w:r w:rsidRPr="00447149">
        <w:t xml:space="preserve"> </w:t>
      </w:r>
      <w:r w:rsidR="00EB36B2">
        <w:t xml:space="preserve">with a </w:t>
      </w:r>
      <w:r w:rsidRPr="00447149">
        <w:t>H</w:t>
      </w:r>
      <w:r w:rsidRPr="00447149">
        <w:rPr>
          <w:vertAlign w:val="subscript"/>
        </w:rPr>
        <w:t>2</w:t>
      </w:r>
      <w:r w:rsidRPr="00447149">
        <w:t>/N</w:t>
      </w:r>
      <w:r w:rsidRPr="00447149">
        <w:rPr>
          <w:vertAlign w:val="subscript"/>
        </w:rPr>
        <w:t>2</w:t>
      </w:r>
      <w:r w:rsidR="007E09CF">
        <w:t xml:space="preserve"> </w:t>
      </w:r>
      <w:r w:rsidR="00EB36B2">
        <w:t xml:space="preserve">ratio of 0.15; 1 h gas flow rate of </w:t>
      </w:r>
      <w:r w:rsidR="007E09CF">
        <w:t>0.4</w:t>
      </w:r>
      <w:r w:rsidR="00324F94" w:rsidRPr="00447149">
        <w:t xml:space="preserve"> N</w:t>
      </w:r>
      <w:r w:rsidR="00EB36B2">
        <w:t>i</w:t>
      </w:r>
      <w:r w:rsidR="00324F94" w:rsidRPr="00447149">
        <w:t xml:space="preserve"> min</w:t>
      </w:r>
      <w:r w:rsidR="00324F94" w:rsidRPr="00447149">
        <w:rPr>
          <w:vertAlign w:val="superscript"/>
        </w:rPr>
        <w:t>-1</w:t>
      </w:r>
      <w:r w:rsidR="00324F94">
        <w:t xml:space="preserve"> </w:t>
      </w:r>
      <w:r w:rsidR="00EB36B2">
        <w:t xml:space="preserve">with a </w:t>
      </w:r>
      <w:r w:rsidR="00EB36B2" w:rsidRPr="00447149">
        <w:t>H</w:t>
      </w:r>
      <w:r w:rsidR="00EB36B2" w:rsidRPr="00447149">
        <w:rPr>
          <w:vertAlign w:val="subscript"/>
        </w:rPr>
        <w:t>2</w:t>
      </w:r>
      <w:r w:rsidR="00EB36B2" w:rsidRPr="00447149">
        <w:t>/N</w:t>
      </w:r>
      <w:r w:rsidR="00EB36B2" w:rsidRPr="00447149">
        <w:rPr>
          <w:vertAlign w:val="subscript"/>
        </w:rPr>
        <w:t>2</w:t>
      </w:r>
      <w:r w:rsidR="00EB36B2">
        <w:t xml:space="preserve"> ratio of 0.50</w:t>
      </w:r>
      <w:r w:rsidR="00324F94">
        <w:t>.</w:t>
      </w:r>
    </w:p>
    <w:p w14:paraId="1FB96E1B" w14:textId="01486324" w:rsidR="00EE0DA9" w:rsidRDefault="009B1C58" w:rsidP="00EE0DA9">
      <w:pPr>
        <w:pStyle w:val="CETBodytext"/>
      </w:pPr>
      <w:r>
        <w:t xml:space="preserve">The spent catalyst was recovered after the tests and </w:t>
      </w:r>
      <w:r w:rsidR="003F1FE6">
        <w:t xml:space="preserve">the </w:t>
      </w:r>
      <w:r>
        <w:t xml:space="preserve">carbon deposition </w:t>
      </w:r>
      <w:r w:rsidR="003F1FE6">
        <w:t>was determined gra</w:t>
      </w:r>
      <w:r w:rsidR="00EB36B2">
        <w:t>vimetrically by coke combustion.</w:t>
      </w:r>
    </w:p>
    <w:p w14:paraId="27C1D5A8" w14:textId="77777777" w:rsidR="00600535" w:rsidRDefault="009518F1" w:rsidP="00600535">
      <w:pPr>
        <w:pStyle w:val="CETHeading1"/>
        <w:rPr>
          <w:lang w:val="en-GB"/>
        </w:rPr>
      </w:pPr>
      <w:r>
        <w:rPr>
          <w:lang w:val="en-GB"/>
        </w:rPr>
        <w:t>Results and discussion</w:t>
      </w:r>
    </w:p>
    <w:p w14:paraId="74BE5C8C" w14:textId="77777777" w:rsidR="00AC00E0" w:rsidRDefault="00AC00E0" w:rsidP="00AC00E0">
      <w:pPr>
        <w:pStyle w:val="CETheadingx"/>
      </w:pPr>
      <w:r>
        <w:t>Catalysts characterization</w:t>
      </w:r>
    </w:p>
    <w:p w14:paraId="6012E541" w14:textId="07C69A3C" w:rsidR="003D76BD" w:rsidRDefault="00A91656" w:rsidP="00AC00E0">
      <w:pPr>
        <w:rPr>
          <w:rFonts w:eastAsiaTheme="minorHAnsi" w:cs="Arial"/>
          <w:szCs w:val="18"/>
        </w:rPr>
      </w:pPr>
      <w:r>
        <w:rPr>
          <w:rFonts w:eastAsiaTheme="minorHAnsi" w:cs="Arial"/>
          <w:szCs w:val="18"/>
          <w:lang w:val="en-US"/>
        </w:rPr>
        <w:t>Figure 2</w:t>
      </w:r>
      <w:r w:rsidR="00AC00E0" w:rsidRPr="009624D4">
        <w:rPr>
          <w:rFonts w:eastAsiaTheme="minorHAnsi" w:cs="Arial"/>
          <w:szCs w:val="18"/>
          <w:lang w:val="en-US"/>
        </w:rPr>
        <w:t xml:space="preserve"> reports the X-ray diffraction </w:t>
      </w:r>
      <w:r w:rsidR="00AC00E0">
        <w:rPr>
          <w:rFonts w:eastAsiaTheme="minorHAnsi" w:cs="Arial"/>
          <w:szCs w:val="18"/>
          <w:lang w:val="en-US"/>
        </w:rPr>
        <w:t>profiles</w:t>
      </w:r>
      <w:r w:rsidR="00AC00E0" w:rsidRPr="009624D4">
        <w:rPr>
          <w:rFonts w:eastAsiaTheme="minorHAnsi" w:cs="Arial"/>
          <w:szCs w:val="18"/>
          <w:lang w:val="en-US"/>
        </w:rPr>
        <w:t xml:space="preserve"> of the </w:t>
      </w:r>
      <w:r w:rsidR="00AC00E0">
        <w:rPr>
          <w:rFonts w:eastAsiaTheme="minorHAnsi" w:cs="Arial"/>
          <w:szCs w:val="18"/>
          <w:lang w:val="en-US"/>
        </w:rPr>
        <w:t xml:space="preserve">prepared </w:t>
      </w:r>
      <w:r w:rsidR="00AC00E0" w:rsidRPr="009624D4">
        <w:rPr>
          <w:rFonts w:eastAsiaTheme="minorHAnsi" w:cs="Arial"/>
          <w:szCs w:val="18"/>
          <w:lang w:val="en-US"/>
        </w:rPr>
        <w:t>catalysts</w:t>
      </w:r>
      <w:r w:rsidR="00AC00E0">
        <w:rPr>
          <w:rFonts w:eastAsiaTheme="minorHAnsi" w:cs="Arial"/>
          <w:szCs w:val="18"/>
        </w:rPr>
        <w:t xml:space="preserve">. </w:t>
      </w:r>
      <w:r w:rsidR="00AC00E0" w:rsidRPr="008D52A6">
        <w:rPr>
          <w:rFonts w:eastAsiaTheme="minorHAnsi" w:cs="Arial"/>
          <w:szCs w:val="18"/>
        </w:rPr>
        <w:t xml:space="preserve">The </w:t>
      </w:r>
      <w:r w:rsidR="00AC00E0">
        <w:rPr>
          <w:rFonts w:eastAsiaTheme="minorHAnsi" w:cs="Arial"/>
          <w:szCs w:val="18"/>
        </w:rPr>
        <w:t>main phase present</w:t>
      </w:r>
      <w:r w:rsidR="00AC00E0" w:rsidRPr="008D52A6">
        <w:rPr>
          <w:rFonts w:eastAsiaTheme="minorHAnsi" w:cs="Arial"/>
          <w:szCs w:val="18"/>
        </w:rPr>
        <w:t xml:space="preserve"> </w:t>
      </w:r>
      <w:r w:rsidR="00AC00E0">
        <w:rPr>
          <w:rFonts w:eastAsiaTheme="minorHAnsi" w:cs="Arial"/>
          <w:szCs w:val="18"/>
        </w:rPr>
        <w:t xml:space="preserve">in all catalysts was the perovskite structure of </w:t>
      </w:r>
      <w:r w:rsidR="00AC00E0" w:rsidRPr="008D52A6">
        <w:rPr>
          <w:rFonts w:eastAsiaTheme="minorHAnsi" w:cs="Arial"/>
          <w:szCs w:val="18"/>
        </w:rPr>
        <w:t>LaNiO</w:t>
      </w:r>
      <w:r w:rsidR="00AC00E0" w:rsidRPr="009624D4">
        <w:rPr>
          <w:rFonts w:eastAsiaTheme="minorHAnsi" w:cs="Arial"/>
          <w:szCs w:val="18"/>
          <w:vertAlign w:val="subscript"/>
        </w:rPr>
        <w:t>3</w:t>
      </w:r>
      <w:r w:rsidR="00AC00E0">
        <w:rPr>
          <w:rFonts w:eastAsiaTheme="minorHAnsi" w:cs="Arial"/>
          <w:szCs w:val="18"/>
        </w:rPr>
        <w:t xml:space="preserve">, as </w:t>
      </w:r>
      <w:r w:rsidR="00AC00E0" w:rsidRPr="00B61E6C">
        <w:rPr>
          <w:rFonts w:eastAsiaTheme="minorHAnsi" w:cs="Arial"/>
          <w:szCs w:val="18"/>
        </w:rPr>
        <w:t>highlighted</w:t>
      </w:r>
      <w:r w:rsidR="00AC00E0">
        <w:rPr>
          <w:rFonts w:eastAsiaTheme="minorHAnsi" w:cs="Arial"/>
          <w:szCs w:val="18"/>
        </w:rPr>
        <w:t xml:space="preserve"> by the diffraction lines at 32°, 47° and 58°. </w:t>
      </w:r>
      <w:bookmarkStart w:id="1" w:name="OLE_LINK15"/>
      <w:bookmarkStart w:id="2" w:name="OLE_LINK16"/>
      <w:r w:rsidR="00AC00E0" w:rsidRPr="00265B3A">
        <w:rPr>
          <w:rFonts w:eastAsiaTheme="minorHAnsi" w:cs="Arial"/>
          <w:szCs w:val="18"/>
        </w:rPr>
        <w:t xml:space="preserve">Furthermore, the sample </w:t>
      </w:r>
      <w:r w:rsidR="00AC00E0">
        <w:rPr>
          <w:rFonts w:eastAsiaTheme="minorHAnsi" w:cs="Arial"/>
          <w:szCs w:val="18"/>
        </w:rPr>
        <w:t>obtained by</w:t>
      </w:r>
      <w:r w:rsidR="00AC00E0" w:rsidRPr="00265B3A">
        <w:rPr>
          <w:rFonts w:eastAsiaTheme="minorHAnsi" w:cs="Arial"/>
          <w:szCs w:val="18"/>
        </w:rPr>
        <w:t xml:space="preserve"> DES </w:t>
      </w:r>
      <w:r w:rsidR="00AC00E0">
        <w:rPr>
          <w:rFonts w:eastAsiaTheme="minorHAnsi" w:cs="Arial"/>
          <w:szCs w:val="18"/>
        </w:rPr>
        <w:t xml:space="preserve">route </w:t>
      </w:r>
      <w:r w:rsidR="00AC00E0" w:rsidRPr="00265B3A">
        <w:rPr>
          <w:rFonts w:eastAsiaTheme="minorHAnsi" w:cs="Arial"/>
          <w:szCs w:val="18"/>
        </w:rPr>
        <w:t xml:space="preserve">shows reflections due to </w:t>
      </w:r>
      <w:proofErr w:type="spellStart"/>
      <w:r w:rsidR="00AC00E0" w:rsidRPr="00265B3A">
        <w:rPr>
          <w:rFonts w:eastAsiaTheme="minorHAnsi" w:cs="Arial"/>
          <w:szCs w:val="18"/>
        </w:rPr>
        <w:t>NiO</w:t>
      </w:r>
      <w:proofErr w:type="spellEnd"/>
      <w:r w:rsidR="00AC00E0" w:rsidRPr="00265B3A">
        <w:rPr>
          <w:rFonts w:eastAsiaTheme="minorHAnsi" w:cs="Arial"/>
          <w:szCs w:val="18"/>
        </w:rPr>
        <w:t xml:space="preserve"> </w:t>
      </w:r>
      <w:bookmarkEnd w:id="1"/>
      <w:bookmarkEnd w:id="2"/>
      <w:r w:rsidR="00AC00E0" w:rsidRPr="00265B3A">
        <w:rPr>
          <w:rFonts w:eastAsiaTheme="minorHAnsi" w:cs="Arial"/>
          <w:szCs w:val="18"/>
        </w:rPr>
        <w:t>and an additional spinel-type phase (La</w:t>
      </w:r>
      <w:r w:rsidR="00AC00E0" w:rsidRPr="009624D4">
        <w:rPr>
          <w:rFonts w:eastAsiaTheme="minorHAnsi" w:cs="Arial"/>
          <w:szCs w:val="18"/>
          <w:vertAlign w:val="subscript"/>
        </w:rPr>
        <w:t>2</w:t>
      </w:r>
      <w:r w:rsidR="00AC00E0" w:rsidRPr="00265B3A">
        <w:rPr>
          <w:rFonts w:eastAsiaTheme="minorHAnsi" w:cs="Arial"/>
          <w:szCs w:val="18"/>
        </w:rPr>
        <w:t>NiO</w:t>
      </w:r>
      <w:r w:rsidR="00AC00E0" w:rsidRPr="009624D4">
        <w:rPr>
          <w:rFonts w:eastAsiaTheme="minorHAnsi" w:cs="Arial"/>
          <w:szCs w:val="18"/>
          <w:vertAlign w:val="subscript"/>
        </w:rPr>
        <w:t>4</w:t>
      </w:r>
      <w:r w:rsidR="00AC00E0" w:rsidRPr="00265B3A">
        <w:rPr>
          <w:rFonts w:eastAsiaTheme="minorHAnsi" w:cs="Arial"/>
          <w:szCs w:val="18"/>
        </w:rPr>
        <w:t>). These latter have been reported as intermediate phases generated when the calcination tem</w:t>
      </w:r>
      <w:r w:rsidR="00AC00E0">
        <w:rPr>
          <w:rFonts w:eastAsiaTheme="minorHAnsi" w:cs="Arial"/>
          <w:szCs w:val="18"/>
        </w:rPr>
        <w:t xml:space="preserve">perature is not enough for the </w:t>
      </w:r>
      <w:r w:rsidR="00AC00E0" w:rsidRPr="00265B3A">
        <w:rPr>
          <w:rFonts w:eastAsiaTheme="minorHAnsi" w:cs="Arial"/>
          <w:szCs w:val="18"/>
        </w:rPr>
        <w:t>transformation into LaNiO</w:t>
      </w:r>
      <w:r w:rsidR="00AC00E0" w:rsidRPr="009624D4">
        <w:rPr>
          <w:rFonts w:eastAsiaTheme="minorHAnsi" w:cs="Arial"/>
          <w:szCs w:val="18"/>
          <w:vertAlign w:val="subscript"/>
        </w:rPr>
        <w:t>3</w:t>
      </w:r>
      <w:r w:rsidR="00AC00E0">
        <w:rPr>
          <w:rFonts w:eastAsiaTheme="minorHAnsi" w:cs="Arial"/>
          <w:szCs w:val="18"/>
        </w:rPr>
        <w:t xml:space="preserve"> [</w:t>
      </w:r>
      <w:r w:rsidR="00AC00E0" w:rsidRPr="00A431D2">
        <w:rPr>
          <w:rFonts w:eastAsiaTheme="minorHAnsi" w:cs="Arial"/>
          <w:szCs w:val="18"/>
        </w:rPr>
        <w:t>Yang</w:t>
      </w:r>
      <w:r w:rsidR="00AC00E0">
        <w:rPr>
          <w:rFonts w:eastAsiaTheme="minorHAnsi" w:cs="Arial"/>
          <w:szCs w:val="18"/>
        </w:rPr>
        <w:t xml:space="preserve"> et al</w:t>
      </w:r>
      <w:r w:rsidR="00AC00E0" w:rsidRPr="00265B3A">
        <w:rPr>
          <w:rFonts w:eastAsiaTheme="minorHAnsi" w:cs="Arial"/>
          <w:szCs w:val="18"/>
        </w:rPr>
        <w:t>.</w:t>
      </w:r>
      <w:r w:rsidR="00AC00E0">
        <w:rPr>
          <w:rFonts w:eastAsiaTheme="minorHAnsi" w:cs="Arial"/>
          <w:szCs w:val="18"/>
        </w:rPr>
        <w:t>, 2016].</w:t>
      </w:r>
    </w:p>
    <w:p w14:paraId="17D6C83F" w14:textId="77777777" w:rsidR="00BD72A5" w:rsidRDefault="00BD72A5" w:rsidP="00AC00E0">
      <w:pPr>
        <w:rPr>
          <w:rFonts w:eastAsiaTheme="minorHAnsi" w:cs="Arial"/>
          <w:szCs w:val="18"/>
        </w:rPr>
      </w:pPr>
    </w:p>
    <w:tbl>
      <w:tblPr>
        <w:tblStyle w:val="Grigliatabella"/>
        <w:tblpPr w:leftFromText="141" w:rightFromText="141" w:vertAnchor="page" w:horzAnchor="margin" w:tblpY="52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BD72A5" w14:paraId="678AEB12" w14:textId="77777777" w:rsidTr="00BD72A5">
        <w:tc>
          <w:tcPr>
            <w:tcW w:w="2500" w:type="pct"/>
            <w:vAlign w:val="center"/>
          </w:tcPr>
          <w:p w14:paraId="07D4A0E2" w14:textId="77777777" w:rsidR="00BD72A5" w:rsidRPr="00282B15" w:rsidRDefault="00BD72A5" w:rsidP="00BD72A5">
            <w:pPr>
              <w:pStyle w:val="CETBodytext"/>
              <w:jc w:val="left"/>
              <w:rPr>
                <w:noProof/>
                <w:lang w:eastAsia="it-IT"/>
              </w:rPr>
            </w:pPr>
            <w:r>
              <w:t>a)</w:t>
            </w:r>
          </w:p>
        </w:tc>
        <w:tc>
          <w:tcPr>
            <w:tcW w:w="2500" w:type="pct"/>
            <w:vAlign w:val="center"/>
          </w:tcPr>
          <w:p w14:paraId="032CC4EA" w14:textId="77777777" w:rsidR="00BD72A5" w:rsidRDefault="00BD72A5" w:rsidP="00BD72A5">
            <w:pPr>
              <w:pStyle w:val="CETBodytext"/>
              <w:jc w:val="left"/>
            </w:pPr>
            <w:r>
              <w:t>b)</w:t>
            </w:r>
          </w:p>
        </w:tc>
      </w:tr>
      <w:tr w:rsidR="00BD72A5" w14:paraId="414F5A06" w14:textId="77777777" w:rsidTr="00BD72A5">
        <w:tc>
          <w:tcPr>
            <w:tcW w:w="2500" w:type="pct"/>
            <w:vAlign w:val="center"/>
          </w:tcPr>
          <w:p w14:paraId="5768F5DF" w14:textId="77777777" w:rsidR="00BD72A5" w:rsidRDefault="00BD72A5" w:rsidP="00BD72A5">
            <w:pPr>
              <w:pStyle w:val="CETBodytext"/>
              <w:jc w:val="center"/>
            </w:pPr>
            <w:r w:rsidRPr="00407329">
              <w:rPr>
                <w:noProof/>
                <w:lang w:val="it-IT" w:eastAsia="it-IT"/>
              </w:rPr>
              <w:drawing>
                <wp:inline distT="0" distB="0" distL="0" distR="0" wp14:anchorId="1C3D7551" wp14:editId="7CCA75CB">
                  <wp:extent cx="2651760" cy="2295144"/>
                  <wp:effectExtent l="0" t="0" r="0" b="0"/>
                  <wp:docPr id="3" name="Immagine 3" descr="E:\Lavori\Articoli\2019\2019_NINE\LaNiO3_H2O_inve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vori\Articoli\2019\2019_NINE\LaNiO3_H2O_invert..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1760" cy="2295144"/>
                          </a:xfrm>
                          <a:prstGeom prst="rect">
                            <a:avLst/>
                          </a:prstGeom>
                          <a:noFill/>
                          <a:ln>
                            <a:noFill/>
                          </a:ln>
                        </pic:spPr>
                      </pic:pic>
                    </a:graphicData>
                  </a:graphic>
                </wp:inline>
              </w:drawing>
            </w:r>
          </w:p>
        </w:tc>
        <w:tc>
          <w:tcPr>
            <w:tcW w:w="2500" w:type="pct"/>
            <w:vAlign w:val="center"/>
          </w:tcPr>
          <w:p w14:paraId="70AD3ECE" w14:textId="77777777" w:rsidR="00BD72A5" w:rsidRDefault="00BD72A5" w:rsidP="00BD72A5">
            <w:pPr>
              <w:pStyle w:val="CETBodytext"/>
              <w:jc w:val="center"/>
            </w:pPr>
            <w:r w:rsidRPr="00320019">
              <w:rPr>
                <w:noProof/>
                <w:lang w:val="it-IT" w:eastAsia="it-IT"/>
              </w:rPr>
              <w:drawing>
                <wp:inline distT="0" distB="0" distL="0" distR="0" wp14:anchorId="7E15F6FC" wp14:editId="2BB126B2">
                  <wp:extent cx="2651760" cy="2299003"/>
                  <wp:effectExtent l="0" t="0" r="0" b="6350"/>
                  <wp:docPr id="16" name="Immagine 16" descr="E:\Lavori\Articoli\2019\2019_NINE\LaNiO3_D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vori\Articoli\2019\2019_NINE\LaNiO3_DES.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2299003"/>
                          </a:xfrm>
                          <a:prstGeom prst="rect">
                            <a:avLst/>
                          </a:prstGeom>
                          <a:noFill/>
                          <a:ln>
                            <a:noFill/>
                          </a:ln>
                        </pic:spPr>
                      </pic:pic>
                    </a:graphicData>
                  </a:graphic>
                </wp:inline>
              </w:drawing>
            </w:r>
          </w:p>
        </w:tc>
      </w:tr>
    </w:tbl>
    <w:p w14:paraId="2EE99A7E" w14:textId="3F21E00A" w:rsidR="00AC00E0" w:rsidRPr="00BE1D87" w:rsidRDefault="00A91656" w:rsidP="00AC00E0">
      <w:pPr>
        <w:spacing w:before="240" w:after="240"/>
        <w:rPr>
          <w:i/>
          <w:lang w:val="en-US"/>
        </w:rPr>
      </w:pPr>
      <w:r>
        <w:rPr>
          <w:i/>
          <w:lang w:val="en-US"/>
        </w:rPr>
        <w:t>Figure 2</w:t>
      </w:r>
      <w:r w:rsidR="00AC00E0" w:rsidRPr="008E222D">
        <w:rPr>
          <w:i/>
          <w:lang w:val="en-US"/>
        </w:rPr>
        <w:t>: XRD pattern of catalysts synthetized in a) water, b) DES.</w:t>
      </w:r>
    </w:p>
    <w:p w14:paraId="4524F460" w14:textId="77777777" w:rsidR="008672D9" w:rsidRDefault="00AC00E0" w:rsidP="00AC00E0">
      <w:pPr>
        <w:rPr>
          <w:rFonts w:cs="Warnock Pro"/>
          <w:color w:val="000000"/>
          <w:szCs w:val="18"/>
          <w:lang w:val="en-US"/>
        </w:rPr>
      </w:pPr>
      <w:r w:rsidRPr="004C41D4">
        <w:rPr>
          <w:rFonts w:cs="Warnock Pro"/>
          <w:color w:val="000000"/>
          <w:szCs w:val="18"/>
          <w:lang w:val="en-US"/>
        </w:rPr>
        <w:t xml:space="preserve">In the sample synthetized in water, the </w:t>
      </w:r>
      <w:r>
        <w:rPr>
          <w:rFonts w:cs="Warnock Pro"/>
          <w:color w:val="000000"/>
          <w:szCs w:val="18"/>
          <w:lang w:val="en-US"/>
        </w:rPr>
        <w:t>insertion</w:t>
      </w:r>
      <w:r w:rsidRPr="004C41D4">
        <w:rPr>
          <w:rFonts w:cs="Warnock Pro"/>
          <w:color w:val="000000"/>
          <w:szCs w:val="18"/>
          <w:lang w:val="en-US"/>
        </w:rPr>
        <w:t xml:space="preserve"> of Ru did not affect the LaNiO</w:t>
      </w:r>
      <w:r w:rsidRPr="004C41D4">
        <w:rPr>
          <w:rFonts w:cs="Warnock Pro"/>
          <w:color w:val="000000"/>
          <w:szCs w:val="18"/>
          <w:vertAlign w:val="subscript"/>
          <w:lang w:val="en-US"/>
        </w:rPr>
        <w:t>3</w:t>
      </w:r>
      <w:r w:rsidRPr="004C41D4">
        <w:rPr>
          <w:rFonts w:cs="Warnock Pro"/>
          <w:color w:val="000000"/>
          <w:szCs w:val="18"/>
          <w:lang w:val="en-US"/>
        </w:rPr>
        <w:t xml:space="preserve"> perovskite structure. In addition, the XRD pattern also shows the diffraction lines of </w:t>
      </w:r>
      <w:proofErr w:type="spellStart"/>
      <w:r w:rsidRPr="004C41D4">
        <w:rPr>
          <w:rFonts w:cs="Warnock Pro"/>
          <w:color w:val="000000"/>
          <w:szCs w:val="18"/>
          <w:lang w:val="en-US"/>
        </w:rPr>
        <w:t>NiO</w:t>
      </w:r>
      <w:proofErr w:type="spellEnd"/>
      <w:r w:rsidRPr="004C41D4">
        <w:rPr>
          <w:rFonts w:cs="Warnock Pro"/>
          <w:color w:val="000000"/>
          <w:szCs w:val="18"/>
          <w:lang w:val="en-US"/>
        </w:rPr>
        <w:t xml:space="preserve"> along with the lines of the hexagonal lanthanum </w:t>
      </w:r>
      <w:proofErr w:type="spellStart"/>
      <w:r w:rsidRPr="004C41D4">
        <w:rPr>
          <w:rFonts w:cs="Warnock Pro"/>
          <w:color w:val="000000"/>
          <w:szCs w:val="18"/>
          <w:lang w:val="en-US"/>
        </w:rPr>
        <w:t>oxycarbonate</w:t>
      </w:r>
      <w:proofErr w:type="spellEnd"/>
      <w:r w:rsidRPr="004C41D4">
        <w:rPr>
          <w:rFonts w:cs="Warnock Pro"/>
          <w:color w:val="000000"/>
          <w:szCs w:val="18"/>
          <w:lang w:val="en-US"/>
        </w:rPr>
        <w:t xml:space="preserve"> (La</w:t>
      </w:r>
      <w:r w:rsidRPr="004C41D4">
        <w:rPr>
          <w:rFonts w:cs="Warnock Pro"/>
          <w:color w:val="000000"/>
          <w:szCs w:val="18"/>
          <w:vertAlign w:val="subscript"/>
          <w:lang w:val="en-US"/>
        </w:rPr>
        <w:t>2</w:t>
      </w:r>
      <w:r w:rsidRPr="004C41D4">
        <w:rPr>
          <w:rFonts w:cs="Warnock Pro"/>
          <w:color w:val="000000"/>
          <w:szCs w:val="18"/>
          <w:lang w:val="en-US"/>
        </w:rPr>
        <w:t>O</w:t>
      </w:r>
      <w:r w:rsidRPr="004C41D4">
        <w:rPr>
          <w:rFonts w:cs="Warnock Pro"/>
          <w:color w:val="000000"/>
          <w:szCs w:val="18"/>
          <w:vertAlign w:val="subscript"/>
          <w:lang w:val="en-US"/>
        </w:rPr>
        <w:t>2</w:t>
      </w:r>
      <w:r w:rsidRPr="004C41D4">
        <w:rPr>
          <w:rFonts w:cs="Warnock Pro"/>
          <w:color w:val="000000"/>
          <w:szCs w:val="18"/>
          <w:lang w:val="en-US"/>
        </w:rPr>
        <w:t>CO</w:t>
      </w:r>
      <w:r w:rsidRPr="004C41D4">
        <w:rPr>
          <w:rFonts w:cs="Warnock Pro"/>
          <w:color w:val="000000"/>
          <w:szCs w:val="18"/>
          <w:vertAlign w:val="subscript"/>
          <w:lang w:val="en-US"/>
        </w:rPr>
        <w:t>3</w:t>
      </w:r>
      <w:r w:rsidRPr="004C41D4">
        <w:rPr>
          <w:rFonts w:cs="Warnock Pro"/>
          <w:color w:val="000000"/>
          <w:szCs w:val="18"/>
          <w:lang w:val="en-US"/>
        </w:rPr>
        <w:t>) phase. It has been proposed that the La</w:t>
      </w:r>
      <w:r w:rsidRPr="004C41D4">
        <w:rPr>
          <w:rFonts w:cs="Warnock Pro"/>
          <w:color w:val="000000"/>
          <w:szCs w:val="18"/>
          <w:vertAlign w:val="subscript"/>
          <w:lang w:val="en-US"/>
        </w:rPr>
        <w:t>2</w:t>
      </w:r>
      <w:r w:rsidRPr="004C41D4">
        <w:rPr>
          <w:rFonts w:cs="Warnock Pro"/>
          <w:color w:val="000000"/>
          <w:szCs w:val="18"/>
          <w:lang w:val="en-US"/>
        </w:rPr>
        <w:t>O</w:t>
      </w:r>
      <w:r w:rsidRPr="004C41D4">
        <w:rPr>
          <w:rFonts w:cs="Warnock Pro"/>
          <w:color w:val="000000"/>
          <w:szCs w:val="18"/>
          <w:vertAlign w:val="subscript"/>
          <w:lang w:val="en-US"/>
        </w:rPr>
        <w:t>2</w:t>
      </w:r>
      <w:r w:rsidRPr="004C41D4">
        <w:rPr>
          <w:rFonts w:cs="Warnock Pro"/>
          <w:color w:val="000000"/>
          <w:szCs w:val="18"/>
          <w:lang w:val="en-US"/>
        </w:rPr>
        <w:t>CO</w:t>
      </w:r>
      <w:r w:rsidRPr="004C41D4">
        <w:rPr>
          <w:rFonts w:cs="Warnock Pro"/>
          <w:color w:val="000000"/>
          <w:szCs w:val="18"/>
          <w:vertAlign w:val="subscript"/>
          <w:lang w:val="en-US"/>
        </w:rPr>
        <w:t>3</w:t>
      </w:r>
      <w:r w:rsidRPr="004C41D4">
        <w:rPr>
          <w:rFonts w:cs="Warnock Pro"/>
          <w:color w:val="000000"/>
          <w:szCs w:val="18"/>
          <w:lang w:val="en-US"/>
        </w:rPr>
        <w:t xml:space="preserve"> phase plays a key role in reducing carbon deposition [Yang et al., 2015].</w:t>
      </w:r>
      <w:r>
        <w:rPr>
          <w:rFonts w:cs="Warnock Pro"/>
          <w:color w:val="000000"/>
          <w:szCs w:val="18"/>
          <w:lang w:val="en-US"/>
        </w:rPr>
        <w:t xml:space="preserve"> </w:t>
      </w:r>
      <w:r w:rsidRPr="004C41D4">
        <w:rPr>
          <w:rFonts w:cs="Warnock Pro"/>
          <w:color w:val="000000"/>
          <w:szCs w:val="18"/>
          <w:lang w:val="en-US"/>
        </w:rPr>
        <w:t xml:space="preserve">For </w:t>
      </w:r>
      <w:r w:rsidRPr="001D15BF">
        <w:rPr>
          <w:rFonts w:cs="Warnock Pro"/>
          <w:color w:val="000000"/>
          <w:szCs w:val="18"/>
          <w:lang w:val="en-US"/>
        </w:rPr>
        <w:t>Ru</w:t>
      </w:r>
      <w:r w:rsidRPr="00F8543B">
        <w:rPr>
          <w:rFonts w:cs="Warnock Pro"/>
          <w:color w:val="000000"/>
          <w:szCs w:val="18"/>
          <w:lang w:val="en-US"/>
        </w:rPr>
        <w:t xml:space="preserve"> </w:t>
      </w:r>
      <w:r w:rsidRPr="004C41D4">
        <w:rPr>
          <w:rFonts w:cs="Warnock Pro"/>
          <w:color w:val="000000"/>
          <w:szCs w:val="18"/>
          <w:lang w:val="en-US"/>
        </w:rPr>
        <w:t>substitution in the D</w:t>
      </w:r>
      <w:r>
        <w:rPr>
          <w:rFonts w:cs="Warnock Pro"/>
          <w:color w:val="000000"/>
          <w:szCs w:val="18"/>
          <w:lang w:val="en-US"/>
        </w:rPr>
        <w:t>ES</w:t>
      </w:r>
      <w:r w:rsidRPr="004C41D4">
        <w:rPr>
          <w:rFonts w:cs="Warnock Pro"/>
          <w:color w:val="000000"/>
          <w:szCs w:val="18"/>
          <w:lang w:val="en-US"/>
        </w:rPr>
        <w:t xml:space="preserve"> </w:t>
      </w:r>
      <w:r>
        <w:rPr>
          <w:rFonts w:cs="Warnock Pro"/>
          <w:color w:val="000000"/>
          <w:szCs w:val="18"/>
          <w:lang w:val="en-US"/>
        </w:rPr>
        <w:t>route</w:t>
      </w:r>
      <w:r w:rsidRPr="004C41D4">
        <w:rPr>
          <w:rFonts w:cs="Warnock Pro"/>
          <w:color w:val="000000"/>
          <w:szCs w:val="18"/>
          <w:lang w:val="en-US"/>
        </w:rPr>
        <w:t xml:space="preserve"> </w:t>
      </w:r>
      <w:bookmarkStart w:id="3" w:name="OLE_LINK3"/>
      <w:bookmarkStart w:id="4" w:name="OLE_LINK4"/>
      <w:r w:rsidRPr="004C41D4">
        <w:rPr>
          <w:rFonts w:cs="Warnock Pro"/>
          <w:color w:val="000000"/>
          <w:szCs w:val="18"/>
          <w:lang w:val="en-US"/>
        </w:rPr>
        <w:t>whereas</w:t>
      </w:r>
      <w:bookmarkEnd w:id="3"/>
      <w:bookmarkEnd w:id="4"/>
      <w:r w:rsidRPr="004C41D4">
        <w:rPr>
          <w:rFonts w:cs="Warnock Pro"/>
          <w:color w:val="000000"/>
          <w:szCs w:val="18"/>
          <w:lang w:val="en-US"/>
        </w:rPr>
        <w:t xml:space="preserve"> there are also reflection lines of </w:t>
      </w:r>
      <w:proofErr w:type="spellStart"/>
      <w:r w:rsidRPr="004C41D4">
        <w:rPr>
          <w:rFonts w:cs="Warnock Pro"/>
          <w:color w:val="000000"/>
          <w:szCs w:val="18"/>
          <w:lang w:val="en-US"/>
        </w:rPr>
        <w:t>LaOCl</w:t>
      </w:r>
      <w:proofErr w:type="spellEnd"/>
      <w:r w:rsidRPr="004C41D4">
        <w:rPr>
          <w:rFonts w:cs="Warnock Pro"/>
          <w:color w:val="000000"/>
          <w:szCs w:val="18"/>
          <w:lang w:val="en-US"/>
        </w:rPr>
        <w:t>.</w:t>
      </w:r>
      <w:r>
        <w:rPr>
          <w:rFonts w:cs="Warnock Pro"/>
          <w:color w:val="000000"/>
          <w:szCs w:val="18"/>
          <w:lang w:val="en-US"/>
        </w:rPr>
        <w:t xml:space="preserve"> </w:t>
      </w:r>
      <w:r w:rsidRPr="00320B16">
        <w:rPr>
          <w:rFonts w:cs="Warnock Pro"/>
          <w:color w:val="000000"/>
          <w:szCs w:val="18"/>
          <w:lang w:val="en-US"/>
        </w:rPr>
        <w:t>No diffraction peaks corresponding to RuO</w:t>
      </w:r>
      <w:r w:rsidRPr="003C05B3">
        <w:rPr>
          <w:rFonts w:cs="Warnock Pro"/>
          <w:color w:val="000000"/>
          <w:szCs w:val="18"/>
          <w:vertAlign w:val="subscript"/>
          <w:lang w:val="en-US"/>
        </w:rPr>
        <w:t>2</w:t>
      </w:r>
      <w:r>
        <w:rPr>
          <w:rFonts w:cs="Warnock Pro"/>
          <w:color w:val="000000"/>
          <w:szCs w:val="18"/>
          <w:lang w:val="en-US"/>
        </w:rPr>
        <w:t xml:space="preserve"> or metallic Ru were detected. The crystal sizes of the La</w:t>
      </w:r>
      <w:r w:rsidRPr="0019489A">
        <w:rPr>
          <w:rFonts w:cs="Warnock Pro"/>
          <w:color w:val="000000"/>
          <w:szCs w:val="18"/>
          <w:lang w:val="en-US"/>
        </w:rPr>
        <w:t>NiO</w:t>
      </w:r>
      <w:r w:rsidRPr="009B4699">
        <w:rPr>
          <w:rFonts w:cs="Warnock Pro"/>
          <w:color w:val="000000"/>
          <w:szCs w:val="18"/>
          <w:vertAlign w:val="subscript"/>
          <w:lang w:val="en-US"/>
        </w:rPr>
        <w:t>3</w:t>
      </w:r>
      <w:r>
        <w:rPr>
          <w:rFonts w:cs="Warnock Pro"/>
          <w:color w:val="000000"/>
          <w:szCs w:val="18"/>
          <w:lang w:val="en-US"/>
        </w:rPr>
        <w:t xml:space="preserve"> </w:t>
      </w:r>
      <w:r>
        <w:rPr>
          <w:rFonts w:eastAsiaTheme="minorHAnsi" w:cs="Arial"/>
          <w:szCs w:val="18"/>
        </w:rPr>
        <w:t>perovskite</w:t>
      </w:r>
      <w:r>
        <w:rPr>
          <w:rFonts w:cs="Warnock Pro"/>
          <w:color w:val="000000"/>
          <w:szCs w:val="18"/>
          <w:lang w:val="en-US"/>
        </w:rPr>
        <w:t xml:space="preserve"> structure</w:t>
      </w:r>
      <w:r w:rsidRPr="0019489A">
        <w:rPr>
          <w:rFonts w:cs="Warnock Pro"/>
          <w:color w:val="000000"/>
          <w:szCs w:val="18"/>
          <w:lang w:val="en-US"/>
        </w:rPr>
        <w:t xml:space="preserve">, calculated from the </w:t>
      </w:r>
      <w:r>
        <w:rPr>
          <w:rFonts w:cs="Warnock Pro"/>
          <w:color w:val="000000"/>
          <w:szCs w:val="18"/>
          <w:lang w:val="en-US"/>
        </w:rPr>
        <w:t>full width at half maximum (FWHM)</w:t>
      </w:r>
      <w:r w:rsidRPr="0019489A">
        <w:rPr>
          <w:rFonts w:cs="Warnock Pro"/>
          <w:color w:val="000000"/>
          <w:szCs w:val="18"/>
          <w:lang w:val="en-US"/>
        </w:rPr>
        <w:t xml:space="preserve"> of </w:t>
      </w:r>
      <w:r>
        <w:rPr>
          <w:rFonts w:cs="Warnock Pro"/>
          <w:color w:val="000000"/>
          <w:szCs w:val="18"/>
          <w:lang w:val="en-US"/>
        </w:rPr>
        <w:t xml:space="preserve">the most intense </w:t>
      </w:r>
      <w:r w:rsidRPr="0019489A">
        <w:rPr>
          <w:rFonts w:cs="Warnock Pro"/>
          <w:color w:val="000000"/>
          <w:szCs w:val="18"/>
          <w:lang w:val="en-US"/>
        </w:rPr>
        <w:t>diffracti</w:t>
      </w:r>
      <w:r>
        <w:rPr>
          <w:rFonts w:cs="Warnock Pro"/>
          <w:color w:val="000000"/>
          <w:szCs w:val="18"/>
          <w:lang w:val="en-US"/>
        </w:rPr>
        <w:t xml:space="preserve">on peak using </w:t>
      </w:r>
      <w:proofErr w:type="spellStart"/>
      <w:r>
        <w:rPr>
          <w:rFonts w:cs="Warnock Pro"/>
          <w:color w:val="000000"/>
          <w:szCs w:val="18"/>
          <w:lang w:val="en-US"/>
        </w:rPr>
        <w:t>Scherrer</w:t>
      </w:r>
      <w:proofErr w:type="spellEnd"/>
      <w:r>
        <w:rPr>
          <w:rFonts w:cs="Warnock Pro"/>
          <w:color w:val="000000"/>
          <w:szCs w:val="18"/>
          <w:lang w:val="en-US"/>
        </w:rPr>
        <w:t xml:space="preserve"> formula, are </w:t>
      </w:r>
      <w:r w:rsidRPr="0019489A">
        <w:rPr>
          <w:rFonts w:cs="Warnock Pro"/>
          <w:color w:val="000000"/>
          <w:szCs w:val="18"/>
          <w:lang w:val="en-US"/>
        </w:rPr>
        <w:t xml:space="preserve">listed in </w:t>
      </w:r>
      <w:r w:rsidR="00F24C36" w:rsidRPr="008672D9">
        <w:rPr>
          <w:rFonts w:cs="Warnock Pro"/>
          <w:color w:val="000000"/>
          <w:szCs w:val="18"/>
          <w:lang w:val="en-US"/>
        </w:rPr>
        <w:t>Table 2</w:t>
      </w:r>
      <w:r w:rsidRPr="0019489A">
        <w:rPr>
          <w:rFonts w:cs="Warnock Pro"/>
          <w:color w:val="000000"/>
          <w:szCs w:val="18"/>
          <w:lang w:val="en-US"/>
        </w:rPr>
        <w:t>.</w:t>
      </w:r>
      <w:r>
        <w:rPr>
          <w:rFonts w:cs="Warnock Pro"/>
          <w:color w:val="000000"/>
          <w:szCs w:val="18"/>
          <w:lang w:val="en-US"/>
        </w:rPr>
        <w:t xml:space="preserve"> </w:t>
      </w:r>
      <w:bookmarkStart w:id="5" w:name="OLE_LINK9"/>
      <w:bookmarkStart w:id="6" w:name="OLE_LINK10"/>
      <w:r w:rsidRPr="0019489A">
        <w:rPr>
          <w:rFonts w:cs="Warnock Pro"/>
          <w:color w:val="000000"/>
          <w:szCs w:val="18"/>
          <w:lang w:val="en-US"/>
        </w:rPr>
        <w:t xml:space="preserve">Upon </w:t>
      </w:r>
      <w:r>
        <w:rPr>
          <w:rFonts w:cs="Warnock Pro"/>
          <w:color w:val="000000"/>
          <w:szCs w:val="18"/>
          <w:lang w:val="en-US"/>
        </w:rPr>
        <w:t xml:space="preserve">Ru insertion, </w:t>
      </w:r>
      <w:r w:rsidRPr="0019489A">
        <w:rPr>
          <w:rFonts w:cs="Warnock Pro"/>
          <w:color w:val="000000"/>
          <w:szCs w:val="18"/>
          <w:lang w:val="en-US"/>
        </w:rPr>
        <w:t xml:space="preserve">the particle sizes </w:t>
      </w:r>
      <w:r w:rsidRPr="003C05B3">
        <w:rPr>
          <w:rFonts w:cs="Warnock Pro"/>
          <w:color w:val="000000"/>
          <w:szCs w:val="18"/>
          <w:lang w:val="en-US"/>
        </w:rPr>
        <w:t xml:space="preserve">slightly </w:t>
      </w:r>
      <w:r w:rsidRPr="0019489A">
        <w:rPr>
          <w:rFonts w:cs="Warnock Pro"/>
          <w:color w:val="000000"/>
          <w:szCs w:val="18"/>
          <w:lang w:val="en-US"/>
        </w:rPr>
        <w:t>increased</w:t>
      </w:r>
      <w:r>
        <w:rPr>
          <w:rFonts w:cs="Warnock Pro"/>
          <w:color w:val="000000"/>
          <w:szCs w:val="18"/>
          <w:lang w:val="en-US"/>
        </w:rPr>
        <w:t>.</w:t>
      </w:r>
    </w:p>
    <w:p w14:paraId="61A17E86" w14:textId="6BFB581E" w:rsidR="008672D9" w:rsidRPr="00B57B36" w:rsidRDefault="008672D9" w:rsidP="008672D9">
      <w:pPr>
        <w:pStyle w:val="CETTabletitle"/>
      </w:pPr>
      <w:r>
        <w:t>Table 2</w:t>
      </w:r>
      <w:r w:rsidRPr="00B57B36">
        <w:t xml:space="preserve">: </w:t>
      </w:r>
      <w:r w:rsidR="003D76BD">
        <w:t xml:space="preserve">Crystallite size of the synthetized </w:t>
      </w:r>
      <w:r w:rsidR="003D76BD" w:rsidRPr="003D76BD">
        <w:t>perovskite structure</w:t>
      </w:r>
      <w:r w:rsidR="003D76BD">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3119"/>
      </w:tblGrid>
      <w:tr w:rsidR="003D76BD" w:rsidRPr="00B57B36" w14:paraId="63444B0D" w14:textId="77777777" w:rsidTr="003D76BD">
        <w:tc>
          <w:tcPr>
            <w:tcW w:w="1843" w:type="dxa"/>
            <w:tcBorders>
              <w:top w:val="single" w:sz="12" w:space="0" w:color="008000"/>
              <w:bottom w:val="single" w:sz="6" w:space="0" w:color="008000"/>
            </w:tcBorders>
            <w:shd w:val="clear" w:color="auto" w:fill="FFFFFF"/>
          </w:tcPr>
          <w:p w14:paraId="0B7FC3A8" w14:textId="0D8D5A10" w:rsidR="003D76BD" w:rsidRPr="00B57B36" w:rsidRDefault="003D76BD" w:rsidP="003D76BD">
            <w:pPr>
              <w:pStyle w:val="CETBodytext"/>
              <w:rPr>
                <w:lang w:val="en-GB"/>
              </w:rPr>
            </w:pPr>
            <w:r w:rsidRPr="005D3029">
              <w:rPr>
                <w:lang w:val="en-GB"/>
              </w:rPr>
              <w:t>Sample</w:t>
            </w:r>
          </w:p>
        </w:tc>
        <w:tc>
          <w:tcPr>
            <w:tcW w:w="3119" w:type="dxa"/>
            <w:tcBorders>
              <w:top w:val="single" w:sz="12" w:space="0" w:color="008000"/>
              <w:bottom w:val="single" w:sz="6" w:space="0" w:color="008000"/>
            </w:tcBorders>
            <w:shd w:val="clear" w:color="auto" w:fill="FFFFFF"/>
          </w:tcPr>
          <w:p w14:paraId="3F81C9DD" w14:textId="53DCDA5D" w:rsidR="003D76BD" w:rsidRPr="00B57B36" w:rsidRDefault="003D76BD" w:rsidP="003A4C81">
            <w:pPr>
              <w:pStyle w:val="CETBodytext"/>
              <w:jc w:val="center"/>
              <w:rPr>
                <w:lang w:val="en-GB"/>
              </w:rPr>
            </w:pPr>
            <w:r w:rsidRPr="005D3029">
              <w:rPr>
                <w:lang w:val="en-GB"/>
              </w:rPr>
              <w:t>Crystallite size of LaNiO</w:t>
            </w:r>
            <w:r w:rsidRPr="003D76BD">
              <w:rPr>
                <w:vertAlign w:val="subscript"/>
                <w:lang w:val="en-GB"/>
              </w:rPr>
              <w:t>3</w:t>
            </w:r>
            <w:r w:rsidRPr="005D3029">
              <w:rPr>
                <w:lang w:val="en-GB"/>
              </w:rPr>
              <w:t xml:space="preserve"> (nm)</w:t>
            </w:r>
          </w:p>
        </w:tc>
      </w:tr>
      <w:tr w:rsidR="003D76BD" w:rsidRPr="00B57B36" w14:paraId="6AD4C99C" w14:textId="77777777" w:rsidTr="003D76BD">
        <w:tc>
          <w:tcPr>
            <w:tcW w:w="1843" w:type="dxa"/>
            <w:shd w:val="clear" w:color="auto" w:fill="FFFFFF"/>
          </w:tcPr>
          <w:p w14:paraId="65749721" w14:textId="07DED4F5" w:rsidR="003D76BD" w:rsidRPr="00B57B36" w:rsidRDefault="003D76BD" w:rsidP="003D76BD">
            <w:pPr>
              <w:pStyle w:val="CETBodytext"/>
              <w:rPr>
                <w:lang w:val="en-GB"/>
              </w:rPr>
            </w:pPr>
            <w:r w:rsidRPr="005D3029">
              <w:rPr>
                <w:lang w:val="en-GB"/>
              </w:rPr>
              <w:t>LaNiO</w:t>
            </w:r>
            <w:r w:rsidRPr="003D76BD">
              <w:rPr>
                <w:vertAlign w:val="subscript"/>
                <w:lang w:val="en-GB"/>
              </w:rPr>
              <w:t>3</w:t>
            </w:r>
            <w:r>
              <w:rPr>
                <w:lang w:val="en-GB"/>
              </w:rPr>
              <w:t xml:space="preserve">  H</w:t>
            </w:r>
            <w:r w:rsidRPr="003D76BD">
              <w:rPr>
                <w:vertAlign w:val="subscript"/>
                <w:lang w:val="en-GB"/>
              </w:rPr>
              <w:t>2</w:t>
            </w:r>
            <w:r>
              <w:rPr>
                <w:lang w:val="en-GB"/>
              </w:rPr>
              <w:t>O</w:t>
            </w:r>
          </w:p>
        </w:tc>
        <w:tc>
          <w:tcPr>
            <w:tcW w:w="3119" w:type="dxa"/>
            <w:shd w:val="clear" w:color="auto" w:fill="FFFFFF"/>
          </w:tcPr>
          <w:p w14:paraId="44D6AA0D" w14:textId="50C78F4B" w:rsidR="003D76BD" w:rsidRPr="00B57B36" w:rsidRDefault="003D76BD" w:rsidP="003A4C81">
            <w:pPr>
              <w:pStyle w:val="CETBodytext"/>
              <w:jc w:val="center"/>
              <w:rPr>
                <w:lang w:val="en-GB"/>
              </w:rPr>
            </w:pPr>
            <w:r w:rsidRPr="005D3029">
              <w:rPr>
                <w:lang w:val="en-GB"/>
              </w:rPr>
              <w:t>16.09</w:t>
            </w:r>
          </w:p>
        </w:tc>
      </w:tr>
      <w:tr w:rsidR="003D76BD" w:rsidRPr="00B57B36" w14:paraId="73A07609" w14:textId="77777777" w:rsidTr="003D76BD">
        <w:tc>
          <w:tcPr>
            <w:tcW w:w="1843" w:type="dxa"/>
            <w:shd w:val="clear" w:color="auto" w:fill="FFFFFF"/>
          </w:tcPr>
          <w:p w14:paraId="1A14D8DD" w14:textId="30AB7ACF" w:rsidR="003D76BD" w:rsidRPr="00B57B36" w:rsidRDefault="003D76BD" w:rsidP="003D76BD">
            <w:pPr>
              <w:pStyle w:val="CETBodytext"/>
              <w:rPr>
                <w:lang w:val="en-GB"/>
              </w:rPr>
            </w:pPr>
            <w:r w:rsidRPr="005D3029">
              <w:rPr>
                <w:lang w:val="en-GB"/>
              </w:rPr>
              <w:t>LaNiO</w:t>
            </w:r>
            <w:r w:rsidRPr="003D76BD">
              <w:rPr>
                <w:vertAlign w:val="subscript"/>
                <w:lang w:val="en-GB"/>
              </w:rPr>
              <w:t>3</w:t>
            </w:r>
            <w:r>
              <w:rPr>
                <w:lang w:val="en-GB"/>
              </w:rPr>
              <w:t xml:space="preserve"> + </w:t>
            </w:r>
            <w:r w:rsidRPr="005D3029">
              <w:rPr>
                <w:lang w:val="en-GB"/>
              </w:rPr>
              <w:t>5%Ru</w:t>
            </w:r>
            <w:r>
              <w:rPr>
                <w:lang w:val="en-GB"/>
              </w:rPr>
              <w:t xml:space="preserve"> H</w:t>
            </w:r>
            <w:r w:rsidRPr="003D76BD">
              <w:rPr>
                <w:vertAlign w:val="subscript"/>
                <w:lang w:val="en-GB"/>
              </w:rPr>
              <w:t>2</w:t>
            </w:r>
            <w:r>
              <w:rPr>
                <w:lang w:val="en-GB"/>
              </w:rPr>
              <w:t>O</w:t>
            </w:r>
          </w:p>
        </w:tc>
        <w:tc>
          <w:tcPr>
            <w:tcW w:w="3119" w:type="dxa"/>
            <w:shd w:val="clear" w:color="auto" w:fill="FFFFFF"/>
          </w:tcPr>
          <w:p w14:paraId="2CD04E42" w14:textId="76ED31A3" w:rsidR="003D76BD" w:rsidRPr="00B57B36" w:rsidRDefault="003D76BD" w:rsidP="003A4C81">
            <w:pPr>
              <w:pStyle w:val="CETBodytext"/>
              <w:jc w:val="center"/>
              <w:rPr>
                <w:lang w:val="en-GB"/>
              </w:rPr>
            </w:pPr>
            <w:r w:rsidRPr="005D3029">
              <w:rPr>
                <w:lang w:val="en-GB"/>
              </w:rPr>
              <w:t>16.13</w:t>
            </w:r>
          </w:p>
        </w:tc>
      </w:tr>
      <w:tr w:rsidR="003D76BD" w:rsidRPr="00B57B36" w14:paraId="685EB650" w14:textId="77777777" w:rsidTr="003D76BD">
        <w:tc>
          <w:tcPr>
            <w:tcW w:w="1843" w:type="dxa"/>
            <w:shd w:val="clear" w:color="auto" w:fill="FFFFFF"/>
          </w:tcPr>
          <w:p w14:paraId="5F41E4A3" w14:textId="6B47EA7B" w:rsidR="003D76BD" w:rsidRPr="00B57B36" w:rsidRDefault="003D76BD" w:rsidP="003D76BD">
            <w:pPr>
              <w:pStyle w:val="CETBodytext"/>
              <w:ind w:right="-1"/>
              <w:rPr>
                <w:rFonts w:cs="Arial"/>
                <w:szCs w:val="18"/>
                <w:lang w:val="en-GB"/>
              </w:rPr>
            </w:pPr>
            <w:r w:rsidRPr="005D3029">
              <w:rPr>
                <w:lang w:val="en-GB"/>
              </w:rPr>
              <w:t>LaNiO</w:t>
            </w:r>
            <w:r w:rsidRPr="003D76BD">
              <w:rPr>
                <w:vertAlign w:val="subscript"/>
                <w:lang w:val="en-GB"/>
              </w:rPr>
              <w:t>3</w:t>
            </w:r>
            <w:r>
              <w:rPr>
                <w:lang w:val="en-GB"/>
              </w:rPr>
              <w:t xml:space="preserve">  DES</w:t>
            </w:r>
          </w:p>
        </w:tc>
        <w:tc>
          <w:tcPr>
            <w:tcW w:w="3119" w:type="dxa"/>
            <w:shd w:val="clear" w:color="auto" w:fill="FFFFFF"/>
          </w:tcPr>
          <w:p w14:paraId="7DED1F2C" w14:textId="11D61200" w:rsidR="003D76BD" w:rsidRPr="00B57B36" w:rsidRDefault="003D76BD" w:rsidP="003A4C81">
            <w:pPr>
              <w:pStyle w:val="CETBodytext"/>
              <w:ind w:right="-1"/>
              <w:jc w:val="center"/>
              <w:rPr>
                <w:rFonts w:cs="Arial"/>
                <w:szCs w:val="18"/>
                <w:lang w:val="en-GB"/>
              </w:rPr>
            </w:pPr>
            <w:r w:rsidRPr="005D3029">
              <w:rPr>
                <w:lang w:val="en-GB"/>
              </w:rPr>
              <w:t>19.0</w:t>
            </w:r>
          </w:p>
        </w:tc>
      </w:tr>
      <w:tr w:rsidR="003D76BD" w:rsidRPr="00B57B36" w14:paraId="26066C2D" w14:textId="77777777" w:rsidTr="003D76BD">
        <w:tc>
          <w:tcPr>
            <w:tcW w:w="1843" w:type="dxa"/>
            <w:shd w:val="clear" w:color="auto" w:fill="FFFFFF"/>
          </w:tcPr>
          <w:p w14:paraId="52312F54" w14:textId="536B3731" w:rsidR="003D76BD" w:rsidRPr="005D3029" w:rsidRDefault="003D76BD" w:rsidP="003D76BD">
            <w:pPr>
              <w:pStyle w:val="CETBodytext"/>
              <w:ind w:right="-1"/>
              <w:rPr>
                <w:lang w:val="en-GB"/>
              </w:rPr>
            </w:pPr>
            <w:r w:rsidRPr="005D3029">
              <w:rPr>
                <w:lang w:val="en-GB"/>
              </w:rPr>
              <w:t>LaNiO</w:t>
            </w:r>
            <w:r w:rsidRPr="003D76BD">
              <w:rPr>
                <w:vertAlign w:val="subscript"/>
                <w:lang w:val="en-GB"/>
              </w:rPr>
              <w:t>3</w:t>
            </w:r>
            <w:r>
              <w:rPr>
                <w:lang w:val="en-GB"/>
              </w:rPr>
              <w:t xml:space="preserve"> + </w:t>
            </w:r>
            <w:r w:rsidRPr="005D3029">
              <w:rPr>
                <w:lang w:val="en-GB"/>
              </w:rPr>
              <w:t>5%Ru</w:t>
            </w:r>
            <w:r>
              <w:rPr>
                <w:lang w:val="en-GB"/>
              </w:rPr>
              <w:t xml:space="preserve"> DES</w:t>
            </w:r>
          </w:p>
        </w:tc>
        <w:tc>
          <w:tcPr>
            <w:tcW w:w="3119" w:type="dxa"/>
            <w:shd w:val="clear" w:color="auto" w:fill="FFFFFF"/>
          </w:tcPr>
          <w:p w14:paraId="43F195A3" w14:textId="36876F07" w:rsidR="003D76BD" w:rsidRPr="005D3029" w:rsidRDefault="003D76BD" w:rsidP="003A4C81">
            <w:pPr>
              <w:pStyle w:val="CETBodytext"/>
              <w:ind w:right="-1"/>
              <w:jc w:val="center"/>
              <w:rPr>
                <w:lang w:val="en-GB"/>
              </w:rPr>
            </w:pPr>
            <w:r w:rsidRPr="005D3029">
              <w:rPr>
                <w:lang w:val="en-GB"/>
              </w:rPr>
              <w:t>19.7</w:t>
            </w:r>
          </w:p>
        </w:tc>
      </w:tr>
      <w:bookmarkEnd w:id="5"/>
      <w:bookmarkEnd w:id="6"/>
    </w:tbl>
    <w:p w14:paraId="023BD440" w14:textId="77777777" w:rsidR="00AC00E0" w:rsidRPr="00A73BCE" w:rsidRDefault="00AC00E0" w:rsidP="00AC00E0">
      <w:pPr>
        <w:rPr>
          <w:lang w:val="en-US"/>
        </w:rPr>
      </w:pPr>
    </w:p>
    <w:p w14:paraId="57FA9B6B" w14:textId="77777777" w:rsidR="00AC00E0" w:rsidRDefault="00AC00E0" w:rsidP="00AC00E0">
      <w:pPr>
        <w:pStyle w:val="CETheadingx"/>
      </w:pPr>
      <w:r>
        <w:t>ABE steam reforming tests</w:t>
      </w:r>
    </w:p>
    <w:p w14:paraId="21A970AD" w14:textId="422883CA" w:rsidR="00AC00E0" w:rsidRDefault="00A91656" w:rsidP="009518F1">
      <w:pPr>
        <w:pStyle w:val="CETBodytext"/>
      </w:pPr>
      <w:r>
        <w:t>In the Figure 3</w:t>
      </w:r>
      <w:r w:rsidR="006D4B94">
        <w:t xml:space="preserve"> the results of the tests performed with the single compounds are reported in terms of </w:t>
      </w:r>
      <w:r w:rsidR="00174482">
        <w:t xml:space="preserve">carbon </w:t>
      </w:r>
      <w:r w:rsidR="006D4B94">
        <w:t>specie conversion which was calculated as:</w:t>
      </w:r>
    </w:p>
    <w:p w14:paraId="37888D72" w14:textId="4BDBA50A" w:rsidR="00F24C36" w:rsidRPr="00F24C36" w:rsidRDefault="00174482" w:rsidP="003A4C81">
      <w:pPr>
        <w:pStyle w:val="CETEquation"/>
      </w:pPr>
      <m:oMath>
        <m:r>
          <m:rPr>
            <m:sty m:val="p"/>
          </m:rPr>
          <w:rPr>
            <w:rFonts w:ascii="Cambria Math" w:hAnsi="Cambria Math" w:cs="Arial"/>
          </w:rPr>
          <m:t>%</m:t>
        </m:r>
        <m:r>
          <w:rPr>
            <w:rFonts w:ascii="Cambria Math" w:hAnsi="Cambria Math" w:cs="Arial"/>
          </w:rPr>
          <m:t>conv</m:t>
        </m:r>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F</m:t>
                </m:r>
              </m:e>
              <m:sub>
                <m:r>
                  <w:rPr>
                    <w:rFonts w:ascii="Cambria Math" w:hAnsi="Cambria Math" w:cs="Arial"/>
                  </w:rPr>
                  <m:t>CO</m:t>
                </m:r>
                <m:r>
                  <m:rPr>
                    <m:sty m:val="p"/>
                  </m:rPr>
                  <w:rPr>
                    <w:rFonts w:ascii="Cambria Math" w:hAnsi="Cambria Math" w:cs="Arial"/>
                  </w:rPr>
                  <m:t>,</m:t>
                </m:r>
                <m:r>
                  <w:rPr>
                    <w:rFonts w:ascii="Cambria Math" w:hAnsi="Cambria Math" w:cs="Arial"/>
                  </w:rPr>
                  <m:t>out</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F</m:t>
                </m:r>
              </m:e>
              <m:sub>
                <m:r>
                  <w:rPr>
                    <w:rFonts w:ascii="Cambria Math" w:hAnsi="Cambria Math" w:cs="Arial"/>
                  </w:rPr>
                  <m:t>CO</m:t>
                </m:r>
                <m:r>
                  <m:rPr>
                    <m:sty m:val="p"/>
                  </m:rPr>
                  <w:rPr>
                    <w:rFonts w:ascii="Cambria Math" w:hAnsi="Cambria Math" w:cs="Arial"/>
                  </w:rPr>
                  <m:t>2,</m:t>
                </m:r>
                <m:r>
                  <w:rPr>
                    <w:rFonts w:ascii="Cambria Math" w:hAnsi="Cambria Math" w:cs="Arial"/>
                  </w:rPr>
                  <m:t>out</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F</m:t>
                </m:r>
              </m:e>
              <m:sub>
                <m:r>
                  <w:rPr>
                    <w:rFonts w:ascii="Cambria Math" w:hAnsi="Cambria Math" w:cs="Arial"/>
                  </w:rPr>
                  <m:t>CH</m:t>
                </m:r>
                <m:r>
                  <m:rPr>
                    <m:sty m:val="p"/>
                  </m:rPr>
                  <w:rPr>
                    <w:rFonts w:ascii="Cambria Math" w:hAnsi="Cambria Math" w:cs="Arial"/>
                  </w:rPr>
                  <m:t>4,</m:t>
                </m:r>
                <m:r>
                  <w:rPr>
                    <w:rFonts w:ascii="Cambria Math" w:hAnsi="Cambria Math" w:cs="Arial"/>
                  </w:rPr>
                  <m:t>out</m:t>
                </m:r>
              </m:sub>
            </m:sSub>
            <m:r>
              <m:rPr>
                <m:sty m:val="p"/>
              </m:rPr>
              <w:rPr>
                <w:rFonts w:ascii="Cambria Math" w:hAnsi="Cambria Math" w:cs="Arial"/>
              </w:rPr>
              <m:t>+2*</m:t>
            </m:r>
            <m:sSub>
              <m:sSubPr>
                <m:ctrlPr>
                  <w:rPr>
                    <w:rFonts w:ascii="Cambria Math" w:hAnsi="Cambria Math" w:cs="Arial"/>
                  </w:rPr>
                </m:ctrlPr>
              </m:sSubPr>
              <m:e>
                <m:r>
                  <w:rPr>
                    <w:rFonts w:ascii="Cambria Math" w:hAnsi="Cambria Math" w:cs="Arial"/>
                  </w:rPr>
                  <m:t>F</m:t>
                </m:r>
              </m:e>
              <m:sub>
                <m:r>
                  <w:rPr>
                    <w:rFonts w:ascii="Cambria Math" w:hAnsi="Cambria Math" w:cs="Arial"/>
                  </w:rPr>
                  <m:t>C</m:t>
                </m:r>
                <m:r>
                  <m:rPr>
                    <m:sty m:val="p"/>
                  </m:rPr>
                  <w:rPr>
                    <w:rFonts w:ascii="Cambria Math" w:hAnsi="Cambria Math" w:cs="Arial"/>
                  </w:rPr>
                  <m:t>2</m:t>
                </m:r>
                <m:r>
                  <w:rPr>
                    <w:rFonts w:ascii="Cambria Math" w:hAnsi="Cambria Math" w:cs="Arial"/>
                  </w:rPr>
                  <m:t>H</m:t>
                </m:r>
                <m:r>
                  <m:rPr>
                    <m:sty m:val="p"/>
                  </m:rPr>
                  <w:rPr>
                    <w:rFonts w:ascii="Cambria Math" w:hAnsi="Cambria Math" w:cs="Arial"/>
                  </w:rPr>
                  <m:t>4,</m:t>
                </m:r>
                <m:r>
                  <w:rPr>
                    <w:rFonts w:ascii="Cambria Math" w:hAnsi="Cambria Math" w:cs="Arial"/>
                  </w:rPr>
                  <m:t>out</m:t>
                </m:r>
              </m:sub>
            </m:sSub>
          </m:num>
          <m:den>
            <m:r>
              <w:rPr>
                <w:rFonts w:ascii="Cambria Math" w:hAnsi="Cambria Math" w:cs="Arial"/>
              </w:rPr>
              <m:t>number</m:t>
            </m:r>
            <m:r>
              <m:rPr>
                <m:sty m:val="p"/>
              </m:rPr>
              <w:rPr>
                <w:rFonts w:ascii="Cambria Math" w:hAnsi="Cambria Math" w:cs="Arial"/>
              </w:rPr>
              <m:t xml:space="preserve"> </m:t>
            </m:r>
            <m:r>
              <w:rPr>
                <w:rFonts w:ascii="Cambria Math" w:hAnsi="Cambria Math" w:cs="Arial"/>
              </w:rPr>
              <m:t>of</m:t>
            </m:r>
            <m:r>
              <m:rPr>
                <m:sty m:val="p"/>
              </m:rPr>
              <w:rPr>
                <w:rFonts w:ascii="Cambria Math" w:hAnsi="Cambria Math" w:cs="Arial"/>
              </w:rPr>
              <m:t xml:space="preserve"> </m:t>
            </m:r>
            <m:r>
              <w:rPr>
                <w:rFonts w:ascii="Cambria Math" w:hAnsi="Cambria Math" w:cs="Arial"/>
              </w:rPr>
              <m:t>C</m:t>
            </m:r>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F</m:t>
                </m:r>
              </m:e>
              <m:sub>
                <m:r>
                  <w:rPr>
                    <w:rFonts w:ascii="Cambria Math" w:hAnsi="Cambria Math" w:cs="Arial"/>
                  </w:rPr>
                  <m:t>i</m:t>
                </m:r>
                <m:r>
                  <m:rPr>
                    <m:sty m:val="p"/>
                  </m:rPr>
                  <w:rPr>
                    <w:rFonts w:ascii="Cambria Math" w:hAnsi="Cambria Math" w:cs="Arial"/>
                  </w:rPr>
                  <m:t>,</m:t>
                </m:r>
                <m:r>
                  <w:rPr>
                    <w:rFonts w:ascii="Cambria Math" w:hAnsi="Cambria Math" w:cs="Arial"/>
                  </w:rPr>
                  <m:t>in</m:t>
                </m:r>
              </m:sub>
            </m:sSub>
          </m:den>
        </m:f>
      </m:oMath>
      <w:r w:rsidR="00F24C36" w:rsidRPr="003A4C81">
        <w:rPr>
          <w:rFonts w:cs="Arial"/>
        </w:rPr>
        <w:t xml:space="preserve"> </w:t>
      </w:r>
      <w:r w:rsidR="00F24C36">
        <w:t xml:space="preserve"> </w:t>
      </w:r>
      <w:r w:rsidR="00F24C36">
        <w:tab/>
      </w:r>
      <w:r w:rsidR="00F24C36">
        <w:tab/>
      </w:r>
      <w:r w:rsidR="00F24C36">
        <w:tab/>
        <w:t xml:space="preserve"> (1)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412"/>
      </w:tblGrid>
      <w:tr w:rsidR="00AC00E0" w14:paraId="57EC9833" w14:textId="77777777" w:rsidTr="00174482">
        <w:tc>
          <w:tcPr>
            <w:tcW w:w="4365" w:type="dxa"/>
          </w:tcPr>
          <w:p w14:paraId="36F3EF2A" w14:textId="44F4AD70" w:rsidR="00174482" w:rsidRDefault="00174482" w:rsidP="009518F1">
            <w:pPr>
              <w:pStyle w:val="CETBodytext"/>
            </w:pPr>
            <w:r>
              <w:lastRenderedPageBreak/>
              <w:t>a)</w:t>
            </w:r>
          </w:p>
        </w:tc>
        <w:tc>
          <w:tcPr>
            <w:tcW w:w="4412" w:type="dxa"/>
          </w:tcPr>
          <w:p w14:paraId="472B01B0" w14:textId="38AD5A1F" w:rsidR="00174482" w:rsidRDefault="00174482" w:rsidP="009518F1">
            <w:pPr>
              <w:pStyle w:val="CETBodytext"/>
            </w:pPr>
            <w:r>
              <w:t>b)</w:t>
            </w:r>
          </w:p>
        </w:tc>
      </w:tr>
      <w:tr w:rsidR="00AC00E0" w14:paraId="3C469957" w14:textId="77777777" w:rsidTr="00174482">
        <w:tc>
          <w:tcPr>
            <w:tcW w:w="4365" w:type="dxa"/>
          </w:tcPr>
          <w:p w14:paraId="2A97BF82" w14:textId="7905CA75" w:rsidR="00174482" w:rsidRDefault="00AC00E0" w:rsidP="009518F1">
            <w:pPr>
              <w:pStyle w:val="CETBodytext"/>
            </w:pPr>
            <w:r>
              <w:rPr>
                <w:noProof/>
                <w:lang w:val="it-IT" w:eastAsia="it-IT"/>
              </w:rPr>
              <w:drawing>
                <wp:inline distT="0" distB="0" distL="0" distR="0" wp14:anchorId="4C0390C2" wp14:editId="6F734C94">
                  <wp:extent cx="2476800" cy="16056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800" cy="1605600"/>
                          </a:xfrm>
                          <a:prstGeom prst="rect">
                            <a:avLst/>
                          </a:prstGeom>
                          <a:noFill/>
                        </pic:spPr>
                      </pic:pic>
                    </a:graphicData>
                  </a:graphic>
                </wp:inline>
              </w:drawing>
            </w:r>
          </w:p>
        </w:tc>
        <w:tc>
          <w:tcPr>
            <w:tcW w:w="4412" w:type="dxa"/>
          </w:tcPr>
          <w:p w14:paraId="1A9AB60C" w14:textId="76FEBC9D" w:rsidR="00174482" w:rsidRDefault="00AC00E0" w:rsidP="009518F1">
            <w:pPr>
              <w:pStyle w:val="CETBodytext"/>
            </w:pPr>
            <w:r>
              <w:rPr>
                <w:noProof/>
                <w:lang w:val="it-IT" w:eastAsia="it-IT"/>
              </w:rPr>
              <w:drawing>
                <wp:inline distT="0" distB="0" distL="0" distR="0" wp14:anchorId="2F12BD8F" wp14:editId="354DAC4C">
                  <wp:extent cx="2476800" cy="16056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800" cy="1605600"/>
                          </a:xfrm>
                          <a:prstGeom prst="rect">
                            <a:avLst/>
                          </a:prstGeom>
                          <a:noFill/>
                        </pic:spPr>
                      </pic:pic>
                    </a:graphicData>
                  </a:graphic>
                </wp:inline>
              </w:drawing>
            </w:r>
          </w:p>
        </w:tc>
      </w:tr>
      <w:tr w:rsidR="00174482" w14:paraId="085CB4B1" w14:textId="77777777" w:rsidTr="00AC00E0">
        <w:tc>
          <w:tcPr>
            <w:tcW w:w="8777" w:type="dxa"/>
            <w:gridSpan w:val="2"/>
          </w:tcPr>
          <w:p w14:paraId="63F6A675" w14:textId="5D49FEF6" w:rsidR="00174482" w:rsidRDefault="00174482" w:rsidP="009518F1">
            <w:pPr>
              <w:pStyle w:val="CETBodytext"/>
            </w:pPr>
            <w:r>
              <w:t>c)</w:t>
            </w:r>
          </w:p>
        </w:tc>
      </w:tr>
      <w:tr w:rsidR="00174482" w14:paraId="21939915" w14:textId="77777777" w:rsidTr="00AC00E0">
        <w:tc>
          <w:tcPr>
            <w:tcW w:w="8777" w:type="dxa"/>
            <w:gridSpan w:val="2"/>
          </w:tcPr>
          <w:p w14:paraId="1A67F7A1" w14:textId="6B7C4E82" w:rsidR="00174482" w:rsidRDefault="00AC00E0" w:rsidP="00AC00E0">
            <w:pPr>
              <w:pStyle w:val="CETBodytext"/>
              <w:jc w:val="center"/>
            </w:pPr>
            <w:r>
              <w:rPr>
                <w:noProof/>
                <w:lang w:val="it-IT" w:eastAsia="it-IT"/>
              </w:rPr>
              <w:drawing>
                <wp:inline distT="0" distB="0" distL="0" distR="0" wp14:anchorId="5FD5AE76" wp14:editId="7FD7B40D">
                  <wp:extent cx="2476800" cy="16056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800" cy="1605600"/>
                          </a:xfrm>
                          <a:prstGeom prst="rect">
                            <a:avLst/>
                          </a:prstGeom>
                          <a:noFill/>
                        </pic:spPr>
                      </pic:pic>
                    </a:graphicData>
                  </a:graphic>
                </wp:inline>
              </w:drawing>
            </w:r>
          </w:p>
        </w:tc>
      </w:tr>
    </w:tbl>
    <w:p w14:paraId="6C7C9EAC" w14:textId="75449861" w:rsidR="00174482" w:rsidRDefault="00A91656" w:rsidP="00174482">
      <w:pPr>
        <w:pStyle w:val="CETCaption"/>
      </w:pPr>
      <w:bookmarkStart w:id="7" w:name="_Hlk531958399"/>
      <w:r>
        <w:t>Figure 3</w:t>
      </w:r>
      <w:r w:rsidR="00174482" w:rsidRPr="00B57B36">
        <w:t xml:space="preserve">: </w:t>
      </w:r>
      <w:r w:rsidR="00174482">
        <w:t>Carbon conversion as a function of temperature with the four prepared catalysts of a) acetone, b) butanol, c) ethanol</w:t>
      </w:r>
      <w:bookmarkEnd w:id="7"/>
      <w:r w:rsidR="00174482">
        <w:t>.</w:t>
      </w:r>
    </w:p>
    <w:p w14:paraId="08522314" w14:textId="0BADB480" w:rsidR="00813BB8" w:rsidRPr="00E53032" w:rsidRDefault="00E54AA8" w:rsidP="00444CF8">
      <w:pPr>
        <w:pStyle w:val="CETCaption"/>
        <w:rPr>
          <w:i w:val="0"/>
        </w:rPr>
      </w:pPr>
      <w:r>
        <w:rPr>
          <w:i w:val="0"/>
        </w:rPr>
        <w:t xml:space="preserve">In the investigated interval of temperatures, the conversions range between 0.4-0.95 for acetone and butanol and higher when ethanol is used as feed, in the range of 0.65-0.95. </w:t>
      </w:r>
      <w:r w:rsidR="00AC00E0">
        <w:rPr>
          <w:i w:val="0"/>
        </w:rPr>
        <w:t>The catalysts with Ru give</w:t>
      </w:r>
      <w:r>
        <w:rPr>
          <w:i w:val="0"/>
        </w:rPr>
        <w:t xml:space="preserve"> generally higher conversion</w:t>
      </w:r>
      <w:r w:rsidR="00AC00E0">
        <w:rPr>
          <w:i w:val="0"/>
        </w:rPr>
        <w:t>s</w:t>
      </w:r>
      <w:r>
        <w:rPr>
          <w:i w:val="0"/>
        </w:rPr>
        <w:t xml:space="preserve"> and between them the catalyst synthetized in water seems to have the best performances especially at low temperature. </w:t>
      </w:r>
      <w:r w:rsidR="00A91656">
        <w:rPr>
          <w:i w:val="0"/>
        </w:rPr>
        <w:t>In Figure 4</w:t>
      </w:r>
      <w:r w:rsidR="006E7F0A" w:rsidRPr="00E53032">
        <w:rPr>
          <w:i w:val="0"/>
        </w:rPr>
        <w:t xml:space="preserve"> the carbon conversion of ABE and the hydrogen selectivity calculated as follow are reported. </w:t>
      </w:r>
    </w:p>
    <w:p w14:paraId="52187BB9" w14:textId="44E45B84" w:rsidR="0077632B" w:rsidRDefault="00F80F51" w:rsidP="009518F1">
      <w:pPr>
        <w:pStyle w:val="CETBodytext"/>
      </w:pPr>
      <m:oMath>
        <m:sSub>
          <m:sSubPr>
            <m:ctrlPr>
              <w:rPr>
                <w:rFonts w:ascii="Cambria Math" w:hAnsi="Cambria Math"/>
                <w:i/>
              </w:rPr>
            </m:ctrlPr>
          </m:sSubPr>
          <m:e>
            <m:r>
              <w:rPr>
                <w:rFonts w:ascii="Cambria Math" w:hAnsi="Cambria Math"/>
              </w:rPr>
              <m:t>S</m:t>
            </m:r>
          </m:e>
          <m:sub>
            <m:r>
              <w:rPr>
                <w:rFonts w:ascii="Cambria Math" w:hAnsi="Cambria Math"/>
              </w:rPr>
              <m:t>H2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H2,out</m:t>
                </m:r>
              </m:sub>
            </m:sSub>
          </m:num>
          <m:den>
            <m:sSub>
              <m:sSubPr>
                <m:ctrlPr>
                  <w:rPr>
                    <w:rFonts w:ascii="Cambria Math" w:hAnsi="Cambria Math"/>
                    <w:i/>
                  </w:rPr>
                </m:ctrlPr>
              </m:sSubPr>
              <m:e>
                <m:r>
                  <w:rPr>
                    <w:rFonts w:ascii="Cambria Math" w:hAnsi="Cambria Math"/>
                  </w:rPr>
                  <m:t>F</m:t>
                </m:r>
              </m:e>
              <m:sub>
                <m:r>
                  <w:rPr>
                    <w:rFonts w:ascii="Cambria Math" w:hAnsi="Cambria Math"/>
                  </w:rPr>
                  <m:t>tot,out</m:t>
                </m:r>
              </m:sub>
            </m:sSub>
          </m:den>
        </m:f>
      </m:oMath>
      <w:r w:rsidR="00F24C36">
        <w:t xml:space="preserve"> </w:t>
      </w:r>
      <w:r w:rsidR="00F24C36">
        <w:tab/>
      </w:r>
      <w:r w:rsidR="00F24C36">
        <w:tab/>
        <w:t xml:space="preserve">               (2)</w:t>
      </w:r>
    </w:p>
    <w:p w14:paraId="55DDA610" w14:textId="77777777" w:rsidR="00E53032" w:rsidRPr="00AC00E0" w:rsidRDefault="00E53032" w:rsidP="009518F1">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76"/>
      </w:tblGrid>
      <w:tr w:rsidR="006E7F0A" w14:paraId="7A8616A7" w14:textId="77777777" w:rsidTr="00444CF8">
        <w:tc>
          <w:tcPr>
            <w:tcW w:w="4527" w:type="dxa"/>
          </w:tcPr>
          <w:p w14:paraId="13F682C8" w14:textId="03830A8F" w:rsidR="006E7F0A" w:rsidRDefault="006E7F0A" w:rsidP="009518F1">
            <w:pPr>
              <w:pStyle w:val="CETBodytext"/>
            </w:pPr>
            <w:r>
              <w:t>a)</w:t>
            </w:r>
          </w:p>
        </w:tc>
        <w:tc>
          <w:tcPr>
            <w:tcW w:w="4260" w:type="dxa"/>
          </w:tcPr>
          <w:p w14:paraId="7303F976" w14:textId="7BAE5549" w:rsidR="006E7F0A" w:rsidRDefault="006E7F0A" w:rsidP="009518F1">
            <w:pPr>
              <w:pStyle w:val="CETBodytext"/>
            </w:pPr>
            <w:r>
              <w:t>b)</w:t>
            </w:r>
          </w:p>
        </w:tc>
      </w:tr>
      <w:tr w:rsidR="006E7F0A" w14:paraId="4810199E" w14:textId="77777777" w:rsidTr="00444CF8">
        <w:tc>
          <w:tcPr>
            <w:tcW w:w="4527" w:type="dxa"/>
          </w:tcPr>
          <w:p w14:paraId="4B76CB87" w14:textId="7ECAF35D" w:rsidR="006E7F0A" w:rsidRDefault="00A42A07" w:rsidP="009518F1">
            <w:pPr>
              <w:pStyle w:val="CETBodytext"/>
            </w:pPr>
            <w:r>
              <w:rPr>
                <w:noProof/>
                <w:lang w:val="it-IT" w:eastAsia="it-IT"/>
              </w:rPr>
              <w:drawing>
                <wp:inline distT="0" distB="0" distL="0" distR="0" wp14:anchorId="57325261" wp14:editId="7A403BCC">
                  <wp:extent cx="2703600" cy="1670400"/>
                  <wp:effectExtent l="0" t="0" r="190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3600" cy="1670400"/>
                          </a:xfrm>
                          <a:prstGeom prst="rect">
                            <a:avLst/>
                          </a:prstGeom>
                        </pic:spPr>
                      </pic:pic>
                    </a:graphicData>
                  </a:graphic>
                </wp:inline>
              </w:drawing>
            </w:r>
          </w:p>
        </w:tc>
        <w:tc>
          <w:tcPr>
            <w:tcW w:w="4260" w:type="dxa"/>
          </w:tcPr>
          <w:p w14:paraId="276AD23C" w14:textId="086B9BE2" w:rsidR="006E7F0A" w:rsidRDefault="006E7F0A" w:rsidP="009518F1">
            <w:pPr>
              <w:pStyle w:val="CETBodytext"/>
            </w:pPr>
            <w:r>
              <w:rPr>
                <w:noProof/>
                <w:lang w:val="it-IT" w:eastAsia="it-IT"/>
              </w:rPr>
              <w:drawing>
                <wp:inline distT="0" distB="0" distL="0" distR="0" wp14:anchorId="369E3C3B" wp14:editId="0D42E79D">
                  <wp:extent cx="2703600" cy="1670400"/>
                  <wp:effectExtent l="0" t="0" r="1905"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3600" cy="1670400"/>
                          </a:xfrm>
                          <a:prstGeom prst="rect">
                            <a:avLst/>
                          </a:prstGeom>
                          <a:noFill/>
                        </pic:spPr>
                      </pic:pic>
                    </a:graphicData>
                  </a:graphic>
                </wp:inline>
              </w:drawing>
            </w:r>
          </w:p>
        </w:tc>
      </w:tr>
    </w:tbl>
    <w:p w14:paraId="19EA4693" w14:textId="77777777" w:rsidR="00444CF8" w:rsidRDefault="00444CF8" w:rsidP="009518F1">
      <w:pPr>
        <w:pStyle w:val="CETBodytext"/>
        <w:rPr>
          <w:i/>
        </w:rPr>
      </w:pPr>
    </w:p>
    <w:p w14:paraId="310E367B" w14:textId="6742502E" w:rsidR="006E7F0A" w:rsidRDefault="006E7F0A" w:rsidP="009518F1">
      <w:pPr>
        <w:pStyle w:val="CETBodytext"/>
        <w:rPr>
          <w:i/>
        </w:rPr>
      </w:pPr>
      <w:r w:rsidRPr="00AC00E0">
        <w:rPr>
          <w:i/>
        </w:rPr>
        <w:t xml:space="preserve">Figure </w:t>
      </w:r>
      <w:r w:rsidR="00A91656">
        <w:rPr>
          <w:i/>
        </w:rPr>
        <w:t>4</w:t>
      </w:r>
      <w:r w:rsidRPr="00AC00E0">
        <w:rPr>
          <w:i/>
        </w:rPr>
        <w:t xml:space="preserve">: </w:t>
      </w:r>
      <w:r>
        <w:rPr>
          <w:i/>
        </w:rPr>
        <w:t xml:space="preserve">a) </w:t>
      </w:r>
      <w:r w:rsidRPr="00AC00E0">
        <w:rPr>
          <w:i/>
        </w:rPr>
        <w:t>Carbon conversion as a function of temperature with t</w:t>
      </w:r>
      <w:r w:rsidR="00444CF8">
        <w:rPr>
          <w:i/>
        </w:rPr>
        <w:t xml:space="preserve">he </w:t>
      </w:r>
      <w:r w:rsidRPr="006E7F0A">
        <w:rPr>
          <w:i/>
        </w:rPr>
        <w:t xml:space="preserve">prepared catalysts of </w:t>
      </w:r>
      <w:r>
        <w:rPr>
          <w:i/>
        </w:rPr>
        <w:t>ABE</w:t>
      </w:r>
      <w:r w:rsidRPr="00AC00E0">
        <w:rPr>
          <w:i/>
        </w:rPr>
        <w:t xml:space="preserve">, b) </w:t>
      </w:r>
      <w:r w:rsidR="00444CF8">
        <w:rPr>
          <w:i/>
        </w:rPr>
        <w:t>H</w:t>
      </w:r>
      <w:r w:rsidR="00444CF8" w:rsidRPr="00444CF8">
        <w:rPr>
          <w:i/>
          <w:vertAlign w:val="subscript"/>
        </w:rPr>
        <w:t>2</w:t>
      </w:r>
      <w:r>
        <w:rPr>
          <w:i/>
        </w:rPr>
        <w:t xml:space="preserve"> selectivity</w:t>
      </w:r>
    </w:p>
    <w:p w14:paraId="46264BF6" w14:textId="77777777" w:rsidR="00BD72A5" w:rsidRPr="00AC00E0" w:rsidRDefault="00BD72A5" w:rsidP="009518F1">
      <w:pPr>
        <w:pStyle w:val="CETBodytext"/>
        <w:rPr>
          <w:i/>
        </w:rPr>
      </w:pPr>
    </w:p>
    <w:p w14:paraId="1B4E31A7" w14:textId="77777777" w:rsidR="004E3C24" w:rsidRDefault="00A42A07" w:rsidP="009518F1">
      <w:pPr>
        <w:pStyle w:val="CETBodytext"/>
      </w:pPr>
      <w:r>
        <w:t xml:space="preserve">The behavior is the same observed for the three single compounds, the catalysts containing 5 % of Ru have higher activity leading to major conversions. The values of conversion in the whole temperature range vary from 0.64, the lowest value obtained with the LaNiO3 synthetized in water and 0.97 that is the value obtained at 700 °C with the two catalysts with Ru. The values of hydrogen selectivity range between 0.64 and 0.75 and no </w:t>
      </w:r>
      <w:r w:rsidR="00354FED">
        <w:t xml:space="preserve">considerable differences are observed changing the catalyst. </w:t>
      </w:r>
    </w:p>
    <w:p w14:paraId="09F9A673" w14:textId="21F6189A" w:rsidR="004E3C24" w:rsidRDefault="00354FED" w:rsidP="009518F1">
      <w:pPr>
        <w:pStyle w:val="CETBodytext"/>
      </w:pPr>
      <w:r>
        <w:lastRenderedPageBreak/>
        <w:t>Looking at Table</w:t>
      </w:r>
      <w:r w:rsidR="004E3C24">
        <w:t xml:space="preserve"> 3 and Table 4</w:t>
      </w:r>
      <w:r>
        <w:t xml:space="preserve"> w</w:t>
      </w:r>
      <w:r w:rsidR="004E3C24">
        <w:t>h</w:t>
      </w:r>
      <w:r>
        <w:t xml:space="preserve">ere the gas composition is reported for the four catalysts in the entire temperature range, it can be noticed that the catalysts with Ru produce the minor amount of methane </w:t>
      </w:r>
      <w:r w:rsidR="004E3C24">
        <w:t>(Table 4</w:t>
      </w:r>
      <w:r>
        <w:t>) and between them the lowest is measured with the one synthetized in DES. As expected</w:t>
      </w:r>
      <w:r w:rsidR="00AD18AC">
        <w:t>,</w:t>
      </w:r>
      <w:r>
        <w:t xml:space="preserve"> the amount of methane decreases with the increase of temperature for all the tests since the </w:t>
      </w:r>
      <w:proofErr w:type="spellStart"/>
      <w:r>
        <w:t>methanation</w:t>
      </w:r>
      <w:proofErr w:type="spellEnd"/>
      <w:r>
        <w:t xml:space="preserve"> reaction becomes </w:t>
      </w:r>
      <w:proofErr w:type="spellStart"/>
      <w:r>
        <w:t>unfavored</w:t>
      </w:r>
      <w:proofErr w:type="spellEnd"/>
      <w:r>
        <w:t>.</w:t>
      </w:r>
      <w:r w:rsidDel="00A42A07">
        <w:t xml:space="preserve"> </w:t>
      </w:r>
      <w:r w:rsidR="00D21449">
        <w:t xml:space="preserve">Furthermore, with the </w:t>
      </w:r>
      <w:r w:rsidR="00D21449" w:rsidRPr="004E3C24">
        <w:t>LaNiO</w:t>
      </w:r>
      <w:r w:rsidR="00D21449" w:rsidRPr="00AD18AC">
        <w:rPr>
          <w:vertAlign w:val="subscript"/>
        </w:rPr>
        <w:t>3</w:t>
      </w:r>
      <w:r w:rsidR="00D21449" w:rsidRPr="004E3C24">
        <w:t xml:space="preserve"> </w:t>
      </w:r>
      <w:r w:rsidR="00D21449">
        <w:t>+ 5% Ru</w:t>
      </w:r>
      <w:r w:rsidR="00AD18AC" w:rsidRPr="00AD18AC">
        <w:t xml:space="preserve"> </w:t>
      </w:r>
      <w:r w:rsidR="00AD18AC" w:rsidRPr="004E3C24">
        <w:t>DES</w:t>
      </w:r>
      <w:r w:rsidR="00D21449">
        <w:t>, the production of ethylene is the lowest meaning that also the coke amount on this cataly</w:t>
      </w:r>
      <w:r w:rsidR="00B965E6">
        <w:t xml:space="preserve">st should be low as confirmed by the  data reported in </w:t>
      </w:r>
      <w:r w:rsidR="00D21449">
        <w:t>Table 5.</w:t>
      </w:r>
    </w:p>
    <w:p w14:paraId="19A12484" w14:textId="2AA3E8F9" w:rsidR="00F24C36" w:rsidRDefault="004E3C24" w:rsidP="003A4C81">
      <w:pPr>
        <w:pStyle w:val="CETTabletitle"/>
      </w:pPr>
      <w:r>
        <w:t>Table 3:</w:t>
      </w:r>
      <w:r w:rsidR="003A4C81">
        <w:t xml:space="preserve"> </w:t>
      </w:r>
      <w:r>
        <w:t>Gas composition N</w:t>
      </w:r>
      <w:r w:rsidRPr="003C0754">
        <w:rPr>
          <w:vertAlign w:val="subscript"/>
        </w:rPr>
        <w:t>2</w:t>
      </w:r>
      <w:r>
        <w:t xml:space="preserve"> free basis for </w:t>
      </w:r>
      <w:r w:rsidRPr="004E3C24">
        <w:t>LaNiO</w:t>
      </w:r>
      <w:r w:rsidRPr="003C0754">
        <w:rPr>
          <w:vertAlign w:val="subscript"/>
        </w:rPr>
        <w:t>3</w:t>
      </w:r>
      <w:r w:rsidRPr="004E3C24">
        <w:t xml:space="preserve"> DES</w:t>
      </w:r>
      <w:r>
        <w:t xml:space="preserve"> and </w:t>
      </w:r>
      <w:r w:rsidRPr="004E3C24">
        <w:t>LaNiO</w:t>
      </w:r>
      <w:r w:rsidRPr="003C0754">
        <w:rPr>
          <w:vertAlign w:val="subscript"/>
        </w:rPr>
        <w:t>3</w:t>
      </w:r>
      <w:r w:rsidRPr="004E3C24">
        <w:t xml:space="preserve"> H</w:t>
      </w:r>
      <w:r w:rsidRPr="003C0754">
        <w:rPr>
          <w:vertAlign w:val="subscript"/>
        </w:rPr>
        <w:t>2</w:t>
      </w:r>
      <w:r w:rsidRPr="004E3C24">
        <w:t>O</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F24C36" w:rsidRPr="00B57B36" w14:paraId="737F719D" w14:textId="26DD5EEB" w:rsidTr="00127305">
        <w:tc>
          <w:tcPr>
            <w:tcW w:w="1134" w:type="dxa"/>
            <w:tcBorders>
              <w:top w:val="single" w:sz="12" w:space="0" w:color="008000"/>
              <w:bottom w:val="single" w:sz="6" w:space="0" w:color="008000"/>
            </w:tcBorders>
            <w:shd w:val="clear" w:color="auto" w:fill="FFFFFF"/>
          </w:tcPr>
          <w:p w14:paraId="39323351" w14:textId="4BA4B47F" w:rsidR="00F24C36" w:rsidRPr="00B57B36" w:rsidRDefault="00F24C36" w:rsidP="00A037A1">
            <w:pPr>
              <w:pStyle w:val="CETBodytext"/>
              <w:rPr>
                <w:lang w:val="en-GB"/>
              </w:rPr>
            </w:pPr>
          </w:p>
        </w:tc>
        <w:tc>
          <w:tcPr>
            <w:tcW w:w="3402" w:type="dxa"/>
            <w:gridSpan w:val="3"/>
            <w:tcBorders>
              <w:top w:val="single" w:sz="12" w:space="0" w:color="008000"/>
              <w:bottom w:val="single" w:sz="6" w:space="0" w:color="008000"/>
            </w:tcBorders>
            <w:shd w:val="clear" w:color="auto" w:fill="FFFFFF"/>
          </w:tcPr>
          <w:p w14:paraId="33F197ED" w14:textId="3F19CD36" w:rsidR="00F24C36" w:rsidRPr="00B57B36" w:rsidRDefault="00F24C36" w:rsidP="00A037A1">
            <w:pPr>
              <w:pStyle w:val="CETBodytext"/>
              <w:ind w:right="-1"/>
              <w:rPr>
                <w:rFonts w:cs="Arial"/>
                <w:szCs w:val="18"/>
                <w:lang w:val="en-GB"/>
              </w:rPr>
            </w:pPr>
            <w:r w:rsidRPr="00FD5A99">
              <w:rPr>
                <w:rFonts w:ascii="Calibri" w:hAnsi="Calibri" w:cs="Calibri"/>
                <w:b/>
                <w:color w:val="000000"/>
                <w:lang w:eastAsia="it-IT"/>
              </w:rPr>
              <w:t>LaNiO3 DES</w:t>
            </w:r>
          </w:p>
        </w:tc>
        <w:tc>
          <w:tcPr>
            <w:tcW w:w="3402" w:type="dxa"/>
            <w:gridSpan w:val="3"/>
            <w:tcBorders>
              <w:top w:val="single" w:sz="12" w:space="0" w:color="008000"/>
              <w:bottom w:val="single" w:sz="6" w:space="0" w:color="008000"/>
            </w:tcBorders>
            <w:shd w:val="clear" w:color="auto" w:fill="FFFFFF"/>
          </w:tcPr>
          <w:p w14:paraId="158F241B" w14:textId="52AE21C6" w:rsidR="00F24C36" w:rsidRPr="00B57B36" w:rsidRDefault="00F24C36" w:rsidP="00A037A1">
            <w:pPr>
              <w:pStyle w:val="CETBodytext"/>
              <w:ind w:right="-1"/>
              <w:rPr>
                <w:rFonts w:cs="Arial"/>
                <w:szCs w:val="18"/>
                <w:lang w:val="en-GB"/>
              </w:rPr>
            </w:pPr>
            <w:r w:rsidRPr="00FD5A99">
              <w:rPr>
                <w:rFonts w:ascii="Calibri" w:hAnsi="Calibri" w:cs="Calibri"/>
                <w:b/>
                <w:color w:val="000000"/>
                <w:lang w:eastAsia="it-IT"/>
              </w:rPr>
              <w:t>LaNiO3 H2O</w:t>
            </w:r>
          </w:p>
        </w:tc>
      </w:tr>
      <w:tr w:rsidR="00F24C36" w:rsidRPr="00B57B36" w14:paraId="52B9FB2D" w14:textId="2F68E545" w:rsidTr="001B4AEE">
        <w:tc>
          <w:tcPr>
            <w:tcW w:w="1134" w:type="dxa"/>
            <w:tcBorders>
              <w:top w:val="single" w:sz="6" w:space="0" w:color="008000"/>
              <w:bottom w:val="single" w:sz="4" w:space="0" w:color="auto"/>
            </w:tcBorders>
            <w:shd w:val="clear" w:color="auto" w:fill="FFFFFF"/>
          </w:tcPr>
          <w:p w14:paraId="7B368087" w14:textId="6E868712" w:rsidR="00F24C36" w:rsidRPr="00B57B36" w:rsidRDefault="00F24C36" w:rsidP="00A037A1">
            <w:pPr>
              <w:pStyle w:val="CETBodytext"/>
              <w:rPr>
                <w:lang w:val="en-GB"/>
              </w:rPr>
            </w:pPr>
            <w:r>
              <w:rPr>
                <w:lang w:val="en-GB"/>
              </w:rPr>
              <w:t>T (°C)</w:t>
            </w:r>
            <w:r w:rsidRPr="00B57B36">
              <w:rPr>
                <w:lang w:val="en-GB"/>
              </w:rPr>
              <w:t xml:space="preserve"> </w:t>
            </w:r>
          </w:p>
        </w:tc>
        <w:tc>
          <w:tcPr>
            <w:tcW w:w="1134" w:type="dxa"/>
            <w:tcBorders>
              <w:top w:val="single" w:sz="6" w:space="0" w:color="008000"/>
              <w:bottom w:val="single" w:sz="4" w:space="0" w:color="auto"/>
            </w:tcBorders>
            <w:shd w:val="clear" w:color="auto" w:fill="FFFFFF"/>
          </w:tcPr>
          <w:p w14:paraId="74EDBBD8" w14:textId="0FF8E223" w:rsidR="00F24C36" w:rsidRPr="00B57B36" w:rsidRDefault="00F24C36" w:rsidP="00A037A1">
            <w:pPr>
              <w:pStyle w:val="CETBodytext"/>
              <w:rPr>
                <w:lang w:val="en-GB"/>
              </w:rPr>
            </w:pPr>
            <w:r>
              <w:rPr>
                <w:lang w:val="en-GB"/>
              </w:rPr>
              <w:t>500</w:t>
            </w:r>
          </w:p>
        </w:tc>
        <w:tc>
          <w:tcPr>
            <w:tcW w:w="1134" w:type="dxa"/>
            <w:tcBorders>
              <w:top w:val="single" w:sz="6" w:space="0" w:color="008000"/>
              <w:bottom w:val="single" w:sz="4" w:space="0" w:color="auto"/>
            </w:tcBorders>
            <w:shd w:val="clear" w:color="auto" w:fill="FFFFFF"/>
          </w:tcPr>
          <w:p w14:paraId="5F4C3099" w14:textId="650FE841" w:rsidR="00F24C36" w:rsidRPr="00B57B36" w:rsidRDefault="00F24C36" w:rsidP="00A037A1">
            <w:pPr>
              <w:pStyle w:val="CETBodytext"/>
              <w:rPr>
                <w:lang w:val="en-GB"/>
              </w:rPr>
            </w:pPr>
            <w:r>
              <w:rPr>
                <w:lang w:val="en-GB"/>
              </w:rPr>
              <w:t>600</w:t>
            </w:r>
          </w:p>
        </w:tc>
        <w:tc>
          <w:tcPr>
            <w:tcW w:w="1134" w:type="dxa"/>
            <w:tcBorders>
              <w:top w:val="single" w:sz="6" w:space="0" w:color="008000"/>
              <w:bottom w:val="single" w:sz="4" w:space="0" w:color="auto"/>
            </w:tcBorders>
            <w:shd w:val="clear" w:color="auto" w:fill="FFFFFF"/>
          </w:tcPr>
          <w:p w14:paraId="08F1436A" w14:textId="4B1309BE" w:rsidR="00F24C36" w:rsidRPr="00B57B36" w:rsidRDefault="00F24C36" w:rsidP="00A037A1">
            <w:pPr>
              <w:pStyle w:val="CETBodytext"/>
              <w:ind w:right="-1"/>
              <w:rPr>
                <w:rFonts w:cs="Arial"/>
                <w:szCs w:val="18"/>
                <w:lang w:val="en-GB"/>
              </w:rPr>
            </w:pPr>
            <w:r>
              <w:rPr>
                <w:rFonts w:cs="Arial"/>
                <w:szCs w:val="18"/>
                <w:lang w:val="en-GB"/>
              </w:rPr>
              <w:t>700</w:t>
            </w:r>
          </w:p>
        </w:tc>
        <w:tc>
          <w:tcPr>
            <w:tcW w:w="1134" w:type="dxa"/>
            <w:tcBorders>
              <w:top w:val="single" w:sz="6" w:space="0" w:color="008000"/>
              <w:bottom w:val="single" w:sz="4" w:space="0" w:color="auto"/>
            </w:tcBorders>
            <w:shd w:val="clear" w:color="auto" w:fill="FFFFFF"/>
          </w:tcPr>
          <w:p w14:paraId="2AB3E737" w14:textId="6B11CBA9" w:rsidR="00F24C36" w:rsidRPr="00B57B36" w:rsidRDefault="00F24C36" w:rsidP="00A037A1">
            <w:pPr>
              <w:pStyle w:val="CETBodytext"/>
              <w:ind w:right="-1"/>
              <w:rPr>
                <w:rFonts w:cs="Arial"/>
                <w:szCs w:val="18"/>
                <w:lang w:val="en-GB"/>
              </w:rPr>
            </w:pPr>
            <w:r>
              <w:rPr>
                <w:rFonts w:cs="Arial"/>
                <w:szCs w:val="18"/>
                <w:lang w:val="en-GB"/>
              </w:rPr>
              <w:t>500</w:t>
            </w:r>
          </w:p>
        </w:tc>
        <w:tc>
          <w:tcPr>
            <w:tcW w:w="1134" w:type="dxa"/>
            <w:tcBorders>
              <w:top w:val="single" w:sz="6" w:space="0" w:color="008000"/>
              <w:bottom w:val="single" w:sz="4" w:space="0" w:color="auto"/>
            </w:tcBorders>
            <w:shd w:val="clear" w:color="auto" w:fill="FFFFFF"/>
          </w:tcPr>
          <w:p w14:paraId="2295741F" w14:textId="0488F29F" w:rsidR="00F24C36" w:rsidRPr="00B57B36" w:rsidRDefault="00F24C36" w:rsidP="00A037A1">
            <w:pPr>
              <w:pStyle w:val="CETBodytext"/>
              <w:ind w:right="-1"/>
              <w:rPr>
                <w:rFonts w:cs="Arial"/>
                <w:szCs w:val="18"/>
                <w:lang w:val="en-GB"/>
              </w:rPr>
            </w:pPr>
            <w:r>
              <w:rPr>
                <w:rFonts w:cs="Arial"/>
                <w:szCs w:val="18"/>
                <w:lang w:val="en-GB"/>
              </w:rPr>
              <w:t>600</w:t>
            </w:r>
          </w:p>
        </w:tc>
        <w:tc>
          <w:tcPr>
            <w:tcW w:w="1134" w:type="dxa"/>
            <w:tcBorders>
              <w:top w:val="single" w:sz="6" w:space="0" w:color="008000"/>
              <w:bottom w:val="single" w:sz="4" w:space="0" w:color="auto"/>
            </w:tcBorders>
            <w:shd w:val="clear" w:color="auto" w:fill="FFFFFF"/>
          </w:tcPr>
          <w:p w14:paraId="66304A27" w14:textId="6471037A" w:rsidR="00F24C36" w:rsidRPr="00B57B36" w:rsidRDefault="00F24C36" w:rsidP="00A037A1">
            <w:pPr>
              <w:pStyle w:val="CETBodytext"/>
              <w:ind w:right="-1"/>
              <w:rPr>
                <w:rFonts w:cs="Arial"/>
                <w:szCs w:val="18"/>
                <w:lang w:val="en-GB"/>
              </w:rPr>
            </w:pPr>
            <w:r>
              <w:rPr>
                <w:rFonts w:cs="Arial"/>
                <w:szCs w:val="18"/>
                <w:lang w:val="en-GB"/>
              </w:rPr>
              <w:t>700</w:t>
            </w:r>
          </w:p>
        </w:tc>
      </w:tr>
      <w:tr w:rsidR="00F24C36" w:rsidRPr="00B57B36" w14:paraId="760DDBC4" w14:textId="77777777" w:rsidTr="00F24C36">
        <w:tc>
          <w:tcPr>
            <w:tcW w:w="1134" w:type="dxa"/>
            <w:tcBorders>
              <w:top w:val="single" w:sz="6" w:space="0" w:color="008000"/>
              <w:bottom w:val="nil"/>
            </w:tcBorders>
            <w:shd w:val="clear" w:color="auto" w:fill="FFFFFF"/>
          </w:tcPr>
          <w:p w14:paraId="6A98FB94" w14:textId="4E722E34" w:rsidR="00F24C36" w:rsidRDefault="00F24C36" w:rsidP="00A037A1">
            <w:pPr>
              <w:pStyle w:val="CETBodytext"/>
              <w:rPr>
                <w:lang w:val="en-GB"/>
              </w:rPr>
            </w:pPr>
            <w:r>
              <w:rPr>
                <w:lang w:val="en-GB"/>
              </w:rPr>
              <w:t xml:space="preserve">H2 % </w:t>
            </w:r>
            <w:proofErr w:type="spellStart"/>
            <w:r>
              <w:rPr>
                <w:lang w:val="en-GB"/>
              </w:rPr>
              <w:t>vol</w:t>
            </w:r>
            <w:proofErr w:type="spellEnd"/>
          </w:p>
        </w:tc>
        <w:tc>
          <w:tcPr>
            <w:tcW w:w="1134" w:type="dxa"/>
            <w:tcBorders>
              <w:top w:val="single" w:sz="6" w:space="0" w:color="008000"/>
              <w:bottom w:val="nil"/>
            </w:tcBorders>
            <w:shd w:val="clear" w:color="auto" w:fill="FFFFFF"/>
          </w:tcPr>
          <w:p w14:paraId="09F85C99" w14:textId="64DC9BF9" w:rsidR="00F24C36" w:rsidRDefault="00776138" w:rsidP="00A037A1">
            <w:pPr>
              <w:pStyle w:val="CETBodytext"/>
              <w:rPr>
                <w:lang w:val="en-GB"/>
              </w:rPr>
            </w:pPr>
            <w:r>
              <w:rPr>
                <w:lang w:val="en-GB"/>
              </w:rPr>
              <w:t>65.0</w:t>
            </w:r>
          </w:p>
        </w:tc>
        <w:tc>
          <w:tcPr>
            <w:tcW w:w="1134" w:type="dxa"/>
            <w:tcBorders>
              <w:top w:val="single" w:sz="6" w:space="0" w:color="008000"/>
              <w:bottom w:val="nil"/>
            </w:tcBorders>
            <w:shd w:val="clear" w:color="auto" w:fill="FFFFFF"/>
          </w:tcPr>
          <w:p w14:paraId="1805086A" w14:textId="76287103" w:rsidR="00F24C36" w:rsidRDefault="00776138" w:rsidP="00A037A1">
            <w:pPr>
              <w:pStyle w:val="CETBodytext"/>
              <w:rPr>
                <w:lang w:val="en-GB"/>
              </w:rPr>
            </w:pPr>
            <w:r>
              <w:rPr>
                <w:lang w:val="en-GB"/>
              </w:rPr>
              <w:t>71.4</w:t>
            </w:r>
          </w:p>
        </w:tc>
        <w:tc>
          <w:tcPr>
            <w:tcW w:w="1134" w:type="dxa"/>
            <w:tcBorders>
              <w:top w:val="single" w:sz="6" w:space="0" w:color="008000"/>
              <w:bottom w:val="nil"/>
            </w:tcBorders>
            <w:shd w:val="clear" w:color="auto" w:fill="FFFFFF"/>
          </w:tcPr>
          <w:p w14:paraId="14209224" w14:textId="12C9C753" w:rsidR="00F24C36" w:rsidRDefault="00227946" w:rsidP="00A037A1">
            <w:pPr>
              <w:pStyle w:val="CETBodytext"/>
              <w:ind w:right="-1"/>
              <w:rPr>
                <w:rFonts w:cs="Arial"/>
                <w:szCs w:val="18"/>
                <w:lang w:val="en-GB"/>
              </w:rPr>
            </w:pPr>
            <w:r>
              <w:rPr>
                <w:rFonts w:cs="Arial"/>
                <w:szCs w:val="18"/>
                <w:lang w:val="en-GB"/>
              </w:rPr>
              <w:t>72.0</w:t>
            </w:r>
          </w:p>
        </w:tc>
        <w:tc>
          <w:tcPr>
            <w:tcW w:w="1134" w:type="dxa"/>
            <w:tcBorders>
              <w:top w:val="single" w:sz="6" w:space="0" w:color="008000"/>
              <w:bottom w:val="nil"/>
            </w:tcBorders>
            <w:shd w:val="clear" w:color="auto" w:fill="FFFFFF"/>
          </w:tcPr>
          <w:p w14:paraId="40933B6E" w14:textId="6005050B" w:rsidR="00F24C36" w:rsidRDefault="00227946" w:rsidP="00A037A1">
            <w:pPr>
              <w:pStyle w:val="CETBodytext"/>
              <w:ind w:right="-1"/>
              <w:rPr>
                <w:rFonts w:cs="Arial"/>
                <w:szCs w:val="18"/>
                <w:lang w:val="en-GB"/>
              </w:rPr>
            </w:pPr>
            <w:r>
              <w:rPr>
                <w:rFonts w:cs="Arial"/>
                <w:szCs w:val="18"/>
                <w:lang w:val="en-GB"/>
              </w:rPr>
              <w:t>71</w:t>
            </w:r>
            <w:r w:rsidR="003B7FE4">
              <w:rPr>
                <w:rFonts w:cs="Arial"/>
                <w:szCs w:val="18"/>
                <w:lang w:val="en-GB"/>
              </w:rPr>
              <w:t>.1</w:t>
            </w:r>
          </w:p>
        </w:tc>
        <w:tc>
          <w:tcPr>
            <w:tcW w:w="1134" w:type="dxa"/>
            <w:tcBorders>
              <w:top w:val="single" w:sz="6" w:space="0" w:color="008000"/>
              <w:bottom w:val="nil"/>
            </w:tcBorders>
            <w:shd w:val="clear" w:color="auto" w:fill="FFFFFF"/>
          </w:tcPr>
          <w:p w14:paraId="6B5BC852" w14:textId="490E3865" w:rsidR="00F24C36" w:rsidRDefault="003B7FE4" w:rsidP="00A037A1">
            <w:pPr>
              <w:pStyle w:val="CETBodytext"/>
              <w:ind w:right="-1"/>
              <w:rPr>
                <w:rFonts w:cs="Arial"/>
                <w:szCs w:val="18"/>
                <w:lang w:val="en-GB"/>
              </w:rPr>
            </w:pPr>
            <w:r>
              <w:rPr>
                <w:rFonts w:cs="Arial"/>
                <w:szCs w:val="18"/>
                <w:lang w:val="en-GB"/>
              </w:rPr>
              <w:t>72.1</w:t>
            </w:r>
          </w:p>
        </w:tc>
        <w:tc>
          <w:tcPr>
            <w:tcW w:w="1134" w:type="dxa"/>
            <w:tcBorders>
              <w:top w:val="single" w:sz="6" w:space="0" w:color="008000"/>
              <w:bottom w:val="nil"/>
            </w:tcBorders>
            <w:shd w:val="clear" w:color="auto" w:fill="FFFFFF"/>
          </w:tcPr>
          <w:p w14:paraId="3B20D811" w14:textId="707A6237" w:rsidR="00F24C36" w:rsidRDefault="00227946" w:rsidP="00A037A1">
            <w:pPr>
              <w:pStyle w:val="CETBodytext"/>
              <w:ind w:right="-1"/>
              <w:rPr>
                <w:rFonts w:cs="Arial"/>
                <w:szCs w:val="18"/>
                <w:lang w:val="en-GB"/>
              </w:rPr>
            </w:pPr>
            <w:r>
              <w:rPr>
                <w:rFonts w:cs="Arial"/>
                <w:szCs w:val="18"/>
                <w:lang w:val="en-GB"/>
              </w:rPr>
              <w:t>73.1</w:t>
            </w:r>
          </w:p>
        </w:tc>
      </w:tr>
      <w:tr w:rsidR="00F24C36" w:rsidRPr="003B7FE4" w14:paraId="56BE4128" w14:textId="77777777" w:rsidTr="00F24C36">
        <w:tc>
          <w:tcPr>
            <w:tcW w:w="1134" w:type="dxa"/>
            <w:tcBorders>
              <w:top w:val="nil"/>
              <w:bottom w:val="nil"/>
            </w:tcBorders>
            <w:shd w:val="clear" w:color="auto" w:fill="FFFFFF"/>
          </w:tcPr>
          <w:p w14:paraId="48A793EA" w14:textId="13525598" w:rsidR="00F24C36" w:rsidRPr="003C0754" w:rsidRDefault="00F24C36" w:rsidP="00A037A1">
            <w:pPr>
              <w:pStyle w:val="CETBodytext"/>
              <w:rPr>
                <w:lang w:val="en-GB"/>
              </w:rPr>
            </w:pPr>
            <w:r w:rsidRPr="003C0754">
              <w:rPr>
                <w:lang w:val="en-GB"/>
              </w:rPr>
              <w:t xml:space="preserve">CO % </w:t>
            </w:r>
            <w:proofErr w:type="spellStart"/>
            <w:r w:rsidRPr="003C0754">
              <w:rPr>
                <w:lang w:val="en-GB"/>
              </w:rPr>
              <w:t>vol</w:t>
            </w:r>
            <w:proofErr w:type="spellEnd"/>
          </w:p>
        </w:tc>
        <w:tc>
          <w:tcPr>
            <w:tcW w:w="1134" w:type="dxa"/>
            <w:tcBorders>
              <w:top w:val="nil"/>
              <w:bottom w:val="nil"/>
            </w:tcBorders>
            <w:shd w:val="clear" w:color="auto" w:fill="FFFFFF"/>
          </w:tcPr>
          <w:p w14:paraId="5FE24975" w14:textId="57FE4E71" w:rsidR="00F24C36" w:rsidRPr="003C0754" w:rsidRDefault="00727365" w:rsidP="00A037A1">
            <w:pPr>
              <w:pStyle w:val="CETBodytext"/>
              <w:rPr>
                <w:lang w:val="en-GB"/>
              </w:rPr>
            </w:pPr>
            <w:r w:rsidRPr="003C0754">
              <w:rPr>
                <w:lang w:val="en-GB"/>
              </w:rPr>
              <w:t>6.1</w:t>
            </w:r>
          </w:p>
        </w:tc>
        <w:tc>
          <w:tcPr>
            <w:tcW w:w="1134" w:type="dxa"/>
            <w:tcBorders>
              <w:top w:val="nil"/>
              <w:bottom w:val="nil"/>
            </w:tcBorders>
            <w:shd w:val="clear" w:color="auto" w:fill="FFFFFF"/>
          </w:tcPr>
          <w:p w14:paraId="0728E8FF" w14:textId="6B78FF4F" w:rsidR="00F24C36" w:rsidRPr="003C0754" w:rsidRDefault="004E3C24" w:rsidP="00A037A1">
            <w:pPr>
              <w:pStyle w:val="CETBodytext"/>
              <w:rPr>
                <w:lang w:val="en-GB"/>
              </w:rPr>
            </w:pPr>
            <w:r w:rsidRPr="003C0754">
              <w:rPr>
                <w:lang w:val="en-GB"/>
              </w:rPr>
              <w:t>6</w:t>
            </w:r>
            <w:r w:rsidR="00776138" w:rsidRPr="003C0754">
              <w:rPr>
                <w:lang w:val="en-GB"/>
              </w:rPr>
              <w:t>.7</w:t>
            </w:r>
          </w:p>
        </w:tc>
        <w:tc>
          <w:tcPr>
            <w:tcW w:w="1134" w:type="dxa"/>
            <w:tcBorders>
              <w:top w:val="nil"/>
              <w:bottom w:val="nil"/>
            </w:tcBorders>
            <w:shd w:val="clear" w:color="auto" w:fill="FFFFFF"/>
          </w:tcPr>
          <w:p w14:paraId="477F29CC" w14:textId="6718988B" w:rsidR="00F24C36" w:rsidRPr="003C0754" w:rsidRDefault="004E3C24" w:rsidP="00A037A1">
            <w:pPr>
              <w:pStyle w:val="CETBodytext"/>
              <w:ind w:right="-1"/>
              <w:rPr>
                <w:rFonts w:cs="Arial"/>
                <w:szCs w:val="18"/>
                <w:lang w:val="en-GB"/>
              </w:rPr>
            </w:pPr>
            <w:r w:rsidRPr="003C0754">
              <w:rPr>
                <w:rFonts w:cs="Arial"/>
                <w:szCs w:val="18"/>
                <w:lang w:val="en-GB"/>
              </w:rPr>
              <w:t>7</w:t>
            </w:r>
            <w:r w:rsidR="00776138" w:rsidRPr="003C0754">
              <w:rPr>
                <w:rFonts w:cs="Arial"/>
                <w:szCs w:val="18"/>
                <w:lang w:val="en-GB"/>
              </w:rPr>
              <w:t>.9</w:t>
            </w:r>
          </w:p>
        </w:tc>
        <w:tc>
          <w:tcPr>
            <w:tcW w:w="1134" w:type="dxa"/>
            <w:tcBorders>
              <w:top w:val="nil"/>
              <w:bottom w:val="nil"/>
            </w:tcBorders>
            <w:shd w:val="clear" w:color="auto" w:fill="FFFFFF"/>
          </w:tcPr>
          <w:p w14:paraId="7473428F" w14:textId="3A0AE27F" w:rsidR="00F24C36" w:rsidRPr="003C0754" w:rsidRDefault="004E3C24" w:rsidP="00A037A1">
            <w:pPr>
              <w:pStyle w:val="CETBodytext"/>
              <w:ind w:right="-1"/>
              <w:rPr>
                <w:rFonts w:cs="Arial"/>
                <w:szCs w:val="18"/>
                <w:lang w:val="en-GB"/>
              </w:rPr>
            </w:pPr>
            <w:r w:rsidRPr="003C0754">
              <w:rPr>
                <w:rFonts w:cs="Arial"/>
                <w:szCs w:val="18"/>
                <w:lang w:val="en-GB"/>
              </w:rPr>
              <w:t>5.1</w:t>
            </w:r>
          </w:p>
        </w:tc>
        <w:tc>
          <w:tcPr>
            <w:tcW w:w="1134" w:type="dxa"/>
            <w:tcBorders>
              <w:top w:val="nil"/>
              <w:bottom w:val="nil"/>
            </w:tcBorders>
            <w:shd w:val="clear" w:color="auto" w:fill="FFFFFF"/>
          </w:tcPr>
          <w:p w14:paraId="04CD64C9" w14:textId="3D04BCC6" w:rsidR="00F24C36" w:rsidRPr="003C0754" w:rsidRDefault="004E3C24" w:rsidP="00A037A1">
            <w:pPr>
              <w:pStyle w:val="CETBodytext"/>
              <w:ind w:right="-1"/>
              <w:rPr>
                <w:rFonts w:cs="Arial"/>
                <w:szCs w:val="18"/>
                <w:lang w:val="en-GB"/>
              </w:rPr>
            </w:pPr>
            <w:r w:rsidRPr="003C0754">
              <w:rPr>
                <w:rFonts w:cs="Arial"/>
                <w:szCs w:val="18"/>
                <w:lang w:val="en-GB"/>
              </w:rPr>
              <w:t>6</w:t>
            </w:r>
            <w:r w:rsidR="003B7FE4" w:rsidRPr="003C0754">
              <w:rPr>
                <w:rFonts w:cs="Arial"/>
                <w:szCs w:val="18"/>
                <w:lang w:val="en-GB"/>
              </w:rPr>
              <w:t>.7</w:t>
            </w:r>
          </w:p>
        </w:tc>
        <w:tc>
          <w:tcPr>
            <w:tcW w:w="1134" w:type="dxa"/>
            <w:tcBorders>
              <w:top w:val="nil"/>
              <w:bottom w:val="nil"/>
            </w:tcBorders>
            <w:shd w:val="clear" w:color="auto" w:fill="FFFFFF"/>
          </w:tcPr>
          <w:p w14:paraId="56A017CF" w14:textId="51C6F835" w:rsidR="00F24C36" w:rsidRPr="003C0754" w:rsidRDefault="004E3C24" w:rsidP="00A037A1">
            <w:pPr>
              <w:pStyle w:val="CETBodytext"/>
              <w:ind w:right="-1"/>
              <w:rPr>
                <w:rFonts w:cs="Arial"/>
                <w:szCs w:val="18"/>
                <w:lang w:val="en-GB"/>
              </w:rPr>
            </w:pPr>
            <w:r w:rsidRPr="003C0754">
              <w:rPr>
                <w:rFonts w:cs="Arial"/>
                <w:szCs w:val="18"/>
                <w:lang w:val="en-GB"/>
              </w:rPr>
              <w:t>7</w:t>
            </w:r>
            <w:r w:rsidR="003B7FE4" w:rsidRPr="003C0754">
              <w:rPr>
                <w:rFonts w:cs="Arial"/>
                <w:szCs w:val="18"/>
                <w:lang w:val="en-GB"/>
              </w:rPr>
              <w:t>.4</w:t>
            </w:r>
          </w:p>
        </w:tc>
      </w:tr>
      <w:tr w:rsidR="00F24C36" w:rsidRPr="00B57B36" w14:paraId="76E6BDC0" w14:textId="77777777" w:rsidTr="00F24C36">
        <w:tc>
          <w:tcPr>
            <w:tcW w:w="1134" w:type="dxa"/>
            <w:tcBorders>
              <w:top w:val="nil"/>
              <w:bottom w:val="nil"/>
            </w:tcBorders>
            <w:shd w:val="clear" w:color="auto" w:fill="FFFFFF"/>
          </w:tcPr>
          <w:p w14:paraId="17BF2A54" w14:textId="763DFDCD" w:rsidR="00F24C36" w:rsidRDefault="00F24C36" w:rsidP="00A037A1">
            <w:pPr>
              <w:pStyle w:val="CETBodytext"/>
              <w:rPr>
                <w:lang w:val="en-GB"/>
              </w:rPr>
            </w:pPr>
            <w:r>
              <w:rPr>
                <w:lang w:val="en-GB"/>
              </w:rPr>
              <w:t>CO2 %</w:t>
            </w:r>
            <w:proofErr w:type="spellStart"/>
            <w:r>
              <w:rPr>
                <w:lang w:val="en-GB"/>
              </w:rPr>
              <w:t>vol</w:t>
            </w:r>
            <w:proofErr w:type="spellEnd"/>
          </w:p>
        </w:tc>
        <w:tc>
          <w:tcPr>
            <w:tcW w:w="1134" w:type="dxa"/>
            <w:tcBorders>
              <w:top w:val="nil"/>
              <w:bottom w:val="nil"/>
            </w:tcBorders>
            <w:shd w:val="clear" w:color="auto" w:fill="FFFFFF"/>
          </w:tcPr>
          <w:p w14:paraId="1BC7A039" w14:textId="69BC9BF5" w:rsidR="00F24C36" w:rsidRDefault="00727365" w:rsidP="00A037A1">
            <w:pPr>
              <w:pStyle w:val="CETBodytext"/>
              <w:rPr>
                <w:lang w:val="en-GB"/>
              </w:rPr>
            </w:pPr>
            <w:r>
              <w:rPr>
                <w:lang w:val="en-GB"/>
              </w:rPr>
              <w:t>21.7</w:t>
            </w:r>
          </w:p>
        </w:tc>
        <w:tc>
          <w:tcPr>
            <w:tcW w:w="1134" w:type="dxa"/>
            <w:tcBorders>
              <w:top w:val="nil"/>
              <w:bottom w:val="nil"/>
            </w:tcBorders>
            <w:shd w:val="clear" w:color="auto" w:fill="FFFFFF"/>
          </w:tcPr>
          <w:p w14:paraId="545A7E07" w14:textId="391227C1" w:rsidR="00F24C36" w:rsidRDefault="004E3C24" w:rsidP="00A037A1">
            <w:pPr>
              <w:pStyle w:val="CETBodytext"/>
              <w:rPr>
                <w:lang w:val="en-GB"/>
              </w:rPr>
            </w:pPr>
            <w:r>
              <w:rPr>
                <w:lang w:val="en-GB"/>
              </w:rPr>
              <w:t>17.7</w:t>
            </w:r>
          </w:p>
        </w:tc>
        <w:tc>
          <w:tcPr>
            <w:tcW w:w="1134" w:type="dxa"/>
            <w:tcBorders>
              <w:top w:val="nil"/>
              <w:bottom w:val="nil"/>
            </w:tcBorders>
            <w:shd w:val="clear" w:color="auto" w:fill="FFFFFF"/>
          </w:tcPr>
          <w:p w14:paraId="2EA1ABC9" w14:textId="357A6AEA" w:rsidR="00F24C36" w:rsidRDefault="004E3C24" w:rsidP="00A037A1">
            <w:pPr>
              <w:pStyle w:val="CETBodytext"/>
              <w:ind w:right="-1"/>
              <w:rPr>
                <w:rFonts w:cs="Arial"/>
                <w:szCs w:val="18"/>
                <w:lang w:val="en-GB"/>
              </w:rPr>
            </w:pPr>
            <w:r>
              <w:rPr>
                <w:rFonts w:cs="Arial"/>
                <w:szCs w:val="18"/>
                <w:lang w:val="en-GB"/>
              </w:rPr>
              <w:t>16.7</w:t>
            </w:r>
          </w:p>
        </w:tc>
        <w:tc>
          <w:tcPr>
            <w:tcW w:w="1134" w:type="dxa"/>
            <w:tcBorders>
              <w:top w:val="nil"/>
              <w:bottom w:val="nil"/>
            </w:tcBorders>
            <w:shd w:val="clear" w:color="auto" w:fill="FFFFFF"/>
          </w:tcPr>
          <w:p w14:paraId="0B47FE50" w14:textId="6B215A4E" w:rsidR="00F24C36" w:rsidRDefault="004E3C24" w:rsidP="00A037A1">
            <w:pPr>
              <w:pStyle w:val="CETBodytext"/>
              <w:ind w:right="-1"/>
              <w:rPr>
                <w:rFonts w:cs="Arial"/>
                <w:szCs w:val="18"/>
                <w:lang w:val="en-GB"/>
              </w:rPr>
            </w:pPr>
            <w:r>
              <w:rPr>
                <w:rFonts w:cs="Arial"/>
                <w:szCs w:val="18"/>
                <w:lang w:val="en-GB"/>
              </w:rPr>
              <w:t>18.5</w:t>
            </w:r>
          </w:p>
        </w:tc>
        <w:tc>
          <w:tcPr>
            <w:tcW w:w="1134" w:type="dxa"/>
            <w:tcBorders>
              <w:top w:val="nil"/>
              <w:bottom w:val="nil"/>
            </w:tcBorders>
            <w:shd w:val="clear" w:color="auto" w:fill="FFFFFF"/>
          </w:tcPr>
          <w:p w14:paraId="63F3F0B1" w14:textId="67A808CE" w:rsidR="00F24C36" w:rsidRDefault="004E3C24" w:rsidP="00A037A1">
            <w:pPr>
              <w:pStyle w:val="CETBodytext"/>
              <w:ind w:right="-1"/>
              <w:rPr>
                <w:rFonts w:cs="Arial"/>
                <w:szCs w:val="18"/>
                <w:lang w:val="en-GB"/>
              </w:rPr>
            </w:pPr>
            <w:r>
              <w:rPr>
                <w:rFonts w:cs="Arial"/>
                <w:szCs w:val="18"/>
                <w:lang w:val="en-GB"/>
              </w:rPr>
              <w:t>18.6</w:t>
            </w:r>
          </w:p>
        </w:tc>
        <w:tc>
          <w:tcPr>
            <w:tcW w:w="1134" w:type="dxa"/>
            <w:tcBorders>
              <w:top w:val="nil"/>
              <w:bottom w:val="nil"/>
            </w:tcBorders>
            <w:shd w:val="clear" w:color="auto" w:fill="FFFFFF"/>
          </w:tcPr>
          <w:p w14:paraId="2065A7E5" w14:textId="4D7D1E3F" w:rsidR="00F24C36" w:rsidRDefault="004E3C24" w:rsidP="00A037A1">
            <w:pPr>
              <w:pStyle w:val="CETBodytext"/>
              <w:ind w:right="-1"/>
              <w:rPr>
                <w:rFonts w:cs="Arial"/>
                <w:szCs w:val="18"/>
                <w:lang w:val="en-GB"/>
              </w:rPr>
            </w:pPr>
            <w:r>
              <w:rPr>
                <w:rFonts w:cs="Arial"/>
                <w:szCs w:val="18"/>
                <w:lang w:val="en-GB"/>
              </w:rPr>
              <w:t>17.7</w:t>
            </w:r>
          </w:p>
        </w:tc>
      </w:tr>
      <w:tr w:rsidR="00F24C36" w:rsidRPr="00B57B36" w14:paraId="0C9A74C1" w14:textId="77777777" w:rsidTr="00F24C36">
        <w:tc>
          <w:tcPr>
            <w:tcW w:w="1134" w:type="dxa"/>
            <w:tcBorders>
              <w:top w:val="nil"/>
              <w:bottom w:val="nil"/>
            </w:tcBorders>
            <w:shd w:val="clear" w:color="auto" w:fill="FFFFFF"/>
          </w:tcPr>
          <w:p w14:paraId="7A4CFF84" w14:textId="33D078AD" w:rsidR="00F24C36" w:rsidRDefault="00F24C36" w:rsidP="00A037A1">
            <w:pPr>
              <w:pStyle w:val="CETBodytext"/>
              <w:rPr>
                <w:lang w:val="en-GB"/>
              </w:rPr>
            </w:pPr>
            <w:r>
              <w:rPr>
                <w:lang w:val="en-GB"/>
              </w:rPr>
              <w:t>CH4 %</w:t>
            </w:r>
            <w:proofErr w:type="spellStart"/>
            <w:r>
              <w:rPr>
                <w:lang w:val="en-GB"/>
              </w:rPr>
              <w:t>vol</w:t>
            </w:r>
            <w:proofErr w:type="spellEnd"/>
          </w:p>
        </w:tc>
        <w:tc>
          <w:tcPr>
            <w:tcW w:w="1134" w:type="dxa"/>
            <w:tcBorders>
              <w:top w:val="nil"/>
              <w:bottom w:val="nil"/>
            </w:tcBorders>
            <w:shd w:val="clear" w:color="auto" w:fill="FFFFFF"/>
          </w:tcPr>
          <w:p w14:paraId="76F3708C" w14:textId="0588FD0B" w:rsidR="00F24C36" w:rsidRDefault="00776138" w:rsidP="00A037A1">
            <w:pPr>
              <w:pStyle w:val="CETBodytext"/>
              <w:rPr>
                <w:lang w:val="en-GB"/>
              </w:rPr>
            </w:pPr>
            <w:r>
              <w:rPr>
                <w:lang w:val="en-GB"/>
              </w:rPr>
              <w:t>3.5</w:t>
            </w:r>
          </w:p>
        </w:tc>
        <w:tc>
          <w:tcPr>
            <w:tcW w:w="1134" w:type="dxa"/>
            <w:tcBorders>
              <w:top w:val="nil"/>
              <w:bottom w:val="nil"/>
            </w:tcBorders>
            <w:shd w:val="clear" w:color="auto" w:fill="FFFFFF"/>
          </w:tcPr>
          <w:p w14:paraId="7431A5F7" w14:textId="5795862A" w:rsidR="00F24C36" w:rsidRDefault="00776138" w:rsidP="00A037A1">
            <w:pPr>
              <w:pStyle w:val="CETBodytext"/>
              <w:rPr>
                <w:lang w:val="en-GB"/>
              </w:rPr>
            </w:pPr>
            <w:r>
              <w:rPr>
                <w:lang w:val="en-GB"/>
              </w:rPr>
              <w:t>2.5</w:t>
            </w:r>
          </w:p>
        </w:tc>
        <w:tc>
          <w:tcPr>
            <w:tcW w:w="1134" w:type="dxa"/>
            <w:tcBorders>
              <w:top w:val="nil"/>
              <w:bottom w:val="nil"/>
            </w:tcBorders>
            <w:shd w:val="clear" w:color="auto" w:fill="FFFFFF"/>
          </w:tcPr>
          <w:p w14:paraId="2FB8DF5B" w14:textId="2CF3A67F" w:rsidR="00F24C36" w:rsidRDefault="00776138" w:rsidP="00A037A1">
            <w:pPr>
              <w:pStyle w:val="CETBodytext"/>
              <w:ind w:right="-1"/>
              <w:rPr>
                <w:rFonts w:cs="Arial"/>
                <w:szCs w:val="18"/>
                <w:lang w:val="en-GB"/>
              </w:rPr>
            </w:pPr>
            <w:r>
              <w:rPr>
                <w:rFonts w:cs="Arial"/>
                <w:szCs w:val="18"/>
                <w:lang w:val="en-GB"/>
              </w:rPr>
              <w:t>1.8</w:t>
            </w:r>
          </w:p>
        </w:tc>
        <w:tc>
          <w:tcPr>
            <w:tcW w:w="1134" w:type="dxa"/>
            <w:tcBorders>
              <w:top w:val="nil"/>
              <w:bottom w:val="nil"/>
            </w:tcBorders>
            <w:shd w:val="clear" w:color="auto" w:fill="FFFFFF"/>
          </w:tcPr>
          <w:p w14:paraId="625D6BD1" w14:textId="15A434F0" w:rsidR="00F24C36" w:rsidRDefault="003B7FE4" w:rsidP="00A037A1">
            <w:pPr>
              <w:pStyle w:val="CETBodytext"/>
              <w:ind w:right="-1"/>
              <w:rPr>
                <w:rFonts w:cs="Arial"/>
                <w:szCs w:val="18"/>
                <w:lang w:val="en-GB"/>
              </w:rPr>
            </w:pPr>
            <w:r>
              <w:rPr>
                <w:rFonts w:cs="Arial"/>
                <w:szCs w:val="18"/>
                <w:lang w:val="en-GB"/>
              </w:rPr>
              <w:t>2.8</w:t>
            </w:r>
          </w:p>
        </w:tc>
        <w:tc>
          <w:tcPr>
            <w:tcW w:w="1134" w:type="dxa"/>
            <w:tcBorders>
              <w:top w:val="nil"/>
              <w:bottom w:val="nil"/>
            </w:tcBorders>
            <w:shd w:val="clear" w:color="auto" w:fill="FFFFFF"/>
          </w:tcPr>
          <w:p w14:paraId="34FE0EE3" w14:textId="1649E6EC" w:rsidR="00F24C36" w:rsidRDefault="003B7FE4" w:rsidP="00A037A1">
            <w:pPr>
              <w:pStyle w:val="CETBodytext"/>
              <w:ind w:right="-1"/>
              <w:rPr>
                <w:rFonts w:cs="Arial"/>
                <w:szCs w:val="18"/>
                <w:lang w:val="en-GB"/>
              </w:rPr>
            </w:pPr>
            <w:r>
              <w:rPr>
                <w:rFonts w:cs="Arial"/>
                <w:szCs w:val="18"/>
                <w:lang w:val="en-GB"/>
              </w:rPr>
              <w:t>2.0</w:t>
            </w:r>
          </w:p>
        </w:tc>
        <w:tc>
          <w:tcPr>
            <w:tcW w:w="1134" w:type="dxa"/>
            <w:tcBorders>
              <w:top w:val="nil"/>
              <w:bottom w:val="nil"/>
            </w:tcBorders>
            <w:shd w:val="clear" w:color="auto" w:fill="FFFFFF"/>
          </w:tcPr>
          <w:p w14:paraId="118DEBC4" w14:textId="11FB1D49" w:rsidR="00F24C36" w:rsidRDefault="004E3C24" w:rsidP="00A037A1">
            <w:pPr>
              <w:pStyle w:val="CETBodytext"/>
              <w:ind w:right="-1"/>
              <w:rPr>
                <w:rFonts w:cs="Arial"/>
                <w:szCs w:val="18"/>
                <w:lang w:val="en-GB"/>
              </w:rPr>
            </w:pPr>
            <w:r>
              <w:rPr>
                <w:rFonts w:cs="Arial"/>
                <w:szCs w:val="18"/>
                <w:lang w:val="en-GB"/>
              </w:rPr>
              <w:t>1.6</w:t>
            </w:r>
          </w:p>
        </w:tc>
      </w:tr>
      <w:tr w:rsidR="00F24C36" w:rsidRPr="00B57B36" w14:paraId="6627C769" w14:textId="77777777" w:rsidTr="00F24C36">
        <w:tc>
          <w:tcPr>
            <w:tcW w:w="1134" w:type="dxa"/>
            <w:tcBorders>
              <w:top w:val="nil"/>
              <w:bottom w:val="nil"/>
            </w:tcBorders>
            <w:shd w:val="clear" w:color="auto" w:fill="FFFFFF"/>
          </w:tcPr>
          <w:p w14:paraId="3097D702" w14:textId="4928A04A" w:rsidR="00F24C36" w:rsidRDefault="00F24C36" w:rsidP="00A037A1">
            <w:pPr>
              <w:pStyle w:val="CETBodytext"/>
              <w:rPr>
                <w:lang w:val="en-GB"/>
              </w:rPr>
            </w:pPr>
            <w:r>
              <w:rPr>
                <w:lang w:val="en-GB"/>
              </w:rPr>
              <w:t>C2H4 %</w:t>
            </w:r>
            <w:proofErr w:type="spellStart"/>
            <w:r>
              <w:rPr>
                <w:lang w:val="en-GB"/>
              </w:rPr>
              <w:t>vol</w:t>
            </w:r>
            <w:proofErr w:type="spellEnd"/>
          </w:p>
        </w:tc>
        <w:tc>
          <w:tcPr>
            <w:tcW w:w="1134" w:type="dxa"/>
            <w:tcBorders>
              <w:top w:val="nil"/>
              <w:bottom w:val="nil"/>
            </w:tcBorders>
            <w:shd w:val="clear" w:color="auto" w:fill="FFFFFF"/>
          </w:tcPr>
          <w:p w14:paraId="4C20265E" w14:textId="4718C4F2" w:rsidR="00F24C36" w:rsidRDefault="00776138" w:rsidP="00A037A1">
            <w:pPr>
              <w:pStyle w:val="CETBodytext"/>
              <w:rPr>
                <w:lang w:val="en-GB"/>
              </w:rPr>
            </w:pPr>
            <w:r>
              <w:rPr>
                <w:lang w:val="en-GB"/>
              </w:rPr>
              <w:t>3.7</w:t>
            </w:r>
          </w:p>
        </w:tc>
        <w:tc>
          <w:tcPr>
            <w:tcW w:w="1134" w:type="dxa"/>
            <w:tcBorders>
              <w:top w:val="nil"/>
              <w:bottom w:val="nil"/>
            </w:tcBorders>
            <w:shd w:val="clear" w:color="auto" w:fill="FFFFFF"/>
          </w:tcPr>
          <w:p w14:paraId="086CB84C" w14:textId="0BD504FA" w:rsidR="00F24C36" w:rsidRDefault="00776138" w:rsidP="00A037A1">
            <w:pPr>
              <w:pStyle w:val="CETBodytext"/>
              <w:rPr>
                <w:lang w:val="en-GB"/>
              </w:rPr>
            </w:pPr>
            <w:r>
              <w:rPr>
                <w:lang w:val="en-GB"/>
              </w:rPr>
              <w:t>1.7</w:t>
            </w:r>
          </w:p>
        </w:tc>
        <w:tc>
          <w:tcPr>
            <w:tcW w:w="1134" w:type="dxa"/>
            <w:tcBorders>
              <w:top w:val="nil"/>
              <w:bottom w:val="nil"/>
            </w:tcBorders>
            <w:shd w:val="clear" w:color="auto" w:fill="FFFFFF"/>
          </w:tcPr>
          <w:p w14:paraId="4DE6EE69" w14:textId="3501CFE3" w:rsidR="00F24C36" w:rsidRDefault="004E3C24" w:rsidP="00A037A1">
            <w:pPr>
              <w:pStyle w:val="CETBodytext"/>
              <w:ind w:right="-1"/>
              <w:rPr>
                <w:rFonts w:cs="Arial"/>
                <w:szCs w:val="18"/>
                <w:lang w:val="en-GB"/>
              </w:rPr>
            </w:pPr>
            <w:r>
              <w:rPr>
                <w:rFonts w:cs="Arial"/>
                <w:szCs w:val="18"/>
                <w:lang w:val="en-GB"/>
              </w:rPr>
              <w:t>1.6</w:t>
            </w:r>
          </w:p>
        </w:tc>
        <w:tc>
          <w:tcPr>
            <w:tcW w:w="1134" w:type="dxa"/>
            <w:tcBorders>
              <w:top w:val="nil"/>
              <w:bottom w:val="nil"/>
            </w:tcBorders>
            <w:shd w:val="clear" w:color="auto" w:fill="FFFFFF"/>
          </w:tcPr>
          <w:p w14:paraId="2F5511D4" w14:textId="3EB13FB0" w:rsidR="00F24C36" w:rsidRDefault="003B7FE4" w:rsidP="00A037A1">
            <w:pPr>
              <w:pStyle w:val="CETBodytext"/>
              <w:ind w:right="-1"/>
              <w:rPr>
                <w:rFonts w:cs="Arial"/>
                <w:szCs w:val="18"/>
                <w:lang w:val="en-GB"/>
              </w:rPr>
            </w:pPr>
            <w:r>
              <w:rPr>
                <w:rFonts w:cs="Arial"/>
                <w:szCs w:val="18"/>
                <w:lang w:val="en-GB"/>
              </w:rPr>
              <w:t>2.5</w:t>
            </w:r>
          </w:p>
        </w:tc>
        <w:tc>
          <w:tcPr>
            <w:tcW w:w="1134" w:type="dxa"/>
            <w:tcBorders>
              <w:top w:val="nil"/>
              <w:bottom w:val="nil"/>
            </w:tcBorders>
            <w:shd w:val="clear" w:color="auto" w:fill="FFFFFF"/>
          </w:tcPr>
          <w:p w14:paraId="6D99CA21" w14:textId="248A93DD" w:rsidR="00F24C36" w:rsidRDefault="003B7FE4" w:rsidP="00A037A1">
            <w:pPr>
              <w:pStyle w:val="CETBodytext"/>
              <w:ind w:right="-1"/>
              <w:rPr>
                <w:rFonts w:cs="Arial"/>
                <w:szCs w:val="18"/>
                <w:lang w:val="en-GB"/>
              </w:rPr>
            </w:pPr>
            <w:r>
              <w:rPr>
                <w:rFonts w:cs="Arial"/>
                <w:szCs w:val="18"/>
                <w:lang w:val="en-GB"/>
              </w:rPr>
              <w:t>0.6</w:t>
            </w:r>
          </w:p>
        </w:tc>
        <w:tc>
          <w:tcPr>
            <w:tcW w:w="1134" w:type="dxa"/>
            <w:tcBorders>
              <w:top w:val="nil"/>
              <w:bottom w:val="nil"/>
            </w:tcBorders>
            <w:shd w:val="clear" w:color="auto" w:fill="FFFFFF"/>
          </w:tcPr>
          <w:p w14:paraId="3FEC4535" w14:textId="06BD4E2E" w:rsidR="00F24C36" w:rsidRDefault="003B7FE4" w:rsidP="00A037A1">
            <w:pPr>
              <w:pStyle w:val="CETBodytext"/>
              <w:ind w:right="-1"/>
              <w:rPr>
                <w:rFonts w:cs="Arial"/>
                <w:szCs w:val="18"/>
                <w:lang w:val="en-GB"/>
              </w:rPr>
            </w:pPr>
            <w:r>
              <w:rPr>
                <w:rFonts w:cs="Arial"/>
                <w:szCs w:val="18"/>
                <w:lang w:val="en-GB"/>
              </w:rPr>
              <w:t>0.2</w:t>
            </w:r>
          </w:p>
        </w:tc>
      </w:tr>
      <w:tr w:rsidR="00F24C36" w:rsidRPr="00B57B36" w14:paraId="271D5F00" w14:textId="65999BF3" w:rsidTr="00F24C36">
        <w:tc>
          <w:tcPr>
            <w:tcW w:w="1134" w:type="dxa"/>
            <w:tcBorders>
              <w:top w:val="nil"/>
            </w:tcBorders>
            <w:shd w:val="clear" w:color="auto" w:fill="FFFFFF"/>
          </w:tcPr>
          <w:p w14:paraId="43E5D127" w14:textId="7499EA84" w:rsidR="00F24C36" w:rsidRPr="00B57B36" w:rsidRDefault="00F24C36" w:rsidP="00A037A1">
            <w:pPr>
              <w:pStyle w:val="CETBodytext"/>
              <w:ind w:right="-1"/>
              <w:rPr>
                <w:rFonts w:cs="Arial"/>
                <w:szCs w:val="18"/>
                <w:lang w:val="en-GB"/>
              </w:rPr>
            </w:pPr>
            <w:proofErr w:type="spellStart"/>
            <w:r>
              <w:rPr>
                <w:rFonts w:cs="Arial"/>
                <w:szCs w:val="18"/>
                <w:lang w:val="en-GB"/>
              </w:rPr>
              <w:t>Ntot</w:t>
            </w:r>
            <w:proofErr w:type="spellEnd"/>
            <w:r>
              <w:rPr>
                <w:rFonts w:cs="Arial"/>
                <w:szCs w:val="18"/>
                <w:lang w:val="en-GB"/>
              </w:rPr>
              <w:t xml:space="preserve"> (</w:t>
            </w:r>
            <w:proofErr w:type="spellStart"/>
            <w:r>
              <w:rPr>
                <w:rFonts w:cs="Arial"/>
                <w:szCs w:val="18"/>
                <w:lang w:val="en-GB"/>
              </w:rPr>
              <w:t>mol</w:t>
            </w:r>
            <w:proofErr w:type="spellEnd"/>
            <w:r>
              <w:rPr>
                <w:rFonts w:cs="Arial"/>
                <w:szCs w:val="18"/>
                <w:lang w:val="en-GB"/>
              </w:rPr>
              <w:t>/s)</w:t>
            </w:r>
          </w:p>
        </w:tc>
        <w:tc>
          <w:tcPr>
            <w:tcW w:w="1134" w:type="dxa"/>
            <w:tcBorders>
              <w:top w:val="nil"/>
            </w:tcBorders>
            <w:shd w:val="clear" w:color="auto" w:fill="FFFFFF"/>
          </w:tcPr>
          <w:p w14:paraId="62959CE8" w14:textId="418C8760" w:rsidR="00F24C36" w:rsidRPr="00B57B36" w:rsidRDefault="00776138" w:rsidP="00A037A1">
            <w:pPr>
              <w:pStyle w:val="CETBodytext"/>
              <w:ind w:right="-1"/>
              <w:rPr>
                <w:rFonts w:cs="Arial"/>
                <w:szCs w:val="18"/>
                <w:lang w:val="en-GB"/>
              </w:rPr>
            </w:pPr>
            <w:r>
              <w:rPr>
                <w:rFonts w:cs="Arial"/>
                <w:szCs w:val="18"/>
                <w:lang w:val="en-GB"/>
              </w:rPr>
              <w:t>3.88*10</w:t>
            </w:r>
            <w:r w:rsidRPr="00776138">
              <w:rPr>
                <w:rFonts w:cs="Arial"/>
                <w:szCs w:val="18"/>
                <w:vertAlign w:val="superscript"/>
                <w:lang w:val="en-GB"/>
              </w:rPr>
              <w:t>-5</w:t>
            </w:r>
          </w:p>
        </w:tc>
        <w:tc>
          <w:tcPr>
            <w:tcW w:w="1134" w:type="dxa"/>
            <w:tcBorders>
              <w:top w:val="nil"/>
            </w:tcBorders>
            <w:shd w:val="clear" w:color="auto" w:fill="FFFFFF"/>
          </w:tcPr>
          <w:p w14:paraId="20B16506" w14:textId="3597B42C" w:rsidR="00F24C36" w:rsidRPr="00B57B36" w:rsidRDefault="00776138" w:rsidP="00A037A1">
            <w:pPr>
              <w:pStyle w:val="CETBodytext"/>
              <w:ind w:right="-1"/>
              <w:rPr>
                <w:rFonts w:cs="Arial"/>
                <w:szCs w:val="18"/>
                <w:lang w:val="en-GB"/>
              </w:rPr>
            </w:pPr>
            <w:r>
              <w:rPr>
                <w:rFonts w:cs="Arial"/>
                <w:szCs w:val="18"/>
                <w:lang w:val="en-GB"/>
              </w:rPr>
              <w:t>5.31*10</w:t>
            </w:r>
            <w:r w:rsidRPr="00776138">
              <w:rPr>
                <w:rFonts w:cs="Arial"/>
                <w:szCs w:val="18"/>
                <w:vertAlign w:val="superscript"/>
                <w:lang w:val="en-GB"/>
              </w:rPr>
              <w:t>-5</w:t>
            </w:r>
          </w:p>
        </w:tc>
        <w:tc>
          <w:tcPr>
            <w:tcW w:w="1134" w:type="dxa"/>
            <w:tcBorders>
              <w:top w:val="nil"/>
            </w:tcBorders>
            <w:shd w:val="clear" w:color="auto" w:fill="FFFFFF"/>
          </w:tcPr>
          <w:p w14:paraId="507D4A81" w14:textId="284AED04" w:rsidR="00F24C36" w:rsidRPr="00B57B36" w:rsidRDefault="003B7FE4" w:rsidP="00A037A1">
            <w:pPr>
              <w:pStyle w:val="CETBodytext"/>
              <w:ind w:right="-1"/>
              <w:rPr>
                <w:rFonts w:cs="Arial"/>
                <w:szCs w:val="18"/>
                <w:lang w:val="en-GB"/>
              </w:rPr>
            </w:pPr>
            <w:r>
              <w:rPr>
                <w:rFonts w:cs="Arial"/>
                <w:szCs w:val="18"/>
                <w:lang w:val="en-GB"/>
              </w:rPr>
              <w:t>6.49*10</w:t>
            </w:r>
            <w:r w:rsidRPr="00776138">
              <w:rPr>
                <w:rFonts w:cs="Arial"/>
                <w:szCs w:val="18"/>
                <w:vertAlign w:val="superscript"/>
                <w:lang w:val="en-GB"/>
              </w:rPr>
              <w:t>-5</w:t>
            </w:r>
          </w:p>
        </w:tc>
        <w:tc>
          <w:tcPr>
            <w:tcW w:w="1134" w:type="dxa"/>
            <w:tcBorders>
              <w:top w:val="nil"/>
            </w:tcBorders>
            <w:shd w:val="clear" w:color="auto" w:fill="FFFFFF"/>
          </w:tcPr>
          <w:p w14:paraId="71A020F6" w14:textId="4B6854DE" w:rsidR="00F24C36" w:rsidRPr="00B57B36" w:rsidRDefault="003B7FE4" w:rsidP="00A037A1">
            <w:pPr>
              <w:pStyle w:val="CETBodytext"/>
              <w:ind w:right="-1"/>
              <w:rPr>
                <w:rFonts w:cs="Arial"/>
                <w:szCs w:val="18"/>
                <w:lang w:val="en-GB"/>
              </w:rPr>
            </w:pPr>
            <w:r>
              <w:rPr>
                <w:rFonts w:cs="Arial"/>
                <w:szCs w:val="18"/>
                <w:lang w:val="en-GB"/>
              </w:rPr>
              <w:t>5.98*10</w:t>
            </w:r>
            <w:r w:rsidRPr="00776138">
              <w:rPr>
                <w:rFonts w:cs="Arial"/>
                <w:szCs w:val="18"/>
                <w:vertAlign w:val="superscript"/>
                <w:lang w:val="en-GB"/>
              </w:rPr>
              <w:t>-5</w:t>
            </w:r>
          </w:p>
        </w:tc>
        <w:tc>
          <w:tcPr>
            <w:tcW w:w="1134" w:type="dxa"/>
            <w:tcBorders>
              <w:top w:val="nil"/>
            </w:tcBorders>
            <w:shd w:val="clear" w:color="auto" w:fill="FFFFFF"/>
          </w:tcPr>
          <w:p w14:paraId="12D1D32A" w14:textId="540E2649" w:rsidR="00F24C36" w:rsidRPr="00B57B36" w:rsidRDefault="003B7FE4" w:rsidP="00A037A1">
            <w:pPr>
              <w:pStyle w:val="CETBodytext"/>
              <w:ind w:right="-1"/>
              <w:rPr>
                <w:rFonts w:cs="Arial"/>
                <w:szCs w:val="18"/>
                <w:lang w:val="en-GB"/>
              </w:rPr>
            </w:pPr>
            <w:r>
              <w:rPr>
                <w:rFonts w:cs="Arial"/>
                <w:szCs w:val="18"/>
                <w:lang w:val="en-GB"/>
              </w:rPr>
              <w:t>6.46*10</w:t>
            </w:r>
            <w:r w:rsidRPr="00776138">
              <w:rPr>
                <w:rFonts w:cs="Arial"/>
                <w:szCs w:val="18"/>
                <w:vertAlign w:val="superscript"/>
                <w:lang w:val="en-GB"/>
              </w:rPr>
              <w:t>-5</w:t>
            </w:r>
          </w:p>
        </w:tc>
        <w:tc>
          <w:tcPr>
            <w:tcW w:w="1134" w:type="dxa"/>
            <w:tcBorders>
              <w:top w:val="nil"/>
            </w:tcBorders>
            <w:shd w:val="clear" w:color="auto" w:fill="FFFFFF"/>
          </w:tcPr>
          <w:p w14:paraId="510094B0" w14:textId="55F93116" w:rsidR="00F24C36" w:rsidRPr="00B57B36" w:rsidRDefault="003B7FE4" w:rsidP="00A037A1">
            <w:pPr>
              <w:pStyle w:val="CETBodytext"/>
              <w:ind w:right="-1"/>
              <w:rPr>
                <w:rFonts w:cs="Arial"/>
                <w:szCs w:val="18"/>
                <w:lang w:val="en-GB"/>
              </w:rPr>
            </w:pPr>
            <w:r>
              <w:rPr>
                <w:rFonts w:cs="Arial"/>
                <w:szCs w:val="18"/>
                <w:lang w:val="en-GB"/>
              </w:rPr>
              <w:t>7.13*10</w:t>
            </w:r>
            <w:r w:rsidRPr="00776138">
              <w:rPr>
                <w:rFonts w:cs="Arial"/>
                <w:szCs w:val="18"/>
                <w:vertAlign w:val="superscript"/>
                <w:lang w:val="en-GB"/>
              </w:rPr>
              <w:t>-5</w:t>
            </w:r>
          </w:p>
        </w:tc>
      </w:tr>
    </w:tbl>
    <w:p w14:paraId="272E0910" w14:textId="4CFE25D5" w:rsidR="004E3C24" w:rsidRDefault="004E3C24" w:rsidP="003A4C81">
      <w:pPr>
        <w:pStyle w:val="CETTabletitle"/>
      </w:pPr>
      <w:r>
        <w:t>Table 4:Gas composition N</w:t>
      </w:r>
      <w:r w:rsidRPr="003C0754">
        <w:rPr>
          <w:vertAlign w:val="subscript"/>
        </w:rPr>
        <w:t>2</w:t>
      </w:r>
      <w:r>
        <w:t xml:space="preserve"> free basis for </w:t>
      </w:r>
      <w:r w:rsidRPr="004E3C24">
        <w:t>LaNiO</w:t>
      </w:r>
      <w:r w:rsidRPr="003C0754">
        <w:rPr>
          <w:vertAlign w:val="subscript"/>
        </w:rPr>
        <w:t>3</w:t>
      </w:r>
      <w:r w:rsidRPr="004E3C24">
        <w:t xml:space="preserve"> DES</w:t>
      </w:r>
      <w:r>
        <w:t xml:space="preserve"> + 5% Ru and </w:t>
      </w:r>
      <w:r w:rsidRPr="004E3C24">
        <w:t>LaNiO</w:t>
      </w:r>
      <w:r w:rsidRPr="003C0754">
        <w:rPr>
          <w:vertAlign w:val="subscript"/>
        </w:rPr>
        <w:t>3</w:t>
      </w:r>
      <w:r w:rsidRPr="004E3C24">
        <w:t xml:space="preserve"> H</w:t>
      </w:r>
      <w:r w:rsidRPr="003C0754">
        <w:rPr>
          <w:vertAlign w:val="subscript"/>
        </w:rPr>
        <w:t>2</w:t>
      </w:r>
      <w:r w:rsidRPr="004E3C24">
        <w:t>O</w:t>
      </w:r>
      <w:r>
        <w:t xml:space="preserve"> + 5% Ru</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F24C36" w:rsidRPr="00B57B36" w14:paraId="54F44A6C" w14:textId="77777777" w:rsidTr="00A037A1">
        <w:tc>
          <w:tcPr>
            <w:tcW w:w="1134" w:type="dxa"/>
            <w:tcBorders>
              <w:top w:val="single" w:sz="12" w:space="0" w:color="008000"/>
              <w:bottom w:val="single" w:sz="6" w:space="0" w:color="008000"/>
            </w:tcBorders>
            <w:shd w:val="clear" w:color="auto" w:fill="FFFFFF"/>
          </w:tcPr>
          <w:p w14:paraId="2D88E585" w14:textId="77777777" w:rsidR="00F24C36" w:rsidRPr="00B57B36" w:rsidRDefault="00F24C36" w:rsidP="00A037A1">
            <w:pPr>
              <w:pStyle w:val="CETBodytext"/>
              <w:rPr>
                <w:lang w:val="en-GB"/>
              </w:rPr>
            </w:pPr>
          </w:p>
        </w:tc>
        <w:tc>
          <w:tcPr>
            <w:tcW w:w="3402" w:type="dxa"/>
            <w:gridSpan w:val="3"/>
            <w:tcBorders>
              <w:top w:val="single" w:sz="12" w:space="0" w:color="008000"/>
              <w:bottom w:val="single" w:sz="6" w:space="0" w:color="008000"/>
            </w:tcBorders>
            <w:shd w:val="clear" w:color="auto" w:fill="FFFFFF"/>
          </w:tcPr>
          <w:p w14:paraId="77D9EAC4" w14:textId="206C4E17" w:rsidR="00F24C36" w:rsidRPr="00B57B36" w:rsidRDefault="00F24C36" w:rsidP="00A037A1">
            <w:pPr>
              <w:pStyle w:val="CETBodytext"/>
              <w:ind w:right="-1"/>
              <w:rPr>
                <w:rFonts w:cs="Arial"/>
                <w:szCs w:val="18"/>
                <w:lang w:val="en-GB"/>
              </w:rPr>
            </w:pPr>
            <w:r w:rsidRPr="00FD5A99">
              <w:rPr>
                <w:rFonts w:ascii="Calibri" w:hAnsi="Calibri" w:cs="Calibri"/>
                <w:b/>
                <w:color w:val="000000"/>
                <w:lang w:eastAsia="it-IT"/>
              </w:rPr>
              <w:t>LaNiO3 DES +5% Ru</w:t>
            </w:r>
          </w:p>
        </w:tc>
        <w:tc>
          <w:tcPr>
            <w:tcW w:w="3402" w:type="dxa"/>
            <w:gridSpan w:val="3"/>
            <w:tcBorders>
              <w:top w:val="single" w:sz="12" w:space="0" w:color="008000"/>
              <w:bottom w:val="single" w:sz="6" w:space="0" w:color="008000"/>
            </w:tcBorders>
            <w:shd w:val="clear" w:color="auto" w:fill="FFFFFF"/>
          </w:tcPr>
          <w:p w14:paraId="7E105E08" w14:textId="65F679BD" w:rsidR="00F24C36" w:rsidRPr="00B57B36" w:rsidRDefault="00F24C36" w:rsidP="003C0754">
            <w:pPr>
              <w:pStyle w:val="CETBodytext"/>
              <w:ind w:right="-1"/>
              <w:rPr>
                <w:rFonts w:cs="Arial"/>
                <w:szCs w:val="18"/>
                <w:lang w:val="en-GB"/>
              </w:rPr>
            </w:pPr>
            <w:r w:rsidRPr="00FD5A99">
              <w:rPr>
                <w:rFonts w:ascii="Calibri" w:hAnsi="Calibri" w:cs="Calibri"/>
                <w:b/>
                <w:color w:val="000000"/>
                <w:lang w:eastAsia="it-IT"/>
              </w:rPr>
              <w:t xml:space="preserve">LaNiO3 </w:t>
            </w:r>
            <w:r w:rsidR="003C0754">
              <w:rPr>
                <w:rFonts w:ascii="Calibri" w:hAnsi="Calibri" w:cs="Calibri"/>
                <w:b/>
                <w:color w:val="000000"/>
                <w:lang w:eastAsia="it-IT"/>
              </w:rPr>
              <w:t>H2O</w:t>
            </w:r>
            <w:r w:rsidRPr="00FD5A99">
              <w:rPr>
                <w:rFonts w:ascii="Calibri" w:hAnsi="Calibri" w:cs="Calibri"/>
                <w:b/>
                <w:color w:val="000000"/>
                <w:lang w:eastAsia="it-IT"/>
              </w:rPr>
              <w:t xml:space="preserve"> +5% Ru</w:t>
            </w:r>
          </w:p>
        </w:tc>
      </w:tr>
      <w:tr w:rsidR="00F24C36" w:rsidRPr="00B57B36" w14:paraId="09922B96" w14:textId="77777777" w:rsidTr="00A037A1">
        <w:tc>
          <w:tcPr>
            <w:tcW w:w="1134" w:type="dxa"/>
            <w:tcBorders>
              <w:top w:val="single" w:sz="6" w:space="0" w:color="008000"/>
              <w:bottom w:val="single" w:sz="4" w:space="0" w:color="auto"/>
            </w:tcBorders>
            <w:shd w:val="clear" w:color="auto" w:fill="FFFFFF"/>
          </w:tcPr>
          <w:p w14:paraId="3AD7F244" w14:textId="77777777" w:rsidR="00F24C36" w:rsidRPr="00B57B36" w:rsidRDefault="00F24C36" w:rsidP="00A037A1">
            <w:pPr>
              <w:pStyle w:val="CETBodytext"/>
              <w:rPr>
                <w:lang w:val="en-GB"/>
              </w:rPr>
            </w:pPr>
            <w:r>
              <w:rPr>
                <w:lang w:val="en-GB"/>
              </w:rPr>
              <w:t>T (°C)</w:t>
            </w:r>
            <w:r w:rsidRPr="00B57B36">
              <w:rPr>
                <w:lang w:val="en-GB"/>
              </w:rPr>
              <w:t xml:space="preserve"> </w:t>
            </w:r>
          </w:p>
        </w:tc>
        <w:tc>
          <w:tcPr>
            <w:tcW w:w="1134" w:type="dxa"/>
            <w:tcBorders>
              <w:top w:val="single" w:sz="6" w:space="0" w:color="008000"/>
              <w:bottom w:val="single" w:sz="4" w:space="0" w:color="auto"/>
            </w:tcBorders>
            <w:shd w:val="clear" w:color="auto" w:fill="FFFFFF"/>
          </w:tcPr>
          <w:p w14:paraId="0975FD2A" w14:textId="77777777" w:rsidR="00F24C36" w:rsidRPr="00B57B36" w:rsidRDefault="00F24C36" w:rsidP="00A037A1">
            <w:pPr>
              <w:pStyle w:val="CETBodytext"/>
              <w:rPr>
                <w:lang w:val="en-GB"/>
              </w:rPr>
            </w:pPr>
            <w:r>
              <w:rPr>
                <w:lang w:val="en-GB"/>
              </w:rPr>
              <w:t>500</w:t>
            </w:r>
          </w:p>
        </w:tc>
        <w:tc>
          <w:tcPr>
            <w:tcW w:w="1134" w:type="dxa"/>
            <w:tcBorders>
              <w:top w:val="single" w:sz="6" w:space="0" w:color="008000"/>
              <w:bottom w:val="single" w:sz="4" w:space="0" w:color="auto"/>
            </w:tcBorders>
            <w:shd w:val="clear" w:color="auto" w:fill="FFFFFF"/>
          </w:tcPr>
          <w:p w14:paraId="0E7DDB4C" w14:textId="77777777" w:rsidR="00F24C36" w:rsidRPr="00B57B36" w:rsidRDefault="00F24C36" w:rsidP="00A037A1">
            <w:pPr>
              <w:pStyle w:val="CETBodytext"/>
              <w:rPr>
                <w:lang w:val="en-GB"/>
              </w:rPr>
            </w:pPr>
            <w:r>
              <w:rPr>
                <w:lang w:val="en-GB"/>
              </w:rPr>
              <w:t>600</w:t>
            </w:r>
          </w:p>
        </w:tc>
        <w:tc>
          <w:tcPr>
            <w:tcW w:w="1134" w:type="dxa"/>
            <w:tcBorders>
              <w:top w:val="single" w:sz="6" w:space="0" w:color="008000"/>
              <w:bottom w:val="single" w:sz="4" w:space="0" w:color="auto"/>
            </w:tcBorders>
            <w:shd w:val="clear" w:color="auto" w:fill="FFFFFF"/>
          </w:tcPr>
          <w:p w14:paraId="0D52BE71" w14:textId="77777777" w:rsidR="00F24C36" w:rsidRPr="00B57B36" w:rsidRDefault="00F24C36" w:rsidP="00A037A1">
            <w:pPr>
              <w:pStyle w:val="CETBodytext"/>
              <w:ind w:right="-1"/>
              <w:rPr>
                <w:rFonts w:cs="Arial"/>
                <w:szCs w:val="18"/>
                <w:lang w:val="en-GB"/>
              </w:rPr>
            </w:pPr>
            <w:r>
              <w:rPr>
                <w:rFonts w:cs="Arial"/>
                <w:szCs w:val="18"/>
                <w:lang w:val="en-GB"/>
              </w:rPr>
              <w:t>700</w:t>
            </w:r>
          </w:p>
        </w:tc>
        <w:tc>
          <w:tcPr>
            <w:tcW w:w="1134" w:type="dxa"/>
            <w:tcBorders>
              <w:top w:val="single" w:sz="6" w:space="0" w:color="008000"/>
              <w:bottom w:val="single" w:sz="4" w:space="0" w:color="auto"/>
            </w:tcBorders>
            <w:shd w:val="clear" w:color="auto" w:fill="FFFFFF"/>
          </w:tcPr>
          <w:p w14:paraId="3A60A1A2" w14:textId="77777777" w:rsidR="00F24C36" w:rsidRPr="00B57B36" w:rsidRDefault="00F24C36" w:rsidP="00A037A1">
            <w:pPr>
              <w:pStyle w:val="CETBodytext"/>
              <w:ind w:right="-1"/>
              <w:rPr>
                <w:rFonts w:cs="Arial"/>
                <w:szCs w:val="18"/>
                <w:lang w:val="en-GB"/>
              </w:rPr>
            </w:pPr>
            <w:r>
              <w:rPr>
                <w:rFonts w:cs="Arial"/>
                <w:szCs w:val="18"/>
                <w:lang w:val="en-GB"/>
              </w:rPr>
              <w:t>500</w:t>
            </w:r>
          </w:p>
        </w:tc>
        <w:tc>
          <w:tcPr>
            <w:tcW w:w="1134" w:type="dxa"/>
            <w:tcBorders>
              <w:top w:val="single" w:sz="6" w:space="0" w:color="008000"/>
              <w:bottom w:val="single" w:sz="4" w:space="0" w:color="auto"/>
            </w:tcBorders>
            <w:shd w:val="clear" w:color="auto" w:fill="FFFFFF"/>
          </w:tcPr>
          <w:p w14:paraId="2825A09D" w14:textId="77777777" w:rsidR="00F24C36" w:rsidRPr="00B57B36" w:rsidRDefault="00F24C36" w:rsidP="00A037A1">
            <w:pPr>
              <w:pStyle w:val="CETBodytext"/>
              <w:ind w:right="-1"/>
              <w:rPr>
                <w:rFonts w:cs="Arial"/>
                <w:szCs w:val="18"/>
                <w:lang w:val="en-GB"/>
              </w:rPr>
            </w:pPr>
            <w:r>
              <w:rPr>
                <w:rFonts w:cs="Arial"/>
                <w:szCs w:val="18"/>
                <w:lang w:val="en-GB"/>
              </w:rPr>
              <w:t>600</w:t>
            </w:r>
          </w:p>
        </w:tc>
        <w:tc>
          <w:tcPr>
            <w:tcW w:w="1134" w:type="dxa"/>
            <w:tcBorders>
              <w:top w:val="single" w:sz="6" w:space="0" w:color="008000"/>
              <w:bottom w:val="single" w:sz="4" w:space="0" w:color="auto"/>
            </w:tcBorders>
            <w:shd w:val="clear" w:color="auto" w:fill="FFFFFF"/>
          </w:tcPr>
          <w:p w14:paraId="468F7BEE" w14:textId="77777777" w:rsidR="00F24C36" w:rsidRPr="00B57B36" w:rsidRDefault="00F24C36" w:rsidP="00A037A1">
            <w:pPr>
              <w:pStyle w:val="CETBodytext"/>
              <w:ind w:right="-1"/>
              <w:rPr>
                <w:rFonts w:cs="Arial"/>
                <w:szCs w:val="18"/>
                <w:lang w:val="en-GB"/>
              </w:rPr>
            </w:pPr>
            <w:r>
              <w:rPr>
                <w:rFonts w:cs="Arial"/>
                <w:szCs w:val="18"/>
                <w:lang w:val="en-GB"/>
              </w:rPr>
              <w:t>700</w:t>
            </w:r>
          </w:p>
        </w:tc>
      </w:tr>
      <w:tr w:rsidR="00F24C36" w:rsidRPr="00B57B36" w14:paraId="29AA8AAD" w14:textId="77777777" w:rsidTr="00A037A1">
        <w:tc>
          <w:tcPr>
            <w:tcW w:w="1134" w:type="dxa"/>
            <w:tcBorders>
              <w:top w:val="single" w:sz="6" w:space="0" w:color="008000"/>
              <w:bottom w:val="nil"/>
            </w:tcBorders>
            <w:shd w:val="clear" w:color="auto" w:fill="FFFFFF"/>
          </w:tcPr>
          <w:p w14:paraId="479ECFF7" w14:textId="77777777" w:rsidR="00F24C36" w:rsidRDefault="00F24C36" w:rsidP="00A037A1">
            <w:pPr>
              <w:pStyle w:val="CETBodytext"/>
              <w:rPr>
                <w:lang w:val="en-GB"/>
              </w:rPr>
            </w:pPr>
            <w:r>
              <w:rPr>
                <w:lang w:val="en-GB"/>
              </w:rPr>
              <w:t xml:space="preserve">H2 % </w:t>
            </w:r>
            <w:proofErr w:type="spellStart"/>
            <w:r>
              <w:rPr>
                <w:lang w:val="en-GB"/>
              </w:rPr>
              <w:t>vol</w:t>
            </w:r>
            <w:proofErr w:type="spellEnd"/>
          </w:p>
        </w:tc>
        <w:tc>
          <w:tcPr>
            <w:tcW w:w="1134" w:type="dxa"/>
            <w:tcBorders>
              <w:top w:val="single" w:sz="6" w:space="0" w:color="008000"/>
              <w:bottom w:val="nil"/>
            </w:tcBorders>
            <w:shd w:val="clear" w:color="auto" w:fill="FFFFFF"/>
          </w:tcPr>
          <w:p w14:paraId="329D1298" w14:textId="4E6DEAB3" w:rsidR="00F24C36" w:rsidRDefault="003B7FE4" w:rsidP="00A037A1">
            <w:pPr>
              <w:pStyle w:val="CETBodytext"/>
              <w:rPr>
                <w:lang w:val="en-GB"/>
              </w:rPr>
            </w:pPr>
            <w:r>
              <w:rPr>
                <w:lang w:val="en-GB"/>
              </w:rPr>
              <w:t>66.7</w:t>
            </w:r>
          </w:p>
        </w:tc>
        <w:tc>
          <w:tcPr>
            <w:tcW w:w="1134" w:type="dxa"/>
            <w:tcBorders>
              <w:top w:val="single" w:sz="6" w:space="0" w:color="008000"/>
              <w:bottom w:val="nil"/>
            </w:tcBorders>
            <w:shd w:val="clear" w:color="auto" w:fill="FFFFFF"/>
          </w:tcPr>
          <w:p w14:paraId="4EDF1F38" w14:textId="3DC050CC" w:rsidR="00F24C36" w:rsidRDefault="003B7FE4" w:rsidP="00A037A1">
            <w:pPr>
              <w:pStyle w:val="CETBodytext"/>
              <w:rPr>
                <w:lang w:val="en-GB"/>
              </w:rPr>
            </w:pPr>
            <w:r>
              <w:rPr>
                <w:lang w:val="en-GB"/>
              </w:rPr>
              <w:t>70.5</w:t>
            </w:r>
          </w:p>
        </w:tc>
        <w:tc>
          <w:tcPr>
            <w:tcW w:w="1134" w:type="dxa"/>
            <w:tcBorders>
              <w:top w:val="single" w:sz="6" w:space="0" w:color="008000"/>
              <w:bottom w:val="nil"/>
            </w:tcBorders>
            <w:shd w:val="clear" w:color="auto" w:fill="FFFFFF"/>
          </w:tcPr>
          <w:p w14:paraId="60BD848E" w14:textId="2C9500E0" w:rsidR="00F24C36" w:rsidRDefault="00727365" w:rsidP="00A037A1">
            <w:pPr>
              <w:pStyle w:val="CETBodytext"/>
              <w:ind w:right="-1"/>
              <w:rPr>
                <w:rFonts w:cs="Arial"/>
                <w:szCs w:val="18"/>
                <w:lang w:val="en-GB"/>
              </w:rPr>
            </w:pPr>
            <w:r>
              <w:rPr>
                <w:rFonts w:cs="Arial"/>
                <w:szCs w:val="18"/>
                <w:lang w:val="en-GB"/>
              </w:rPr>
              <w:t>71.8</w:t>
            </w:r>
          </w:p>
        </w:tc>
        <w:tc>
          <w:tcPr>
            <w:tcW w:w="1134" w:type="dxa"/>
            <w:tcBorders>
              <w:top w:val="single" w:sz="6" w:space="0" w:color="008000"/>
              <w:bottom w:val="nil"/>
            </w:tcBorders>
            <w:shd w:val="clear" w:color="auto" w:fill="FFFFFF"/>
          </w:tcPr>
          <w:p w14:paraId="619313ED" w14:textId="4005CBF3" w:rsidR="00F24C36" w:rsidRDefault="00727365" w:rsidP="00A037A1">
            <w:pPr>
              <w:pStyle w:val="CETBodytext"/>
              <w:ind w:right="-1"/>
              <w:rPr>
                <w:rFonts w:cs="Arial"/>
                <w:szCs w:val="18"/>
                <w:lang w:val="en-GB"/>
              </w:rPr>
            </w:pPr>
            <w:r>
              <w:rPr>
                <w:rFonts w:cs="Arial"/>
                <w:szCs w:val="18"/>
                <w:lang w:val="en-GB"/>
              </w:rPr>
              <w:t>65.5</w:t>
            </w:r>
          </w:p>
        </w:tc>
        <w:tc>
          <w:tcPr>
            <w:tcW w:w="1134" w:type="dxa"/>
            <w:tcBorders>
              <w:top w:val="single" w:sz="6" w:space="0" w:color="008000"/>
              <w:bottom w:val="nil"/>
            </w:tcBorders>
            <w:shd w:val="clear" w:color="auto" w:fill="FFFFFF"/>
          </w:tcPr>
          <w:p w14:paraId="62704ADB" w14:textId="41673BA4" w:rsidR="00F24C36" w:rsidRDefault="004E3C24" w:rsidP="00A037A1">
            <w:pPr>
              <w:pStyle w:val="CETBodytext"/>
              <w:ind w:right="-1"/>
              <w:rPr>
                <w:rFonts w:cs="Arial"/>
                <w:szCs w:val="18"/>
                <w:lang w:val="en-GB"/>
              </w:rPr>
            </w:pPr>
            <w:r>
              <w:rPr>
                <w:rFonts w:cs="Arial"/>
                <w:szCs w:val="18"/>
                <w:lang w:val="en-GB"/>
              </w:rPr>
              <w:t>68.7</w:t>
            </w:r>
          </w:p>
        </w:tc>
        <w:tc>
          <w:tcPr>
            <w:tcW w:w="1134" w:type="dxa"/>
            <w:tcBorders>
              <w:top w:val="single" w:sz="6" w:space="0" w:color="008000"/>
              <w:bottom w:val="nil"/>
            </w:tcBorders>
            <w:shd w:val="clear" w:color="auto" w:fill="FFFFFF"/>
          </w:tcPr>
          <w:p w14:paraId="08F492A5" w14:textId="509A6C60" w:rsidR="00F24C36" w:rsidRDefault="004E3C24" w:rsidP="00A037A1">
            <w:pPr>
              <w:pStyle w:val="CETBodytext"/>
              <w:ind w:right="-1"/>
              <w:rPr>
                <w:rFonts w:cs="Arial"/>
                <w:szCs w:val="18"/>
                <w:lang w:val="en-GB"/>
              </w:rPr>
            </w:pPr>
            <w:r>
              <w:rPr>
                <w:rFonts w:cs="Arial"/>
                <w:szCs w:val="18"/>
                <w:lang w:val="en-GB"/>
              </w:rPr>
              <w:t>70.9</w:t>
            </w:r>
          </w:p>
        </w:tc>
      </w:tr>
      <w:tr w:rsidR="00F24C36" w:rsidRPr="00B57B36" w14:paraId="6577D8C2" w14:textId="77777777" w:rsidTr="00A037A1">
        <w:tc>
          <w:tcPr>
            <w:tcW w:w="1134" w:type="dxa"/>
            <w:tcBorders>
              <w:top w:val="nil"/>
              <w:bottom w:val="nil"/>
            </w:tcBorders>
            <w:shd w:val="clear" w:color="auto" w:fill="FFFFFF"/>
          </w:tcPr>
          <w:p w14:paraId="0E96D44F" w14:textId="77777777" w:rsidR="00F24C36" w:rsidRDefault="00F24C36" w:rsidP="00A037A1">
            <w:pPr>
              <w:pStyle w:val="CETBodytext"/>
              <w:rPr>
                <w:lang w:val="en-GB"/>
              </w:rPr>
            </w:pPr>
            <w:r>
              <w:rPr>
                <w:lang w:val="en-GB"/>
              </w:rPr>
              <w:t xml:space="preserve">CO % </w:t>
            </w:r>
            <w:proofErr w:type="spellStart"/>
            <w:r>
              <w:rPr>
                <w:lang w:val="en-GB"/>
              </w:rPr>
              <w:t>vol</w:t>
            </w:r>
            <w:proofErr w:type="spellEnd"/>
          </w:p>
        </w:tc>
        <w:tc>
          <w:tcPr>
            <w:tcW w:w="1134" w:type="dxa"/>
            <w:tcBorders>
              <w:top w:val="nil"/>
              <w:bottom w:val="nil"/>
            </w:tcBorders>
            <w:shd w:val="clear" w:color="auto" w:fill="FFFFFF"/>
          </w:tcPr>
          <w:p w14:paraId="4B5B9CC9" w14:textId="23BCBE23" w:rsidR="00F24C36" w:rsidRDefault="004E3C24" w:rsidP="00A037A1">
            <w:pPr>
              <w:pStyle w:val="CETBodytext"/>
              <w:rPr>
                <w:lang w:val="en-GB"/>
              </w:rPr>
            </w:pPr>
            <w:r>
              <w:rPr>
                <w:lang w:val="en-GB"/>
              </w:rPr>
              <w:t>5.4</w:t>
            </w:r>
          </w:p>
        </w:tc>
        <w:tc>
          <w:tcPr>
            <w:tcW w:w="1134" w:type="dxa"/>
            <w:tcBorders>
              <w:top w:val="nil"/>
              <w:bottom w:val="nil"/>
            </w:tcBorders>
            <w:shd w:val="clear" w:color="auto" w:fill="FFFFFF"/>
          </w:tcPr>
          <w:p w14:paraId="149AACCE" w14:textId="12DF64AE" w:rsidR="00F24C36" w:rsidRDefault="004E3C24" w:rsidP="00A037A1">
            <w:pPr>
              <w:pStyle w:val="CETBodytext"/>
              <w:rPr>
                <w:lang w:val="en-GB"/>
              </w:rPr>
            </w:pPr>
            <w:r>
              <w:rPr>
                <w:lang w:val="en-GB"/>
              </w:rPr>
              <w:t>6</w:t>
            </w:r>
            <w:r w:rsidR="003B7FE4">
              <w:rPr>
                <w:lang w:val="en-GB"/>
              </w:rPr>
              <w:t>.7</w:t>
            </w:r>
          </w:p>
        </w:tc>
        <w:tc>
          <w:tcPr>
            <w:tcW w:w="1134" w:type="dxa"/>
            <w:tcBorders>
              <w:top w:val="nil"/>
              <w:bottom w:val="nil"/>
            </w:tcBorders>
            <w:shd w:val="clear" w:color="auto" w:fill="FFFFFF"/>
          </w:tcPr>
          <w:p w14:paraId="0CE40FE3" w14:textId="238CB50C" w:rsidR="00F24C36" w:rsidRDefault="004E3C24" w:rsidP="00A037A1">
            <w:pPr>
              <w:pStyle w:val="CETBodytext"/>
              <w:ind w:right="-1"/>
              <w:rPr>
                <w:rFonts w:cs="Arial"/>
                <w:szCs w:val="18"/>
                <w:lang w:val="en-GB"/>
              </w:rPr>
            </w:pPr>
            <w:r>
              <w:rPr>
                <w:rFonts w:cs="Arial"/>
                <w:szCs w:val="18"/>
                <w:lang w:val="en-GB"/>
              </w:rPr>
              <w:t>7</w:t>
            </w:r>
            <w:r w:rsidR="00727365">
              <w:rPr>
                <w:rFonts w:cs="Arial"/>
                <w:szCs w:val="18"/>
                <w:lang w:val="en-GB"/>
              </w:rPr>
              <w:t>.5</w:t>
            </w:r>
          </w:p>
        </w:tc>
        <w:tc>
          <w:tcPr>
            <w:tcW w:w="1134" w:type="dxa"/>
            <w:tcBorders>
              <w:top w:val="nil"/>
              <w:bottom w:val="nil"/>
            </w:tcBorders>
            <w:shd w:val="clear" w:color="auto" w:fill="FFFFFF"/>
          </w:tcPr>
          <w:p w14:paraId="24424205" w14:textId="04FB1C46" w:rsidR="00F24C36" w:rsidRDefault="004E3C24" w:rsidP="00A037A1">
            <w:pPr>
              <w:pStyle w:val="CETBodytext"/>
              <w:ind w:right="-1"/>
              <w:rPr>
                <w:rFonts w:cs="Arial"/>
                <w:szCs w:val="18"/>
                <w:lang w:val="en-GB"/>
              </w:rPr>
            </w:pPr>
            <w:r>
              <w:rPr>
                <w:rFonts w:cs="Arial"/>
                <w:szCs w:val="18"/>
                <w:lang w:val="en-GB"/>
              </w:rPr>
              <w:t>5</w:t>
            </w:r>
            <w:r w:rsidR="00D21449">
              <w:rPr>
                <w:rFonts w:cs="Arial"/>
                <w:szCs w:val="18"/>
                <w:lang w:val="en-GB"/>
              </w:rPr>
              <w:t>.9</w:t>
            </w:r>
          </w:p>
        </w:tc>
        <w:tc>
          <w:tcPr>
            <w:tcW w:w="1134" w:type="dxa"/>
            <w:tcBorders>
              <w:top w:val="nil"/>
              <w:bottom w:val="nil"/>
            </w:tcBorders>
            <w:shd w:val="clear" w:color="auto" w:fill="FFFFFF"/>
          </w:tcPr>
          <w:p w14:paraId="1CEB8965" w14:textId="5393779E" w:rsidR="00F24C36" w:rsidRDefault="00D21449" w:rsidP="00A037A1">
            <w:pPr>
              <w:pStyle w:val="CETBodytext"/>
              <w:ind w:right="-1"/>
              <w:rPr>
                <w:rFonts w:cs="Arial"/>
                <w:szCs w:val="18"/>
                <w:lang w:val="en-GB"/>
              </w:rPr>
            </w:pPr>
            <w:r>
              <w:rPr>
                <w:rFonts w:cs="Arial"/>
                <w:szCs w:val="18"/>
                <w:lang w:val="en-GB"/>
              </w:rPr>
              <w:t>6.6</w:t>
            </w:r>
          </w:p>
        </w:tc>
        <w:tc>
          <w:tcPr>
            <w:tcW w:w="1134" w:type="dxa"/>
            <w:tcBorders>
              <w:top w:val="nil"/>
              <w:bottom w:val="nil"/>
            </w:tcBorders>
            <w:shd w:val="clear" w:color="auto" w:fill="FFFFFF"/>
          </w:tcPr>
          <w:p w14:paraId="1302976C" w14:textId="2A2815F9" w:rsidR="00F24C36" w:rsidRDefault="00D21449" w:rsidP="00A037A1">
            <w:pPr>
              <w:pStyle w:val="CETBodytext"/>
              <w:ind w:right="-1"/>
              <w:rPr>
                <w:rFonts w:cs="Arial"/>
                <w:szCs w:val="18"/>
                <w:lang w:val="en-GB"/>
              </w:rPr>
            </w:pPr>
            <w:r>
              <w:rPr>
                <w:rFonts w:cs="Arial"/>
                <w:szCs w:val="18"/>
                <w:lang w:val="en-GB"/>
              </w:rPr>
              <w:t>7.7</w:t>
            </w:r>
          </w:p>
        </w:tc>
      </w:tr>
      <w:tr w:rsidR="00F24C36" w:rsidRPr="00B57B36" w14:paraId="1437BF06" w14:textId="77777777" w:rsidTr="00A037A1">
        <w:tc>
          <w:tcPr>
            <w:tcW w:w="1134" w:type="dxa"/>
            <w:tcBorders>
              <w:top w:val="nil"/>
              <w:bottom w:val="nil"/>
            </w:tcBorders>
            <w:shd w:val="clear" w:color="auto" w:fill="FFFFFF"/>
          </w:tcPr>
          <w:p w14:paraId="41C3721A" w14:textId="77777777" w:rsidR="00F24C36" w:rsidRDefault="00F24C36" w:rsidP="00A037A1">
            <w:pPr>
              <w:pStyle w:val="CETBodytext"/>
              <w:rPr>
                <w:lang w:val="en-GB"/>
              </w:rPr>
            </w:pPr>
            <w:r>
              <w:rPr>
                <w:lang w:val="en-GB"/>
              </w:rPr>
              <w:t>CO2 %</w:t>
            </w:r>
            <w:proofErr w:type="spellStart"/>
            <w:r>
              <w:rPr>
                <w:lang w:val="en-GB"/>
              </w:rPr>
              <w:t>vol</w:t>
            </w:r>
            <w:proofErr w:type="spellEnd"/>
          </w:p>
        </w:tc>
        <w:tc>
          <w:tcPr>
            <w:tcW w:w="1134" w:type="dxa"/>
            <w:tcBorders>
              <w:top w:val="nil"/>
              <w:bottom w:val="nil"/>
            </w:tcBorders>
            <w:shd w:val="clear" w:color="auto" w:fill="FFFFFF"/>
          </w:tcPr>
          <w:p w14:paraId="01FD314E" w14:textId="511C1259" w:rsidR="00F24C36" w:rsidRDefault="004E3C24" w:rsidP="00A037A1">
            <w:pPr>
              <w:pStyle w:val="CETBodytext"/>
              <w:rPr>
                <w:lang w:val="en-GB"/>
              </w:rPr>
            </w:pPr>
            <w:r>
              <w:rPr>
                <w:lang w:val="en-GB"/>
              </w:rPr>
              <w:t>25.3</w:t>
            </w:r>
          </w:p>
        </w:tc>
        <w:tc>
          <w:tcPr>
            <w:tcW w:w="1134" w:type="dxa"/>
            <w:tcBorders>
              <w:top w:val="nil"/>
              <w:bottom w:val="nil"/>
            </w:tcBorders>
            <w:shd w:val="clear" w:color="auto" w:fill="FFFFFF"/>
          </w:tcPr>
          <w:p w14:paraId="6959395A" w14:textId="1CB68920" w:rsidR="00F24C36" w:rsidRDefault="004E3C24" w:rsidP="00A037A1">
            <w:pPr>
              <w:pStyle w:val="CETBodytext"/>
              <w:rPr>
                <w:lang w:val="en-GB"/>
              </w:rPr>
            </w:pPr>
            <w:r>
              <w:rPr>
                <w:lang w:val="en-GB"/>
              </w:rPr>
              <w:t>21.3</w:t>
            </w:r>
          </w:p>
        </w:tc>
        <w:tc>
          <w:tcPr>
            <w:tcW w:w="1134" w:type="dxa"/>
            <w:tcBorders>
              <w:top w:val="nil"/>
              <w:bottom w:val="nil"/>
            </w:tcBorders>
            <w:shd w:val="clear" w:color="auto" w:fill="FFFFFF"/>
          </w:tcPr>
          <w:p w14:paraId="1EFA1E7F" w14:textId="4952FEFA" w:rsidR="00F24C36" w:rsidRDefault="004E3C24" w:rsidP="00A037A1">
            <w:pPr>
              <w:pStyle w:val="CETBodytext"/>
              <w:ind w:right="-1"/>
              <w:rPr>
                <w:rFonts w:cs="Arial"/>
                <w:szCs w:val="18"/>
                <w:lang w:val="en-GB"/>
              </w:rPr>
            </w:pPr>
            <w:r>
              <w:rPr>
                <w:rFonts w:cs="Arial"/>
                <w:szCs w:val="18"/>
                <w:lang w:val="en-GB"/>
              </w:rPr>
              <w:t>19.8</w:t>
            </w:r>
          </w:p>
        </w:tc>
        <w:tc>
          <w:tcPr>
            <w:tcW w:w="1134" w:type="dxa"/>
            <w:tcBorders>
              <w:top w:val="nil"/>
              <w:bottom w:val="nil"/>
            </w:tcBorders>
            <w:shd w:val="clear" w:color="auto" w:fill="FFFFFF"/>
          </w:tcPr>
          <w:p w14:paraId="7C70AEB9" w14:textId="1024FB65" w:rsidR="00F24C36" w:rsidRDefault="00D21449" w:rsidP="00A037A1">
            <w:pPr>
              <w:pStyle w:val="CETBodytext"/>
              <w:ind w:right="-1"/>
              <w:rPr>
                <w:rFonts w:cs="Arial"/>
                <w:szCs w:val="18"/>
                <w:lang w:val="en-GB"/>
              </w:rPr>
            </w:pPr>
            <w:r>
              <w:rPr>
                <w:rFonts w:cs="Arial"/>
                <w:szCs w:val="18"/>
                <w:lang w:val="en-GB"/>
              </w:rPr>
              <w:t>25</w:t>
            </w:r>
            <w:r w:rsidR="00727365">
              <w:rPr>
                <w:rFonts w:cs="Arial"/>
                <w:szCs w:val="18"/>
                <w:lang w:val="en-GB"/>
              </w:rPr>
              <w:t>.7</w:t>
            </w:r>
          </w:p>
        </w:tc>
        <w:tc>
          <w:tcPr>
            <w:tcW w:w="1134" w:type="dxa"/>
            <w:tcBorders>
              <w:top w:val="nil"/>
              <w:bottom w:val="nil"/>
            </w:tcBorders>
            <w:shd w:val="clear" w:color="auto" w:fill="FFFFFF"/>
          </w:tcPr>
          <w:p w14:paraId="09EBDF14" w14:textId="24E23738" w:rsidR="00F24C36" w:rsidRDefault="00D21449" w:rsidP="00A037A1">
            <w:pPr>
              <w:pStyle w:val="CETBodytext"/>
              <w:ind w:right="-1"/>
              <w:rPr>
                <w:rFonts w:cs="Arial"/>
                <w:szCs w:val="18"/>
                <w:lang w:val="en-GB"/>
              </w:rPr>
            </w:pPr>
            <w:r>
              <w:rPr>
                <w:rFonts w:cs="Arial"/>
                <w:szCs w:val="18"/>
                <w:lang w:val="en-GB"/>
              </w:rPr>
              <w:t>22.5</w:t>
            </w:r>
          </w:p>
        </w:tc>
        <w:tc>
          <w:tcPr>
            <w:tcW w:w="1134" w:type="dxa"/>
            <w:tcBorders>
              <w:top w:val="nil"/>
              <w:bottom w:val="nil"/>
            </w:tcBorders>
            <w:shd w:val="clear" w:color="auto" w:fill="FFFFFF"/>
          </w:tcPr>
          <w:p w14:paraId="38D9BD16" w14:textId="5E4A8E96" w:rsidR="00F24C36" w:rsidRDefault="004E3C24" w:rsidP="00A037A1">
            <w:pPr>
              <w:pStyle w:val="CETBodytext"/>
              <w:ind w:right="-1"/>
              <w:rPr>
                <w:rFonts w:cs="Arial"/>
                <w:szCs w:val="18"/>
                <w:lang w:val="en-GB"/>
              </w:rPr>
            </w:pPr>
            <w:r>
              <w:rPr>
                <w:rFonts w:cs="Arial"/>
                <w:szCs w:val="18"/>
                <w:lang w:val="en-GB"/>
              </w:rPr>
              <w:t>19.8</w:t>
            </w:r>
          </w:p>
        </w:tc>
      </w:tr>
      <w:tr w:rsidR="00F24C36" w:rsidRPr="00B57B36" w14:paraId="60C40068" w14:textId="77777777" w:rsidTr="00A037A1">
        <w:tc>
          <w:tcPr>
            <w:tcW w:w="1134" w:type="dxa"/>
            <w:tcBorders>
              <w:top w:val="nil"/>
              <w:bottom w:val="nil"/>
            </w:tcBorders>
            <w:shd w:val="clear" w:color="auto" w:fill="FFFFFF"/>
          </w:tcPr>
          <w:p w14:paraId="39A80E57" w14:textId="77777777" w:rsidR="00F24C36" w:rsidRDefault="00F24C36" w:rsidP="00A037A1">
            <w:pPr>
              <w:pStyle w:val="CETBodytext"/>
              <w:rPr>
                <w:lang w:val="en-GB"/>
              </w:rPr>
            </w:pPr>
            <w:r>
              <w:rPr>
                <w:lang w:val="en-GB"/>
              </w:rPr>
              <w:t>CH4 %</w:t>
            </w:r>
            <w:proofErr w:type="spellStart"/>
            <w:r>
              <w:rPr>
                <w:lang w:val="en-GB"/>
              </w:rPr>
              <w:t>vol</w:t>
            </w:r>
            <w:proofErr w:type="spellEnd"/>
          </w:p>
        </w:tc>
        <w:tc>
          <w:tcPr>
            <w:tcW w:w="1134" w:type="dxa"/>
            <w:tcBorders>
              <w:top w:val="nil"/>
              <w:bottom w:val="nil"/>
            </w:tcBorders>
            <w:shd w:val="clear" w:color="auto" w:fill="FFFFFF"/>
          </w:tcPr>
          <w:p w14:paraId="7F3AEC2E" w14:textId="742D4143" w:rsidR="00F24C36" w:rsidRDefault="003B7FE4" w:rsidP="00A037A1">
            <w:pPr>
              <w:pStyle w:val="CETBodytext"/>
              <w:rPr>
                <w:lang w:val="en-GB"/>
              </w:rPr>
            </w:pPr>
            <w:r>
              <w:rPr>
                <w:lang w:val="en-GB"/>
              </w:rPr>
              <w:t>1.5</w:t>
            </w:r>
          </w:p>
        </w:tc>
        <w:tc>
          <w:tcPr>
            <w:tcW w:w="1134" w:type="dxa"/>
            <w:tcBorders>
              <w:top w:val="nil"/>
              <w:bottom w:val="nil"/>
            </w:tcBorders>
            <w:shd w:val="clear" w:color="auto" w:fill="FFFFFF"/>
          </w:tcPr>
          <w:p w14:paraId="128392FB" w14:textId="1347525A" w:rsidR="00F24C36" w:rsidRDefault="00227946" w:rsidP="00A037A1">
            <w:pPr>
              <w:pStyle w:val="CETBodytext"/>
              <w:rPr>
                <w:lang w:val="en-GB"/>
              </w:rPr>
            </w:pPr>
            <w:r>
              <w:rPr>
                <w:lang w:val="en-GB"/>
              </w:rPr>
              <w:t>0.9</w:t>
            </w:r>
          </w:p>
        </w:tc>
        <w:tc>
          <w:tcPr>
            <w:tcW w:w="1134" w:type="dxa"/>
            <w:tcBorders>
              <w:top w:val="nil"/>
              <w:bottom w:val="nil"/>
            </w:tcBorders>
            <w:shd w:val="clear" w:color="auto" w:fill="FFFFFF"/>
          </w:tcPr>
          <w:p w14:paraId="5CAA5ACF" w14:textId="6D5F6AFF" w:rsidR="00F24C36" w:rsidRDefault="00727365" w:rsidP="00A037A1">
            <w:pPr>
              <w:pStyle w:val="CETBodytext"/>
              <w:ind w:right="-1"/>
              <w:rPr>
                <w:rFonts w:cs="Arial"/>
                <w:szCs w:val="18"/>
                <w:lang w:val="en-GB"/>
              </w:rPr>
            </w:pPr>
            <w:r>
              <w:rPr>
                <w:rFonts w:cs="Arial"/>
                <w:szCs w:val="18"/>
                <w:lang w:val="en-GB"/>
              </w:rPr>
              <w:t>0.6</w:t>
            </w:r>
          </w:p>
        </w:tc>
        <w:tc>
          <w:tcPr>
            <w:tcW w:w="1134" w:type="dxa"/>
            <w:tcBorders>
              <w:top w:val="nil"/>
              <w:bottom w:val="nil"/>
            </w:tcBorders>
            <w:shd w:val="clear" w:color="auto" w:fill="FFFFFF"/>
          </w:tcPr>
          <w:p w14:paraId="0E6A96D0" w14:textId="28EABF3F" w:rsidR="00F24C36" w:rsidRDefault="00727365" w:rsidP="00A037A1">
            <w:pPr>
              <w:pStyle w:val="CETBodytext"/>
              <w:ind w:right="-1"/>
              <w:rPr>
                <w:rFonts w:cs="Arial"/>
                <w:szCs w:val="18"/>
                <w:lang w:val="en-GB"/>
              </w:rPr>
            </w:pPr>
            <w:r>
              <w:rPr>
                <w:rFonts w:cs="Arial"/>
                <w:szCs w:val="18"/>
                <w:lang w:val="en-GB"/>
              </w:rPr>
              <w:t>1.7</w:t>
            </w:r>
          </w:p>
        </w:tc>
        <w:tc>
          <w:tcPr>
            <w:tcW w:w="1134" w:type="dxa"/>
            <w:tcBorders>
              <w:top w:val="nil"/>
              <w:bottom w:val="nil"/>
            </w:tcBorders>
            <w:shd w:val="clear" w:color="auto" w:fill="FFFFFF"/>
          </w:tcPr>
          <w:p w14:paraId="2A285459" w14:textId="73968BD9" w:rsidR="00F24C36" w:rsidRDefault="004E3C24" w:rsidP="00A037A1">
            <w:pPr>
              <w:pStyle w:val="CETBodytext"/>
              <w:ind w:right="-1"/>
              <w:rPr>
                <w:rFonts w:cs="Arial"/>
                <w:szCs w:val="18"/>
                <w:lang w:val="en-GB"/>
              </w:rPr>
            </w:pPr>
            <w:r>
              <w:rPr>
                <w:rFonts w:cs="Arial"/>
                <w:szCs w:val="18"/>
                <w:lang w:val="en-GB"/>
              </w:rPr>
              <w:t>1.2</w:t>
            </w:r>
          </w:p>
        </w:tc>
        <w:tc>
          <w:tcPr>
            <w:tcW w:w="1134" w:type="dxa"/>
            <w:tcBorders>
              <w:top w:val="nil"/>
              <w:bottom w:val="nil"/>
            </w:tcBorders>
            <w:shd w:val="clear" w:color="auto" w:fill="FFFFFF"/>
          </w:tcPr>
          <w:p w14:paraId="6838A94E" w14:textId="4BB6AF9F" w:rsidR="00F24C36" w:rsidRDefault="004E3C24" w:rsidP="00A037A1">
            <w:pPr>
              <w:pStyle w:val="CETBodytext"/>
              <w:ind w:right="-1"/>
              <w:rPr>
                <w:rFonts w:cs="Arial"/>
                <w:szCs w:val="18"/>
                <w:lang w:val="en-GB"/>
              </w:rPr>
            </w:pPr>
            <w:r>
              <w:rPr>
                <w:rFonts w:cs="Arial"/>
                <w:szCs w:val="18"/>
                <w:lang w:val="en-GB"/>
              </w:rPr>
              <w:t>0.8</w:t>
            </w:r>
          </w:p>
        </w:tc>
      </w:tr>
      <w:tr w:rsidR="00F24C36" w:rsidRPr="00B57B36" w14:paraId="37678B61" w14:textId="77777777" w:rsidTr="00A037A1">
        <w:tc>
          <w:tcPr>
            <w:tcW w:w="1134" w:type="dxa"/>
            <w:tcBorders>
              <w:top w:val="nil"/>
              <w:bottom w:val="nil"/>
            </w:tcBorders>
            <w:shd w:val="clear" w:color="auto" w:fill="FFFFFF"/>
          </w:tcPr>
          <w:p w14:paraId="5A508546" w14:textId="77777777" w:rsidR="00F24C36" w:rsidRDefault="00F24C36" w:rsidP="00A037A1">
            <w:pPr>
              <w:pStyle w:val="CETBodytext"/>
              <w:rPr>
                <w:lang w:val="en-GB"/>
              </w:rPr>
            </w:pPr>
            <w:r>
              <w:rPr>
                <w:lang w:val="en-GB"/>
              </w:rPr>
              <w:t>C2H4 %</w:t>
            </w:r>
            <w:proofErr w:type="spellStart"/>
            <w:r>
              <w:rPr>
                <w:lang w:val="en-GB"/>
              </w:rPr>
              <w:t>vol</w:t>
            </w:r>
            <w:proofErr w:type="spellEnd"/>
          </w:p>
        </w:tc>
        <w:tc>
          <w:tcPr>
            <w:tcW w:w="1134" w:type="dxa"/>
            <w:tcBorders>
              <w:top w:val="nil"/>
              <w:bottom w:val="nil"/>
            </w:tcBorders>
            <w:shd w:val="clear" w:color="auto" w:fill="FFFFFF"/>
          </w:tcPr>
          <w:p w14:paraId="5E15B30F" w14:textId="1E8AB6E5" w:rsidR="00F24C36" w:rsidRDefault="003B7FE4" w:rsidP="00A037A1">
            <w:pPr>
              <w:pStyle w:val="CETBodytext"/>
              <w:rPr>
                <w:lang w:val="en-GB"/>
              </w:rPr>
            </w:pPr>
            <w:r>
              <w:rPr>
                <w:lang w:val="en-GB"/>
              </w:rPr>
              <w:t>1.1</w:t>
            </w:r>
          </w:p>
        </w:tc>
        <w:tc>
          <w:tcPr>
            <w:tcW w:w="1134" w:type="dxa"/>
            <w:tcBorders>
              <w:top w:val="nil"/>
              <w:bottom w:val="nil"/>
            </w:tcBorders>
            <w:shd w:val="clear" w:color="auto" w:fill="FFFFFF"/>
          </w:tcPr>
          <w:p w14:paraId="01831E1F" w14:textId="1727139F" w:rsidR="00F24C36" w:rsidRDefault="00227946" w:rsidP="00A037A1">
            <w:pPr>
              <w:pStyle w:val="CETBodytext"/>
              <w:rPr>
                <w:lang w:val="en-GB"/>
              </w:rPr>
            </w:pPr>
            <w:r>
              <w:rPr>
                <w:lang w:val="en-GB"/>
              </w:rPr>
              <w:t>0.6</w:t>
            </w:r>
          </w:p>
        </w:tc>
        <w:tc>
          <w:tcPr>
            <w:tcW w:w="1134" w:type="dxa"/>
            <w:tcBorders>
              <w:top w:val="nil"/>
              <w:bottom w:val="nil"/>
            </w:tcBorders>
            <w:shd w:val="clear" w:color="auto" w:fill="FFFFFF"/>
          </w:tcPr>
          <w:p w14:paraId="1E272C4F" w14:textId="507B2DA7" w:rsidR="00F24C36" w:rsidRDefault="00727365" w:rsidP="00A037A1">
            <w:pPr>
              <w:pStyle w:val="CETBodytext"/>
              <w:ind w:right="-1"/>
              <w:rPr>
                <w:rFonts w:cs="Arial"/>
                <w:szCs w:val="18"/>
                <w:lang w:val="en-GB"/>
              </w:rPr>
            </w:pPr>
            <w:r>
              <w:rPr>
                <w:rFonts w:cs="Arial"/>
                <w:szCs w:val="18"/>
                <w:lang w:val="en-GB"/>
              </w:rPr>
              <w:t>0.3</w:t>
            </w:r>
          </w:p>
        </w:tc>
        <w:tc>
          <w:tcPr>
            <w:tcW w:w="1134" w:type="dxa"/>
            <w:tcBorders>
              <w:top w:val="nil"/>
              <w:bottom w:val="nil"/>
            </w:tcBorders>
            <w:shd w:val="clear" w:color="auto" w:fill="FFFFFF"/>
          </w:tcPr>
          <w:p w14:paraId="5FDB8A25" w14:textId="5DBB5AFF" w:rsidR="00F24C36" w:rsidRDefault="00D21449" w:rsidP="00A037A1">
            <w:pPr>
              <w:pStyle w:val="CETBodytext"/>
              <w:ind w:right="-1"/>
              <w:rPr>
                <w:rFonts w:cs="Arial"/>
                <w:szCs w:val="18"/>
                <w:lang w:val="en-GB"/>
              </w:rPr>
            </w:pPr>
            <w:r>
              <w:rPr>
                <w:rFonts w:cs="Arial"/>
                <w:szCs w:val="18"/>
                <w:lang w:val="en-GB"/>
              </w:rPr>
              <w:t>1.2</w:t>
            </w:r>
          </w:p>
        </w:tc>
        <w:tc>
          <w:tcPr>
            <w:tcW w:w="1134" w:type="dxa"/>
            <w:tcBorders>
              <w:top w:val="nil"/>
              <w:bottom w:val="nil"/>
            </w:tcBorders>
            <w:shd w:val="clear" w:color="auto" w:fill="FFFFFF"/>
          </w:tcPr>
          <w:p w14:paraId="044FA2AC" w14:textId="574B78B0" w:rsidR="00F24C36" w:rsidRDefault="00D21449" w:rsidP="00A037A1">
            <w:pPr>
              <w:pStyle w:val="CETBodytext"/>
              <w:ind w:right="-1"/>
              <w:rPr>
                <w:rFonts w:cs="Arial"/>
                <w:szCs w:val="18"/>
                <w:lang w:val="en-GB"/>
              </w:rPr>
            </w:pPr>
            <w:r>
              <w:rPr>
                <w:rFonts w:cs="Arial"/>
                <w:szCs w:val="18"/>
                <w:lang w:val="en-GB"/>
              </w:rPr>
              <w:t>1.1</w:t>
            </w:r>
          </w:p>
        </w:tc>
        <w:tc>
          <w:tcPr>
            <w:tcW w:w="1134" w:type="dxa"/>
            <w:tcBorders>
              <w:top w:val="nil"/>
              <w:bottom w:val="nil"/>
            </w:tcBorders>
            <w:shd w:val="clear" w:color="auto" w:fill="FFFFFF"/>
          </w:tcPr>
          <w:p w14:paraId="7E204798" w14:textId="207525FD" w:rsidR="00F24C36" w:rsidRDefault="00D21449" w:rsidP="00A037A1">
            <w:pPr>
              <w:pStyle w:val="CETBodytext"/>
              <w:ind w:right="-1"/>
              <w:rPr>
                <w:rFonts w:cs="Arial"/>
                <w:szCs w:val="18"/>
                <w:lang w:val="en-GB"/>
              </w:rPr>
            </w:pPr>
            <w:r>
              <w:rPr>
                <w:rFonts w:cs="Arial"/>
                <w:szCs w:val="18"/>
                <w:lang w:val="en-GB"/>
              </w:rPr>
              <w:t>0.8</w:t>
            </w:r>
          </w:p>
        </w:tc>
      </w:tr>
      <w:tr w:rsidR="00F24C36" w:rsidRPr="003B7FE4" w14:paraId="7E384658" w14:textId="77777777" w:rsidTr="00A037A1">
        <w:tc>
          <w:tcPr>
            <w:tcW w:w="1134" w:type="dxa"/>
            <w:tcBorders>
              <w:top w:val="nil"/>
            </w:tcBorders>
            <w:shd w:val="clear" w:color="auto" w:fill="FFFFFF"/>
          </w:tcPr>
          <w:p w14:paraId="1A5AD724" w14:textId="77777777" w:rsidR="00F24C36" w:rsidRPr="00B57B36" w:rsidRDefault="00F24C36" w:rsidP="00A037A1">
            <w:pPr>
              <w:pStyle w:val="CETBodytext"/>
              <w:ind w:right="-1"/>
              <w:rPr>
                <w:rFonts w:cs="Arial"/>
                <w:szCs w:val="18"/>
                <w:lang w:val="en-GB"/>
              </w:rPr>
            </w:pPr>
            <w:proofErr w:type="spellStart"/>
            <w:r>
              <w:rPr>
                <w:rFonts w:cs="Arial"/>
                <w:szCs w:val="18"/>
                <w:lang w:val="en-GB"/>
              </w:rPr>
              <w:t>Ntot</w:t>
            </w:r>
            <w:proofErr w:type="spellEnd"/>
            <w:r>
              <w:rPr>
                <w:rFonts w:cs="Arial"/>
                <w:szCs w:val="18"/>
                <w:lang w:val="en-GB"/>
              </w:rPr>
              <w:t xml:space="preserve"> (</w:t>
            </w:r>
            <w:proofErr w:type="spellStart"/>
            <w:r>
              <w:rPr>
                <w:rFonts w:cs="Arial"/>
                <w:szCs w:val="18"/>
                <w:lang w:val="en-GB"/>
              </w:rPr>
              <w:t>mol</w:t>
            </w:r>
            <w:proofErr w:type="spellEnd"/>
            <w:r>
              <w:rPr>
                <w:rFonts w:cs="Arial"/>
                <w:szCs w:val="18"/>
                <w:lang w:val="en-GB"/>
              </w:rPr>
              <w:t>/s)</w:t>
            </w:r>
          </w:p>
        </w:tc>
        <w:tc>
          <w:tcPr>
            <w:tcW w:w="1134" w:type="dxa"/>
            <w:tcBorders>
              <w:top w:val="nil"/>
            </w:tcBorders>
            <w:shd w:val="clear" w:color="auto" w:fill="FFFFFF"/>
          </w:tcPr>
          <w:p w14:paraId="29FC3DD2" w14:textId="6EEE7D58" w:rsidR="00F24C36" w:rsidRPr="003B7FE4" w:rsidRDefault="003B7FE4" w:rsidP="00A037A1">
            <w:pPr>
              <w:pStyle w:val="CETBodytext"/>
              <w:ind w:right="-1"/>
              <w:rPr>
                <w:rFonts w:cs="Arial"/>
                <w:szCs w:val="18"/>
                <w:lang w:val="it-IT"/>
              </w:rPr>
            </w:pPr>
            <w:r w:rsidRPr="003B7FE4">
              <w:rPr>
                <w:rFonts w:cs="Arial"/>
                <w:szCs w:val="18"/>
                <w:lang w:val="it-IT"/>
              </w:rPr>
              <w:t>5.</w:t>
            </w:r>
            <w:r>
              <w:rPr>
                <w:rFonts w:cs="Arial"/>
                <w:szCs w:val="18"/>
                <w:lang w:val="it-IT"/>
              </w:rPr>
              <w:t>52</w:t>
            </w:r>
            <w:r w:rsidRPr="003B7FE4">
              <w:rPr>
                <w:rFonts w:cs="Arial"/>
                <w:szCs w:val="18"/>
                <w:lang w:val="it-IT"/>
              </w:rPr>
              <w:t>*10</w:t>
            </w:r>
            <w:r w:rsidRPr="003B7FE4">
              <w:rPr>
                <w:rFonts w:cs="Arial"/>
                <w:szCs w:val="18"/>
                <w:vertAlign w:val="superscript"/>
                <w:lang w:val="it-IT"/>
              </w:rPr>
              <w:t>-5</w:t>
            </w:r>
          </w:p>
        </w:tc>
        <w:tc>
          <w:tcPr>
            <w:tcW w:w="1134" w:type="dxa"/>
            <w:tcBorders>
              <w:top w:val="nil"/>
            </w:tcBorders>
            <w:shd w:val="clear" w:color="auto" w:fill="FFFFFF"/>
          </w:tcPr>
          <w:p w14:paraId="4CDC6E8A" w14:textId="61D5D067" w:rsidR="00F24C36" w:rsidRPr="003B7FE4" w:rsidRDefault="00227946" w:rsidP="00A037A1">
            <w:pPr>
              <w:pStyle w:val="CETBodytext"/>
              <w:ind w:right="-1"/>
              <w:rPr>
                <w:rFonts w:cs="Arial"/>
                <w:szCs w:val="18"/>
                <w:lang w:val="it-IT"/>
              </w:rPr>
            </w:pPr>
            <w:r>
              <w:rPr>
                <w:rFonts w:cs="Arial"/>
                <w:szCs w:val="18"/>
                <w:lang w:val="it-IT"/>
              </w:rPr>
              <w:t>6.42</w:t>
            </w:r>
            <w:r w:rsidRPr="00227946">
              <w:rPr>
                <w:rFonts w:cs="Arial"/>
                <w:szCs w:val="18"/>
                <w:lang w:val="it-IT"/>
              </w:rPr>
              <w:t>*10</w:t>
            </w:r>
            <w:r w:rsidRPr="00227946">
              <w:rPr>
                <w:rFonts w:cs="Arial"/>
                <w:szCs w:val="18"/>
                <w:vertAlign w:val="superscript"/>
                <w:lang w:val="it-IT"/>
              </w:rPr>
              <w:t>-5</w:t>
            </w:r>
          </w:p>
        </w:tc>
        <w:tc>
          <w:tcPr>
            <w:tcW w:w="1134" w:type="dxa"/>
            <w:tcBorders>
              <w:top w:val="nil"/>
            </w:tcBorders>
            <w:shd w:val="clear" w:color="auto" w:fill="FFFFFF"/>
          </w:tcPr>
          <w:p w14:paraId="3F898863" w14:textId="19826158" w:rsidR="00F24C36" w:rsidRPr="003B7FE4" w:rsidRDefault="00727365" w:rsidP="00A037A1">
            <w:pPr>
              <w:pStyle w:val="CETBodytext"/>
              <w:ind w:right="-1"/>
              <w:rPr>
                <w:rFonts w:cs="Arial"/>
                <w:szCs w:val="18"/>
                <w:lang w:val="it-IT"/>
              </w:rPr>
            </w:pPr>
            <w:r>
              <w:rPr>
                <w:rFonts w:cs="Arial"/>
                <w:szCs w:val="18"/>
                <w:lang w:val="it-IT"/>
              </w:rPr>
              <w:t>7.59</w:t>
            </w:r>
            <w:r w:rsidRPr="00727365">
              <w:rPr>
                <w:rFonts w:cs="Arial"/>
                <w:szCs w:val="18"/>
                <w:lang w:val="it-IT"/>
              </w:rPr>
              <w:t>*10</w:t>
            </w:r>
            <w:r w:rsidRPr="00727365">
              <w:rPr>
                <w:rFonts w:cs="Arial"/>
                <w:szCs w:val="18"/>
                <w:vertAlign w:val="superscript"/>
                <w:lang w:val="it-IT"/>
              </w:rPr>
              <w:t>-5</w:t>
            </w:r>
          </w:p>
        </w:tc>
        <w:tc>
          <w:tcPr>
            <w:tcW w:w="1134" w:type="dxa"/>
            <w:tcBorders>
              <w:top w:val="nil"/>
            </w:tcBorders>
            <w:shd w:val="clear" w:color="auto" w:fill="FFFFFF"/>
          </w:tcPr>
          <w:p w14:paraId="1A421928" w14:textId="36CBB392" w:rsidR="00F24C36" w:rsidRPr="003B7FE4" w:rsidRDefault="00727365" w:rsidP="00A037A1">
            <w:pPr>
              <w:pStyle w:val="CETBodytext"/>
              <w:ind w:right="-1"/>
              <w:rPr>
                <w:rFonts w:cs="Arial"/>
                <w:szCs w:val="18"/>
                <w:lang w:val="it-IT"/>
              </w:rPr>
            </w:pPr>
            <w:r w:rsidRPr="00727365">
              <w:rPr>
                <w:rFonts w:cs="Arial"/>
                <w:szCs w:val="18"/>
                <w:lang w:val="it-IT"/>
              </w:rPr>
              <w:t>5.</w:t>
            </w:r>
            <w:r>
              <w:rPr>
                <w:rFonts w:cs="Arial"/>
                <w:szCs w:val="18"/>
                <w:lang w:val="it-IT"/>
              </w:rPr>
              <w:t>22</w:t>
            </w:r>
            <w:r w:rsidRPr="00727365">
              <w:rPr>
                <w:rFonts w:cs="Arial"/>
                <w:szCs w:val="18"/>
                <w:lang w:val="it-IT"/>
              </w:rPr>
              <w:t>*10</w:t>
            </w:r>
            <w:r w:rsidRPr="00727365">
              <w:rPr>
                <w:rFonts w:cs="Arial"/>
                <w:szCs w:val="18"/>
                <w:vertAlign w:val="superscript"/>
                <w:lang w:val="it-IT"/>
              </w:rPr>
              <w:t>-5</w:t>
            </w:r>
          </w:p>
        </w:tc>
        <w:tc>
          <w:tcPr>
            <w:tcW w:w="1134" w:type="dxa"/>
            <w:tcBorders>
              <w:top w:val="nil"/>
            </w:tcBorders>
            <w:shd w:val="clear" w:color="auto" w:fill="FFFFFF"/>
          </w:tcPr>
          <w:p w14:paraId="74CBC92D" w14:textId="4BA3E8E0" w:rsidR="00F24C36" w:rsidRPr="003B7FE4" w:rsidRDefault="004E3C24" w:rsidP="00A037A1">
            <w:pPr>
              <w:pStyle w:val="CETBodytext"/>
              <w:ind w:right="-1"/>
              <w:rPr>
                <w:rFonts w:cs="Arial"/>
                <w:szCs w:val="18"/>
                <w:lang w:val="it-IT"/>
              </w:rPr>
            </w:pPr>
            <w:r>
              <w:rPr>
                <w:rFonts w:cs="Arial"/>
                <w:szCs w:val="18"/>
                <w:lang w:val="it-IT"/>
              </w:rPr>
              <w:t>6.56</w:t>
            </w:r>
            <w:r w:rsidRPr="004E3C24">
              <w:rPr>
                <w:rFonts w:cs="Arial"/>
                <w:szCs w:val="18"/>
                <w:lang w:val="it-IT"/>
              </w:rPr>
              <w:t>*10</w:t>
            </w:r>
            <w:r w:rsidRPr="004E3C24">
              <w:rPr>
                <w:rFonts w:cs="Arial"/>
                <w:szCs w:val="18"/>
                <w:vertAlign w:val="superscript"/>
                <w:lang w:val="it-IT"/>
              </w:rPr>
              <w:t>-5</w:t>
            </w:r>
          </w:p>
        </w:tc>
        <w:tc>
          <w:tcPr>
            <w:tcW w:w="1134" w:type="dxa"/>
            <w:tcBorders>
              <w:top w:val="nil"/>
            </w:tcBorders>
            <w:shd w:val="clear" w:color="auto" w:fill="FFFFFF"/>
          </w:tcPr>
          <w:p w14:paraId="48F1C5A6" w14:textId="4F25A52B" w:rsidR="00F24C36" w:rsidRPr="003B7FE4" w:rsidRDefault="004E3C24" w:rsidP="00A037A1">
            <w:pPr>
              <w:pStyle w:val="CETBodytext"/>
              <w:ind w:right="-1"/>
              <w:rPr>
                <w:rFonts w:cs="Arial"/>
                <w:szCs w:val="18"/>
                <w:lang w:val="it-IT"/>
              </w:rPr>
            </w:pPr>
            <w:r>
              <w:rPr>
                <w:rFonts w:cs="Arial"/>
                <w:szCs w:val="18"/>
                <w:lang w:val="it-IT"/>
              </w:rPr>
              <w:t>8.24</w:t>
            </w:r>
            <w:r w:rsidRPr="004E3C24">
              <w:rPr>
                <w:rFonts w:cs="Arial"/>
                <w:szCs w:val="18"/>
                <w:lang w:val="it-IT"/>
              </w:rPr>
              <w:t>*10</w:t>
            </w:r>
            <w:r w:rsidRPr="004E3C24">
              <w:rPr>
                <w:rFonts w:cs="Arial"/>
                <w:szCs w:val="18"/>
                <w:vertAlign w:val="superscript"/>
                <w:lang w:val="it-IT"/>
              </w:rPr>
              <w:t>-5</w:t>
            </w:r>
          </w:p>
        </w:tc>
      </w:tr>
    </w:tbl>
    <w:p w14:paraId="5621EA45" w14:textId="77777777" w:rsidR="00BD72A5" w:rsidRPr="00B57B36" w:rsidRDefault="00BD72A5" w:rsidP="00BD72A5">
      <w:pPr>
        <w:pStyle w:val="CETTabletitle"/>
      </w:pPr>
      <w:r w:rsidRPr="00B57B36">
        <w:t xml:space="preserve">Table </w:t>
      </w:r>
      <w:r>
        <w:t>5</w:t>
      </w:r>
      <w:r w:rsidRPr="00B57B36">
        <w:t xml:space="preserve">: </w:t>
      </w:r>
      <w:r>
        <w:t>Coke formed during the long duration tests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2126"/>
      </w:tblGrid>
      <w:tr w:rsidR="00BD72A5" w:rsidRPr="00B57B36" w14:paraId="17AF290F" w14:textId="77777777" w:rsidTr="00986237">
        <w:tc>
          <w:tcPr>
            <w:tcW w:w="1985" w:type="dxa"/>
            <w:tcBorders>
              <w:top w:val="single" w:sz="12" w:space="0" w:color="008000"/>
              <w:bottom w:val="single" w:sz="6" w:space="0" w:color="008000"/>
            </w:tcBorders>
            <w:shd w:val="clear" w:color="auto" w:fill="FFFFFF"/>
          </w:tcPr>
          <w:p w14:paraId="6E252C16" w14:textId="77777777" w:rsidR="00BD72A5" w:rsidRPr="00B57B36" w:rsidRDefault="00BD72A5" w:rsidP="00986237">
            <w:pPr>
              <w:pStyle w:val="CETBodytext"/>
              <w:rPr>
                <w:lang w:val="en-GB"/>
              </w:rPr>
            </w:pPr>
            <w:r>
              <w:rPr>
                <w:lang w:val="en-GB"/>
              </w:rPr>
              <w:t>Sample</w:t>
            </w:r>
          </w:p>
        </w:tc>
        <w:tc>
          <w:tcPr>
            <w:tcW w:w="2126" w:type="dxa"/>
            <w:tcBorders>
              <w:top w:val="single" w:sz="12" w:space="0" w:color="008000"/>
              <w:bottom w:val="single" w:sz="6" w:space="0" w:color="008000"/>
            </w:tcBorders>
            <w:shd w:val="clear" w:color="auto" w:fill="FFFFFF"/>
          </w:tcPr>
          <w:p w14:paraId="23192BB9" w14:textId="77777777" w:rsidR="00BD72A5" w:rsidRPr="00B57B36" w:rsidRDefault="00BD72A5" w:rsidP="00986237">
            <w:pPr>
              <w:pStyle w:val="CETBodytext"/>
              <w:jc w:val="center"/>
              <w:rPr>
                <w:lang w:val="en-GB"/>
              </w:rPr>
            </w:pPr>
            <w:r>
              <w:rPr>
                <w:lang w:val="en-GB"/>
              </w:rPr>
              <w:t>Coke %</w:t>
            </w:r>
            <w:proofErr w:type="spellStart"/>
            <w:r w:rsidRPr="00072D18">
              <w:rPr>
                <w:vertAlign w:val="subscript"/>
                <w:lang w:val="en-GB"/>
              </w:rPr>
              <w:t>wt</w:t>
            </w:r>
            <w:proofErr w:type="spellEnd"/>
          </w:p>
        </w:tc>
      </w:tr>
      <w:tr w:rsidR="00BD72A5" w:rsidRPr="00B57B36" w14:paraId="577DE2DB" w14:textId="77777777" w:rsidTr="00986237">
        <w:tc>
          <w:tcPr>
            <w:tcW w:w="1985" w:type="dxa"/>
            <w:shd w:val="clear" w:color="auto" w:fill="FFFFFF"/>
          </w:tcPr>
          <w:p w14:paraId="35C6D78D" w14:textId="77777777" w:rsidR="00BD72A5" w:rsidRPr="00AD18AC" w:rsidRDefault="00BD72A5" w:rsidP="00986237">
            <w:pPr>
              <w:pStyle w:val="CETBodytext"/>
              <w:rPr>
                <w:lang w:val="it-IT"/>
              </w:rPr>
            </w:pPr>
            <w:r w:rsidRPr="00AD18AC">
              <w:rPr>
                <w:lang w:val="it-IT"/>
              </w:rPr>
              <w:t>LaNiO3  H2O</w:t>
            </w:r>
          </w:p>
          <w:p w14:paraId="2848116B" w14:textId="77777777" w:rsidR="00BD72A5" w:rsidRPr="00AD18AC" w:rsidRDefault="00BD72A5" w:rsidP="00986237">
            <w:pPr>
              <w:pStyle w:val="CETBodytext"/>
              <w:rPr>
                <w:lang w:val="it-IT"/>
              </w:rPr>
            </w:pPr>
            <w:r w:rsidRPr="00AD18AC">
              <w:rPr>
                <w:lang w:val="it-IT"/>
              </w:rPr>
              <w:t>LaNiO3 + 5%Ru H2O</w:t>
            </w:r>
          </w:p>
          <w:p w14:paraId="6FD0FD80" w14:textId="77777777" w:rsidR="00BD72A5" w:rsidRPr="00AD18AC" w:rsidRDefault="00BD72A5" w:rsidP="00986237">
            <w:pPr>
              <w:pStyle w:val="CETBodytext"/>
              <w:rPr>
                <w:lang w:val="it-IT"/>
              </w:rPr>
            </w:pPr>
            <w:r w:rsidRPr="00AD18AC">
              <w:rPr>
                <w:lang w:val="it-IT"/>
              </w:rPr>
              <w:t>LaNiO3  DES</w:t>
            </w:r>
          </w:p>
          <w:p w14:paraId="3F9A0A37" w14:textId="77777777" w:rsidR="00BD72A5" w:rsidRPr="00B57B36" w:rsidRDefault="00BD72A5" w:rsidP="00986237">
            <w:pPr>
              <w:pStyle w:val="CETBodytext"/>
              <w:rPr>
                <w:lang w:val="en-GB"/>
              </w:rPr>
            </w:pPr>
            <w:r w:rsidRPr="00AD18AC">
              <w:rPr>
                <w:lang w:val="en-GB"/>
              </w:rPr>
              <w:t>LaNiO3 + 5%Ru DES</w:t>
            </w:r>
          </w:p>
        </w:tc>
        <w:tc>
          <w:tcPr>
            <w:tcW w:w="2126" w:type="dxa"/>
            <w:shd w:val="clear" w:color="auto" w:fill="FFFFFF"/>
          </w:tcPr>
          <w:p w14:paraId="1386BD6B" w14:textId="77777777" w:rsidR="00BD72A5" w:rsidRDefault="00BD72A5" w:rsidP="00986237">
            <w:pPr>
              <w:pStyle w:val="CETBodytext"/>
              <w:jc w:val="center"/>
              <w:rPr>
                <w:lang w:val="en-GB"/>
              </w:rPr>
            </w:pPr>
            <w:r>
              <w:rPr>
                <w:lang w:val="en-GB"/>
              </w:rPr>
              <w:t>8.54</w:t>
            </w:r>
          </w:p>
          <w:p w14:paraId="331D78C1" w14:textId="77777777" w:rsidR="00BD72A5" w:rsidRDefault="00BD72A5" w:rsidP="00986237">
            <w:pPr>
              <w:pStyle w:val="CETBodytext"/>
              <w:jc w:val="center"/>
              <w:rPr>
                <w:lang w:val="en-GB"/>
              </w:rPr>
            </w:pPr>
            <w:r>
              <w:rPr>
                <w:lang w:val="en-GB"/>
              </w:rPr>
              <w:t>0.04</w:t>
            </w:r>
          </w:p>
          <w:p w14:paraId="0CAE5783" w14:textId="77777777" w:rsidR="00BD72A5" w:rsidRDefault="00BD72A5" w:rsidP="00986237">
            <w:pPr>
              <w:pStyle w:val="CETBodytext"/>
              <w:jc w:val="center"/>
              <w:rPr>
                <w:lang w:val="en-GB"/>
              </w:rPr>
            </w:pPr>
            <w:r>
              <w:rPr>
                <w:lang w:val="en-GB"/>
              </w:rPr>
              <w:t>7.39</w:t>
            </w:r>
          </w:p>
          <w:p w14:paraId="175FF670" w14:textId="77777777" w:rsidR="00BD72A5" w:rsidRPr="00B57B36" w:rsidRDefault="00BD72A5" w:rsidP="00986237">
            <w:pPr>
              <w:pStyle w:val="CETBodytext"/>
              <w:jc w:val="center"/>
              <w:rPr>
                <w:lang w:val="en-GB"/>
              </w:rPr>
            </w:pPr>
            <w:r>
              <w:rPr>
                <w:lang w:val="en-GB"/>
              </w:rPr>
              <w:t>1.67</w:t>
            </w:r>
          </w:p>
        </w:tc>
      </w:tr>
    </w:tbl>
    <w:p w14:paraId="3A931FA8" w14:textId="77777777" w:rsidR="00F24C36" w:rsidRPr="003B7FE4" w:rsidRDefault="00F24C36" w:rsidP="009518F1">
      <w:pPr>
        <w:pStyle w:val="CETBodytext"/>
        <w:rPr>
          <w:lang w:val="it-IT"/>
        </w:rPr>
      </w:pPr>
    </w:p>
    <w:p w14:paraId="721B0CB5" w14:textId="267E5819" w:rsidR="00AD18AC" w:rsidRPr="0037082E" w:rsidRDefault="0037082E" w:rsidP="009518F1">
      <w:pPr>
        <w:pStyle w:val="CETBodytext"/>
        <w:rPr>
          <w:lang w:val="en-GB"/>
        </w:rPr>
      </w:pPr>
      <w:r w:rsidRPr="0037082E">
        <w:rPr>
          <w:lang w:val="en-GB"/>
        </w:rPr>
        <w:t xml:space="preserve">The long duration </w:t>
      </w:r>
      <w:r>
        <w:rPr>
          <w:lang w:val="en-GB"/>
        </w:rPr>
        <w:t xml:space="preserve">steam reforming </w:t>
      </w:r>
      <w:r w:rsidRPr="0037082E">
        <w:rPr>
          <w:lang w:val="en-GB"/>
        </w:rPr>
        <w:t xml:space="preserve">tests </w:t>
      </w:r>
      <w:r>
        <w:rPr>
          <w:lang w:val="en-GB"/>
        </w:rPr>
        <w:t xml:space="preserve">at 700 °C on ABE </w:t>
      </w:r>
      <w:r w:rsidR="00A91656">
        <w:rPr>
          <w:lang w:val="en-GB"/>
        </w:rPr>
        <w:t xml:space="preserve">(Figure 5) </w:t>
      </w:r>
      <w:r>
        <w:rPr>
          <w:lang w:val="en-GB"/>
        </w:rPr>
        <w:t>show good performances for all the catalysts</w:t>
      </w:r>
      <w:r w:rsidR="00B965E6">
        <w:rPr>
          <w:lang w:val="en-GB"/>
        </w:rPr>
        <w:t>;</w:t>
      </w:r>
      <w:r>
        <w:rPr>
          <w:lang w:val="en-GB"/>
        </w:rPr>
        <w:t xml:space="preserve"> the excellent stability for the </w:t>
      </w:r>
      <w:r w:rsidR="003C0754">
        <w:rPr>
          <w:lang w:val="en-GB"/>
        </w:rPr>
        <w:t>catalysts</w:t>
      </w:r>
      <w:r>
        <w:rPr>
          <w:lang w:val="en-GB"/>
        </w:rPr>
        <w:t xml:space="preserve"> containing 5% Ru has to be noted, as confirmed by the</w:t>
      </w:r>
      <w:r w:rsidR="00DF636E">
        <w:rPr>
          <w:lang w:val="en-GB"/>
        </w:rPr>
        <w:t>ir</w:t>
      </w:r>
      <w:r>
        <w:rPr>
          <w:lang w:val="en-GB"/>
        </w:rPr>
        <w:t xml:space="preserve"> </w:t>
      </w:r>
      <w:r w:rsidR="00DF636E">
        <w:rPr>
          <w:lang w:val="en-GB"/>
        </w:rPr>
        <w:t xml:space="preserve">very </w:t>
      </w:r>
      <w:r>
        <w:rPr>
          <w:lang w:val="en-GB"/>
        </w:rPr>
        <w:t>low coke deposi</w:t>
      </w:r>
      <w:r w:rsidR="003C0754">
        <w:rPr>
          <w:lang w:val="en-GB"/>
        </w:rPr>
        <w:t>ti</w:t>
      </w:r>
      <w:r>
        <w:rPr>
          <w:lang w:val="en-GB"/>
        </w:rPr>
        <w:t>on</w:t>
      </w:r>
      <w:r w:rsidR="003C0754">
        <w:rPr>
          <w:lang w:val="en-GB"/>
        </w:rPr>
        <w:t xml:space="preserve"> tendency</w:t>
      </w:r>
      <w:r w:rsidR="00B965E6">
        <w:rPr>
          <w:lang w:val="en-GB"/>
        </w:rPr>
        <w:t>, reported in Table 5</w:t>
      </w:r>
      <w:r w:rsidR="00DF636E">
        <w:rPr>
          <w:lang w:val="en-GB"/>
        </w:rPr>
        <w:t xml:space="preserve">. The extremely low percentage of coke showed by the </w:t>
      </w:r>
      <w:r w:rsidR="00DF636E" w:rsidRPr="00DF636E">
        <w:rPr>
          <w:lang w:val="en-GB"/>
        </w:rPr>
        <w:t>LaNiO</w:t>
      </w:r>
      <w:r w:rsidR="00DF636E" w:rsidRPr="00DF636E">
        <w:rPr>
          <w:vertAlign w:val="subscript"/>
          <w:lang w:val="en-GB"/>
        </w:rPr>
        <w:t>3</w:t>
      </w:r>
      <w:r w:rsidR="00DF636E" w:rsidRPr="00DF636E">
        <w:rPr>
          <w:lang w:val="en-GB"/>
        </w:rPr>
        <w:t xml:space="preserve"> + 5% Ru </w:t>
      </w:r>
      <w:r w:rsidR="00DF636E">
        <w:rPr>
          <w:lang w:val="en-GB"/>
        </w:rPr>
        <w:t>H</w:t>
      </w:r>
      <w:r w:rsidR="00DF636E" w:rsidRPr="00DF636E">
        <w:rPr>
          <w:vertAlign w:val="subscript"/>
          <w:lang w:val="en-GB"/>
        </w:rPr>
        <w:t>2</w:t>
      </w:r>
      <w:r w:rsidR="00DF636E">
        <w:rPr>
          <w:lang w:val="en-GB"/>
        </w:rPr>
        <w:t xml:space="preserve">O confirms the function of the </w:t>
      </w:r>
      <w:r w:rsidR="00DF636E" w:rsidRPr="004C41D4">
        <w:rPr>
          <w:rFonts w:cs="Warnock Pro"/>
          <w:color w:val="000000"/>
          <w:szCs w:val="18"/>
        </w:rPr>
        <w:t xml:space="preserve">lanthanum </w:t>
      </w:r>
      <w:proofErr w:type="spellStart"/>
      <w:r w:rsidR="00DF636E" w:rsidRPr="004C41D4">
        <w:rPr>
          <w:rFonts w:cs="Warnock Pro"/>
          <w:color w:val="000000"/>
          <w:szCs w:val="18"/>
        </w:rPr>
        <w:t>oxycarbonate</w:t>
      </w:r>
      <w:proofErr w:type="spellEnd"/>
      <w:r w:rsidR="00DF636E" w:rsidRPr="004C41D4">
        <w:rPr>
          <w:rFonts w:cs="Warnock Pro"/>
          <w:color w:val="000000"/>
          <w:szCs w:val="18"/>
        </w:rPr>
        <w:t xml:space="preserve"> phase</w:t>
      </w:r>
      <w:r w:rsidR="00DF636E">
        <w:rPr>
          <w:rFonts w:cs="Warnock Pro"/>
          <w:color w:val="000000"/>
          <w:szCs w:val="18"/>
        </w:rPr>
        <w:t xml:space="preserve"> </w:t>
      </w:r>
      <w:r w:rsidR="00DF636E" w:rsidRPr="004C41D4">
        <w:rPr>
          <w:rFonts w:cs="Warnock Pro"/>
          <w:color w:val="000000"/>
          <w:szCs w:val="18"/>
        </w:rPr>
        <w:t>in reducing carbon d</w:t>
      </w:r>
      <w:r w:rsidR="00B965E6">
        <w:rPr>
          <w:rFonts w:cs="Warnock Pro"/>
          <w:color w:val="000000"/>
          <w:szCs w:val="18"/>
        </w:rPr>
        <w:t>eactivation by reaction with carbon deposited on the active sites</w:t>
      </w:r>
      <w:r w:rsidR="00DF636E">
        <w:rPr>
          <w:rFonts w:cs="Warnock Pro"/>
          <w:color w:val="000000"/>
          <w:szCs w:val="18"/>
        </w:rPr>
        <w:t xml:space="preserve"> </w:t>
      </w:r>
      <w:r w:rsidR="00DF636E" w:rsidRPr="004C41D4">
        <w:rPr>
          <w:rFonts w:cs="Warnock Pro"/>
          <w:color w:val="000000"/>
          <w:szCs w:val="18"/>
        </w:rPr>
        <w:t>[</w:t>
      </w:r>
      <w:proofErr w:type="spellStart"/>
      <w:r w:rsidR="00BF18C7">
        <w:t>Aupretre</w:t>
      </w:r>
      <w:proofErr w:type="spellEnd"/>
      <w:r w:rsidR="00BF18C7" w:rsidRPr="004C41D4">
        <w:rPr>
          <w:rFonts w:cs="Warnock Pro"/>
          <w:color w:val="000000"/>
          <w:szCs w:val="18"/>
        </w:rPr>
        <w:t xml:space="preserve"> </w:t>
      </w:r>
      <w:r w:rsidR="00BF18C7">
        <w:rPr>
          <w:rFonts w:cs="Warnock Pro"/>
          <w:color w:val="000000"/>
          <w:szCs w:val="18"/>
        </w:rPr>
        <w:t xml:space="preserve">et al., 2002; </w:t>
      </w:r>
      <w:r w:rsidR="00DF636E" w:rsidRPr="004C41D4">
        <w:rPr>
          <w:rFonts w:cs="Warnock Pro"/>
          <w:color w:val="000000"/>
          <w:szCs w:val="18"/>
        </w:rPr>
        <w:t>Yang et al., 2015].</w:t>
      </w:r>
    </w:p>
    <w:p w14:paraId="4A449989" w14:textId="41588D51" w:rsidR="00066E36" w:rsidRDefault="00D21449" w:rsidP="009518F1">
      <w:pPr>
        <w:pStyle w:val="CETBodytext"/>
      </w:pPr>
      <w:r>
        <w:rPr>
          <w:noProof/>
          <w:lang w:val="it-IT" w:eastAsia="it-IT"/>
        </w:rPr>
        <w:drawing>
          <wp:inline distT="0" distB="0" distL="0" distR="0" wp14:anchorId="040A7D01" wp14:editId="382593FB">
            <wp:extent cx="5828030" cy="2111244"/>
            <wp:effectExtent l="0" t="0" r="127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90998" cy="2134054"/>
                    </a:xfrm>
                    <a:prstGeom prst="rect">
                      <a:avLst/>
                    </a:prstGeom>
                    <a:noFill/>
                  </pic:spPr>
                </pic:pic>
              </a:graphicData>
            </a:graphic>
          </wp:inline>
        </w:drawing>
      </w:r>
    </w:p>
    <w:p w14:paraId="5ABC3818" w14:textId="77777777" w:rsidR="00444CF8" w:rsidRDefault="00444CF8" w:rsidP="009518F1">
      <w:pPr>
        <w:pStyle w:val="CETBodytext"/>
        <w:rPr>
          <w:i/>
        </w:rPr>
      </w:pPr>
    </w:p>
    <w:p w14:paraId="1165A48A" w14:textId="0A4F54D2" w:rsidR="00354FED" w:rsidRDefault="00354FED" w:rsidP="009518F1">
      <w:pPr>
        <w:pStyle w:val="CETBodytext"/>
        <w:rPr>
          <w:i/>
        </w:rPr>
      </w:pPr>
      <w:r w:rsidRPr="0008499F">
        <w:rPr>
          <w:i/>
        </w:rPr>
        <w:t xml:space="preserve">Figure </w:t>
      </w:r>
      <w:r w:rsidR="00A91656">
        <w:rPr>
          <w:i/>
        </w:rPr>
        <w:t>5</w:t>
      </w:r>
      <w:r w:rsidRPr="0008499F">
        <w:rPr>
          <w:i/>
        </w:rPr>
        <w:t>:</w:t>
      </w:r>
      <w:r>
        <w:rPr>
          <w:i/>
        </w:rPr>
        <w:t xml:space="preserve"> Conversion of ABE </w:t>
      </w:r>
      <w:r w:rsidR="00AD18AC">
        <w:rPr>
          <w:i/>
        </w:rPr>
        <w:t>in the</w:t>
      </w:r>
      <w:r w:rsidR="00F24C36">
        <w:rPr>
          <w:i/>
        </w:rPr>
        <w:t xml:space="preserve"> long duration tests for the fo</w:t>
      </w:r>
      <w:r>
        <w:rPr>
          <w:i/>
        </w:rPr>
        <w:t>ur catalysts</w:t>
      </w:r>
      <w:r w:rsidR="003C0754">
        <w:rPr>
          <w:i/>
        </w:rPr>
        <w:t xml:space="preserve"> at 700 °C</w:t>
      </w:r>
      <w:r>
        <w:rPr>
          <w:i/>
        </w:rPr>
        <w:t>.</w:t>
      </w:r>
    </w:p>
    <w:p w14:paraId="44C30465" w14:textId="77777777" w:rsidR="009518F1" w:rsidRDefault="009518F1" w:rsidP="009518F1">
      <w:pPr>
        <w:pStyle w:val="CETHeading1"/>
      </w:pPr>
      <w:r>
        <w:lastRenderedPageBreak/>
        <w:t>Conclusions</w:t>
      </w:r>
    </w:p>
    <w:p w14:paraId="0FF9753E" w14:textId="51107B99" w:rsidR="00600535" w:rsidRDefault="00A57A36" w:rsidP="00600535">
      <w:pPr>
        <w:pStyle w:val="CETBodytext"/>
        <w:rPr>
          <w:lang w:val="en-GB"/>
        </w:rPr>
      </w:pPr>
      <w:r>
        <w:t>In this work n</w:t>
      </w:r>
      <w:proofErr w:type="spellStart"/>
      <w:r w:rsidRPr="00A57A36">
        <w:rPr>
          <w:lang w:val="en-GB"/>
        </w:rPr>
        <w:t>anometric</w:t>
      </w:r>
      <w:proofErr w:type="spellEnd"/>
      <w:r w:rsidRPr="00A57A36">
        <w:rPr>
          <w:lang w:val="en-GB"/>
        </w:rPr>
        <w:t xml:space="preserve"> ruthenium-modified LaNiO</w:t>
      </w:r>
      <w:r w:rsidRPr="003C0754">
        <w:rPr>
          <w:vertAlign w:val="subscript"/>
          <w:lang w:val="en-GB"/>
        </w:rPr>
        <w:t>3</w:t>
      </w:r>
      <w:r w:rsidRPr="00A57A36">
        <w:rPr>
          <w:lang w:val="en-GB"/>
        </w:rPr>
        <w:t xml:space="preserve"> perovskites were prepared by </w:t>
      </w:r>
      <w:proofErr w:type="spellStart"/>
      <w:r w:rsidRPr="00A57A36">
        <w:rPr>
          <w:lang w:val="en-GB"/>
        </w:rPr>
        <w:t>coprecipitation</w:t>
      </w:r>
      <w:proofErr w:type="spellEnd"/>
      <w:r w:rsidRPr="00A57A36">
        <w:rPr>
          <w:lang w:val="en-GB"/>
        </w:rPr>
        <w:t xml:space="preserve"> method in </w:t>
      </w:r>
      <w:r w:rsidR="003C0754">
        <w:rPr>
          <w:lang w:val="en-GB"/>
        </w:rPr>
        <w:t>water</w:t>
      </w:r>
      <w:r w:rsidRPr="00A57A36">
        <w:rPr>
          <w:lang w:val="en-GB"/>
        </w:rPr>
        <w:t xml:space="preserve"> and </w:t>
      </w:r>
      <w:r>
        <w:rPr>
          <w:lang w:val="en-GB"/>
        </w:rPr>
        <w:t xml:space="preserve">DES and the effects of the solvent and of the presence of Ru was evaluated </w:t>
      </w:r>
      <w:r w:rsidR="00300B66">
        <w:rPr>
          <w:lang w:val="en-GB"/>
        </w:rPr>
        <w:t xml:space="preserve">in the </w:t>
      </w:r>
      <w:r w:rsidRPr="00A57A36">
        <w:rPr>
          <w:lang w:val="en-GB"/>
        </w:rPr>
        <w:t xml:space="preserve">steam reforming </w:t>
      </w:r>
      <w:r w:rsidR="00300B66">
        <w:rPr>
          <w:lang w:val="en-GB"/>
        </w:rPr>
        <w:t>of</w:t>
      </w:r>
      <w:r w:rsidRPr="00A57A36">
        <w:rPr>
          <w:lang w:val="en-GB"/>
        </w:rPr>
        <w:t xml:space="preserve"> mixtures constituted of butanol, acetone and ethanol</w:t>
      </w:r>
      <w:r w:rsidR="00300B66">
        <w:rPr>
          <w:lang w:val="en-GB"/>
        </w:rPr>
        <w:t xml:space="preserve">, typically obtained  through fermentation </w:t>
      </w:r>
      <w:r w:rsidR="00300B66" w:rsidRPr="00300B66">
        <w:rPr>
          <w:lang w:val="en-GB"/>
        </w:rPr>
        <w:t>of lignocellulosic materials</w:t>
      </w:r>
      <w:r w:rsidRPr="00A57A36">
        <w:rPr>
          <w:lang w:val="en-GB"/>
        </w:rPr>
        <w:t xml:space="preserve"> </w:t>
      </w:r>
      <w:r w:rsidR="00300B66">
        <w:rPr>
          <w:lang w:val="en-GB"/>
        </w:rPr>
        <w:t xml:space="preserve">and notoriously hard to use as feed due to deactivation of the catalysts by coke deposition.  </w:t>
      </w:r>
      <w:r w:rsidR="003C0754">
        <w:rPr>
          <w:lang w:val="en-GB"/>
        </w:rPr>
        <w:t xml:space="preserve">All the catalysts show good performances in ABE steam </w:t>
      </w:r>
      <w:proofErr w:type="spellStart"/>
      <w:r w:rsidR="003C0754">
        <w:rPr>
          <w:lang w:val="en-GB"/>
        </w:rPr>
        <w:t>refroming</w:t>
      </w:r>
      <w:proofErr w:type="spellEnd"/>
      <w:r w:rsidR="003C0754">
        <w:rPr>
          <w:lang w:val="en-GB"/>
        </w:rPr>
        <w:t xml:space="preserve"> with conversion values ranging from 65-97% in the temperature interval tested. Furthermore, b</w:t>
      </w:r>
      <w:r w:rsidR="00300B66">
        <w:rPr>
          <w:lang w:val="en-GB"/>
        </w:rPr>
        <w:t>oth the Ru-modified LaNiO</w:t>
      </w:r>
      <w:r w:rsidR="00300B66" w:rsidRPr="00300B66">
        <w:rPr>
          <w:vertAlign w:val="subscript"/>
          <w:lang w:val="en-GB"/>
        </w:rPr>
        <w:t>3</w:t>
      </w:r>
      <w:r w:rsidR="00300B66">
        <w:rPr>
          <w:lang w:val="en-GB"/>
        </w:rPr>
        <w:t xml:space="preserve"> catalysts showed an improved stability</w:t>
      </w:r>
      <w:r w:rsidR="00564BB1">
        <w:rPr>
          <w:lang w:val="en-GB"/>
        </w:rPr>
        <w:t xml:space="preserve"> in long duration tests</w:t>
      </w:r>
      <w:r w:rsidR="00300B66">
        <w:rPr>
          <w:lang w:val="en-GB"/>
        </w:rPr>
        <w:t>, confirming the recognized catalytic characteristics of perovskite-type structures</w:t>
      </w:r>
      <w:r w:rsidR="00564BB1">
        <w:rPr>
          <w:lang w:val="en-GB"/>
        </w:rPr>
        <w:t xml:space="preserve">. This is </w:t>
      </w:r>
      <w:r w:rsidR="00300B66">
        <w:rPr>
          <w:lang w:val="en-GB"/>
        </w:rPr>
        <w:t xml:space="preserve">particularly evident for the sample synthetized in water, with </w:t>
      </w:r>
      <w:r w:rsidR="00393C30">
        <w:rPr>
          <w:lang w:val="en-GB"/>
        </w:rPr>
        <w:t xml:space="preserve">an ABE conversion higher than 96% and a weight percentage of carbon deposition of 0.04 </w:t>
      </w:r>
      <w:r w:rsidR="00564BB1">
        <w:rPr>
          <w:lang w:val="en-GB"/>
        </w:rPr>
        <w:t>at the end of the</w:t>
      </w:r>
      <w:r w:rsidR="00393C30">
        <w:rPr>
          <w:lang w:val="en-GB"/>
        </w:rPr>
        <w:t xml:space="preserve"> </w:t>
      </w:r>
      <w:r w:rsidR="00564BB1">
        <w:rPr>
          <w:lang w:val="en-GB"/>
        </w:rPr>
        <w:t>long duration test compared with 8.54 % for the corresponding catalyst without Ru</w:t>
      </w:r>
      <w:r w:rsidR="004835DC">
        <w:rPr>
          <w:lang w:val="en-GB"/>
        </w:rPr>
        <w:t>.</w:t>
      </w:r>
    </w:p>
    <w:p w14:paraId="701391F4" w14:textId="77777777" w:rsidR="00600535" w:rsidRPr="00B57B36" w:rsidRDefault="00600535" w:rsidP="00600535">
      <w:pPr>
        <w:pStyle w:val="CETReference"/>
      </w:pPr>
      <w:r w:rsidRPr="00B57B36">
        <w:t>References</w:t>
      </w:r>
    </w:p>
    <w:p w14:paraId="5CE4BDEF" w14:textId="77777777" w:rsidR="00F24C36" w:rsidRPr="00BD72A5" w:rsidRDefault="00F24C36" w:rsidP="00BD72A5">
      <w:pPr>
        <w:pStyle w:val="CETReferencetext"/>
      </w:pPr>
      <w:proofErr w:type="spellStart"/>
      <w:r w:rsidRPr="00BD72A5">
        <w:t>Algayyima</w:t>
      </w:r>
      <w:proofErr w:type="spellEnd"/>
      <w:r w:rsidRPr="00BD72A5">
        <w:t xml:space="preserve"> S.J.M., </w:t>
      </w:r>
      <w:proofErr w:type="spellStart"/>
      <w:r w:rsidRPr="00BD72A5">
        <w:t>Wandelb</w:t>
      </w:r>
      <w:proofErr w:type="spellEnd"/>
      <w:r w:rsidRPr="00BD72A5">
        <w:t xml:space="preserve"> A.P., </w:t>
      </w:r>
      <w:proofErr w:type="spellStart"/>
      <w:r w:rsidRPr="00BD72A5">
        <w:t>Yusafa</w:t>
      </w:r>
      <w:proofErr w:type="spellEnd"/>
      <w:r w:rsidRPr="00BD72A5">
        <w:t xml:space="preserve"> T., </w:t>
      </w:r>
      <w:proofErr w:type="spellStart"/>
      <w:r w:rsidRPr="00BD72A5">
        <w:t>Hamawand</w:t>
      </w:r>
      <w:proofErr w:type="spellEnd"/>
      <w:r w:rsidRPr="00BD72A5">
        <w:t xml:space="preserve"> I., 2018, Production and application of ABE as a biofuel. Renewable and Sustainable Energy Reviews 82, 1195–1214.</w:t>
      </w:r>
    </w:p>
    <w:p w14:paraId="1EBB86C3" w14:textId="6F88CB9C" w:rsidR="00BF18C7" w:rsidRPr="00BD72A5" w:rsidRDefault="00BF18C7" w:rsidP="00BD72A5">
      <w:pPr>
        <w:pStyle w:val="CETReferencetext"/>
      </w:pPr>
      <w:proofErr w:type="spellStart"/>
      <w:r w:rsidRPr="00BD72A5">
        <w:t>Aupretre</w:t>
      </w:r>
      <w:proofErr w:type="spellEnd"/>
      <w:r w:rsidRPr="00BD72A5">
        <w:t xml:space="preserve"> F., </w:t>
      </w:r>
      <w:proofErr w:type="spellStart"/>
      <w:r w:rsidRPr="00BD72A5">
        <w:t>Descorme</w:t>
      </w:r>
      <w:proofErr w:type="spellEnd"/>
      <w:r w:rsidRPr="00BD72A5">
        <w:t xml:space="preserve"> C., </w:t>
      </w:r>
      <w:proofErr w:type="spellStart"/>
      <w:r w:rsidRPr="00BD72A5">
        <w:t>Duprez</w:t>
      </w:r>
      <w:proofErr w:type="spellEnd"/>
      <w:r w:rsidRPr="00BD72A5">
        <w:t xml:space="preserve"> D., 2002, Bio-ethanol catalytic steam reforming over supported metal catalysts. Catalysis Communications, 3, 263.</w:t>
      </w:r>
    </w:p>
    <w:p w14:paraId="4E57730F" w14:textId="77777777" w:rsidR="00F24C36" w:rsidRPr="00BD72A5" w:rsidRDefault="00F24C36" w:rsidP="00BD72A5">
      <w:pPr>
        <w:pStyle w:val="CETReferencetext"/>
      </w:pPr>
      <w:proofErr w:type="spellStart"/>
      <w:r w:rsidRPr="00BD72A5">
        <w:t>Bizkarra</w:t>
      </w:r>
      <w:proofErr w:type="spellEnd"/>
      <w:r w:rsidRPr="00BD72A5">
        <w:t xml:space="preserve"> K., Barrio V.L., </w:t>
      </w:r>
      <w:proofErr w:type="spellStart"/>
      <w:r w:rsidRPr="00BD72A5">
        <w:t>Yartu</w:t>
      </w:r>
      <w:proofErr w:type="spellEnd"/>
      <w:r w:rsidRPr="00BD72A5">
        <w:t xml:space="preserve"> A., </w:t>
      </w:r>
      <w:proofErr w:type="spellStart"/>
      <w:r w:rsidRPr="00BD72A5">
        <w:t>Requies</w:t>
      </w:r>
      <w:proofErr w:type="spellEnd"/>
      <w:r w:rsidRPr="00BD72A5">
        <w:t xml:space="preserve"> J., Arias P.L., </w:t>
      </w:r>
      <w:proofErr w:type="spellStart"/>
      <w:r w:rsidRPr="00BD72A5">
        <w:t>Cambra</w:t>
      </w:r>
      <w:proofErr w:type="spellEnd"/>
      <w:r w:rsidRPr="00BD72A5">
        <w:t xml:space="preserve"> J.F., 2015, Hydrogen production from n-butanol over alumina and modified alumina nickel catalysts. International Journal of Hydrogen Energy, 40, 5272–5280.</w:t>
      </w:r>
    </w:p>
    <w:p w14:paraId="0BE5DC3F" w14:textId="77777777" w:rsidR="00F24C36" w:rsidRPr="00BD72A5" w:rsidRDefault="00F24C36" w:rsidP="00BD72A5">
      <w:pPr>
        <w:pStyle w:val="CETReferencetext"/>
      </w:pPr>
      <w:proofErr w:type="spellStart"/>
      <w:r w:rsidRPr="00BD72A5">
        <w:t>Cai</w:t>
      </w:r>
      <w:proofErr w:type="spellEnd"/>
      <w:r w:rsidRPr="00BD72A5">
        <w:t xml:space="preserve"> W., de la </w:t>
      </w:r>
      <w:proofErr w:type="spellStart"/>
      <w:r w:rsidRPr="00BD72A5">
        <w:t>Piscina</w:t>
      </w:r>
      <w:proofErr w:type="spellEnd"/>
      <w:r w:rsidRPr="00BD72A5">
        <w:t xml:space="preserve"> P.R., </w:t>
      </w:r>
      <w:proofErr w:type="spellStart"/>
      <w:r w:rsidRPr="00BD72A5">
        <w:t>Homsa</w:t>
      </w:r>
      <w:proofErr w:type="spellEnd"/>
      <w:r w:rsidRPr="00BD72A5">
        <w:t xml:space="preserve"> N., 2012, Hydrogen production from the steam reforming of bio-butanol over novel supported Co-based bimetallic catalysts. </w:t>
      </w:r>
      <w:proofErr w:type="spellStart"/>
      <w:r w:rsidRPr="00BD72A5">
        <w:t>Bioresource</w:t>
      </w:r>
      <w:proofErr w:type="spellEnd"/>
      <w:r w:rsidRPr="00BD72A5">
        <w:t xml:space="preserve"> Technology, 107, 482–486.</w:t>
      </w:r>
    </w:p>
    <w:p w14:paraId="2005C871" w14:textId="1C4AF17A" w:rsidR="007C7206" w:rsidRPr="00BD72A5" w:rsidRDefault="007C7206" w:rsidP="00BD72A5">
      <w:pPr>
        <w:pStyle w:val="CETReferencetext"/>
      </w:pPr>
      <w:r w:rsidRPr="00BD72A5">
        <w:rPr>
          <w:rFonts w:eastAsia="Calibri"/>
        </w:rPr>
        <w:t xml:space="preserve">de </w:t>
      </w:r>
      <w:proofErr w:type="spellStart"/>
      <w:r w:rsidRPr="00BD72A5">
        <w:rPr>
          <w:rFonts w:eastAsia="Calibri"/>
        </w:rPr>
        <w:t>Caprariis</w:t>
      </w:r>
      <w:proofErr w:type="spellEnd"/>
      <w:r w:rsidRPr="00BD72A5">
        <w:rPr>
          <w:rFonts w:eastAsia="Calibri"/>
        </w:rPr>
        <w:t xml:space="preserve">  B., </w:t>
      </w:r>
      <w:proofErr w:type="spellStart"/>
      <w:r w:rsidRPr="00BD72A5">
        <w:rPr>
          <w:rFonts w:eastAsia="Calibri"/>
        </w:rPr>
        <w:t>Bracciale</w:t>
      </w:r>
      <w:proofErr w:type="spellEnd"/>
      <w:r w:rsidRPr="00BD72A5">
        <w:rPr>
          <w:rFonts w:eastAsia="Calibri"/>
        </w:rPr>
        <w:t xml:space="preserve"> M.P., De </w:t>
      </w:r>
      <w:proofErr w:type="spellStart"/>
      <w:r w:rsidRPr="00BD72A5">
        <w:rPr>
          <w:rFonts w:eastAsia="Calibri"/>
        </w:rPr>
        <w:t>Filippis</w:t>
      </w:r>
      <w:proofErr w:type="spellEnd"/>
      <w:r w:rsidRPr="00BD72A5">
        <w:rPr>
          <w:rFonts w:eastAsia="Calibri"/>
        </w:rPr>
        <w:t xml:space="preserve"> P., Hernandez A.D., </w:t>
      </w:r>
      <w:proofErr w:type="spellStart"/>
      <w:r w:rsidRPr="00BD72A5">
        <w:rPr>
          <w:rFonts w:eastAsia="Calibri"/>
        </w:rPr>
        <w:t>Petrullo</w:t>
      </w:r>
      <w:proofErr w:type="spellEnd"/>
      <w:r w:rsidRPr="00BD72A5">
        <w:rPr>
          <w:rFonts w:eastAsia="Calibri"/>
        </w:rPr>
        <w:t xml:space="preserve"> A., </w:t>
      </w:r>
      <w:proofErr w:type="spellStart"/>
      <w:r w:rsidRPr="00BD72A5">
        <w:rPr>
          <w:rFonts w:eastAsia="Calibri"/>
        </w:rPr>
        <w:t>Scarsella</w:t>
      </w:r>
      <w:proofErr w:type="spellEnd"/>
      <w:r w:rsidRPr="00BD72A5">
        <w:rPr>
          <w:rFonts w:eastAsia="Calibri"/>
        </w:rPr>
        <w:t xml:space="preserve"> M., 2017,</w:t>
      </w:r>
      <w:r w:rsidRPr="00BD72A5">
        <w:t xml:space="preserve"> </w:t>
      </w:r>
      <w:r w:rsidRPr="00BD72A5">
        <w:rPr>
          <w:rFonts w:eastAsia="Calibri"/>
        </w:rPr>
        <w:t xml:space="preserve">Steam reforming of tar model compounds over </w:t>
      </w:r>
      <w:proofErr w:type="spellStart"/>
      <w:r w:rsidRPr="00BD72A5">
        <w:rPr>
          <w:rFonts w:eastAsia="Calibri"/>
        </w:rPr>
        <w:t>ni</w:t>
      </w:r>
      <w:proofErr w:type="spellEnd"/>
      <w:r w:rsidRPr="00BD72A5">
        <w:rPr>
          <w:rFonts w:eastAsia="Calibri"/>
        </w:rPr>
        <w:t xml:space="preserve"> supported on CeO2 and </w:t>
      </w:r>
      <w:proofErr w:type="spellStart"/>
      <w:r w:rsidRPr="00BD72A5">
        <w:rPr>
          <w:rFonts w:eastAsia="Calibri"/>
        </w:rPr>
        <w:t>mayenite</w:t>
      </w:r>
      <w:proofErr w:type="spellEnd"/>
      <w:r w:rsidRPr="00BD72A5">
        <w:rPr>
          <w:rFonts w:eastAsia="Calibri"/>
        </w:rPr>
        <w:t>. Can. J. Chem. Eng., 95, 1745–1751.</w:t>
      </w:r>
    </w:p>
    <w:p w14:paraId="0C3F0F8B" w14:textId="77777777" w:rsidR="00F24C36" w:rsidRPr="00BD72A5" w:rsidRDefault="00F24C36" w:rsidP="00BD72A5">
      <w:pPr>
        <w:pStyle w:val="CETReferencetext"/>
      </w:pPr>
      <w:proofErr w:type="spellStart"/>
      <w:r w:rsidRPr="00BD72A5">
        <w:t>Karimi</w:t>
      </w:r>
      <w:proofErr w:type="spellEnd"/>
      <w:r w:rsidRPr="00BD72A5">
        <w:t xml:space="preserve"> K., </w:t>
      </w:r>
      <w:proofErr w:type="spellStart"/>
      <w:r w:rsidRPr="00BD72A5">
        <w:t>Tabatabaei</w:t>
      </w:r>
      <w:proofErr w:type="spellEnd"/>
      <w:r w:rsidRPr="00BD72A5">
        <w:t xml:space="preserve"> M., </w:t>
      </w:r>
      <w:proofErr w:type="spellStart"/>
      <w:r w:rsidRPr="00BD72A5">
        <w:t>Sárvári</w:t>
      </w:r>
      <w:proofErr w:type="spellEnd"/>
      <w:r w:rsidRPr="00BD72A5">
        <w:t xml:space="preserve"> </w:t>
      </w:r>
      <w:proofErr w:type="spellStart"/>
      <w:r w:rsidRPr="00BD72A5">
        <w:t>Horváth</w:t>
      </w:r>
      <w:proofErr w:type="spellEnd"/>
      <w:r w:rsidRPr="00BD72A5">
        <w:t xml:space="preserve"> I., Kumar R., 2015, Recent trends in acetone, butanol, and ethanol (ABE) production. Biofuel Research Journal, 8, 301–308.</w:t>
      </w:r>
    </w:p>
    <w:p w14:paraId="6A43F2E1" w14:textId="77777777" w:rsidR="00F24C36" w:rsidRPr="00BD72A5" w:rsidRDefault="00F24C36" w:rsidP="00BD72A5">
      <w:pPr>
        <w:pStyle w:val="CETReferencetext"/>
      </w:pPr>
      <w:r w:rsidRPr="00BD72A5">
        <w:t xml:space="preserve">Kumar B., Kumar S., Sinha S., Kumar S., 2018, Utilization of acetone-butanol-ethanol-water mixture obtained from biomass fermentation as renewable feedstock for hydrogen production via steam reforming: thermodynamic and energy analyses. </w:t>
      </w:r>
      <w:proofErr w:type="spellStart"/>
      <w:r w:rsidRPr="00BD72A5">
        <w:t>Bioresource</w:t>
      </w:r>
      <w:proofErr w:type="spellEnd"/>
      <w:r w:rsidRPr="00BD72A5">
        <w:t xml:space="preserve"> Technology, 261, 385–393.</w:t>
      </w:r>
    </w:p>
    <w:p w14:paraId="4BC98218" w14:textId="77777777" w:rsidR="00F24C36" w:rsidRPr="00BD72A5" w:rsidRDefault="00F24C36" w:rsidP="00BD72A5">
      <w:pPr>
        <w:pStyle w:val="CETReferencetext"/>
      </w:pPr>
      <w:r w:rsidRPr="00BD72A5">
        <w:t>Roy B., Sullivan H., Leclerc C.A., 2011 .Aqueous-phase reforming of n-</w:t>
      </w:r>
      <w:proofErr w:type="spellStart"/>
      <w:r w:rsidRPr="00BD72A5">
        <w:t>BuOH</w:t>
      </w:r>
      <w:proofErr w:type="spellEnd"/>
      <w:r w:rsidRPr="00BD72A5">
        <w:t xml:space="preserve"> over Ni/Al2O3 and Ni/CeO2 catalysts. Journal of Power Sources, 196, 10652–10657.</w:t>
      </w:r>
    </w:p>
    <w:p w14:paraId="0C90C331" w14:textId="77777777" w:rsidR="00F24C36" w:rsidRPr="00BD72A5" w:rsidRDefault="00F24C36" w:rsidP="00BD72A5">
      <w:pPr>
        <w:pStyle w:val="CETReferencetext"/>
      </w:pPr>
      <w:proofErr w:type="spellStart"/>
      <w:r w:rsidRPr="00BD72A5">
        <w:t>Scherrer</w:t>
      </w:r>
      <w:proofErr w:type="spellEnd"/>
      <w:r w:rsidRPr="00BD72A5">
        <w:t xml:space="preserve"> P., 1912, </w:t>
      </w:r>
      <w:proofErr w:type="spellStart"/>
      <w:r w:rsidRPr="00BD72A5">
        <w:t>Bestimmung</w:t>
      </w:r>
      <w:proofErr w:type="spellEnd"/>
      <w:r w:rsidRPr="00BD72A5">
        <w:t xml:space="preserve"> der </w:t>
      </w:r>
      <w:proofErr w:type="spellStart"/>
      <w:r w:rsidRPr="00BD72A5">
        <w:t>inneren</w:t>
      </w:r>
      <w:proofErr w:type="spellEnd"/>
      <w:r w:rsidRPr="00BD72A5">
        <w:t xml:space="preserve"> </w:t>
      </w:r>
      <w:proofErr w:type="spellStart"/>
      <w:r w:rsidRPr="00BD72A5">
        <w:t>Struktur</w:t>
      </w:r>
      <w:proofErr w:type="spellEnd"/>
      <w:r w:rsidRPr="00BD72A5">
        <w:t xml:space="preserve"> und der </w:t>
      </w:r>
      <w:proofErr w:type="spellStart"/>
      <w:r w:rsidRPr="00BD72A5">
        <w:t>Größe</w:t>
      </w:r>
      <w:proofErr w:type="spellEnd"/>
      <w:r w:rsidRPr="00BD72A5">
        <w:t xml:space="preserve"> von </w:t>
      </w:r>
      <w:proofErr w:type="spellStart"/>
      <w:r w:rsidRPr="00BD72A5">
        <w:t>Kolloidteilchen</w:t>
      </w:r>
      <w:proofErr w:type="spellEnd"/>
      <w:r w:rsidRPr="00BD72A5">
        <w:t xml:space="preserve"> </w:t>
      </w:r>
      <w:proofErr w:type="spellStart"/>
      <w:r w:rsidRPr="00BD72A5">
        <w:t>mittels</w:t>
      </w:r>
      <w:proofErr w:type="spellEnd"/>
      <w:r w:rsidRPr="00BD72A5">
        <w:t xml:space="preserve"> </w:t>
      </w:r>
      <w:proofErr w:type="spellStart"/>
      <w:r w:rsidRPr="00BD72A5">
        <w:t>Röntgenstrahlen</w:t>
      </w:r>
      <w:proofErr w:type="spellEnd"/>
      <w:r w:rsidRPr="00BD72A5">
        <w:t xml:space="preserve">, Chapter In: R Zsigmondy (Ed.), </w:t>
      </w:r>
      <w:proofErr w:type="spellStart"/>
      <w:r w:rsidRPr="00BD72A5">
        <w:t>Kolloidchemie</w:t>
      </w:r>
      <w:proofErr w:type="spellEnd"/>
      <w:r w:rsidRPr="00BD72A5">
        <w:t xml:space="preserve"> </w:t>
      </w:r>
      <w:proofErr w:type="spellStart"/>
      <w:r w:rsidRPr="00BD72A5">
        <w:t>Ein</w:t>
      </w:r>
      <w:proofErr w:type="spellEnd"/>
      <w:r w:rsidRPr="00BD72A5">
        <w:t xml:space="preserve"> </w:t>
      </w:r>
      <w:proofErr w:type="spellStart"/>
      <w:r w:rsidRPr="00BD72A5">
        <w:t>Lehrbuch</w:t>
      </w:r>
      <w:proofErr w:type="spellEnd"/>
      <w:r w:rsidRPr="00BD72A5">
        <w:t>, Springer Berlin Heidelberg, Berlin, DE, 387–409.</w:t>
      </w:r>
    </w:p>
    <w:p w14:paraId="289CD491" w14:textId="77777777" w:rsidR="00F24C36" w:rsidRPr="00BD72A5" w:rsidRDefault="00F24C36" w:rsidP="00BD72A5">
      <w:pPr>
        <w:pStyle w:val="CETReferencetext"/>
      </w:pPr>
      <w:r w:rsidRPr="00BD72A5">
        <w:t xml:space="preserve">Wang Y., Yang X., Wang Y., 2016, Catalytic performance of mesoporous </w:t>
      </w:r>
      <w:proofErr w:type="spellStart"/>
      <w:r w:rsidRPr="00BD72A5">
        <w:t>MgO</w:t>
      </w:r>
      <w:proofErr w:type="spellEnd"/>
      <w:r w:rsidRPr="00BD72A5">
        <w:t xml:space="preserve"> supported Ni catalyst in steam reforming of model compounds of biomass fermentation for hydrogen production. International Journal of Hydrogen Energy, 41, 17846–17857.</w:t>
      </w:r>
    </w:p>
    <w:p w14:paraId="23938722" w14:textId="77777777" w:rsidR="00F24C36" w:rsidRPr="00BD72A5" w:rsidRDefault="00F24C36" w:rsidP="00BD72A5">
      <w:pPr>
        <w:pStyle w:val="CETReferencetext"/>
      </w:pPr>
      <w:r w:rsidRPr="00BD72A5">
        <w:t>Yadav A.K., Vaidya P.D., 2018, Reaction kinetics of steam reforming of n-butanol over a Ni/</w:t>
      </w:r>
      <w:proofErr w:type="spellStart"/>
      <w:r w:rsidRPr="00BD72A5">
        <w:t>hydrotalcite</w:t>
      </w:r>
      <w:proofErr w:type="spellEnd"/>
      <w:r w:rsidRPr="00BD72A5">
        <w:t xml:space="preserve"> catalyst. Chem. Eng. Technol., 41 (5), 890–896.</w:t>
      </w:r>
    </w:p>
    <w:p w14:paraId="6DB3EFA0" w14:textId="77777777" w:rsidR="00F24C36" w:rsidRPr="00BD72A5" w:rsidRDefault="00F24C36" w:rsidP="00BD72A5">
      <w:pPr>
        <w:pStyle w:val="CETReferencetext"/>
      </w:pPr>
      <w:r w:rsidRPr="00BD72A5">
        <w:t xml:space="preserve">Yang E-h., Noh Y-s., Ramesh S., Lim S.S., Moon D.J., </w:t>
      </w:r>
      <w:bookmarkStart w:id="8" w:name="OLE_LINK13"/>
      <w:bookmarkStart w:id="9" w:name="OLE_LINK14"/>
      <w:r w:rsidRPr="00BD72A5">
        <w:t xml:space="preserve">2015, The effect of promoters in La0.9M0.1Ni0.5Fe0.5O3 (M = </w:t>
      </w:r>
      <w:proofErr w:type="spellStart"/>
      <w:r w:rsidRPr="00BD72A5">
        <w:t>Sr</w:t>
      </w:r>
      <w:proofErr w:type="spellEnd"/>
      <w:r w:rsidRPr="00BD72A5">
        <w:t>, Ca) perovskite catalysts on dry reforming of methane. Fuel Processing Technology, 134, 404–413</w:t>
      </w:r>
      <w:bookmarkEnd w:id="8"/>
      <w:bookmarkEnd w:id="9"/>
      <w:r w:rsidRPr="00BD72A5">
        <w:t>.</w:t>
      </w:r>
    </w:p>
    <w:p w14:paraId="35F8A450" w14:textId="7BD65FA3" w:rsidR="00F24C36" w:rsidRPr="00BD72A5" w:rsidRDefault="00F24C36" w:rsidP="00BD72A5">
      <w:pPr>
        <w:pStyle w:val="CETReferencetext"/>
      </w:pPr>
      <w:r w:rsidRPr="00BD72A5">
        <w:t xml:space="preserve">Yang E-h., Moon D.J., 2016, Synthesis of LaNiO3 perovskite using an EDTA-cellulose method and comparison with the conventional </w:t>
      </w:r>
      <w:proofErr w:type="spellStart"/>
      <w:r w:rsidRPr="00BD72A5">
        <w:t>Pechini</w:t>
      </w:r>
      <w:proofErr w:type="spellEnd"/>
      <w:r w:rsidRPr="00BD72A5">
        <w:t xml:space="preserve"> method: application to steam CO2 reforming of methane. RSC Advances, 6 (114), 112885-112898.</w:t>
      </w:r>
    </w:p>
    <w:p w14:paraId="7C209EB0" w14:textId="77777777" w:rsidR="006B7D37" w:rsidRPr="00BD72A5" w:rsidRDefault="006B7D37" w:rsidP="00BD72A5">
      <w:pPr>
        <w:pStyle w:val="CETReferencetext"/>
      </w:pPr>
    </w:p>
    <w:sectPr w:rsidR="006B7D37" w:rsidRPr="00BD72A5"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A5711" w16cid:durableId="1FB4EC03"/>
  <w16cid:commentId w16cid:paraId="0FF0C657" w16cid:durableId="1FB8AC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0B77" w14:textId="77777777" w:rsidR="00F80F51" w:rsidRDefault="00F80F51" w:rsidP="004F5E36">
      <w:r>
        <w:separator/>
      </w:r>
    </w:p>
  </w:endnote>
  <w:endnote w:type="continuationSeparator" w:id="0">
    <w:p w14:paraId="260CB3E4" w14:textId="77777777" w:rsidR="00F80F51" w:rsidRDefault="00F80F5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Warnock Pro">
    <w:altName w:val="Warnock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A5215" w14:textId="77777777" w:rsidR="00F80F51" w:rsidRDefault="00F80F51" w:rsidP="004F5E36">
      <w:r>
        <w:separator/>
      </w:r>
    </w:p>
  </w:footnote>
  <w:footnote w:type="continuationSeparator" w:id="0">
    <w:p w14:paraId="7418BD92" w14:textId="77777777" w:rsidR="00F80F51" w:rsidRDefault="00F80F5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E30195"/>
    <w:multiLevelType w:val="hybridMultilevel"/>
    <w:tmpl w:val="C7689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66E36"/>
    <w:rsid w:val="00072D18"/>
    <w:rsid w:val="00086C39"/>
    <w:rsid w:val="00090EB9"/>
    <w:rsid w:val="000A03B2"/>
    <w:rsid w:val="000D2880"/>
    <w:rsid w:val="000D34BE"/>
    <w:rsid w:val="000E102F"/>
    <w:rsid w:val="000E36F1"/>
    <w:rsid w:val="000E3A73"/>
    <w:rsid w:val="000E414A"/>
    <w:rsid w:val="000F093C"/>
    <w:rsid w:val="000F16BD"/>
    <w:rsid w:val="000F70C4"/>
    <w:rsid w:val="000F787B"/>
    <w:rsid w:val="0012091F"/>
    <w:rsid w:val="00126BC2"/>
    <w:rsid w:val="001308B6"/>
    <w:rsid w:val="0013121F"/>
    <w:rsid w:val="00131FAB"/>
    <w:rsid w:val="00131FE6"/>
    <w:rsid w:val="0013263F"/>
    <w:rsid w:val="00134DE4"/>
    <w:rsid w:val="0014034D"/>
    <w:rsid w:val="001436AD"/>
    <w:rsid w:val="00150E59"/>
    <w:rsid w:val="00152DE3"/>
    <w:rsid w:val="00164CF9"/>
    <w:rsid w:val="00174482"/>
    <w:rsid w:val="00181404"/>
    <w:rsid w:val="00184AD6"/>
    <w:rsid w:val="001A286E"/>
    <w:rsid w:val="001B0349"/>
    <w:rsid w:val="001B65C1"/>
    <w:rsid w:val="001B7834"/>
    <w:rsid w:val="001C47AB"/>
    <w:rsid w:val="001C684B"/>
    <w:rsid w:val="001D53FC"/>
    <w:rsid w:val="001F42A5"/>
    <w:rsid w:val="001F7B9D"/>
    <w:rsid w:val="00220BD5"/>
    <w:rsid w:val="002224B4"/>
    <w:rsid w:val="00227946"/>
    <w:rsid w:val="00233419"/>
    <w:rsid w:val="002447EF"/>
    <w:rsid w:val="00251550"/>
    <w:rsid w:val="002563DC"/>
    <w:rsid w:val="00263B05"/>
    <w:rsid w:val="0027221A"/>
    <w:rsid w:val="00275B61"/>
    <w:rsid w:val="00282656"/>
    <w:rsid w:val="00296B83"/>
    <w:rsid w:val="002A490C"/>
    <w:rsid w:val="002B78CE"/>
    <w:rsid w:val="002C2FB6"/>
    <w:rsid w:val="002E09F2"/>
    <w:rsid w:val="003009B7"/>
    <w:rsid w:val="00300B66"/>
    <w:rsid w:val="00300E56"/>
    <w:rsid w:val="0030469C"/>
    <w:rsid w:val="00321CA6"/>
    <w:rsid w:val="00324F94"/>
    <w:rsid w:val="00334C09"/>
    <w:rsid w:val="003365E3"/>
    <w:rsid w:val="00354FED"/>
    <w:rsid w:val="0037082E"/>
    <w:rsid w:val="003723D4"/>
    <w:rsid w:val="00384CC8"/>
    <w:rsid w:val="003871FD"/>
    <w:rsid w:val="00393C30"/>
    <w:rsid w:val="003A1E30"/>
    <w:rsid w:val="003A4C81"/>
    <w:rsid w:val="003A7D1C"/>
    <w:rsid w:val="003B304B"/>
    <w:rsid w:val="003B3146"/>
    <w:rsid w:val="003B60F3"/>
    <w:rsid w:val="003B7FE4"/>
    <w:rsid w:val="003C0754"/>
    <w:rsid w:val="003D60FA"/>
    <w:rsid w:val="003D76BD"/>
    <w:rsid w:val="003F015E"/>
    <w:rsid w:val="003F1FE6"/>
    <w:rsid w:val="00400414"/>
    <w:rsid w:val="0041446B"/>
    <w:rsid w:val="0044329C"/>
    <w:rsid w:val="00444CF8"/>
    <w:rsid w:val="00447149"/>
    <w:rsid w:val="004573C3"/>
    <w:rsid w:val="004577FE"/>
    <w:rsid w:val="00457B9C"/>
    <w:rsid w:val="0046164A"/>
    <w:rsid w:val="004628D2"/>
    <w:rsid w:val="00462DCD"/>
    <w:rsid w:val="004648AD"/>
    <w:rsid w:val="0046639E"/>
    <w:rsid w:val="004703A9"/>
    <w:rsid w:val="004746E2"/>
    <w:rsid w:val="004760DE"/>
    <w:rsid w:val="004835DC"/>
    <w:rsid w:val="00486504"/>
    <w:rsid w:val="004A004E"/>
    <w:rsid w:val="004A24CF"/>
    <w:rsid w:val="004A5078"/>
    <w:rsid w:val="004B6721"/>
    <w:rsid w:val="004C3D1D"/>
    <w:rsid w:val="004C7913"/>
    <w:rsid w:val="004E3C24"/>
    <w:rsid w:val="004E4DD6"/>
    <w:rsid w:val="004F5E36"/>
    <w:rsid w:val="00507B47"/>
    <w:rsid w:val="00507CC9"/>
    <w:rsid w:val="005119A5"/>
    <w:rsid w:val="005278B7"/>
    <w:rsid w:val="00532016"/>
    <w:rsid w:val="005346C8"/>
    <w:rsid w:val="00535F09"/>
    <w:rsid w:val="00543E7D"/>
    <w:rsid w:val="00547A68"/>
    <w:rsid w:val="005531C9"/>
    <w:rsid w:val="00554987"/>
    <w:rsid w:val="0055751D"/>
    <w:rsid w:val="00564BB1"/>
    <w:rsid w:val="00573EDF"/>
    <w:rsid w:val="005842E8"/>
    <w:rsid w:val="00595E2B"/>
    <w:rsid w:val="005A01AF"/>
    <w:rsid w:val="005B2110"/>
    <w:rsid w:val="005B61E6"/>
    <w:rsid w:val="005C77E1"/>
    <w:rsid w:val="005D6A2F"/>
    <w:rsid w:val="005E1A82"/>
    <w:rsid w:val="005E794C"/>
    <w:rsid w:val="005F0A28"/>
    <w:rsid w:val="005F0E5E"/>
    <w:rsid w:val="00600535"/>
    <w:rsid w:val="00610CD6"/>
    <w:rsid w:val="006166D7"/>
    <w:rsid w:val="00620DEE"/>
    <w:rsid w:val="00621F92"/>
    <w:rsid w:val="00625639"/>
    <w:rsid w:val="00631B33"/>
    <w:rsid w:val="0064184D"/>
    <w:rsid w:val="006422CC"/>
    <w:rsid w:val="00660E3E"/>
    <w:rsid w:val="00662E74"/>
    <w:rsid w:val="0066685B"/>
    <w:rsid w:val="00673110"/>
    <w:rsid w:val="00680C23"/>
    <w:rsid w:val="00693766"/>
    <w:rsid w:val="006A0CA2"/>
    <w:rsid w:val="006A3281"/>
    <w:rsid w:val="006B4888"/>
    <w:rsid w:val="006B7D37"/>
    <w:rsid w:val="006C2E45"/>
    <w:rsid w:val="006C359C"/>
    <w:rsid w:val="006C5259"/>
    <w:rsid w:val="006C5579"/>
    <w:rsid w:val="006D4B94"/>
    <w:rsid w:val="006E737D"/>
    <w:rsid w:val="006E7F0A"/>
    <w:rsid w:val="006F3AB5"/>
    <w:rsid w:val="0070195D"/>
    <w:rsid w:val="00707CE4"/>
    <w:rsid w:val="00720A24"/>
    <w:rsid w:val="00724A3B"/>
    <w:rsid w:val="00727365"/>
    <w:rsid w:val="00732386"/>
    <w:rsid w:val="007343F7"/>
    <w:rsid w:val="007447F3"/>
    <w:rsid w:val="0075499F"/>
    <w:rsid w:val="0075607E"/>
    <w:rsid w:val="007661C8"/>
    <w:rsid w:val="0077098D"/>
    <w:rsid w:val="00772132"/>
    <w:rsid w:val="00776138"/>
    <w:rsid w:val="0077632B"/>
    <w:rsid w:val="007931FA"/>
    <w:rsid w:val="007A7BBA"/>
    <w:rsid w:val="007B0C50"/>
    <w:rsid w:val="007B7169"/>
    <w:rsid w:val="007C1A43"/>
    <w:rsid w:val="007C63F2"/>
    <w:rsid w:val="007C7206"/>
    <w:rsid w:val="007E09CF"/>
    <w:rsid w:val="007E1DC6"/>
    <w:rsid w:val="007F2267"/>
    <w:rsid w:val="00813288"/>
    <w:rsid w:val="00813BB8"/>
    <w:rsid w:val="008168FC"/>
    <w:rsid w:val="00830996"/>
    <w:rsid w:val="008345F1"/>
    <w:rsid w:val="008531D2"/>
    <w:rsid w:val="00856F59"/>
    <w:rsid w:val="00865B07"/>
    <w:rsid w:val="008667EA"/>
    <w:rsid w:val="008672D9"/>
    <w:rsid w:val="0087637F"/>
    <w:rsid w:val="0088462B"/>
    <w:rsid w:val="008904B9"/>
    <w:rsid w:val="00892AD5"/>
    <w:rsid w:val="008A1512"/>
    <w:rsid w:val="008A766E"/>
    <w:rsid w:val="008D32B9"/>
    <w:rsid w:val="008D433B"/>
    <w:rsid w:val="008E0893"/>
    <w:rsid w:val="008E566E"/>
    <w:rsid w:val="0090161A"/>
    <w:rsid w:val="00901EB6"/>
    <w:rsid w:val="00904C62"/>
    <w:rsid w:val="00924DAC"/>
    <w:rsid w:val="00927058"/>
    <w:rsid w:val="009307D4"/>
    <w:rsid w:val="00940E29"/>
    <w:rsid w:val="009450CE"/>
    <w:rsid w:val="00947179"/>
    <w:rsid w:val="0095164B"/>
    <w:rsid w:val="009518F1"/>
    <w:rsid w:val="00954090"/>
    <w:rsid w:val="00955B7A"/>
    <w:rsid w:val="009573E7"/>
    <w:rsid w:val="00963E05"/>
    <w:rsid w:val="00967D54"/>
    <w:rsid w:val="00967F29"/>
    <w:rsid w:val="009712C1"/>
    <w:rsid w:val="00996483"/>
    <w:rsid w:val="00996F5A"/>
    <w:rsid w:val="009A02A9"/>
    <w:rsid w:val="009A0A3E"/>
    <w:rsid w:val="009B041A"/>
    <w:rsid w:val="009B1C58"/>
    <w:rsid w:val="009C7C86"/>
    <w:rsid w:val="009D2FF7"/>
    <w:rsid w:val="009E7884"/>
    <w:rsid w:val="009E788A"/>
    <w:rsid w:val="009F0E08"/>
    <w:rsid w:val="009F5D97"/>
    <w:rsid w:val="00A1763D"/>
    <w:rsid w:val="00A17CEC"/>
    <w:rsid w:val="00A271B7"/>
    <w:rsid w:val="00A27EF0"/>
    <w:rsid w:val="00A322AF"/>
    <w:rsid w:val="00A42A07"/>
    <w:rsid w:val="00A50B20"/>
    <w:rsid w:val="00A51390"/>
    <w:rsid w:val="00A57A28"/>
    <w:rsid w:val="00A57A36"/>
    <w:rsid w:val="00A60D13"/>
    <w:rsid w:val="00A664E6"/>
    <w:rsid w:val="00A71640"/>
    <w:rsid w:val="00A72745"/>
    <w:rsid w:val="00A76EFC"/>
    <w:rsid w:val="00A87785"/>
    <w:rsid w:val="00A91010"/>
    <w:rsid w:val="00A91656"/>
    <w:rsid w:val="00A965FD"/>
    <w:rsid w:val="00A97F29"/>
    <w:rsid w:val="00AA702E"/>
    <w:rsid w:val="00AB0964"/>
    <w:rsid w:val="00AB5011"/>
    <w:rsid w:val="00AC00E0"/>
    <w:rsid w:val="00AC7368"/>
    <w:rsid w:val="00AD16B9"/>
    <w:rsid w:val="00AD18AC"/>
    <w:rsid w:val="00AE2A97"/>
    <w:rsid w:val="00AE377D"/>
    <w:rsid w:val="00B11177"/>
    <w:rsid w:val="00B12ED6"/>
    <w:rsid w:val="00B17FBD"/>
    <w:rsid w:val="00B315A6"/>
    <w:rsid w:val="00B31813"/>
    <w:rsid w:val="00B33365"/>
    <w:rsid w:val="00B57936"/>
    <w:rsid w:val="00B57B36"/>
    <w:rsid w:val="00B724C7"/>
    <w:rsid w:val="00B81FA0"/>
    <w:rsid w:val="00B8686D"/>
    <w:rsid w:val="00B965E6"/>
    <w:rsid w:val="00BA44E8"/>
    <w:rsid w:val="00BC30C9"/>
    <w:rsid w:val="00BD72A5"/>
    <w:rsid w:val="00BE3E58"/>
    <w:rsid w:val="00BF18C7"/>
    <w:rsid w:val="00C01616"/>
    <w:rsid w:val="00C0162B"/>
    <w:rsid w:val="00C345B1"/>
    <w:rsid w:val="00C40142"/>
    <w:rsid w:val="00C57182"/>
    <w:rsid w:val="00C57863"/>
    <w:rsid w:val="00C655FD"/>
    <w:rsid w:val="00C870A8"/>
    <w:rsid w:val="00C94434"/>
    <w:rsid w:val="00CA0D75"/>
    <w:rsid w:val="00CA1C95"/>
    <w:rsid w:val="00CA5A9C"/>
    <w:rsid w:val="00CD3517"/>
    <w:rsid w:val="00CD5FE2"/>
    <w:rsid w:val="00CE7583"/>
    <w:rsid w:val="00CE7C68"/>
    <w:rsid w:val="00D02B4C"/>
    <w:rsid w:val="00D040C4"/>
    <w:rsid w:val="00D21449"/>
    <w:rsid w:val="00D564D4"/>
    <w:rsid w:val="00D572A8"/>
    <w:rsid w:val="00D57C84"/>
    <w:rsid w:val="00D6057D"/>
    <w:rsid w:val="00D84576"/>
    <w:rsid w:val="00D93032"/>
    <w:rsid w:val="00D93C96"/>
    <w:rsid w:val="00DA1399"/>
    <w:rsid w:val="00DA1B99"/>
    <w:rsid w:val="00DA24C6"/>
    <w:rsid w:val="00DA361A"/>
    <w:rsid w:val="00DA4D7B"/>
    <w:rsid w:val="00DC4D02"/>
    <w:rsid w:val="00DD2467"/>
    <w:rsid w:val="00DE264A"/>
    <w:rsid w:val="00DE335B"/>
    <w:rsid w:val="00DF636E"/>
    <w:rsid w:val="00E02D18"/>
    <w:rsid w:val="00E041E7"/>
    <w:rsid w:val="00E12B27"/>
    <w:rsid w:val="00E2242D"/>
    <w:rsid w:val="00E23CA1"/>
    <w:rsid w:val="00E409A8"/>
    <w:rsid w:val="00E50C12"/>
    <w:rsid w:val="00E51F44"/>
    <w:rsid w:val="00E53032"/>
    <w:rsid w:val="00E54AA8"/>
    <w:rsid w:val="00E65B91"/>
    <w:rsid w:val="00E7209D"/>
    <w:rsid w:val="00E77223"/>
    <w:rsid w:val="00E8528B"/>
    <w:rsid w:val="00E85B94"/>
    <w:rsid w:val="00E8788F"/>
    <w:rsid w:val="00E978D0"/>
    <w:rsid w:val="00EA4613"/>
    <w:rsid w:val="00EA7F91"/>
    <w:rsid w:val="00EB1523"/>
    <w:rsid w:val="00EB36B2"/>
    <w:rsid w:val="00EC0E49"/>
    <w:rsid w:val="00ED5F33"/>
    <w:rsid w:val="00EE0131"/>
    <w:rsid w:val="00EE0DA9"/>
    <w:rsid w:val="00F155B2"/>
    <w:rsid w:val="00F24C36"/>
    <w:rsid w:val="00F250D8"/>
    <w:rsid w:val="00F30C64"/>
    <w:rsid w:val="00F32CDB"/>
    <w:rsid w:val="00F63A70"/>
    <w:rsid w:val="00F80F51"/>
    <w:rsid w:val="00FA21D0"/>
    <w:rsid w:val="00FA4E01"/>
    <w:rsid w:val="00FA5F5F"/>
    <w:rsid w:val="00FB730C"/>
    <w:rsid w:val="00FC2695"/>
    <w:rsid w:val="00FC3E03"/>
    <w:rsid w:val="00FC3FC1"/>
    <w:rsid w:val="00FE2EBB"/>
    <w:rsid w:val="00FF59E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2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1744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1744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903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546F-16D5-4679-9241-AEA2C155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2484</Words>
  <Characters>14161</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2019-02-13T11:02:00Z</dcterms:created>
  <dcterms:modified xsi:type="dcterms:W3CDTF">2019-04-01T13:50:00Z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