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085147">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085147">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6F0401" w:rsidRDefault="00300E56" w:rsidP="003365E3">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rsidR="000A03B2" w:rsidRPr="00B57B36" w:rsidRDefault="00FA5F5F" w:rsidP="00085147">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085147">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844C16" w:rsidRDefault="00844C16" w:rsidP="00085147">
      <w:pPr>
        <w:pStyle w:val="CETTitle"/>
      </w:pPr>
      <w:r w:rsidRPr="00844C16">
        <w:lastRenderedPageBreak/>
        <w:t xml:space="preserve">Continuous </w:t>
      </w:r>
      <w:r w:rsidR="00E5057A">
        <w:t>R</w:t>
      </w:r>
      <w:r w:rsidRPr="00844C16">
        <w:t xml:space="preserve">emoval of Cr(VI) by </w:t>
      </w:r>
      <w:r w:rsidR="00E5057A">
        <w:t>L</w:t>
      </w:r>
      <w:r w:rsidRPr="00844C16">
        <w:t>ab-</w:t>
      </w:r>
      <w:r w:rsidR="00E5057A">
        <w:t>S</w:t>
      </w:r>
      <w:r w:rsidRPr="00844C16">
        <w:t xml:space="preserve">cale </w:t>
      </w:r>
      <w:r w:rsidR="00E5057A">
        <w:t>F</w:t>
      </w:r>
      <w:r w:rsidRPr="00844C16">
        <w:t>ixed-</w:t>
      </w:r>
      <w:r w:rsidR="00E5057A">
        <w:t>B</w:t>
      </w:r>
      <w:r w:rsidRPr="00844C16">
        <w:t xml:space="preserve">ed </w:t>
      </w:r>
      <w:r w:rsidR="00E5057A">
        <w:t>C</w:t>
      </w:r>
      <w:r w:rsidRPr="00844C16">
        <w:t xml:space="preserve">olumn </w:t>
      </w:r>
      <w:r w:rsidR="00E5057A">
        <w:t>P</w:t>
      </w:r>
      <w:r w:rsidRPr="00844C16">
        <w:t xml:space="preserve">acked with </w:t>
      </w:r>
      <w:r w:rsidR="00E5057A">
        <w:t>C</w:t>
      </w:r>
      <w:r w:rsidRPr="00844C16">
        <w:t>hitosan-</w:t>
      </w:r>
      <w:proofErr w:type="spellStart"/>
      <w:r w:rsidR="00E5057A">
        <w:t>N</w:t>
      </w:r>
      <w:r w:rsidRPr="00844C16">
        <w:t>anomagnetite</w:t>
      </w:r>
      <w:proofErr w:type="spellEnd"/>
      <w:r w:rsidRPr="00844C16">
        <w:t xml:space="preserve"> </w:t>
      </w:r>
      <w:r w:rsidR="00E5057A">
        <w:t>P</w:t>
      </w:r>
      <w:r w:rsidRPr="00844C16">
        <w:t>articles</w:t>
      </w:r>
    </w:p>
    <w:p w:rsidR="00325B77" w:rsidRPr="00844C16" w:rsidRDefault="005366BB" w:rsidP="00325B77">
      <w:pPr>
        <w:pStyle w:val="CETAuthors"/>
        <w:rPr>
          <w:lang w:val="it-IT"/>
        </w:rPr>
      </w:pPr>
      <w:r w:rsidRPr="00844C16">
        <w:rPr>
          <w:lang w:val="it-IT"/>
        </w:rPr>
        <w:t>Srikanth Vuppala</w:t>
      </w:r>
      <w:r>
        <w:rPr>
          <w:vertAlign w:val="superscript"/>
          <w:lang w:val="it-IT"/>
        </w:rPr>
        <w:t>a</w:t>
      </w:r>
      <w:r>
        <w:rPr>
          <w:lang w:val="it-IT"/>
        </w:rPr>
        <w:t>, Angela Marchetti</w:t>
      </w:r>
      <w:r w:rsidR="00B86EC0">
        <w:rPr>
          <w:vertAlign w:val="superscript"/>
          <w:lang w:val="it-IT"/>
        </w:rPr>
        <w:t>b</w:t>
      </w:r>
      <w:r>
        <w:rPr>
          <w:lang w:val="it-IT"/>
        </w:rPr>
        <w:t xml:space="preserve">, </w:t>
      </w:r>
      <w:r w:rsidRPr="00844C16">
        <w:rPr>
          <w:lang w:val="it-IT"/>
        </w:rPr>
        <w:t>Claudio Cianfrini</w:t>
      </w:r>
      <w:r>
        <w:rPr>
          <w:vertAlign w:val="superscript"/>
          <w:lang w:val="it-IT"/>
        </w:rPr>
        <w:t>a</w:t>
      </w:r>
      <w:r>
        <w:rPr>
          <w:lang w:val="it-IT"/>
        </w:rPr>
        <w:t xml:space="preserve">, </w:t>
      </w:r>
      <w:r w:rsidR="00C24FD8">
        <w:rPr>
          <w:lang w:val="it-IT"/>
        </w:rPr>
        <w:t>Marco Stoller</w:t>
      </w:r>
      <w:r w:rsidR="00325B77" w:rsidRPr="00844C16">
        <w:rPr>
          <w:lang w:val="it-IT"/>
        </w:rPr>
        <w:t>*</w:t>
      </w:r>
      <w:r>
        <w:rPr>
          <w:vertAlign w:val="superscript"/>
          <w:lang w:val="it-IT"/>
        </w:rPr>
        <w:t>b</w:t>
      </w:r>
      <w:r w:rsidR="00015A74">
        <w:rPr>
          <w:lang w:val="it-IT"/>
        </w:rPr>
        <w:t xml:space="preserve"> </w:t>
      </w:r>
    </w:p>
    <w:p w:rsidR="00E978D0" w:rsidRPr="00165729" w:rsidRDefault="005366BB" w:rsidP="00085147">
      <w:pPr>
        <w:pStyle w:val="CETAddress"/>
        <w:rPr>
          <w:b/>
        </w:rPr>
      </w:pPr>
      <w:proofErr w:type="spellStart"/>
      <w:r w:rsidRPr="00165729">
        <w:rPr>
          <w:vertAlign w:val="superscript"/>
        </w:rPr>
        <w:t>a</w:t>
      </w:r>
      <w:r w:rsidRPr="00165729">
        <w:t>University</w:t>
      </w:r>
      <w:proofErr w:type="spellEnd"/>
      <w:r w:rsidRPr="00165729">
        <w:t xml:space="preserve"> of Rome “La Sapienza”, Dept. of Astronautics Electrical Energy Engineering, Via </w:t>
      </w:r>
      <w:proofErr w:type="spellStart"/>
      <w:r w:rsidRPr="00165729">
        <w:t>Eudossiana</w:t>
      </w:r>
      <w:proofErr w:type="spellEnd"/>
      <w:r w:rsidRPr="00165729">
        <w:t xml:space="preserve"> 18, 00184 Rome, Italy</w:t>
      </w:r>
      <w:r w:rsidR="00325B77" w:rsidRPr="00165729">
        <w:t xml:space="preserve"> </w:t>
      </w:r>
    </w:p>
    <w:p w:rsidR="00325B77" w:rsidRPr="00165729" w:rsidRDefault="005366BB" w:rsidP="00085147">
      <w:pPr>
        <w:pStyle w:val="CETAddress"/>
      </w:pPr>
      <w:r w:rsidRPr="00165729">
        <w:rPr>
          <w:vertAlign w:val="superscript"/>
        </w:rPr>
        <w:t>b</w:t>
      </w:r>
      <w:r w:rsidRPr="00165729">
        <w:t>University of Rome “La Sapienza”, Dept. of Chemical Materials Environmental Engineering Via Eudossiana 18, 00184 Rome, Italy</w:t>
      </w:r>
      <w:r w:rsidRPr="00165729">
        <w:rPr>
          <w:vertAlign w:val="superscript"/>
        </w:rPr>
        <w:t xml:space="preserve"> </w:t>
      </w:r>
      <w:r w:rsidR="00AB5011" w:rsidRPr="00165729">
        <w:t xml:space="preserve"> </w:t>
      </w:r>
    </w:p>
    <w:p w:rsidR="00E978D0" w:rsidRDefault="00015A74" w:rsidP="00085147">
      <w:pPr>
        <w:pStyle w:val="CETemail"/>
      </w:pPr>
      <w:r w:rsidRPr="00085147">
        <w:t>marco.stoller@uniroma1.it</w:t>
      </w:r>
    </w:p>
    <w:p w:rsidR="00325B77" w:rsidRPr="00325B77" w:rsidRDefault="00844C16" w:rsidP="00325B77">
      <w:pPr>
        <w:pStyle w:val="CETBodytext"/>
      </w:pPr>
      <w:r w:rsidRPr="00844C16">
        <w:t xml:space="preserve">Hexavalent Chromium species are classified as hazardous compounds due to their high toxic potential, considering also their </w:t>
      </w:r>
      <w:r w:rsidR="00706A8C">
        <w:t xml:space="preserve">remarkable </w:t>
      </w:r>
      <w:r w:rsidRPr="00844C16">
        <w:t xml:space="preserve">solubility and redox potential. Various processes have been developed to remove/recover Cr(VI) species from polluted groundwater, such as membrane processes, ion-exchange and adsorption and chemical or biochemical reduction. Indeed, the reduction/removal process of Cr(VI) through iron-based materials usually leads to a pH increase of the reaction medium, allowing to facilitate the subsequent precipitation of the Cr(III) species. In this context, the use of iron based </w:t>
      </w:r>
      <w:proofErr w:type="spellStart"/>
      <w:r w:rsidRPr="00844C16">
        <w:t>nano</w:t>
      </w:r>
      <w:proofErr w:type="spellEnd"/>
      <w:r w:rsidRPr="00844C16">
        <w:t xml:space="preserve">-particles (IBNs) supported on bio-polymer matrix allowed to maximize the Cr(VI) removal capacities of iron-based materials, leading to the production of high active and eco-compatible </w:t>
      </w:r>
      <w:proofErr w:type="spellStart"/>
      <w:r w:rsidRPr="00844C16">
        <w:t>nano</w:t>
      </w:r>
      <w:proofErr w:type="spellEnd"/>
      <w:r w:rsidRPr="00844C16">
        <w:t>-materials. The use of chitosan as surface-modified agent, allows the reduction of aggregation forces among the produced IBNs, leading to higher surface active areas and chemical reactivity. At the same time, the use of a bio-polymer increase</w:t>
      </w:r>
      <w:r w:rsidR="00564983">
        <w:t>s</w:t>
      </w:r>
      <w:r w:rsidRPr="00844C16">
        <w:t xml:space="preserve"> the eco-compatibility of the IBNs, reducing the possible interaction with bacteria and microorganisms during the treatment process. In this work chitosan-</w:t>
      </w:r>
      <w:proofErr w:type="spellStart"/>
      <w:r w:rsidRPr="00844C16">
        <w:t>nanomagnetite</w:t>
      </w:r>
      <w:proofErr w:type="spellEnd"/>
      <w:r w:rsidRPr="00844C16">
        <w:t xml:space="preserve"> particles were synthetized and employed as packing material inside fixed-bed lab-scale column (height 25 cm and diameter of 1.5 cm) to remove, in continuous, Cr(VI) species from synthetic wastewaters. The tests were performed at different inlet flow-rate values (2, 5 and 7 mL/min) at fixed Cr(VI) initial concentration (20 mg/L) and varying the solution pH (pH=4 and 7). The obtained breakthrough curves were then modeled according to the classical dynamic Thomas model.</w:t>
      </w:r>
      <w:r w:rsidR="00325B77" w:rsidRPr="00325B77">
        <w:t xml:space="preserve">  </w:t>
      </w:r>
    </w:p>
    <w:p w:rsidR="00600535" w:rsidRPr="00B57B36" w:rsidRDefault="00600535" w:rsidP="00600535">
      <w:pPr>
        <w:pStyle w:val="CETHeading1"/>
        <w:rPr>
          <w:lang w:val="en-GB"/>
        </w:rPr>
      </w:pPr>
      <w:r w:rsidRPr="00B57B36">
        <w:rPr>
          <w:lang w:val="en-GB"/>
        </w:rPr>
        <w:t>Introduction</w:t>
      </w:r>
    </w:p>
    <w:p w:rsidR="00056C81" w:rsidRPr="00056C81" w:rsidRDefault="00015A74" w:rsidP="00056C81">
      <w:pPr>
        <w:pStyle w:val="CETBodytext"/>
      </w:pPr>
      <w:r>
        <w:rPr>
          <w:lang w:val="en-GB"/>
        </w:rPr>
        <w:t xml:space="preserve">The use of nanoparticles in various sectors, such as in civil (Di Palma et al., 2015), in the </w:t>
      </w:r>
      <w:r w:rsidR="00B2307F">
        <w:rPr>
          <w:lang w:val="en-GB"/>
        </w:rPr>
        <w:t>cosmetic</w:t>
      </w:r>
      <w:r>
        <w:rPr>
          <w:lang w:val="en-GB"/>
        </w:rPr>
        <w:t xml:space="preserve"> (</w:t>
      </w:r>
      <w:proofErr w:type="spellStart"/>
      <w:r>
        <w:rPr>
          <w:lang w:val="en-GB"/>
        </w:rPr>
        <w:t>Stoller</w:t>
      </w:r>
      <w:proofErr w:type="spellEnd"/>
      <w:r>
        <w:rPr>
          <w:lang w:val="en-GB"/>
        </w:rPr>
        <w:t xml:space="preserve"> et al., 2017a)</w:t>
      </w:r>
      <w:r w:rsidR="00B2307F">
        <w:rPr>
          <w:lang w:val="en-GB"/>
        </w:rPr>
        <w:t>, in the catalyst-industrial (</w:t>
      </w:r>
      <w:proofErr w:type="spellStart"/>
      <w:r w:rsidR="00B2307F">
        <w:rPr>
          <w:lang w:val="en-GB"/>
        </w:rPr>
        <w:t>Chinh</w:t>
      </w:r>
      <w:proofErr w:type="spellEnd"/>
      <w:r w:rsidR="00B2307F">
        <w:rPr>
          <w:lang w:val="en-GB"/>
        </w:rPr>
        <w:t xml:space="preserve"> et al., 2018)</w:t>
      </w:r>
      <w:r>
        <w:rPr>
          <w:lang w:val="en-GB"/>
        </w:rPr>
        <w:t xml:space="preserve"> and in the environmental one (</w:t>
      </w:r>
      <w:proofErr w:type="spellStart"/>
      <w:r>
        <w:rPr>
          <w:lang w:val="en-GB"/>
        </w:rPr>
        <w:t>Vilardi</w:t>
      </w:r>
      <w:proofErr w:type="spellEnd"/>
      <w:r>
        <w:rPr>
          <w:lang w:val="en-GB"/>
        </w:rPr>
        <w:t xml:space="preserve"> et al., 2017a) has been extensively studied, as demonstrated by the increasing number of publications on this field (</w:t>
      </w:r>
      <w:proofErr w:type="spellStart"/>
      <w:r>
        <w:rPr>
          <w:lang w:val="en-GB"/>
        </w:rPr>
        <w:t>Bavasso</w:t>
      </w:r>
      <w:proofErr w:type="spellEnd"/>
      <w:r>
        <w:rPr>
          <w:lang w:val="en-GB"/>
        </w:rPr>
        <w:t xml:space="preserve"> et al., 2016). Various researchers successfully tested the use of metallic nanoparticles for the removal of various pollutants, such as heavy metals (</w:t>
      </w:r>
      <w:proofErr w:type="spellStart"/>
      <w:r>
        <w:rPr>
          <w:lang w:val="en-GB"/>
        </w:rPr>
        <w:t>Gueye</w:t>
      </w:r>
      <w:proofErr w:type="spellEnd"/>
      <w:r>
        <w:rPr>
          <w:lang w:val="en-GB"/>
        </w:rPr>
        <w:t xml:space="preserve"> et al., 2016), organic compounds (</w:t>
      </w:r>
      <w:proofErr w:type="spellStart"/>
      <w:r>
        <w:rPr>
          <w:lang w:val="en-GB"/>
        </w:rPr>
        <w:t>Vilardi</w:t>
      </w:r>
      <w:proofErr w:type="spellEnd"/>
      <w:r>
        <w:rPr>
          <w:lang w:val="en-GB"/>
        </w:rPr>
        <w:t xml:space="preserve"> et al., 2018a) and inorganic anions (</w:t>
      </w:r>
      <w:proofErr w:type="spellStart"/>
      <w:r>
        <w:rPr>
          <w:lang w:val="en-GB"/>
        </w:rPr>
        <w:t>Muradova</w:t>
      </w:r>
      <w:proofErr w:type="spellEnd"/>
      <w:r>
        <w:rPr>
          <w:lang w:val="en-GB"/>
        </w:rPr>
        <w:t xml:space="preserve"> et al., 2016). </w:t>
      </w:r>
      <w:r w:rsidR="005366BB">
        <w:rPr>
          <w:lang w:val="en-GB"/>
        </w:rPr>
        <w:t>Heavy metals pollution is considered an environmental problem of great concern (Di Palma et al., 2007) and in particular h</w:t>
      </w:r>
      <w:r>
        <w:rPr>
          <w:lang w:val="en-GB"/>
        </w:rPr>
        <w:t>exavalent chromium still represents a severe environmental problem in the Mediterranean Area (</w:t>
      </w:r>
      <w:proofErr w:type="spellStart"/>
      <w:r>
        <w:rPr>
          <w:lang w:val="en-GB"/>
        </w:rPr>
        <w:t>Vilardi</w:t>
      </w:r>
      <w:proofErr w:type="spellEnd"/>
      <w:r>
        <w:rPr>
          <w:lang w:val="en-GB"/>
        </w:rPr>
        <w:t xml:space="preserve"> et al., 2018b) since it is characterized by a high carcinogenetic </w:t>
      </w:r>
      <w:r w:rsidR="00C7559C">
        <w:rPr>
          <w:lang w:val="en-GB"/>
        </w:rPr>
        <w:t>and remarkable solubility and mobility in the environment</w:t>
      </w:r>
      <w:r>
        <w:rPr>
          <w:lang w:val="en-GB"/>
        </w:rPr>
        <w:t>.</w:t>
      </w:r>
      <w:r w:rsidR="00C7559C">
        <w:rPr>
          <w:lang w:val="en-GB"/>
        </w:rPr>
        <w:t xml:space="preserve"> The most suitable processes for its removal are represented by adsorption</w:t>
      </w:r>
      <w:r w:rsidR="00E5057A">
        <w:rPr>
          <w:lang w:val="en-GB"/>
        </w:rPr>
        <w:t xml:space="preserve"> (</w:t>
      </w:r>
      <w:proofErr w:type="spellStart"/>
      <w:r w:rsidR="00E5057A">
        <w:rPr>
          <w:lang w:val="en-GB"/>
        </w:rPr>
        <w:t>Bavasso</w:t>
      </w:r>
      <w:proofErr w:type="spellEnd"/>
      <w:r w:rsidR="00E5057A">
        <w:rPr>
          <w:lang w:val="en-GB"/>
        </w:rPr>
        <w:t xml:space="preserve"> et al., 2018)</w:t>
      </w:r>
      <w:r w:rsidR="007B515E">
        <w:rPr>
          <w:lang w:val="en-GB"/>
        </w:rPr>
        <w:t>, membrane treatments (</w:t>
      </w:r>
      <w:r w:rsidR="00E5057A">
        <w:rPr>
          <w:lang w:val="en-GB"/>
        </w:rPr>
        <w:t>Di Palma et al., 2018</w:t>
      </w:r>
      <w:r w:rsidR="00EF6D37">
        <w:rPr>
          <w:lang w:val="en-GB"/>
        </w:rPr>
        <w:t>a</w:t>
      </w:r>
      <w:r w:rsidR="00E5057A">
        <w:rPr>
          <w:lang w:val="en-GB"/>
        </w:rPr>
        <w:t>)</w:t>
      </w:r>
      <w:r w:rsidR="00845661">
        <w:rPr>
          <w:lang w:val="en-GB"/>
        </w:rPr>
        <w:t>, also combined with other treatments (</w:t>
      </w:r>
      <w:proofErr w:type="spellStart"/>
      <w:r w:rsidR="00845661">
        <w:rPr>
          <w:lang w:val="en-GB"/>
        </w:rPr>
        <w:t>Stoller</w:t>
      </w:r>
      <w:proofErr w:type="spellEnd"/>
      <w:r w:rsidR="00845661">
        <w:rPr>
          <w:lang w:val="en-GB"/>
        </w:rPr>
        <w:t xml:space="preserve"> et al., 2018</w:t>
      </w:r>
      <w:r w:rsidR="004C6280">
        <w:rPr>
          <w:lang w:val="en-GB"/>
        </w:rPr>
        <w:t>a</w:t>
      </w:r>
      <w:r w:rsidR="00845661">
        <w:rPr>
          <w:lang w:val="en-GB"/>
        </w:rPr>
        <w:t xml:space="preserve">) </w:t>
      </w:r>
      <w:r w:rsidR="00C7559C">
        <w:rPr>
          <w:lang w:val="en-GB"/>
        </w:rPr>
        <w:t>and reduction/precipitation processes (</w:t>
      </w:r>
      <w:proofErr w:type="spellStart"/>
      <w:r w:rsidR="00C7559C">
        <w:rPr>
          <w:lang w:val="en-GB"/>
        </w:rPr>
        <w:t>Vilardi</w:t>
      </w:r>
      <w:proofErr w:type="spellEnd"/>
      <w:r w:rsidR="00C7559C">
        <w:rPr>
          <w:lang w:val="en-GB"/>
        </w:rPr>
        <w:t xml:space="preserve"> et al., 2018c). The adsorption process has already demonstrated its suitability for the removal and recovery of various heavy metals (Lu et al., 2017), through the use of classical or biological waste materials (</w:t>
      </w:r>
      <w:proofErr w:type="spellStart"/>
      <w:r w:rsidR="00C7559C">
        <w:rPr>
          <w:lang w:val="en-GB"/>
        </w:rPr>
        <w:t>Vilardi</w:t>
      </w:r>
      <w:proofErr w:type="spellEnd"/>
      <w:r w:rsidR="00C7559C">
        <w:rPr>
          <w:lang w:val="en-GB"/>
        </w:rPr>
        <w:t xml:space="preserve"> et al., 2018d). Regarding the latter process, it consists of reducing Cr(VI) to the low toxic and low soluble Cr(III) species, that usually tend to co-precipitate in mixed iron or </w:t>
      </w:r>
      <w:proofErr w:type="spellStart"/>
      <w:r w:rsidR="00C7559C">
        <w:rPr>
          <w:lang w:val="en-GB"/>
        </w:rPr>
        <w:t>aluminum</w:t>
      </w:r>
      <w:proofErr w:type="spellEnd"/>
      <w:r w:rsidR="00C7559C">
        <w:rPr>
          <w:lang w:val="en-GB"/>
        </w:rPr>
        <w:t xml:space="preserve"> hydroxides (</w:t>
      </w:r>
      <w:proofErr w:type="spellStart"/>
      <w:r w:rsidR="00C7559C">
        <w:rPr>
          <w:lang w:val="en-GB"/>
        </w:rPr>
        <w:t>Vilardi</w:t>
      </w:r>
      <w:proofErr w:type="spellEnd"/>
      <w:r w:rsidR="00C7559C">
        <w:rPr>
          <w:lang w:val="en-GB"/>
        </w:rPr>
        <w:t xml:space="preserve"> et al., 2017b). </w:t>
      </w:r>
      <w:r w:rsidR="00C02C45">
        <w:rPr>
          <w:lang w:val="en-GB"/>
        </w:rPr>
        <w:t xml:space="preserve">Considering the </w:t>
      </w:r>
      <w:r w:rsidR="00C7559C">
        <w:rPr>
          <w:lang w:val="en-GB"/>
        </w:rPr>
        <w:t xml:space="preserve">increasing </w:t>
      </w:r>
      <w:r w:rsidR="00C02C45">
        <w:rPr>
          <w:lang w:val="en-GB"/>
        </w:rPr>
        <w:t xml:space="preserve">necessity to develop environmentally friendly </w:t>
      </w:r>
      <w:r w:rsidR="00B2307F">
        <w:rPr>
          <w:lang w:val="en-GB"/>
        </w:rPr>
        <w:t xml:space="preserve">and economic </w:t>
      </w:r>
      <w:r w:rsidR="00C02C45">
        <w:rPr>
          <w:lang w:val="en-GB"/>
        </w:rPr>
        <w:t xml:space="preserve">technologies for a sustainable </w:t>
      </w:r>
      <w:r w:rsidR="008D64A7">
        <w:rPr>
          <w:lang w:val="en-GB"/>
        </w:rPr>
        <w:t>remediation procedure of polluted environments</w:t>
      </w:r>
      <w:r w:rsidR="00713870">
        <w:rPr>
          <w:lang w:val="en-GB"/>
        </w:rPr>
        <w:t xml:space="preserve"> (</w:t>
      </w:r>
      <w:proofErr w:type="spellStart"/>
      <w:r w:rsidR="00713870">
        <w:rPr>
          <w:lang w:val="en-GB"/>
        </w:rPr>
        <w:t>Stoller</w:t>
      </w:r>
      <w:proofErr w:type="spellEnd"/>
      <w:r w:rsidR="00713870">
        <w:rPr>
          <w:lang w:val="en-GB"/>
        </w:rPr>
        <w:t xml:space="preserve"> et al., 2016)</w:t>
      </w:r>
      <w:r w:rsidR="008D64A7">
        <w:rPr>
          <w:lang w:val="en-GB"/>
        </w:rPr>
        <w:t xml:space="preserve">, the production of </w:t>
      </w:r>
      <w:r w:rsidR="00C7559C">
        <w:rPr>
          <w:lang w:val="en-GB"/>
        </w:rPr>
        <w:t>nanocomposites</w:t>
      </w:r>
      <w:r w:rsidR="004C6280">
        <w:rPr>
          <w:lang w:val="en-GB"/>
        </w:rPr>
        <w:t xml:space="preserve"> (</w:t>
      </w:r>
      <w:proofErr w:type="spellStart"/>
      <w:r w:rsidR="004C6280">
        <w:rPr>
          <w:lang w:val="en-GB"/>
        </w:rPr>
        <w:t>Stoller</w:t>
      </w:r>
      <w:proofErr w:type="spellEnd"/>
      <w:r w:rsidR="004C6280">
        <w:rPr>
          <w:lang w:val="en-GB"/>
        </w:rPr>
        <w:t xml:space="preserve"> et al., 2018b)</w:t>
      </w:r>
      <w:r w:rsidR="00C7559C">
        <w:rPr>
          <w:lang w:val="en-GB"/>
        </w:rPr>
        <w:t xml:space="preserve">, constituted by both organic and inorganic compounds, may play a </w:t>
      </w:r>
      <w:r w:rsidR="00C7559C">
        <w:rPr>
          <w:lang w:val="en-GB"/>
        </w:rPr>
        <w:lastRenderedPageBreak/>
        <w:t>fundamental role to reach such outstanding goals</w:t>
      </w:r>
      <w:r w:rsidR="00B2307F">
        <w:rPr>
          <w:lang w:val="en-GB"/>
        </w:rPr>
        <w:t xml:space="preserve"> </w:t>
      </w:r>
      <w:r w:rsidR="008D64A7">
        <w:rPr>
          <w:lang w:val="en-GB"/>
        </w:rPr>
        <w:t>(</w:t>
      </w:r>
      <w:proofErr w:type="spellStart"/>
      <w:r w:rsidR="00E5057A">
        <w:rPr>
          <w:lang w:val="en-GB"/>
        </w:rPr>
        <w:t>Chinh</w:t>
      </w:r>
      <w:proofErr w:type="spellEnd"/>
      <w:r w:rsidR="00E5057A">
        <w:rPr>
          <w:lang w:val="en-GB"/>
        </w:rPr>
        <w:t xml:space="preserve"> et al., 2019</w:t>
      </w:r>
      <w:r w:rsidR="008D64A7">
        <w:rPr>
          <w:lang w:val="en-GB"/>
        </w:rPr>
        <w:t>)</w:t>
      </w:r>
      <w:r w:rsidR="00B2307F">
        <w:rPr>
          <w:lang w:val="en-GB"/>
        </w:rPr>
        <w:t>.</w:t>
      </w:r>
      <w:r w:rsidR="008D64A7">
        <w:rPr>
          <w:lang w:val="en-GB"/>
        </w:rPr>
        <w:t xml:space="preserve"> </w:t>
      </w:r>
      <w:r w:rsidR="00B2307F">
        <w:rPr>
          <w:lang w:val="en-GB"/>
        </w:rPr>
        <w:t>The use of iron-based nanoparticles has already proved to be very effective towards various contaminants in very complex wastewater</w:t>
      </w:r>
      <w:r w:rsidR="00A3285A">
        <w:rPr>
          <w:lang w:val="en-GB"/>
        </w:rPr>
        <w:t xml:space="preserve"> (</w:t>
      </w:r>
      <w:proofErr w:type="spellStart"/>
      <w:r w:rsidR="00A3285A">
        <w:rPr>
          <w:lang w:val="en-GB"/>
        </w:rPr>
        <w:t>Vilardi</w:t>
      </w:r>
      <w:proofErr w:type="spellEnd"/>
      <w:r w:rsidR="00A3285A">
        <w:rPr>
          <w:lang w:val="en-GB"/>
        </w:rPr>
        <w:t xml:space="preserve"> et al., 2019a)</w:t>
      </w:r>
      <w:r w:rsidR="00B2307F">
        <w:rPr>
          <w:lang w:val="en-GB"/>
        </w:rPr>
        <w:t>, such as tannery wastewaters (</w:t>
      </w:r>
      <w:proofErr w:type="spellStart"/>
      <w:r w:rsidR="00B2307F">
        <w:rPr>
          <w:lang w:val="en-GB"/>
        </w:rPr>
        <w:t>Vilardi</w:t>
      </w:r>
      <w:proofErr w:type="spellEnd"/>
      <w:r w:rsidR="00B2307F">
        <w:rPr>
          <w:lang w:val="en-GB"/>
        </w:rPr>
        <w:t xml:space="preserve"> et al., 2018e), heavy metals-polluted groundwater (</w:t>
      </w:r>
      <w:proofErr w:type="spellStart"/>
      <w:r w:rsidR="00B2307F">
        <w:rPr>
          <w:lang w:val="en-GB"/>
        </w:rPr>
        <w:t>Vilardi</w:t>
      </w:r>
      <w:proofErr w:type="spellEnd"/>
      <w:r w:rsidR="00B2307F">
        <w:rPr>
          <w:lang w:val="en-GB"/>
        </w:rPr>
        <w:t xml:space="preserve"> et al., 2018f) and </w:t>
      </w:r>
      <w:r w:rsidR="00341AA9">
        <w:rPr>
          <w:lang w:val="en-GB"/>
        </w:rPr>
        <w:t>in the presence of both nitrates and Cr(VI) pollutants (</w:t>
      </w:r>
      <w:proofErr w:type="spellStart"/>
      <w:r w:rsidR="00341AA9">
        <w:rPr>
          <w:lang w:val="en-GB"/>
        </w:rPr>
        <w:t>Maharramov</w:t>
      </w:r>
      <w:proofErr w:type="spellEnd"/>
      <w:r w:rsidR="00341AA9">
        <w:rPr>
          <w:lang w:val="en-GB"/>
        </w:rPr>
        <w:t xml:space="preserve"> et al., 2017).</w:t>
      </w:r>
      <w:r w:rsidR="00B2307F">
        <w:rPr>
          <w:lang w:val="en-GB"/>
        </w:rPr>
        <w:t xml:space="preserve"> </w:t>
      </w:r>
      <w:r w:rsidR="005D10C7">
        <w:rPr>
          <w:lang w:val="en-GB"/>
        </w:rPr>
        <w:t xml:space="preserve">Therefore, the </w:t>
      </w:r>
      <w:r w:rsidR="00056C81">
        <w:rPr>
          <w:lang w:val="en-GB"/>
        </w:rPr>
        <w:t>production of iron-based bio-nanocomposite represents an important field of research to develop environmentally friendly and effective materials for the removal of different pollutants in aqueous media</w:t>
      </w:r>
      <w:r w:rsidR="00B56638">
        <w:rPr>
          <w:lang w:val="en-GB"/>
        </w:rPr>
        <w:t xml:space="preserve"> (</w:t>
      </w:r>
      <w:proofErr w:type="spellStart"/>
      <w:r w:rsidR="00B56638">
        <w:rPr>
          <w:lang w:val="en-GB"/>
        </w:rPr>
        <w:t>Vilardi</w:t>
      </w:r>
      <w:proofErr w:type="spellEnd"/>
      <w:r w:rsidR="00B56638">
        <w:rPr>
          <w:lang w:val="en-GB"/>
        </w:rPr>
        <w:t xml:space="preserve"> and Di Palma, 2017)</w:t>
      </w:r>
      <w:r w:rsidR="00056C81">
        <w:rPr>
          <w:lang w:val="en-GB"/>
        </w:rPr>
        <w:t xml:space="preserve">. The </w:t>
      </w:r>
      <w:r w:rsidR="005D10C7">
        <w:rPr>
          <w:lang w:val="en-GB"/>
        </w:rPr>
        <w:t xml:space="preserve">aim of this work was to investigate on the removal efficiency of Cr(VI) using a bio-nanocomposite material, produced using chitosan as bio-polymer and </w:t>
      </w:r>
      <w:proofErr w:type="spellStart"/>
      <w:r w:rsidR="005D10C7">
        <w:rPr>
          <w:lang w:val="en-GB"/>
        </w:rPr>
        <w:t>nanomagnetite</w:t>
      </w:r>
      <w:proofErr w:type="spellEnd"/>
      <w:r w:rsidR="005D10C7">
        <w:rPr>
          <w:lang w:val="en-GB"/>
        </w:rPr>
        <w:t xml:space="preserve"> as iron based nanoparticles</w:t>
      </w:r>
      <w:r w:rsidR="00056C81">
        <w:rPr>
          <w:lang w:val="en-GB"/>
        </w:rPr>
        <w:t xml:space="preserve"> and employing them as packing material in lab-made column</w:t>
      </w:r>
      <w:r w:rsidR="005D10C7">
        <w:rPr>
          <w:lang w:val="en-GB"/>
        </w:rPr>
        <w:t xml:space="preserve">. Kinetic experiments were conducted at </w:t>
      </w:r>
      <w:r w:rsidR="00056C81" w:rsidRPr="00056C81">
        <w:t>different inlet flow-rate values (2, 5 and 7 mL/min) at fixed Cr(VI) initial concentration (20 mg/L) and varying the solution pH (pH=4 and 7). The obtained breakthrough curves were then modeled according to the classical dynamic Thomas model</w:t>
      </w:r>
      <w:r w:rsidR="00056C81">
        <w:t xml:space="preserve">, considering the </w:t>
      </w:r>
      <w:r w:rsidR="005D1E5D">
        <w:t>mass transfer at liquid/solid interface the process limiting step</w:t>
      </w:r>
      <w:r w:rsidR="00056C81">
        <w:t xml:space="preserve"> (</w:t>
      </w:r>
      <w:proofErr w:type="spellStart"/>
      <w:r w:rsidR="00056C81">
        <w:t>Vilardi</w:t>
      </w:r>
      <w:proofErr w:type="spellEnd"/>
      <w:r w:rsidR="00AA4F0A">
        <w:t>,</w:t>
      </w:r>
      <w:r w:rsidR="00056C81">
        <w:t xml:space="preserve"> 201</w:t>
      </w:r>
      <w:r w:rsidR="00AA4F0A">
        <w:t>9</w:t>
      </w:r>
      <w:r w:rsidR="00056C81">
        <w:t>)</w:t>
      </w:r>
      <w:r w:rsidR="00056C81" w:rsidRPr="00056C81">
        <w:t xml:space="preserve">.  </w:t>
      </w:r>
    </w:p>
    <w:p w:rsidR="00600535" w:rsidRPr="00B57B36" w:rsidRDefault="00960675" w:rsidP="00600535">
      <w:pPr>
        <w:pStyle w:val="CETHeading1"/>
        <w:tabs>
          <w:tab w:val="clear" w:pos="360"/>
          <w:tab w:val="right" w:pos="7100"/>
        </w:tabs>
        <w:jc w:val="both"/>
        <w:rPr>
          <w:lang w:val="en-GB"/>
        </w:rPr>
      </w:pPr>
      <w:r>
        <w:rPr>
          <w:lang w:val="en-GB"/>
        </w:rPr>
        <w:t>Materials and Methods</w:t>
      </w:r>
    </w:p>
    <w:p w:rsidR="00600535" w:rsidRPr="00B57B36" w:rsidRDefault="00960675" w:rsidP="00FA5F5F">
      <w:pPr>
        <w:pStyle w:val="CETheadingx"/>
      </w:pPr>
      <w:r>
        <w:t>Materials</w:t>
      </w:r>
    </w:p>
    <w:p w:rsidR="00960675" w:rsidRDefault="00960675" w:rsidP="00600535">
      <w:pPr>
        <w:pStyle w:val="CETBodytext"/>
        <w:rPr>
          <w:lang w:val="en-GB"/>
        </w:rPr>
      </w:pPr>
      <w:r w:rsidRPr="00960675">
        <w:rPr>
          <w:lang w:val="en-GB"/>
        </w:rPr>
        <w:t>All the reagents were purchased from Sigma Aldrich (Milan)</w:t>
      </w:r>
      <w:r w:rsidR="00F36AD6">
        <w:rPr>
          <w:lang w:val="en-GB"/>
        </w:rPr>
        <w:t xml:space="preserve"> and were of analytical grade or higher</w:t>
      </w:r>
      <w:r w:rsidRPr="00960675">
        <w:rPr>
          <w:lang w:val="en-GB"/>
        </w:rPr>
        <w:t xml:space="preserve">. The solutions were prepared in deionized water. The following reagents were used in the experiments: </w:t>
      </w:r>
      <w:proofErr w:type="spellStart"/>
      <w:r w:rsidRPr="00960675">
        <w:rPr>
          <w:lang w:val="en-GB"/>
        </w:rPr>
        <w:t>NaOH</w:t>
      </w:r>
      <w:proofErr w:type="spellEnd"/>
      <w:r w:rsidRPr="00960675">
        <w:rPr>
          <w:lang w:val="en-GB"/>
        </w:rPr>
        <w:t xml:space="preserve">, </w:t>
      </w:r>
      <w:proofErr w:type="spellStart"/>
      <w:r w:rsidR="00AB31B4">
        <w:rPr>
          <w:lang w:val="en-GB"/>
        </w:rPr>
        <w:t>NaCl</w:t>
      </w:r>
      <w:proofErr w:type="spellEnd"/>
      <w:r w:rsidR="00AB31B4">
        <w:rPr>
          <w:lang w:val="en-GB"/>
        </w:rPr>
        <w:t xml:space="preserve">, </w:t>
      </w:r>
      <w:r>
        <w:rPr>
          <w:lang w:val="en-GB"/>
        </w:rPr>
        <w:t>chitosan</w:t>
      </w:r>
      <w:r w:rsidRPr="00960675">
        <w:rPr>
          <w:lang w:val="en-GB"/>
        </w:rPr>
        <w:t>, K</w:t>
      </w:r>
      <w:r w:rsidRPr="00960675">
        <w:rPr>
          <w:vertAlign w:val="subscript"/>
          <w:lang w:val="en-GB"/>
        </w:rPr>
        <w:t>2</w:t>
      </w:r>
      <w:r w:rsidRPr="00960675">
        <w:rPr>
          <w:lang w:val="en-GB"/>
        </w:rPr>
        <w:t>Cr</w:t>
      </w:r>
      <w:r w:rsidRPr="00960675">
        <w:rPr>
          <w:vertAlign w:val="subscript"/>
          <w:lang w:val="en-GB"/>
        </w:rPr>
        <w:t>2</w:t>
      </w:r>
      <w:r w:rsidRPr="00960675">
        <w:rPr>
          <w:lang w:val="en-GB"/>
        </w:rPr>
        <w:t>O7, FeCl</w:t>
      </w:r>
      <w:r w:rsidRPr="00960675">
        <w:rPr>
          <w:vertAlign w:val="subscript"/>
          <w:lang w:val="en-GB"/>
        </w:rPr>
        <w:t>3</w:t>
      </w:r>
      <w:r w:rsidRPr="00960675">
        <w:rPr>
          <w:lang w:val="en-GB"/>
        </w:rPr>
        <w:t>·6H</w:t>
      </w:r>
      <w:r w:rsidRPr="00960675">
        <w:rPr>
          <w:vertAlign w:val="subscript"/>
          <w:lang w:val="en-GB"/>
        </w:rPr>
        <w:t>2</w:t>
      </w:r>
      <w:r w:rsidRPr="00960675">
        <w:rPr>
          <w:lang w:val="en-GB"/>
        </w:rPr>
        <w:t>O, FeSO</w:t>
      </w:r>
      <w:r w:rsidRPr="00960675">
        <w:rPr>
          <w:vertAlign w:val="subscript"/>
          <w:lang w:val="en-GB"/>
        </w:rPr>
        <w:t>4</w:t>
      </w:r>
      <w:r w:rsidRPr="00960675">
        <w:rPr>
          <w:lang w:val="en-GB"/>
        </w:rPr>
        <w:t>·7H</w:t>
      </w:r>
      <w:r w:rsidRPr="00960675">
        <w:rPr>
          <w:vertAlign w:val="subscript"/>
          <w:lang w:val="en-GB"/>
        </w:rPr>
        <w:t>2</w:t>
      </w:r>
      <w:r w:rsidRPr="00960675">
        <w:rPr>
          <w:lang w:val="en-GB"/>
        </w:rPr>
        <w:t>O, NH</w:t>
      </w:r>
      <w:r w:rsidRPr="00960675">
        <w:rPr>
          <w:vertAlign w:val="subscript"/>
          <w:lang w:val="en-GB"/>
        </w:rPr>
        <w:t>4</w:t>
      </w:r>
      <w:r w:rsidR="002330C4">
        <w:rPr>
          <w:lang w:val="en-GB"/>
        </w:rPr>
        <w:t>OH (33% v/v)</w:t>
      </w:r>
      <w:r w:rsidRPr="00960675">
        <w:rPr>
          <w:lang w:val="en-GB"/>
        </w:rPr>
        <w:t xml:space="preserve"> </w:t>
      </w:r>
      <w:proofErr w:type="spellStart"/>
      <w:r w:rsidRPr="00960675">
        <w:rPr>
          <w:lang w:val="en-GB"/>
        </w:rPr>
        <w:t>Diphenylcarbazide</w:t>
      </w:r>
      <w:proofErr w:type="spellEnd"/>
      <w:r w:rsidRPr="00960675">
        <w:rPr>
          <w:lang w:val="en-GB"/>
        </w:rPr>
        <w:t>, and H</w:t>
      </w:r>
      <w:r w:rsidRPr="00960675">
        <w:rPr>
          <w:vertAlign w:val="subscript"/>
          <w:lang w:val="en-GB"/>
        </w:rPr>
        <w:t>2</w:t>
      </w:r>
      <w:r w:rsidRPr="00960675">
        <w:rPr>
          <w:lang w:val="en-GB"/>
        </w:rPr>
        <w:t>SO</w:t>
      </w:r>
      <w:r w:rsidRPr="00960675">
        <w:rPr>
          <w:vertAlign w:val="subscript"/>
          <w:lang w:val="en-GB"/>
        </w:rPr>
        <w:t>4</w:t>
      </w:r>
      <w:r w:rsidRPr="00960675">
        <w:rPr>
          <w:lang w:val="en-GB"/>
        </w:rPr>
        <w:t>.</w:t>
      </w:r>
      <w:r>
        <w:rPr>
          <w:lang w:val="en-GB"/>
        </w:rPr>
        <w:t xml:space="preserve"> The chromium salt was dissolved in deionized water to prepare a solution with an initial Cr(VI) concentration equal to 20 mg/L, whereas the </w:t>
      </w:r>
      <w:proofErr w:type="spellStart"/>
      <w:r w:rsidR="00F36AD6">
        <w:rPr>
          <w:lang w:val="en-GB"/>
        </w:rPr>
        <w:t>NaOH</w:t>
      </w:r>
      <w:proofErr w:type="spellEnd"/>
      <w:r w:rsidR="00F36AD6">
        <w:rPr>
          <w:lang w:val="en-GB"/>
        </w:rPr>
        <w:t xml:space="preserve"> and</w:t>
      </w:r>
      <w:r>
        <w:rPr>
          <w:lang w:val="en-GB"/>
        </w:rPr>
        <w:t xml:space="preserve"> </w:t>
      </w:r>
      <w:r w:rsidR="00F36AD6" w:rsidRPr="00960675">
        <w:rPr>
          <w:lang w:val="en-GB"/>
        </w:rPr>
        <w:t>H</w:t>
      </w:r>
      <w:r w:rsidR="00F36AD6" w:rsidRPr="00960675">
        <w:rPr>
          <w:vertAlign w:val="subscript"/>
          <w:lang w:val="en-GB"/>
        </w:rPr>
        <w:t>2</w:t>
      </w:r>
      <w:r w:rsidR="00F36AD6" w:rsidRPr="00960675">
        <w:rPr>
          <w:lang w:val="en-GB"/>
        </w:rPr>
        <w:t>SO</w:t>
      </w:r>
      <w:r w:rsidR="00F36AD6" w:rsidRPr="00960675">
        <w:rPr>
          <w:vertAlign w:val="subscript"/>
          <w:lang w:val="en-GB"/>
        </w:rPr>
        <w:t>4</w:t>
      </w:r>
      <w:r w:rsidR="00F36AD6">
        <w:rPr>
          <w:vertAlign w:val="subscript"/>
          <w:lang w:val="en-GB"/>
        </w:rPr>
        <w:t xml:space="preserve"> </w:t>
      </w:r>
      <w:r>
        <w:rPr>
          <w:lang w:val="en-GB"/>
        </w:rPr>
        <w:t>solutions were diluted up to 0.1 M and subsequently used to modify the initial Cr(VI) solution pH</w:t>
      </w:r>
      <w:r w:rsidR="00713870">
        <w:rPr>
          <w:lang w:val="en-GB"/>
        </w:rPr>
        <w:t xml:space="preserve">, measured by a </w:t>
      </w:r>
      <w:proofErr w:type="spellStart"/>
      <w:r w:rsidR="00713870">
        <w:rPr>
          <w:lang w:val="en-GB"/>
        </w:rPr>
        <w:t>Crison</w:t>
      </w:r>
      <w:proofErr w:type="spellEnd"/>
      <w:r w:rsidR="00713870">
        <w:rPr>
          <w:lang w:val="en-GB"/>
        </w:rPr>
        <w:t xml:space="preserve"> pH-meter</w:t>
      </w:r>
      <w:r w:rsidR="00EF6D37">
        <w:rPr>
          <w:lang w:val="en-GB"/>
        </w:rPr>
        <w:t xml:space="preserve"> (Di Palma et al., 2018b)</w:t>
      </w:r>
      <w:r>
        <w:rPr>
          <w:lang w:val="en-GB"/>
        </w:rPr>
        <w:t xml:space="preserve">. </w:t>
      </w:r>
    </w:p>
    <w:p w:rsidR="00600535" w:rsidRPr="00B57B36" w:rsidRDefault="00960675" w:rsidP="00FA5F5F">
      <w:pPr>
        <w:pStyle w:val="CETheadingx"/>
      </w:pPr>
      <w:r>
        <w:t>Bio-Nanocomposite Synthesis</w:t>
      </w:r>
    </w:p>
    <w:p w:rsidR="00960675" w:rsidRPr="00960675" w:rsidRDefault="002330C4" w:rsidP="00960675">
      <w:pPr>
        <w:pStyle w:val="CETBodytext"/>
      </w:pPr>
      <w:r>
        <w:t xml:space="preserve">The followed procedure is a modification </w:t>
      </w:r>
      <w:r w:rsidR="00DC1470">
        <w:t xml:space="preserve">from Tran et al. (2010), since the </w:t>
      </w:r>
      <w:r w:rsidR="00F36AD6">
        <w:t>spinning disk reactor was used instead of classical stirred tank vessels.</w:t>
      </w:r>
      <w:r>
        <w:t xml:space="preserve"> In brief, t</w:t>
      </w:r>
      <w:r w:rsidR="00960675" w:rsidRPr="00960675">
        <w:t xml:space="preserve">he </w:t>
      </w:r>
      <w:r w:rsidR="00960675">
        <w:t xml:space="preserve">iron precursors were dissolved in the aqueous chitosan solution (prepared dissolving </w:t>
      </w:r>
      <w:r w:rsidR="00F36AD6">
        <w:t>2</w:t>
      </w:r>
      <w:r>
        <w:t xml:space="preserve"> g of chitosan in </w:t>
      </w:r>
      <w:r w:rsidR="00F36AD6">
        <w:t>180</w:t>
      </w:r>
      <w:r w:rsidR="00960675">
        <w:t xml:space="preserve"> mL of deionized water and </w:t>
      </w:r>
      <w:r w:rsidR="00F36AD6">
        <w:t>20</w:t>
      </w:r>
      <w:r w:rsidR="00960675">
        <w:t xml:space="preserve"> mL of H</w:t>
      </w:r>
      <w:r w:rsidR="00960675" w:rsidRPr="00960675">
        <w:rPr>
          <w:vertAlign w:val="subscript"/>
        </w:rPr>
        <w:t>2</w:t>
      </w:r>
      <w:r w:rsidR="00960675">
        <w:t>SO</w:t>
      </w:r>
      <w:r w:rsidR="00960675" w:rsidRPr="00960675">
        <w:rPr>
          <w:vertAlign w:val="subscript"/>
        </w:rPr>
        <w:t>4</w:t>
      </w:r>
      <w:r w:rsidR="00960675">
        <w:t xml:space="preserve"> 0.1 M) </w:t>
      </w:r>
      <w:r w:rsidR="00960675" w:rsidRPr="00960675">
        <w:t>using a molar ratio of 2:1 among Fe(III) and Fe(II) species</w:t>
      </w:r>
      <w:r>
        <w:t xml:space="preserve"> (0.</w:t>
      </w:r>
      <w:r w:rsidRPr="00960675">
        <w:t>1 M of FeSO</w:t>
      </w:r>
      <w:r w:rsidRPr="00960675">
        <w:rPr>
          <w:vertAlign w:val="subscript"/>
        </w:rPr>
        <w:t>4</w:t>
      </w:r>
      <w:r w:rsidRPr="00960675">
        <w:t>·7H</w:t>
      </w:r>
      <w:r w:rsidRPr="00960675">
        <w:rPr>
          <w:vertAlign w:val="subscript"/>
        </w:rPr>
        <w:t>2</w:t>
      </w:r>
      <w:r w:rsidRPr="00960675">
        <w:t>O and 0.2 M of FeCl</w:t>
      </w:r>
      <w:r w:rsidRPr="00960675">
        <w:rPr>
          <w:vertAlign w:val="subscript"/>
        </w:rPr>
        <w:t>3</w:t>
      </w:r>
      <w:r w:rsidRPr="00960675">
        <w:t>·6H</w:t>
      </w:r>
      <w:r w:rsidRPr="00960675">
        <w:rPr>
          <w:vertAlign w:val="subscript"/>
        </w:rPr>
        <w:t>2</w:t>
      </w:r>
      <w:r w:rsidRPr="00960675">
        <w:t>O</w:t>
      </w:r>
      <w:r>
        <w:t>)</w:t>
      </w:r>
      <w:r w:rsidR="00960675">
        <w:t xml:space="preserve">. The solution was stirred at 300 rpm for 30 min and subsequently </w:t>
      </w:r>
      <w:r>
        <w:t xml:space="preserve">the </w:t>
      </w:r>
      <w:r w:rsidR="00F36AD6">
        <w:t>Chitosan-</w:t>
      </w:r>
      <w:proofErr w:type="spellStart"/>
      <w:r w:rsidR="00F36AD6">
        <w:t>NanoMagnetite</w:t>
      </w:r>
      <w:proofErr w:type="spellEnd"/>
      <w:r w:rsidR="00F36AD6">
        <w:t xml:space="preserve"> particles</w:t>
      </w:r>
      <w:r>
        <w:t xml:space="preserve"> (</w:t>
      </w:r>
      <w:r w:rsidR="00F36AD6">
        <w:t>CNM</w:t>
      </w:r>
      <w:r>
        <w:t>) w</w:t>
      </w:r>
      <w:r w:rsidR="00F36AD6">
        <w:t>ere</w:t>
      </w:r>
      <w:r>
        <w:t xml:space="preserve"> synthetized </w:t>
      </w:r>
      <w:r w:rsidR="00F36AD6">
        <w:t>in continuous using</w:t>
      </w:r>
      <w:r w:rsidR="009166DF">
        <w:t xml:space="preserve"> a Spinning Disk Reactor (SDR) according to</w:t>
      </w:r>
      <w:r w:rsidR="00F36AD6">
        <w:t xml:space="preserve"> the optimal operating parameters values reported in a previous work (</w:t>
      </w:r>
      <w:proofErr w:type="spellStart"/>
      <w:r w:rsidR="00F36AD6">
        <w:t>Vilardi</w:t>
      </w:r>
      <w:proofErr w:type="spellEnd"/>
      <w:r w:rsidR="00F36AD6">
        <w:t xml:space="preserve"> et al., 2017c). </w:t>
      </w:r>
      <w:r w:rsidR="009166DF">
        <w:t xml:space="preserve">The use of rotating device allows to increase mass transfer rate and to reduce the residence time inside the reactor (Di Palma and </w:t>
      </w:r>
      <w:proofErr w:type="spellStart"/>
      <w:r w:rsidR="009166DF">
        <w:t>Verdone</w:t>
      </w:r>
      <w:proofErr w:type="spellEnd"/>
      <w:r w:rsidR="009166DF">
        <w:t xml:space="preserve">, 2009). </w:t>
      </w:r>
      <w:r w:rsidR="00F36AD6">
        <w:t xml:space="preserve">In detail, the inlet flowrate of chitosan-iron solution was 150 mL/min, that one of </w:t>
      </w:r>
      <w:r w:rsidRPr="00960675">
        <w:t>NH</w:t>
      </w:r>
      <w:r w:rsidRPr="00960675">
        <w:rPr>
          <w:vertAlign w:val="subscript"/>
        </w:rPr>
        <w:t>4</w:t>
      </w:r>
      <w:r w:rsidRPr="00960675">
        <w:t xml:space="preserve">OH </w:t>
      </w:r>
      <w:r>
        <w:t xml:space="preserve">solution </w:t>
      </w:r>
      <w:r w:rsidR="00F36AD6">
        <w:t>was 37.5 mL/min (added according to the stoichiometric molar ratio of OH</w:t>
      </w:r>
      <w:r w:rsidR="00F36AD6" w:rsidRPr="00F36AD6">
        <w:rPr>
          <w:vertAlign w:val="superscript"/>
        </w:rPr>
        <w:t>-</w:t>
      </w:r>
      <w:r w:rsidR="00F36AD6">
        <w:t xml:space="preserve">/Fe(II)=8 </w:t>
      </w:r>
      <w:proofErr w:type="spellStart"/>
      <w:r w:rsidR="00F36AD6">
        <w:t>mol</w:t>
      </w:r>
      <w:proofErr w:type="spellEnd"/>
      <w:r w:rsidR="00F36AD6">
        <w:t>/</w:t>
      </w:r>
      <w:proofErr w:type="spellStart"/>
      <w:r w:rsidR="00F36AD6">
        <w:t>mol</w:t>
      </w:r>
      <w:proofErr w:type="spellEnd"/>
      <w:r w:rsidR="00F36AD6">
        <w:t xml:space="preserve">), the </w:t>
      </w:r>
      <w:r w:rsidR="00F36AD6" w:rsidRPr="00F36AD6">
        <w:t xml:space="preserve">injection </w:t>
      </w:r>
      <w:r w:rsidR="00F36AD6">
        <w:t xml:space="preserve">point </w:t>
      </w:r>
      <w:r w:rsidR="00F36AD6" w:rsidRPr="00F36AD6">
        <w:t>distance over the disk</w:t>
      </w:r>
      <w:r w:rsidR="00F36AD6">
        <w:t xml:space="preserve"> was set to 2 cm and the rotational velocity of the disk was fixed to 146.5 rad/s.</w:t>
      </w:r>
      <w:r w:rsidR="00F36AD6" w:rsidRPr="00F36AD6">
        <w:t xml:space="preserve"> </w:t>
      </w:r>
      <w:r w:rsidR="007B515E">
        <w:t>The CNM</w:t>
      </w:r>
      <w:r w:rsidR="00960675" w:rsidRPr="00960675">
        <w:t xml:space="preserve"> particles were then characterized by Dynamic Light Scattering</w:t>
      </w:r>
      <w:r w:rsidR="00465AC2">
        <w:t xml:space="preserve"> (Brookhaven)</w:t>
      </w:r>
      <w:r w:rsidR="00960675" w:rsidRPr="00960675">
        <w:t xml:space="preserve">, showing a mean dimension of </w:t>
      </w:r>
      <w:r w:rsidR="007B515E">
        <w:t>40</w:t>
      </w:r>
      <w:r w:rsidR="00960675" w:rsidRPr="00960675">
        <w:t xml:space="preserve"> ± </w:t>
      </w:r>
      <w:r w:rsidR="007B515E">
        <w:t>2</w:t>
      </w:r>
      <w:r w:rsidR="00960675" w:rsidRPr="00960675">
        <w:t>.</w:t>
      </w:r>
      <w:r w:rsidR="007B515E">
        <w:t>5</w:t>
      </w:r>
      <w:r w:rsidR="00960675" w:rsidRPr="00960675">
        <w:t xml:space="preserve"> nm</w:t>
      </w:r>
      <w:r>
        <w:t>.</w:t>
      </w:r>
      <w:r w:rsidR="00AB31B4">
        <w:t xml:space="preserve"> </w:t>
      </w:r>
      <w:r w:rsidR="00AB31B4" w:rsidRPr="00AB31B4">
        <w:rPr>
          <w:lang w:val="en-GB"/>
        </w:rPr>
        <w:t xml:space="preserve">Point of Zero Charge (PZC), was determined by suspending different material amounts (0.01, 0.1, 1, 5, 10, 20 % </w:t>
      </w:r>
      <w:proofErr w:type="spellStart"/>
      <w:r w:rsidR="00AB31B4" w:rsidRPr="00AB31B4">
        <w:rPr>
          <w:lang w:val="en-GB"/>
        </w:rPr>
        <w:t>wt</w:t>
      </w:r>
      <w:proofErr w:type="spellEnd"/>
      <w:r w:rsidR="00AB31B4" w:rsidRPr="00AB31B4">
        <w:rPr>
          <w:lang w:val="en-GB"/>
        </w:rPr>
        <w:t xml:space="preserve">) in 0.1 M </w:t>
      </w:r>
      <w:proofErr w:type="spellStart"/>
      <w:r w:rsidR="00AB31B4" w:rsidRPr="00AB31B4">
        <w:rPr>
          <w:lang w:val="en-GB"/>
        </w:rPr>
        <w:t>NaCl</w:t>
      </w:r>
      <w:proofErr w:type="spellEnd"/>
      <w:r w:rsidR="00AB31B4" w:rsidRPr="00AB31B4">
        <w:rPr>
          <w:lang w:val="en-GB"/>
        </w:rPr>
        <w:t xml:space="preserve"> solution and measuring the solution pH after 24 h of contact time, according to (</w:t>
      </w:r>
      <w:r w:rsidR="00AB31B4">
        <w:rPr>
          <w:lang w:val="en-GB"/>
        </w:rPr>
        <w:t>Chung et al., 2012</w:t>
      </w:r>
      <w:r w:rsidR="00AB31B4" w:rsidRPr="00AB31B4">
        <w:rPr>
          <w:lang w:val="en-GB"/>
        </w:rPr>
        <w:t>).</w:t>
      </w:r>
      <w:r w:rsidR="00AB31B4">
        <w:rPr>
          <w:lang w:val="en-GB"/>
        </w:rPr>
        <w:t xml:space="preserve"> </w:t>
      </w:r>
      <w:r w:rsidR="007B515E">
        <w:rPr>
          <w:lang w:val="en-GB"/>
        </w:rPr>
        <w:t>The pH of zero charge measured was equal to 4.5, that was really close to the value of 4.8 reported by Chung et al. (2012)</w:t>
      </w:r>
      <w:r w:rsidR="00AB31B4">
        <w:rPr>
          <w:lang w:val="en-GB"/>
        </w:rPr>
        <w:t>.</w:t>
      </w:r>
    </w:p>
    <w:p w:rsidR="00600535" w:rsidRPr="00B57B36" w:rsidRDefault="002330C4" w:rsidP="00FA5F5F">
      <w:pPr>
        <w:pStyle w:val="CETheadingx"/>
      </w:pPr>
      <w:r>
        <w:t>Experiment</w:t>
      </w:r>
      <w:r w:rsidR="00056C81">
        <w:t>al set up</w:t>
      </w:r>
    </w:p>
    <w:p w:rsidR="00DC3938" w:rsidRDefault="002E70B3" w:rsidP="00600535">
      <w:pPr>
        <w:pStyle w:val="CETBodytext"/>
        <w:rPr>
          <w:iCs/>
          <w:lang w:val="en-GB"/>
        </w:rPr>
      </w:pPr>
      <w:r>
        <w:rPr>
          <w:lang w:val="en-GB"/>
        </w:rPr>
        <w:t xml:space="preserve">A borosilicate glass column of 25 cm of height and 1.5 cm of internal diameter </w:t>
      </w:r>
      <w:r w:rsidR="00BE5291">
        <w:rPr>
          <w:lang w:val="en-GB"/>
        </w:rPr>
        <w:t>was used in the continuous experiments</w:t>
      </w:r>
      <w:r w:rsidR="00A3285A">
        <w:rPr>
          <w:lang w:val="en-GB"/>
        </w:rPr>
        <w:t xml:space="preserve"> (</w:t>
      </w:r>
      <w:proofErr w:type="spellStart"/>
      <w:r w:rsidR="00A3285A">
        <w:rPr>
          <w:lang w:val="en-GB"/>
        </w:rPr>
        <w:t>Vilardi</w:t>
      </w:r>
      <w:proofErr w:type="spellEnd"/>
      <w:r w:rsidR="00A3285A">
        <w:rPr>
          <w:lang w:val="en-GB"/>
        </w:rPr>
        <w:t xml:space="preserve"> et al., 2019b)</w:t>
      </w:r>
      <w:r w:rsidR="00BE5291">
        <w:rPr>
          <w:lang w:val="en-GB"/>
        </w:rPr>
        <w:t xml:space="preserve">. The column was packed with 11.4 g of the CNM material to reach a bed height h (cm) of 10 cm, corresponding to a bed volume, </w:t>
      </w:r>
      <w:proofErr w:type="spellStart"/>
      <w:r w:rsidR="00BE5291">
        <w:rPr>
          <w:lang w:val="en-GB"/>
        </w:rPr>
        <w:t>V</w:t>
      </w:r>
      <w:r w:rsidR="00BE5291" w:rsidRPr="00BE5291">
        <w:rPr>
          <w:vertAlign w:val="subscript"/>
          <w:lang w:val="en-GB"/>
        </w:rPr>
        <w:t>b</w:t>
      </w:r>
      <w:proofErr w:type="spellEnd"/>
      <w:r w:rsidR="00BE5291">
        <w:rPr>
          <w:lang w:val="en-GB"/>
        </w:rPr>
        <w:t xml:space="preserve"> (mL), of 17.7 </w:t>
      </w:r>
      <w:proofErr w:type="spellStart"/>
      <w:r w:rsidR="00BE5291">
        <w:rPr>
          <w:lang w:val="en-GB"/>
        </w:rPr>
        <w:t>mL</w:t>
      </w:r>
      <w:r w:rsidR="00F15DE8">
        <w:rPr>
          <w:lang w:val="en-GB"/>
        </w:rPr>
        <w:t>.</w:t>
      </w:r>
      <w:proofErr w:type="spellEnd"/>
      <w:r w:rsidR="00BE5291">
        <w:rPr>
          <w:lang w:val="en-GB"/>
        </w:rPr>
        <w:t xml:space="preserve"> The bed porosity, </w:t>
      </w:r>
      <w:r w:rsidR="00BE5291" w:rsidRPr="00BE5291">
        <w:rPr>
          <w:rFonts w:ascii="Symbol" w:hAnsi="Symbol"/>
          <w:lang w:val="en-GB"/>
        </w:rPr>
        <w:t></w:t>
      </w:r>
      <w:r w:rsidR="00DC3938" w:rsidRPr="00DC3938">
        <w:rPr>
          <w:rFonts w:cs="Arial"/>
          <w:lang w:val="en-GB"/>
        </w:rPr>
        <w:t>=0.55</w:t>
      </w:r>
      <w:r w:rsidR="00BE5291">
        <w:rPr>
          <w:lang w:val="en-GB"/>
        </w:rPr>
        <w:t xml:space="preserve">, was calculated as the ratio between </w:t>
      </w:r>
      <w:r w:rsidR="00DC3938" w:rsidRPr="00DC3938">
        <w:rPr>
          <w:lang w:val="en-GB"/>
        </w:rPr>
        <w:t xml:space="preserve">void volume </w:t>
      </w:r>
      <w:proofErr w:type="spellStart"/>
      <w:r w:rsidR="00DC3938" w:rsidRPr="00DC3938">
        <w:rPr>
          <w:iCs/>
          <w:lang w:val="en-GB"/>
        </w:rPr>
        <w:t>V</w:t>
      </w:r>
      <w:r w:rsidR="00DC3938" w:rsidRPr="00DC3938">
        <w:rPr>
          <w:iCs/>
          <w:vertAlign w:val="subscript"/>
          <w:lang w:val="en-GB"/>
        </w:rPr>
        <w:t>v</w:t>
      </w:r>
      <w:proofErr w:type="spellEnd"/>
      <w:r w:rsidR="00DC3938" w:rsidRPr="00DC3938">
        <w:rPr>
          <w:lang w:val="en-GB"/>
        </w:rPr>
        <w:t xml:space="preserve"> (measured by the volume, mL, of the added deionized water in the packed column at the</w:t>
      </w:r>
      <w:r w:rsidR="00DC3938">
        <w:rPr>
          <w:lang w:val="en-GB"/>
        </w:rPr>
        <w:t xml:space="preserve"> selected h</w:t>
      </w:r>
      <w:r w:rsidR="00DC3938">
        <w:rPr>
          <w:iCs/>
          <w:lang w:val="en-GB"/>
        </w:rPr>
        <w:t>, according to a previous work (</w:t>
      </w:r>
      <w:proofErr w:type="spellStart"/>
      <w:r w:rsidR="00DC3938">
        <w:rPr>
          <w:iCs/>
          <w:lang w:val="en-GB"/>
        </w:rPr>
        <w:t>Vilardi</w:t>
      </w:r>
      <w:proofErr w:type="spellEnd"/>
      <w:r w:rsidR="00DC3938">
        <w:rPr>
          <w:iCs/>
          <w:lang w:val="en-GB"/>
        </w:rPr>
        <w:t xml:space="preserve"> et al., 2018</w:t>
      </w:r>
      <w:r w:rsidR="00F24C7A">
        <w:rPr>
          <w:iCs/>
          <w:lang w:val="en-GB"/>
        </w:rPr>
        <w:t>g</w:t>
      </w:r>
      <w:r w:rsidR="00DC3938">
        <w:rPr>
          <w:iCs/>
          <w:lang w:val="en-GB"/>
        </w:rPr>
        <w:t>)</w:t>
      </w:r>
      <w:r w:rsidR="00DC3938" w:rsidRPr="00DC3938">
        <w:rPr>
          <w:lang w:val="en-GB"/>
        </w:rPr>
        <w:t xml:space="preserve">) and the related </w:t>
      </w:r>
      <w:r w:rsidR="00DC3938" w:rsidRPr="00DC3938">
        <w:rPr>
          <w:iCs/>
          <w:lang w:val="en-GB"/>
        </w:rPr>
        <w:t>V</w:t>
      </w:r>
      <w:r w:rsidR="00DC3938" w:rsidRPr="00DC3938">
        <w:rPr>
          <w:iCs/>
          <w:vertAlign w:val="subscript"/>
          <w:lang w:val="en-GB"/>
        </w:rPr>
        <w:t>b</w:t>
      </w:r>
      <w:r w:rsidR="00DC3938">
        <w:rPr>
          <w:iCs/>
          <w:lang w:val="en-GB"/>
        </w:rPr>
        <w:t xml:space="preserve">. </w:t>
      </w:r>
      <w:r w:rsidR="00DC3938" w:rsidRPr="00DC3938">
        <w:rPr>
          <w:iCs/>
          <w:lang w:val="en-GB"/>
        </w:rPr>
        <w:t xml:space="preserve">A supporting layer of 1.2 cm of glass wool was placed on the packed bed top, to prevent the sorbent floating. </w:t>
      </w:r>
      <w:r w:rsidR="00DC3938">
        <w:rPr>
          <w:iCs/>
          <w:lang w:val="en-GB"/>
        </w:rPr>
        <w:t>A</w:t>
      </w:r>
      <w:r w:rsidR="00DC3938" w:rsidRPr="00DC3938">
        <w:rPr>
          <w:iCs/>
          <w:lang w:val="en-GB"/>
        </w:rPr>
        <w:t xml:space="preserve"> peristaltic pumps (LAMBDA) w</w:t>
      </w:r>
      <w:r w:rsidR="00DC3938">
        <w:rPr>
          <w:iCs/>
          <w:lang w:val="en-GB"/>
        </w:rPr>
        <w:t>as</w:t>
      </w:r>
      <w:r w:rsidR="00DC3938" w:rsidRPr="00DC3938">
        <w:rPr>
          <w:iCs/>
          <w:lang w:val="en-GB"/>
        </w:rPr>
        <w:t xml:space="preserve"> used in up-flow mode at a desired flow-rate</w:t>
      </w:r>
      <w:r w:rsidR="00DC3938">
        <w:rPr>
          <w:iCs/>
          <w:lang w:val="en-GB"/>
        </w:rPr>
        <w:t xml:space="preserve"> (</w:t>
      </w:r>
      <w:r w:rsidR="00DC3938" w:rsidRPr="00DC3938">
        <w:rPr>
          <w:iCs/>
          <w:lang w:val="en-GB"/>
        </w:rPr>
        <w:t>2, 5 and 7 mL/min</w:t>
      </w:r>
      <w:r w:rsidR="00DC3938">
        <w:rPr>
          <w:iCs/>
          <w:lang w:val="en-GB"/>
        </w:rPr>
        <w:t>)</w:t>
      </w:r>
      <w:r w:rsidR="00DC3938" w:rsidRPr="00DC3938">
        <w:rPr>
          <w:iCs/>
          <w:lang w:val="en-GB"/>
        </w:rPr>
        <w:t xml:space="preserve">, to send the </w:t>
      </w:r>
      <w:r w:rsidR="00DC3938">
        <w:rPr>
          <w:iCs/>
          <w:lang w:val="en-GB"/>
        </w:rPr>
        <w:t>Cr(VI) solution</w:t>
      </w:r>
      <w:r w:rsidR="00DC3938" w:rsidRPr="00DC3938">
        <w:rPr>
          <w:iCs/>
          <w:lang w:val="en-GB"/>
        </w:rPr>
        <w:t xml:space="preserve"> through the column</w:t>
      </w:r>
      <w:r w:rsidR="00DC3938">
        <w:rPr>
          <w:iCs/>
          <w:lang w:val="en-GB"/>
        </w:rPr>
        <w:t xml:space="preserve"> (Figure 1)</w:t>
      </w:r>
      <w:r w:rsidR="00DC3938" w:rsidRPr="00DC3938">
        <w:rPr>
          <w:iCs/>
          <w:lang w:val="en-GB"/>
        </w:rPr>
        <w:t>.</w:t>
      </w:r>
      <w:r w:rsidR="00DC3938">
        <w:rPr>
          <w:iCs/>
          <w:lang w:val="en-GB"/>
        </w:rPr>
        <w:t xml:space="preserve"> </w:t>
      </w:r>
    </w:p>
    <w:p w:rsidR="00F53BA6" w:rsidRDefault="00F53BA6" w:rsidP="00F53BA6">
      <w:pPr>
        <w:pStyle w:val="CETBodytext"/>
        <w:rPr>
          <w:lang w:val="en-GB"/>
        </w:rPr>
      </w:pPr>
      <w:r>
        <w:rPr>
          <w:iCs/>
          <w:lang w:val="en-GB"/>
        </w:rPr>
        <w:t xml:space="preserve">Six experiments adopting the above mentioned three different inlet flow-rate values (Q (mL/min)) and two different pH value (3 and 7) were conducted </w:t>
      </w:r>
      <w:r w:rsidRPr="00DC3938">
        <w:rPr>
          <w:iCs/>
          <w:lang w:val="en-GB"/>
        </w:rPr>
        <w:t xml:space="preserve">to obtain the breakthrough curves for Cr(VI) </w:t>
      </w:r>
      <w:r>
        <w:rPr>
          <w:iCs/>
          <w:lang w:val="en-GB"/>
        </w:rPr>
        <w:t>compound</w:t>
      </w:r>
      <w:r w:rsidRPr="00DC3938">
        <w:rPr>
          <w:iCs/>
          <w:lang w:val="en-GB"/>
        </w:rPr>
        <w:t xml:space="preserve">, by fixing the sampling time to 5 min and stopping the column operation until the final Cr(VI) concentration exceeded a value of 95% of the initial Cr(VI) concentration in the </w:t>
      </w:r>
      <w:r>
        <w:rPr>
          <w:iCs/>
          <w:lang w:val="en-GB"/>
        </w:rPr>
        <w:t>synthetic solution</w:t>
      </w:r>
      <w:r w:rsidRPr="00DC3938">
        <w:rPr>
          <w:iCs/>
          <w:lang w:val="en-GB"/>
        </w:rPr>
        <w:t xml:space="preserve">. Once the column resulted saturated, the packing material was recovered and substituted with freshly prepared material. </w:t>
      </w:r>
      <w:r>
        <w:rPr>
          <w:iCs/>
          <w:lang w:val="en-GB"/>
        </w:rPr>
        <w:t xml:space="preserve">At selected time intervals </w:t>
      </w:r>
      <w:r>
        <w:rPr>
          <w:lang w:val="en-GB"/>
        </w:rPr>
        <w:t xml:space="preserve">a liquid sample was withdrawn and the CNM particles were separated through an ultra-centrifuge (14000 rpm for 5 min) and the liquid phase was withdrawn to proceed with the Cr(VI) measure through </w:t>
      </w:r>
      <w:proofErr w:type="spellStart"/>
      <w:r>
        <w:rPr>
          <w:lang w:val="en-GB"/>
        </w:rPr>
        <w:t>dyphenilcarbazide</w:t>
      </w:r>
      <w:proofErr w:type="spellEnd"/>
      <w:r>
        <w:rPr>
          <w:lang w:val="en-GB"/>
        </w:rPr>
        <w:t xml:space="preserve"> method (</w:t>
      </w:r>
      <w:proofErr w:type="spellStart"/>
      <w:r>
        <w:rPr>
          <w:lang w:val="en-GB"/>
        </w:rPr>
        <w:t>Vilardi</w:t>
      </w:r>
      <w:proofErr w:type="spellEnd"/>
      <w:r>
        <w:rPr>
          <w:lang w:val="en-GB"/>
        </w:rPr>
        <w:t xml:space="preserve"> et al., 2017b).</w:t>
      </w:r>
    </w:p>
    <w:p w:rsidR="00DC3938" w:rsidRDefault="00DC3938" w:rsidP="00600535">
      <w:pPr>
        <w:pStyle w:val="CETBodytext"/>
        <w:rPr>
          <w:iCs/>
          <w:lang w:val="en-GB"/>
        </w:rPr>
      </w:pPr>
    </w:p>
    <w:p w:rsidR="00DC3938" w:rsidRDefault="00672AB6" w:rsidP="00600535">
      <w:pPr>
        <w:pStyle w:val="CETBodytext"/>
        <w:rPr>
          <w:iCs/>
          <w:lang w:val="en-GB"/>
        </w:rPr>
      </w:pPr>
      <w:r>
        <w:rPr>
          <w:noProof/>
          <w:lang w:val="it-IT" w:eastAsia="it-IT"/>
        </w:rPr>
        <w:drawing>
          <wp:inline distT="0" distB="0" distL="0" distR="0" wp14:anchorId="70B6B250" wp14:editId="1E10989D">
            <wp:extent cx="2703444" cy="12719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979" cy="1314970"/>
                    </a:xfrm>
                    <a:prstGeom prst="rect">
                      <a:avLst/>
                    </a:prstGeom>
                  </pic:spPr>
                </pic:pic>
              </a:graphicData>
            </a:graphic>
          </wp:inline>
        </w:drawing>
      </w:r>
    </w:p>
    <w:p w:rsidR="00DC3938" w:rsidRDefault="00DC3938" w:rsidP="00600535">
      <w:pPr>
        <w:pStyle w:val="CETBodytext"/>
        <w:rPr>
          <w:i/>
          <w:iCs/>
          <w:lang w:val="en-GB"/>
        </w:rPr>
      </w:pPr>
      <w:r w:rsidRPr="00DC3938">
        <w:rPr>
          <w:i/>
          <w:iCs/>
          <w:lang w:val="en-GB"/>
        </w:rPr>
        <w:t>Figure 1: experimental set up scheme.</w:t>
      </w:r>
    </w:p>
    <w:p w:rsidR="00AB5011" w:rsidRPr="00B57B36" w:rsidRDefault="00DC3938" w:rsidP="00FA5F5F">
      <w:pPr>
        <w:pStyle w:val="CETheadingx"/>
      </w:pPr>
      <w:r>
        <w:t>Data analysis and m</w:t>
      </w:r>
      <w:r w:rsidR="00475176">
        <w:t>athematical modeling</w:t>
      </w:r>
    </w:p>
    <w:p w:rsidR="00E765C2" w:rsidRDefault="00475176" w:rsidP="00AB5011">
      <w:pPr>
        <w:pStyle w:val="CETBodytext"/>
        <w:rPr>
          <w:lang w:val="en-GB"/>
        </w:rPr>
      </w:pPr>
      <w:r>
        <w:rPr>
          <w:lang w:val="en-GB"/>
        </w:rPr>
        <w:t xml:space="preserve">The </w:t>
      </w:r>
      <w:r w:rsidR="00656B6E">
        <w:rPr>
          <w:lang w:val="en-GB"/>
        </w:rPr>
        <w:t xml:space="preserve">breakthrough curve shape and the </w:t>
      </w:r>
      <w:r w:rsidR="005D1E5D">
        <w:rPr>
          <w:lang w:val="en-GB"/>
        </w:rPr>
        <w:t xml:space="preserve">breakthrough time, </w:t>
      </w:r>
      <w:proofErr w:type="spellStart"/>
      <w:r w:rsidR="005D1E5D">
        <w:rPr>
          <w:lang w:val="en-GB"/>
        </w:rPr>
        <w:t>t</w:t>
      </w:r>
      <w:r w:rsidR="005D1E5D" w:rsidRPr="0087346F">
        <w:rPr>
          <w:vertAlign w:val="subscript"/>
          <w:lang w:val="en-GB"/>
        </w:rPr>
        <w:t>b</w:t>
      </w:r>
      <w:proofErr w:type="spellEnd"/>
      <w:r w:rsidR="005D1E5D">
        <w:rPr>
          <w:lang w:val="en-GB"/>
        </w:rPr>
        <w:t xml:space="preserve"> (min), are the key-parameters for the description of the column process dynamic behaviour. The former occurs when the Cr(VI) concentration in the effluent reaches a pre-determined value, usually related to the specific concentration limit for effluent disposal according to the specific environmental regulation (in this study the value of 0.2 m/L was taken into account). Another important parameter is the bed saturation time, </w:t>
      </w:r>
      <w:proofErr w:type="spellStart"/>
      <w:r w:rsidR="005D1E5D">
        <w:rPr>
          <w:lang w:val="en-GB"/>
        </w:rPr>
        <w:t>t</w:t>
      </w:r>
      <w:r w:rsidR="005D1E5D" w:rsidRPr="005D1E5D">
        <w:rPr>
          <w:vertAlign w:val="subscript"/>
          <w:lang w:val="en-GB"/>
        </w:rPr>
        <w:t>e</w:t>
      </w:r>
      <w:proofErr w:type="spellEnd"/>
      <w:r w:rsidR="005D1E5D">
        <w:rPr>
          <w:lang w:val="en-GB"/>
        </w:rPr>
        <w:t xml:space="preserve"> (min), that is the required process time to reach a Cr(VI) concentration in the effluent equal to 0.95Cr(VI)</w:t>
      </w:r>
      <w:r w:rsidR="005D1E5D" w:rsidRPr="005D1E5D">
        <w:rPr>
          <w:vertAlign w:val="subscript"/>
          <w:lang w:val="en-GB"/>
        </w:rPr>
        <w:t>0</w:t>
      </w:r>
      <w:r w:rsidR="0087346F">
        <w:rPr>
          <w:lang w:val="en-GB"/>
        </w:rPr>
        <w:t>, where the subscript 0 indicates the initial conditions</w:t>
      </w:r>
      <w:r w:rsidR="005D1E5D">
        <w:rPr>
          <w:lang w:val="en-GB"/>
        </w:rPr>
        <w:t xml:space="preserve">. </w:t>
      </w:r>
      <w:r w:rsidR="00E765C2">
        <w:rPr>
          <w:lang w:val="en-GB"/>
        </w:rPr>
        <w:t xml:space="preserve">The maximum column capacity, </w:t>
      </w:r>
      <w:proofErr w:type="spellStart"/>
      <w:r w:rsidR="00E765C2">
        <w:rPr>
          <w:lang w:val="en-GB"/>
        </w:rPr>
        <w:t>q</w:t>
      </w:r>
      <w:r w:rsidR="00E765C2" w:rsidRPr="00E765C2">
        <w:rPr>
          <w:vertAlign w:val="subscript"/>
          <w:lang w:val="en-GB"/>
        </w:rPr>
        <w:t>tot</w:t>
      </w:r>
      <w:proofErr w:type="spellEnd"/>
      <w:r w:rsidR="00E765C2">
        <w:rPr>
          <w:lang w:val="en-GB"/>
        </w:rPr>
        <w:t xml:space="preserve"> (mg)</w:t>
      </w:r>
      <w:r w:rsidR="0087346F">
        <w:rPr>
          <w:lang w:val="en-GB"/>
        </w:rPr>
        <w:t>,</w:t>
      </w:r>
      <w:r w:rsidR="00E765C2">
        <w:rPr>
          <w:lang w:val="en-GB"/>
        </w:rPr>
        <w:t xml:space="preserve"> is expressed by the equation reported below:</w:t>
      </w:r>
    </w:p>
    <w:p w:rsidR="00E765C2" w:rsidRDefault="00E765C2" w:rsidP="00AB5011">
      <w:pPr>
        <w:pStyle w:val="CETBodytext"/>
        <w:rPr>
          <w:lang w:val="en-GB"/>
        </w:rPr>
      </w:pPr>
    </w:p>
    <w:p w:rsidR="00E765C2" w:rsidRDefault="002C589C" w:rsidP="00AB5011">
      <w:pPr>
        <w:pStyle w:val="CETBodytext"/>
        <w:rPr>
          <w:lang w:val="en-GB"/>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tot</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1000</m:t>
              </m:r>
            </m:den>
          </m:f>
          <m:nary>
            <m:naryPr>
              <m:limLoc m:val="subSup"/>
              <m:ctrlPr>
                <w:rPr>
                  <w:rFonts w:ascii="Cambria Math" w:hAnsi="Cambria Math"/>
                  <w:i/>
                  <w:lang w:val="en-GB"/>
                </w:rPr>
              </m:ctrlPr>
            </m:naryPr>
            <m:sub>
              <m:r>
                <w:rPr>
                  <w:rFonts w:ascii="Cambria Math" w:hAnsi="Cambria Math"/>
                  <w:lang w:val="en-GB"/>
                </w:rPr>
                <m:t>t=0</m:t>
              </m:r>
            </m:sub>
            <m:sup>
              <m:r>
                <w:rPr>
                  <w:rFonts w:ascii="Cambria Math" w:hAnsi="Cambria Math"/>
                  <w:lang w:val="en-GB"/>
                </w:rPr>
                <m:t>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m:t>
                  </m:r>
                </m:sub>
              </m:sSub>
            </m:sup>
            <m:e>
              <m:sSub>
                <m:sSubPr>
                  <m:ctrlPr>
                    <w:rPr>
                      <w:rFonts w:ascii="Cambria Math" w:hAnsi="Cambria Math"/>
                      <w:i/>
                      <w:lang w:val="en-GB"/>
                    </w:rPr>
                  </m:ctrlPr>
                </m:sSubPr>
                <m:e>
                  <m:r>
                    <w:rPr>
                      <w:rFonts w:ascii="Cambria Math" w:hAnsi="Cambria Math"/>
                      <w:lang w:val="en-GB"/>
                    </w:rPr>
                    <m:t>Cr(VI)</m:t>
                  </m:r>
                </m:e>
                <m:sub>
                  <m:r>
                    <w:rPr>
                      <w:rFonts w:ascii="Cambria Math" w:hAnsi="Cambria Math"/>
                      <w:lang w:val="en-GB"/>
                    </w:rPr>
                    <m:t>ads</m:t>
                  </m:r>
                </m:sub>
              </m:sSub>
              <m:r>
                <w:rPr>
                  <w:rFonts w:ascii="Cambria Math" w:hAnsi="Cambria Math"/>
                  <w:lang w:val="en-GB"/>
                </w:rPr>
                <m:t>dt</m:t>
              </m:r>
            </m:e>
          </m:nary>
          <m:r>
            <w:rPr>
              <w:rFonts w:ascii="Cambria Math" w:hAnsi="Cambria Math"/>
              <w:lang w:val="en-GB"/>
            </w:rPr>
            <m:t xml:space="preserve">                                                                                                                                                           (1)</m:t>
          </m:r>
        </m:oMath>
      </m:oMathPara>
    </w:p>
    <w:p w:rsidR="00E765C2" w:rsidRDefault="00E765C2" w:rsidP="00AB5011">
      <w:pPr>
        <w:pStyle w:val="CETBodytext"/>
        <w:rPr>
          <w:lang w:val="en-GB"/>
        </w:rPr>
      </w:pPr>
      <w:r>
        <w:rPr>
          <w:lang w:val="en-GB"/>
        </w:rPr>
        <w:t>where Cr(VI)</w:t>
      </w:r>
      <w:r w:rsidRPr="00E765C2">
        <w:rPr>
          <w:vertAlign w:val="subscript"/>
          <w:lang w:val="en-GB"/>
        </w:rPr>
        <w:t>ads</w:t>
      </w:r>
      <w:r>
        <w:rPr>
          <w:lang w:val="en-GB"/>
        </w:rPr>
        <w:t xml:space="preserve"> (mg/L) is the adsorbed Cr(VI) concentration.</w:t>
      </w:r>
      <w:r w:rsidR="000B138B">
        <w:rPr>
          <w:lang w:val="en-GB"/>
        </w:rPr>
        <w:t xml:space="preserve"> The adsorption capacity of the column, q (mg/g), can be calculated as the ratio between </w:t>
      </w:r>
      <w:proofErr w:type="spellStart"/>
      <w:r w:rsidR="000B138B">
        <w:rPr>
          <w:lang w:val="en-GB"/>
        </w:rPr>
        <w:t>q</w:t>
      </w:r>
      <w:r w:rsidR="000B138B" w:rsidRPr="000B138B">
        <w:rPr>
          <w:vertAlign w:val="subscript"/>
          <w:lang w:val="en-GB"/>
        </w:rPr>
        <w:t>tot</w:t>
      </w:r>
      <w:proofErr w:type="spellEnd"/>
      <w:r w:rsidR="000B138B">
        <w:rPr>
          <w:lang w:val="en-GB"/>
        </w:rPr>
        <w:t xml:space="preserve"> and the CNM used mass, m(g).</w:t>
      </w:r>
    </w:p>
    <w:p w:rsidR="000B138B" w:rsidRDefault="000B138B" w:rsidP="00AB5011">
      <w:pPr>
        <w:pStyle w:val="CETBodytext"/>
        <w:rPr>
          <w:lang w:val="en-GB"/>
        </w:rPr>
      </w:pPr>
      <w:r>
        <w:rPr>
          <w:lang w:val="en-GB"/>
        </w:rPr>
        <w:t xml:space="preserve">The data obtained by the performed experiments were then interpreted through the dynamic Thomas model, that </w:t>
      </w:r>
      <w:r w:rsidRPr="000B138B">
        <w:rPr>
          <w:lang w:val="en-GB"/>
        </w:rPr>
        <w:t>assumes</w:t>
      </w:r>
      <w:r>
        <w:rPr>
          <w:lang w:val="en-GB"/>
        </w:rPr>
        <w:t>:</w:t>
      </w:r>
      <w:r w:rsidRPr="000B138B">
        <w:rPr>
          <w:lang w:val="en-GB"/>
        </w:rPr>
        <w:t xml:space="preserve"> </w:t>
      </w:r>
      <w:r>
        <w:rPr>
          <w:lang w:val="en-GB"/>
        </w:rPr>
        <w:t>(</w:t>
      </w:r>
      <w:proofErr w:type="spellStart"/>
      <w:r>
        <w:rPr>
          <w:lang w:val="en-GB"/>
        </w:rPr>
        <w:t>i</w:t>
      </w:r>
      <w:proofErr w:type="spellEnd"/>
      <w:r>
        <w:rPr>
          <w:lang w:val="en-GB"/>
        </w:rPr>
        <w:t xml:space="preserve">) </w:t>
      </w:r>
      <w:r w:rsidRPr="000B138B">
        <w:rPr>
          <w:lang w:val="en-GB"/>
        </w:rPr>
        <w:t>constant separation factor</w:t>
      </w:r>
      <w:r>
        <w:rPr>
          <w:lang w:val="en-GB"/>
        </w:rPr>
        <w:t xml:space="preserve"> and</w:t>
      </w:r>
      <w:r w:rsidRPr="000B138B">
        <w:rPr>
          <w:lang w:val="en-GB"/>
        </w:rPr>
        <w:t xml:space="preserve"> </w:t>
      </w:r>
      <w:r>
        <w:rPr>
          <w:lang w:val="en-GB"/>
        </w:rPr>
        <w:t xml:space="preserve">(ii) that </w:t>
      </w:r>
      <w:r w:rsidRPr="000B138B">
        <w:rPr>
          <w:lang w:val="en-GB"/>
        </w:rPr>
        <w:t>the sorption process follows the Langmuir kinetic mechanism, occurring with negligible axial dispersion, because the process is limited by the mass transfer at the liquid/solid interface and not by the chemical reaction. The model can be described by the following equation:</w:t>
      </w:r>
    </w:p>
    <w:p w:rsidR="000B138B" w:rsidRDefault="000B138B" w:rsidP="00AB5011">
      <w:pPr>
        <w:pStyle w:val="CETBodytext"/>
        <w:rPr>
          <w:lang w:val="en-GB"/>
        </w:rPr>
      </w:pPr>
    </w:p>
    <w:p w:rsidR="000B138B" w:rsidRDefault="002C589C" w:rsidP="00AB5011">
      <w:pPr>
        <w:pStyle w:val="CETBodytext"/>
        <w:rPr>
          <w:lang w:val="en-GB"/>
        </w:rPr>
      </w:pPr>
      <m:oMathPara>
        <m:oMath>
          <m:f>
            <m:fPr>
              <m:ctrlPr>
                <w:rPr>
                  <w:rFonts w:ascii="Cambria Math" w:hAnsi="Cambria Math"/>
                  <w:i/>
                  <w:lang w:val="en-GB"/>
                </w:rPr>
              </m:ctrlPr>
            </m:fPr>
            <m:num>
              <m:r>
                <w:rPr>
                  <w:rFonts w:ascii="Cambria Math" w:hAnsi="Cambria Math"/>
                  <w:lang w:val="en-GB"/>
                </w:rPr>
                <m:t>Cr(VI)</m:t>
              </m:r>
            </m:num>
            <m:den>
              <m:r>
                <w:rPr>
                  <w:rFonts w:ascii="Cambria Math" w:hAnsi="Cambria Math"/>
                  <w:lang w:val="en-GB"/>
                </w:rPr>
                <m:t>Cr(VI</m:t>
              </m:r>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0</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1+</m:t>
              </m:r>
              <m:r>
                <m:rPr>
                  <m:sty m:val="p"/>
                </m:rPr>
                <w:rPr>
                  <w:rFonts w:ascii="Cambria Math" w:hAnsi="Cambria Math"/>
                  <w:lang w:val="en-GB"/>
                </w:rPr>
                <m:t>exp⁡</m:t>
              </m:r>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T</m:t>
                      </m:r>
                    </m:sub>
                  </m:sSub>
                </m:num>
                <m:den>
                  <m:r>
                    <w:rPr>
                      <w:rFonts w:ascii="Cambria Math" w:hAnsi="Cambria Math"/>
                      <w:lang w:val="en-GB"/>
                    </w:rPr>
                    <m:t>Q</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0</m:t>
                  </m:r>
                </m:sub>
              </m:sSub>
              <m:r>
                <w:rPr>
                  <w:rFonts w:ascii="Cambria Math" w:hAnsi="Cambria Math"/>
                  <w:lang w:val="en-GB"/>
                </w:rPr>
                <m:t>m-QCr(VI</m:t>
              </m:r>
              <m:sSub>
                <m:sSubPr>
                  <m:ctrlPr>
                    <w:rPr>
                      <w:rFonts w:ascii="Cambria Math" w:hAnsi="Cambria Math"/>
                      <w:i/>
                      <w:lang w:val="en-GB"/>
                    </w:rPr>
                  </m:ctrlPr>
                </m:sSubPr>
                <m:e>
                  <m:r>
                    <w:rPr>
                      <w:rFonts w:ascii="Cambria Math" w:hAnsi="Cambria Math"/>
                      <w:lang w:val="en-GB"/>
                    </w:rPr>
                    <m:t>)</m:t>
                  </m:r>
                </m:e>
                <m:sub>
                  <m:r>
                    <w:rPr>
                      <w:rFonts w:ascii="Cambria Math" w:hAnsi="Cambria Math"/>
                      <w:lang w:val="en-GB"/>
                    </w:rPr>
                    <m:t>0</m:t>
                  </m:r>
                </m:sub>
              </m:sSub>
              <m:r>
                <w:rPr>
                  <w:rFonts w:ascii="Cambria Math" w:hAnsi="Cambria Math"/>
                  <w:lang w:val="en-GB"/>
                </w:rPr>
                <m:t>t)</m:t>
              </m:r>
            </m:den>
          </m:f>
          <m:r>
            <w:rPr>
              <w:rFonts w:ascii="Cambria Math" w:hAnsi="Cambria Math"/>
              <w:lang w:val="en-GB"/>
            </w:rPr>
            <m:t xml:space="preserve">                                                                                                                                    (2)</m:t>
          </m:r>
        </m:oMath>
      </m:oMathPara>
    </w:p>
    <w:p w:rsidR="00AB5011" w:rsidRPr="00AB31B4" w:rsidRDefault="000B138B" w:rsidP="00AB31B4">
      <w:pPr>
        <w:pStyle w:val="CETBodytext"/>
        <w:rPr>
          <w:lang w:val="en-GB"/>
        </w:rPr>
      </w:pPr>
      <w:r w:rsidRPr="000B138B">
        <w:rPr>
          <w:lang w:val="en-GB"/>
        </w:rPr>
        <w:t xml:space="preserve">where </w:t>
      </w:r>
      <w:r w:rsidRPr="0087346F">
        <w:rPr>
          <w:iCs/>
          <w:lang w:val="en-GB"/>
        </w:rPr>
        <w:t>K</w:t>
      </w:r>
      <w:r w:rsidRPr="0087346F">
        <w:rPr>
          <w:iCs/>
          <w:vertAlign w:val="subscript"/>
          <w:lang w:val="en-GB"/>
        </w:rPr>
        <w:t>T</w:t>
      </w:r>
      <w:r w:rsidRPr="000B138B">
        <w:rPr>
          <w:lang w:val="en-GB"/>
        </w:rPr>
        <w:t xml:space="preserve"> (mL</w:t>
      </w:r>
      <w:r>
        <w:rPr>
          <w:lang w:val="en-GB"/>
        </w:rPr>
        <w:t>/</w:t>
      </w:r>
      <w:r w:rsidRPr="000B138B">
        <w:rPr>
          <w:lang w:val="en-GB"/>
        </w:rPr>
        <w:t>min</w:t>
      </w:r>
      <w:r>
        <w:rPr>
          <w:lang w:val="en-GB"/>
        </w:rPr>
        <w:t xml:space="preserve"> </w:t>
      </w:r>
      <w:r w:rsidRPr="000B138B">
        <w:rPr>
          <w:lang w:val="en-GB"/>
        </w:rPr>
        <w:t xml:space="preserve">mg) is the Thomas rate constant and </w:t>
      </w:r>
      <w:r w:rsidRPr="0087346F">
        <w:rPr>
          <w:iCs/>
          <w:lang w:val="en-GB"/>
        </w:rPr>
        <w:t>q</w:t>
      </w:r>
      <w:r w:rsidRPr="0087346F">
        <w:rPr>
          <w:iCs/>
          <w:vertAlign w:val="subscript"/>
          <w:lang w:val="en-GB"/>
        </w:rPr>
        <w:t>0</w:t>
      </w:r>
      <w:r w:rsidRPr="0087346F">
        <w:rPr>
          <w:lang w:val="en-GB"/>
        </w:rPr>
        <w:t xml:space="preserve"> </w:t>
      </w:r>
      <w:r w:rsidRPr="000B138B">
        <w:rPr>
          <w:lang w:val="en-GB"/>
        </w:rPr>
        <w:t>(mg</w:t>
      </w:r>
      <w:r>
        <w:rPr>
          <w:lang w:val="en-GB"/>
        </w:rPr>
        <w:t>/</w:t>
      </w:r>
      <w:r w:rsidRPr="000B138B">
        <w:rPr>
          <w:lang w:val="en-GB"/>
        </w:rPr>
        <w:t xml:space="preserve">g) is the maximum sorption capacity of the </w:t>
      </w:r>
      <w:r>
        <w:rPr>
          <w:lang w:val="en-GB"/>
        </w:rPr>
        <w:t>CNM material</w:t>
      </w:r>
      <w:r w:rsidRPr="000B138B">
        <w:rPr>
          <w:lang w:val="en-GB"/>
        </w:rPr>
        <w:t>.</w:t>
      </w:r>
      <w:r>
        <w:rPr>
          <w:lang w:val="en-GB"/>
        </w:rPr>
        <w:t xml:space="preserve"> The data fitting was accomplished in Excel environment, using the non-linear solver function</w:t>
      </w:r>
      <w:r w:rsidR="00B52104">
        <w:rPr>
          <w:lang w:val="en-GB"/>
        </w:rPr>
        <w:t xml:space="preserve"> in order to avoid the errors due to linearization (White and </w:t>
      </w:r>
      <w:proofErr w:type="spellStart"/>
      <w:r w:rsidR="00B52104">
        <w:rPr>
          <w:lang w:val="en-GB"/>
        </w:rPr>
        <w:t>Verdone</w:t>
      </w:r>
      <w:proofErr w:type="spellEnd"/>
      <w:r w:rsidR="00B52104">
        <w:rPr>
          <w:lang w:val="en-GB"/>
        </w:rPr>
        <w:t>, 2000)</w:t>
      </w:r>
      <w:r>
        <w:rPr>
          <w:lang w:val="en-GB"/>
        </w:rPr>
        <w:t xml:space="preserve">. </w:t>
      </w:r>
    </w:p>
    <w:p w:rsidR="00600535" w:rsidRDefault="007D05D6" w:rsidP="00600535">
      <w:pPr>
        <w:pStyle w:val="CETHeading1"/>
        <w:rPr>
          <w:lang w:val="en-GB"/>
        </w:rPr>
      </w:pPr>
      <w:r>
        <w:rPr>
          <w:lang w:val="en-GB"/>
        </w:rPr>
        <w:t>Results and Discussion</w:t>
      </w:r>
    </w:p>
    <w:p w:rsidR="007D05D6" w:rsidRDefault="00672AB6" w:rsidP="007D05D6">
      <w:pPr>
        <w:pStyle w:val="CETheadingx"/>
      </w:pPr>
      <w:r>
        <w:t>Influence of pH and Q on process performances</w:t>
      </w:r>
    </w:p>
    <w:p w:rsidR="007D05D6" w:rsidRDefault="00672AB6" w:rsidP="007D05D6">
      <w:pPr>
        <w:pStyle w:val="CETBodytext"/>
      </w:pPr>
      <w:r>
        <w:t>Figure 2</w:t>
      </w:r>
      <w:r w:rsidR="007D05D6">
        <w:t xml:space="preserve"> displays the obtained </w:t>
      </w:r>
      <w:r>
        <w:t>breakthrough curves at different operating parameter values</w:t>
      </w:r>
      <w:r w:rsidR="007D05D6">
        <w:t>.</w:t>
      </w:r>
    </w:p>
    <w:p w:rsidR="00A92D2C" w:rsidRDefault="00A92D2C" w:rsidP="007D05D6">
      <w:pPr>
        <w:pStyle w:val="CETBodytext"/>
      </w:pPr>
    </w:p>
    <w:p w:rsidR="007D05D6" w:rsidRDefault="003D057C" w:rsidP="007D05D6">
      <w:pPr>
        <w:pStyle w:val="CETBodytext"/>
      </w:pPr>
      <w:r>
        <w:rPr>
          <w:noProof/>
          <w:lang w:val="it-IT" w:eastAsia="it-IT"/>
        </w:rPr>
        <w:drawing>
          <wp:inline distT="0" distB="0" distL="0" distR="0" wp14:anchorId="6A4B251F" wp14:editId="51FB86A7">
            <wp:extent cx="2781300" cy="19165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3904" cy="1925241"/>
                    </a:xfrm>
                    <a:prstGeom prst="rect">
                      <a:avLst/>
                    </a:prstGeom>
                  </pic:spPr>
                </pic:pic>
              </a:graphicData>
            </a:graphic>
          </wp:inline>
        </w:drawing>
      </w:r>
      <w:r>
        <w:rPr>
          <w:noProof/>
          <w:lang w:val="it-IT" w:eastAsia="it-IT"/>
        </w:rPr>
        <w:drawing>
          <wp:inline distT="0" distB="0" distL="0" distR="0" wp14:anchorId="0C42058B" wp14:editId="192A599C">
            <wp:extent cx="2747645" cy="191224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935" cy="1918011"/>
                    </a:xfrm>
                    <a:prstGeom prst="rect">
                      <a:avLst/>
                    </a:prstGeom>
                  </pic:spPr>
                </pic:pic>
              </a:graphicData>
            </a:graphic>
          </wp:inline>
        </w:drawing>
      </w:r>
    </w:p>
    <w:p w:rsidR="007D05D6" w:rsidRPr="00A16173" w:rsidRDefault="00672AB6" w:rsidP="007D05D6">
      <w:pPr>
        <w:pStyle w:val="CETBodytext"/>
        <w:rPr>
          <w:i/>
        </w:rPr>
      </w:pPr>
      <w:r>
        <w:rPr>
          <w:i/>
        </w:rPr>
        <w:t>Figure 2</w:t>
      </w:r>
      <w:r w:rsidR="00A16173" w:rsidRPr="00A16173">
        <w:rPr>
          <w:i/>
        </w:rPr>
        <w:t xml:space="preserve">: </w:t>
      </w:r>
      <w:r>
        <w:rPr>
          <w:i/>
        </w:rPr>
        <w:t>breakthrough curves</w:t>
      </w:r>
      <w:r w:rsidR="00A16173" w:rsidRPr="00A16173">
        <w:rPr>
          <w:i/>
        </w:rPr>
        <w:t xml:space="preserve"> obtained at different initial </w:t>
      </w:r>
      <w:r>
        <w:rPr>
          <w:i/>
        </w:rPr>
        <w:t>Q for pH=3 (a) and pH=7 (b)</w:t>
      </w:r>
      <w:r w:rsidR="00A16173" w:rsidRPr="00A16173">
        <w:rPr>
          <w:i/>
        </w:rPr>
        <w:t xml:space="preserve"> (</w:t>
      </w:r>
      <w:r>
        <w:rPr>
          <w:i/>
        </w:rPr>
        <w:t>h=10 cm</w:t>
      </w:r>
      <w:r w:rsidR="00A16173" w:rsidRPr="00A16173">
        <w:rPr>
          <w:i/>
        </w:rPr>
        <w:t>, temperature=25°C, Cr(VI)</w:t>
      </w:r>
      <w:r w:rsidR="00A16173" w:rsidRPr="00A16173">
        <w:rPr>
          <w:i/>
          <w:vertAlign w:val="subscript"/>
        </w:rPr>
        <w:t>0</w:t>
      </w:r>
      <w:r>
        <w:rPr>
          <w:i/>
        </w:rPr>
        <w:t>=20 mg/L</w:t>
      </w:r>
      <w:r w:rsidR="009B088B">
        <w:rPr>
          <w:i/>
        </w:rPr>
        <w:t>, the Cr(VI) concentration reported on y-axis is the Cr(VI) in the outlet of the column</w:t>
      </w:r>
      <w:r w:rsidR="00A16173" w:rsidRPr="00A16173">
        <w:rPr>
          <w:i/>
        </w:rPr>
        <w:t>).</w:t>
      </w:r>
    </w:p>
    <w:p w:rsidR="00F24C7A" w:rsidRDefault="003D057C" w:rsidP="007D05D6">
      <w:pPr>
        <w:pStyle w:val="CETBodytext"/>
      </w:pPr>
      <w:r>
        <w:lastRenderedPageBreak/>
        <w:t xml:space="preserve">The shape of the curves </w:t>
      </w:r>
      <w:r w:rsidR="00F24C7A">
        <w:t>changed with both pH and Q, since at higher Q the residence time among liquid phase and solid phase decreased as also reported in a previous study (</w:t>
      </w:r>
      <w:proofErr w:type="spellStart"/>
      <w:r w:rsidR="00F24C7A">
        <w:t>Vilardi</w:t>
      </w:r>
      <w:proofErr w:type="spellEnd"/>
      <w:r w:rsidR="00F24C7A">
        <w:t xml:space="preserve"> et al., 2018g) and in Table 1</w:t>
      </w:r>
      <w:r w:rsidR="00F52725">
        <w:t xml:space="preserve"> (see </w:t>
      </w:r>
      <w:proofErr w:type="spellStart"/>
      <w:r w:rsidR="00F52725">
        <w:t>t</w:t>
      </w:r>
      <w:r w:rsidR="00F52725" w:rsidRPr="00F52725">
        <w:rPr>
          <w:vertAlign w:val="subscript"/>
        </w:rPr>
        <w:t>e</w:t>
      </w:r>
      <w:proofErr w:type="spellEnd"/>
      <w:r w:rsidR="00F52725">
        <w:t xml:space="preserve"> and </w:t>
      </w:r>
      <w:proofErr w:type="spellStart"/>
      <w:r w:rsidR="00F52725">
        <w:t>t</w:t>
      </w:r>
      <w:r w:rsidR="00F52725" w:rsidRPr="00F52725">
        <w:rPr>
          <w:vertAlign w:val="subscript"/>
        </w:rPr>
        <w:t>b</w:t>
      </w:r>
      <w:proofErr w:type="spellEnd"/>
      <w:r w:rsidR="00F52725">
        <w:t xml:space="preserve"> values)</w:t>
      </w:r>
      <w:r w:rsidR="00F24C7A">
        <w:t>.</w:t>
      </w:r>
      <w:r>
        <w:t xml:space="preserve"> </w:t>
      </w:r>
      <w:r w:rsidR="00F24C7A">
        <w:t xml:space="preserve">As a </w:t>
      </w:r>
      <w:r w:rsidR="00B56638">
        <w:t>consequence,</w:t>
      </w:r>
      <w:r w:rsidR="00F24C7A">
        <w:t xml:space="preserve"> to an increase in the Q value also the </w:t>
      </w:r>
      <w:proofErr w:type="spellStart"/>
      <w:r w:rsidR="00F24C7A">
        <w:t>t</w:t>
      </w:r>
      <w:r w:rsidR="00F24C7A" w:rsidRPr="00F52725">
        <w:rPr>
          <w:vertAlign w:val="subscript"/>
        </w:rPr>
        <w:t>b</w:t>
      </w:r>
      <w:proofErr w:type="spellEnd"/>
      <w:r w:rsidR="00F24C7A">
        <w:t xml:space="preserve"> and </w:t>
      </w:r>
      <w:proofErr w:type="spellStart"/>
      <w:r w:rsidR="00F24C7A">
        <w:t>t</w:t>
      </w:r>
      <w:r w:rsidR="00F24C7A" w:rsidRPr="00F52725">
        <w:rPr>
          <w:vertAlign w:val="subscript"/>
        </w:rPr>
        <w:t>e</w:t>
      </w:r>
      <w:proofErr w:type="spellEnd"/>
      <w:r w:rsidR="00F24C7A">
        <w:t xml:space="preserve"> decreased. As regard the pH influence, it can be clearly observed from the graphs reported in figure 2, at pH=7 the curves shape slightly changed but the </w:t>
      </w:r>
      <w:proofErr w:type="spellStart"/>
      <w:r w:rsidR="00F24C7A">
        <w:t>t</w:t>
      </w:r>
      <w:r w:rsidR="00F24C7A" w:rsidRPr="00564983">
        <w:rPr>
          <w:vertAlign w:val="subscript"/>
        </w:rPr>
        <w:t>e</w:t>
      </w:r>
      <w:proofErr w:type="spellEnd"/>
      <w:r w:rsidR="00F24C7A">
        <w:t xml:space="preserve"> values were substantially lower in comparison to those obtained at pH=3 (see also Table 1).</w:t>
      </w:r>
      <w:r w:rsidR="009C5C88">
        <w:t xml:space="preserve"> The effect of pH on the Cr(VI) adsorption behavior can be explained considering the pH of zero charge: Cr(VI) compounds are present as oxyanions, thus, a positively charged surface of the adsorbent material can foster their adsorption. Since the pH of zero charge of the material is 4.5, for pH&lt;4.5, i.e. pH=3, the surface’s adsorbent resulted positively charged and the adsorption </w:t>
      </w:r>
      <w:r w:rsidR="00564983">
        <w:t>is enhanced</w:t>
      </w:r>
      <w:r w:rsidR="009C5C88">
        <w:t>.</w:t>
      </w:r>
      <w:r w:rsidR="00EE2753">
        <w:t xml:space="preserve"> The chemical reduction of Cr(VI) to Cr(III) is possible onto the surface of the sorbent or in the liquid bulk, since the reducing agent is represented by the ferrous ions released by the nanoparticles or present onto the sorbent surface bonded with ferric species in the iron oxide. The reaction causes the oxidation of 3Fe(II) to 3Fe(III) and the reduction of Cr(VI) to Cr(III) species.</w:t>
      </w:r>
    </w:p>
    <w:p w:rsidR="00F24C7A" w:rsidRPr="00F24C7A" w:rsidRDefault="00F24C7A" w:rsidP="00085147">
      <w:pPr>
        <w:pStyle w:val="CETTabletitle"/>
      </w:pPr>
      <w:r w:rsidRPr="00F24C7A">
        <w:t>Table 1: parameters obtained from breakthrough data analysis (</w:t>
      </w:r>
      <w:proofErr w:type="spellStart"/>
      <w:r w:rsidRPr="00F24C7A">
        <w:t>V</w:t>
      </w:r>
      <w:r w:rsidR="00F52725" w:rsidRPr="00F52725">
        <w:rPr>
          <w:vertAlign w:val="subscript"/>
        </w:rPr>
        <w:t>eff</w:t>
      </w:r>
      <w:proofErr w:type="spellEnd"/>
      <w:r w:rsidRPr="00F24C7A">
        <w:t>=</w:t>
      </w:r>
      <w:proofErr w:type="spellStart"/>
      <w:r w:rsidRPr="00F24C7A">
        <w:t>t</w:t>
      </w:r>
      <w:r w:rsidRPr="00F24C7A">
        <w:rPr>
          <w:vertAlign w:val="subscript"/>
        </w:rPr>
        <w:t>e</w:t>
      </w:r>
      <w:proofErr w:type="spellEnd"/>
      <w:r w:rsidRPr="00F24C7A">
        <w:t>*Q is the total effluent volume treated).</w:t>
      </w:r>
    </w:p>
    <w:tbl>
      <w:tblPr>
        <w:tblW w:w="8261" w:type="dxa"/>
        <w:tblInd w:w="70" w:type="dxa"/>
        <w:tblCellMar>
          <w:left w:w="70" w:type="dxa"/>
          <w:right w:w="70" w:type="dxa"/>
        </w:tblCellMar>
        <w:tblLook w:val="04A0" w:firstRow="1" w:lastRow="0" w:firstColumn="1" w:lastColumn="0" w:noHBand="0" w:noVBand="1"/>
      </w:tblPr>
      <w:tblGrid>
        <w:gridCol w:w="877"/>
        <w:gridCol w:w="420"/>
        <w:gridCol w:w="1512"/>
        <w:gridCol w:w="1138"/>
        <w:gridCol w:w="982"/>
        <w:gridCol w:w="982"/>
        <w:gridCol w:w="1106"/>
        <w:gridCol w:w="1244"/>
      </w:tblGrid>
      <w:tr w:rsidR="00F52725" w:rsidRPr="00F52725" w:rsidTr="00F52725">
        <w:trPr>
          <w:trHeight w:val="336"/>
        </w:trPr>
        <w:tc>
          <w:tcPr>
            <w:tcW w:w="877"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h (cm)</w:t>
            </w:r>
          </w:p>
        </w:tc>
        <w:tc>
          <w:tcPr>
            <w:tcW w:w="420"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proofErr w:type="spellStart"/>
            <w:r w:rsidRPr="00F52725">
              <w:rPr>
                <w:rFonts w:cs="Arial"/>
                <w:color w:val="000000"/>
                <w:szCs w:val="18"/>
                <w:lang w:val="it-IT" w:eastAsia="it-IT"/>
              </w:rPr>
              <w:t>pH</w:t>
            </w:r>
            <w:proofErr w:type="spellEnd"/>
          </w:p>
        </w:tc>
        <w:tc>
          <w:tcPr>
            <w:tcW w:w="151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Q (</w:t>
            </w:r>
            <w:proofErr w:type="spellStart"/>
            <w:r w:rsidRPr="00F52725">
              <w:rPr>
                <w:rFonts w:cs="Arial"/>
                <w:color w:val="000000"/>
                <w:szCs w:val="18"/>
                <w:lang w:val="it-IT" w:eastAsia="it-IT"/>
              </w:rPr>
              <w:t>mL</w:t>
            </w:r>
            <w:proofErr w:type="spellEnd"/>
            <w:r w:rsidRPr="00F52725">
              <w:rPr>
                <w:rFonts w:cs="Arial"/>
                <w:color w:val="000000"/>
                <w:szCs w:val="18"/>
                <w:lang w:val="it-IT" w:eastAsia="it-IT"/>
              </w:rPr>
              <w:t>/</w:t>
            </w:r>
            <w:proofErr w:type="spellStart"/>
            <w:r w:rsidRPr="00F52725">
              <w:rPr>
                <w:rFonts w:cs="Arial"/>
                <w:color w:val="000000"/>
                <w:szCs w:val="18"/>
                <w:lang w:val="it-IT" w:eastAsia="it-IT"/>
              </w:rPr>
              <w:t>min</w:t>
            </w:r>
            <w:proofErr w:type="spellEnd"/>
            <w:r w:rsidRPr="00F52725">
              <w:rPr>
                <w:rFonts w:cs="Arial"/>
                <w:color w:val="000000"/>
                <w:szCs w:val="18"/>
                <w:lang w:val="it-IT" w:eastAsia="it-IT"/>
              </w:rPr>
              <w:t>)</w:t>
            </w:r>
          </w:p>
        </w:tc>
        <w:tc>
          <w:tcPr>
            <w:tcW w:w="1138"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proofErr w:type="spellStart"/>
            <w:r w:rsidRPr="00F52725">
              <w:rPr>
                <w:rFonts w:cs="Arial"/>
                <w:color w:val="000000"/>
                <w:szCs w:val="18"/>
                <w:lang w:val="it-IT" w:eastAsia="it-IT"/>
              </w:rPr>
              <w:t>V</w:t>
            </w:r>
            <w:r w:rsidRPr="00F52725">
              <w:rPr>
                <w:rFonts w:cs="Arial"/>
                <w:color w:val="000000"/>
                <w:szCs w:val="18"/>
                <w:vertAlign w:val="subscript"/>
                <w:lang w:val="it-IT" w:eastAsia="it-IT"/>
              </w:rPr>
              <w:t>eff</w:t>
            </w:r>
            <w:proofErr w:type="spellEnd"/>
            <w:r w:rsidRPr="00F52725">
              <w:rPr>
                <w:rFonts w:cs="Arial"/>
                <w:color w:val="000000"/>
                <w:szCs w:val="18"/>
                <w:lang w:val="it-IT" w:eastAsia="it-IT"/>
              </w:rPr>
              <w:t xml:space="preserve"> (</w:t>
            </w:r>
            <w:proofErr w:type="spellStart"/>
            <w:r w:rsidRPr="00F52725">
              <w:rPr>
                <w:rFonts w:cs="Arial"/>
                <w:color w:val="000000"/>
                <w:szCs w:val="18"/>
                <w:lang w:val="it-IT" w:eastAsia="it-IT"/>
              </w:rPr>
              <w:t>mL</w:t>
            </w:r>
            <w:proofErr w:type="spellEnd"/>
            <w:r w:rsidRPr="00F52725">
              <w:rPr>
                <w:rFonts w:cs="Arial"/>
                <w:color w:val="000000"/>
                <w:szCs w:val="18"/>
                <w:lang w:val="it-IT" w:eastAsia="it-IT"/>
              </w:rPr>
              <w:t>)</w:t>
            </w:r>
          </w:p>
        </w:tc>
        <w:tc>
          <w:tcPr>
            <w:tcW w:w="98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t</w:t>
            </w:r>
            <w:r w:rsidRPr="00F52725">
              <w:rPr>
                <w:rFonts w:cs="Arial"/>
                <w:color w:val="000000"/>
                <w:szCs w:val="18"/>
                <w:vertAlign w:val="subscript"/>
                <w:lang w:val="it-IT" w:eastAsia="it-IT"/>
              </w:rPr>
              <w:t>e</w:t>
            </w:r>
            <w:r w:rsidRPr="00F52725">
              <w:rPr>
                <w:rFonts w:cs="Arial"/>
                <w:color w:val="000000"/>
                <w:szCs w:val="18"/>
                <w:lang w:val="it-IT" w:eastAsia="it-IT"/>
              </w:rPr>
              <w:t xml:space="preserve"> (</w:t>
            </w:r>
            <w:proofErr w:type="spellStart"/>
            <w:r w:rsidRPr="00F52725">
              <w:rPr>
                <w:rFonts w:cs="Arial"/>
                <w:color w:val="000000"/>
                <w:szCs w:val="18"/>
                <w:lang w:val="it-IT" w:eastAsia="it-IT"/>
              </w:rPr>
              <w:t>min</w:t>
            </w:r>
            <w:proofErr w:type="spellEnd"/>
            <w:r w:rsidRPr="00F52725">
              <w:rPr>
                <w:rFonts w:cs="Arial"/>
                <w:color w:val="000000"/>
                <w:szCs w:val="18"/>
                <w:lang w:val="it-IT" w:eastAsia="it-IT"/>
              </w:rPr>
              <w:t>)</w:t>
            </w:r>
          </w:p>
        </w:tc>
        <w:tc>
          <w:tcPr>
            <w:tcW w:w="98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proofErr w:type="spellStart"/>
            <w:r w:rsidRPr="00F52725">
              <w:rPr>
                <w:rFonts w:cs="Arial"/>
                <w:color w:val="000000"/>
                <w:szCs w:val="18"/>
                <w:lang w:val="it-IT" w:eastAsia="it-IT"/>
              </w:rPr>
              <w:t>t</w:t>
            </w:r>
            <w:r w:rsidRPr="00F52725">
              <w:rPr>
                <w:rFonts w:cs="Arial"/>
                <w:color w:val="000000"/>
                <w:szCs w:val="18"/>
                <w:vertAlign w:val="subscript"/>
                <w:lang w:val="it-IT" w:eastAsia="it-IT"/>
              </w:rPr>
              <w:t>b</w:t>
            </w:r>
            <w:proofErr w:type="spellEnd"/>
            <w:r w:rsidRPr="00F52725">
              <w:rPr>
                <w:rFonts w:cs="Arial"/>
                <w:color w:val="000000"/>
                <w:szCs w:val="18"/>
                <w:lang w:val="it-IT" w:eastAsia="it-IT"/>
              </w:rPr>
              <w:t xml:space="preserve"> (</w:t>
            </w:r>
            <w:proofErr w:type="spellStart"/>
            <w:r w:rsidRPr="00F52725">
              <w:rPr>
                <w:rFonts w:cs="Arial"/>
                <w:color w:val="000000"/>
                <w:szCs w:val="18"/>
                <w:lang w:val="it-IT" w:eastAsia="it-IT"/>
              </w:rPr>
              <w:t>min</w:t>
            </w:r>
            <w:proofErr w:type="spellEnd"/>
            <w:r w:rsidRPr="00F52725">
              <w:rPr>
                <w:rFonts w:cs="Arial"/>
                <w:color w:val="000000"/>
                <w:szCs w:val="18"/>
                <w:lang w:val="it-IT" w:eastAsia="it-IT"/>
              </w:rPr>
              <w:t>)</w:t>
            </w:r>
          </w:p>
        </w:tc>
        <w:tc>
          <w:tcPr>
            <w:tcW w:w="1106"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proofErr w:type="spellStart"/>
            <w:r w:rsidRPr="00F52725">
              <w:rPr>
                <w:rFonts w:cs="Arial"/>
                <w:color w:val="000000"/>
                <w:szCs w:val="18"/>
                <w:lang w:val="it-IT" w:eastAsia="it-IT"/>
              </w:rPr>
              <w:t>q</w:t>
            </w:r>
            <w:r w:rsidRPr="00F52725">
              <w:rPr>
                <w:rFonts w:cs="Arial"/>
                <w:color w:val="000000"/>
                <w:szCs w:val="18"/>
                <w:vertAlign w:val="subscript"/>
                <w:lang w:val="it-IT" w:eastAsia="it-IT"/>
              </w:rPr>
              <w:t>tot</w:t>
            </w:r>
            <w:proofErr w:type="spellEnd"/>
            <w:r w:rsidRPr="00F52725">
              <w:rPr>
                <w:rFonts w:cs="Arial"/>
                <w:color w:val="000000"/>
                <w:szCs w:val="18"/>
                <w:lang w:val="it-IT" w:eastAsia="it-IT"/>
              </w:rPr>
              <w:t xml:space="preserve"> (mg)</w:t>
            </w:r>
          </w:p>
        </w:tc>
        <w:tc>
          <w:tcPr>
            <w:tcW w:w="1244"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proofErr w:type="spellStart"/>
            <w:r w:rsidRPr="00F52725">
              <w:rPr>
                <w:rFonts w:cs="Arial"/>
                <w:color w:val="000000"/>
                <w:szCs w:val="18"/>
                <w:lang w:val="it-IT" w:eastAsia="it-IT"/>
              </w:rPr>
              <w:t>q</w:t>
            </w:r>
            <w:r w:rsidRPr="00F52725">
              <w:rPr>
                <w:rFonts w:cs="Arial"/>
                <w:color w:val="000000"/>
                <w:szCs w:val="18"/>
                <w:vertAlign w:val="subscript"/>
                <w:lang w:val="it-IT" w:eastAsia="it-IT"/>
              </w:rPr>
              <w:t>e</w:t>
            </w:r>
            <w:proofErr w:type="spellEnd"/>
            <w:r w:rsidRPr="00F52725">
              <w:rPr>
                <w:rFonts w:cs="Arial"/>
                <w:color w:val="000000"/>
                <w:szCs w:val="18"/>
                <w:lang w:val="it-IT" w:eastAsia="it-IT"/>
              </w:rPr>
              <w:t xml:space="preserve"> (mg/g)</w:t>
            </w:r>
          </w:p>
        </w:tc>
      </w:tr>
      <w:tr w:rsidR="00F52725" w:rsidRPr="00F52725" w:rsidTr="00F52725">
        <w:trPr>
          <w:trHeight w:val="288"/>
        </w:trPr>
        <w:tc>
          <w:tcPr>
            <w:tcW w:w="877" w:type="dxa"/>
            <w:vMerge w:val="restart"/>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10</w:t>
            </w:r>
          </w:p>
        </w:tc>
        <w:tc>
          <w:tcPr>
            <w:tcW w:w="420" w:type="dxa"/>
            <w:vMerge w:val="restart"/>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3</w:t>
            </w:r>
          </w:p>
        </w:tc>
        <w:tc>
          <w:tcPr>
            <w:tcW w:w="151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w:t>
            </w:r>
          </w:p>
        </w:tc>
        <w:tc>
          <w:tcPr>
            <w:tcW w:w="1138"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490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245</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30</w:t>
            </w:r>
          </w:p>
        </w:tc>
        <w:tc>
          <w:tcPr>
            <w:tcW w:w="1106"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5.43</w:t>
            </w:r>
          </w:p>
        </w:tc>
        <w:tc>
          <w:tcPr>
            <w:tcW w:w="1244"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0.48</w:t>
            </w:r>
          </w:p>
        </w:tc>
      </w:tr>
      <w:tr w:rsidR="00F52725" w:rsidRPr="00F52725" w:rsidTr="00F52725">
        <w:trPr>
          <w:trHeight w:val="288"/>
        </w:trPr>
        <w:tc>
          <w:tcPr>
            <w:tcW w:w="877"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420" w:type="dxa"/>
            <w:vMerge/>
            <w:tcBorders>
              <w:top w:val="nil"/>
              <w:left w:val="nil"/>
              <w:bottom w:val="nil"/>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151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4</w:t>
            </w:r>
          </w:p>
        </w:tc>
        <w:tc>
          <w:tcPr>
            <w:tcW w:w="1138"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860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215</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20</w:t>
            </w:r>
          </w:p>
        </w:tc>
        <w:tc>
          <w:tcPr>
            <w:tcW w:w="1106"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9.53</w:t>
            </w:r>
          </w:p>
        </w:tc>
        <w:tc>
          <w:tcPr>
            <w:tcW w:w="1244"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0.84</w:t>
            </w:r>
          </w:p>
        </w:tc>
      </w:tr>
      <w:tr w:rsidR="00F52725" w:rsidRPr="00F52725" w:rsidTr="00F52725">
        <w:trPr>
          <w:trHeight w:val="288"/>
        </w:trPr>
        <w:tc>
          <w:tcPr>
            <w:tcW w:w="877"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420" w:type="dxa"/>
            <w:vMerge/>
            <w:tcBorders>
              <w:top w:val="nil"/>
              <w:left w:val="nil"/>
              <w:bottom w:val="nil"/>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151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6</w:t>
            </w:r>
          </w:p>
        </w:tc>
        <w:tc>
          <w:tcPr>
            <w:tcW w:w="1138"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1110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185</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15</w:t>
            </w:r>
          </w:p>
        </w:tc>
        <w:tc>
          <w:tcPr>
            <w:tcW w:w="1106"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13.99</w:t>
            </w:r>
          </w:p>
        </w:tc>
        <w:tc>
          <w:tcPr>
            <w:tcW w:w="1244"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1.23</w:t>
            </w:r>
          </w:p>
        </w:tc>
      </w:tr>
      <w:tr w:rsidR="00F52725" w:rsidRPr="00F52725" w:rsidTr="00F52725">
        <w:trPr>
          <w:trHeight w:val="288"/>
        </w:trPr>
        <w:tc>
          <w:tcPr>
            <w:tcW w:w="877"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420" w:type="dxa"/>
            <w:vMerge w:val="restart"/>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7</w:t>
            </w:r>
          </w:p>
        </w:tc>
        <w:tc>
          <w:tcPr>
            <w:tcW w:w="151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w:t>
            </w:r>
          </w:p>
        </w:tc>
        <w:tc>
          <w:tcPr>
            <w:tcW w:w="1138"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420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210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20</w:t>
            </w:r>
          </w:p>
        </w:tc>
        <w:tc>
          <w:tcPr>
            <w:tcW w:w="1106"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4.61</w:t>
            </w:r>
          </w:p>
        </w:tc>
        <w:tc>
          <w:tcPr>
            <w:tcW w:w="1244"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0.40</w:t>
            </w:r>
          </w:p>
        </w:tc>
      </w:tr>
      <w:tr w:rsidR="00F52725" w:rsidRPr="00F52725" w:rsidTr="00F52725">
        <w:trPr>
          <w:trHeight w:val="288"/>
        </w:trPr>
        <w:tc>
          <w:tcPr>
            <w:tcW w:w="877"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420"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151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4</w:t>
            </w:r>
          </w:p>
        </w:tc>
        <w:tc>
          <w:tcPr>
            <w:tcW w:w="1138"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720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180</w:t>
            </w:r>
          </w:p>
        </w:tc>
        <w:tc>
          <w:tcPr>
            <w:tcW w:w="982"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15</w:t>
            </w:r>
          </w:p>
        </w:tc>
        <w:tc>
          <w:tcPr>
            <w:tcW w:w="1106"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9.53</w:t>
            </w:r>
          </w:p>
        </w:tc>
        <w:tc>
          <w:tcPr>
            <w:tcW w:w="1244" w:type="dxa"/>
            <w:tcBorders>
              <w:top w:val="nil"/>
              <w:left w:val="nil"/>
              <w:bottom w:val="nil"/>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0.84</w:t>
            </w:r>
          </w:p>
        </w:tc>
      </w:tr>
      <w:tr w:rsidR="00F52725" w:rsidRPr="00F52725" w:rsidTr="00F52725">
        <w:trPr>
          <w:trHeight w:val="300"/>
        </w:trPr>
        <w:tc>
          <w:tcPr>
            <w:tcW w:w="877"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420" w:type="dxa"/>
            <w:vMerge/>
            <w:tcBorders>
              <w:top w:val="nil"/>
              <w:left w:val="nil"/>
              <w:bottom w:val="single" w:sz="8" w:space="0" w:color="00B050"/>
              <w:right w:val="nil"/>
            </w:tcBorders>
            <w:vAlign w:val="center"/>
            <w:hideMark/>
          </w:tcPr>
          <w:p w:rsidR="00F52725" w:rsidRPr="00F52725" w:rsidRDefault="00F52725" w:rsidP="009B088B">
            <w:pPr>
              <w:tabs>
                <w:tab w:val="clear" w:pos="7100"/>
              </w:tabs>
              <w:spacing w:line="240" w:lineRule="auto"/>
              <w:jc w:val="left"/>
              <w:rPr>
                <w:rFonts w:cs="Arial"/>
                <w:color w:val="000000"/>
                <w:szCs w:val="18"/>
                <w:lang w:val="it-IT" w:eastAsia="it-IT"/>
              </w:rPr>
            </w:pPr>
          </w:p>
        </w:tc>
        <w:tc>
          <w:tcPr>
            <w:tcW w:w="151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6</w:t>
            </w:r>
          </w:p>
        </w:tc>
        <w:tc>
          <w:tcPr>
            <w:tcW w:w="1138"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960</w:t>
            </w:r>
          </w:p>
        </w:tc>
        <w:tc>
          <w:tcPr>
            <w:tcW w:w="98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160</w:t>
            </w:r>
          </w:p>
        </w:tc>
        <w:tc>
          <w:tcPr>
            <w:tcW w:w="982"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5</w:t>
            </w:r>
          </w:p>
        </w:tc>
        <w:tc>
          <w:tcPr>
            <w:tcW w:w="1106"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12.82</w:t>
            </w:r>
          </w:p>
        </w:tc>
        <w:tc>
          <w:tcPr>
            <w:tcW w:w="1244" w:type="dxa"/>
            <w:tcBorders>
              <w:top w:val="nil"/>
              <w:left w:val="nil"/>
              <w:bottom w:val="single" w:sz="8" w:space="0" w:color="00B050"/>
              <w:right w:val="nil"/>
            </w:tcBorders>
            <w:shd w:val="clear" w:color="auto" w:fill="auto"/>
            <w:noWrap/>
            <w:vAlign w:val="center"/>
            <w:hideMark/>
          </w:tcPr>
          <w:p w:rsidR="00F52725" w:rsidRPr="00F52725" w:rsidRDefault="00F52725" w:rsidP="009B088B">
            <w:pPr>
              <w:tabs>
                <w:tab w:val="clear" w:pos="7100"/>
              </w:tabs>
              <w:spacing w:line="240" w:lineRule="auto"/>
              <w:jc w:val="center"/>
              <w:rPr>
                <w:rFonts w:cs="Arial"/>
                <w:color w:val="000000"/>
                <w:szCs w:val="18"/>
                <w:lang w:val="it-IT" w:eastAsia="it-IT"/>
              </w:rPr>
            </w:pPr>
            <w:r w:rsidRPr="00F52725">
              <w:rPr>
                <w:rFonts w:cs="Arial"/>
                <w:color w:val="000000"/>
                <w:szCs w:val="18"/>
                <w:lang w:val="it-IT" w:eastAsia="it-IT"/>
              </w:rPr>
              <w:t>1.12</w:t>
            </w:r>
          </w:p>
        </w:tc>
      </w:tr>
    </w:tbl>
    <w:p w:rsidR="007D05D6" w:rsidRPr="00B57B36" w:rsidRDefault="00F24C7A" w:rsidP="007D05D6">
      <w:pPr>
        <w:pStyle w:val="CETheadingx"/>
      </w:pPr>
      <w:r>
        <w:t>Breakthrough data fitting to Thomas model</w:t>
      </w:r>
    </w:p>
    <w:p w:rsidR="007D05D6" w:rsidRDefault="00F24C7A" w:rsidP="007D05D6">
      <w:pPr>
        <w:pStyle w:val="CETBodytext"/>
        <w:rPr>
          <w:lang w:val="en-GB"/>
        </w:rPr>
      </w:pPr>
      <w:r>
        <w:rPr>
          <w:lang w:val="en-GB"/>
        </w:rPr>
        <w:t>Figure 3 shows the</w:t>
      </w:r>
      <w:r w:rsidR="00A92D2C">
        <w:rPr>
          <w:lang w:val="en-GB"/>
        </w:rPr>
        <w:t xml:space="preserve"> fitted </w:t>
      </w:r>
      <w:r>
        <w:rPr>
          <w:lang w:val="en-GB"/>
        </w:rPr>
        <w:t>Thomas</w:t>
      </w:r>
      <w:r w:rsidR="00A92D2C">
        <w:rPr>
          <w:lang w:val="en-GB"/>
        </w:rPr>
        <w:t xml:space="preserve"> model</w:t>
      </w:r>
      <w:r>
        <w:rPr>
          <w:lang w:val="en-GB"/>
        </w:rPr>
        <w:t xml:space="preserve"> to the experimental data</w:t>
      </w:r>
      <w:r w:rsidR="00724812">
        <w:rPr>
          <w:lang w:val="en-GB"/>
        </w:rPr>
        <w:t xml:space="preserve"> obtained at the optimal pH value</w:t>
      </w:r>
      <w:r w:rsidR="00A92D2C">
        <w:rPr>
          <w:lang w:val="en-GB"/>
        </w:rPr>
        <w:t>.</w:t>
      </w:r>
    </w:p>
    <w:p w:rsidR="00A92D2C" w:rsidRDefault="00A92D2C" w:rsidP="007D05D6">
      <w:pPr>
        <w:pStyle w:val="CETBodytext"/>
        <w:rPr>
          <w:lang w:val="en-GB"/>
        </w:rPr>
      </w:pPr>
    </w:p>
    <w:p w:rsidR="00A92D2C" w:rsidRDefault="004A41F4" w:rsidP="007D05D6">
      <w:pPr>
        <w:pStyle w:val="CETBodytext"/>
        <w:rPr>
          <w:lang w:val="en-GB"/>
        </w:rPr>
      </w:pPr>
      <w:r>
        <w:rPr>
          <w:noProof/>
          <w:lang w:val="it-IT" w:eastAsia="it-IT"/>
        </w:rPr>
        <w:drawing>
          <wp:inline distT="0" distB="0" distL="0" distR="0" wp14:anchorId="138FA78F" wp14:editId="565998E1">
            <wp:extent cx="2932324" cy="1994261"/>
            <wp:effectExtent l="0" t="0" r="1905"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6382" cy="2024224"/>
                    </a:xfrm>
                    <a:prstGeom prst="rect">
                      <a:avLst/>
                    </a:prstGeom>
                  </pic:spPr>
                </pic:pic>
              </a:graphicData>
            </a:graphic>
          </wp:inline>
        </w:drawing>
      </w:r>
    </w:p>
    <w:p w:rsidR="004A0713" w:rsidRDefault="00A92D2C" w:rsidP="004A0713">
      <w:pPr>
        <w:pStyle w:val="CETBodytext"/>
        <w:rPr>
          <w:i/>
        </w:rPr>
      </w:pPr>
      <w:r>
        <w:rPr>
          <w:i/>
        </w:rPr>
        <w:t>Figure 3</w:t>
      </w:r>
      <w:r w:rsidRPr="00A16173">
        <w:rPr>
          <w:i/>
        </w:rPr>
        <w:t xml:space="preserve">: </w:t>
      </w:r>
      <w:r w:rsidR="00724812">
        <w:rPr>
          <w:i/>
        </w:rPr>
        <w:t>breakthrough curves</w:t>
      </w:r>
      <w:r w:rsidR="00724812" w:rsidRPr="00A16173">
        <w:rPr>
          <w:i/>
        </w:rPr>
        <w:t xml:space="preserve"> </w:t>
      </w:r>
      <w:r w:rsidR="00724812">
        <w:rPr>
          <w:i/>
        </w:rPr>
        <w:t>modeling through Thomas model</w:t>
      </w:r>
      <w:r w:rsidR="00724812" w:rsidRPr="00A16173">
        <w:rPr>
          <w:i/>
        </w:rPr>
        <w:t xml:space="preserve"> (</w:t>
      </w:r>
      <w:r w:rsidR="00724812">
        <w:rPr>
          <w:i/>
        </w:rPr>
        <w:t>pH=3, h=10 cm</w:t>
      </w:r>
      <w:r w:rsidR="00724812" w:rsidRPr="00A16173">
        <w:rPr>
          <w:i/>
        </w:rPr>
        <w:t>, temperature=25°C, Cr(VI)</w:t>
      </w:r>
      <w:r w:rsidR="00724812" w:rsidRPr="00A16173">
        <w:rPr>
          <w:i/>
          <w:vertAlign w:val="subscript"/>
        </w:rPr>
        <w:t>0</w:t>
      </w:r>
      <w:r w:rsidR="00724812">
        <w:rPr>
          <w:i/>
        </w:rPr>
        <w:t>=20 mg/L</w:t>
      </w:r>
      <w:r w:rsidR="00724812" w:rsidRPr="00A16173">
        <w:rPr>
          <w:i/>
        </w:rPr>
        <w:t>).</w:t>
      </w:r>
    </w:p>
    <w:p w:rsidR="00B56638" w:rsidRDefault="00B56638" w:rsidP="004A0713">
      <w:pPr>
        <w:pStyle w:val="CETBodytext"/>
        <w:rPr>
          <w:i/>
        </w:rPr>
      </w:pPr>
    </w:p>
    <w:p w:rsidR="004A41F4" w:rsidRDefault="004A41F4" w:rsidP="004A0713">
      <w:pPr>
        <w:pStyle w:val="CETBodytext"/>
      </w:pPr>
      <w:r>
        <w:t>Thomas model was able to well describe the breakthrough data and the asymptotic experimental behavior. The regressed model parameters are reported in Table 2, as well as the correlation coefficient values.</w:t>
      </w:r>
    </w:p>
    <w:p w:rsidR="004A41F4" w:rsidRDefault="004A41F4" w:rsidP="004A0713">
      <w:pPr>
        <w:pStyle w:val="CETBodytext"/>
      </w:pPr>
    </w:p>
    <w:p w:rsidR="004A41F4" w:rsidRDefault="004A41F4" w:rsidP="004A41F4">
      <w:pPr>
        <w:pStyle w:val="CETBodytext"/>
        <w:rPr>
          <w:i/>
        </w:rPr>
      </w:pPr>
      <w:r>
        <w:rPr>
          <w:i/>
        </w:rPr>
        <w:t>Table 2: regressed Thomas parameter values and correlation coefficients</w:t>
      </w:r>
      <w:r w:rsidRPr="00F24C7A">
        <w:rPr>
          <w:i/>
        </w:rPr>
        <w:t>.</w:t>
      </w:r>
    </w:p>
    <w:p w:rsidR="00085147" w:rsidRDefault="00085147" w:rsidP="004A41F4">
      <w:pPr>
        <w:pStyle w:val="CETBodytext"/>
        <w:rPr>
          <w:i/>
        </w:rPr>
      </w:pPr>
    </w:p>
    <w:tbl>
      <w:tblPr>
        <w:tblW w:w="4702" w:type="dxa"/>
        <w:tblInd w:w="70" w:type="dxa"/>
        <w:tblCellMar>
          <w:left w:w="70" w:type="dxa"/>
          <w:right w:w="70" w:type="dxa"/>
        </w:tblCellMar>
        <w:tblLook w:val="04A0" w:firstRow="1" w:lastRow="0" w:firstColumn="1" w:lastColumn="0" w:noHBand="0" w:noVBand="1"/>
      </w:tblPr>
      <w:tblGrid>
        <w:gridCol w:w="1418"/>
        <w:gridCol w:w="1559"/>
        <w:gridCol w:w="1134"/>
        <w:gridCol w:w="591"/>
      </w:tblGrid>
      <w:tr w:rsidR="004A41F4" w:rsidRPr="004A41F4" w:rsidTr="00085147">
        <w:trPr>
          <w:trHeight w:val="324"/>
        </w:trPr>
        <w:tc>
          <w:tcPr>
            <w:tcW w:w="1418" w:type="dxa"/>
            <w:tcBorders>
              <w:top w:val="nil"/>
              <w:left w:val="nil"/>
              <w:bottom w:val="single" w:sz="8" w:space="0" w:color="00B050"/>
              <w:right w:val="nil"/>
            </w:tcBorders>
            <w:shd w:val="clear" w:color="auto" w:fill="auto"/>
            <w:noWrap/>
            <w:vAlign w:val="bottom"/>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Q (</w:t>
            </w:r>
            <w:proofErr w:type="spellStart"/>
            <w:r w:rsidRPr="004A41F4">
              <w:rPr>
                <w:rFonts w:cs="Arial"/>
                <w:color w:val="000000"/>
                <w:szCs w:val="18"/>
                <w:lang w:val="it-IT" w:eastAsia="it-IT"/>
              </w:rPr>
              <w:t>mL</w:t>
            </w:r>
            <w:proofErr w:type="spellEnd"/>
            <w:r w:rsidRPr="004A41F4">
              <w:rPr>
                <w:rFonts w:cs="Arial"/>
                <w:color w:val="000000"/>
                <w:szCs w:val="18"/>
                <w:lang w:val="it-IT" w:eastAsia="it-IT"/>
              </w:rPr>
              <w:t>/</w:t>
            </w:r>
            <w:proofErr w:type="spellStart"/>
            <w:r w:rsidRPr="004A41F4">
              <w:rPr>
                <w:rFonts w:cs="Arial"/>
                <w:color w:val="000000"/>
                <w:szCs w:val="18"/>
                <w:lang w:val="it-IT" w:eastAsia="it-IT"/>
              </w:rPr>
              <w:t>min</w:t>
            </w:r>
            <w:proofErr w:type="spellEnd"/>
            <w:r w:rsidRPr="004A41F4">
              <w:rPr>
                <w:rFonts w:cs="Arial"/>
                <w:color w:val="000000"/>
                <w:szCs w:val="18"/>
                <w:lang w:val="it-IT" w:eastAsia="it-IT"/>
              </w:rPr>
              <w:t>)</w:t>
            </w:r>
          </w:p>
        </w:tc>
        <w:tc>
          <w:tcPr>
            <w:tcW w:w="1559" w:type="dxa"/>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K</w:t>
            </w:r>
            <w:r w:rsidRPr="004A41F4">
              <w:rPr>
                <w:rFonts w:cs="Arial"/>
                <w:color w:val="000000"/>
                <w:szCs w:val="18"/>
                <w:vertAlign w:val="subscript"/>
                <w:lang w:val="it-IT" w:eastAsia="it-IT"/>
              </w:rPr>
              <w:t>T</w:t>
            </w:r>
            <w:r w:rsidRPr="004A41F4">
              <w:rPr>
                <w:rFonts w:cs="Arial"/>
                <w:color w:val="000000"/>
                <w:szCs w:val="18"/>
                <w:lang w:val="it-IT" w:eastAsia="it-IT"/>
              </w:rPr>
              <w:t xml:space="preserve"> (</w:t>
            </w:r>
            <w:proofErr w:type="spellStart"/>
            <w:r w:rsidRPr="004A41F4">
              <w:rPr>
                <w:rFonts w:cs="Arial"/>
                <w:color w:val="000000"/>
                <w:szCs w:val="18"/>
                <w:lang w:val="it-IT" w:eastAsia="it-IT"/>
              </w:rPr>
              <w:t>mL</w:t>
            </w:r>
            <w:proofErr w:type="spellEnd"/>
            <w:r w:rsidRPr="004A41F4">
              <w:rPr>
                <w:rFonts w:cs="Arial"/>
                <w:color w:val="000000"/>
                <w:szCs w:val="18"/>
                <w:lang w:val="it-IT" w:eastAsia="it-IT"/>
              </w:rPr>
              <w:t>/</w:t>
            </w:r>
            <w:proofErr w:type="spellStart"/>
            <w:r w:rsidRPr="004A41F4">
              <w:rPr>
                <w:rFonts w:cs="Arial"/>
                <w:color w:val="000000"/>
                <w:szCs w:val="18"/>
                <w:lang w:val="it-IT" w:eastAsia="it-IT"/>
              </w:rPr>
              <w:t>min</w:t>
            </w:r>
            <w:proofErr w:type="spellEnd"/>
            <w:r w:rsidRPr="004A41F4">
              <w:rPr>
                <w:rFonts w:cs="Arial"/>
                <w:color w:val="000000"/>
                <w:szCs w:val="18"/>
                <w:lang w:val="it-IT" w:eastAsia="it-IT"/>
              </w:rPr>
              <w:t xml:space="preserve"> mg)</w:t>
            </w:r>
          </w:p>
        </w:tc>
        <w:tc>
          <w:tcPr>
            <w:tcW w:w="1134" w:type="dxa"/>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q</w:t>
            </w:r>
            <w:r w:rsidRPr="004A41F4">
              <w:rPr>
                <w:rFonts w:cs="Arial"/>
                <w:color w:val="000000"/>
                <w:szCs w:val="18"/>
                <w:vertAlign w:val="subscript"/>
                <w:lang w:val="it-IT" w:eastAsia="it-IT"/>
              </w:rPr>
              <w:t>0</w:t>
            </w:r>
            <w:r w:rsidRPr="004A41F4">
              <w:rPr>
                <w:rFonts w:cs="Arial"/>
                <w:color w:val="000000"/>
                <w:szCs w:val="18"/>
                <w:lang w:val="it-IT" w:eastAsia="it-IT"/>
              </w:rPr>
              <w:t xml:space="preserve"> (mg/g)</w:t>
            </w:r>
          </w:p>
        </w:tc>
        <w:tc>
          <w:tcPr>
            <w:tcW w:w="591" w:type="dxa"/>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R</w:t>
            </w:r>
            <w:r w:rsidRPr="004A41F4">
              <w:rPr>
                <w:rFonts w:cs="Arial"/>
                <w:color w:val="000000"/>
                <w:szCs w:val="18"/>
                <w:vertAlign w:val="superscript"/>
                <w:lang w:val="it-IT" w:eastAsia="it-IT"/>
              </w:rPr>
              <w:t>2</w:t>
            </w:r>
          </w:p>
        </w:tc>
      </w:tr>
      <w:tr w:rsidR="004A41F4" w:rsidRPr="004A41F4" w:rsidTr="00085147">
        <w:trPr>
          <w:trHeight w:val="288"/>
        </w:trPr>
        <w:tc>
          <w:tcPr>
            <w:tcW w:w="1418" w:type="dxa"/>
            <w:tcBorders>
              <w:top w:val="nil"/>
              <w:left w:val="nil"/>
              <w:bottom w:val="nil"/>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2</w:t>
            </w:r>
          </w:p>
        </w:tc>
        <w:tc>
          <w:tcPr>
            <w:tcW w:w="1559" w:type="dxa"/>
            <w:vMerge w:val="restart"/>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2.05</w:t>
            </w:r>
          </w:p>
        </w:tc>
        <w:tc>
          <w:tcPr>
            <w:tcW w:w="1134" w:type="dxa"/>
            <w:vMerge w:val="restart"/>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0.42</w:t>
            </w:r>
          </w:p>
        </w:tc>
        <w:tc>
          <w:tcPr>
            <w:tcW w:w="591" w:type="dxa"/>
            <w:tcBorders>
              <w:top w:val="nil"/>
              <w:left w:val="nil"/>
              <w:bottom w:val="nil"/>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0.982</w:t>
            </w:r>
          </w:p>
        </w:tc>
      </w:tr>
      <w:tr w:rsidR="004A41F4" w:rsidRPr="004A41F4" w:rsidTr="00085147">
        <w:trPr>
          <w:trHeight w:val="288"/>
        </w:trPr>
        <w:tc>
          <w:tcPr>
            <w:tcW w:w="1418" w:type="dxa"/>
            <w:tcBorders>
              <w:top w:val="nil"/>
              <w:left w:val="nil"/>
              <w:bottom w:val="nil"/>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4</w:t>
            </w:r>
          </w:p>
        </w:tc>
        <w:tc>
          <w:tcPr>
            <w:tcW w:w="1559" w:type="dxa"/>
            <w:vMerge/>
            <w:tcBorders>
              <w:top w:val="nil"/>
              <w:left w:val="nil"/>
              <w:bottom w:val="single" w:sz="8" w:space="0" w:color="00B050"/>
              <w:right w:val="nil"/>
            </w:tcBorders>
            <w:vAlign w:val="center"/>
            <w:hideMark/>
          </w:tcPr>
          <w:p w:rsidR="004A41F4" w:rsidRPr="004A41F4" w:rsidRDefault="004A41F4" w:rsidP="0047094C">
            <w:pPr>
              <w:tabs>
                <w:tab w:val="clear" w:pos="7100"/>
              </w:tabs>
              <w:spacing w:line="240" w:lineRule="auto"/>
              <w:jc w:val="left"/>
              <w:rPr>
                <w:rFonts w:cs="Arial"/>
                <w:color w:val="000000"/>
                <w:szCs w:val="18"/>
                <w:lang w:val="it-IT" w:eastAsia="it-IT"/>
              </w:rPr>
            </w:pPr>
          </w:p>
        </w:tc>
        <w:tc>
          <w:tcPr>
            <w:tcW w:w="1134" w:type="dxa"/>
            <w:vMerge/>
            <w:tcBorders>
              <w:top w:val="nil"/>
              <w:left w:val="nil"/>
              <w:bottom w:val="single" w:sz="8" w:space="0" w:color="00B050"/>
              <w:right w:val="nil"/>
            </w:tcBorders>
            <w:vAlign w:val="center"/>
            <w:hideMark/>
          </w:tcPr>
          <w:p w:rsidR="004A41F4" w:rsidRPr="004A41F4" w:rsidRDefault="004A41F4" w:rsidP="0047094C">
            <w:pPr>
              <w:tabs>
                <w:tab w:val="clear" w:pos="7100"/>
              </w:tabs>
              <w:spacing w:line="240" w:lineRule="auto"/>
              <w:jc w:val="left"/>
              <w:rPr>
                <w:rFonts w:cs="Arial"/>
                <w:color w:val="000000"/>
                <w:szCs w:val="18"/>
                <w:lang w:val="it-IT" w:eastAsia="it-IT"/>
              </w:rPr>
            </w:pPr>
          </w:p>
        </w:tc>
        <w:tc>
          <w:tcPr>
            <w:tcW w:w="591" w:type="dxa"/>
            <w:tcBorders>
              <w:top w:val="nil"/>
              <w:left w:val="nil"/>
              <w:bottom w:val="nil"/>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0.984</w:t>
            </w:r>
          </w:p>
        </w:tc>
      </w:tr>
      <w:tr w:rsidR="004A41F4" w:rsidRPr="004A41F4" w:rsidTr="00085147">
        <w:trPr>
          <w:trHeight w:val="300"/>
        </w:trPr>
        <w:tc>
          <w:tcPr>
            <w:tcW w:w="1418" w:type="dxa"/>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6</w:t>
            </w:r>
          </w:p>
        </w:tc>
        <w:tc>
          <w:tcPr>
            <w:tcW w:w="1559" w:type="dxa"/>
            <w:vMerge/>
            <w:tcBorders>
              <w:top w:val="nil"/>
              <w:left w:val="nil"/>
              <w:bottom w:val="single" w:sz="8" w:space="0" w:color="00B050"/>
              <w:right w:val="nil"/>
            </w:tcBorders>
            <w:vAlign w:val="center"/>
            <w:hideMark/>
          </w:tcPr>
          <w:p w:rsidR="004A41F4" w:rsidRPr="004A41F4" w:rsidRDefault="004A41F4" w:rsidP="0047094C">
            <w:pPr>
              <w:tabs>
                <w:tab w:val="clear" w:pos="7100"/>
              </w:tabs>
              <w:spacing w:line="240" w:lineRule="auto"/>
              <w:jc w:val="left"/>
              <w:rPr>
                <w:rFonts w:cs="Arial"/>
                <w:color w:val="000000"/>
                <w:szCs w:val="18"/>
                <w:lang w:val="it-IT" w:eastAsia="it-IT"/>
              </w:rPr>
            </w:pPr>
          </w:p>
        </w:tc>
        <w:tc>
          <w:tcPr>
            <w:tcW w:w="1134" w:type="dxa"/>
            <w:vMerge/>
            <w:tcBorders>
              <w:top w:val="nil"/>
              <w:left w:val="nil"/>
              <w:bottom w:val="single" w:sz="8" w:space="0" w:color="00B050"/>
              <w:right w:val="nil"/>
            </w:tcBorders>
            <w:vAlign w:val="center"/>
            <w:hideMark/>
          </w:tcPr>
          <w:p w:rsidR="004A41F4" w:rsidRPr="004A41F4" w:rsidRDefault="004A41F4" w:rsidP="0047094C">
            <w:pPr>
              <w:tabs>
                <w:tab w:val="clear" w:pos="7100"/>
              </w:tabs>
              <w:spacing w:line="240" w:lineRule="auto"/>
              <w:jc w:val="left"/>
              <w:rPr>
                <w:rFonts w:cs="Arial"/>
                <w:color w:val="000000"/>
                <w:szCs w:val="18"/>
                <w:lang w:val="it-IT" w:eastAsia="it-IT"/>
              </w:rPr>
            </w:pPr>
          </w:p>
        </w:tc>
        <w:tc>
          <w:tcPr>
            <w:tcW w:w="591" w:type="dxa"/>
            <w:tcBorders>
              <w:top w:val="nil"/>
              <w:left w:val="nil"/>
              <w:bottom w:val="single" w:sz="8" w:space="0" w:color="00B050"/>
              <w:right w:val="nil"/>
            </w:tcBorders>
            <w:shd w:val="clear" w:color="auto" w:fill="auto"/>
            <w:noWrap/>
            <w:vAlign w:val="center"/>
            <w:hideMark/>
          </w:tcPr>
          <w:p w:rsidR="004A41F4" w:rsidRPr="004A41F4" w:rsidRDefault="004A41F4" w:rsidP="0047094C">
            <w:pPr>
              <w:tabs>
                <w:tab w:val="clear" w:pos="7100"/>
              </w:tabs>
              <w:spacing w:line="240" w:lineRule="auto"/>
              <w:jc w:val="center"/>
              <w:rPr>
                <w:rFonts w:cs="Arial"/>
                <w:color w:val="000000"/>
                <w:szCs w:val="18"/>
                <w:lang w:val="it-IT" w:eastAsia="it-IT"/>
              </w:rPr>
            </w:pPr>
            <w:r w:rsidRPr="004A41F4">
              <w:rPr>
                <w:rFonts w:cs="Arial"/>
                <w:color w:val="000000"/>
                <w:szCs w:val="18"/>
                <w:lang w:val="it-IT" w:eastAsia="it-IT"/>
              </w:rPr>
              <w:t>0.994</w:t>
            </w:r>
          </w:p>
        </w:tc>
      </w:tr>
    </w:tbl>
    <w:p w:rsidR="00085147" w:rsidRDefault="00085147" w:rsidP="004A41F4">
      <w:pPr>
        <w:pStyle w:val="CETBodytext"/>
      </w:pPr>
    </w:p>
    <w:p w:rsidR="004A41F4" w:rsidRPr="004A41F4" w:rsidRDefault="004A41F4" w:rsidP="004A41F4">
      <w:pPr>
        <w:pStyle w:val="CETBodytext"/>
      </w:pPr>
      <w:r>
        <w:lastRenderedPageBreak/>
        <w:t>The obtained K</w:t>
      </w:r>
      <w:r w:rsidRPr="004A41F4">
        <w:rPr>
          <w:vertAlign w:val="subscript"/>
        </w:rPr>
        <w:t>T</w:t>
      </w:r>
      <w:r>
        <w:t xml:space="preserve"> and q</w:t>
      </w:r>
      <w:r w:rsidRPr="004A41F4">
        <w:rPr>
          <w:vertAlign w:val="subscript"/>
        </w:rPr>
        <w:t>0</w:t>
      </w:r>
      <w:r>
        <w:t xml:space="preserve"> values are in line with those obtained in a previous study</w:t>
      </w:r>
      <w:r w:rsidR="009C5C88">
        <w:t xml:space="preserve"> (</w:t>
      </w:r>
      <w:proofErr w:type="spellStart"/>
      <w:r w:rsidR="009C5C88">
        <w:t>Vilardi</w:t>
      </w:r>
      <w:proofErr w:type="spellEnd"/>
      <w:r w:rsidR="009C5C88">
        <w:t xml:space="preserve"> et al., 2018g)</w:t>
      </w:r>
      <w:r>
        <w:t xml:space="preserve">, as expected also considering the similar breakthrough curve shapes and </w:t>
      </w:r>
      <w:proofErr w:type="spellStart"/>
      <w:r>
        <w:t>t</w:t>
      </w:r>
      <w:r w:rsidRPr="004A41F4">
        <w:rPr>
          <w:vertAlign w:val="subscript"/>
        </w:rPr>
        <w:t>e</w:t>
      </w:r>
      <w:proofErr w:type="spellEnd"/>
      <w:r>
        <w:t xml:space="preserve"> values.</w:t>
      </w:r>
      <w:r w:rsidR="009C5C88">
        <w:t xml:space="preserve"> The </w:t>
      </w:r>
      <w:r w:rsidR="0056689B">
        <w:t>R</w:t>
      </w:r>
      <w:r w:rsidR="0056689B" w:rsidRPr="0056689B">
        <w:rPr>
          <w:vertAlign w:val="superscript"/>
        </w:rPr>
        <w:t>2</w:t>
      </w:r>
      <w:r w:rsidR="009C5C88">
        <w:t xml:space="preserve"> values were close to 0.99, with a higher value for the data from the experiments conducted at higher Q. However, Thomas model demonstrated to be </w:t>
      </w:r>
      <w:r w:rsidR="0056689B">
        <w:t>suitable</w:t>
      </w:r>
      <w:r w:rsidR="009C5C88">
        <w:t xml:space="preserve"> to describe the experimental behavior observed at different inlet flow-rate values.</w:t>
      </w:r>
    </w:p>
    <w:p w:rsidR="007D05D6" w:rsidRPr="00B57B36" w:rsidRDefault="007D05D6" w:rsidP="007D05D6">
      <w:pPr>
        <w:pStyle w:val="CETHeading1"/>
        <w:rPr>
          <w:lang w:val="en-GB"/>
        </w:rPr>
      </w:pPr>
      <w:r w:rsidRPr="00B57B36">
        <w:rPr>
          <w:lang w:val="en-GB"/>
        </w:rPr>
        <w:t>Conclusions</w:t>
      </w:r>
    </w:p>
    <w:p w:rsidR="00FA2DBD" w:rsidRDefault="0093759E" w:rsidP="00600535">
      <w:pPr>
        <w:pStyle w:val="CETBodytext"/>
      </w:pPr>
      <w:r>
        <w:t xml:space="preserve">The obtained </w:t>
      </w:r>
      <w:r w:rsidR="0056689B">
        <w:t xml:space="preserve">CNM </w:t>
      </w:r>
      <w:r>
        <w:t xml:space="preserve">nanoparticles </w:t>
      </w:r>
      <w:r w:rsidR="009C5C88">
        <w:t xml:space="preserve">were tested as packing material at fixed bed height (10 cm) and varying the inlet solution pH=3 and 7, whereas the inlet flow-rate was varied as 2, 4 and 6 mL/min. The experimental results showed that the pH influenced the overall process efficiency, since </w:t>
      </w:r>
      <w:r w:rsidR="00FA2DBD">
        <w:t xml:space="preserve">for pH&lt;pH of zero charge the adsorbent’s surface resulted positively charged and the sorption of oxyanions, such as Cr(VI) species, resulted enhanced too. The increase of inlet flow-rate caused a decreased in the contact time between solid and liquid phase, causing a decrease of effluent time and, as a consequence, of the effluent treated volume. Finally, Thomas dynamic model was able to well describe the experimental data and the shape of the obtained breakthrough curves; the regressed model parameter values were in line with the expectations considering also a previous work regarding the Cr(VI) removal in more complex wastewaters. </w:t>
      </w:r>
    </w:p>
    <w:p w:rsidR="00600535" w:rsidRPr="00B57B36" w:rsidRDefault="00600535" w:rsidP="004A0713">
      <w:pPr>
        <w:pStyle w:val="CETReference"/>
      </w:pPr>
      <w:r w:rsidRPr="00B57B36">
        <w:t xml:space="preserve">References </w:t>
      </w:r>
    </w:p>
    <w:p w:rsidR="00BB5FEF" w:rsidRPr="00085147" w:rsidRDefault="00BB5FEF" w:rsidP="00085147">
      <w:pPr>
        <w:pStyle w:val="CETReferencetext"/>
      </w:pPr>
      <w:proofErr w:type="spellStart"/>
      <w:r w:rsidRPr="00085147">
        <w:t>Bavasso</w:t>
      </w:r>
      <w:proofErr w:type="spellEnd"/>
      <w:r w:rsidRPr="00085147">
        <w:t xml:space="preserve"> I., </w:t>
      </w:r>
      <w:proofErr w:type="spellStart"/>
      <w:r w:rsidRPr="00085147">
        <w:t>Vilardi</w:t>
      </w:r>
      <w:proofErr w:type="spellEnd"/>
      <w:r w:rsidRPr="00085147">
        <w:t xml:space="preserve"> G., </w:t>
      </w:r>
      <w:proofErr w:type="spellStart"/>
      <w:r w:rsidRPr="00085147">
        <w:t>Stoller</w:t>
      </w:r>
      <w:proofErr w:type="spellEnd"/>
      <w:r w:rsidRPr="00085147">
        <w:t xml:space="preserve"> M., </w:t>
      </w:r>
      <w:proofErr w:type="spellStart"/>
      <w:r w:rsidRPr="00085147">
        <w:t>Chianese</w:t>
      </w:r>
      <w:proofErr w:type="spellEnd"/>
      <w:r w:rsidRPr="00085147">
        <w:t xml:space="preserve"> A., Di Palma L., 2016, Perspectives in Nanotechnology Based Innovative Applications for The Environment, Chemical Engineering Transactions, 47, 55–60. </w:t>
      </w:r>
    </w:p>
    <w:p w:rsidR="00E5057A" w:rsidRPr="00085147" w:rsidRDefault="00E5057A" w:rsidP="00085147">
      <w:pPr>
        <w:pStyle w:val="CETReferencetext"/>
      </w:pPr>
      <w:bookmarkStart w:id="0" w:name="_Hlk787901"/>
      <w:proofErr w:type="spellStart"/>
      <w:r w:rsidRPr="00085147">
        <w:t>Bavasso</w:t>
      </w:r>
      <w:proofErr w:type="spellEnd"/>
      <w:r w:rsidRPr="00085147">
        <w:t xml:space="preserve"> I., </w:t>
      </w:r>
      <w:proofErr w:type="spellStart"/>
      <w:r w:rsidRPr="00085147">
        <w:t>Montanaro</w:t>
      </w:r>
      <w:proofErr w:type="spellEnd"/>
      <w:r w:rsidRPr="00085147">
        <w:t xml:space="preserve"> D., </w:t>
      </w:r>
      <w:proofErr w:type="spellStart"/>
      <w:r w:rsidRPr="00085147">
        <w:t>Petrucci</w:t>
      </w:r>
      <w:proofErr w:type="spellEnd"/>
      <w:r w:rsidRPr="00085147">
        <w:t xml:space="preserve"> E., Di Palma L., 2018, Shortcut Biological Nitrogen Removal (SBNR) in an MFC anode chamber under </w:t>
      </w:r>
      <w:proofErr w:type="spellStart"/>
      <w:r w:rsidRPr="00085147">
        <w:t>microaerobic</w:t>
      </w:r>
      <w:proofErr w:type="spellEnd"/>
      <w:r w:rsidRPr="00085147">
        <w:t xml:space="preserve"> conditions: The effect of C/N ratio and kinetic study, Sustainability</w:t>
      </w:r>
      <w:r w:rsidR="00AA4F0A" w:rsidRPr="00085147">
        <w:t>, 10, 1062-1075.</w:t>
      </w:r>
    </w:p>
    <w:bookmarkEnd w:id="0"/>
    <w:p w:rsidR="00114009" w:rsidRPr="00085147" w:rsidRDefault="00114009" w:rsidP="00085147">
      <w:pPr>
        <w:pStyle w:val="CETReferencetext"/>
      </w:pPr>
      <w:proofErr w:type="spellStart"/>
      <w:r w:rsidRPr="00085147">
        <w:t>Chinh</w:t>
      </w:r>
      <w:proofErr w:type="spellEnd"/>
      <w:r w:rsidRPr="00085147">
        <w:t xml:space="preserve"> V.D., </w:t>
      </w:r>
      <w:proofErr w:type="spellStart"/>
      <w:r w:rsidRPr="00085147">
        <w:t>Broggi</w:t>
      </w:r>
      <w:proofErr w:type="spellEnd"/>
      <w:r w:rsidRPr="00085147">
        <w:t xml:space="preserve"> A., Di Palma L., </w:t>
      </w:r>
      <w:proofErr w:type="spellStart"/>
      <w:r w:rsidRPr="00085147">
        <w:t>Scarsella</w:t>
      </w:r>
      <w:proofErr w:type="spellEnd"/>
      <w:r w:rsidRPr="00085147">
        <w:t xml:space="preserve"> M., </w:t>
      </w:r>
      <w:proofErr w:type="spellStart"/>
      <w:r w:rsidRPr="00085147">
        <w:t>Speranza</w:t>
      </w:r>
      <w:proofErr w:type="spellEnd"/>
      <w:r w:rsidRPr="00085147">
        <w:t xml:space="preserve"> G., </w:t>
      </w:r>
      <w:proofErr w:type="spellStart"/>
      <w:r w:rsidRPr="00085147">
        <w:t>Vilardi</w:t>
      </w:r>
      <w:proofErr w:type="spellEnd"/>
      <w:r w:rsidRPr="00085147">
        <w:t xml:space="preserve"> G., Thang P.N., 2018, XPS Spectra Analysis of Ti2+, Ti3+ Ions and Dye </w:t>
      </w:r>
      <w:proofErr w:type="spellStart"/>
      <w:r w:rsidRPr="00085147">
        <w:t>Photodegradation</w:t>
      </w:r>
      <w:proofErr w:type="spellEnd"/>
      <w:r w:rsidRPr="00085147">
        <w:t xml:space="preserve"> Evaluation of </w:t>
      </w:r>
      <w:proofErr w:type="spellStart"/>
      <w:r w:rsidRPr="00085147">
        <w:t>Titania</w:t>
      </w:r>
      <w:proofErr w:type="spellEnd"/>
      <w:r w:rsidRPr="00085147">
        <w:t>-Silica Mixed Oxide Nanoparticles, Journal of Electronic Materials, 47, 2215–2224.</w:t>
      </w:r>
    </w:p>
    <w:p w:rsidR="00E5057A" w:rsidRPr="00085147" w:rsidRDefault="00E5057A" w:rsidP="00085147">
      <w:pPr>
        <w:pStyle w:val="CETReferencetext"/>
      </w:pPr>
      <w:proofErr w:type="spellStart"/>
      <w:r w:rsidRPr="00085147">
        <w:t>Chinh</w:t>
      </w:r>
      <w:proofErr w:type="spellEnd"/>
      <w:r w:rsidRPr="00085147">
        <w:t xml:space="preserve"> V.D., Hung L.X., Di Palma L., Hanh V.T.H., </w:t>
      </w:r>
      <w:proofErr w:type="spellStart"/>
      <w:r w:rsidRPr="00085147">
        <w:t>Vilardi</w:t>
      </w:r>
      <w:proofErr w:type="spellEnd"/>
      <w:r w:rsidRPr="00085147">
        <w:t xml:space="preserve"> G., 2019, Effect of Carbon Nanotubes and Carbon Nanotubes/Gold Nanoparticles Composite on the Photocatalytic Activity of TiO2 and TiO2-SiO2, Chemical Engineering and Technology, 42, 308-315.</w:t>
      </w:r>
    </w:p>
    <w:p w:rsidR="00BC6A48" w:rsidRPr="00085147" w:rsidRDefault="00BC6A48" w:rsidP="00085147">
      <w:pPr>
        <w:pStyle w:val="CETReferencetext"/>
      </w:pPr>
      <w:r w:rsidRPr="00085147">
        <w:t xml:space="preserve">Chung J., Chun J., Lee J., Lee S. H., Lee Y. J., Hong S. W., 2012, Sorption of </w:t>
      </w:r>
      <w:proofErr w:type="spellStart"/>
      <w:r w:rsidRPr="00085147">
        <w:t>Pb</w:t>
      </w:r>
      <w:proofErr w:type="spellEnd"/>
      <w:r w:rsidRPr="00085147">
        <w:t xml:space="preserve"> (II) and Cu (II) onto multi-amine grafted mesoporous silica embedded with </w:t>
      </w:r>
      <w:proofErr w:type="spellStart"/>
      <w:r w:rsidRPr="00085147">
        <w:t>nano</w:t>
      </w:r>
      <w:proofErr w:type="spellEnd"/>
      <w:r w:rsidRPr="00085147">
        <w:t>-magnetite: Effects of steric factors, Journal of hazardous materials, 239, 183-191.</w:t>
      </w:r>
    </w:p>
    <w:p w:rsidR="005366BB" w:rsidRPr="00085147" w:rsidRDefault="005366BB" w:rsidP="00085147">
      <w:pPr>
        <w:pStyle w:val="CETReferencetext"/>
      </w:pPr>
      <w:r w:rsidRPr="00085147">
        <w:t xml:space="preserve">Di Palma L., </w:t>
      </w:r>
      <w:proofErr w:type="spellStart"/>
      <w:r w:rsidRPr="00085147">
        <w:t>Ferrantelli</w:t>
      </w:r>
      <w:proofErr w:type="spellEnd"/>
      <w:r w:rsidRPr="00085147">
        <w:t xml:space="preserve"> P., </w:t>
      </w:r>
      <w:proofErr w:type="spellStart"/>
      <w:r w:rsidRPr="00085147">
        <w:t>Merli</w:t>
      </w:r>
      <w:proofErr w:type="spellEnd"/>
      <w:r w:rsidRPr="00085147">
        <w:t xml:space="preserve"> C., </w:t>
      </w:r>
      <w:proofErr w:type="spellStart"/>
      <w:r w:rsidRPr="00085147">
        <w:t>Petrucci</w:t>
      </w:r>
      <w:proofErr w:type="spellEnd"/>
      <w:r w:rsidRPr="00085147">
        <w:t xml:space="preserve"> E., </w:t>
      </w:r>
      <w:proofErr w:type="spellStart"/>
      <w:r w:rsidRPr="00085147">
        <w:t>Pitzolu</w:t>
      </w:r>
      <w:proofErr w:type="spellEnd"/>
      <w:r w:rsidRPr="00085147">
        <w:t xml:space="preserve"> I., 2007, Influence of soil organic matter on copper extraction from contaminated soil, Soil and Sediment Contamination, 16 (3), 323-335.</w:t>
      </w:r>
    </w:p>
    <w:p w:rsidR="00ED7636" w:rsidRPr="00085147" w:rsidRDefault="00ED7636" w:rsidP="00085147">
      <w:pPr>
        <w:pStyle w:val="CETReferencetext"/>
      </w:pPr>
      <w:r w:rsidRPr="00085147">
        <w:t xml:space="preserve">Di Palma L., </w:t>
      </w:r>
      <w:proofErr w:type="spellStart"/>
      <w:r w:rsidRPr="00085147">
        <w:t>Verdone</w:t>
      </w:r>
      <w:proofErr w:type="spellEnd"/>
      <w:r w:rsidRPr="00085147">
        <w:t xml:space="preserve"> N., 2009, The effect of disk rotational speed on oxygen transfer in rotating biological contactors, </w:t>
      </w:r>
      <w:proofErr w:type="spellStart"/>
      <w:r w:rsidRPr="00085147">
        <w:t>Bioresource</w:t>
      </w:r>
      <w:proofErr w:type="spellEnd"/>
      <w:r w:rsidRPr="00085147">
        <w:t xml:space="preserve"> Technology, 100, 1467-1470.</w:t>
      </w:r>
    </w:p>
    <w:p w:rsidR="00BB5FEF" w:rsidRPr="00085147" w:rsidRDefault="00BB5FEF" w:rsidP="00085147">
      <w:pPr>
        <w:pStyle w:val="CETReferencetext"/>
      </w:pPr>
      <w:r w:rsidRPr="00085147">
        <w:t xml:space="preserve">Di Palma L., Medici F., </w:t>
      </w:r>
      <w:proofErr w:type="spellStart"/>
      <w:r w:rsidRPr="00085147">
        <w:t>Vilardi</w:t>
      </w:r>
      <w:proofErr w:type="spellEnd"/>
      <w:r w:rsidRPr="00085147">
        <w:t xml:space="preserve"> G., 2015, Artificial aggregate from </w:t>
      </w:r>
      <w:proofErr w:type="spellStart"/>
      <w:r w:rsidRPr="00085147">
        <w:t>non metallic</w:t>
      </w:r>
      <w:proofErr w:type="spellEnd"/>
      <w:r w:rsidRPr="00085147">
        <w:t xml:space="preserve"> automotive shredder residue, Chemical Engineering Transactions, 43, 1723-1728.</w:t>
      </w:r>
    </w:p>
    <w:p w:rsidR="00E5057A" w:rsidRPr="00085147" w:rsidRDefault="00E5057A" w:rsidP="00085147">
      <w:pPr>
        <w:pStyle w:val="CETReferencetext"/>
      </w:pPr>
      <w:r w:rsidRPr="00085147">
        <w:t xml:space="preserve">Di Palma L., </w:t>
      </w:r>
      <w:proofErr w:type="spellStart"/>
      <w:r w:rsidRPr="00085147">
        <w:t>Bavasso</w:t>
      </w:r>
      <w:proofErr w:type="spellEnd"/>
      <w:r w:rsidRPr="00085147">
        <w:t xml:space="preserve"> I., </w:t>
      </w:r>
      <w:proofErr w:type="spellStart"/>
      <w:r w:rsidRPr="00085147">
        <w:t>Sarasini</w:t>
      </w:r>
      <w:proofErr w:type="spellEnd"/>
      <w:r w:rsidRPr="00085147">
        <w:t xml:space="preserve"> F., </w:t>
      </w:r>
      <w:proofErr w:type="spellStart"/>
      <w:r w:rsidRPr="00085147">
        <w:t>Tirillò</w:t>
      </w:r>
      <w:proofErr w:type="spellEnd"/>
      <w:r w:rsidRPr="00085147">
        <w:t xml:space="preserve"> J., Puglia D., </w:t>
      </w:r>
      <w:proofErr w:type="spellStart"/>
      <w:r w:rsidRPr="00085147">
        <w:t>Dominici</w:t>
      </w:r>
      <w:proofErr w:type="spellEnd"/>
      <w:r w:rsidRPr="00085147">
        <w:t xml:space="preserve"> F., Torre L., 2018</w:t>
      </w:r>
      <w:r w:rsidR="00EF6D37" w:rsidRPr="00085147">
        <w:t>a</w:t>
      </w:r>
      <w:r w:rsidRPr="00085147">
        <w:t xml:space="preserve">, Synthesis, characterization and performance evaluation of Fe3O4/PES </w:t>
      </w:r>
      <w:proofErr w:type="spellStart"/>
      <w:r w:rsidRPr="00085147">
        <w:t>nano</w:t>
      </w:r>
      <w:proofErr w:type="spellEnd"/>
      <w:r w:rsidRPr="00085147">
        <w:t xml:space="preserve"> composite membranes for microbial fuel cell, European Polymer Journal, 99, 222-229.</w:t>
      </w:r>
    </w:p>
    <w:p w:rsidR="00EF6D37" w:rsidRPr="00085147" w:rsidRDefault="00EF6D37" w:rsidP="00085147">
      <w:pPr>
        <w:pStyle w:val="CETReferencetext"/>
      </w:pPr>
      <w:bookmarkStart w:id="1" w:name="_Hlk1466638"/>
      <w:r w:rsidRPr="00085147">
        <w:t xml:space="preserve">Di Palma L., </w:t>
      </w:r>
      <w:proofErr w:type="spellStart"/>
      <w:r w:rsidRPr="00085147">
        <w:t>Verdone</w:t>
      </w:r>
      <w:proofErr w:type="spellEnd"/>
      <w:r w:rsidRPr="00085147">
        <w:t xml:space="preserve"> N., </w:t>
      </w:r>
      <w:proofErr w:type="spellStart"/>
      <w:r w:rsidRPr="00085147">
        <w:t>Vilardi</w:t>
      </w:r>
      <w:proofErr w:type="spellEnd"/>
      <w:r w:rsidRPr="00085147">
        <w:t xml:space="preserve"> G., 2018b, Kinetic </w:t>
      </w:r>
      <w:proofErr w:type="spellStart"/>
      <w:r w:rsidRPr="00085147">
        <w:t>Modeling</w:t>
      </w:r>
      <w:proofErr w:type="spellEnd"/>
      <w:r w:rsidRPr="00085147">
        <w:t xml:space="preserve"> of Cr(VI) Reduction by </w:t>
      </w:r>
      <w:proofErr w:type="spellStart"/>
      <w:r w:rsidRPr="00085147">
        <w:t>nZVI</w:t>
      </w:r>
      <w:proofErr w:type="spellEnd"/>
      <w:r w:rsidRPr="00085147">
        <w:t xml:space="preserve"> in Soil: The Influence of Organic Matter and Manganese Oxide, Bulletin of Environmental Contamination and Toxicology, 101,  692-697.</w:t>
      </w:r>
    </w:p>
    <w:bookmarkEnd w:id="1"/>
    <w:p w:rsidR="00BB5FEF" w:rsidRPr="00085147" w:rsidRDefault="00BB5FEF" w:rsidP="00085147">
      <w:pPr>
        <w:pStyle w:val="CETReferencetext"/>
      </w:pPr>
      <w:proofErr w:type="spellStart"/>
      <w:r w:rsidRPr="00085147">
        <w:t>Gueye</w:t>
      </w:r>
      <w:proofErr w:type="spellEnd"/>
      <w:r w:rsidRPr="00085147">
        <w:t xml:space="preserve"> M.T., Di Palma L., </w:t>
      </w:r>
      <w:proofErr w:type="spellStart"/>
      <w:r w:rsidRPr="00085147">
        <w:t>Allahverdeyeva</w:t>
      </w:r>
      <w:proofErr w:type="spellEnd"/>
      <w:r w:rsidRPr="00085147">
        <w:t xml:space="preserve"> G., </w:t>
      </w:r>
      <w:proofErr w:type="spellStart"/>
      <w:r w:rsidRPr="00085147">
        <w:t>Bavasso</w:t>
      </w:r>
      <w:proofErr w:type="spellEnd"/>
      <w:r w:rsidRPr="00085147">
        <w:t xml:space="preserve"> I., </w:t>
      </w:r>
      <w:proofErr w:type="spellStart"/>
      <w:r w:rsidRPr="00085147">
        <w:t>Petrucci</w:t>
      </w:r>
      <w:proofErr w:type="spellEnd"/>
      <w:r w:rsidRPr="00085147">
        <w:t xml:space="preserve"> E., </w:t>
      </w:r>
      <w:proofErr w:type="spellStart"/>
      <w:r w:rsidRPr="00085147">
        <w:t>Stoller</w:t>
      </w:r>
      <w:proofErr w:type="spellEnd"/>
      <w:r w:rsidRPr="00085147">
        <w:t xml:space="preserve"> M., </w:t>
      </w:r>
      <w:proofErr w:type="spellStart"/>
      <w:r w:rsidRPr="00085147">
        <w:t>Vilardi</w:t>
      </w:r>
      <w:proofErr w:type="spellEnd"/>
      <w:r w:rsidRPr="00085147">
        <w:t xml:space="preserve"> G., 2016, The influence of heavy metals and organic matter on hexavalent chromium reduction by </w:t>
      </w:r>
      <w:proofErr w:type="spellStart"/>
      <w:r w:rsidRPr="00085147">
        <w:t>nano</w:t>
      </w:r>
      <w:proofErr w:type="spellEnd"/>
      <w:r w:rsidRPr="00085147">
        <w:t xml:space="preserve"> zero valent iron in soil, Chemical Engineering Transactions, 47, 289-294.</w:t>
      </w:r>
    </w:p>
    <w:p w:rsidR="00E03AC6" w:rsidRPr="00085147" w:rsidRDefault="00E03AC6" w:rsidP="00085147">
      <w:pPr>
        <w:pStyle w:val="CETReferencetext"/>
      </w:pPr>
      <w:r w:rsidRPr="00085147">
        <w:t xml:space="preserve">Lu H., Tian B., Wang J., </w:t>
      </w:r>
      <w:proofErr w:type="spellStart"/>
      <w:r w:rsidRPr="00085147">
        <w:t>Hao</w:t>
      </w:r>
      <w:proofErr w:type="spellEnd"/>
      <w:r w:rsidRPr="00085147">
        <w:t xml:space="preserve"> H., 2017, Montmorillonite-Supported Fe/Ni Bimetallic Nanoparticles for Removal of Cr (VI) from Wastewater, Chemical Engineering Transactions, 60, 169-174.</w:t>
      </w:r>
    </w:p>
    <w:p w:rsidR="00E03AC6" w:rsidRPr="00085147" w:rsidRDefault="00E03AC6" w:rsidP="00085147">
      <w:pPr>
        <w:pStyle w:val="CETReferencetext"/>
      </w:pPr>
      <w:proofErr w:type="spellStart"/>
      <w:r w:rsidRPr="00085147">
        <w:t>Maharramov</w:t>
      </w:r>
      <w:proofErr w:type="spellEnd"/>
      <w:r w:rsidRPr="00085147">
        <w:t xml:space="preserve"> A., </w:t>
      </w:r>
      <w:proofErr w:type="spellStart"/>
      <w:r w:rsidRPr="00085147">
        <w:t>Allahverdiyeva</w:t>
      </w:r>
      <w:proofErr w:type="spellEnd"/>
      <w:r w:rsidRPr="00085147">
        <w:t xml:space="preserve"> G., </w:t>
      </w:r>
      <w:proofErr w:type="spellStart"/>
      <w:r w:rsidRPr="00085147">
        <w:t>Hasanova</w:t>
      </w:r>
      <w:proofErr w:type="spellEnd"/>
      <w:r w:rsidRPr="00085147">
        <w:t xml:space="preserve"> U., </w:t>
      </w:r>
      <w:proofErr w:type="spellStart"/>
      <w:r w:rsidRPr="00085147">
        <w:t>Ramazanov</w:t>
      </w:r>
      <w:proofErr w:type="spellEnd"/>
      <w:r w:rsidRPr="00085147">
        <w:t xml:space="preserve"> M., Di Palma L., 2017, Synthesis and Application of Zeolite and Glass </w:t>
      </w:r>
      <w:proofErr w:type="spellStart"/>
      <w:r w:rsidRPr="00085147">
        <w:t>Fiber</w:t>
      </w:r>
      <w:proofErr w:type="spellEnd"/>
      <w:r w:rsidRPr="00085147">
        <w:t xml:space="preserve"> Supported Zero Valent Iron Nanoparticles as Membrane Component for Removal Nitrate and Cr (+ 6) Ions, Chemical Engineering Transactions, 60, 163-168.</w:t>
      </w:r>
    </w:p>
    <w:p w:rsidR="0047094C" w:rsidRPr="00085147" w:rsidRDefault="0047094C" w:rsidP="00085147">
      <w:pPr>
        <w:pStyle w:val="CETReferencetext"/>
      </w:pPr>
      <w:proofErr w:type="spellStart"/>
      <w:r w:rsidRPr="00085147">
        <w:t>Muradova</w:t>
      </w:r>
      <w:proofErr w:type="spellEnd"/>
      <w:r w:rsidRPr="00085147">
        <w:t xml:space="preserve"> G.G., </w:t>
      </w:r>
      <w:proofErr w:type="spellStart"/>
      <w:r w:rsidRPr="00085147">
        <w:t>Gadjieva</w:t>
      </w:r>
      <w:proofErr w:type="spellEnd"/>
      <w:r w:rsidRPr="00085147">
        <w:t xml:space="preserve"> S.R., Di Palma L., </w:t>
      </w:r>
      <w:proofErr w:type="spellStart"/>
      <w:r w:rsidRPr="00085147">
        <w:t>Vilardi</w:t>
      </w:r>
      <w:proofErr w:type="spellEnd"/>
      <w:r w:rsidRPr="00085147">
        <w:t xml:space="preserve"> G., 2016, Nitrates Removal by Bimetallic Nanoparticles in Water, Chemical Engineering Transactions, 47, 205–210.</w:t>
      </w:r>
    </w:p>
    <w:p w:rsidR="00114009" w:rsidRPr="00085147" w:rsidRDefault="00114009" w:rsidP="00085147">
      <w:pPr>
        <w:pStyle w:val="CETReferencetext"/>
      </w:pPr>
      <w:proofErr w:type="spellStart"/>
      <w:r w:rsidRPr="00085147">
        <w:t>Stoller</w:t>
      </w:r>
      <w:proofErr w:type="spellEnd"/>
      <w:r w:rsidRPr="00085147">
        <w:t xml:space="preserve"> M., </w:t>
      </w:r>
      <w:proofErr w:type="spellStart"/>
      <w:r w:rsidRPr="00085147">
        <w:t>Azizova</w:t>
      </w:r>
      <w:proofErr w:type="spellEnd"/>
      <w:r w:rsidRPr="00085147">
        <w:t xml:space="preserve"> G., </w:t>
      </w:r>
      <w:proofErr w:type="spellStart"/>
      <w:r w:rsidRPr="00085147">
        <w:t>Mammadova</w:t>
      </w:r>
      <w:proofErr w:type="spellEnd"/>
      <w:r w:rsidRPr="00085147">
        <w:t xml:space="preserve"> A., </w:t>
      </w:r>
      <w:proofErr w:type="spellStart"/>
      <w:r w:rsidRPr="00085147">
        <w:t>Vilardi</w:t>
      </w:r>
      <w:proofErr w:type="spellEnd"/>
      <w:r w:rsidRPr="00085147">
        <w:t xml:space="preserve"> G., Di Palma L., </w:t>
      </w:r>
      <w:proofErr w:type="spellStart"/>
      <w:r w:rsidRPr="00085147">
        <w:t>Chianese</w:t>
      </w:r>
      <w:proofErr w:type="spellEnd"/>
      <w:r w:rsidRPr="00085147">
        <w:t xml:space="preserve"> A., 2016, Treatment of Olive Oil Processing Wastewater by Ultrafiltration, </w:t>
      </w:r>
      <w:proofErr w:type="spellStart"/>
      <w:r w:rsidRPr="00085147">
        <w:t>Nanofiltration</w:t>
      </w:r>
      <w:proofErr w:type="spellEnd"/>
      <w:r w:rsidRPr="00085147">
        <w:t xml:space="preserve">, Reverse Osmosis and </w:t>
      </w:r>
      <w:proofErr w:type="spellStart"/>
      <w:r w:rsidRPr="00085147">
        <w:t>Biofiltration</w:t>
      </w:r>
      <w:proofErr w:type="spellEnd"/>
      <w:r w:rsidRPr="00085147">
        <w:t>, Chemical Engineering Transactions, 47, 409–414.</w:t>
      </w:r>
    </w:p>
    <w:p w:rsidR="0047094C" w:rsidRPr="00085147" w:rsidRDefault="0047094C" w:rsidP="00085147">
      <w:pPr>
        <w:pStyle w:val="CETReferencetext"/>
      </w:pPr>
      <w:proofErr w:type="spellStart"/>
      <w:r w:rsidRPr="00085147">
        <w:lastRenderedPageBreak/>
        <w:t>Stoller</w:t>
      </w:r>
      <w:proofErr w:type="spellEnd"/>
      <w:r w:rsidRPr="00085147">
        <w:t xml:space="preserve"> M., </w:t>
      </w:r>
      <w:proofErr w:type="spellStart"/>
      <w:r w:rsidRPr="00085147">
        <w:t>Vilardi</w:t>
      </w:r>
      <w:proofErr w:type="spellEnd"/>
      <w:r w:rsidRPr="00085147">
        <w:t xml:space="preserve"> G., Di Palma L., </w:t>
      </w:r>
      <w:proofErr w:type="spellStart"/>
      <w:r w:rsidRPr="00085147">
        <w:t>Chianese</w:t>
      </w:r>
      <w:proofErr w:type="spellEnd"/>
      <w:r w:rsidRPr="00085147">
        <w:t xml:space="preserve"> A., </w:t>
      </w:r>
      <w:proofErr w:type="spellStart"/>
      <w:r w:rsidRPr="00085147">
        <w:t>Morganti</w:t>
      </w:r>
      <w:proofErr w:type="spellEnd"/>
      <w:r w:rsidRPr="00085147">
        <w:t xml:space="preserve"> P., 2017a, Process intensification techniques for the production of nanoparticles for the cosmetic and pharmaceutical industry, Journal of Applied Cosmetology, 35 (1-2), 53-59. </w:t>
      </w:r>
    </w:p>
    <w:p w:rsidR="00114009" w:rsidRPr="00085147" w:rsidRDefault="00114009" w:rsidP="00085147">
      <w:pPr>
        <w:pStyle w:val="CETReferencetext"/>
      </w:pPr>
      <w:proofErr w:type="spellStart"/>
      <w:r w:rsidRPr="00085147">
        <w:t>Stoller</w:t>
      </w:r>
      <w:proofErr w:type="spellEnd"/>
      <w:r w:rsidRPr="00085147">
        <w:t xml:space="preserve"> M., </w:t>
      </w:r>
      <w:proofErr w:type="spellStart"/>
      <w:r w:rsidRPr="00085147">
        <w:t>Ochando</w:t>
      </w:r>
      <w:proofErr w:type="spellEnd"/>
      <w:r w:rsidRPr="00085147">
        <w:t xml:space="preserve">-Pulido J.M., </w:t>
      </w:r>
      <w:proofErr w:type="spellStart"/>
      <w:r w:rsidRPr="00085147">
        <w:t>Vilardi</w:t>
      </w:r>
      <w:proofErr w:type="spellEnd"/>
      <w:r w:rsidRPr="00085147">
        <w:t xml:space="preserve"> G., </w:t>
      </w:r>
      <w:proofErr w:type="spellStart"/>
      <w:r w:rsidRPr="00085147">
        <w:t>Vuppala</w:t>
      </w:r>
      <w:proofErr w:type="spellEnd"/>
      <w:r w:rsidRPr="00085147">
        <w:t xml:space="preserve"> S., </w:t>
      </w:r>
      <w:proofErr w:type="spellStart"/>
      <w:r w:rsidRPr="00085147">
        <w:t>Bravi</w:t>
      </w:r>
      <w:proofErr w:type="spellEnd"/>
      <w:r w:rsidRPr="00085147">
        <w:t xml:space="preserve"> M., </w:t>
      </w:r>
      <w:proofErr w:type="spellStart"/>
      <w:r w:rsidRPr="00085147">
        <w:t>Verdone</w:t>
      </w:r>
      <w:proofErr w:type="spellEnd"/>
      <w:r w:rsidRPr="00085147">
        <w:t xml:space="preserve"> N., Di Palma L., 2017</w:t>
      </w:r>
      <w:r w:rsidR="0047094C" w:rsidRPr="00085147">
        <w:t>b</w:t>
      </w:r>
      <w:r w:rsidRPr="00085147">
        <w:t xml:space="preserve">, Technical and economic impact of </w:t>
      </w:r>
      <w:proofErr w:type="spellStart"/>
      <w:r w:rsidRPr="00085147">
        <w:t>photocatalysis</w:t>
      </w:r>
      <w:proofErr w:type="spellEnd"/>
      <w:r w:rsidRPr="00085147">
        <w:t xml:space="preserve"> as a </w:t>
      </w:r>
      <w:proofErr w:type="spellStart"/>
      <w:r w:rsidRPr="00085147">
        <w:t>pretreatment</w:t>
      </w:r>
      <w:proofErr w:type="spellEnd"/>
      <w:r w:rsidRPr="00085147">
        <w:t xml:space="preserve"> process step in olive mill wastewater treatment by membranes, Chemical Engineering Transactions, 57, 1171-1176.</w:t>
      </w:r>
    </w:p>
    <w:p w:rsidR="00845661" w:rsidRPr="00085147" w:rsidRDefault="00845661" w:rsidP="00085147">
      <w:pPr>
        <w:pStyle w:val="CETReferencetext"/>
      </w:pPr>
      <w:bookmarkStart w:id="2" w:name="_Hlk787810"/>
      <w:proofErr w:type="spellStart"/>
      <w:r w:rsidRPr="00085147">
        <w:t>Stoller</w:t>
      </w:r>
      <w:proofErr w:type="spellEnd"/>
      <w:r w:rsidRPr="00085147">
        <w:t xml:space="preserve"> M., Sacco O., </w:t>
      </w:r>
      <w:proofErr w:type="spellStart"/>
      <w:r w:rsidRPr="00085147">
        <w:t>Vilardi</w:t>
      </w:r>
      <w:proofErr w:type="spellEnd"/>
      <w:r w:rsidRPr="00085147">
        <w:t xml:space="preserve"> G., </w:t>
      </w:r>
      <w:proofErr w:type="spellStart"/>
      <w:r w:rsidRPr="00085147">
        <w:t>Ochando</w:t>
      </w:r>
      <w:proofErr w:type="spellEnd"/>
      <w:r w:rsidRPr="00085147">
        <w:t>-Pulido J.M., Di Palma L., 2018</w:t>
      </w:r>
      <w:r w:rsidR="004C6280" w:rsidRPr="00085147">
        <w:t>a</w:t>
      </w:r>
      <w:r w:rsidRPr="00085147">
        <w:t>, Technical–economic evaluation of chromium recovery from tannery wastewater streams by means of membrane processes, Desalination and Water Treatment, 127, 57-63.</w:t>
      </w:r>
    </w:p>
    <w:p w:rsidR="004C6280" w:rsidRPr="00085147" w:rsidRDefault="004C6280" w:rsidP="00085147">
      <w:pPr>
        <w:pStyle w:val="CETReferencetext"/>
      </w:pPr>
      <w:proofErr w:type="spellStart"/>
      <w:r w:rsidRPr="00085147">
        <w:t>Stoller</w:t>
      </w:r>
      <w:proofErr w:type="spellEnd"/>
      <w:r w:rsidRPr="00085147">
        <w:t xml:space="preserve"> M., Di Palma L., </w:t>
      </w:r>
      <w:proofErr w:type="spellStart"/>
      <w:r w:rsidRPr="00085147">
        <w:t>Vuppala</w:t>
      </w:r>
      <w:proofErr w:type="spellEnd"/>
      <w:r w:rsidRPr="00085147">
        <w:t xml:space="preserve"> S., </w:t>
      </w:r>
      <w:proofErr w:type="spellStart"/>
      <w:r w:rsidRPr="00085147">
        <w:t>Verdone</w:t>
      </w:r>
      <w:proofErr w:type="spellEnd"/>
      <w:r w:rsidRPr="00085147">
        <w:t xml:space="preserve"> N., </w:t>
      </w:r>
      <w:proofErr w:type="spellStart"/>
      <w:r w:rsidRPr="00085147">
        <w:t>Vilardi</w:t>
      </w:r>
      <w:proofErr w:type="spellEnd"/>
      <w:r w:rsidRPr="00085147">
        <w:t xml:space="preserve"> G., 2018b, Process intensification techniques for the production of </w:t>
      </w:r>
      <w:proofErr w:type="spellStart"/>
      <w:r w:rsidRPr="00085147">
        <w:t>nano</w:t>
      </w:r>
      <w:proofErr w:type="spellEnd"/>
      <w:r w:rsidRPr="00085147">
        <w:t>-and submicronic particles for food and medical applications, Current Pharmaceutical Design, 24, 2329-2338.</w:t>
      </w:r>
    </w:p>
    <w:bookmarkEnd w:id="2"/>
    <w:p w:rsidR="00114009" w:rsidRPr="00085147" w:rsidRDefault="00114009" w:rsidP="00085147">
      <w:pPr>
        <w:pStyle w:val="CETReferencetext"/>
      </w:pPr>
      <w:r w:rsidRPr="00085147">
        <w:t xml:space="preserve">Tran H. V., Dai Tran L., Nguyen T. N., 2010, Preparation of chitosan/magnetite composite beads and their application for removal of </w:t>
      </w:r>
      <w:proofErr w:type="spellStart"/>
      <w:r w:rsidRPr="00085147">
        <w:t>Pb</w:t>
      </w:r>
      <w:proofErr w:type="spellEnd"/>
      <w:r w:rsidRPr="00085147">
        <w:t xml:space="preserve"> (II) and Ni (II) from aqueous solution, Materials Science and Engineering: C, 30(2), 304-310.</w:t>
      </w:r>
    </w:p>
    <w:p w:rsidR="00B56638" w:rsidRPr="00085147" w:rsidRDefault="00B56638" w:rsidP="00085147">
      <w:pPr>
        <w:pStyle w:val="CETReferencetext"/>
      </w:pPr>
      <w:proofErr w:type="spellStart"/>
      <w:r w:rsidRPr="00085147">
        <w:t>Vilardi</w:t>
      </w:r>
      <w:proofErr w:type="spellEnd"/>
      <w:r w:rsidRPr="00085147">
        <w:t xml:space="preserve"> G., Di Palma L., 2017, Kinetic Study of Nitrate Removal from Aqueous Solutions Using Copper-Coated Iron Nanoparticles, Bulletin of Environmental Contamination and Toxicology, 98 (3), 359-365.</w:t>
      </w:r>
    </w:p>
    <w:p w:rsidR="003E506B" w:rsidRPr="00085147" w:rsidRDefault="003E506B" w:rsidP="00085147">
      <w:pPr>
        <w:pStyle w:val="CETReferencetext"/>
      </w:pPr>
      <w:proofErr w:type="spellStart"/>
      <w:r w:rsidRPr="00085147">
        <w:t>Vilardi</w:t>
      </w:r>
      <w:proofErr w:type="spellEnd"/>
      <w:r w:rsidRPr="00085147">
        <w:t xml:space="preserve"> G., Di Palma L., </w:t>
      </w:r>
      <w:proofErr w:type="spellStart"/>
      <w:r w:rsidRPr="00085147">
        <w:t>Verdone</w:t>
      </w:r>
      <w:proofErr w:type="spellEnd"/>
      <w:r w:rsidRPr="00085147">
        <w:t xml:space="preserve"> N., 2017a, Competitive Reaction Modelling in Aqueous Systems: the Case of Contemporary Reduction of </w:t>
      </w:r>
      <w:proofErr w:type="spellStart"/>
      <w:r w:rsidRPr="00085147">
        <w:t>Dichromates</w:t>
      </w:r>
      <w:proofErr w:type="spellEnd"/>
      <w:r w:rsidRPr="00085147">
        <w:t xml:space="preserve"> and Nitrates by </w:t>
      </w:r>
      <w:proofErr w:type="spellStart"/>
      <w:r w:rsidRPr="00085147">
        <w:t>nZVI</w:t>
      </w:r>
      <w:proofErr w:type="spellEnd"/>
      <w:r w:rsidRPr="00085147">
        <w:t xml:space="preserve">, Chemical Engineering Transactions, 60, 175–180. </w:t>
      </w:r>
    </w:p>
    <w:p w:rsidR="00114009" w:rsidRPr="00085147" w:rsidRDefault="00114009" w:rsidP="00085147">
      <w:pPr>
        <w:pStyle w:val="CETReferencetext"/>
      </w:pPr>
      <w:proofErr w:type="spellStart"/>
      <w:r w:rsidRPr="00085147">
        <w:t>Vilardi</w:t>
      </w:r>
      <w:proofErr w:type="spellEnd"/>
      <w:r w:rsidRPr="00085147">
        <w:t xml:space="preserve"> G., </w:t>
      </w:r>
      <w:proofErr w:type="spellStart"/>
      <w:r w:rsidRPr="00085147">
        <w:t>Verdone</w:t>
      </w:r>
      <w:proofErr w:type="spellEnd"/>
      <w:r w:rsidRPr="00085147">
        <w:t xml:space="preserve"> N., Di Palma L., 2017</w:t>
      </w:r>
      <w:r w:rsidR="003E506B" w:rsidRPr="00085147">
        <w:t>b</w:t>
      </w:r>
      <w:r w:rsidRPr="00085147">
        <w:t xml:space="preserve">, The influence of nitrate on the reduction of hexavalent chromium by zero-valent iron nanoparticles in polluted wastewater, Desalination and Water Treatment, 86, 252–258. </w:t>
      </w:r>
    </w:p>
    <w:p w:rsidR="00114009" w:rsidRPr="00085147" w:rsidRDefault="00114009" w:rsidP="00085147">
      <w:pPr>
        <w:pStyle w:val="CETReferencetext"/>
      </w:pPr>
      <w:proofErr w:type="spellStart"/>
      <w:r w:rsidRPr="00085147">
        <w:t>Vilardi</w:t>
      </w:r>
      <w:proofErr w:type="spellEnd"/>
      <w:r w:rsidRPr="00085147">
        <w:t xml:space="preserve"> G., </w:t>
      </w:r>
      <w:proofErr w:type="spellStart"/>
      <w:r w:rsidRPr="00085147">
        <w:t>Stoller</w:t>
      </w:r>
      <w:proofErr w:type="spellEnd"/>
      <w:r w:rsidRPr="00085147">
        <w:t xml:space="preserve"> M., </w:t>
      </w:r>
      <w:proofErr w:type="spellStart"/>
      <w:r w:rsidRPr="00085147">
        <w:t>Verdone</w:t>
      </w:r>
      <w:proofErr w:type="spellEnd"/>
      <w:r w:rsidRPr="00085147">
        <w:t xml:space="preserve"> N., Di Palma L., 2017</w:t>
      </w:r>
      <w:r w:rsidR="003E506B" w:rsidRPr="00085147">
        <w:t>c</w:t>
      </w:r>
      <w:r w:rsidRPr="00085147">
        <w:t xml:space="preserve">, Production of </w:t>
      </w:r>
      <w:proofErr w:type="spellStart"/>
      <w:r w:rsidRPr="00085147">
        <w:t>nano</w:t>
      </w:r>
      <w:proofErr w:type="spellEnd"/>
      <w:r w:rsidRPr="00085147">
        <w:t xml:space="preserve"> Zero Valent Iron particles by means of a spinning disk reactor, Chemical Engineering Transactions, 57, 751–756.</w:t>
      </w:r>
    </w:p>
    <w:p w:rsidR="0047094C" w:rsidRPr="00085147" w:rsidRDefault="0047094C" w:rsidP="00085147">
      <w:pPr>
        <w:pStyle w:val="CETReferencetext"/>
      </w:pPr>
      <w:proofErr w:type="spellStart"/>
      <w:r w:rsidRPr="00085147">
        <w:t>Vilardi</w:t>
      </w:r>
      <w:proofErr w:type="spellEnd"/>
      <w:r w:rsidRPr="00085147">
        <w:t xml:space="preserve"> G., </w:t>
      </w:r>
      <w:proofErr w:type="spellStart"/>
      <w:r w:rsidRPr="00085147">
        <w:t>Sebastiani</w:t>
      </w:r>
      <w:proofErr w:type="spellEnd"/>
      <w:r w:rsidRPr="00085147">
        <w:t xml:space="preserve"> D., </w:t>
      </w:r>
      <w:proofErr w:type="spellStart"/>
      <w:r w:rsidRPr="00085147">
        <w:t>Miliziano</w:t>
      </w:r>
      <w:proofErr w:type="spellEnd"/>
      <w:r w:rsidRPr="00085147">
        <w:t xml:space="preserve"> S., </w:t>
      </w:r>
      <w:proofErr w:type="spellStart"/>
      <w:r w:rsidRPr="00085147">
        <w:t>Verdone</w:t>
      </w:r>
      <w:proofErr w:type="spellEnd"/>
      <w:r w:rsidRPr="00085147">
        <w:t xml:space="preserve"> N., Di Palma L., 2018a, Heterogeneous </w:t>
      </w:r>
      <w:proofErr w:type="spellStart"/>
      <w:r w:rsidRPr="00085147">
        <w:t>nZVI</w:t>
      </w:r>
      <w:proofErr w:type="spellEnd"/>
      <w:r w:rsidRPr="00085147">
        <w:t xml:space="preserve">-induced Fenton oxidation process to enhance biodegradability of excavation by-products, Chemical Engineering Journal, 335, 309–320. </w:t>
      </w:r>
    </w:p>
    <w:p w:rsidR="0047094C" w:rsidRPr="00085147" w:rsidRDefault="0047094C" w:rsidP="00085147">
      <w:pPr>
        <w:pStyle w:val="CETReferencetext"/>
      </w:pPr>
      <w:proofErr w:type="spellStart"/>
      <w:r w:rsidRPr="00085147">
        <w:t>Vilardi</w:t>
      </w:r>
      <w:proofErr w:type="spellEnd"/>
      <w:r w:rsidRPr="00085147">
        <w:t xml:space="preserve"> G., </w:t>
      </w:r>
      <w:proofErr w:type="spellStart"/>
      <w:r w:rsidRPr="00085147">
        <w:t>Ochando</w:t>
      </w:r>
      <w:proofErr w:type="spellEnd"/>
      <w:r w:rsidRPr="00085147">
        <w:t xml:space="preserve"> Pulido J.M., </w:t>
      </w:r>
      <w:proofErr w:type="spellStart"/>
      <w:r w:rsidRPr="00085147">
        <w:t>Verdone</w:t>
      </w:r>
      <w:proofErr w:type="spellEnd"/>
      <w:r w:rsidRPr="00085147">
        <w:t xml:space="preserve"> N., </w:t>
      </w:r>
      <w:proofErr w:type="spellStart"/>
      <w:r w:rsidRPr="00085147">
        <w:t>Stoller</w:t>
      </w:r>
      <w:proofErr w:type="spellEnd"/>
      <w:r w:rsidRPr="00085147">
        <w:t xml:space="preserve"> M., Di Palma L., 2018b, On the removal of Hexavalent Chromium by olive stones coated by iron-based nanoparticles: equilibrium study and Chromium recovery, Journal of Cleaner Production, 190, 200-210.</w:t>
      </w:r>
    </w:p>
    <w:p w:rsidR="0047094C" w:rsidRPr="00085147" w:rsidRDefault="0047094C" w:rsidP="00085147">
      <w:pPr>
        <w:pStyle w:val="CETReferencetext"/>
      </w:pPr>
      <w:proofErr w:type="spellStart"/>
      <w:r w:rsidRPr="00085147">
        <w:t>Vilardi</w:t>
      </w:r>
      <w:proofErr w:type="spellEnd"/>
      <w:r w:rsidRPr="00085147">
        <w:t xml:space="preserve"> G., Di Palma L., </w:t>
      </w:r>
      <w:proofErr w:type="spellStart"/>
      <w:r w:rsidRPr="00085147">
        <w:t>Verdone</w:t>
      </w:r>
      <w:proofErr w:type="spellEnd"/>
      <w:r w:rsidRPr="00085147">
        <w:t xml:space="preserve"> N., 2018c, On the critical use of zero valent iron nanoparticles and Fenton processes for the treatment of tannery wastewater, Journal of Water Process Engineering, 22C, 109–122.</w:t>
      </w:r>
    </w:p>
    <w:p w:rsidR="0047094C" w:rsidRPr="00085147" w:rsidRDefault="0047094C" w:rsidP="00085147">
      <w:pPr>
        <w:pStyle w:val="CETReferencetext"/>
      </w:pPr>
      <w:proofErr w:type="spellStart"/>
      <w:r w:rsidRPr="00085147">
        <w:t>Vilardi</w:t>
      </w:r>
      <w:proofErr w:type="spellEnd"/>
      <w:r w:rsidRPr="00085147">
        <w:t xml:space="preserve"> G., Di Palma L., </w:t>
      </w:r>
      <w:proofErr w:type="spellStart"/>
      <w:r w:rsidRPr="00085147">
        <w:t>Verdone</w:t>
      </w:r>
      <w:proofErr w:type="spellEnd"/>
      <w:r w:rsidRPr="00085147">
        <w:t xml:space="preserve"> N., 2018d, Heavy metals adsorption by banana peels micro-powder. Equilibrium </w:t>
      </w:r>
      <w:proofErr w:type="spellStart"/>
      <w:r w:rsidRPr="00085147">
        <w:t>modeling</w:t>
      </w:r>
      <w:proofErr w:type="spellEnd"/>
      <w:r w:rsidRPr="00085147">
        <w:t xml:space="preserve"> by non-linear models, Chinese Journal of Chemical Engineering, 26, 455-464.</w:t>
      </w:r>
    </w:p>
    <w:p w:rsidR="0047094C" w:rsidRPr="00085147" w:rsidRDefault="0047094C" w:rsidP="00085147">
      <w:pPr>
        <w:pStyle w:val="CETReferencetext"/>
      </w:pPr>
      <w:proofErr w:type="spellStart"/>
      <w:r w:rsidRPr="00085147">
        <w:t>Vilardi</w:t>
      </w:r>
      <w:proofErr w:type="spellEnd"/>
      <w:r w:rsidRPr="00085147">
        <w:t xml:space="preserve"> G., Rodriguez-Rodriguez J., </w:t>
      </w:r>
      <w:proofErr w:type="spellStart"/>
      <w:r w:rsidRPr="00085147">
        <w:t>Ochando</w:t>
      </w:r>
      <w:proofErr w:type="spellEnd"/>
      <w:r w:rsidRPr="00085147">
        <w:t xml:space="preserve">-Pulido J.M., </w:t>
      </w:r>
      <w:proofErr w:type="spellStart"/>
      <w:r w:rsidRPr="00085147">
        <w:t>Verdone</w:t>
      </w:r>
      <w:proofErr w:type="spellEnd"/>
      <w:r w:rsidRPr="00085147">
        <w:t xml:space="preserve"> N., Martinez-</w:t>
      </w:r>
      <w:proofErr w:type="spellStart"/>
      <w:r w:rsidRPr="00085147">
        <w:t>Ferez</w:t>
      </w:r>
      <w:proofErr w:type="spellEnd"/>
      <w:r w:rsidRPr="00085147">
        <w:t xml:space="preserve"> A., Di Palma L., 2018e, Large Laboratory-Plant application of a Tannery wastewater treatment by Fenton oxidation: Fe(II) and </w:t>
      </w:r>
      <w:proofErr w:type="spellStart"/>
      <w:r w:rsidRPr="00085147">
        <w:t>nZVI</w:t>
      </w:r>
      <w:proofErr w:type="spellEnd"/>
      <w:r w:rsidRPr="00085147">
        <w:t xml:space="preserve"> catalyst comparison and kinetic modelling, Process Safety and Environmental Protection, 117, 629-638.</w:t>
      </w:r>
    </w:p>
    <w:p w:rsidR="0047094C" w:rsidRPr="00085147" w:rsidRDefault="0047094C" w:rsidP="00085147">
      <w:pPr>
        <w:pStyle w:val="CETReferencetext"/>
      </w:pPr>
      <w:proofErr w:type="spellStart"/>
      <w:r w:rsidRPr="00085147">
        <w:t>Vilardi</w:t>
      </w:r>
      <w:proofErr w:type="spellEnd"/>
      <w:r w:rsidRPr="00085147">
        <w:t xml:space="preserve"> G., </w:t>
      </w:r>
      <w:proofErr w:type="spellStart"/>
      <w:r w:rsidRPr="00085147">
        <w:t>Mpouras</w:t>
      </w:r>
      <w:proofErr w:type="spellEnd"/>
      <w:r w:rsidRPr="00085147">
        <w:t xml:space="preserve"> T., </w:t>
      </w:r>
      <w:proofErr w:type="spellStart"/>
      <w:r w:rsidRPr="00085147">
        <w:t>Dermatas</w:t>
      </w:r>
      <w:proofErr w:type="spellEnd"/>
      <w:r w:rsidRPr="00085147">
        <w:t xml:space="preserve"> D., </w:t>
      </w:r>
      <w:proofErr w:type="spellStart"/>
      <w:r w:rsidRPr="00085147">
        <w:t>Verdone</w:t>
      </w:r>
      <w:proofErr w:type="spellEnd"/>
      <w:r w:rsidRPr="00085147">
        <w:t xml:space="preserve"> N., </w:t>
      </w:r>
      <w:proofErr w:type="spellStart"/>
      <w:r w:rsidRPr="00085147">
        <w:t>Polydera</w:t>
      </w:r>
      <w:proofErr w:type="spellEnd"/>
      <w:r w:rsidRPr="00085147">
        <w:t xml:space="preserve"> A., Di Palma L., 2018f, Nanomaterials application for heavy metals recovery from polluted water: the combination of </w:t>
      </w:r>
      <w:proofErr w:type="spellStart"/>
      <w:r w:rsidRPr="00085147">
        <w:t>nano</w:t>
      </w:r>
      <w:proofErr w:type="spellEnd"/>
      <w:r w:rsidRPr="00085147">
        <w:t xml:space="preserve"> zero-valent iron and carbon nanotubes. Competitive adsorption non-linear </w:t>
      </w:r>
      <w:proofErr w:type="spellStart"/>
      <w:r w:rsidRPr="00085147">
        <w:t>modeling</w:t>
      </w:r>
      <w:proofErr w:type="spellEnd"/>
      <w:r w:rsidRPr="00085147">
        <w:t>, Chemosphere, 201, 716-729.</w:t>
      </w:r>
    </w:p>
    <w:p w:rsidR="004628D2" w:rsidRPr="00085147" w:rsidRDefault="0047094C" w:rsidP="00085147">
      <w:pPr>
        <w:pStyle w:val="CETReferencetext"/>
      </w:pPr>
      <w:proofErr w:type="spellStart"/>
      <w:r w:rsidRPr="00085147">
        <w:t>Vilardi</w:t>
      </w:r>
      <w:proofErr w:type="spellEnd"/>
      <w:r w:rsidRPr="00085147">
        <w:t xml:space="preserve"> G., </w:t>
      </w:r>
      <w:proofErr w:type="spellStart"/>
      <w:r w:rsidRPr="00085147">
        <w:t>Ochando</w:t>
      </w:r>
      <w:proofErr w:type="spellEnd"/>
      <w:r w:rsidRPr="00085147">
        <w:t xml:space="preserve"> Pulido J.M., </w:t>
      </w:r>
      <w:proofErr w:type="spellStart"/>
      <w:r w:rsidRPr="00085147">
        <w:t>Stoller</w:t>
      </w:r>
      <w:proofErr w:type="spellEnd"/>
      <w:r w:rsidRPr="00085147">
        <w:t xml:space="preserve"> M., </w:t>
      </w:r>
      <w:proofErr w:type="spellStart"/>
      <w:r w:rsidRPr="00085147">
        <w:t>Verdone</w:t>
      </w:r>
      <w:proofErr w:type="spellEnd"/>
      <w:r w:rsidRPr="00085147">
        <w:t xml:space="preserve"> N., Di Palma L., 2018g, Fenton oxidation and chromium recovery from tannery wastewater by means of iron-based coated biomass as heterogeneous catalyst in fixed-bed columns, Chemical Engineering Journal, 351, 1-11.</w:t>
      </w:r>
    </w:p>
    <w:p w:rsidR="00AA4F0A" w:rsidRPr="00085147" w:rsidRDefault="00AA4F0A" w:rsidP="00085147">
      <w:pPr>
        <w:pStyle w:val="CETReferencetext"/>
      </w:pPr>
      <w:bookmarkStart w:id="3" w:name="_Hlk787592"/>
      <w:proofErr w:type="spellStart"/>
      <w:r w:rsidRPr="00085147">
        <w:t>Vilardi</w:t>
      </w:r>
      <w:proofErr w:type="spellEnd"/>
      <w:r w:rsidRPr="00085147">
        <w:t xml:space="preserve"> G., 2019, Mathematical modelling of simultaneous nitrate and dissolved oxygen reduction by Cu-</w:t>
      </w:r>
      <w:proofErr w:type="spellStart"/>
      <w:r w:rsidRPr="00085147">
        <w:t>nZVI</w:t>
      </w:r>
      <w:proofErr w:type="spellEnd"/>
      <w:r w:rsidRPr="00085147">
        <w:t xml:space="preserve"> using a bi-component shrinking core model, Powder Technology, 343, 613-618.</w:t>
      </w:r>
    </w:p>
    <w:bookmarkEnd w:id="3"/>
    <w:p w:rsidR="00A3285A" w:rsidRPr="00085147" w:rsidRDefault="00A3285A" w:rsidP="00085147">
      <w:pPr>
        <w:pStyle w:val="CETReferencetext"/>
      </w:pPr>
      <w:proofErr w:type="spellStart"/>
      <w:r w:rsidRPr="00085147">
        <w:t>Vilardi</w:t>
      </w:r>
      <w:proofErr w:type="spellEnd"/>
      <w:r w:rsidRPr="00085147">
        <w:t xml:space="preserve"> G., Di Palma L., </w:t>
      </w:r>
      <w:proofErr w:type="spellStart"/>
      <w:r w:rsidRPr="00085147">
        <w:t>Verdone</w:t>
      </w:r>
      <w:proofErr w:type="spellEnd"/>
      <w:r w:rsidRPr="00085147">
        <w:t xml:space="preserve"> N., 2019</w:t>
      </w:r>
      <w:r w:rsidR="00FA556B" w:rsidRPr="00085147">
        <w:t>a</w:t>
      </w:r>
      <w:r w:rsidRPr="00085147">
        <w:t>, A physical-based interpretation of mechanism and kinetics of Cr(VI) reduction in aqueous solution by zero-valent iron nanoparticles, Chemosphere, 220, 590-599.</w:t>
      </w:r>
    </w:p>
    <w:p w:rsidR="00A3285A" w:rsidRPr="00085147" w:rsidRDefault="00A3285A" w:rsidP="00085147">
      <w:pPr>
        <w:pStyle w:val="CETReferencetext"/>
      </w:pPr>
      <w:proofErr w:type="spellStart"/>
      <w:r w:rsidRPr="00085147">
        <w:t>Vilardi</w:t>
      </w:r>
      <w:proofErr w:type="spellEnd"/>
      <w:r w:rsidRPr="00085147">
        <w:t xml:space="preserve"> G., Rodriguez-Rodriguez J., </w:t>
      </w:r>
      <w:proofErr w:type="spellStart"/>
      <w:r w:rsidRPr="00085147">
        <w:t>Ochando</w:t>
      </w:r>
      <w:proofErr w:type="spellEnd"/>
      <w:r w:rsidRPr="00085147">
        <w:t xml:space="preserve"> Pulido J.M., Di Palma L., </w:t>
      </w:r>
      <w:proofErr w:type="spellStart"/>
      <w:r w:rsidRPr="00085147">
        <w:t>Verdone</w:t>
      </w:r>
      <w:proofErr w:type="spellEnd"/>
      <w:r w:rsidRPr="00085147">
        <w:t xml:space="preserve"> N., 2019b, Fixed-bed reactor scale-up and modelling for Cr(VI) removal using </w:t>
      </w:r>
      <w:proofErr w:type="spellStart"/>
      <w:r w:rsidRPr="00085147">
        <w:t>nano</w:t>
      </w:r>
      <w:proofErr w:type="spellEnd"/>
      <w:r w:rsidRPr="00085147">
        <w:t xml:space="preserve"> iron-based coated biomass as packing material, Chemical Engineering Journal, 361, 990-998.</w:t>
      </w:r>
    </w:p>
    <w:p w:rsidR="00F9427F" w:rsidRPr="00085147" w:rsidRDefault="00F9427F" w:rsidP="00085147">
      <w:pPr>
        <w:pStyle w:val="CETReferencetext"/>
      </w:pPr>
      <w:r w:rsidRPr="00085147">
        <w:t xml:space="preserve">White D. A., </w:t>
      </w:r>
      <w:proofErr w:type="spellStart"/>
      <w:r w:rsidRPr="00085147">
        <w:t>Verdone</w:t>
      </w:r>
      <w:proofErr w:type="spellEnd"/>
      <w:r w:rsidRPr="00085147">
        <w:t xml:space="preserve"> N., 2000, Numerical modelling of sedimentation processes, Chemical Engineering Science, 55, 2213-2222.</w:t>
      </w:r>
      <w:bookmarkStart w:id="4" w:name="_GoBack"/>
      <w:bookmarkEnd w:id="4"/>
    </w:p>
    <w:sectPr w:rsidR="00F9427F" w:rsidRPr="0008514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9C" w:rsidRDefault="002C589C" w:rsidP="004F5E36">
      <w:r>
        <w:separator/>
      </w:r>
    </w:p>
  </w:endnote>
  <w:endnote w:type="continuationSeparator" w:id="0">
    <w:p w:rsidR="002C589C" w:rsidRDefault="002C58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9C" w:rsidRDefault="002C589C" w:rsidP="004F5E36">
      <w:r>
        <w:separator/>
      </w:r>
    </w:p>
  </w:footnote>
  <w:footnote w:type="continuationSeparator" w:id="0">
    <w:p w:rsidR="002C589C" w:rsidRDefault="002C589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5A74"/>
    <w:rsid w:val="0003148D"/>
    <w:rsid w:val="00047D7F"/>
    <w:rsid w:val="00051566"/>
    <w:rsid w:val="00056C81"/>
    <w:rsid w:val="00062A9A"/>
    <w:rsid w:val="00065058"/>
    <w:rsid w:val="00085147"/>
    <w:rsid w:val="00086C39"/>
    <w:rsid w:val="000A03B2"/>
    <w:rsid w:val="000B138B"/>
    <w:rsid w:val="000D34BE"/>
    <w:rsid w:val="000E102F"/>
    <w:rsid w:val="000E36F1"/>
    <w:rsid w:val="000E3795"/>
    <w:rsid w:val="000E3A73"/>
    <w:rsid w:val="000E414A"/>
    <w:rsid w:val="000F093C"/>
    <w:rsid w:val="000F16BD"/>
    <w:rsid w:val="000F787B"/>
    <w:rsid w:val="00114009"/>
    <w:rsid w:val="0012091F"/>
    <w:rsid w:val="00126BC2"/>
    <w:rsid w:val="001308B6"/>
    <w:rsid w:val="0013121F"/>
    <w:rsid w:val="00131FAB"/>
    <w:rsid w:val="00131FE6"/>
    <w:rsid w:val="0013263F"/>
    <w:rsid w:val="00134DE4"/>
    <w:rsid w:val="0014034D"/>
    <w:rsid w:val="001442F7"/>
    <w:rsid w:val="00150E59"/>
    <w:rsid w:val="00152DE3"/>
    <w:rsid w:val="00164CF9"/>
    <w:rsid w:val="00165729"/>
    <w:rsid w:val="00184AD6"/>
    <w:rsid w:val="001B0349"/>
    <w:rsid w:val="001B65C1"/>
    <w:rsid w:val="001C684B"/>
    <w:rsid w:val="001D53FC"/>
    <w:rsid w:val="001E4528"/>
    <w:rsid w:val="001F42A5"/>
    <w:rsid w:val="001F7B9D"/>
    <w:rsid w:val="002016F4"/>
    <w:rsid w:val="002224B4"/>
    <w:rsid w:val="0022379E"/>
    <w:rsid w:val="002330C4"/>
    <w:rsid w:val="002447EF"/>
    <w:rsid w:val="00247490"/>
    <w:rsid w:val="00251550"/>
    <w:rsid w:val="00263B05"/>
    <w:rsid w:val="0027221A"/>
    <w:rsid w:val="00275B61"/>
    <w:rsid w:val="00282656"/>
    <w:rsid w:val="00296B83"/>
    <w:rsid w:val="002A1EB1"/>
    <w:rsid w:val="002B78CE"/>
    <w:rsid w:val="002C2FB6"/>
    <w:rsid w:val="002C589C"/>
    <w:rsid w:val="002E70B3"/>
    <w:rsid w:val="003009B7"/>
    <w:rsid w:val="00300E56"/>
    <w:rsid w:val="0030469C"/>
    <w:rsid w:val="00321CA6"/>
    <w:rsid w:val="00325B77"/>
    <w:rsid w:val="00333156"/>
    <w:rsid w:val="00334C09"/>
    <w:rsid w:val="003365E3"/>
    <w:rsid w:val="00341AA9"/>
    <w:rsid w:val="00342CC8"/>
    <w:rsid w:val="003723D4"/>
    <w:rsid w:val="00384CC8"/>
    <w:rsid w:val="003871FD"/>
    <w:rsid w:val="003A1E30"/>
    <w:rsid w:val="003A7D1C"/>
    <w:rsid w:val="003B304B"/>
    <w:rsid w:val="003B3146"/>
    <w:rsid w:val="003B60F3"/>
    <w:rsid w:val="003D057C"/>
    <w:rsid w:val="003E506B"/>
    <w:rsid w:val="003F015E"/>
    <w:rsid w:val="00400414"/>
    <w:rsid w:val="0041446B"/>
    <w:rsid w:val="0044329C"/>
    <w:rsid w:val="004577FE"/>
    <w:rsid w:val="00457B9C"/>
    <w:rsid w:val="0046164A"/>
    <w:rsid w:val="004628D2"/>
    <w:rsid w:val="00462DCD"/>
    <w:rsid w:val="00463BC8"/>
    <w:rsid w:val="004648AD"/>
    <w:rsid w:val="00465AC2"/>
    <w:rsid w:val="004703A9"/>
    <w:rsid w:val="0047094C"/>
    <w:rsid w:val="00475176"/>
    <w:rsid w:val="004760DE"/>
    <w:rsid w:val="004A004E"/>
    <w:rsid w:val="004A0713"/>
    <w:rsid w:val="004A24CF"/>
    <w:rsid w:val="004A41F4"/>
    <w:rsid w:val="004B6721"/>
    <w:rsid w:val="004C3D1D"/>
    <w:rsid w:val="004C6280"/>
    <w:rsid w:val="004C7796"/>
    <w:rsid w:val="004C7913"/>
    <w:rsid w:val="004E4DD6"/>
    <w:rsid w:val="004F5E36"/>
    <w:rsid w:val="00507B47"/>
    <w:rsid w:val="00507CC9"/>
    <w:rsid w:val="005119A5"/>
    <w:rsid w:val="0051541E"/>
    <w:rsid w:val="005278B7"/>
    <w:rsid w:val="00532016"/>
    <w:rsid w:val="005346C8"/>
    <w:rsid w:val="005366BB"/>
    <w:rsid w:val="00543E7D"/>
    <w:rsid w:val="00547A68"/>
    <w:rsid w:val="005531C9"/>
    <w:rsid w:val="00564983"/>
    <w:rsid w:val="0056689B"/>
    <w:rsid w:val="005710F7"/>
    <w:rsid w:val="005B2110"/>
    <w:rsid w:val="005B61E6"/>
    <w:rsid w:val="005C77E1"/>
    <w:rsid w:val="005D10C7"/>
    <w:rsid w:val="005D1E5D"/>
    <w:rsid w:val="005D6A2F"/>
    <w:rsid w:val="005E1A82"/>
    <w:rsid w:val="005E794C"/>
    <w:rsid w:val="005F0A28"/>
    <w:rsid w:val="005F0E5E"/>
    <w:rsid w:val="00600535"/>
    <w:rsid w:val="00605B3E"/>
    <w:rsid w:val="00610CD6"/>
    <w:rsid w:val="00620DEE"/>
    <w:rsid w:val="00621F92"/>
    <w:rsid w:val="00625639"/>
    <w:rsid w:val="00631B33"/>
    <w:rsid w:val="00636162"/>
    <w:rsid w:val="0064184D"/>
    <w:rsid w:val="006422CC"/>
    <w:rsid w:val="00653F5F"/>
    <w:rsid w:val="00656B6E"/>
    <w:rsid w:val="00660E3E"/>
    <w:rsid w:val="00662E74"/>
    <w:rsid w:val="00672AB6"/>
    <w:rsid w:val="00680C23"/>
    <w:rsid w:val="00693766"/>
    <w:rsid w:val="006A3281"/>
    <w:rsid w:val="006B4888"/>
    <w:rsid w:val="006C2E45"/>
    <w:rsid w:val="006C359C"/>
    <w:rsid w:val="006C5579"/>
    <w:rsid w:val="006E737D"/>
    <w:rsid w:val="006F0401"/>
    <w:rsid w:val="0070195D"/>
    <w:rsid w:val="00706A8C"/>
    <w:rsid w:val="00713870"/>
    <w:rsid w:val="00720A24"/>
    <w:rsid w:val="00724812"/>
    <w:rsid w:val="00732386"/>
    <w:rsid w:val="007447F3"/>
    <w:rsid w:val="0075499F"/>
    <w:rsid w:val="007661C8"/>
    <w:rsid w:val="0077098D"/>
    <w:rsid w:val="00774679"/>
    <w:rsid w:val="00790319"/>
    <w:rsid w:val="007931FA"/>
    <w:rsid w:val="007A7BBA"/>
    <w:rsid w:val="007B0C50"/>
    <w:rsid w:val="007B515E"/>
    <w:rsid w:val="007C1A43"/>
    <w:rsid w:val="007D05D6"/>
    <w:rsid w:val="007D5F98"/>
    <w:rsid w:val="007E1DC6"/>
    <w:rsid w:val="00813288"/>
    <w:rsid w:val="008168FC"/>
    <w:rsid w:val="00830996"/>
    <w:rsid w:val="008345F1"/>
    <w:rsid w:val="00844C16"/>
    <w:rsid w:val="00845661"/>
    <w:rsid w:val="00865B07"/>
    <w:rsid w:val="008667EA"/>
    <w:rsid w:val="0087346F"/>
    <w:rsid w:val="0087637F"/>
    <w:rsid w:val="008904B9"/>
    <w:rsid w:val="00892AD5"/>
    <w:rsid w:val="008A1512"/>
    <w:rsid w:val="008D32B9"/>
    <w:rsid w:val="008D3FB5"/>
    <w:rsid w:val="008D433B"/>
    <w:rsid w:val="008D64A7"/>
    <w:rsid w:val="008E566E"/>
    <w:rsid w:val="0090161A"/>
    <w:rsid w:val="00901EB6"/>
    <w:rsid w:val="00904C62"/>
    <w:rsid w:val="009166DF"/>
    <w:rsid w:val="00924DAC"/>
    <w:rsid w:val="00927058"/>
    <w:rsid w:val="0093759E"/>
    <w:rsid w:val="009450CE"/>
    <w:rsid w:val="00947179"/>
    <w:rsid w:val="0095164B"/>
    <w:rsid w:val="00954090"/>
    <w:rsid w:val="009573E7"/>
    <w:rsid w:val="00960675"/>
    <w:rsid w:val="00963E05"/>
    <w:rsid w:val="00967D54"/>
    <w:rsid w:val="00996483"/>
    <w:rsid w:val="00996F5A"/>
    <w:rsid w:val="009A0A3E"/>
    <w:rsid w:val="009B041A"/>
    <w:rsid w:val="009B088B"/>
    <w:rsid w:val="009B5087"/>
    <w:rsid w:val="009C5C88"/>
    <w:rsid w:val="009C7C86"/>
    <w:rsid w:val="009D2FF7"/>
    <w:rsid w:val="009E7884"/>
    <w:rsid w:val="009E788A"/>
    <w:rsid w:val="009F0E08"/>
    <w:rsid w:val="00A16173"/>
    <w:rsid w:val="00A1763D"/>
    <w:rsid w:val="00A17CEC"/>
    <w:rsid w:val="00A273E5"/>
    <w:rsid w:val="00A27EF0"/>
    <w:rsid w:val="00A3285A"/>
    <w:rsid w:val="00A50B20"/>
    <w:rsid w:val="00A51390"/>
    <w:rsid w:val="00A60D13"/>
    <w:rsid w:val="00A72745"/>
    <w:rsid w:val="00A754D4"/>
    <w:rsid w:val="00A76EFC"/>
    <w:rsid w:val="00A91010"/>
    <w:rsid w:val="00A92D2C"/>
    <w:rsid w:val="00A97F29"/>
    <w:rsid w:val="00AA4F0A"/>
    <w:rsid w:val="00AA702E"/>
    <w:rsid w:val="00AB0964"/>
    <w:rsid w:val="00AB31B4"/>
    <w:rsid w:val="00AB5011"/>
    <w:rsid w:val="00AC7368"/>
    <w:rsid w:val="00AD16B9"/>
    <w:rsid w:val="00AE377D"/>
    <w:rsid w:val="00AE64B2"/>
    <w:rsid w:val="00B0248E"/>
    <w:rsid w:val="00B17FBD"/>
    <w:rsid w:val="00B2307F"/>
    <w:rsid w:val="00B315A6"/>
    <w:rsid w:val="00B31813"/>
    <w:rsid w:val="00B33365"/>
    <w:rsid w:val="00B52104"/>
    <w:rsid w:val="00B56638"/>
    <w:rsid w:val="00B57B36"/>
    <w:rsid w:val="00B64D0F"/>
    <w:rsid w:val="00B8686D"/>
    <w:rsid w:val="00B86EC0"/>
    <w:rsid w:val="00BB5FEF"/>
    <w:rsid w:val="00BC30C9"/>
    <w:rsid w:val="00BC6A48"/>
    <w:rsid w:val="00BE3E58"/>
    <w:rsid w:val="00BE5291"/>
    <w:rsid w:val="00BF2ACD"/>
    <w:rsid w:val="00C01616"/>
    <w:rsid w:val="00C0162B"/>
    <w:rsid w:val="00C02C45"/>
    <w:rsid w:val="00C24FD8"/>
    <w:rsid w:val="00C345B1"/>
    <w:rsid w:val="00C35143"/>
    <w:rsid w:val="00C40142"/>
    <w:rsid w:val="00C57182"/>
    <w:rsid w:val="00C57863"/>
    <w:rsid w:val="00C655FD"/>
    <w:rsid w:val="00C666AD"/>
    <w:rsid w:val="00C7559C"/>
    <w:rsid w:val="00C870A8"/>
    <w:rsid w:val="00C900D6"/>
    <w:rsid w:val="00C94434"/>
    <w:rsid w:val="00CA0D75"/>
    <w:rsid w:val="00CA1C95"/>
    <w:rsid w:val="00CA5A9C"/>
    <w:rsid w:val="00CD3517"/>
    <w:rsid w:val="00CD5FE2"/>
    <w:rsid w:val="00CE7C68"/>
    <w:rsid w:val="00D02B4C"/>
    <w:rsid w:val="00D040C4"/>
    <w:rsid w:val="00D25305"/>
    <w:rsid w:val="00D44025"/>
    <w:rsid w:val="00D52D48"/>
    <w:rsid w:val="00D57C84"/>
    <w:rsid w:val="00D6057D"/>
    <w:rsid w:val="00D84576"/>
    <w:rsid w:val="00DA1399"/>
    <w:rsid w:val="00DA24C6"/>
    <w:rsid w:val="00DA4D7B"/>
    <w:rsid w:val="00DB0CD3"/>
    <w:rsid w:val="00DC1470"/>
    <w:rsid w:val="00DC3938"/>
    <w:rsid w:val="00DE264A"/>
    <w:rsid w:val="00DE59E9"/>
    <w:rsid w:val="00E02D18"/>
    <w:rsid w:val="00E03AC6"/>
    <w:rsid w:val="00E041E7"/>
    <w:rsid w:val="00E23CA1"/>
    <w:rsid w:val="00E36FD2"/>
    <w:rsid w:val="00E409A8"/>
    <w:rsid w:val="00E5057A"/>
    <w:rsid w:val="00E50C12"/>
    <w:rsid w:val="00E65B91"/>
    <w:rsid w:val="00E7209D"/>
    <w:rsid w:val="00E765C2"/>
    <w:rsid w:val="00E77223"/>
    <w:rsid w:val="00E8528B"/>
    <w:rsid w:val="00E85B94"/>
    <w:rsid w:val="00E94CAC"/>
    <w:rsid w:val="00E978D0"/>
    <w:rsid w:val="00EA4613"/>
    <w:rsid w:val="00EA7F91"/>
    <w:rsid w:val="00EB1523"/>
    <w:rsid w:val="00EC0E49"/>
    <w:rsid w:val="00ED7636"/>
    <w:rsid w:val="00EE0131"/>
    <w:rsid w:val="00EE084B"/>
    <w:rsid w:val="00EE2753"/>
    <w:rsid w:val="00EF6D37"/>
    <w:rsid w:val="00F155B2"/>
    <w:rsid w:val="00F15DE8"/>
    <w:rsid w:val="00F24C7A"/>
    <w:rsid w:val="00F30C64"/>
    <w:rsid w:val="00F32CDB"/>
    <w:rsid w:val="00F36AD6"/>
    <w:rsid w:val="00F52725"/>
    <w:rsid w:val="00F53BA6"/>
    <w:rsid w:val="00F63A70"/>
    <w:rsid w:val="00F9427F"/>
    <w:rsid w:val="00FA21D0"/>
    <w:rsid w:val="00FA2DBD"/>
    <w:rsid w:val="00FA556B"/>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 w:type="character" w:customStyle="1" w:styleId="Menzionenonrisolta2">
    <w:name w:val="Menzione non risolta2"/>
    <w:basedOn w:val="Carpredefinitoparagrafo"/>
    <w:uiPriority w:val="99"/>
    <w:semiHidden/>
    <w:unhideWhenUsed/>
    <w:rsid w:val="00B56638"/>
    <w:rPr>
      <w:color w:val="605E5C"/>
      <w:shd w:val="clear" w:color="auto" w:fill="E1DFDD"/>
    </w:rPr>
  </w:style>
  <w:style w:type="character" w:customStyle="1" w:styleId="UnresolvedMention">
    <w:name w:val="Unresolved Mention"/>
    <w:basedOn w:val="Carpredefinitoparagrafo"/>
    <w:uiPriority w:val="99"/>
    <w:semiHidden/>
    <w:unhideWhenUsed/>
    <w:rsid w:val="00EF6D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 w:type="character" w:customStyle="1" w:styleId="Menzionenonrisolta2">
    <w:name w:val="Menzione non risolta2"/>
    <w:basedOn w:val="Carpredefinitoparagrafo"/>
    <w:uiPriority w:val="99"/>
    <w:semiHidden/>
    <w:unhideWhenUsed/>
    <w:rsid w:val="00B56638"/>
    <w:rPr>
      <w:color w:val="605E5C"/>
      <w:shd w:val="clear" w:color="auto" w:fill="E1DFDD"/>
    </w:rPr>
  </w:style>
  <w:style w:type="character" w:customStyle="1" w:styleId="UnresolvedMention">
    <w:name w:val="Unresolved Mention"/>
    <w:basedOn w:val="Carpredefinitoparagrafo"/>
    <w:uiPriority w:val="99"/>
    <w:semiHidden/>
    <w:unhideWhenUsed/>
    <w:rsid w:val="00EF6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3503">
      <w:bodyDiv w:val="1"/>
      <w:marLeft w:val="0"/>
      <w:marRight w:val="0"/>
      <w:marTop w:val="0"/>
      <w:marBottom w:val="0"/>
      <w:divBdr>
        <w:top w:val="none" w:sz="0" w:space="0" w:color="auto"/>
        <w:left w:val="none" w:sz="0" w:space="0" w:color="auto"/>
        <w:bottom w:val="none" w:sz="0" w:space="0" w:color="auto"/>
        <w:right w:val="none" w:sz="0" w:space="0" w:color="auto"/>
      </w:divBdr>
    </w:div>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048337219">
      <w:bodyDiv w:val="1"/>
      <w:marLeft w:val="0"/>
      <w:marRight w:val="0"/>
      <w:marTop w:val="0"/>
      <w:marBottom w:val="0"/>
      <w:divBdr>
        <w:top w:val="none" w:sz="0" w:space="0" w:color="auto"/>
        <w:left w:val="none" w:sz="0" w:space="0" w:color="auto"/>
        <w:bottom w:val="none" w:sz="0" w:space="0" w:color="auto"/>
        <w:right w:val="none" w:sz="0" w:space="0" w:color="auto"/>
      </w:divBdr>
      <w:divsChild>
        <w:div w:id="725029083">
          <w:marLeft w:val="0"/>
          <w:marRight w:val="0"/>
          <w:marTop w:val="0"/>
          <w:marBottom w:val="0"/>
          <w:divBdr>
            <w:top w:val="none" w:sz="0" w:space="0" w:color="auto"/>
            <w:left w:val="none" w:sz="0" w:space="0" w:color="auto"/>
            <w:bottom w:val="none" w:sz="0" w:space="0" w:color="auto"/>
            <w:right w:val="none" w:sz="0" w:space="0" w:color="auto"/>
          </w:divBdr>
        </w:div>
      </w:divsChild>
    </w:div>
    <w:div w:id="1442257670">
      <w:bodyDiv w:val="1"/>
      <w:marLeft w:val="0"/>
      <w:marRight w:val="0"/>
      <w:marTop w:val="0"/>
      <w:marBottom w:val="0"/>
      <w:divBdr>
        <w:top w:val="none" w:sz="0" w:space="0" w:color="auto"/>
        <w:left w:val="none" w:sz="0" w:space="0" w:color="auto"/>
        <w:bottom w:val="none" w:sz="0" w:space="0" w:color="auto"/>
        <w:right w:val="none" w:sz="0" w:space="0" w:color="auto"/>
      </w:divBdr>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199275707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A572-6E61-4CCB-BC5C-1EAF48B5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3545</Words>
  <Characters>20211</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2019-02-19T10:16:00Z</dcterms:created>
  <dcterms:modified xsi:type="dcterms:W3CDTF">2019-04-01T13:38:00Z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