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0"/>
        <w:gridCol w:w="1842"/>
      </w:tblGrid>
      <w:tr w:rsidR="000A03B2" w:rsidRPr="00B57B36" w14:paraId="77EAD690" w14:textId="77777777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14:paraId="1A4F8733" w14:textId="77777777" w:rsidR="000A03B2" w:rsidRPr="00B57B36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r w:rsidRPr="00B57B36">
              <w:rPr>
                <w:rFonts w:ascii="AdvP6960" w:hAnsi="AdvP6960" w:cs="AdvP6960"/>
                <w:noProof/>
                <w:color w:val="241F20"/>
                <w:szCs w:val="18"/>
                <w:lang w:val="en-US" w:eastAsia="zh-CN"/>
              </w:rPr>
              <w:drawing>
                <wp:inline distT="0" distB="0" distL="0" distR="0" wp14:anchorId="7313DE29" wp14:editId="5C3ECEC4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78026A6B" w14:textId="2AC66400" w:rsidR="000A03B2" w:rsidRPr="00B57B36" w:rsidRDefault="00A76EFC" w:rsidP="00B97791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VOL. </w:t>
            </w:r>
            <w:r w:rsidR="007931FA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7</w:t>
            </w:r>
            <w:r w:rsidR="00B97791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3</w:t>
            </w:r>
            <w:r w:rsidR="00FA5F5F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 201</w:t>
            </w:r>
            <w:r w:rsidR="007931FA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9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FB9823C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14:paraId="5AC5F8E9" w14:textId="77777777" w:rsidR="000A03B2" w:rsidRPr="00B57B36" w:rsidRDefault="000A03B2" w:rsidP="00CD5FE2">
            <w:pPr>
              <w:jc w:val="right"/>
            </w:pPr>
            <w:r w:rsidRPr="00B57B36">
              <w:rPr>
                <w:noProof/>
                <w:lang w:val="en-US" w:eastAsia="zh-CN"/>
              </w:rPr>
              <w:drawing>
                <wp:inline distT="0" distB="0" distL="0" distR="0" wp14:anchorId="708F296A" wp14:editId="3F34BD25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B57B36" w14:paraId="5FBACE65" w14:textId="77777777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14:paraId="07363CF0" w14:textId="77777777" w:rsidR="000A03B2" w:rsidRPr="00B57B36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6CC88F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14:paraId="2FAE89E0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14:paraId="55EC27AC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 xml:space="preserve">Online at </w:t>
            </w:r>
            <w:r w:rsidR="00892AD5" w:rsidRPr="00963E05">
              <w:rPr>
                <w:rFonts w:cs="Arial"/>
                <w:sz w:val="14"/>
                <w:szCs w:val="14"/>
              </w:rPr>
              <w:t>www.aidic.it/cet</w:t>
            </w:r>
          </w:p>
        </w:tc>
      </w:tr>
      <w:tr w:rsidR="000A03B2" w:rsidRPr="00B57B36" w14:paraId="244DE489" w14:textId="77777777">
        <w:trPr>
          <w:trHeight w:val="68"/>
          <w:jc w:val="center"/>
        </w:trPr>
        <w:tc>
          <w:tcPr>
            <w:tcW w:w="8789" w:type="dxa"/>
            <w:gridSpan w:val="2"/>
          </w:tcPr>
          <w:p w14:paraId="1C8CDB86" w14:textId="77777777" w:rsidR="00300E56" w:rsidRPr="008531D2" w:rsidRDefault="00300E56" w:rsidP="003365E3">
            <w:pPr>
              <w:ind w:left="-107"/>
              <w:rPr>
                <w:lang w:val="it-IT"/>
              </w:rPr>
            </w:pPr>
            <w:r w:rsidRPr="008531D2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Guest Editors:</w:t>
            </w:r>
            <w:r w:rsidR="00904C62" w:rsidRPr="008531D2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 xml:space="preserve"> </w:t>
            </w:r>
            <w:r w:rsidR="008531D2" w:rsidRPr="006F0401">
              <w:rPr>
                <w:rFonts w:ascii="Tahoma" w:hAnsi="Tahoma" w:cs="Tahoma"/>
                <w:color w:val="0D0D0D" w:themeColor="text1" w:themeTint="F2"/>
                <w:sz w:val="14"/>
                <w:szCs w:val="14"/>
                <w:lang w:val="it-IT"/>
              </w:rPr>
              <w:t xml:space="preserve">Andrea D’Anna, </w:t>
            </w:r>
            <w:r w:rsidR="008531D2" w:rsidRPr="006F0401">
              <w:rPr>
                <w:rFonts w:ascii="Tahoma" w:hAnsi="Tahoma" w:cs="Tahoma"/>
                <w:bCs/>
                <w:color w:val="0D0D0D" w:themeColor="text1" w:themeTint="F2"/>
                <w:sz w:val="14"/>
                <w:szCs w:val="14"/>
                <w:lang w:val="it-IT"/>
              </w:rPr>
              <w:t>Paolo Ciambelli, Carmelo Sunseri</w:t>
            </w:r>
          </w:p>
          <w:p w14:paraId="62CE6D8F" w14:textId="010DDE20" w:rsidR="000A03B2" w:rsidRPr="00B57B36" w:rsidRDefault="00FA5F5F" w:rsidP="00B97791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201</w:t>
            </w:r>
            <w:r w:rsidR="007931FA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9</w:t>
            </w:r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, AIDIC Servizi S.r.l.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="00300E56" w:rsidRPr="00B57B36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="00300E56" w:rsidRPr="00B57B36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="008D32B9" w:rsidRPr="00131FAB">
              <w:rPr>
                <w:rFonts w:ascii="Tahoma" w:hAnsi="Tahoma" w:cs="Tahoma"/>
                <w:sz w:val="14"/>
                <w:szCs w:val="14"/>
              </w:rPr>
              <w:t>978-88-95608-</w:t>
            </w:r>
            <w:r w:rsidR="008531D2">
              <w:rPr>
                <w:rFonts w:ascii="Tahoma" w:hAnsi="Tahoma" w:cs="Tahoma"/>
                <w:sz w:val="14"/>
                <w:szCs w:val="14"/>
              </w:rPr>
              <w:t>7</w:t>
            </w:r>
            <w:r w:rsidR="00B97791">
              <w:rPr>
                <w:rFonts w:ascii="Tahoma" w:hAnsi="Tahoma" w:cs="Tahoma"/>
                <w:sz w:val="14"/>
                <w:szCs w:val="14"/>
              </w:rPr>
              <w:t>0</w:t>
            </w:r>
            <w:r w:rsidR="008D32B9" w:rsidRPr="00131FAB">
              <w:rPr>
                <w:rFonts w:ascii="Tahoma" w:hAnsi="Tahoma" w:cs="Tahoma"/>
                <w:sz w:val="14"/>
                <w:szCs w:val="14"/>
              </w:rPr>
              <w:t>-</w:t>
            </w:r>
            <w:r w:rsidR="008531D2">
              <w:rPr>
                <w:rFonts w:ascii="Tahoma" w:hAnsi="Tahoma" w:cs="Tahoma"/>
                <w:sz w:val="14"/>
                <w:szCs w:val="14"/>
              </w:rPr>
              <w:t>6</w:t>
            </w:r>
            <w:r w:rsidR="00300E56" w:rsidRPr="00131FAB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;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r w:rsidR="00300E56" w:rsidRPr="00B57B36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14:paraId="5B453096" w14:textId="77777777" w:rsidR="000A03B2" w:rsidRPr="00B57B36" w:rsidRDefault="000A03B2" w:rsidP="000A03B2">
      <w:pPr>
        <w:pStyle w:val="CETAuthors"/>
        <w:sectPr w:rsidR="000A03B2" w:rsidRPr="00B57B36">
          <w:type w:val="continuous"/>
          <w:pgSz w:w="11906" w:h="16838" w:code="9"/>
          <w:pgMar w:top="1701" w:right="1418" w:bottom="1701" w:left="1701" w:header="1701" w:footer="0" w:gutter="0"/>
          <w:cols w:space="708"/>
          <w:titlePg/>
          <w:docGrid w:linePitch="360"/>
        </w:sectPr>
      </w:pPr>
    </w:p>
    <w:p w14:paraId="0865DC03" w14:textId="0473E863" w:rsidR="00E978D0" w:rsidRPr="000072D7" w:rsidRDefault="000B4841" w:rsidP="00B97791">
      <w:pPr>
        <w:pStyle w:val="CETTitle"/>
      </w:pPr>
      <w:r w:rsidRPr="000072D7">
        <w:t>Highly-</w:t>
      </w:r>
      <w:r w:rsidR="00D924C2">
        <w:t>E</w:t>
      </w:r>
      <w:r w:rsidRPr="000072D7">
        <w:t xml:space="preserve">fficient Peroxymonosulfate Activation for Sulfacetamide Degradation over Nitrogen-functionalized Graphene: </w:t>
      </w:r>
      <w:r w:rsidR="00F1630C">
        <w:t>T</w:t>
      </w:r>
      <w:r w:rsidR="0025275F">
        <w:t xml:space="preserve">he </w:t>
      </w:r>
      <w:r w:rsidRPr="000072D7">
        <w:t>Effect of Thermal Annealing Temperature on Reactive Functional Groups</w:t>
      </w:r>
    </w:p>
    <w:p w14:paraId="46B619AF" w14:textId="4935FF54" w:rsidR="00E978D0" w:rsidRDefault="000072D7" w:rsidP="002A490C">
      <w:pPr>
        <w:pStyle w:val="CETAuthors"/>
      </w:pPr>
      <w:r w:rsidRPr="000072D7">
        <w:t>Xiao</w:t>
      </w:r>
      <w:r w:rsidRPr="000072D7">
        <w:rPr>
          <w:rFonts w:hint="eastAsia"/>
        </w:rPr>
        <w:t xml:space="preserve"> </w:t>
      </w:r>
      <w:r w:rsidRPr="000072D7">
        <w:t>Chen</w:t>
      </w:r>
      <w:r w:rsidR="00600535" w:rsidRPr="00B57B36">
        <w:t xml:space="preserve">, </w:t>
      </w:r>
      <w:r>
        <w:t>Teik</w:t>
      </w:r>
      <w:r w:rsidR="002228C2">
        <w:t>-</w:t>
      </w:r>
      <w:r>
        <w:t>T</w:t>
      </w:r>
      <w:r w:rsidR="002228C2">
        <w:t>hye</w:t>
      </w:r>
      <w:r w:rsidR="00600535" w:rsidRPr="00B57B36">
        <w:t xml:space="preserve"> </w:t>
      </w:r>
      <w:r>
        <w:t>Lim</w:t>
      </w:r>
    </w:p>
    <w:p w14:paraId="7980671D" w14:textId="77777777" w:rsidR="000072D7" w:rsidRPr="000072D7" w:rsidRDefault="000072D7" w:rsidP="004511A7">
      <w:pPr>
        <w:pStyle w:val="CETAddress"/>
      </w:pPr>
      <w:r w:rsidRPr="000072D7">
        <w:t>School of Civil and Environmental Engineering, Nanyang Technological University, 50 Nanyang Avenue, Singapore 639798, Singapore</w:t>
      </w:r>
    </w:p>
    <w:p w14:paraId="5C001505" w14:textId="4FB8DDF4" w:rsidR="000072D7" w:rsidRPr="000072D7" w:rsidRDefault="000072D7" w:rsidP="00A97EE6">
      <w:pPr>
        <w:pStyle w:val="CETAuthors"/>
        <w:spacing w:after="240" w:line="276" w:lineRule="auto"/>
        <w:rPr>
          <w:sz w:val="16"/>
        </w:rPr>
      </w:pPr>
      <w:r w:rsidRPr="000072D7">
        <w:rPr>
          <w:sz w:val="16"/>
        </w:rPr>
        <w:t>CTTLIM@ntu.edu.sg</w:t>
      </w:r>
    </w:p>
    <w:p w14:paraId="75AC3593" w14:textId="7569F8CC" w:rsidR="00A97EE6" w:rsidRDefault="00A97EE6" w:rsidP="00497905">
      <w:pPr>
        <w:pStyle w:val="CETBodytext"/>
      </w:pPr>
      <w:bookmarkStart w:id="0" w:name="_Hlk489962917"/>
      <w:bookmarkStart w:id="1" w:name="_Hlk495475023"/>
      <w:r w:rsidRPr="00A97EE6">
        <w:t xml:space="preserve">Nitrogen-doped graphene (NG) prepared through thermal annealing of graphene oxide (GO) and urea was employed as a peroxymonosulfate (PMS) activator to degrade </w:t>
      </w:r>
      <w:r w:rsidRPr="00A97EE6">
        <w:rPr>
          <w:color w:val="000000" w:themeColor="text1"/>
        </w:rPr>
        <w:t>sulfacetamide</w:t>
      </w:r>
      <w:r w:rsidR="004C0ED9">
        <w:rPr>
          <w:color w:val="000000" w:themeColor="text1"/>
        </w:rPr>
        <w:t xml:space="preserve"> (SAM)</w:t>
      </w:r>
      <w:r w:rsidRPr="00A97EE6">
        <w:t>.</w:t>
      </w:r>
      <w:bookmarkEnd w:id="0"/>
      <w:r w:rsidRPr="00A97EE6">
        <w:t xml:space="preserve"> The fine tuning of the concentrations of functionalities and catalytic performance of NG was realized via tweaking thermal </w:t>
      </w:r>
      <w:r w:rsidRPr="004511A7">
        <w:t>annealing temperature. NG600 (NG prepared at 600</w:t>
      </w:r>
      <w:r w:rsidR="004837D1">
        <w:t xml:space="preserve"> </w:t>
      </w:r>
      <w:r w:rsidRPr="004511A7">
        <w:t>°C) with the controlled N bonding configurations</w:t>
      </w:r>
      <w:r w:rsidRPr="00A97EE6">
        <w:t xml:space="preserve"> (a high N doping level (16.0 wt%) and a most optimum amount of pyridinic N (38.4 %N), pyrrolic N (31.8 %N), graphitic N (25.9 %N)) </w:t>
      </w:r>
      <w:r w:rsidR="0051079B">
        <w:t>performed best</w:t>
      </w:r>
      <w:r w:rsidRPr="00A97EE6">
        <w:t xml:space="preserve"> as PMS activator. </w:t>
      </w:r>
      <w:r w:rsidR="0051079B">
        <w:t>Q</w:t>
      </w:r>
      <w:r w:rsidRPr="00A97EE6">
        <w:t xml:space="preserve">uenching experiments disclosed that radical pathway contributed more to </w:t>
      </w:r>
      <w:r w:rsidR="004C0ED9">
        <w:rPr>
          <w:color w:val="000000" w:themeColor="text1"/>
        </w:rPr>
        <w:t>SAM</w:t>
      </w:r>
      <w:r w:rsidRPr="00A97EE6">
        <w:t xml:space="preserve"> degradation than non-radical pathway. SO</w:t>
      </w:r>
      <w:r w:rsidRPr="00A97EE6">
        <w:rPr>
          <w:vertAlign w:val="subscript"/>
        </w:rPr>
        <w:t>4</w:t>
      </w:r>
      <w:r w:rsidRPr="00A97EE6">
        <w:rPr>
          <w:vertAlign w:val="superscript"/>
        </w:rPr>
        <w:t>•-</w:t>
      </w:r>
      <w:r w:rsidRPr="00A97EE6">
        <w:t xml:space="preserve"> was the key reactive species for the </w:t>
      </w:r>
      <w:r w:rsidR="004C0ED9">
        <w:rPr>
          <w:color w:val="000000" w:themeColor="text1"/>
        </w:rPr>
        <w:t>SAM</w:t>
      </w:r>
      <w:r w:rsidRPr="00A97EE6">
        <w:t xml:space="preserve"> degradation in the NG/PMS system. </w:t>
      </w:r>
      <w:bookmarkEnd w:id="1"/>
    </w:p>
    <w:p w14:paraId="1B69B26C" w14:textId="21C9233B" w:rsidR="004B40BC" w:rsidRPr="00ED04E8" w:rsidRDefault="004B40BC" w:rsidP="00497905">
      <w:pPr>
        <w:pStyle w:val="CETBodytext"/>
      </w:pPr>
      <w:r w:rsidRPr="004B40BC">
        <w:rPr>
          <w:rFonts w:hint="eastAsia"/>
        </w:rPr>
        <w:t>Key words:</w:t>
      </w:r>
      <w:r w:rsidRPr="00A45EE4">
        <w:rPr>
          <w:rFonts w:hint="eastAsia"/>
        </w:rPr>
        <w:t xml:space="preserve"> </w:t>
      </w:r>
      <w:r w:rsidR="00582DDA">
        <w:t xml:space="preserve">metal-free catalysis, </w:t>
      </w:r>
      <w:r w:rsidR="009D01C1">
        <w:t xml:space="preserve">nitrogen-doped graphene, </w:t>
      </w:r>
      <w:r>
        <w:t xml:space="preserve">peroxymonosulfate, </w:t>
      </w:r>
      <w:r w:rsidR="009D01C1">
        <w:t xml:space="preserve">sulfacetamide, </w:t>
      </w:r>
      <w:r>
        <w:t>sulfate radical</w:t>
      </w:r>
    </w:p>
    <w:p w14:paraId="4E929236" w14:textId="77777777" w:rsidR="00600535" w:rsidRPr="00B57B36" w:rsidRDefault="00600535" w:rsidP="00600535">
      <w:pPr>
        <w:pStyle w:val="CETHeading1"/>
        <w:rPr>
          <w:lang w:val="en-GB"/>
        </w:rPr>
      </w:pPr>
      <w:r w:rsidRPr="00B57B36">
        <w:rPr>
          <w:lang w:val="en-GB"/>
        </w:rPr>
        <w:t>Introduction</w:t>
      </w:r>
    </w:p>
    <w:p w14:paraId="5779DFBC" w14:textId="1DA90F3A" w:rsidR="00151F07" w:rsidRDefault="0011285E" w:rsidP="00B97791">
      <w:pPr>
        <w:pStyle w:val="CETBodytext"/>
      </w:pPr>
      <w:r>
        <w:t>Sulfonamide</w:t>
      </w:r>
      <w:r w:rsidR="005F2367">
        <w:t>s</w:t>
      </w:r>
      <w:r>
        <w:t xml:space="preserve"> have a widespread distribution in the aquatic environment and induce the evolution of antibiotic resistant pathogenic bacteria, posing a threat to the ecosystem and human health even at a low concentration </w:t>
      </w:r>
      <w:r>
        <w:fldChar w:fldCharType="begin"/>
      </w:r>
      <w:r w:rsidR="00CB75E9">
        <w:instrText xml:space="preserve"> ADDIN EN.CITE &lt;EndNote&gt;&lt;Cite&gt;&lt;Author&gt;Rizzo&lt;/Author&gt;&lt;Year&gt;2013&lt;/Year&gt;&lt;RecNum&gt;285&lt;/RecNum&gt;&lt;DisplayText&gt;(Rizzo, Manaia et al. 2013)&lt;/DisplayText&gt;&lt;record&gt;&lt;rec-number&gt;285&lt;/rec-number&gt;&lt;foreign-keys&gt;&lt;key app="EN" db-id="ap52awefuxaz96e9avq525ted0txrrx0zx2e" timestamp="1493271977"&gt;285&lt;/key&gt;&lt;/foreign-keys&gt;&lt;ref-type name="Journal Article"&gt;17&lt;/ref-type&gt;&lt;contributors&gt;&lt;authors&gt;&lt;author&gt;Rizzo, L.&lt;/author&gt;&lt;author&gt;Manaia, C.&lt;/author&gt;&lt;author&gt;Merlin, C.&lt;/author&gt;&lt;author&gt;Schwartz, T.&lt;/author&gt;&lt;author&gt;Dagot, C.&lt;/author&gt;&lt;author&gt;Ploy, M. C.&lt;/author&gt;&lt;author&gt;Michael, I.&lt;/author&gt;&lt;author&gt;Fatta-Kassinos, D.&lt;/author&gt;&lt;/authors&gt;&lt;/contributors&gt;&lt;titles&gt;&lt;title&gt;Urban wastewater treatment plants as hotspots for antibiotic resistant bacteria and genes spread into the environment: A review&lt;/title&gt;&lt;secondary-title&gt;Science of the Total Environment&lt;/secondary-title&gt;&lt;/titles&gt;&lt;periodical&gt;&lt;full-title&gt;Science of the Total Environment&lt;/full-title&gt;&lt;/periodical&gt;&lt;pages&gt;345-360&lt;/pages&gt;&lt;volume&gt;447&lt;/volume&gt;&lt;dates&gt;&lt;year&gt;2013&lt;/year&gt;&lt;/dates&gt;&lt;work-type&gt;Review&lt;/work-type&gt;&lt;urls&gt;&lt;related-urls&gt;&lt;url&gt;https://www.scopus.com/inward/record.uri?eid=2-s2.0-84873433431&amp;amp;doi=10.1016%2fj.scitotenv.2013.01.032&amp;amp;partnerID=40&amp;amp;md5=0c30350fa7bdf90a5d7db1d9ba6d9cd1&lt;/url&gt;&lt;/related-urls&gt;&lt;/urls&gt;&lt;electronic-resource-num&gt;10.1016/j.scitotenv.2013.01.032&lt;/electronic-resource-num&gt;&lt;remote-database-name&gt;Scopus&lt;/remote-database-name&gt;&lt;/record&gt;&lt;/Cite&gt;&lt;/EndNote&gt;</w:instrText>
      </w:r>
      <w:r>
        <w:fldChar w:fldCharType="separate"/>
      </w:r>
      <w:r w:rsidR="00CB75E9">
        <w:rPr>
          <w:noProof/>
        </w:rPr>
        <w:t>(</w:t>
      </w:r>
      <w:hyperlink w:anchor="_ENREF_13" w:tooltip="Rizzo, 2013 #285" w:history="1">
        <w:r w:rsidR="00922ED7">
          <w:rPr>
            <w:noProof/>
          </w:rPr>
          <w:t>Rizzo, Manaia et al. 2013</w:t>
        </w:r>
      </w:hyperlink>
      <w:r w:rsidR="00CB75E9">
        <w:rPr>
          <w:noProof/>
        </w:rPr>
        <w:t>)</w:t>
      </w:r>
      <w:r>
        <w:fldChar w:fldCharType="end"/>
      </w:r>
      <w:r>
        <w:t>.</w:t>
      </w:r>
      <w:r w:rsidRPr="0011285E">
        <w:t xml:space="preserve"> </w:t>
      </w:r>
      <w:r w:rsidR="003F70AC">
        <w:t>S</w:t>
      </w:r>
      <w:r w:rsidR="00151F07">
        <w:t>ulfate radical-based advanced oxidation process (SR-AOP) which is based on sulfate radical (</w:t>
      </w:r>
      <w:r w:rsidR="00151F07" w:rsidRPr="00AB4C42">
        <w:t>SO</w:t>
      </w:r>
      <w:r w:rsidR="00151F07" w:rsidRPr="00AB4C42">
        <w:rPr>
          <w:vertAlign w:val="subscript"/>
        </w:rPr>
        <w:t>4</w:t>
      </w:r>
      <w:r w:rsidR="00151F07" w:rsidRPr="00AB4C42">
        <w:rPr>
          <w:vertAlign w:val="superscript"/>
        </w:rPr>
        <w:t>•-</w:t>
      </w:r>
      <w:r w:rsidR="00151F07">
        <w:t>) is more effective to degrade persistent organic pollutants than conventional treatment process (e.g., filtration, flocculation or biological treatment) and traditional AOP</w:t>
      </w:r>
      <w:r w:rsidR="003F70AC">
        <w:t>s</w:t>
      </w:r>
      <w:r w:rsidR="00151F07">
        <w:t xml:space="preserve"> involving hydroxyl radical (</w:t>
      </w:r>
      <w:r w:rsidR="00151F07" w:rsidRPr="00DA3D83">
        <w:t>HO</w:t>
      </w:r>
      <w:r w:rsidR="00151F07" w:rsidRPr="00DA3D83">
        <w:rPr>
          <w:vertAlign w:val="superscript"/>
        </w:rPr>
        <w:t>•</w:t>
      </w:r>
      <w:r w:rsidR="00151F07">
        <w:t>) (e.g., UV/H</w:t>
      </w:r>
      <w:r w:rsidR="00151F07" w:rsidRPr="008A5114">
        <w:rPr>
          <w:vertAlign w:val="subscript"/>
        </w:rPr>
        <w:t>2</w:t>
      </w:r>
      <w:r w:rsidR="00151F07">
        <w:t>O</w:t>
      </w:r>
      <w:r w:rsidR="00151F07" w:rsidRPr="008A5114">
        <w:rPr>
          <w:vertAlign w:val="subscript"/>
        </w:rPr>
        <w:t>2</w:t>
      </w:r>
      <w:r w:rsidR="00151F07">
        <w:t>, O</w:t>
      </w:r>
      <w:r w:rsidR="00151F07" w:rsidRPr="008A5114">
        <w:rPr>
          <w:vertAlign w:val="subscript"/>
        </w:rPr>
        <w:t>3</w:t>
      </w:r>
      <w:r w:rsidR="00151F07">
        <w:t>/H</w:t>
      </w:r>
      <w:r w:rsidR="00151F07" w:rsidRPr="008A5114">
        <w:rPr>
          <w:vertAlign w:val="subscript"/>
        </w:rPr>
        <w:t>2</w:t>
      </w:r>
      <w:r w:rsidR="00151F07">
        <w:t>O</w:t>
      </w:r>
      <w:r w:rsidR="00151F07" w:rsidRPr="008A5114">
        <w:rPr>
          <w:vertAlign w:val="subscript"/>
        </w:rPr>
        <w:t>2</w:t>
      </w:r>
      <w:r w:rsidR="00151F07">
        <w:t xml:space="preserve"> or Fenton) due to the higher redox potential </w:t>
      </w:r>
      <w:r w:rsidR="009E519D">
        <w:t xml:space="preserve">of </w:t>
      </w:r>
      <w:r w:rsidR="009E519D" w:rsidRPr="00AB4C42">
        <w:t>SO</w:t>
      </w:r>
      <w:r w:rsidR="009E519D" w:rsidRPr="00AB4C42">
        <w:rPr>
          <w:vertAlign w:val="subscript"/>
        </w:rPr>
        <w:t>4</w:t>
      </w:r>
      <w:r w:rsidR="009E519D" w:rsidRPr="00AB4C42">
        <w:rPr>
          <w:vertAlign w:val="superscript"/>
        </w:rPr>
        <w:t>•-</w:t>
      </w:r>
      <w:r w:rsidR="009E519D" w:rsidRPr="00A55C6A">
        <w:rPr>
          <w:iCs/>
        </w:rPr>
        <w:t xml:space="preserve"> </w:t>
      </w:r>
      <w:r w:rsidR="00151F07" w:rsidRPr="00A55C6A">
        <w:rPr>
          <w:iCs/>
        </w:rPr>
        <w:t>(E</w:t>
      </w:r>
      <w:r w:rsidR="00151F07" w:rsidRPr="00A55C6A">
        <w:rPr>
          <w:iCs/>
          <w:vertAlign w:val="superscript"/>
        </w:rPr>
        <w:t>o</w:t>
      </w:r>
      <w:r w:rsidR="00151F07">
        <w:rPr>
          <w:iCs/>
          <w:vertAlign w:val="superscript"/>
        </w:rPr>
        <w:t xml:space="preserve"> </w:t>
      </w:r>
      <w:r w:rsidR="00151F07" w:rsidRPr="00A55C6A">
        <w:rPr>
          <w:iCs/>
        </w:rPr>
        <w:t>=</w:t>
      </w:r>
      <w:r w:rsidR="00151F07">
        <w:rPr>
          <w:iCs/>
        </w:rPr>
        <w:t xml:space="preserve"> </w:t>
      </w:r>
      <w:r w:rsidR="00151F07" w:rsidRPr="00A55C6A">
        <w:rPr>
          <w:iCs/>
        </w:rPr>
        <w:t>2.5-3.1</w:t>
      </w:r>
      <w:r w:rsidR="00151F07">
        <w:rPr>
          <w:iCs/>
        </w:rPr>
        <w:t xml:space="preserve"> </w:t>
      </w:r>
      <w:r w:rsidR="00151F07" w:rsidRPr="00A55C6A">
        <w:rPr>
          <w:iCs/>
        </w:rPr>
        <w:t>V)</w:t>
      </w:r>
      <w:r w:rsidR="00151F07">
        <w:rPr>
          <w:iCs/>
        </w:rPr>
        <w:t xml:space="preserve"> </w:t>
      </w:r>
      <w:r w:rsidR="00151F07">
        <w:t xml:space="preserve">and </w:t>
      </w:r>
      <w:r w:rsidR="009E519D">
        <w:t xml:space="preserve">its </w:t>
      </w:r>
      <w:r w:rsidR="00151F07">
        <w:t>high half-life relative to its selectivity (</w:t>
      </w:r>
      <w:r w:rsidR="00151F07">
        <w:rPr>
          <w:iCs/>
        </w:rPr>
        <w:t xml:space="preserve">30-40 </w:t>
      </w:r>
      <w:r w:rsidR="00151F07" w:rsidRPr="00CC41B8">
        <w:rPr>
          <w:rFonts w:ascii="Symbol" w:hAnsi="Symbol"/>
          <w:iCs/>
        </w:rPr>
        <w:t></w:t>
      </w:r>
      <w:r w:rsidR="00644720">
        <w:rPr>
          <w:iCs/>
        </w:rPr>
        <w:t>s</w:t>
      </w:r>
      <w:r w:rsidR="00151F07">
        <w:t xml:space="preserve">), wide range of pH tolerance and slow utilization of precursor oxidants </w:t>
      </w:r>
      <w:r w:rsidR="00151F07">
        <w:fldChar w:fldCharType="begin"/>
      </w:r>
      <w:r w:rsidR="00CB75E9">
        <w:instrText xml:space="preserve"> ADDIN EN.CITE &lt;EndNote&gt;&lt;Cite&gt;&lt;Author&gt;Li&lt;/Author&gt;&lt;Year&gt;2016&lt;/Year&gt;&lt;RecNum&gt;127&lt;/RecNum&gt;&lt;DisplayText&gt;(Li, Wan et al. 2016)&lt;/DisplayText&gt;&lt;record&gt;&lt;rec-number&gt;127&lt;/rec-number&gt;&lt;foreign-keys&gt;&lt;key app="EN" db-id="ap52awefuxaz96e9avq525ted0txrrx0zx2e" timestamp="1493087560"&gt;127&lt;/key&gt;&lt;/foreign-keys&gt;&lt;ref-type name="Journal Article"&gt;17&lt;/ref-type&gt;&lt;contributors&gt;&lt;authors&gt;&lt;author&gt;Li, H.&lt;/author&gt;&lt;author&gt;Wan, J.&lt;/author&gt;&lt;author&gt;Ma, Y.&lt;/author&gt;&lt;author&gt;Wang, Y.&lt;/author&gt;&lt;author&gt;Chen, X.&lt;/author&gt;&lt;author&gt;Guan, Z.&lt;/author&gt;&lt;/authors&gt;&lt;/contributors&gt;&lt;titles&gt;&lt;title&gt;Degradation of refractory dibutyl phthalate by peroxymonosulfate activated with novel catalysts cobalt metal-organic frameworks: Mechanism, performance, and stability&lt;/title&gt;&lt;secondary-title&gt;Journal of Hazardous Materials&lt;/secondary-title&gt;&lt;/titles&gt;&lt;periodical&gt;&lt;full-title&gt;Journal of Hazardous Materials&lt;/full-title&gt;&lt;/periodical&gt;&lt;pages&gt;154-163&lt;/pages&gt;&lt;volume&gt;318&lt;/volume&gt;&lt;dates&gt;&lt;year&gt;2016&lt;/year&gt;&lt;/dates&gt;&lt;work-type&gt;Article&lt;/work-type&gt;&lt;urls&gt;&lt;related-urls&gt;&lt;url&gt;https://www.scopus.com/inward/record.uri?eid=2-s2.0-84978039477&amp;amp;doi=10.1016%2fj.jhazmat.2016.06.058&amp;amp;partnerID=40&amp;amp;md5=b16a936f26cd5dae6eb79d36eb47ca27&lt;/url&gt;&lt;/related-urls&gt;&lt;/urls&gt;&lt;electronic-resource-num&gt;10.1016/j.jhazmat.2016.06.058&lt;/electronic-resource-num&gt;&lt;remote-database-name&gt;Scopus&lt;/remote-database-name&gt;&lt;/record&gt;&lt;/Cite&gt;&lt;/EndNote&gt;</w:instrText>
      </w:r>
      <w:r w:rsidR="00151F07">
        <w:fldChar w:fldCharType="separate"/>
      </w:r>
      <w:r w:rsidR="00CB75E9">
        <w:rPr>
          <w:noProof/>
        </w:rPr>
        <w:t>(</w:t>
      </w:r>
      <w:hyperlink w:anchor="_ENREF_8" w:tooltip="Li, 2016 #127" w:history="1">
        <w:r w:rsidR="00922ED7">
          <w:rPr>
            <w:noProof/>
          </w:rPr>
          <w:t>Li, Wan et al. 2016</w:t>
        </w:r>
      </w:hyperlink>
      <w:r w:rsidR="00CB75E9">
        <w:rPr>
          <w:noProof/>
        </w:rPr>
        <w:t>)</w:t>
      </w:r>
      <w:r w:rsidR="00151F07">
        <w:fldChar w:fldCharType="end"/>
      </w:r>
      <w:r w:rsidR="00151F07">
        <w:t xml:space="preserve">. </w:t>
      </w:r>
      <w:r w:rsidR="00151F07" w:rsidRPr="00AB4C42">
        <w:t>SO</w:t>
      </w:r>
      <w:r w:rsidR="00151F07" w:rsidRPr="00AB4C42">
        <w:rPr>
          <w:vertAlign w:val="subscript"/>
        </w:rPr>
        <w:t>4</w:t>
      </w:r>
      <w:r w:rsidR="00151F07" w:rsidRPr="00AB4C42">
        <w:rPr>
          <w:vertAlign w:val="superscript"/>
        </w:rPr>
        <w:t>•-</w:t>
      </w:r>
      <w:r w:rsidR="00151F07">
        <w:rPr>
          <w:vertAlign w:val="superscript"/>
        </w:rPr>
        <w:t xml:space="preserve"> </w:t>
      </w:r>
      <w:r w:rsidR="00151F07" w:rsidRPr="00A55C6A">
        <w:rPr>
          <w:iCs/>
        </w:rPr>
        <w:t xml:space="preserve">as a strong oxidant can be produced by activation of </w:t>
      </w:r>
      <w:r w:rsidR="00151F07">
        <w:rPr>
          <w:rFonts w:eastAsia="SimSun"/>
        </w:rPr>
        <w:t>p</w:t>
      </w:r>
      <w:r w:rsidR="00151F07" w:rsidRPr="00BD62A9">
        <w:rPr>
          <w:rFonts w:eastAsia="SimSun"/>
        </w:rPr>
        <w:t>eroxymonosulfate</w:t>
      </w:r>
      <w:r w:rsidR="00151F07" w:rsidRPr="00A55C6A">
        <w:rPr>
          <w:iCs/>
        </w:rPr>
        <w:t xml:space="preserve"> </w:t>
      </w:r>
      <w:r w:rsidR="00151F07">
        <w:rPr>
          <w:iCs/>
        </w:rPr>
        <w:t>(</w:t>
      </w:r>
      <w:r w:rsidR="00151F07" w:rsidRPr="00A55C6A">
        <w:rPr>
          <w:iCs/>
        </w:rPr>
        <w:t>PMS</w:t>
      </w:r>
      <w:r w:rsidR="00151F07">
        <w:rPr>
          <w:iCs/>
        </w:rPr>
        <w:t>)</w:t>
      </w:r>
      <w:r w:rsidR="00151F07" w:rsidRPr="00A55C6A">
        <w:rPr>
          <w:iCs/>
        </w:rPr>
        <w:t xml:space="preserve"> or </w:t>
      </w:r>
      <w:r w:rsidR="00151F07">
        <w:rPr>
          <w:iCs/>
        </w:rPr>
        <w:t>persulfate (</w:t>
      </w:r>
      <w:r w:rsidR="00151F07" w:rsidRPr="00A55C6A">
        <w:rPr>
          <w:iCs/>
        </w:rPr>
        <w:t>P</w:t>
      </w:r>
      <w:r w:rsidR="00151F07">
        <w:rPr>
          <w:iCs/>
        </w:rPr>
        <w:t>S)</w:t>
      </w:r>
      <w:r w:rsidR="00151F07" w:rsidRPr="00A55C6A">
        <w:rPr>
          <w:iCs/>
        </w:rPr>
        <w:t xml:space="preserve"> via scission of the peroxide O-O bond.</w:t>
      </w:r>
      <w:r w:rsidR="00151F07" w:rsidRPr="002A0369">
        <w:t xml:space="preserve"> </w:t>
      </w:r>
    </w:p>
    <w:p w14:paraId="62DFD797" w14:textId="2A7BCF08" w:rsidR="0011285E" w:rsidRPr="001E6015" w:rsidRDefault="006F62CA" w:rsidP="00B97791">
      <w:pPr>
        <w:pStyle w:val="CETBodytext"/>
      </w:pPr>
      <w:r w:rsidRPr="006F62CA">
        <w:t xml:space="preserve">Nitrogen-doped graphene (NG) as a metal-free carbon-based catalyst can activate PMS to enhance </w:t>
      </w:r>
      <w:r w:rsidR="006B6CAE">
        <w:t>the</w:t>
      </w:r>
      <w:r w:rsidRPr="006F62CA">
        <w:t xml:space="preserve"> degradation performance of recalcitrant organics without toxic transition metal leaching from metal</w:t>
      </w:r>
      <w:r w:rsidR="00592F55">
        <w:t>-</w:t>
      </w:r>
      <w:r w:rsidRPr="006F62CA">
        <w:t>activated PMS process (e.g., Co</w:t>
      </w:r>
      <w:r w:rsidRPr="00B55271">
        <w:rPr>
          <w:vertAlign w:val="superscript"/>
        </w:rPr>
        <w:t>2+</w:t>
      </w:r>
      <w:r w:rsidRPr="006F62CA">
        <w:t xml:space="preserve">/PMS), constant external energy supply for energy-based PMS activation process (e.g., UV/PMS, ultrasound/PMS or heat/PMS) and difficulty in separating and recovering homogeneous metal catalysts. Thermal annealing temperature plays a crucial role in the N doping content and N </w:t>
      </w:r>
      <w:r w:rsidR="00592F55">
        <w:t xml:space="preserve">bonding </w:t>
      </w:r>
      <w:r w:rsidRPr="006F62CA">
        <w:t xml:space="preserve">configuration </w:t>
      </w:r>
      <w:r w:rsidRPr="006F62CA">
        <w:fldChar w:fldCharType="begin"/>
      </w:r>
      <w:r w:rsidR="00CB75E9">
        <w:instrText xml:space="preserve"> ADDIN EN.CITE &lt;EndNote&gt;&lt;Cite&gt;&lt;Author&gt;Bai&lt;/Author&gt;&lt;Year&gt;2016&lt;/Year&gt;&lt;RecNum&gt;212&lt;/RecNum&gt;&lt;DisplayText&gt;(Bai, Shi et al. 2016)&lt;/DisplayText&gt;&lt;record&gt;&lt;rec-number&gt;212&lt;/rec-number&gt;&lt;foreign-keys&gt;&lt;key app="EN" db-id="ap52awefuxaz96e9avq525ted0txrrx0zx2e" timestamp="1493180779"&gt;212&lt;/key&gt;&lt;/foreign-keys&gt;&lt;ref-type name="Journal Article"&gt;17&lt;/ref-type&gt;&lt;contributors&gt;&lt;authors&gt;&lt;author&gt;Bai, X.&lt;/author&gt;&lt;author&gt;Shi, Y.&lt;/author&gt;&lt;author&gt;Guo, J.&lt;/author&gt;&lt;author&gt;Gao, L.&lt;/author&gt;&lt;author&gt;Wang, K.&lt;/author&gt;&lt;author&gt;Du, Y.&lt;/author&gt;&lt;author&gt;Ma, T.&lt;/author&gt;&lt;/authors&gt;&lt;/contributors&gt;&lt;titles&gt;&lt;title&gt;Catalytic activities enhanced by abundant structural defects and balanced N distribution of N-doped graphene in oxygen reduction reaction&lt;/title&gt;&lt;secondary-title&gt;Journal of Power Sources&lt;/secondary-title&gt;&lt;/titles&gt;&lt;periodical&gt;&lt;full-title&gt;Journal of Power Sources&lt;/full-title&gt;&lt;/periodical&gt;&lt;pages&gt;85-91&lt;/pages&gt;&lt;volume&gt;306&lt;/volume&gt;&lt;dates&gt;&lt;year&gt;2016&lt;/year&gt;&lt;/dates&gt;&lt;work-type&gt;Article&lt;/work-type&gt;&lt;urls&gt;&lt;related-urls&gt;&lt;url&gt;https://www.scopus.com/inward/record.uri?eid=2-s2.0-84949883135&amp;amp;doi=10.1016%2fj.jpowsour.2015.10.081&amp;amp;partnerID=40&amp;amp;md5=c464372e4bce9e05b2440857de6bdbdf&lt;/url&gt;&lt;/related-urls&gt;&lt;/urls&gt;&lt;electronic-resource-num&gt;10.1016/j.jpowsour.2015.10.081&lt;/electronic-resource-num&gt;&lt;remote-database-name&gt;Scopus&lt;/remote-database-name&gt;&lt;/record&gt;&lt;/Cite&gt;&lt;/EndNote&gt;</w:instrText>
      </w:r>
      <w:r w:rsidRPr="006F62CA">
        <w:fldChar w:fldCharType="separate"/>
      </w:r>
      <w:r w:rsidR="00CB75E9">
        <w:rPr>
          <w:noProof/>
        </w:rPr>
        <w:t>(</w:t>
      </w:r>
      <w:hyperlink w:anchor="_ENREF_1" w:tooltip="Bai, 2016 #212" w:history="1">
        <w:r w:rsidR="00922ED7">
          <w:rPr>
            <w:noProof/>
          </w:rPr>
          <w:t>Bai, Shi et al. 2016</w:t>
        </w:r>
      </w:hyperlink>
      <w:r w:rsidR="00CB75E9">
        <w:rPr>
          <w:noProof/>
        </w:rPr>
        <w:t>)</w:t>
      </w:r>
      <w:r w:rsidRPr="006F62CA">
        <w:fldChar w:fldCharType="end"/>
      </w:r>
      <w:r w:rsidRPr="006F62CA">
        <w:t xml:space="preserve">. </w:t>
      </w:r>
      <w:r w:rsidR="00B05AD1">
        <w:t>Urea has been reported to be a superior</w:t>
      </w:r>
      <w:r w:rsidR="00B05AD1" w:rsidRPr="006F62CA">
        <w:t xml:space="preserve"> nitrogen source </w:t>
      </w:r>
      <w:r w:rsidR="00B05AD1">
        <w:t xml:space="preserve">over </w:t>
      </w:r>
      <w:r w:rsidRPr="006F62CA">
        <w:t>melamine and ammonium nitrate</w:t>
      </w:r>
      <w:r w:rsidR="00B05AD1">
        <w:t xml:space="preserve"> </w:t>
      </w:r>
      <w:r w:rsidRPr="006F62CA">
        <w:fldChar w:fldCharType="begin"/>
      </w:r>
      <w:r w:rsidR="00CB75E9">
        <w:instrText xml:space="preserve"> ADDIN EN.CITE &lt;EndNote&gt;&lt;Cite&gt;&lt;Author&gt;Li&lt;/Author&gt;&lt;Year&gt;2017&lt;/Year&gt;&lt;RecNum&gt;113&lt;/RecNum&gt;&lt;DisplayText&gt;(Li, Duan et al. 2017)&lt;/DisplayText&gt;&lt;record&gt;&lt;rec-number&gt;113&lt;/rec-number&gt;&lt;foreign-keys&gt;&lt;key app="EN" db-id="ap52awefuxaz96e9avq525ted0txrrx0zx2e" timestamp="1487136826"&gt;113&lt;/key&gt;&lt;/foreign-keys&gt;&lt;ref-type name="Journal Article"&gt;17&lt;/ref-type&gt;&lt;contributors&gt;&lt;authors&gt;&lt;author&gt;Li, Degang&lt;/author&gt;&lt;author&gt;Duan, Xiaoguang&lt;/author&gt;&lt;author&gt;Sun, Hongqi&lt;/author&gt;&lt;author&gt;Kang, Jian&lt;/author&gt;&lt;author&gt;Zhang, Huayang&lt;/author&gt;&lt;author&gt;Tade, Moses O.&lt;/author&gt;&lt;author&gt;Wang, Shaobin&lt;/author&gt;&lt;/authors&gt;&lt;/contributors&gt;&lt;titles&gt;&lt;title&gt;Facile synthesis of nitrogen-doped graphene via low-temperature pyrolysis: The effects of precursors and annealing ambience on metal-free catalytic oxidation&lt;/title&gt;&lt;secondary-title&gt;Carbon&lt;/secondary-title&gt;&lt;/titles&gt;&lt;periodical&gt;&lt;full-title&gt;Carbon&lt;/full-title&gt;&lt;/periodical&gt;&lt;pages&gt;649-658&lt;/pages&gt;&lt;volume&gt;115&lt;/volume&gt;&lt;keywords&gt;&lt;keyword&gt;Catalytic oxidation&lt;/keyword&gt;&lt;keyword&gt;Nitrogen-doped graphene&lt;/keyword&gt;&lt;keyword&gt;Precursors&lt;/keyword&gt;&lt;keyword&gt;Singlet oxygen&lt;/keyword&gt;&lt;keyword&gt;Peroxymonosulfate&lt;/keyword&gt;&lt;/keywords&gt;&lt;dates&gt;&lt;year&gt;2017&lt;/year&gt;&lt;pub-dates&gt;&lt;date&gt;5//&lt;/date&gt;&lt;/pub-dates&gt;&lt;/dates&gt;&lt;isbn&gt;0008-6223&lt;/isbn&gt;&lt;urls&gt;&lt;related-urls&gt;&lt;url&gt;http://www.sciencedirect.com/science/article/pii/S0008622317300684&lt;/url&gt;&lt;/related-urls&gt;&lt;/urls&gt;&lt;electronic-resource-num&gt;http://dx.doi.org/10.1016/j.carbon.2017.01.058&lt;/electronic-resource-num&gt;&lt;/record&gt;&lt;/Cite&gt;&lt;/EndNote&gt;</w:instrText>
      </w:r>
      <w:r w:rsidRPr="006F62CA">
        <w:fldChar w:fldCharType="separate"/>
      </w:r>
      <w:r w:rsidR="00CB75E9">
        <w:rPr>
          <w:noProof/>
        </w:rPr>
        <w:t>(</w:t>
      </w:r>
      <w:hyperlink w:anchor="_ENREF_7" w:tooltip="Li, 2017 #113" w:history="1">
        <w:r w:rsidR="00922ED7">
          <w:rPr>
            <w:noProof/>
          </w:rPr>
          <w:t>Li, Duan et al. 2017</w:t>
        </w:r>
      </w:hyperlink>
      <w:r w:rsidR="00CB75E9">
        <w:rPr>
          <w:noProof/>
        </w:rPr>
        <w:t>)</w:t>
      </w:r>
      <w:r w:rsidRPr="006F62CA">
        <w:fldChar w:fldCharType="end"/>
      </w:r>
      <w:r w:rsidRPr="006F62CA">
        <w:t xml:space="preserve">. </w:t>
      </w:r>
      <w:r w:rsidR="004171A8">
        <w:t>Previous studies about</w:t>
      </w:r>
      <w:r w:rsidRPr="006F62CA">
        <w:t xml:space="preserve"> NG synthesized from urea under different synthesis temperatures </w:t>
      </w:r>
      <w:r w:rsidR="004171A8">
        <w:t xml:space="preserve">involve </w:t>
      </w:r>
      <w:r w:rsidRPr="006F62CA">
        <w:t xml:space="preserve">applications other than environmental remediation, such as oxygen reduction reaction </w:t>
      </w:r>
      <w:r w:rsidRPr="006F62CA">
        <w:fldChar w:fldCharType="begin"/>
      </w:r>
      <w:r w:rsidR="00CB75E9">
        <w:instrText xml:space="preserve"> ADDIN EN.CITE &lt;EndNote&gt;&lt;Cite&gt;&lt;Author&gt;Lin&lt;/Author&gt;&lt;Year&gt;2012&lt;/Year&gt;&lt;RecNum&gt;136&lt;/RecNum&gt;&lt;DisplayText&gt;(Lin, Waller et al. 2012)&lt;/DisplayText&gt;&lt;record&gt;&lt;rec-number&gt;136&lt;/rec-number&gt;&lt;foreign-keys&gt;&lt;key app="EN" db-id="ap52awefuxaz96e9avq525ted0txrrx0zx2e" timestamp="1493089737"&gt;136&lt;/key&gt;&lt;/foreign-keys&gt;&lt;ref-type name="Journal Article"&gt;17&lt;/ref-type&gt;&lt;contributors&gt;&lt;authors&gt;&lt;author&gt;Lin, Z.&lt;/author&gt;&lt;author&gt;Waller, G.&lt;/author&gt;&lt;author&gt;Liu, Y.&lt;/author&gt;&lt;author&gt;Liu, M.&lt;/author&gt;&lt;author&gt;Wong, C. P.&lt;/author&gt;&lt;/authors&gt;&lt;/contributors&gt;&lt;titles&gt;&lt;title&gt;Facile synthesis of nitrogen-doped graphene via pyrolysis of graphene oxide and urea, and its electrocatalytic activity toward the oxygen-reduction reaction&lt;/title&gt;&lt;secondary-title&gt;Advanced Energy Materials&lt;/secondary-title&gt;&lt;/titles&gt;&lt;periodical&gt;&lt;full-title&gt;Advanced Energy Materials&lt;/full-title&gt;&lt;/periodical&gt;&lt;pages&gt;884-888&lt;/pages&gt;&lt;volume&gt;2&lt;/volume&gt;&lt;number&gt;7&lt;/number&gt;&lt;dates&gt;&lt;year&gt;2012&lt;/year&gt;&lt;/dates&gt;&lt;work-type&gt;Article&lt;/work-type&gt;&lt;urls&gt;&lt;related-urls&gt;&lt;url&gt;https://www.scopus.com/inward/record.uri?eid=2-s2.0-84864970708&amp;amp;doi=10.1002%2faenm.201200038&amp;amp;partnerID=40&amp;amp;md5=81d3f20e9b7c43df9ace8899bf275b32&lt;/url&gt;&lt;/related-urls&gt;&lt;/urls&gt;&lt;electronic-resource-num&gt;10.1002/aenm.201200038&lt;/electronic-resource-num&gt;&lt;remote-database-name&gt;Scopus&lt;/remote-database-name&gt;&lt;/record&gt;&lt;/Cite&gt;&lt;/EndNote&gt;</w:instrText>
      </w:r>
      <w:r w:rsidRPr="006F62CA">
        <w:fldChar w:fldCharType="separate"/>
      </w:r>
      <w:r w:rsidR="00CB75E9">
        <w:rPr>
          <w:noProof/>
        </w:rPr>
        <w:t>(</w:t>
      </w:r>
      <w:hyperlink w:anchor="_ENREF_10" w:tooltip="Lin, 2012 #136" w:history="1">
        <w:r w:rsidR="00922ED7">
          <w:rPr>
            <w:noProof/>
          </w:rPr>
          <w:t>Lin, Waller et al. 2012</w:t>
        </w:r>
      </w:hyperlink>
      <w:r w:rsidR="00CB75E9">
        <w:rPr>
          <w:noProof/>
        </w:rPr>
        <w:t>)</w:t>
      </w:r>
      <w:r w:rsidRPr="006F62CA">
        <w:fldChar w:fldCharType="end"/>
      </w:r>
      <w:r w:rsidRPr="006F62CA">
        <w:t xml:space="preserve"> or just investigation of the electrical properties of NG </w:t>
      </w:r>
      <w:r w:rsidRPr="006F62CA">
        <w:fldChar w:fldCharType="begin"/>
      </w:r>
      <w:r w:rsidR="00CB75E9">
        <w:instrText xml:space="preserve"> ADDIN EN.CITE &lt;EndNote&gt;&lt;Cite&gt;&lt;Author&gt;Li&lt;/Author&gt;&lt;Year&gt;2012&lt;/Year&gt;&lt;RecNum&gt;283&lt;/RecNum&gt;&lt;DisplayText&gt;(Li, Yu et al. 2012)&lt;/DisplayText&gt;&lt;record&gt;&lt;rec-number&gt;283&lt;/rec-number&gt;&lt;foreign-keys&gt;&lt;key app="EN" db-id="ap52awefuxaz96e9avq525ted0txrrx0zx2e" timestamp="1493271368"&gt;283&lt;/key&gt;&lt;/foreign-keys&gt;&lt;ref-type name="Journal Article"&gt;17&lt;/ref-type&gt;&lt;contributors&gt;&lt;authors&gt;&lt;author&gt;Li, X. J.&lt;/author&gt;&lt;author&gt;Yu, X. X.&lt;/author&gt;&lt;author&gt;Liu, J. Y.&lt;/author&gt;&lt;author&gt;Fan, X. D.&lt;/author&gt;&lt;author&gt;Zhang, K.&lt;/author&gt;&lt;author&gt;Cai, H. B.&lt;/author&gt;&lt;author&gt;Pan, N.&lt;/author&gt;&lt;author&gt;Wang, X. P.&lt;/author&gt;&lt;/authors&gt;&lt;/contributors&gt;&lt;titles&gt;&lt;title&gt;Synthesis of nitrogen-doped graphene via thermal annealing graphene with urea&lt;/title&gt;&lt;secondary-title&gt;Chinese Journal of Chemical Physics&lt;/secondary-title&gt;&lt;/titles&gt;&lt;periodical&gt;&lt;full-title&gt;Chinese Journal of Chemical Physics&lt;/full-title&gt;&lt;/periodical&gt;&lt;pages&gt;325-329&lt;/pages&gt;&lt;volume&gt;25&lt;/volume&gt;&lt;number&gt;3&lt;/number&gt;&lt;dates&gt;&lt;year&gt;2012&lt;/year&gt;&lt;/dates&gt;&lt;work-type&gt;Article&lt;/work-type&gt;&lt;urls&gt;&lt;related-urls&gt;&lt;url&gt;https://www.scopus.com/inward/record.uri?eid=2-s2.0-84864411344&amp;amp;doi=10.1088%2f1674-0068%2f25%2f03%2f325-329&amp;amp;partnerID=40&amp;amp;md5=7ffcbd5a74fd63cd308212e126c59fb1&lt;/url&gt;&lt;/related-urls&gt;&lt;/urls&gt;&lt;electronic-resource-num&gt;10.1088/1674-0068/25/03/325-329&lt;/electronic-resource-num&gt;&lt;remote-database-name&gt;Scopus&lt;/remote-database-name&gt;&lt;/record&gt;&lt;/Cite&gt;&lt;/EndNote&gt;</w:instrText>
      </w:r>
      <w:r w:rsidRPr="006F62CA">
        <w:fldChar w:fldCharType="separate"/>
      </w:r>
      <w:r w:rsidR="00CB75E9">
        <w:rPr>
          <w:noProof/>
        </w:rPr>
        <w:t>(</w:t>
      </w:r>
      <w:hyperlink w:anchor="_ENREF_9" w:tooltip="Li, 2012 #283" w:history="1">
        <w:r w:rsidR="00922ED7">
          <w:rPr>
            <w:noProof/>
          </w:rPr>
          <w:t>Li, Yu et al. 2012</w:t>
        </w:r>
      </w:hyperlink>
      <w:r w:rsidR="00CB75E9">
        <w:rPr>
          <w:noProof/>
        </w:rPr>
        <w:t>)</w:t>
      </w:r>
      <w:r w:rsidRPr="006F62CA">
        <w:fldChar w:fldCharType="end"/>
      </w:r>
      <w:r w:rsidRPr="006F62CA">
        <w:t xml:space="preserve">. To the best of our knowledge, little information has been found about the effect of synthesis temperature on the catalytic performance of NG synthesized from urea as a nitrogen source for sulfacetamide </w:t>
      </w:r>
      <w:r w:rsidR="004C0ED9">
        <w:t xml:space="preserve">(SAM) </w:t>
      </w:r>
      <w:r w:rsidRPr="006F62CA">
        <w:t>degradation via PMS activation.</w:t>
      </w:r>
      <w:r w:rsidR="00B97791">
        <w:t xml:space="preserve"> </w:t>
      </w:r>
      <w:r w:rsidRPr="006F62CA">
        <w:t>Herein, a comprehensive investigation of the effect of thermal annealing temperature (400, 500, 600, 700 and 800</w:t>
      </w:r>
      <w:r w:rsidR="00644720">
        <w:t xml:space="preserve"> </w:t>
      </w:r>
      <w:r w:rsidRPr="006F62CA">
        <w:t xml:space="preserve">°C) on the composition, structure and the synergistic </w:t>
      </w:r>
      <w:r w:rsidR="004C0ED9">
        <w:t>SAM</w:t>
      </w:r>
      <w:r w:rsidRPr="006F62CA">
        <w:t xml:space="preserve"> adsorption and catalytic </w:t>
      </w:r>
      <w:r w:rsidRPr="006F62CA">
        <w:lastRenderedPageBreak/>
        <w:t xml:space="preserve">performance of NG synthesized from urea as a nitrogen source for </w:t>
      </w:r>
      <w:r w:rsidR="004C0ED9">
        <w:t>SAM</w:t>
      </w:r>
      <w:r w:rsidRPr="006F62CA">
        <w:t xml:space="preserve"> degradation via PMS activation was carried out.</w:t>
      </w:r>
    </w:p>
    <w:p w14:paraId="115EB4C0" w14:textId="272580CF" w:rsidR="00D76B33" w:rsidRPr="00D76B33" w:rsidRDefault="004B40BC" w:rsidP="00D76B33">
      <w:pPr>
        <w:pStyle w:val="CETHeading1"/>
        <w:tabs>
          <w:tab w:val="clear" w:pos="360"/>
          <w:tab w:val="right" w:pos="7100"/>
        </w:tabs>
        <w:jc w:val="both"/>
        <w:rPr>
          <w:lang w:val="en-GB"/>
        </w:rPr>
      </w:pPr>
      <w:r>
        <w:rPr>
          <w:lang w:val="en-GB"/>
        </w:rPr>
        <w:t>Experimental</w:t>
      </w:r>
    </w:p>
    <w:p w14:paraId="027B3A45" w14:textId="766E1820" w:rsidR="00316B49" w:rsidRDefault="00316B49" w:rsidP="00316B49">
      <w:pPr>
        <w:pStyle w:val="CETheadingx"/>
      </w:pPr>
      <w:r>
        <w:t xml:space="preserve">NG </w:t>
      </w:r>
      <w:r w:rsidR="009E25AB">
        <w:t>S</w:t>
      </w:r>
      <w:r>
        <w:t>ynthesis</w:t>
      </w:r>
    </w:p>
    <w:p w14:paraId="2EF09233" w14:textId="6332971D" w:rsidR="00316B49" w:rsidRDefault="005C3DDE" w:rsidP="00B97791">
      <w:pPr>
        <w:pStyle w:val="CETBodytext"/>
      </w:pPr>
      <w:r>
        <w:t>Graphene oxide (</w:t>
      </w:r>
      <w:r w:rsidR="00316B49">
        <w:t>GO</w:t>
      </w:r>
      <w:r>
        <w:t>)</w:t>
      </w:r>
      <w:r w:rsidR="00316B49" w:rsidRPr="00116C0C">
        <w:t xml:space="preserve"> w</w:t>
      </w:r>
      <w:r w:rsidR="00316B49">
        <w:t>as</w:t>
      </w:r>
      <w:r w:rsidR="00316B49" w:rsidRPr="00116C0C">
        <w:t xml:space="preserve"> prepared via </w:t>
      </w:r>
      <w:r w:rsidR="00316B49">
        <w:t>the modified Hummers’ method</w:t>
      </w:r>
      <w:r w:rsidR="00316B49">
        <w:rPr>
          <w:rFonts w:hint="eastAsia"/>
        </w:rPr>
        <w:t xml:space="preserve"> </w:t>
      </w:r>
      <w:r w:rsidR="00316B49">
        <w:fldChar w:fldCharType="begin"/>
      </w:r>
      <w:r w:rsidR="00BA00B9">
        <w:instrText xml:space="preserve"> ADDIN EN.CITE &lt;EndNote&gt;&lt;Cite&gt;&lt;Author&gt;Hummers Jr&lt;/Author&gt;&lt;Year&gt;1958&lt;/Year&gt;&lt;RecNum&gt;107&lt;/RecNum&gt;&lt;DisplayText&gt;(Hummers Jr and Offeman 1958)&lt;/DisplayText&gt;&lt;record&gt;&lt;rec-number&gt;107&lt;/rec-number&gt;&lt;foreign-keys&gt;&lt;key app="EN" db-id="ap52awefuxaz96e9avq525ted0txrrx0zx2e" timestamp="1460705298"&gt;107&lt;/key&gt;&lt;/foreign-keys&gt;&lt;ref-type name="Journal Article"&gt;17&lt;/ref-type&gt;&lt;contributors&gt;&lt;authors&gt;&lt;author&gt;Hummers Jr, W. S.&lt;/author&gt;&lt;author&gt;Offeman, R. E.&lt;/author&gt;&lt;/authors&gt;&lt;/contributors&gt;&lt;titles&gt;&lt;title&gt;Preparation of graphitic oxide&lt;/title&gt;&lt;secondary-title&gt;Journal of the American Chemical Society&lt;/secondary-title&gt;&lt;/titles&gt;&lt;periodical&gt;&lt;full-title&gt;Journal of the American Chemical Society&lt;/full-title&gt;&lt;/periodical&gt;&lt;pages&gt;1339&lt;/pages&gt;&lt;volume&gt;80&lt;/volume&gt;&lt;number&gt;6&lt;/number&gt;&lt;dates&gt;&lt;year&gt;1958&lt;/year&gt;&lt;/dates&gt;&lt;work-type&gt;Article&lt;/work-type&gt;&lt;urls&gt;&lt;related-urls&gt;&lt;url&gt;http://www.scopus.com/inward/record.url?eid=2-s2.0-33947461960&amp;amp;partnerID=40&amp;amp;md5=7c84f0ea8cde4e11dd9cb636a996b35d&lt;/url&gt;&lt;/related-urls&gt;&lt;/urls&gt;&lt;remote-database-name&gt;Scopus&lt;/remote-database-name&gt;&lt;/record&gt;&lt;/Cite&gt;&lt;/EndNote&gt;</w:instrText>
      </w:r>
      <w:r w:rsidR="00316B49">
        <w:fldChar w:fldCharType="separate"/>
      </w:r>
      <w:r w:rsidR="00BA00B9">
        <w:rPr>
          <w:noProof/>
        </w:rPr>
        <w:t>(</w:t>
      </w:r>
      <w:hyperlink w:anchor="_ENREF_6" w:tooltip="Hummers Jr, 1958 #107" w:history="1">
        <w:r w:rsidR="00922ED7">
          <w:rPr>
            <w:noProof/>
          </w:rPr>
          <w:t>Hummers Jr and Offeman 1958</w:t>
        </w:r>
      </w:hyperlink>
      <w:r w:rsidR="00BA00B9">
        <w:rPr>
          <w:noProof/>
        </w:rPr>
        <w:t>)</w:t>
      </w:r>
      <w:r w:rsidR="00316B49">
        <w:fldChar w:fldCharType="end"/>
      </w:r>
      <w:r w:rsidR="00316B49" w:rsidRPr="00116C0C">
        <w:t>.</w:t>
      </w:r>
      <w:r w:rsidR="00316B49" w:rsidRPr="00316B49">
        <w:t xml:space="preserve"> </w:t>
      </w:r>
      <w:r w:rsidR="00EF0149">
        <w:t xml:space="preserve">Generally, NG was prepared by thermal annealing of the dried mixture of 200 mg GO and 1 g urea at 400, 500, 600, 700 and 800 </w:t>
      </w:r>
      <w:r w:rsidR="00EF0149" w:rsidRPr="00A45EE4">
        <w:rPr>
          <w:color w:val="000000" w:themeColor="text1"/>
        </w:rPr>
        <w:t>°C</w:t>
      </w:r>
      <w:r w:rsidR="00EF0149">
        <w:t xml:space="preserve"> in the tubular furnace (N</w:t>
      </w:r>
      <w:r w:rsidR="00EF0149" w:rsidRPr="00EF0149">
        <w:rPr>
          <w:vertAlign w:val="subscript"/>
        </w:rPr>
        <w:t>2</w:t>
      </w:r>
      <w:r w:rsidR="00EF0149">
        <w:t xml:space="preserve">, 30 min, 5 </w:t>
      </w:r>
      <w:r w:rsidR="00EF0149" w:rsidRPr="00A45EE4">
        <w:rPr>
          <w:color w:val="000000" w:themeColor="text1"/>
        </w:rPr>
        <w:t>°C</w:t>
      </w:r>
      <w:r w:rsidR="00EF0149">
        <w:t xml:space="preserve"> min</w:t>
      </w:r>
      <w:r w:rsidR="00EF0149" w:rsidRPr="00E57334">
        <w:rPr>
          <w:vertAlign w:val="superscript"/>
        </w:rPr>
        <w:t>-1</w:t>
      </w:r>
      <w:r w:rsidR="00EF0149">
        <w:t xml:space="preserve">), respectively. </w:t>
      </w:r>
      <w:r w:rsidR="00316B49">
        <w:t xml:space="preserve">The final products </w:t>
      </w:r>
      <w:r w:rsidR="007F11DA">
        <w:t>(</w:t>
      </w:r>
      <w:r w:rsidR="00316B49">
        <w:t>washed by a large amount of water and absolute ethanol in sequence and then dried at 60</w:t>
      </w:r>
      <w:r w:rsidR="004837D1">
        <w:t xml:space="preserve"> </w:t>
      </w:r>
      <w:r w:rsidR="00316B49" w:rsidRPr="00A45EE4">
        <w:rPr>
          <w:color w:val="000000" w:themeColor="text1"/>
        </w:rPr>
        <w:t>°C</w:t>
      </w:r>
      <w:r w:rsidR="00316B49">
        <w:t xml:space="preserve"> in a vacuum oven overnight</w:t>
      </w:r>
      <w:r w:rsidR="007F11DA">
        <w:t>)</w:t>
      </w:r>
      <w:r w:rsidR="00316B49">
        <w:t xml:space="preserve"> were denoted as NG400, NG500, NG600, NG700 and NG800, respectively. </w:t>
      </w:r>
      <w:r w:rsidR="00860E86">
        <w:t xml:space="preserve">Reduced graphene oxide </w:t>
      </w:r>
      <w:r w:rsidR="00947FF9">
        <w:t>(</w:t>
      </w:r>
      <w:r w:rsidR="00316B49">
        <w:t>RGO600</w:t>
      </w:r>
      <w:r w:rsidR="00947FF9">
        <w:t>)</w:t>
      </w:r>
      <w:r w:rsidR="00316B49">
        <w:t xml:space="preserve"> was produced by the same procedure but without adding urea and calcined at 600</w:t>
      </w:r>
      <w:r w:rsidR="004837D1">
        <w:t xml:space="preserve"> </w:t>
      </w:r>
      <w:r w:rsidR="00316B49" w:rsidRPr="00A45EE4">
        <w:rPr>
          <w:color w:val="000000" w:themeColor="text1"/>
        </w:rPr>
        <w:t>°C</w:t>
      </w:r>
      <w:r w:rsidR="00316B49">
        <w:t xml:space="preserve"> in a </w:t>
      </w:r>
      <w:r w:rsidR="00111D0A">
        <w:t>N</w:t>
      </w:r>
      <w:r w:rsidR="00111D0A" w:rsidRPr="00984C4A">
        <w:rPr>
          <w:vertAlign w:val="subscript"/>
        </w:rPr>
        <w:t>2</w:t>
      </w:r>
      <w:r w:rsidR="00316B49">
        <w:t xml:space="preserve"> atmosphere.</w:t>
      </w:r>
      <w:r w:rsidR="000837C5" w:rsidRPr="000837C5">
        <w:t xml:space="preserve"> </w:t>
      </w:r>
      <w:r w:rsidR="000837C5" w:rsidRPr="00316B49">
        <w:t>All the chemicals were of analytical grade (AR) and used without further purification.</w:t>
      </w:r>
    </w:p>
    <w:p w14:paraId="758CE3E3" w14:textId="47B33A1F" w:rsidR="004042CE" w:rsidRDefault="00A156D0" w:rsidP="004042CE">
      <w:pPr>
        <w:pStyle w:val="CETheadingx"/>
      </w:pPr>
      <w:r>
        <w:t>Characterization</w:t>
      </w:r>
    </w:p>
    <w:p w14:paraId="3871BC2A" w14:textId="24DA479C" w:rsidR="00144DED" w:rsidRPr="00144DED" w:rsidRDefault="00144DED" w:rsidP="00144DED">
      <w:pPr>
        <w:pStyle w:val="CETBodytext"/>
      </w:pPr>
      <w:r>
        <w:t xml:space="preserve">The characterization was done by </w:t>
      </w:r>
      <w:r w:rsidRPr="00A156D0">
        <w:t>X-ray diffraction (XRD, Bruker D8 Advance)</w:t>
      </w:r>
      <w:r>
        <w:t xml:space="preserve">, </w:t>
      </w:r>
      <w:r w:rsidRPr="00A156D0">
        <w:t>field emission scanning electron microscopy (FESEM, JEOL JSM-7600F)</w:t>
      </w:r>
      <w:r w:rsidRPr="00A156D0">
        <w:rPr>
          <w:rFonts w:hint="eastAsia"/>
        </w:rPr>
        <w:t xml:space="preserve"> and</w:t>
      </w:r>
      <w:r w:rsidRPr="00A156D0">
        <w:t xml:space="preserve"> </w:t>
      </w:r>
      <w:r w:rsidRPr="00A156D0">
        <w:rPr>
          <w:rFonts w:eastAsia="SimSun"/>
        </w:rPr>
        <w:t>transmission electron microscopy</w:t>
      </w:r>
      <w:r w:rsidRPr="00A156D0">
        <w:t xml:space="preserve"> (TEM, JEOL JEM-2010)</w:t>
      </w:r>
      <w:r>
        <w:t xml:space="preserve">, </w:t>
      </w:r>
      <w:r w:rsidRPr="00A156D0">
        <w:t>Quantachrome Autosorb-1 analyzer (77K)</w:t>
      </w:r>
      <w:r>
        <w:t xml:space="preserve"> for </w:t>
      </w:r>
      <w:r w:rsidRPr="00A156D0">
        <w:t xml:space="preserve">specific surface area </w:t>
      </w:r>
      <w:r>
        <w:t xml:space="preserve">(SSA) </w:t>
      </w:r>
      <w:r w:rsidRPr="00A156D0">
        <w:t>and pore size distribution</w:t>
      </w:r>
      <w:r>
        <w:t xml:space="preserve">, </w:t>
      </w:r>
      <w:r w:rsidRPr="00A156D0">
        <w:t>Fourier transform infra-red spectra (FTIR</w:t>
      </w:r>
      <w:r>
        <w:t xml:space="preserve">, </w:t>
      </w:r>
      <w:r w:rsidRPr="00A156D0">
        <w:t>PerkinElmer GX FTIR system)</w:t>
      </w:r>
      <w:r>
        <w:t xml:space="preserve">, </w:t>
      </w:r>
      <w:r w:rsidRPr="00A156D0">
        <w:t>X-ray photoelectron spectroscopy (XPS</w:t>
      </w:r>
      <w:r>
        <w:t xml:space="preserve">, </w:t>
      </w:r>
      <w:r w:rsidRPr="00A156D0">
        <w:t>Kratos Axis Supra spectrophotometer)</w:t>
      </w:r>
      <w:r>
        <w:t xml:space="preserve">, </w:t>
      </w:r>
      <w:r w:rsidR="00742AF2">
        <w:t xml:space="preserve">a </w:t>
      </w:r>
      <w:r w:rsidRPr="00A156D0">
        <w:t>PerkinElmer Series II 2400 CHNS/O analyzer</w:t>
      </w:r>
      <w:r>
        <w:t xml:space="preserve"> and </w:t>
      </w:r>
      <w:r w:rsidRPr="00A156D0">
        <w:t>a LabRAM ARAMIS Horiba Jobin Yvon instrument with a 532-nm wavelength laser</w:t>
      </w:r>
      <w:r>
        <w:t xml:space="preserve"> for Raman spectra.</w:t>
      </w:r>
    </w:p>
    <w:p w14:paraId="2D8C8070" w14:textId="7BB8C1CB" w:rsidR="00222F79" w:rsidRDefault="00222F79" w:rsidP="00222F79">
      <w:pPr>
        <w:pStyle w:val="CETheadingx"/>
      </w:pPr>
      <w:r>
        <w:t xml:space="preserve">Adsorption and Catalysis </w:t>
      </w:r>
      <w:r w:rsidR="009E25AB">
        <w:t>E</w:t>
      </w:r>
      <w:r>
        <w:t>valuation</w:t>
      </w:r>
    </w:p>
    <w:p w14:paraId="4E1FB43D" w14:textId="4EE348A9" w:rsidR="00F859F8" w:rsidRPr="00E76BAA" w:rsidRDefault="00F859F8" w:rsidP="00B97791">
      <w:pPr>
        <w:rPr>
          <w:lang w:val="en-US"/>
        </w:rPr>
      </w:pPr>
      <w:r w:rsidRPr="00F859F8">
        <w:t xml:space="preserve">The catalytic performance of NG via PMS activation was evaluated through </w:t>
      </w:r>
      <w:r w:rsidR="004C0ED9">
        <w:t>SAM</w:t>
      </w:r>
      <w:r w:rsidRPr="00F859F8">
        <w:t xml:space="preserve"> degradation. The reaction took place in a 100-mL beaker with 50 mL </w:t>
      </w:r>
      <w:r w:rsidR="004C0ED9">
        <w:t>SAM</w:t>
      </w:r>
      <w:r w:rsidRPr="00F859F8">
        <w:t xml:space="preserve"> solution (10 mg L</w:t>
      </w:r>
      <w:r w:rsidRPr="00F859F8">
        <w:rPr>
          <w:vertAlign w:val="superscript"/>
        </w:rPr>
        <w:t>-1</w:t>
      </w:r>
      <w:r w:rsidRPr="00F859F8">
        <w:t>), catalyst loading (0.2 g L</w:t>
      </w:r>
      <w:r w:rsidRPr="00F859F8">
        <w:rPr>
          <w:vertAlign w:val="superscript"/>
        </w:rPr>
        <w:t>-1</w:t>
      </w:r>
      <w:r w:rsidRPr="00F859F8">
        <w:t xml:space="preserve">) </w:t>
      </w:r>
      <w:r w:rsidRPr="00E36321">
        <w:rPr>
          <w:rStyle w:val="CETBodytextCarattere"/>
        </w:rPr>
        <w:t>and PMS dosage (0.5 mM</w:t>
      </w:r>
      <w:r w:rsidRPr="00E36321">
        <w:rPr>
          <w:rStyle w:val="CETBodytextCarattere"/>
          <w:rFonts w:hint="eastAsia"/>
        </w:rPr>
        <w:t xml:space="preserve"> PMS</w:t>
      </w:r>
      <w:r w:rsidRPr="00E36321">
        <w:rPr>
          <w:rStyle w:val="CETBodytextCarattere"/>
        </w:rPr>
        <w:t xml:space="preserve">, which is commercially available in Oxone) and initial pH was adjusted to 7 with 1M NaOH. 0.5 mL of the aliquot was withdrawn at the designated time intervals and filtered through 0.45 </w:t>
      </w:r>
      <w:r w:rsidRPr="000731CE">
        <w:rPr>
          <w:rStyle w:val="CETBodytextCarattere"/>
          <w:rFonts w:ascii="Symbol" w:hAnsi="Symbol"/>
        </w:rPr>
        <w:t></w:t>
      </w:r>
      <w:r w:rsidRPr="00E36321">
        <w:rPr>
          <w:rStyle w:val="CETBodytextCarattere"/>
        </w:rPr>
        <w:t xml:space="preserve">m membrane and injected into a vial, followed by adding 0.5 mL methanol as a quenching agent. Then the </w:t>
      </w:r>
      <w:r w:rsidR="004C0ED9">
        <w:rPr>
          <w:rStyle w:val="CETBodytextCarattere"/>
        </w:rPr>
        <w:t>SAM</w:t>
      </w:r>
      <w:r w:rsidRPr="00E36321">
        <w:rPr>
          <w:rStyle w:val="CETBodytextCarattere"/>
        </w:rPr>
        <w:t xml:space="preserve"> concentration was measured by high-performance liquid chromatography (HPLC, PerkinElmer) </w:t>
      </w:r>
      <w:r w:rsidR="00F40862">
        <w:rPr>
          <w:rStyle w:val="CETBodytextCarattere"/>
        </w:rPr>
        <w:t xml:space="preserve">(methanol: water = 6: 4, </w:t>
      </w:r>
      <w:r w:rsidR="00F40862" w:rsidRPr="00E36321">
        <w:rPr>
          <w:rStyle w:val="CETBodytextCarattere"/>
        </w:rPr>
        <w:t>0.6 mL min</w:t>
      </w:r>
      <w:r w:rsidR="00F40862" w:rsidRPr="00E36321">
        <w:rPr>
          <w:rStyle w:val="CETBodytextCarattere"/>
          <w:vertAlign w:val="superscript"/>
        </w:rPr>
        <w:t>-1</w:t>
      </w:r>
      <w:r w:rsidR="00F40862">
        <w:rPr>
          <w:rStyle w:val="CETBodytextCarattere"/>
        </w:rPr>
        <w:t xml:space="preserve">, </w:t>
      </w:r>
      <w:r w:rsidR="00F40862" w:rsidRPr="00E36321">
        <w:rPr>
          <w:rStyle w:val="CETBodytextCarattere"/>
        </w:rPr>
        <w:t>isocratic</w:t>
      </w:r>
      <w:r w:rsidR="00DD0B40">
        <w:rPr>
          <w:rStyle w:val="CETBodytextCarattere"/>
        </w:rPr>
        <w:t xml:space="preserve">, UV </w:t>
      </w:r>
      <m:oMath>
        <m:r>
          <w:rPr>
            <w:rStyle w:val="CETBodytextCarattere"/>
            <w:rFonts w:ascii="Cambria Math" w:hAnsi="Cambria Math"/>
          </w:rPr>
          <m:t>λ</m:t>
        </m:r>
      </m:oMath>
      <w:r w:rsidR="00DD0B40" w:rsidRPr="00E36321">
        <w:rPr>
          <w:rStyle w:val="CETBodytextCarattere"/>
          <w:vertAlign w:val="subscript"/>
        </w:rPr>
        <w:t>max</w:t>
      </w:r>
      <w:r w:rsidR="00DD0B40" w:rsidRPr="00E36321">
        <w:rPr>
          <w:rStyle w:val="CETBodytextCarattere"/>
        </w:rPr>
        <w:t xml:space="preserve"> = 256 nm</w:t>
      </w:r>
      <w:r w:rsidR="00F40862">
        <w:rPr>
          <w:rStyle w:val="CETBodytextCarattere"/>
        </w:rPr>
        <w:t>).</w:t>
      </w:r>
      <w:r w:rsidRPr="00E36321">
        <w:rPr>
          <w:rStyle w:val="CETBodytextCarattere"/>
        </w:rPr>
        <w:t xml:space="preserve"> Reverse phase column (Hypersil Gold, 150 mm</w:t>
      </w:r>
      <w:r w:rsidRPr="00E36321">
        <w:rPr>
          <w:rStyle w:val="CETBodytextCarattere"/>
          <w:rFonts w:hint="eastAsia"/>
        </w:rPr>
        <w:t xml:space="preserve"> </w:t>
      </w:r>
      <w:r w:rsidRPr="00E36321">
        <w:rPr>
          <w:rStyle w:val="CETBodytextCarattere"/>
        </w:rPr>
        <w:t>×</w:t>
      </w:r>
      <w:r w:rsidRPr="00E36321">
        <w:rPr>
          <w:rStyle w:val="CETBodytextCarattere"/>
          <w:rFonts w:hint="eastAsia"/>
        </w:rPr>
        <w:t xml:space="preserve"> </w:t>
      </w:r>
      <w:r w:rsidRPr="00E36321">
        <w:rPr>
          <w:rStyle w:val="CETBodytextCarattere"/>
        </w:rPr>
        <w:t>4.6 mm × 5</w:t>
      </w:r>
      <m:oMath>
        <m:r>
          <w:rPr>
            <w:rStyle w:val="CETBodytextCarattere"/>
            <w:rFonts w:ascii="Cambria Math" w:hAnsi="Cambria Math"/>
          </w:rPr>
          <m:t xml:space="preserve"> </m:t>
        </m:r>
      </m:oMath>
      <w:r w:rsidRPr="00E36321">
        <w:rPr>
          <w:rStyle w:val="CETBodytextCarattere"/>
          <w:rFonts w:ascii="Symbol" w:hAnsi="Symbol"/>
        </w:rPr>
        <w:t></w:t>
      </w:r>
      <w:r w:rsidRPr="00E36321">
        <w:rPr>
          <w:rStyle w:val="CETBodytextCarattere"/>
        </w:rPr>
        <w:t xml:space="preserve">m) was employed. The adsorption experiment was conducted following the same procedure without adding PMS. Phenol, </w:t>
      </w:r>
      <w:r w:rsidR="00E36321" w:rsidRPr="00E36321">
        <w:rPr>
          <w:rStyle w:val="CETBodytextCarattere"/>
        </w:rPr>
        <w:t xml:space="preserve">sodium perchlorate </w:t>
      </w:r>
      <w:r w:rsidR="00E36321">
        <w:rPr>
          <w:rStyle w:val="CETBodytextCarattere"/>
        </w:rPr>
        <w:t>(</w:t>
      </w:r>
      <w:r w:rsidRPr="00E36321">
        <w:rPr>
          <w:rStyle w:val="CETBodytextCarattere"/>
        </w:rPr>
        <w:t>NaClO</w:t>
      </w:r>
      <w:r w:rsidRPr="00E36321">
        <w:rPr>
          <w:rStyle w:val="CETBodytextCarattere"/>
          <w:vertAlign w:val="subscript"/>
        </w:rPr>
        <w:t>4</w:t>
      </w:r>
      <w:r w:rsidR="00E36321" w:rsidRPr="00E36321">
        <w:rPr>
          <w:rStyle w:val="CETBodytextCarattere"/>
        </w:rPr>
        <w:t>)</w:t>
      </w:r>
      <w:r w:rsidRPr="00E36321">
        <w:rPr>
          <w:rStyle w:val="CETBodytextCarattere"/>
        </w:rPr>
        <w:t xml:space="preserve"> and nitrobenzene</w:t>
      </w:r>
      <w:r w:rsidR="000F4A69">
        <w:rPr>
          <w:rStyle w:val="CETBodytextCarattere"/>
        </w:rPr>
        <w:t xml:space="preserve"> (NB)</w:t>
      </w:r>
      <w:r w:rsidRPr="00E36321">
        <w:rPr>
          <w:rStyle w:val="CETBodytextCarattere"/>
        </w:rPr>
        <w:t xml:space="preserve"> were selected as quenching agents to investigate the possible </w:t>
      </w:r>
      <w:r w:rsidR="000F4A69">
        <w:rPr>
          <w:rStyle w:val="CETBodytextCarattere"/>
        </w:rPr>
        <w:t>catalytic</w:t>
      </w:r>
      <w:r w:rsidRPr="00E36321">
        <w:rPr>
          <w:rStyle w:val="CETBodytextCarattere"/>
        </w:rPr>
        <w:t xml:space="preserve"> mechanism in the NG/PMS system.</w:t>
      </w:r>
      <w:r w:rsidR="00484C50" w:rsidRPr="00E36321">
        <w:rPr>
          <w:rStyle w:val="CETBodytextCarattere"/>
        </w:rPr>
        <w:t xml:space="preserve"> </w:t>
      </w:r>
    </w:p>
    <w:p w14:paraId="2643C0E3" w14:textId="416FE676" w:rsidR="00D17489" w:rsidRPr="00D76B33" w:rsidRDefault="00D17489" w:rsidP="00D17489">
      <w:pPr>
        <w:pStyle w:val="CETHeading1"/>
        <w:tabs>
          <w:tab w:val="clear" w:pos="360"/>
          <w:tab w:val="right" w:pos="7100"/>
        </w:tabs>
        <w:jc w:val="both"/>
        <w:rPr>
          <w:lang w:val="en-GB"/>
        </w:rPr>
      </w:pPr>
      <w:r>
        <w:rPr>
          <w:lang w:val="en-GB"/>
        </w:rPr>
        <w:t>Results and Discussion</w:t>
      </w:r>
    </w:p>
    <w:p w14:paraId="0F08CA99" w14:textId="7F8AF213" w:rsidR="000837C5" w:rsidRDefault="000837C5" w:rsidP="000837C5">
      <w:pPr>
        <w:pStyle w:val="CETheadingx"/>
      </w:pPr>
      <w:r>
        <w:t>Characteristics of NG</w:t>
      </w:r>
    </w:p>
    <w:p w14:paraId="0EC88D5B" w14:textId="12B4949B" w:rsidR="00B97791" w:rsidRPr="007723BC" w:rsidRDefault="00821072" w:rsidP="00B97791">
      <w:pPr>
        <w:pStyle w:val="CETBodytext"/>
      </w:pPr>
      <w:r w:rsidRPr="00821072">
        <w:t xml:space="preserve">As shown in </w:t>
      </w:r>
      <w:r w:rsidR="00924A7B">
        <w:t xml:space="preserve">FESEM images of </w:t>
      </w:r>
      <w:r w:rsidR="00B97791">
        <w:t>Figure</w:t>
      </w:r>
      <w:r w:rsidRPr="00DC416F">
        <w:t xml:space="preserve"> 1</w:t>
      </w:r>
      <w:r w:rsidR="00455569" w:rsidRPr="00DC416F">
        <w:t>(a) - (c)</w:t>
      </w:r>
      <w:r w:rsidRPr="00DC416F">
        <w:rPr>
          <w:rFonts w:hint="eastAsia"/>
        </w:rPr>
        <w:t>,</w:t>
      </w:r>
      <w:r w:rsidRPr="00821072">
        <w:t xml:space="preserve"> the folding and exfoliation level of RGO600 </w:t>
      </w:r>
      <w:r w:rsidR="00A240E1">
        <w:t>wa</w:t>
      </w:r>
      <w:r w:rsidRPr="00821072">
        <w:t xml:space="preserve">s increased compared to GO with a smooth, wave-like structure. By contrast, </w:t>
      </w:r>
      <w:r w:rsidR="00A240E1">
        <w:t>NG was</w:t>
      </w:r>
      <w:r w:rsidRPr="00821072">
        <w:t xml:space="preserve"> found to be more exfoliated, partially compacted and crumpled at the end of the doped graphitic sheets deriving from the defective sites caused by nitrogen doping. TEM images</w:t>
      </w:r>
      <w:r w:rsidR="00112F75">
        <w:t xml:space="preserve"> (Figure</w:t>
      </w:r>
      <w:r w:rsidR="00112F75" w:rsidRPr="00DC416F">
        <w:t xml:space="preserve"> 1(d) - (f)</w:t>
      </w:r>
      <w:r w:rsidR="00112F75">
        <w:t>)</w:t>
      </w:r>
      <w:r w:rsidRPr="00821072">
        <w:t xml:space="preserve"> reveal that NG still maintain</w:t>
      </w:r>
      <w:r w:rsidR="00A240E1">
        <w:t>ed</w:t>
      </w:r>
      <w:r w:rsidRPr="00821072">
        <w:t xml:space="preserve"> the characteristic two-dimensional planar structure of graphene after nitrogen doping, albeit with more wrinkles at the end of graphitic sheets.</w:t>
      </w:r>
      <w:r w:rsidR="00B97791">
        <w:t xml:space="preserve"> </w:t>
      </w:r>
      <w:r w:rsidR="00566BB0">
        <w:t>As</w:t>
      </w:r>
      <w:r w:rsidR="00B97791">
        <w:t xml:space="preserve"> shown in Figure</w:t>
      </w:r>
      <w:r w:rsidR="00B97791" w:rsidRPr="00DC416F">
        <w:t xml:space="preserve"> 2</w:t>
      </w:r>
      <w:r w:rsidR="00B97791">
        <w:t>(a)</w:t>
      </w:r>
      <w:r w:rsidR="00B97791" w:rsidRPr="00DC416F">
        <w:t>.</w:t>
      </w:r>
      <w:r w:rsidR="00B97791">
        <w:t xml:space="preserve"> From NG400 to NG800, O/C ratio decreased as the annealing temperature increased, suggesting an enhancement of reduction level with increasing temperature due to </w:t>
      </w:r>
      <w:r w:rsidR="00043ACA">
        <w:t>more deoxygenation</w:t>
      </w:r>
      <w:r w:rsidR="00B97791">
        <w:t xml:space="preserve"> under higher annealing temperature.</w:t>
      </w:r>
      <w:r w:rsidR="00E80184">
        <w:t xml:space="preserve"> </w:t>
      </w:r>
      <w:r w:rsidR="00B97791">
        <w:t xml:space="preserve">While a decreasing trend of N/C ratio was observed as the annealing temperature increased from 400 </w:t>
      </w:r>
      <w:r w:rsidR="00B97791" w:rsidRPr="00A45EE4">
        <w:rPr>
          <w:color w:val="000000" w:themeColor="text1"/>
        </w:rPr>
        <w:t>°C</w:t>
      </w:r>
      <w:r w:rsidR="00B97791">
        <w:t xml:space="preserve"> to 800 </w:t>
      </w:r>
      <w:r w:rsidR="00B97791" w:rsidRPr="00A45EE4">
        <w:rPr>
          <w:color w:val="000000" w:themeColor="text1"/>
        </w:rPr>
        <w:t>°C</w:t>
      </w:r>
      <w:r w:rsidR="00B97791">
        <w:t xml:space="preserve">, owing to the scission of C-N bond under higher annealing temperature or the desorption of amine and amide from NG. </w:t>
      </w:r>
    </w:p>
    <w:p w14:paraId="75E5E6D0" w14:textId="742D52E3" w:rsidR="00821072" w:rsidRDefault="00455569" w:rsidP="00B01816">
      <w:pPr>
        <w:pStyle w:val="CETBodytext"/>
        <w:jc w:val="left"/>
      </w:pPr>
      <w:r>
        <w:rPr>
          <w:rFonts w:ascii="Times New Roman" w:hAnsi="Times New Roman"/>
          <w:noProof/>
          <w:lang w:eastAsia="zh-CN"/>
        </w:rPr>
        <w:drawing>
          <wp:inline distT="0" distB="0" distL="0" distR="0" wp14:anchorId="09D1B725" wp14:editId="73570C9E">
            <wp:extent cx="1840091" cy="1160060"/>
            <wp:effectExtent l="0" t="0" r="825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6-29 at 5.15.53 P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5826" cy="116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9C84" w14:textId="05FB6B5C" w:rsidR="00455569" w:rsidRDefault="00455569" w:rsidP="00B97791">
      <w:pPr>
        <w:pStyle w:val="CETCaption"/>
        <w:spacing w:after="120"/>
      </w:pPr>
      <w:r w:rsidRPr="00B57B36">
        <w:t xml:space="preserve">Figure 1: </w:t>
      </w:r>
      <w:r w:rsidRPr="00052112">
        <w:t>FESEM images of GO (a), RGO600 (b)</w:t>
      </w:r>
      <w:r>
        <w:t xml:space="preserve"> and</w:t>
      </w:r>
      <w:r w:rsidRPr="00052112">
        <w:t xml:space="preserve"> NG</w:t>
      </w:r>
      <w:r>
        <w:t>600 (c).</w:t>
      </w:r>
      <w:r w:rsidRPr="00052112">
        <w:t xml:space="preserve"> T</w:t>
      </w:r>
      <w:r>
        <w:t>EM images of GO (d), RGO600 (e) and</w:t>
      </w:r>
      <w:r w:rsidRPr="00052112">
        <w:t xml:space="preserve"> NG</w:t>
      </w:r>
      <w:r>
        <w:t>6</w:t>
      </w:r>
      <w:r w:rsidRPr="00052112">
        <w:t>00 (</w:t>
      </w:r>
      <w:r>
        <w:t>f</w:t>
      </w:r>
      <w:r w:rsidRPr="00052112">
        <w:t>)</w:t>
      </w:r>
      <w:r>
        <w:t>.</w:t>
      </w:r>
    </w:p>
    <w:p w14:paraId="75726AAD" w14:textId="0DA9AFC8" w:rsidR="003209BE" w:rsidRDefault="007723BC" w:rsidP="00B97791">
      <w:pPr>
        <w:pStyle w:val="CETBodytext"/>
        <w:rPr>
          <w:i/>
        </w:rPr>
      </w:pPr>
      <w:r>
        <w:rPr>
          <w:rFonts w:ascii="Times New Roman" w:hAnsi="Times New Roman"/>
          <w:noProof/>
          <w:sz w:val="20"/>
          <w:lang w:eastAsia="zh-CN"/>
        </w:rPr>
        <w:lastRenderedPageBreak/>
        <w:drawing>
          <wp:inline distT="0" distB="0" distL="0" distR="0" wp14:anchorId="34D002F5" wp14:editId="5B946FC7">
            <wp:extent cx="2279176" cy="1678675"/>
            <wp:effectExtent l="0" t="0" r="6985" b="0"/>
            <wp:docPr id="60" name="图片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N O ratio.png"/>
                    <pic:cNvPicPr preferRelativeResize="0"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8" t="7927" r="9250" b="-1"/>
                    <a:stretch/>
                  </pic:blipFill>
                  <pic:spPr bwMode="auto">
                    <a:xfrm>
                      <a:off x="0" y="0"/>
                      <a:ext cx="2321781" cy="171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  <w:r w:rsidR="00672021">
        <w:rPr>
          <w:rFonts w:ascii="Times New Roman" w:hAnsi="Times New Roman"/>
          <w:noProof/>
          <w:lang w:eastAsia="zh-CN"/>
        </w:rPr>
        <w:t xml:space="preserve">        </w:t>
      </w:r>
      <w:r>
        <w:rPr>
          <w:rFonts w:ascii="Times New Roman" w:hAnsi="Times New Roman"/>
          <w:noProof/>
          <w:lang w:eastAsia="zh-CN"/>
        </w:rPr>
        <w:drawing>
          <wp:inline distT="0" distB="0" distL="0" distR="0" wp14:anchorId="5F7D5A17" wp14:editId="6BB967E6">
            <wp:extent cx="2272352" cy="1624084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 bonding.png"/>
                    <pic:cNvPicPr preferRelativeResize="0"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0" t="9336" r="9707" b="1909"/>
                    <a:stretch/>
                  </pic:blipFill>
                  <pic:spPr bwMode="auto">
                    <a:xfrm>
                      <a:off x="0" y="0"/>
                      <a:ext cx="2327460" cy="166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CF202" w14:textId="118977D9" w:rsidR="007723BC" w:rsidRPr="001F3513" w:rsidRDefault="007723BC" w:rsidP="001F3513">
      <w:pPr>
        <w:pStyle w:val="CETCaption"/>
      </w:pPr>
      <w:r w:rsidRPr="001F3513">
        <w:t xml:space="preserve">Figure </w:t>
      </w:r>
      <w:r w:rsidR="00BE0CE9" w:rsidRPr="001F3513">
        <w:t>2</w:t>
      </w:r>
      <w:r w:rsidRPr="001F3513">
        <w:t>: (a) Variation of nitrogen and oxygen contents in NGs with the annealing temperature. (b) Variation of total N, pyridinic N, pyrrolic N, graphitic N and nitric oxide contents with the annealing temperature.</w:t>
      </w:r>
    </w:p>
    <w:p w14:paraId="3DE4153F" w14:textId="1BDE71B3" w:rsidR="001F3513" w:rsidRPr="00A9716B" w:rsidRDefault="00072FCD" w:rsidP="00B97791">
      <w:pPr>
        <w:pStyle w:val="CETBodytext"/>
      </w:pPr>
      <w:r>
        <w:t>According to XPS results</w:t>
      </w:r>
      <w:r w:rsidR="004B4E30" w:rsidRPr="00DC416F">
        <w:t xml:space="preserve"> in </w:t>
      </w:r>
      <w:r w:rsidR="00B97791">
        <w:t>Figure</w:t>
      </w:r>
      <w:r>
        <w:t xml:space="preserve"> </w:t>
      </w:r>
      <w:r w:rsidRPr="00DC416F">
        <w:t>3</w:t>
      </w:r>
      <w:r w:rsidRPr="00072FCD">
        <w:t xml:space="preserve"> </w:t>
      </w:r>
      <w:r>
        <w:t>and</w:t>
      </w:r>
      <w:r w:rsidRPr="00DC416F">
        <w:t xml:space="preserve"> </w:t>
      </w:r>
      <w:r w:rsidR="00B97791">
        <w:t>Figure</w:t>
      </w:r>
      <w:r w:rsidR="001F3513" w:rsidRPr="00DC416F">
        <w:t xml:space="preserve"> </w:t>
      </w:r>
      <w:r w:rsidR="000E22C0">
        <w:t>2(b)</w:t>
      </w:r>
      <w:r w:rsidR="004B4E30">
        <w:t xml:space="preserve">, </w:t>
      </w:r>
      <w:r w:rsidR="001F3513">
        <w:t xml:space="preserve">N signals can be deconvoluted into pyridinic N (397.6 eV), pyrrolic N (399.2 eV), graphitic N (400.9 eV) and nitric oxide (N-O, 402.7 eV). NG600, NG700 and NG800 </w:t>
      </w:r>
      <w:r w:rsidR="00CC1EBB">
        <w:t xml:space="preserve">all </w:t>
      </w:r>
      <w:r w:rsidR="001F3513">
        <w:t>ha</w:t>
      </w:r>
      <w:r w:rsidR="001271E8">
        <w:t>d</w:t>
      </w:r>
      <w:r w:rsidR="001F3513">
        <w:t xml:space="preserve"> four types of nitrogen bonding configuration, NG400 and NG500 just possess</w:t>
      </w:r>
      <w:r w:rsidR="001271E8">
        <w:t>ed</w:t>
      </w:r>
      <w:r w:rsidR="001F3513">
        <w:t xml:space="preserve"> three types except for nitric oxide. More graphitic N </w:t>
      </w:r>
      <w:r w:rsidR="001271E8">
        <w:t>wa</w:t>
      </w:r>
      <w:r w:rsidR="001F3513">
        <w:t>s doped in the graphitic carbon network from 1.85 to 36.5 at.% as the annealing temperature increase</w:t>
      </w:r>
      <w:r w:rsidR="001271E8">
        <w:t>d</w:t>
      </w:r>
      <w:r w:rsidR="001F3513">
        <w:t xml:space="preserve"> from 400-800</w:t>
      </w:r>
      <w:r w:rsidR="001271E8">
        <w:t xml:space="preserve"> </w:t>
      </w:r>
      <w:r w:rsidR="001271E8" w:rsidRPr="00A45EE4">
        <w:rPr>
          <w:color w:val="000000" w:themeColor="text1"/>
        </w:rPr>
        <w:t>°C</w:t>
      </w:r>
      <w:r w:rsidR="001F3513">
        <w:t xml:space="preserve"> and more nitric oxide (N-O) </w:t>
      </w:r>
      <w:r w:rsidR="00EC5282">
        <w:t>wa</w:t>
      </w:r>
      <w:r w:rsidR="001F3513">
        <w:t xml:space="preserve">s incorporated into the graphitic platelets from </w:t>
      </w:r>
      <w:r w:rsidR="00A04DF0">
        <w:t>3.94</w:t>
      </w:r>
      <w:r w:rsidR="001F3513">
        <w:t xml:space="preserve"> to 9.60 at.% as the annealing temperature increase</w:t>
      </w:r>
      <w:r w:rsidR="00EC5282">
        <w:t>d</w:t>
      </w:r>
      <w:r w:rsidR="001F3513">
        <w:t xml:space="preserve"> from 600-800</w:t>
      </w:r>
      <w:r w:rsidR="00E02036">
        <w:t xml:space="preserve"> </w:t>
      </w:r>
      <w:r w:rsidR="00E02036" w:rsidRPr="00A45EE4">
        <w:rPr>
          <w:color w:val="000000" w:themeColor="text1"/>
        </w:rPr>
        <w:t>°C</w:t>
      </w:r>
      <w:r w:rsidR="00E02036">
        <w:t xml:space="preserve"> </w:t>
      </w:r>
      <w:r w:rsidR="001F3513">
        <w:t>due to the higher thermal stability of graphitic N and nitric oxide than pyrrolic N</w:t>
      </w:r>
      <w:r w:rsidR="00922ED7">
        <w:t xml:space="preserve"> </w:t>
      </w:r>
      <w:r w:rsidR="00922ED7" w:rsidRPr="00DC416F">
        <w:rPr>
          <w:noProof/>
        </w:rPr>
        <w:t>(</w:t>
      </w:r>
      <w:hyperlink w:anchor="_ENREF_6" w:tooltip="Duan, 2015 #137" w:history="1">
        <w:r w:rsidR="00922ED7" w:rsidRPr="00DC416F">
          <w:rPr>
            <w:noProof/>
          </w:rPr>
          <w:t>Duan, Indrawirawan et al. 2015</w:t>
        </w:r>
      </w:hyperlink>
      <w:r w:rsidR="00922ED7">
        <w:rPr>
          <w:noProof/>
        </w:rPr>
        <w:t>)</w:t>
      </w:r>
      <w:r w:rsidR="001F3513" w:rsidRPr="00A9716B">
        <w:t>.</w:t>
      </w:r>
      <w:r w:rsidR="001F3513">
        <w:rPr>
          <w:rFonts w:hint="eastAsia"/>
        </w:rPr>
        <w:t xml:space="preserve"> The</w:t>
      </w:r>
      <w:r w:rsidR="001F3513">
        <w:t xml:space="preserve"> nitrogen doping level and compositional species can be adjusted by changing the thermal annealing temperature.</w:t>
      </w:r>
    </w:p>
    <w:p w14:paraId="61C78271" w14:textId="314FE80A" w:rsidR="001F3513" w:rsidRDefault="0090284D" w:rsidP="00437CC5">
      <w:pPr>
        <w:pStyle w:val="CETBodytext"/>
        <w:jc w:val="left"/>
        <w:rPr>
          <w:lang w:val="en-GB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 wp14:anchorId="45AA128D" wp14:editId="431E8949">
            <wp:extent cx="1828800" cy="1385247"/>
            <wp:effectExtent l="0" t="0" r="0" b="5715"/>
            <wp:docPr id="61" name="图片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NG400 N.png"/>
                    <pic:cNvPicPr preferRelativeResize="0"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6" t="7011" r="7630"/>
                    <a:stretch/>
                  </pic:blipFill>
                  <pic:spPr bwMode="auto">
                    <a:xfrm>
                      <a:off x="0" y="0"/>
                      <a:ext cx="1839545" cy="1393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zh-CN"/>
        </w:rPr>
        <w:drawing>
          <wp:inline distT="0" distB="0" distL="0" distR="0" wp14:anchorId="2CF6133B" wp14:editId="0896D648">
            <wp:extent cx="1808007" cy="1364777"/>
            <wp:effectExtent l="0" t="0" r="1905" b="6985"/>
            <wp:docPr id="14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 700Screen Shot 2017-04-23 at 下午9.21.23.png"/>
                    <pic:cNvPicPr preferRelativeResize="0"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9" t="7077" r="10134"/>
                    <a:stretch/>
                  </pic:blipFill>
                  <pic:spPr bwMode="auto">
                    <a:xfrm>
                      <a:off x="0" y="0"/>
                      <a:ext cx="1825291" cy="1377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  <w:r w:rsidR="0070652F">
        <w:rPr>
          <w:rFonts w:ascii="Times New Roman" w:hAnsi="Times New Roman"/>
          <w:noProof/>
          <w:lang w:eastAsia="zh-CN"/>
        </w:rPr>
        <w:drawing>
          <wp:inline distT="0" distB="0" distL="0" distR="0" wp14:anchorId="61859389" wp14:editId="55FED74A">
            <wp:extent cx="1815153" cy="1364776"/>
            <wp:effectExtent l="0" t="0" r="0" b="6985"/>
            <wp:docPr id="15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4-23 at 下午9.22.56.png"/>
                    <pic:cNvPicPr preferRelativeResize="0"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" t="7909" r="9561"/>
                    <a:stretch/>
                  </pic:blipFill>
                  <pic:spPr bwMode="auto">
                    <a:xfrm>
                      <a:off x="0" y="0"/>
                      <a:ext cx="1818559" cy="1367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52FE6B12" w14:textId="5F35452D" w:rsidR="0090284D" w:rsidRPr="001F3513" w:rsidRDefault="0090284D" w:rsidP="00437CC5">
      <w:pPr>
        <w:pStyle w:val="CETBodytext"/>
        <w:jc w:val="left"/>
        <w:rPr>
          <w:lang w:val="en-GB"/>
        </w:rPr>
      </w:pPr>
      <w:r>
        <w:rPr>
          <w:rFonts w:ascii="Times New Roman" w:hAnsi="Times New Roman"/>
          <w:b/>
          <w:noProof/>
          <w:lang w:eastAsia="zh-CN"/>
        </w:rPr>
        <w:drawing>
          <wp:inline distT="0" distB="0" distL="0" distR="0" wp14:anchorId="27E439ED" wp14:editId="0C4C5FD1">
            <wp:extent cx="1774209" cy="1317009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g700 N.png"/>
                    <pic:cNvPicPr preferRelativeResize="0"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" t="8022" r="8985"/>
                    <a:stretch/>
                  </pic:blipFill>
                  <pic:spPr bwMode="auto">
                    <a:xfrm>
                      <a:off x="0" y="0"/>
                      <a:ext cx="1781428" cy="1322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9BE">
        <w:rPr>
          <w:rFonts w:ascii="Times New Roman" w:hAnsi="Times New Roman"/>
          <w:b/>
          <w:noProof/>
          <w:lang w:eastAsia="zh-CN"/>
        </w:rPr>
        <w:t xml:space="preserve"> </w:t>
      </w:r>
      <w:r w:rsidR="0070652F">
        <w:rPr>
          <w:rFonts w:ascii="Times New Roman" w:hAnsi="Times New Roman"/>
          <w:b/>
          <w:noProof/>
          <w:lang w:eastAsia="zh-CN"/>
        </w:rPr>
        <w:drawing>
          <wp:inline distT="0" distB="0" distL="0" distR="0" wp14:anchorId="298EB672" wp14:editId="19879E02">
            <wp:extent cx="1835623" cy="1351110"/>
            <wp:effectExtent l="0" t="0" r="0" b="1905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g800 N.png"/>
                    <pic:cNvPicPr preferRelativeResize="0"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" t="7902" r="10303"/>
                    <a:stretch/>
                  </pic:blipFill>
                  <pic:spPr bwMode="auto">
                    <a:xfrm>
                      <a:off x="0" y="0"/>
                      <a:ext cx="1843633" cy="1357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12F881A0" w14:textId="3BE69208" w:rsidR="0090284D" w:rsidRPr="001F3513" w:rsidRDefault="0090284D" w:rsidP="0090284D">
      <w:pPr>
        <w:pStyle w:val="CETCaption"/>
      </w:pPr>
      <w:r w:rsidRPr="001F3513">
        <w:t xml:space="preserve">Figure </w:t>
      </w:r>
      <w:r>
        <w:t>3</w:t>
      </w:r>
      <w:r w:rsidRPr="001F3513">
        <w:t xml:space="preserve">: </w:t>
      </w:r>
      <w:r w:rsidRPr="0090284D">
        <w:t>N1s scan of NG400 (a), NG500 (b), NG600 (c), NG700 (d) and NG800 (e)</w:t>
      </w:r>
      <w:r>
        <w:t>.</w:t>
      </w:r>
    </w:p>
    <w:p w14:paraId="426515FB" w14:textId="6E30EE43" w:rsidR="00A51CE1" w:rsidRDefault="00A51CE1" w:rsidP="00B97791">
      <w:pPr>
        <w:pStyle w:val="CETBodytext"/>
      </w:pPr>
      <w:r>
        <w:rPr>
          <w:color w:val="000000" w:themeColor="text1"/>
        </w:rPr>
        <w:t xml:space="preserve">XRD patterns of GO, RGO600 and NGs </w:t>
      </w:r>
      <w:r>
        <w:t xml:space="preserve">are shown in </w:t>
      </w:r>
      <w:r w:rsidR="00B97791">
        <w:t>Figure</w:t>
      </w:r>
      <w:r w:rsidRPr="00DC416F">
        <w:t xml:space="preserve"> 4</w:t>
      </w:r>
      <w:r w:rsidR="003B454E" w:rsidRPr="00DC416F">
        <w:t>(a)</w:t>
      </w:r>
      <w:r w:rsidRPr="00DC416F">
        <w:t>,</w:t>
      </w:r>
      <w:r>
        <w:t xml:space="preserve"> After nitrogen doping, the strong peak at 2</w:t>
      </w:r>
      <m:oMath>
        <m:r>
          <w:rPr>
            <w:rFonts w:ascii="Cambria Math" w:hAnsi="Cambria Math"/>
          </w:rPr>
          <m:t xml:space="preserve">θ </m:t>
        </m:r>
      </m:oMath>
      <w:r>
        <w:t>= 11</w:t>
      </w:r>
      <m:oMath>
        <m:r>
          <w:rPr>
            <w:rFonts w:ascii="Cambria Math" w:hAnsi="Cambria Math"/>
          </w:rPr>
          <m:t>°</m:t>
        </m:r>
      </m:oMath>
      <w:r>
        <w:t xml:space="preserve"> of GO disappear</w:t>
      </w:r>
      <w:r w:rsidR="00A436FA">
        <w:t>ed</w:t>
      </w:r>
      <w:r>
        <w:t xml:space="preserve"> in the XRD spectra of NG</w:t>
      </w:r>
      <w:r w:rsidR="00063D73">
        <w:t>s</w:t>
      </w:r>
      <w:r>
        <w:t xml:space="preserve"> and a new strong peak at around 2</w:t>
      </w:r>
      <m:oMath>
        <m:r>
          <w:rPr>
            <w:rFonts w:ascii="Cambria Math" w:hAnsi="Cambria Math"/>
          </w:rPr>
          <m:t xml:space="preserve">θ </m:t>
        </m:r>
      </m:oMath>
      <w:r>
        <w:t>= 26</w:t>
      </w:r>
      <m:oMath>
        <m:r>
          <w:rPr>
            <w:rFonts w:ascii="Cambria Math" w:hAnsi="Cambria Math"/>
          </w:rPr>
          <m:t>°</m:t>
        </m:r>
      </m:oMath>
      <w:r>
        <w:t xml:space="preserve"> emerge</w:t>
      </w:r>
      <w:r w:rsidR="00A436FA">
        <w:t>d</w:t>
      </w:r>
      <w:r>
        <w:t>. It is interesting that NG400 still ha</w:t>
      </w:r>
      <w:r w:rsidR="00A436FA">
        <w:t>d</w:t>
      </w:r>
      <w:r>
        <w:t xml:space="preserve"> a small peak at 2</w:t>
      </w:r>
      <m:oMath>
        <m:r>
          <w:rPr>
            <w:rFonts w:ascii="Cambria Math" w:hAnsi="Cambria Math"/>
          </w:rPr>
          <m:t xml:space="preserve">θ </m:t>
        </m:r>
      </m:oMath>
      <w:r>
        <w:t>= 11</w:t>
      </w:r>
      <m:oMath>
        <m:r>
          <w:rPr>
            <w:rFonts w:ascii="Cambria Math" w:hAnsi="Cambria Math"/>
          </w:rPr>
          <m:t>°</m:t>
        </m:r>
      </m:oMath>
      <w:r>
        <w:t>, which might be due to the inability of annealing temperature 400</w:t>
      </w:r>
      <w:r w:rsidR="00AF6BED">
        <w:t xml:space="preserve"> </w:t>
      </w:r>
      <w:r w:rsidR="00AF6BED" w:rsidRPr="00A45EE4">
        <w:rPr>
          <w:color w:val="000000" w:themeColor="text1"/>
        </w:rPr>
        <w:t>°C</w:t>
      </w:r>
      <w:r>
        <w:t xml:space="preserve"> to form well-structured NG (further explanation can be seen in the FTIR part, the tri-s-triazine unit was formed in NG400). </w:t>
      </w:r>
      <w:r w:rsidR="00326108">
        <w:t>T</w:t>
      </w:r>
      <w:r>
        <w:t>he peaks of NGs at 2</w:t>
      </w:r>
      <m:oMath>
        <m:r>
          <w:rPr>
            <w:rFonts w:ascii="Cambria Math" w:hAnsi="Cambria Math"/>
          </w:rPr>
          <m:t xml:space="preserve">θ </m:t>
        </m:r>
      </m:oMath>
      <w:r>
        <w:t xml:space="preserve">= </w:t>
      </w:r>
      <w:r w:rsidR="00326108">
        <w:t>~</w:t>
      </w:r>
      <w:r>
        <w:t>42</w:t>
      </w:r>
      <m:oMath>
        <m:r>
          <w:rPr>
            <w:rFonts w:ascii="Cambria Math" w:hAnsi="Cambria Math"/>
          </w:rPr>
          <m:t xml:space="preserve">° </m:t>
        </m:r>
      </m:oMath>
      <w:r>
        <w:t>all shift</w:t>
      </w:r>
      <w:r w:rsidR="00A436FA">
        <w:t>ed</w:t>
      </w:r>
      <w:r>
        <w:t xml:space="preserve"> to a higher 2</w:t>
      </w:r>
      <m:oMath>
        <m:r>
          <w:rPr>
            <w:rFonts w:ascii="Cambria Math" w:hAnsi="Cambria Math"/>
          </w:rPr>
          <m:t>θ</m:t>
        </m:r>
      </m:oMath>
      <w:r>
        <w:t xml:space="preserve"> degree and the peak intensity (the degree of the crystallinity) of NG</w:t>
      </w:r>
      <w:r w:rsidR="00827113">
        <w:t>s</w:t>
      </w:r>
      <w:r>
        <w:t xml:space="preserve"> increase</w:t>
      </w:r>
      <w:r w:rsidR="00A436FA">
        <w:t>d</w:t>
      </w:r>
      <w:r>
        <w:t xml:space="preserve"> with the increasing annealing temperature, indicating better deoxygenation due to the elimination of oxygen functional groups and successful nitrogen doping. </w:t>
      </w:r>
    </w:p>
    <w:p w14:paraId="3AA6FFE4" w14:textId="0AAAC486" w:rsidR="006B2449" w:rsidRDefault="006B2449" w:rsidP="00B97791">
      <w:pPr>
        <w:pStyle w:val="CETBodytext"/>
      </w:pPr>
      <w:r>
        <w:t xml:space="preserve">As displayed in </w:t>
      </w:r>
      <w:r w:rsidR="00862A88">
        <w:t xml:space="preserve">FTIR spectra of </w:t>
      </w:r>
      <w:r w:rsidR="00B97791">
        <w:t>Figure</w:t>
      </w:r>
      <w:r w:rsidRPr="00DC416F">
        <w:t xml:space="preserve"> 4(b),</w:t>
      </w:r>
      <w:r>
        <w:t xml:space="preserve"> the intensities of C=O, C-O groups </w:t>
      </w:r>
      <w:r w:rsidR="00D27049">
        <w:t xml:space="preserve">of NGs </w:t>
      </w:r>
      <w:r>
        <w:t>were reduced dramatically, indicating the intensive deoxygenation due to the removal of surface oxygen functional groups. The broad peak at 3413 cm</w:t>
      </w:r>
      <w:r w:rsidRPr="00517336">
        <w:rPr>
          <w:vertAlign w:val="superscript"/>
        </w:rPr>
        <w:t>-1</w:t>
      </w:r>
      <w:r>
        <w:t xml:space="preserve"> </w:t>
      </w:r>
      <w:r w:rsidR="00862A88">
        <w:t xml:space="preserve">(vibration of O-H or water molecules) </w:t>
      </w:r>
      <w:r>
        <w:t>disappear</w:t>
      </w:r>
      <w:r w:rsidR="00310566">
        <w:t>ed</w:t>
      </w:r>
      <w:r>
        <w:t>, suggesting an increment in hydrophobicity of NG. C=C bond of NG shift</w:t>
      </w:r>
      <w:r w:rsidR="00310566">
        <w:t>ed</w:t>
      </w:r>
      <w:r>
        <w:t xml:space="preserve"> to a lower wavenumber (1553 cm</w:t>
      </w:r>
      <w:r w:rsidRPr="00517336">
        <w:rPr>
          <w:vertAlign w:val="superscript"/>
        </w:rPr>
        <w:t>-1</w:t>
      </w:r>
      <w:r>
        <w:t>). A new peak at 1175 cm</w:t>
      </w:r>
      <w:r w:rsidRPr="00517336">
        <w:rPr>
          <w:vertAlign w:val="superscript"/>
        </w:rPr>
        <w:t>-1</w:t>
      </w:r>
      <w:r>
        <w:t xml:space="preserve"> </w:t>
      </w:r>
      <w:r>
        <w:lastRenderedPageBreak/>
        <w:t>emerge</w:t>
      </w:r>
      <w:r w:rsidR="00310566">
        <w:t>d</w:t>
      </w:r>
      <w:r>
        <w:t xml:space="preserve"> due to the formation of C-N bond and the residual C-O bond </w:t>
      </w:r>
      <w:r>
        <w:fldChar w:fldCharType="begin"/>
      </w:r>
      <w:r w:rsidR="005B1F2A">
        <w:instrText xml:space="preserve"> ADDIN EN.CITE &lt;EndNote&gt;&lt;Cite&gt;&lt;Author&gt;Lin&lt;/Author&gt;&lt;Year&gt;2012&lt;/Year&gt;&lt;RecNum&gt;136&lt;/RecNum&gt;&lt;DisplayText&gt;(Lin, Waller et al. 2012)&lt;/DisplayText&gt;&lt;record&gt;&lt;rec-number&gt;136&lt;/rec-number&gt;&lt;foreign-keys&gt;&lt;key app="EN" db-id="ap52awefuxaz96e9avq525ted0txrrx0zx2e" timestamp="1493089737"&gt;136&lt;/key&gt;&lt;/foreign-keys&gt;&lt;ref-type name="Journal Article"&gt;17&lt;/ref-type&gt;&lt;contributors&gt;&lt;authors&gt;&lt;author&gt;Lin, Z.&lt;/author&gt;&lt;author&gt;Waller, G.&lt;/author&gt;&lt;author&gt;Liu, Y.&lt;/author&gt;&lt;author&gt;Liu, M.&lt;/author&gt;&lt;author&gt;Wong, C. P.&lt;/author&gt;&lt;/authors&gt;&lt;/contributors&gt;&lt;titles&gt;&lt;title&gt;Facile synthesis of nitrogen-doped graphene via pyrolysis of graphene oxide and urea, and its electrocatalytic activity toward the oxygen-reduction reaction&lt;/title&gt;&lt;secondary-title&gt;Advanced Energy Materials&lt;/secondary-title&gt;&lt;/titles&gt;&lt;periodical&gt;&lt;full-title&gt;Advanced Energy Materials&lt;/full-title&gt;&lt;/periodical&gt;&lt;pages&gt;884-888&lt;/pages&gt;&lt;volume&gt;2&lt;/volume&gt;&lt;number&gt;7&lt;/number&gt;&lt;dates&gt;&lt;year&gt;2012&lt;/year&gt;&lt;/dates&gt;&lt;work-type&gt;Article&lt;/work-type&gt;&lt;urls&gt;&lt;related-urls&gt;&lt;url&gt;https://www.scopus.com/inward/record.uri?eid=2-s2.0-84864970708&amp;amp;doi=10.1002%2faenm.201200038&amp;amp;partnerID=40&amp;amp;md5=81d3f20e9b7c43df9ace8899bf275b32&lt;/url&gt;&lt;/related-urls&gt;&lt;/urls&gt;&lt;electronic-resource-num&gt;10.1002/aenm.201200038&lt;/electronic-resource-num&gt;&lt;remote-database-name&gt;Scopus&lt;/remote-database-name&gt;&lt;/record&gt;&lt;/Cite&gt;&lt;/EndNote&gt;</w:instrText>
      </w:r>
      <w:r>
        <w:fldChar w:fldCharType="separate"/>
      </w:r>
      <w:r w:rsidR="005B1F2A">
        <w:rPr>
          <w:noProof/>
        </w:rPr>
        <w:t>(</w:t>
      </w:r>
      <w:hyperlink w:anchor="_ENREF_10" w:tooltip="Lin, 2012 #136" w:history="1">
        <w:r w:rsidR="00922ED7">
          <w:rPr>
            <w:noProof/>
          </w:rPr>
          <w:t>Lin, Waller et al. 2012</w:t>
        </w:r>
      </w:hyperlink>
      <w:r w:rsidR="005B1F2A">
        <w:rPr>
          <w:noProof/>
        </w:rPr>
        <w:t>)</w:t>
      </w:r>
      <w:r>
        <w:fldChar w:fldCharType="end"/>
      </w:r>
      <w:r>
        <w:t>. Interestingly, a small peak at 785 cm</w:t>
      </w:r>
      <w:r w:rsidRPr="00517336">
        <w:rPr>
          <w:vertAlign w:val="superscript"/>
        </w:rPr>
        <w:t>-1</w:t>
      </w:r>
      <w:r>
        <w:rPr>
          <w:vertAlign w:val="superscript"/>
        </w:rPr>
        <w:t xml:space="preserve"> </w:t>
      </w:r>
      <w:r>
        <w:t>appear</w:t>
      </w:r>
      <w:r w:rsidR="00310566">
        <w:t>ed</w:t>
      </w:r>
      <w:r>
        <w:t xml:space="preserve"> at the FTIR spectrum of NG400 and NG500 (with lower intensity than that of NG400), which might be ascribed to the formation of tri-s-triazine (a type of nitrogen-containing </w:t>
      </w:r>
      <w:r w:rsidR="007C7EEA">
        <w:t>heterocycle</w:t>
      </w:r>
      <w:r>
        <w:t xml:space="preserve">) </w:t>
      </w:r>
      <w:r>
        <w:fldChar w:fldCharType="begin"/>
      </w:r>
      <w:r w:rsidR="005B1F2A">
        <w:instrText xml:space="preserve"> ADDIN EN.CITE &lt;EndNote&gt;&lt;Cite&gt;&lt;Author&gt;Costa&lt;/Author&gt;&lt;Year&gt;1988&lt;/Year&gt;&lt;RecNum&gt;367&lt;/RecNum&gt;&lt;DisplayText&gt;(Costa and Camino 1988)&lt;/DisplayText&gt;&lt;record&gt;&lt;rec-number&gt;367&lt;/rec-number&gt;&lt;foreign-keys&gt;&lt;key app="EN" db-id="ap52awefuxaz96e9avq525ted0txrrx0zx2e" timestamp="1493363383"&gt;367&lt;/key&gt;&lt;/foreign-keys&gt;&lt;ref-type name="Journal Article"&gt;17&lt;/ref-type&gt;&lt;contributors&gt;&lt;authors&gt;&lt;author&gt;Costa, L.&lt;/author&gt;&lt;author&gt;Camino, G.&lt;/author&gt;&lt;/authors&gt;&lt;/contributors&gt;&lt;titles&gt;&lt;title&gt;Thermal behaviour of melamine&lt;/title&gt;&lt;secondary-title&gt;Journal of Thermal Analysis&lt;/secondary-title&gt;&lt;/titles&gt;&lt;periodical&gt;&lt;full-title&gt;Journal of Thermal Analysis&lt;/full-title&gt;&lt;/periodical&gt;&lt;pages&gt;423-429&lt;/pages&gt;&lt;volume&gt;34&lt;/volume&gt;&lt;number&gt;2&lt;/number&gt;&lt;dates&gt;&lt;year&gt;1988&lt;/year&gt;&lt;/dates&gt;&lt;work-type&gt;Article&lt;/work-type&gt;&lt;urls&gt;&lt;related-urls&gt;&lt;url&gt;https://www.scopus.com/inward/record.uri?eid=2-s2.0-34250087862&amp;amp;doi=10.1007%2fBF01913181&amp;amp;partnerID=40&amp;amp;md5=17974c56bf3f7c3e68e65b3717f096ef&lt;/url&gt;&lt;/related-urls&gt;&lt;/urls&gt;&lt;electronic-resource-num&gt;10.1007/BF01913181&lt;/electronic-resource-num&gt;&lt;remote-database-name&gt;Scopus&lt;/remote-database-name&gt;&lt;/record&gt;&lt;/Cite&gt;&lt;/EndNote&gt;</w:instrText>
      </w:r>
      <w:r>
        <w:fldChar w:fldCharType="separate"/>
      </w:r>
      <w:r w:rsidR="005B1F2A">
        <w:rPr>
          <w:noProof/>
        </w:rPr>
        <w:t>(</w:t>
      </w:r>
      <w:hyperlink w:anchor="_ENREF_5" w:tooltip="Costa, 1988 #367" w:history="1">
        <w:r w:rsidR="00922ED7">
          <w:rPr>
            <w:noProof/>
          </w:rPr>
          <w:t>Costa and Camino 1988</w:t>
        </w:r>
      </w:hyperlink>
      <w:r w:rsidR="005B1F2A">
        <w:rPr>
          <w:noProof/>
        </w:rPr>
        <w:t>)</w:t>
      </w:r>
      <w:r>
        <w:fldChar w:fldCharType="end"/>
      </w:r>
      <w:r>
        <w:t>.</w:t>
      </w:r>
    </w:p>
    <w:p w14:paraId="43053AA1" w14:textId="57AF9B98" w:rsidR="006B2449" w:rsidRDefault="00292E6E" w:rsidP="00B97791">
      <w:pPr>
        <w:pStyle w:val="CETBodytext"/>
      </w:pPr>
      <w:r>
        <w:t>The ratio of I</w:t>
      </w:r>
      <w:r w:rsidRPr="00CB4E2B">
        <w:rPr>
          <w:vertAlign w:val="subscript"/>
        </w:rPr>
        <w:t>D</w:t>
      </w:r>
      <w:r>
        <w:t>/I</w:t>
      </w:r>
      <w:r w:rsidRPr="00CB4E2B">
        <w:rPr>
          <w:vertAlign w:val="subscript"/>
        </w:rPr>
        <w:t>G</w:t>
      </w:r>
      <w:r>
        <w:t xml:space="preserve"> reveals the defective degree of carbon materials. </w:t>
      </w:r>
      <w:r w:rsidR="006B2449">
        <w:t xml:space="preserve">As shown in </w:t>
      </w:r>
      <w:r w:rsidR="00E54D43">
        <w:t xml:space="preserve">Raman spectra of </w:t>
      </w:r>
      <w:r w:rsidR="00B97791">
        <w:t>Figure</w:t>
      </w:r>
      <w:r w:rsidR="006B2449" w:rsidRPr="00A9716B">
        <w:t xml:space="preserve"> </w:t>
      </w:r>
      <w:r w:rsidR="006B2449">
        <w:t xml:space="preserve">4(c), </w:t>
      </w:r>
      <w:r>
        <w:t>t</w:t>
      </w:r>
      <w:r w:rsidR="006B2449">
        <w:t>he I</w:t>
      </w:r>
      <w:r w:rsidR="006B2449" w:rsidRPr="00CB4E2B">
        <w:rPr>
          <w:vertAlign w:val="subscript"/>
        </w:rPr>
        <w:t>D</w:t>
      </w:r>
      <w:r w:rsidR="006B2449">
        <w:t>/I</w:t>
      </w:r>
      <w:r w:rsidR="006B2449" w:rsidRPr="00CB4E2B">
        <w:rPr>
          <w:vertAlign w:val="subscript"/>
        </w:rPr>
        <w:t>G</w:t>
      </w:r>
      <w:r w:rsidR="006B2449">
        <w:t xml:space="preserve"> ratios of GO, RGO600, NG400, NG500, NG600, NG700 and NG800 </w:t>
      </w:r>
      <w:r w:rsidR="006B2449">
        <w:rPr>
          <w:rFonts w:hint="eastAsia"/>
        </w:rPr>
        <w:t>are</w:t>
      </w:r>
      <w:r w:rsidR="006B2449">
        <w:t xml:space="preserve"> 0.906, 0.938, 1.099, 1.105, 1.115, 1.088 and 1.099, respectively. The increase in the ratio of I</w:t>
      </w:r>
      <w:r w:rsidR="006B2449" w:rsidRPr="00CB4E2B">
        <w:rPr>
          <w:vertAlign w:val="subscript"/>
        </w:rPr>
        <w:t>D</w:t>
      </w:r>
      <w:r w:rsidR="006B2449">
        <w:t>/I</w:t>
      </w:r>
      <w:r w:rsidR="006B2449" w:rsidRPr="00CB4E2B">
        <w:rPr>
          <w:vertAlign w:val="subscript"/>
        </w:rPr>
        <w:t>G</w:t>
      </w:r>
      <w:r w:rsidR="006B2449">
        <w:t xml:space="preserve"> </w:t>
      </w:r>
      <w:r w:rsidR="009F6A80">
        <w:t xml:space="preserve">of NGs </w:t>
      </w:r>
      <w:r w:rsidR="006B2449">
        <w:t>compared with that of GO and RGO600 indicat</w:t>
      </w:r>
      <w:r w:rsidR="00275136">
        <w:t>es</w:t>
      </w:r>
      <w:r w:rsidR="006B2449">
        <w:t xml:space="preserve"> more defective sites after nitrogen doping</w:t>
      </w:r>
      <w:r w:rsidR="009F6A80">
        <w:t>,</w:t>
      </w:r>
      <w:r w:rsidR="006B2449">
        <w:t xml:space="preserve"> </w:t>
      </w:r>
      <w:r w:rsidR="009F6A80">
        <w:t>which</w:t>
      </w:r>
      <w:r w:rsidR="006B2449">
        <w:t xml:space="preserve"> is probably due to the introduction of nitrogen dopant, the creation of smaller-sized nanocrystalline graphitic domains and the loss of carbon atoms owing to the elimination of oxygen functional groups.</w:t>
      </w:r>
    </w:p>
    <w:p w14:paraId="2FDFD69C" w14:textId="7475CF62" w:rsidR="008A345E" w:rsidRDefault="001452F9" w:rsidP="008A345E">
      <w:pPr>
        <w:pStyle w:val="CETCaption"/>
        <w:jc w:val="left"/>
      </w:pPr>
      <w:r>
        <w:rPr>
          <w:rFonts w:ascii="Times New Roman" w:hAnsi="Times New Roman"/>
          <w:noProof/>
          <w:lang w:val="en-US" w:eastAsia="zh-CN"/>
        </w:rPr>
        <w:drawing>
          <wp:inline distT="0" distB="0" distL="0" distR="0" wp14:anchorId="6AFB47A0" wp14:editId="73263393">
            <wp:extent cx="1821976" cy="1506029"/>
            <wp:effectExtent l="0" t="0" r="6985" b="0"/>
            <wp:docPr id="9" name="图片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3-11 at 下午1.47.10.png"/>
                    <pic:cNvPicPr preferRelativeResize="0"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7" t="3607" r="1463"/>
                    <a:stretch/>
                  </pic:blipFill>
                  <pic:spPr bwMode="auto">
                    <a:xfrm>
                      <a:off x="0" y="0"/>
                      <a:ext cx="1849000" cy="1528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  <w:r w:rsidR="008F2CB4">
        <w:rPr>
          <w:noProof/>
          <w:lang w:val="en-US" w:eastAsia="zh-CN"/>
        </w:rPr>
        <w:drawing>
          <wp:inline distT="0" distB="0" distL="0" distR="0" wp14:anchorId="630EC6A3" wp14:editId="45D5F51C">
            <wp:extent cx="1826886" cy="1535373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11-05 at 12.24.42 PM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" r="2496"/>
                    <a:stretch/>
                  </pic:blipFill>
                  <pic:spPr bwMode="auto">
                    <a:xfrm>
                      <a:off x="0" y="0"/>
                      <a:ext cx="1864759" cy="156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1395">
        <w:rPr>
          <w:noProof/>
          <w:lang w:val="en-US" w:eastAsia="zh-CN"/>
        </w:rPr>
        <w:drawing>
          <wp:inline distT="0" distB="0" distL="0" distR="0" wp14:anchorId="2E0E2823" wp14:editId="72EE9364">
            <wp:extent cx="1787857" cy="154585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11-05 at 12.27.08 PM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" r="2616"/>
                    <a:stretch/>
                  </pic:blipFill>
                  <pic:spPr bwMode="auto">
                    <a:xfrm>
                      <a:off x="0" y="0"/>
                      <a:ext cx="1831357" cy="1583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D8CAD" w14:textId="5003DA14" w:rsidR="0079401F" w:rsidRPr="001F3513" w:rsidRDefault="0079401F" w:rsidP="0079401F">
      <w:pPr>
        <w:pStyle w:val="CETCaption"/>
      </w:pPr>
      <w:r w:rsidRPr="001F3513">
        <w:t xml:space="preserve">Figure </w:t>
      </w:r>
      <w:r>
        <w:t>4</w:t>
      </w:r>
      <w:r w:rsidRPr="001F3513">
        <w:t xml:space="preserve">: </w:t>
      </w:r>
      <w:r>
        <w:t>(a)</w:t>
      </w:r>
      <w:r w:rsidRPr="0079401F">
        <w:rPr>
          <w:rFonts w:ascii="Times New Roman" w:hAnsi="Times New Roman"/>
        </w:rPr>
        <w:t xml:space="preserve"> </w:t>
      </w:r>
      <w:r w:rsidRPr="0079401F">
        <w:t>XRD patterns</w:t>
      </w:r>
      <w:r>
        <w:t>, (b) FTIR spectra</w:t>
      </w:r>
      <w:r w:rsidR="00B92B83">
        <w:t xml:space="preserve"> and </w:t>
      </w:r>
      <w:r>
        <w:t xml:space="preserve">(c) Raman spectra </w:t>
      </w:r>
      <w:r w:rsidRPr="0079401F">
        <w:t>of</w:t>
      </w:r>
      <w:r>
        <w:t xml:space="preserve"> GO, RGO and NGs.</w:t>
      </w:r>
    </w:p>
    <w:p w14:paraId="1D490E10" w14:textId="743DB0F2" w:rsidR="00CE37D0" w:rsidRDefault="009C50FB" w:rsidP="00B97791">
      <w:pPr>
        <w:pStyle w:val="CETBodytext"/>
      </w:pPr>
      <w:r>
        <w:t xml:space="preserve">The </w:t>
      </w:r>
      <w:r w:rsidR="00676F7F">
        <w:t>SSA</w:t>
      </w:r>
      <w:r>
        <w:t xml:space="preserve">, pore volume and pore size distribution of GO, RGO600 and NGs are shown in </w:t>
      </w:r>
      <w:r w:rsidRPr="00DC416F">
        <w:t>Table 1.</w:t>
      </w:r>
      <w:r>
        <w:t xml:space="preserve"> </w:t>
      </w:r>
      <w:r w:rsidR="00961307">
        <w:t xml:space="preserve">The low </w:t>
      </w:r>
      <w:r w:rsidR="0028351A">
        <w:t>SSA</w:t>
      </w:r>
      <w:r w:rsidR="00961307">
        <w:t xml:space="preserve"> of </w:t>
      </w:r>
      <w:r>
        <w:t>GO (26 m</w:t>
      </w:r>
      <w:r w:rsidRPr="007448C7">
        <w:rPr>
          <w:vertAlign w:val="superscript"/>
        </w:rPr>
        <w:t>2</w:t>
      </w:r>
      <w:r>
        <w:t xml:space="preserve"> g</w:t>
      </w:r>
      <w:r w:rsidRPr="007448C7">
        <w:rPr>
          <w:vertAlign w:val="superscript"/>
        </w:rPr>
        <w:t>-1</w:t>
      </w:r>
      <w:r>
        <w:t xml:space="preserve">) </w:t>
      </w:r>
      <w:r w:rsidR="00961307">
        <w:t xml:space="preserve">was </w:t>
      </w:r>
      <w:r>
        <w:t xml:space="preserve">probably due to the severe stacking effect resulted from strong hydrogen bonding formed between oxygen functional groups on the GO layers. </w:t>
      </w:r>
      <w:r w:rsidR="008B2B95">
        <w:t>T</w:t>
      </w:r>
      <w:r>
        <w:t>he highest</w:t>
      </w:r>
      <w:r w:rsidRPr="00FB2591">
        <w:t xml:space="preserve"> </w:t>
      </w:r>
      <w:r w:rsidR="0028351A">
        <w:t>SSA</w:t>
      </w:r>
      <w:r>
        <w:t xml:space="preserve"> (452 m</w:t>
      </w:r>
      <w:r w:rsidRPr="007448C7">
        <w:rPr>
          <w:vertAlign w:val="superscript"/>
        </w:rPr>
        <w:t>2</w:t>
      </w:r>
      <w:r>
        <w:t xml:space="preserve"> g</w:t>
      </w:r>
      <w:r w:rsidRPr="007448C7">
        <w:rPr>
          <w:vertAlign w:val="superscript"/>
        </w:rPr>
        <w:t>-1</w:t>
      </w:r>
      <w:r>
        <w:t xml:space="preserve">) </w:t>
      </w:r>
      <w:r w:rsidR="00CF2979">
        <w:t>of RGO600</w:t>
      </w:r>
      <w:r w:rsidR="008B2B95">
        <w:t xml:space="preserve"> was due to deoxygenation and thermal expansion</w:t>
      </w:r>
      <w:r>
        <w:t xml:space="preserve">. The </w:t>
      </w:r>
      <w:r w:rsidR="00676F7F">
        <w:t>SSA</w:t>
      </w:r>
      <w:r>
        <w:t xml:space="preserve"> and pore volume of NG</w:t>
      </w:r>
      <w:r w:rsidR="00676F7F">
        <w:t>s</w:t>
      </w:r>
      <w:r>
        <w:t xml:space="preserve"> increase</w:t>
      </w:r>
      <w:r w:rsidR="00676F7F">
        <w:t>d</w:t>
      </w:r>
      <w:r>
        <w:t xml:space="preserve"> with the increasing thermal annealing temperature.</w:t>
      </w:r>
    </w:p>
    <w:p w14:paraId="7FF1FCF7" w14:textId="62676752" w:rsidR="00A13DFE" w:rsidRDefault="00A13DFE" w:rsidP="00A13DFE">
      <w:pPr>
        <w:pStyle w:val="CETTabletitle"/>
        <w:rPr>
          <w:color w:val="000000" w:themeColor="text1"/>
        </w:rPr>
      </w:pPr>
      <w:r w:rsidRPr="00B57B36">
        <w:t xml:space="preserve">Table 1: </w:t>
      </w:r>
      <w:r w:rsidR="009E7D2A">
        <w:t>SSA</w:t>
      </w:r>
      <w:r w:rsidR="009E7D2A" w:rsidRPr="009E66E7">
        <w:rPr>
          <w:color w:val="000000" w:themeColor="text1"/>
        </w:rPr>
        <w:t>, pore volume and pore size information</w:t>
      </w:r>
      <w:r w:rsidR="009E7D2A">
        <w:rPr>
          <w:color w:val="000000" w:themeColor="text1"/>
        </w:rPr>
        <w:t xml:space="preserve"> of GO, RGO and NGs.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34"/>
        <w:gridCol w:w="1566"/>
        <w:gridCol w:w="2520"/>
        <w:gridCol w:w="2070"/>
      </w:tblGrid>
      <w:tr w:rsidR="00F933EC" w:rsidRPr="00B57B36" w14:paraId="09252FFF" w14:textId="77777777" w:rsidTr="00F933EC"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5719E103" w14:textId="6F58C50B" w:rsidR="00F933EC" w:rsidRPr="00B57B36" w:rsidRDefault="00F933EC" w:rsidP="00B36527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Catalyst</w:t>
            </w:r>
          </w:p>
        </w:tc>
        <w:tc>
          <w:tcPr>
            <w:tcW w:w="1566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6DA0882" w14:textId="28F225F5" w:rsidR="00F933EC" w:rsidRPr="00B57B36" w:rsidRDefault="00F933EC" w:rsidP="00B36527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 xml:space="preserve">BET SSA </w:t>
            </w:r>
            <w:r w:rsidRPr="00A13DFE">
              <w:rPr>
                <w:rFonts w:cs="Arial"/>
                <w:szCs w:val="18"/>
              </w:rPr>
              <w:t>(m</w:t>
            </w:r>
            <w:r w:rsidRPr="00A13DFE">
              <w:rPr>
                <w:rFonts w:cs="Arial"/>
                <w:szCs w:val="18"/>
                <w:vertAlign w:val="superscript"/>
              </w:rPr>
              <w:t>2</w:t>
            </w:r>
            <w:r w:rsidRPr="00A13DFE">
              <w:rPr>
                <w:rFonts w:cs="Arial"/>
                <w:szCs w:val="18"/>
              </w:rPr>
              <w:t xml:space="preserve"> g</w:t>
            </w:r>
            <w:r w:rsidRPr="00A13DFE">
              <w:rPr>
                <w:rFonts w:cs="Arial"/>
                <w:szCs w:val="18"/>
                <w:vertAlign w:val="superscript"/>
              </w:rPr>
              <w:t>-1</w:t>
            </w:r>
            <w:r w:rsidRPr="00A13DFE">
              <w:rPr>
                <w:rFonts w:cs="Arial"/>
                <w:szCs w:val="18"/>
              </w:rPr>
              <w:t>)</w:t>
            </w:r>
          </w:p>
        </w:tc>
        <w:tc>
          <w:tcPr>
            <w:tcW w:w="252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45852397" w14:textId="1D6D6250" w:rsidR="00F933EC" w:rsidRPr="00B57B36" w:rsidRDefault="00F933EC" w:rsidP="00B36527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 xml:space="preserve">Average pore volume </w:t>
            </w:r>
            <w:r w:rsidRPr="00A13DFE">
              <w:rPr>
                <w:rFonts w:cs="Arial"/>
                <w:szCs w:val="18"/>
              </w:rPr>
              <w:t>(cm</w:t>
            </w:r>
            <w:r w:rsidRPr="00A13DFE">
              <w:rPr>
                <w:rFonts w:cs="Arial"/>
                <w:szCs w:val="18"/>
                <w:vertAlign w:val="superscript"/>
              </w:rPr>
              <w:t>3</w:t>
            </w:r>
            <w:r w:rsidRPr="00A13DFE">
              <w:rPr>
                <w:rFonts w:cs="Arial"/>
                <w:szCs w:val="18"/>
              </w:rPr>
              <w:t xml:space="preserve"> g</w:t>
            </w:r>
            <w:r w:rsidRPr="00A13DFE">
              <w:rPr>
                <w:rFonts w:cs="Arial"/>
                <w:szCs w:val="18"/>
                <w:vertAlign w:val="superscript"/>
              </w:rPr>
              <w:t>-1</w:t>
            </w:r>
            <w:r w:rsidRPr="00A13DFE">
              <w:rPr>
                <w:rFonts w:cs="Arial"/>
                <w:szCs w:val="18"/>
              </w:rPr>
              <w:t>)</w:t>
            </w:r>
          </w:p>
        </w:tc>
        <w:tc>
          <w:tcPr>
            <w:tcW w:w="207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FB332D2" w14:textId="563CB0AD" w:rsidR="00F933EC" w:rsidRPr="00B57B36" w:rsidRDefault="00F933EC" w:rsidP="00B36527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Average pore size (nm)</w:t>
            </w:r>
          </w:p>
        </w:tc>
      </w:tr>
      <w:tr w:rsidR="00F933EC" w:rsidRPr="00B57B36" w14:paraId="58974CBE" w14:textId="77777777" w:rsidTr="00B36527"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72AEF71E" w14:textId="5C8085B0" w:rsidR="00F933EC" w:rsidRPr="00B57B36" w:rsidRDefault="00F933EC" w:rsidP="00F933EC">
            <w:pPr>
              <w:pStyle w:val="CETBodytext"/>
              <w:rPr>
                <w:lang w:val="en-GB"/>
              </w:rPr>
            </w:pPr>
            <w:r w:rsidRPr="00A13DFE">
              <w:rPr>
                <w:lang w:val="en-GB"/>
              </w:rPr>
              <w:t>GO</w:t>
            </w:r>
          </w:p>
        </w:tc>
        <w:tc>
          <w:tcPr>
            <w:tcW w:w="1566" w:type="dxa"/>
            <w:tcBorders>
              <w:top w:val="single" w:sz="4" w:space="0" w:color="auto"/>
            </w:tcBorders>
            <w:shd w:val="clear" w:color="auto" w:fill="auto"/>
          </w:tcPr>
          <w:p w14:paraId="3D4B1D8E" w14:textId="0C8705F6" w:rsidR="00F933EC" w:rsidRPr="00B57B36" w:rsidRDefault="00F933EC" w:rsidP="00F933EC">
            <w:pPr>
              <w:pStyle w:val="CETBodytext"/>
              <w:jc w:val="center"/>
              <w:rPr>
                <w:lang w:val="en-GB"/>
              </w:rPr>
            </w:pPr>
            <w:r w:rsidRPr="00A13DFE">
              <w:rPr>
                <w:rFonts w:cs="Arial"/>
                <w:szCs w:val="18"/>
              </w:rPr>
              <w:t>26</w:t>
            </w:r>
          </w:p>
        </w:tc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</w:tcPr>
          <w:p w14:paraId="05B99A8B" w14:textId="3F879C34" w:rsidR="00F933EC" w:rsidRPr="00B57B36" w:rsidRDefault="00F933EC" w:rsidP="00F933EC">
            <w:pPr>
              <w:pStyle w:val="CETBodytext"/>
              <w:jc w:val="center"/>
              <w:rPr>
                <w:lang w:val="en-GB"/>
              </w:rPr>
            </w:pPr>
            <w:r w:rsidRPr="00A13DFE">
              <w:rPr>
                <w:rFonts w:cs="Arial"/>
                <w:szCs w:val="18"/>
              </w:rPr>
              <w:t>0.017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</w:tcPr>
          <w:p w14:paraId="3C6A84B0" w14:textId="6239F3B8" w:rsidR="00F933EC" w:rsidRPr="00B57B36" w:rsidRDefault="00F933EC" w:rsidP="00F933EC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13DFE">
              <w:rPr>
                <w:rFonts w:cs="Arial"/>
                <w:szCs w:val="18"/>
              </w:rPr>
              <w:t>2.03</w:t>
            </w:r>
          </w:p>
        </w:tc>
      </w:tr>
      <w:tr w:rsidR="00F933EC" w:rsidRPr="00B57B36" w14:paraId="6E60EF1C" w14:textId="77777777" w:rsidTr="00B36527">
        <w:tc>
          <w:tcPr>
            <w:tcW w:w="1134" w:type="dxa"/>
            <w:shd w:val="clear" w:color="auto" w:fill="auto"/>
          </w:tcPr>
          <w:p w14:paraId="3F67F276" w14:textId="49958CF3" w:rsidR="00F933EC" w:rsidRPr="00B57B36" w:rsidRDefault="00F933EC" w:rsidP="00F933E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A13DFE">
              <w:rPr>
                <w:lang w:val="en-GB"/>
              </w:rPr>
              <w:t>RGO600</w:t>
            </w:r>
          </w:p>
        </w:tc>
        <w:tc>
          <w:tcPr>
            <w:tcW w:w="1566" w:type="dxa"/>
            <w:shd w:val="clear" w:color="auto" w:fill="auto"/>
          </w:tcPr>
          <w:p w14:paraId="11CD5FC1" w14:textId="32FC6F4B" w:rsidR="00F933EC" w:rsidRPr="00B57B36" w:rsidRDefault="00F933EC" w:rsidP="00F933EC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13DFE">
              <w:rPr>
                <w:rFonts w:cs="Arial"/>
                <w:szCs w:val="18"/>
              </w:rPr>
              <w:t>452</w:t>
            </w:r>
          </w:p>
        </w:tc>
        <w:tc>
          <w:tcPr>
            <w:tcW w:w="2520" w:type="dxa"/>
            <w:shd w:val="clear" w:color="auto" w:fill="auto"/>
          </w:tcPr>
          <w:p w14:paraId="0EDF1C26" w14:textId="5080463D" w:rsidR="00F933EC" w:rsidRPr="00B57B36" w:rsidRDefault="00F933EC" w:rsidP="00F933EC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13DFE">
              <w:rPr>
                <w:rFonts w:cs="Arial"/>
                <w:szCs w:val="18"/>
              </w:rPr>
              <w:t>0.441</w:t>
            </w:r>
          </w:p>
        </w:tc>
        <w:tc>
          <w:tcPr>
            <w:tcW w:w="2070" w:type="dxa"/>
            <w:shd w:val="clear" w:color="auto" w:fill="auto"/>
          </w:tcPr>
          <w:p w14:paraId="204797A7" w14:textId="6447B76D" w:rsidR="00F933EC" w:rsidRPr="00B57B36" w:rsidRDefault="00F933EC" w:rsidP="00F933EC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13DFE">
              <w:rPr>
                <w:rFonts w:cs="Arial"/>
                <w:szCs w:val="18"/>
              </w:rPr>
              <w:t>2.02</w:t>
            </w:r>
          </w:p>
        </w:tc>
      </w:tr>
      <w:tr w:rsidR="00F933EC" w:rsidRPr="00B57B36" w14:paraId="0B1F02A8" w14:textId="77777777" w:rsidTr="00B36527">
        <w:tc>
          <w:tcPr>
            <w:tcW w:w="1134" w:type="dxa"/>
            <w:shd w:val="clear" w:color="auto" w:fill="auto"/>
          </w:tcPr>
          <w:p w14:paraId="002412AA" w14:textId="094D2238" w:rsidR="00F933EC" w:rsidRPr="00B57B36" w:rsidRDefault="00F933EC" w:rsidP="00F933E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A13DFE">
              <w:rPr>
                <w:lang w:val="en-GB"/>
              </w:rPr>
              <w:t>NG400</w:t>
            </w:r>
          </w:p>
        </w:tc>
        <w:tc>
          <w:tcPr>
            <w:tcW w:w="1566" w:type="dxa"/>
            <w:shd w:val="clear" w:color="auto" w:fill="auto"/>
          </w:tcPr>
          <w:p w14:paraId="02ECA508" w14:textId="194665EE" w:rsidR="00F933EC" w:rsidRPr="00B57B36" w:rsidRDefault="00F933EC" w:rsidP="00F933EC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13DFE">
              <w:rPr>
                <w:rFonts w:cs="Arial"/>
                <w:szCs w:val="18"/>
              </w:rPr>
              <w:t>25</w:t>
            </w:r>
          </w:p>
        </w:tc>
        <w:tc>
          <w:tcPr>
            <w:tcW w:w="2520" w:type="dxa"/>
            <w:shd w:val="clear" w:color="auto" w:fill="auto"/>
          </w:tcPr>
          <w:p w14:paraId="4B83C9E5" w14:textId="641379B6" w:rsidR="00F933EC" w:rsidRPr="00B57B36" w:rsidRDefault="00F933EC" w:rsidP="00F933EC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13DFE">
              <w:rPr>
                <w:rFonts w:cs="Arial"/>
                <w:szCs w:val="18"/>
              </w:rPr>
              <w:t>0.060</w:t>
            </w:r>
          </w:p>
        </w:tc>
        <w:tc>
          <w:tcPr>
            <w:tcW w:w="2070" w:type="dxa"/>
            <w:shd w:val="clear" w:color="auto" w:fill="auto"/>
          </w:tcPr>
          <w:p w14:paraId="19E541EE" w14:textId="2E54CBC8" w:rsidR="00F933EC" w:rsidRPr="00B57B36" w:rsidRDefault="00F933EC" w:rsidP="00F933EC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13DFE">
              <w:rPr>
                <w:rFonts w:cs="Arial"/>
                <w:szCs w:val="18"/>
              </w:rPr>
              <w:t>2.03</w:t>
            </w:r>
          </w:p>
        </w:tc>
      </w:tr>
      <w:tr w:rsidR="00F933EC" w:rsidRPr="00B57B36" w14:paraId="5AFCA0FB" w14:textId="77777777" w:rsidTr="00B36527">
        <w:tc>
          <w:tcPr>
            <w:tcW w:w="1134" w:type="dxa"/>
            <w:shd w:val="clear" w:color="auto" w:fill="auto"/>
          </w:tcPr>
          <w:p w14:paraId="0997708F" w14:textId="6F266CF2" w:rsidR="00F933EC" w:rsidRPr="00B57B36" w:rsidRDefault="00F933EC" w:rsidP="00F933E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A13DFE">
              <w:rPr>
                <w:lang w:val="en-GB"/>
              </w:rPr>
              <w:t>NG500</w:t>
            </w:r>
          </w:p>
        </w:tc>
        <w:tc>
          <w:tcPr>
            <w:tcW w:w="1566" w:type="dxa"/>
            <w:shd w:val="clear" w:color="auto" w:fill="auto"/>
          </w:tcPr>
          <w:p w14:paraId="11C5D998" w14:textId="3CC116D8" w:rsidR="00F933EC" w:rsidRPr="00B57B36" w:rsidRDefault="00F933EC" w:rsidP="00F933EC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13DFE">
              <w:rPr>
                <w:rFonts w:cs="Arial"/>
                <w:szCs w:val="18"/>
              </w:rPr>
              <w:t>24</w:t>
            </w:r>
          </w:p>
        </w:tc>
        <w:tc>
          <w:tcPr>
            <w:tcW w:w="2520" w:type="dxa"/>
            <w:shd w:val="clear" w:color="auto" w:fill="auto"/>
          </w:tcPr>
          <w:p w14:paraId="6E39662C" w14:textId="5A311601" w:rsidR="00F933EC" w:rsidRPr="00B57B36" w:rsidRDefault="00F933EC" w:rsidP="00F933EC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13DFE">
              <w:rPr>
                <w:rFonts w:cs="Arial"/>
                <w:szCs w:val="18"/>
              </w:rPr>
              <w:t>0.056</w:t>
            </w:r>
          </w:p>
        </w:tc>
        <w:tc>
          <w:tcPr>
            <w:tcW w:w="2070" w:type="dxa"/>
            <w:shd w:val="clear" w:color="auto" w:fill="auto"/>
          </w:tcPr>
          <w:p w14:paraId="2B118A8A" w14:textId="061A82D0" w:rsidR="00F933EC" w:rsidRPr="00B57B36" w:rsidRDefault="00F933EC" w:rsidP="00F933EC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13DFE">
              <w:rPr>
                <w:rFonts w:cs="Arial"/>
                <w:szCs w:val="18"/>
              </w:rPr>
              <w:t>2.03</w:t>
            </w:r>
          </w:p>
        </w:tc>
      </w:tr>
      <w:tr w:rsidR="00F933EC" w:rsidRPr="00B57B36" w14:paraId="791ABC19" w14:textId="77777777" w:rsidTr="00B36527">
        <w:tc>
          <w:tcPr>
            <w:tcW w:w="1134" w:type="dxa"/>
            <w:shd w:val="clear" w:color="auto" w:fill="auto"/>
          </w:tcPr>
          <w:p w14:paraId="7666CFC0" w14:textId="302E7F5E" w:rsidR="00F933EC" w:rsidRPr="00B57B36" w:rsidRDefault="00F933EC" w:rsidP="00F933E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A13DFE">
              <w:rPr>
                <w:lang w:val="en-GB"/>
              </w:rPr>
              <w:t>NG600</w:t>
            </w:r>
          </w:p>
        </w:tc>
        <w:tc>
          <w:tcPr>
            <w:tcW w:w="1566" w:type="dxa"/>
            <w:shd w:val="clear" w:color="auto" w:fill="auto"/>
          </w:tcPr>
          <w:p w14:paraId="613CDF07" w14:textId="56962137" w:rsidR="00F933EC" w:rsidRPr="00B57B36" w:rsidRDefault="00F933EC" w:rsidP="00F933EC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13DFE">
              <w:rPr>
                <w:rFonts w:cs="Arial"/>
                <w:szCs w:val="18"/>
              </w:rPr>
              <w:t>74</w:t>
            </w:r>
          </w:p>
        </w:tc>
        <w:tc>
          <w:tcPr>
            <w:tcW w:w="2520" w:type="dxa"/>
            <w:shd w:val="clear" w:color="auto" w:fill="auto"/>
          </w:tcPr>
          <w:p w14:paraId="7744E722" w14:textId="28260ADE" w:rsidR="00F933EC" w:rsidRPr="00B57B36" w:rsidRDefault="00F933EC" w:rsidP="00F933EC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13DFE">
              <w:rPr>
                <w:rFonts w:cs="Arial"/>
                <w:szCs w:val="18"/>
              </w:rPr>
              <w:t>0.164</w:t>
            </w:r>
          </w:p>
        </w:tc>
        <w:tc>
          <w:tcPr>
            <w:tcW w:w="2070" w:type="dxa"/>
            <w:shd w:val="clear" w:color="auto" w:fill="auto"/>
          </w:tcPr>
          <w:p w14:paraId="2963EA28" w14:textId="42192028" w:rsidR="00F933EC" w:rsidRPr="00B57B36" w:rsidRDefault="00F933EC" w:rsidP="00F933EC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13DFE">
              <w:rPr>
                <w:rFonts w:cs="Arial"/>
                <w:szCs w:val="18"/>
              </w:rPr>
              <w:t>2.02</w:t>
            </w:r>
          </w:p>
        </w:tc>
      </w:tr>
      <w:tr w:rsidR="00F933EC" w:rsidRPr="00B57B36" w14:paraId="22458CA8" w14:textId="77777777" w:rsidTr="00B36527">
        <w:tc>
          <w:tcPr>
            <w:tcW w:w="1134" w:type="dxa"/>
            <w:shd w:val="clear" w:color="auto" w:fill="auto"/>
          </w:tcPr>
          <w:p w14:paraId="0464ACE7" w14:textId="02D911F1" w:rsidR="00F933EC" w:rsidRPr="00B57B36" w:rsidRDefault="00F933EC" w:rsidP="00F933E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A13DFE">
              <w:rPr>
                <w:lang w:val="en-GB"/>
              </w:rPr>
              <w:t>NG700</w:t>
            </w:r>
          </w:p>
        </w:tc>
        <w:tc>
          <w:tcPr>
            <w:tcW w:w="1566" w:type="dxa"/>
            <w:shd w:val="clear" w:color="auto" w:fill="auto"/>
          </w:tcPr>
          <w:p w14:paraId="2549CFA5" w14:textId="58851ABD" w:rsidR="00F933EC" w:rsidRPr="00B57B36" w:rsidRDefault="00F933EC" w:rsidP="00F933EC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13DFE">
              <w:rPr>
                <w:rFonts w:cs="Arial"/>
                <w:szCs w:val="18"/>
              </w:rPr>
              <w:t>131</w:t>
            </w:r>
          </w:p>
        </w:tc>
        <w:tc>
          <w:tcPr>
            <w:tcW w:w="2520" w:type="dxa"/>
            <w:shd w:val="clear" w:color="auto" w:fill="auto"/>
          </w:tcPr>
          <w:p w14:paraId="1BAFA97C" w14:textId="567BACB5" w:rsidR="00F933EC" w:rsidRPr="00B57B36" w:rsidRDefault="00F933EC" w:rsidP="00F933EC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13DFE">
              <w:rPr>
                <w:rFonts w:cs="Arial"/>
                <w:szCs w:val="18"/>
              </w:rPr>
              <w:t>0.238</w:t>
            </w:r>
          </w:p>
        </w:tc>
        <w:tc>
          <w:tcPr>
            <w:tcW w:w="2070" w:type="dxa"/>
            <w:shd w:val="clear" w:color="auto" w:fill="auto"/>
          </w:tcPr>
          <w:p w14:paraId="3D05CAE5" w14:textId="58F37A04" w:rsidR="00F933EC" w:rsidRPr="00B57B36" w:rsidRDefault="00F933EC" w:rsidP="00F933EC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13DFE">
              <w:rPr>
                <w:rFonts w:cs="Arial"/>
                <w:szCs w:val="18"/>
              </w:rPr>
              <w:t>2.01</w:t>
            </w:r>
          </w:p>
        </w:tc>
      </w:tr>
      <w:tr w:rsidR="00F933EC" w:rsidRPr="00B57B36" w14:paraId="1FDDF35B" w14:textId="77777777" w:rsidTr="0014080B">
        <w:trPr>
          <w:trHeight w:val="57"/>
        </w:trPr>
        <w:tc>
          <w:tcPr>
            <w:tcW w:w="1134" w:type="dxa"/>
            <w:shd w:val="clear" w:color="auto" w:fill="auto"/>
          </w:tcPr>
          <w:p w14:paraId="24C216E1" w14:textId="5C920764" w:rsidR="00F933EC" w:rsidRPr="00B57B36" w:rsidRDefault="00F933EC" w:rsidP="00F933EC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A13DFE">
              <w:rPr>
                <w:lang w:val="en-GB"/>
              </w:rPr>
              <w:t>NG800</w:t>
            </w:r>
          </w:p>
        </w:tc>
        <w:tc>
          <w:tcPr>
            <w:tcW w:w="1566" w:type="dxa"/>
            <w:shd w:val="clear" w:color="auto" w:fill="auto"/>
          </w:tcPr>
          <w:p w14:paraId="44F48D41" w14:textId="055FA3C0" w:rsidR="00F933EC" w:rsidRPr="00B57B36" w:rsidRDefault="00F933EC" w:rsidP="00F933EC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13DFE">
              <w:rPr>
                <w:rFonts w:cs="Arial"/>
                <w:szCs w:val="18"/>
              </w:rPr>
              <w:t>140</w:t>
            </w:r>
          </w:p>
        </w:tc>
        <w:tc>
          <w:tcPr>
            <w:tcW w:w="2520" w:type="dxa"/>
            <w:shd w:val="clear" w:color="auto" w:fill="auto"/>
          </w:tcPr>
          <w:p w14:paraId="74DBD672" w14:textId="619D6F39" w:rsidR="00F933EC" w:rsidRPr="00B57B36" w:rsidRDefault="00F933EC" w:rsidP="00F933EC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13DFE">
              <w:rPr>
                <w:rFonts w:cs="Arial"/>
                <w:szCs w:val="18"/>
              </w:rPr>
              <w:t>0.243</w:t>
            </w:r>
          </w:p>
        </w:tc>
        <w:tc>
          <w:tcPr>
            <w:tcW w:w="2070" w:type="dxa"/>
            <w:shd w:val="clear" w:color="auto" w:fill="auto"/>
          </w:tcPr>
          <w:p w14:paraId="30BEB978" w14:textId="0F9CE357" w:rsidR="00F933EC" w:rsidRPr="00B57B36" w:rsidRDefault="00F933EC" w:rsidP="00F933EC">
            <w:pPr>
              <w:pStyle w:val="CETBodytext"/>
              <w:ind w:right="-1"/>
              <w:jc w:val="center"/>
              <w:rPr>
                <w:rFonts w:cs="Arial"/>
                <w:szCs w:val="18"/>
                <w:lang w:val="en-GB"/>
              </w:rPr>
            </w:pPr>
            <w:r w:rsidRPr="00A13DFE">
              <w:rPr>
                <w:rFonts w:cs="Arial"/>
                <w:szCs w:val="18"/>
              </w:rPr>
              <w:t>2.03</w:t>
            </w:r>
          </w:p>
        </w:tc>
      </w:tr>
    </w:tbl>
    <w:p w14:paraId="797C0FC6" w14:textId="6A526277" w:rsidR="00661BA8" w:rsidRDefault="00661BA8" w:rsidP="00661BA8">
      <w:pPr>
        <w:pStyle w:val="CETheadingx"/>
      </w:pPr>
      <w:r>
        <w:t xml:space="preserve">Adsorption and </w:t>
      </w:r>
      <w:r w:rsidR="001B795C">
        <w:t>C</w:t>
      </w:r>
      <w:r>
        <w:t>atalyt</w:t>
      </w:r>
      <w:r w:rsidR="006502FB">
        <w:t xml:space="preserve">ic </w:t>
      </w:r>
      <w:r w:rsidR="001B795C">
        <w:t>P</w:t>
      </w:r>
      <w:r w:rsidR="006502FB">
        <w:t>erformance</w:t>
      </w:r>
      <w:r>
        <w:t xml:space="preserve"> of NG</w:t>
      </w:r>
    </w:p>
    <w:p w14:paraId="2C4C261E" w14:textId="25D631E7" w:rsidR="003007ED" w:rsidRDefault="003007ED" w:rsidP="00B97791">
      <w:pPr>
        <w:pStyle w:val="CETBodytext"/>
      </w:pPr>
      <w:bookmarkStart w:id="3" w:name="_Hlk529187684"/>
      <w:r w:rsidRPr="004C16C0">
        <w:t xml:space="preserve">As shown </w:t>
      </w:r>
      <w:r w:rsidRPr="00DC416F">
        <w:t xml:space="preserve">in </w:t>
      </w:r>
      <w:r w:rsidR="00B97791">
        <w:t>Figure</w:t>
      </w:r>
      <w:r w:rsidRPr="00DC416F">
        <w:t xml:space="preserve"> 5</w:t>
      </w:r>
      <w:r w:rsidR="005E0EFB" w:rsidRPr="00DC416F">
        <w:t>(a)</w:t>
      </w:r>
      <w:r w:rsidRPr="00DC416F">
        <w:t>,</w:t>
      </w:r>
      <w:bookmarkEnd w:id="3"/>
      <w:r w:rsidRPr="004C16C0">
        <w:t xml:space="preserve"> less than 10% </w:t>
      </w:r>
      <w:r w:rsidR="004C0ED9">
        <w:t>SAM</w:t>
      </w:r>
      <w:r w:rsidRPr="004C16C0">
        <w:t xml:space="preserve"> </w:t>
      </w:r>
      <w:r w:rsidR="00FE18AA">
        <w:t>adsorption</w:t>
      </w:r>
      <w:r w:rsidRPr="004C16C0">
        <w:t xml:space="preserve"> </w:t>
      </w:r>
      <w:r w:rsidR="004C2C79">
        <w:t>wa</w:t>
      </w:r>
      <w:r w:rsidRPr="004C16C0">
        <w:t xml:space="preserve">s achieved by </w:t>
      </w:r>
      <w:r w:rsidR="00CA0B09">
        <w:t>GO and NGs</w:t>
      </w:r>
      <w:r w:rsidRPr="004C16C0">
        <w:t>.</w:t>
      </w:r>
      <w:r w:rsidRPr="003007ED">
        <w:t xml:space="preserve"> </w:t>
      </w:r>
      <w:r w:rsidRPr="004C16C0">
        <w:t>RGO600 exhibit</w:t>
      </w:r>
      <w:r w:rsidR="00434BD1">
        <w:t>ed</w:t>
      </w:r>
      <w:r w:rsidRPr="004C16C0">
        <w:t xml:space="preserve"> the highest adsorption ability with 34% </w:t>
      </w:r>
      <w:r w:rsidR="004C0ED9">
        <w:t>SAM</w:t>
      </w:r>
      <w:r w:rsidRPr="004C16C0">
        <w:t xml:space="preserve"> removal efficiency, probably due to its highest </w:t>
      </w:r>
      <w:r w:rsidR="00572E10">
        <w:t>SSA</w:t>
      </w:r>
      <w:r w:rsidRPr="004C16C0">
        <w:t xml:space="preserve"> (452 m</w:t>
      </w:r>
      <w:r w:rsidRPr="004C16C0">
        <w:rPr>
          <w:vertAlign w:val="superscript"/>
        </w:rPr>
        <w:t>2</w:t>
      </w:r>
      <w:r w:rsidRPr="004C16C0">
        <w:t xml:space="preserve"> g</w:t>
      </w:r>
      <w:r w:rsidRPr="004C16C0">
        <w:rPr>
          <w:vertAlign w:val="superscript"/>
        </w:rPr>
        <w:t>-1</w:t>
      </w:r>
      <w:r w:rsidRPr="00DC416F">
        <w:t xml:space="preserve">) (Table </w:t>
      </w:r>
      <w:r w:rsidR="004548D4" w:rsidRPr="00DC416F">
        <w:t>1</w:t>
      </w:r>
      <w:r w:rsidRPr="00DC416F">
        <w:t>)</w:t>
      </w:r>
      <w:r w:rsidR="0059227A">
        <w:t xml:space="preserve"> and</w:t>
      </w:r>
      <w:r w:rsidRPr="004C16C0">
        <w:t xml:space="preserve"> </w:t>
      </w:r>
      <m:oMath>
        <m:r>
          <w:rPr>
            <w:rFonts w:ascii="Cambria Math" w:hAnsi="Cambria Math"/>
          </w:rPr>
          <m:t>π</m:t>
        </m:r>
      </m:oMath>
      <w:r w:rsidRPr="004C16C0">
        <w:t>-</w:t>
      </w:r>
      <m:oMath>
        <m:r>
          <w:rPr>
            <w:rFonts w:ascii="Cambria Math" w:hAnsi="Cambria Math"/>
          </w:rPr>
          <m:t>π</m:t>
        </m:r>
      </m:oMath>
      <w:r w:rsidRPr="004C16C0">
        <w:t xml:space="preserve"> stacking intraction between the more carbon-rich surface of RGO and the aromatic ring of </w:t>
      </w:r>
      <w:r w:rsidR="004C0ED9">
        <w:t>SAM</w:t>
      </w:r>
      <w:r w:rsidRPr="004C16C0">
        <w:t>.</w:t>
      </w:r>
      <w:r w:rsidR="002E1670">
        <w:t xml:space="preserve"> </w:t>
      </w:r>
    </w:p>
    <w:p w14:paraId="191DE5D9" w14:textId="3E56786A" w:rsidR="002E1670" w:rsidRDefault="0040371D" w:rsidP="00B97791">
      <w:pPr>
        <w:pStyle w:val="CETBodytext"/>
      </w:pPr>
      <w:r>
        <w:t xml:space="preserve">According </w:t>
      </w:r>
      <w:r w:rsidRPr="00DC416F">
        <w:t>to</w:t>
      </w:r>
      <w:r w:rsidR="005E0EFB" w:rsidRPr="00DC416F">
        <w:t xml:space="preserve"> </w:t>
      </w:r>
      <w:r w:rsidR="00B97791">
        <w:t>Figure</w:t>
      </w:r>
      <w:r w:rsidR="005E0EFB" w:rsidRPr="00DC416F">
        <w:t xml:space="preserve"> 5(b), t</w:t>
      </w:r>
      <w:r w:rsidR="002E1670" w:rsidRPr="00DC416F">
        <w:t>he</w:t>
      </w:r>
      <w:r w:rsidR="002E1670">
        <w:t xml:space="preserve"> apparent first order reaction rate constants (k</w:t>
      </w:r>
      <w:r w:rsidR="002E1670" w:rsidRPr="00263E2E">
        <w:rPr>
          <w:vertAlign w:val="subscript"/>
        </w:rPr>
        <w:t>app</w:t>
      </w:r>
      <w:r w:rsidR="002E1670">
        <w:t xml:space="preserve">) of </w:t>
      </w:r>
      <w:r w:rsidR="004C0ED9">
        <w:t>SAM</w:t>
      </w:r>
      <w:r w:rsidR="002E1670">
        <w:t xml:space="preserve"> degradation via PMS activation by GO, RGO600, NG400</w:t>
      </w:r>
      <w:r w:rsidR="00E53E98">
        <w:t>-</w:t>
      </w:r>
      <w:r w:rsidR="002E1670">
        <w:t>NG800 are estimated to be 0.0086, 0.019, 0.0081, 0.031, 0.090, 0.061 and 0.071 min</w:t>
      </w:r>
      <w:r w:rsidR="002E1670" w:rsidRPr="004E476B">
        <w:rPr>
          <w:vertAlign w:val="superscript"/>
        </w:rPr>
        <w:t>-1</w:t>
      </w:r>
      <w:r w:rsidR="002E1670">
        <w:t>, respectively</w:t>
      </w:r>
      <w:r w:rsidR="002E1670" w:rsidRPr="00A9716B">
        <w:t>.</w:t>
      </w:r>
      <w:r w:rsidR="002E1670">
        <w:t xml:space="preserve"> Compared with the rate of </w:t>
      </w:r>
      <w:r w:rsidR="004C0ED9">
        <w:t>SAM</w:t>
      </w:r>
      <w:r w:rsidR="002E1670">
        <w:t xml:space="preserve"> degradation by </w:t>
      </w:r>
      <w:r w:rsidR="002E1670" w:rsidRPr="005D156A">
        <w:t>direct</w:t>
      </w:r>
      <w:r w:rsidR="002E1670">
        <w:t xml:space="preserve"> PMS oxidation (0.0095 min</w:t>
      </w:r>
      <w:r w:rsidR="002E1670" w:rsidRPr="00741669">
        <w:rPr>
          <w:vertAlign w:val="superscript"/>
        </w:rPr>
        <w:t>-1</w:t>
      </w:r>
      <w:r w:rsidR="002E1670">
        <w:t xml:space="preserve">), GO and NG400 can hardly activate PMS for </w:t>
      </w:r>
      <w:r w:rsidR="004C0ED9">
        <w:t>SAM</w:t>
      </w:r>
      <w:r w:rsidR="002E1670">
        <w:t xml:space="preserve"> degradation with only 40% and 39% removal efficiency within 60 min, respectively. However, RGO600, NG500</w:t>
      </w:r>
      <w:r w:rsidR="002E47FD">
        <w:t>-</w:t>
      </w:r>
      <w:r w:rsidR="002E1670">
        <w:t>NG800 all exhibit</w:t>
      </w:r>
      <w:r w:rsidR="001C615E">
        <w:t>ed</w:t>
      </w:r>
      <w:r w:rsidR="002E1670">
        <w:t xml:space="preserve"> catalytic ability to activate PMS, and all the NG500</w:t>
      </w:r>
      <w:r w:rsidR="002E47FD">
        <w:t>-</w:t>
      </w:r>
      <w:r w:rsidR="002E1670">
        <w:t>NG800 show</w:t>
      </w:r>
      <w:r w:rsidR="001C615E">
        <w:t>ed</w:t>
      </w:r>
      <w:r w:rsidR="002E1670">
        <w:t xml:space="preserve"> better catalytic performances than RGO600. </w:t>
      </w:r>
      <w:r w:rsidR="00526E91" w:rsidRPr="00526E91">
        <w:t xml:space="preserve">The </w:t>
      </w:r>
      <w:r w:rsidR="004C0ED9">
        <w:t>SAM</w:t>
      </w:r>
      <w:r w:rsidR="00526E91" w:rsidRPr="00526E91">
        <w:t xml:space="preserve"> degradation by NG600/PMS is 5 times and 10 times faster than that of RGO/PMS and GO/PMS, respectively, indicating the doped nitrogen under higher annealing temperature (600-800</w:t>
      </w:r>
      <w:r w:rsidR="007639D6">
        <w:t xml:space="preserve"> </w:t>
      </w:r>
      <w:r w:rsidR="007639D6" w:rsidRPr="00A45EE4">
        <w:rPr>
          <w:color w:val="000000" w:themeColor="text1"/>
        </w:rPr>
        <w:t>°C</w:t>
      </w:r>
      <w:r w:rsidR="00526E91" w:rsidRPr="00526E91">
        <w:t>) is the active site producing catalytic effect to activate PMS.</w:t>
      </w:r>
    </w:p>
    <w:p w14:paraId="410F1532" w14:textId="77777777" w:rsidR="00B97791" w:rsidRPr="00D85130" w:rsidRDefault="00B97791" w:rsidP="00B97791">
      <w:pPr>
        <w:pStyle w:val="CETBodytext"/>
      </w:pPr>
    </w:p>
    <w:p w14:paraId="50FD1BBC" w14:textId="54512B79" w:rsidR="002E1670" w:rsidRPr="002E1670" w:rsidRDefault="00E86E00" w:rsidP="003007ED">
      <w:pPr>
        <w:pStyle w:val="CETBodytext"/>
        <w:rPr>
          <w:lang w:val="en-GB"/>
        </w:rPr>
      </w:pPr>
      <w:r>
        <w:rPr>
          <w:noProof/>
          <w:lang w:eastAsia="zh-CN"/>
        </w:rPr>
        <w:lastRenderedPageBreak/>
        <w:drawing>
          <wp:inline distT="0" distB="0" distL="0" distR="0" wp14:anchorId="25A683A3" wp14:editId="1096A2EA">
            <wp:extent cx="2204114" cy="1678675"/>
            <wp:effectExtent l="0" t="0" r="5715" b="0"/>
            <wp:docPr id="64" name="图片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3-11 at 下午5.34.17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641" cy="1754476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b/>
          <w:noProof/>
          <w:lang w:eastAsia="zh-CN"/>
        </w:rPr>
        <w:drawing>
          <wp:inline distT="0" distB="0" distL="0" distR="0" wp14:anchorId="48FDB65F" wp14:editId="7AE89684">
            <wp:extent cx="2100121" cy="1615459"/>
            <wp:effectExtent l="0" t="0" r="0" b="3810"/>
            <wp:docPr id="28" name="图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5-02 at 下午5.25.48.png"/>
                    <pic:cNvPicPr preferRelativeResize="0"/>
                  </pic:nvPicPr>
                  <pic:blipFill rotWithShape="1">
                    <a:blip r:embed="rId22"/>
                    <a:srcRect l="6404" t="3269" r="11437"/>
                    <a:stretch/>
                  </pic:blipFill>
                  <pic:spPr bwMode="auto">
                    <a:xfrm>
                      <a:off x="0" y="0"/>
                      <a:ext cx="2170336" cy="166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1478EE05" w14:textId="1B265F14" w:rsidR="004D60D3" w:rsidRDefault="004D60D3" w:rsidP="004D60D3">
      <w:pPr>
        <w:pStyle w:val="CETCaption"/>
      </w:pPr>
      <w:r w:rsidRPr="001F3513">
        <w:t xml:space="preserve">Figure </w:t>
      </w:r>
      <w:r>
        <w:t>5</w:t>
      </w:r>
      <w:r w:rsidRPr="001F3513">
        <w:t xml:space="preserve">: </w:t>
      </w:r>
      <w:r>
        <w:t>(a)</w:t>
      </w:r>
      <w:r w:rsidRPr="0079401F">
        <w:rPr>
          <w:rFonts w:ascii="Times New Roman" w:hAnsi="Times New Roman"/>
        </w:rPr>
        <w:t xml:space="preserve"> </w:t>
      </w:r>
      <w:r>
        <w:t xml:space="preserve">adsorption performance and (b) catalytic performance </w:t>
      </w:r>
      <w:r w:rsidRPr="0079401F">
        <w:t>of</w:t>
      </w:r>
      <w:r>
        <w:t xml:space="preserve"> GO, RGO and NGs.</w:t>
      </w:r>
    </w:p>
    <w:p w14:paraId="73C9FD75" w14:textId="7A53B6B8" w:rsidR="00AA7213" w:rsidRDefault="00AA7213" w:rsidP="00AA7213">
      <w:pPr>
        <w:pStyle w:val="CETheadingx"/>
      </w:pPr>
      <w:r>
        <w:t xml:space="preserve">Mechanism of </w:t>
      </w:r>
      <w:r w:rsidR="004C0ED9">
        <w:t>SAM</w:t>
      </w:r>
      <w:r>
        <w:t xml:space="preserve"> </w:t>
      </w:r>
      <w:r w:rsidR="00200E5A">
        <w:t>D</w:t>
      </w:r>
      <w:r>
        <w:t xml:space="preserve">egradation by </w:t>
      </w:r>
      <w:r w:rsidR="00200E5A">
        <w:t>NG/PMS System</w:t>
      </w:r>
    </w:p>
    <w:p w14:paraId="4A92C4FB" w14:textId="1F93C3AE" w:rsidR="005E0EFB" w:rsidRDefault="00025DC7" w:rsidP="00B97791">
      <w:pPr>
        <w:pStyle w:val="CETBodytext"/>
      </w:pPr>
      <w:r w:rsidRPr="00825DDB">
        <w:t xml:space="preserve">To investigate the possible </w:t>
      </w:r>
      <w:r w:rsidR="004C0ED9">
        <w:t>SAM</w:t>
      </w:r>
      <w:r w:rsidRPr="00825DDB">
        <w:t xml:space="preserve"> degradation mechanism in the present NG/PMS system, </w:t>
      </w:r>
      <w:r w:rsidR="00CB5574">
        <w:t>p</w:t>
      </w:r>
      <w:r w:rsidR="00750A2A" w:rsidRPr="00825DDB">
        <w:t xml:space="preserve">henol </w:t>
      </w:r>
      <w:r w:rsidR="00CB5574">
        <w:t>was used to</w:t>
      </w:r>
      <w:r w:rsidR="00750A2A" w:rsidRPr="00825DDB">
        <w:t xml:space="preserve"> scavenge both </w:t>
      </w:r>
      <w:r w:rsidR="00750A2A" w:rsidRPr="00AB4C42">
        <w:t>SO</w:t>
      </w:r>
      <w:r w:rsidR="00750A2A" w:rsidRPr="00AB4C42">
        <w:rPr>
          <w:vertAlign w:val="subscript"/>
        </w:rPr>
        <w:t>4</w:t>
      </w:r>
      <w:r w:rsidR="00750A2A" w:rsidRPr="00AB4C42">
        <w:rPr>
          <w:vertAlign w:val="superscript"/>
        </w:rPr>
        <w:t>•-</w:t>
      </w:r>
      <w:r w:rsidR="00750A2A">
        <w:rPr>
          <w:vertAlign w:val="superscript"/>
        </w:rPr>
        <w:t xml:space="preserve"> </w:t>
      </w:r>
      <w:r w:rsidR="00750A2A">
        <w:t xml:space="preserve">and </w:t>
      </w:r>
      <w:r w:rsidR="00750A2A" w:rsidRPr="00DA3D83">
        <w:t>HO</w:t>
      </w:r>
      <w:r w:rsidR="00750A2A" w:rsidRPr="00DA3D83">
        <w:rPr>
          <w:vertAlign w:val="superscript"/>
        </w:rPr>
        <w:t>•</w:t>
      </w:r>
      <w:r w:rsidR="00750A2A">
        <w:rPr>
          <w:vertAlign w:val="superscript"/>
        </w:rPr>
        <w:t xml:space="preserve"> </w:t>
      </w:r>
      <w:r w:rsidR="00750A2A" w:rsidRPr="00825DDB">
        <w:t>with high and comparable rate constants (</w:t>
      </w:r>
      <w:r w:rsidR="005E2095">
        <w:t>k (</w:t>
      </w:r>
      <w:r w:rsidR="005E2095" w:rsidRPr="00AB4C42">
        <w:t>SO</w:t>
      </w:r>
      <w:r w:rsidR="005E2095" w:rsidRPr="00AB4C42">
        <w:rPr>
          <w:vertAlign w:val="subscript"/>
        </w:rPr>
        <w:t>4</w:t>
      </w:r>
      <w:r w:rsidR="005E2095" w:rsidRPr="00AB4C42">
        <w:rPr>
          <w:vertAlign w:val="superscript"/>
        </w:rPr>
        <w:t>•-</w:t>
      </w:r>
      <w:r w:rsidR="005E2095">
        <w:rPr>
          <w:vertAlign w:val="superscript"/>
        </w:rPr>
        <w:t xml:space="preserve"> </w:t>
      </w:r>
      <w:r w:rsidR="005E2095">
        <w:t xml:space="preserve">+ phenol) </w:t>
      </w:r>
      <w:r w:rsidR="00750A2A" w:rsidRPr="00825DDB">
        <w:t>= 8.8</w:t>
      </w:r>
      <m:oMath>
        <m:r>
          <w:rPr>
            <w:rFonts w:ascii="Cambria Math" w:hAnsi="Cambria Math"/>
          </w:rPr>
          <m:t xml:space="preserve"> ×</m:t>
        </m:r>
      </m:oMath>
      <w:r w:rsidR="00750A2A" w:rsidRPr="00825DDB">
        <w:t xml:space="preserve"> 10</w:t>
      </w:r>
      <w:r w:rsidR="00750A2A" w:rsidRPr="00825DDB">
        <w:rPr>
          <w:vertAlign w:val="superscript"/>
        </w:rPr>
        <w:t>9</w:t>
      </w:r>
      <w:r w:rsidR="00750A2A" w:rsidRPr="00825DDB">
        <w:t xml:space="preserve"> M</w:t>
      </w:r>
      <w:r w:rsidR="00750A2A" w:rsidRPr="00825DDB">
        <w:rPr>
          <w:vertAlign w:val="superscript"/>
        </w:rPr>
        <w:t>-1</w:t>
      </w:r>
      <w:r w:rsidR="00750A2A" w:rsidRPr="00825DDB">
        <w:t xml:space="preserve"> s</w:t>
      </w:r>
      <w:r w:rsidR="00750A2A" w:rsidRPr="00825DDB">
        <w:rPr>
          <w:vertAlign w:val="superscript"/>
        </w:rPr>
        <w:t>-1</w:t>
      </w:r>
      <w:r w:rsidR="00750A2A" w:rsidRPr="00825DDB">
        <w:t xml:space="preserve">, </w:t>
      </w:r>
      <w:r w:rsidR="005E2095">
        <w:t>k (</w:t>
      </w:r>
      <w:r w:rsidR="005E2095" w:rsidRPr="00DA3D83">
        <w:t>HO</w:t>
      </w:r>
      <w:r w:rsidR="005E2095" w:rsidRPr="00DA3D83">
        <w:rPr>
          <w:vertAlign w:val="superscript"/>
        </w:rPr>
        <w:t>•</w:t>
      </w:r>
      <w:r w:rsidR="005E2095">
        <w:rPr>
          <w:vertAlign w:val="superscript"/>
        </w:rPr>
        <w:t xml:space="preserve"> </w:t>
      </w:r>
      <w:r w:rsidR="005E2095">
        <w:t xml:space="preserve">+ phenol) </w:t>
      </w:r>
      <w:r w:rsidR="00750A2A" w:rsidRPr="00825DDB">
        <w:t>= 6.6</w:t>
      </w:r>
      <m:oMath>
        <m:r>
          <w:rPr>
            <w:rFonts w:ascii="Cambria Math" w:hAnsi="Cambria Math"/>
          </w:rPr>
          <m:t xml:space="preserve"> ×</m:t>
        </m:r>
      </m:oMath>
      <w:r w:rsidR="00750A2A" w:rsidRPr="00825DDB">
        <w:t xml:space="preserve"> 10</w:t>
      </w:r>
      <w:r w:rsidR="00750A2A" w:rsidRPr="00825DDB">
        <w:rPr>
          <w:vertAlign w:val="superscript"/>
        </w:rPr>
        <w:t>9</w:t>
      </w:r>
      <w:r w:rsidR="00750A2A" w:rsidRPr="00825DDB">
        <w:t xml:space="preserve"> M</w:t>
      </w:r>
      <w:r w:rsidR="00750A2A" w:rsidRPr="00825DDB">
        <w:rPr>
          <w:vertAlign w:val="superscript"/>
        </w:rPr>
        <w:t>-1</w:t>
      </w:r>
      <w:r w:rsidR="00750A2A" w:rsidRPr="00825DDB">
        <w:t xml:space="preserve"> s</w:t>
      </w:r>
      <w:r w:rsidR="00750A2A" w:rsidRPr="00825DDB">
        <w:rPr>
          <w:vertAlign w:val="superscript"/>
        </w:rPr>
        <w:t>-1</w:t>
      </w:r>
      <w:r w:rsidR="00750A2A" w:rsidRPr="00825DDB">
        <w:t xml:space="preserve">) </w:t>
      </w:r>
      <w:r w:rsidR="00750A2A" w:rsidRPr="00825DDB">
        <w:fldChar w:fldCharType="begin">
          <w:fldData xml:space="preserve">PEVuZE5vdGU+PENpdGU+PEF1dGhvcj5aaWFqa2E8L0F1dGhvcj48WWVhcj4yMDA1PC9ZZWFyPjxS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</w:fldData>
        </w:fldChar>
      </w:r>
      <w:r w:rsidR="00CB75E9">
        <w:instrText xml:space="preserve"> ADDIN EN.CITE </w:instrText>
      </w:r>
      <w:r w:rsidR="00CB75E9">
        <w:fldChar w:fldCharType="begin">
          <w:fldData xml:space="preserve">PEVuZE5vdGU+PENpdGU+PEF1dGhvcj5aaWFqa2E8L0F1dGhvcj48WWVhcj4yMDA1PC9ZZWFyPjxS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</w:fldData>
        </w:fldChar>
      </w:r>
      <w:r w:rsidR="00CB75E9">
        <w:instrText xml:space="preserve"> ADDIN EN.CITE.DATA </w:instrText>
      </w:r>
      <w:r w:rsidR="00CB75E9">
        <w:fldChar w:fldCharType="end"/>
      </w:r>
      <w:r w:rsidR="00750A2A" w:rsidRPr="00825DDB">
        <w:fldChar w:fldCharType="separate"/>
      </w:r>
      <w:r w:rsidR="00CB75E9">
        <w:rPr>
          <w:noProof/>
        </w:rPr>
        <w:t>(</w:t>
      </w:r>
      <w:hyperlink w:anchor="_ENREF_11" w:tooltip="Lindsey, 2000 #355" w:history="1">
        <w:r w:rsidR="00922ED7">
          <w:rPr>
            <w:noProof/>
          </w:rPr>
          <w:t>Lindsey and Tarr 2000</w:t>
        </w:r>
      </w:hyperlink>
      <w:r w:rsidR="00CB75E9">
        <w:rPr>
          <w:noProof/>
        </w:rPr>
        <w:t xml:space="preserve">, </w:t>
      </w:r>
      <w:hyperlink w:anchor="_ENREF_14" w:tooltip="Ziajka, 2005 #403" w:history="1">
        <w:r w:rsidR="00922ED7">
          <w:rPr>
            <w:noProof/>
          </w:rPr>
          <w:t>Ziajka and Pasiuk-Bronikowska 2005</w:t>
        </w:r>
      </w:hyperlink>
      <w:r w:rsidR="00CB75E9">
        <w:rPr>
          <w:noProof/>
        </w:rPr>
        <w:t>)</w:t>
      </w:r>
      <w:r w:rsidR="00750A2A" w:rsidRPr="00825DDB">
        <w:fldChar w:fldCharType="end"/>
      </w:r>
      <w:r w:rsidR="00750A2A" w:rsidRPr="00825DDB">
        <w:t xml:space="preserve">. </w:t>
      </w:r>
      <w:r w:rsidR="00750A2A" w:rsidRPr="00750A2A">
        <w:t>NaClO</w:t>
      </w:r>
      <w:r w:rsidR="00750A2A" w:rsidRPr="00AF4C09">
        <w:rPr>
          <w:vertAlign w:val="subscript"/>
        </w:rPr>
        <w:t>4</w:t>
      </w:r>
      <w:r w:rsidR="00750A2A" w:rsidRPr="00750A2A">
        <w:t xml:space="preserve"> can contribute to the ionic strength of the NG/PMS system without inducing PMS activation and thus can act as a quenching agent for </w:t>
      </w:r>
      <w:r w:rsidR="00095AD7" w:rsidRPr="008144B2">
        <w:t xml:space="preserve">surface activated complex </w:t>
      </w:r>
      <w:r w:rsidR="00FE4B71" w:rsidRPr="008144B2">
        <w:t xml:space="preserve">as </w:t>
      </w:r>
      <w:r w:rsidR="00750A2A" w:rsidRPr="00750A2A">
        <w:t>non-radical pathway</w:t>
      </w:r>
      <w:r w:rsidR="00FE4B71">
        <w:t xml:space="preserve"> </w:t>
      </w:r>
      <w:r w:rsidR="00750A2A" w:rsidRPr="00750A2A">
        <w:fldChar w:fldCharType="begin"/>
      </w:r>
      <w:r w:rsidR="00CB75E9">
        <w:instrText xml:space="preserve"> ADDIN EN.CITE &lt;EndNote&gt;&lt;Cite&gt;&lt;Author&gt;Chen&lt;/Author&gt;&lt;Year&gt;2016&lt;/Year&gt;&lt;RecNum&gt;351&lt;/RecNum&gt;&lt;DisplayText&gt;(Chen, Zhang et al. 2016)&lt;/DisplayText&gt;&lt;record&gt;&lt;rec-number&gt;351&lt;/rec-number&gt;&lt;foreign-keys&gt;&lt;key app="EN" db-id="ap52awefuxaz96e9avq525ted0txrrx0zx2e" timestamp="1493352540"&gt;351&lt;/key&gt;&lt;/foreign-keys&gt;&lt;ref-type name="Journal Article"&gt;17&lt;/ref-type&gt;&lt;contributors&gt;&lt;authors&gt;&lt;author&gt;Chen, J.&lt;/author&gt;&lt;author&gt;Zhang, L.&lt;/author&gt;&lt;author&gt;Huang, T.&lt;/author&gt;&lt;author&gt;Li, W.&lt;/author&gt;&lt;author&gt;Wang, Y.&lt;/author&gt;&lt;author&gt;Wang, Z.&lt;/author&gt;&lt;/authors&gt;&lt;/contributors&gt;&lt;titles&gt;&lt;title&gt;Decolorization of azo dye by peroxymonosulfate activated by carbon nanotube: Radical versus non-radical mechanism&lt;/title&gt;&lt;secondary-title&gt;Journal of Hazardous Materials&lt;/secondary-title&gt;&lt;/titles&gt;&lt;periodical&gt;&lt;full-title&gt;Journal of Hazardous Materials&lt;/full-title&gt;&lt;/periodical&gt;&lt;pages&gt;571-580&lt;/pages&gt;&lt;volume&gt;320&lt;/volume&gt;&lt;dates&gt;&lt;year&gt;2016&lt;/year&gt;&lt;/dates&gt;&lt;work-type&gt;Article&lt;/work-type&gt;&lt;urls&gt;&lt;related-urls&gt;&lt;url&gt;https://www.scopus.com/inward/record.uri?eid=2-s2.0-84990984073&amp;amp;doi=10.1016%2fj.jhazmat.2016.07.038&amp;amp;partnerID=40&amp;amp;md5=ee90fa77221b7814a287fc1835b3d8d6&lt;/url&gt;&lt;/related-urls&gt;&lt;/urls&gt;&lt;electronic-resource-num&gt;10.1016/j.jhazmat.2016.07.038&lt;/electronic-resource-num&gt;&lt;remote-database-name&gt;Scopus&lt;/remote-database-name&gt;&lt;/record&gt;&lt;/Cite&gt;&lt;/EndNote&gt;</w:instrText>
      </w:r>
      <w:r w:rsidR="00750A2A" w:rsidRPr="00750A2A">
        <w:fldChar w:fldCharType="separate"/>
      </w:r>
      <w:r w:rsidR="00CB75E9">
        <w:rPr>
          <w:noProof/>
        </w:rPr>
        <w:t>(</w:t>
      </w:r>
      <w:hyperlink w:anchor="_ENREF_3" w:tooltip="Chen, 2016 #351" w:history="1">
        <w:r w:rsidR="00922ED7">
          <w:rPr>
            <w:noProof/>
          </w:rPr>
          <w:t>Chen, Zhang et al. 2016</w:t>
        </w:r>
      </w:hyperlink>
      <w:r w:rsidR="00CB75E9">
        <w:rPr>
          <w:noProof/>
        </w:rPr>
        <w:t>)</w:t>
      </w:r>
      <w:r w:rsidR="00750A2A" w:rsidRPr="00750A2A">
        <w:fldChar w:fldCharType="end"/>
      </w:r>
      <w:r w:rsidR="00750A2A" w:rsidRPr="00750A2A">
        <w:t>. NB act</w:t>
      </w:r>
      <w:r w:rsidR="004F1A3F">
        <w:t>ed</w:t>
      </w:r>
      <w:r w:rsidR="00750A2A" w:rsidRPr="00750A2A">
        <w:t xml:space="preserve"> as a HO• scavenger (</w:t>
      </w:r>
      <w:r w:rsidR="005E2095">
        <w:t>k (</w:t>
      </w:r>
      <w:r w:rsidR="005E2095" w:rsidRPr="00DA3D83">
        <w:t>HO</w:t>
      </w:r>
      <w:r w:rsidR="005E2095" w:rsidRPr="00DA3D83">
        <w:rPr>
          <w:vertAlign w:val="superscript"/>
        </w:rPr>
        <w:t>•</w:t>
      </w:r>
      <w:r w:rsidR="005E2095">
        <w:rPr>
          <w:vertAlign w:val="superscript"/>
        </w:rPr>
        <w:t xml:space="preserve"> </w:t>
      </w:r>
      <w:r w:rsidR="005E2095">
        <w:t>+ NB)</w:t>
      </w:r>
      <w:r w:rsidR="00750A2A" w:rsidRPr="00750A2A">
        <w:t xml:space="preserve"> </w:t>
      </w:r>
      <w:r w:rsidR="001C615E">
        <w:t>=</w:t>
      </w:r>
      <w:r w:rsidR="00750A2A" w:rsidRPr="00750A2A">
        <w:t xml:space="preserve"> 3.9</w:t>
      </w:r>
      <m:oMath>
        <m:r>
          <w:rPr>
            <w:rFonts w:ascii="Cambria Math" w:hAnsi="Cambria Math"/>
          </w:rPr>
          <m:t xml:space="preserve"> ×</m:t>
        </m:r>
      </m:oMath>
      <w:r w:rsidR="00750A2A" w:rsidRPr="00750A2A">
        <w:t xml:space="preserve"> 10</w:t>
      </w:r>
      <w:r w:rsidR="00750A2A" w:rsidRPr="003961C5">
        <w:rPr>
          <w:vertAlign w:val="superscript"/>
        </w:rPr>
        <w:t>9</w:t>
      </w:r>
      <w:r w:rsidR="00750A2A" w:rsidRPr="00750A2A">
        <w:t xml:space="preserve"> M</w:t>
      </w:r>
      <w:r w:rsidR="00750A2A" w:rsidRPr="00750A2A">
        <w:rPr>
          <w:vertAlign w:val="superscript"/>
        </w:rPr>
        <w:t>-1</w:t>
      </w:r>
      <w:r w:rsidR="00750A2A" w:rsidRPr="00750A2A">
        <w:t xml:space="preserve"> s</w:t>
      </w:r>
      <w:r w:rsidR="00750A2A" w:rsidRPr="00750A2A">
        <w:rPr>
          <w:vertAlign w:val="superscript"/>
        </w:rPr>
        <w:t>-1</w:t>
      </w:r>
      <w:r w:rsidR="00750A2A" w:rsidRPr="00750A2A">
        <w:t xml:space="preserve"> &gt; </w:t>
      </w:r>
      <w:r w:rsidR="005E2095">
        <w:t>k (</w:t>
      </w:r>
      <w:r w:rsidR="005E2095" w:rsidRPr="00AB4C42">
        <w:t>SO</w:t>
      </w:r>
      <w:r w:rsidR="005E2095" w:rsidRPr="00AB4C42">
        <w:rPr>
          <w:vertAlign w:val="subscript"/>
        </w:rPr>
        <w:t>4</w:t>
      </w:r>
      <w:r w:rsidR="005E2095" w:rsidRPr="00AB4C42">
        <w:rPr>
          <w:vertAlign w:val="superscript"/>
        </w:rPr>
        <w:t>•-</w:t>
      </w:r>
      <w:r w:rsidR="005E2095">
        <w:rPr>
          <w:vertAlign w:val="superscript"/>
        </w:rPr>
        <w:t xml:space="preserve"> </w:t>
      </w:r>
      <w:r w:rsidR="005E2095">
        <w:t xml:space="preserve">+ NB) </w:t>
      </w:r>
      <w:r w:rsidR="00750A2A" w:rsidRPr="00750A2A">
        <w:t xml:space="preserve"> (&lt; 10</w:t>
      </w:r>
      <w:r w:rsidR="00750A2A" w:rsidRPr="003961C5">
        <w:rPr>
          <w:vertAlign w:val="superscript"/>
        </w:rPr>
        <w:t>6</w:t>
      </w:r>
      <w:r w:rsidR="00750A2A" w:rsidRPr="00750A2A">
        <w:t xml:space="preserve"> M</w:t>
      </w:r>
      <w:r w:rsidR="00750A2A" w:rsidRPr="00750A2A">
        <w:rPr>
          <w:vertAlign w:val="superscript"/>
        </w:rPr>
        <w:t>-1</w:t>
      </w:r>
      <w:r w:rsidR="00750A2A" w:rsidRPr="00750A2A">
        <w:t xml:space="preserve"> s</w:t>
      </w:r>
      <w:r w:rsidR="00750A2A" w:rsidRPr="00750A2A">
        <w:rPr>
          <w:vertAlign w:val="superscript"/>
        </w:rPr>
        <w:t>-1</w:t>
      </w:r>
      <w:r w:rsidR="00750A2A" w:rsidRPr="00750A2A">
        <w:t xml:space="preserve"> )) </w:t>
      </w:r>
      <w:r w:rsidR="00750A2A" w:rsidRPr="00750A2A">
        <w:fldChar w:fldCharType="begin">
          <w:fldData xml:space="preserve">PEVuZE5vdGU+PENpdGU+PEF1dGhvcj5CdXh0b248L0F1dGhvcj48WWVhcj4xOTg4PC9ZZWFyPjxS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</w:fldData>
        </w:fldChar>
      </w:r>
      <w:r w:rsidR="00C4295D">
        <w:instrText xml:space="preserve"> ADDIN EN.CITE </w:instrText>
      </w:r>
      <w:r w:rsidR="00C4295D">
        <w:fldChar w:fldCharType="begin">
          <w:fldData xml:space="preserve">PEVuZE5vdGU+PENpdGU+PEF1dGhvcj5CdXh0b248L0F1dGhvcj48WWVhcj4xOTg4PC9ZZWFyPjxS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</w:fldData>
        </w:fldChar>
      </w:r>
      <w:r w:rsidR="00C4295D">
        <w:instrText xml:space="preserve"> ADDIN EN.CITE.DATA </w:instrText>
      </w:r>
      <w:r w:rsidR="00C4295D">
        <w:fldChar w:fldCharType="end"/>
      </w:r>
      <w:r w:rsidR="00750A2A" w:rsidRPr="00750A2A">
        <w:fldChar w:fldCharType="separate"/>
      </w:r>
      <w:r w:rsidR="00C4295D">
        <w:rPr>
          <w:noProof/>
        </w:rPr>
        <w:t>(</w:t>
      </w:r>
      <w:hyperlink w:anchor="_ENREF_12" w:tooltip="Neta, 1977 #354" w:history="1">
        <w:r w:rsidR="00922ED7">
          <w:rPr>
            <w:noProof/>
          </w:rPr>
          <w:t>Neta, Madhavan et al. 1977</w:t>
        </w:r>
      </w:hyperlink>
      <w:r w:rsidR="00C4295D">
        <w:rPr>
          <w:noProof/>
        </w:rPr>
        <w:t xml:space="preserve">, </w:t>
      </w:r>
      <w:hyperlink w:anchor="_ENREF_2" w:tooltip="Buxton, 1988 #353" w:history="1">
        <w:r w:rsidR="00922ED7">
          <w:rPr>
            <w:noProof/>
          </w:rPr>
          <w:t>Buxton, Greenstock et al. 1988</w:t>
        </w:r>
      </w:hyperlink>
      <w:r w:rsidR="00C4295D">
        <w:rPr>
          <w:noProof/>
        </w:rPr>
        <w:t>)</w:t>
      </w:r>
      <w:r w:rsidR="00750A2A" w:rsidRPr="00750A2A">
        <w:fldChar w:fldCharType="end"/>
      </w:r>
      <w:r w:rsidR="00750A2A" w:rsidRPr="00750A2A">
        <w:t>.</w:t>
      </w:r>
    </w:p>
    <w:p w14:paraId="4FCCE96A" w14:textId="263EEAD9" w:rsidR="00FE2E20" w:rsidRDefault="007576ED" w:rsidP="008B0B52">
      <w:pPr>
        <w:pStyle w:val="CETBodytext"/>
        <w:rPr>
          <w:lang w:val="en-GB"/>
        </w:rPr>
      </w:pPr>
      <w:r>
        <w:rPr>
          <w:rFonts w:ascii="Times New Roman" w:hAnsi="Times New Roman"/>
          <w:noProof/>
          <w:lang w:eastAsia="zh-CN"/>
        </w:rPr>
        <w:drawing>
          <wp:inline distT="0" distB="0" distL="0" distR="0" wp14:anchorId="18426E4F" wp14:editId="15780500">
            <wp:extent cx="2518012" cy="1718935"/>
            <wp:effectExtent l="0" t="0" r="0" b="0"/>
            <wp:docPr id="21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 vs time.pn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038" cy="17530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  <w:r w:rsidR="00672021">
        <w:rPr>
          <w:rFonts w:ascii="Times New Roman" w:hAnsi="Times New Roman"/>
          <w:b/>
          <w:noProof/>
          <w:lang w:eastAsia="zh-CN"/>
        </w:rPr>
        <w:t xml:space="preserve">   </w:t>
      </w:r>
      <w:r>
        <w:rPr>
          <w:rFonts w:ascii="Times New Roman" w:hAnsi="Times New Roman"/>
          <w:b/>
          <w:noProof/>
          <w:lang w:eastAsia="zh-CN"/>
        </w:rPr>
        <w:drawing>
          <wp:inline distT="0" distB="0" distL="0" distR="0" wp14:anchorId="419F416F" wp14:editId="358F95C5">
            <wp:extent cx="2831694" cy="1978926"/>
            <wp:effectExtent l="0" t="0" r="6985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7-06-29 at 9.37.31 PM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4"/>
                    <a:stretch/>
                  </pic:blipFill>
                  <pic:spPr bwMode="auto">
                    <a:xfrm>
                      <a:off x="0" y="0"/>
                      <a:ext cx="2935901" cy="205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BD180" w14:textId="3A05FE36" w:rsidR="00FE2E20" w:rsidRDefault="00F519AB" w:rsidP="00773C3D">
      <w:pPr>
        <w:pStyle w:val="CETCaption"/>
      </w:pPr>
      <w:r w:rsidRPr="001F3513">
        <w:t xml:space="preserve">Figure </w:t>
      </w:r>
      <w:r w:rsidR="00771AA4">
        <w:t>6</w:t>
      </w:r>
      <w:r w:rsidRPr="001F3513">
        <w:t xml:space="preserve">: </w:t>
      </w:r>
      <w:r>
        <w:t xml:space="preserve">(a) </w:t>
      </w:r>
      <w:r w:rsidRPr="006D4355">
        <w:t xml:space="preserve">The effect of </w:t>
      </w:r>
      <w:r>
        <w:t>phenol, NaClO</w:t>
      </w:r>
      <w:r w:rsidRPr="00A022F8">
        <w:rPr>
          <w:vertAlign w:val="subscript"/>
        </w:rPr>
        <w:t>4</w:t>
      </w:r>
      <w:r>
        <w:t xml:space="preserve"> and NB as quenching agents on the </w:t>
      </w:r>
      <w:r w:rsidR="004C0ED9">
        <w:t>SAM</w:t>
      </w:r>
      <w:r>
        <w:t xml:space="preserve"> degradation by NG/PMS system (PMS = 0.5 mM, </w:t>
      </w:r>
      <w:r w:rsidR="004C0ED9">
        <w:t>SAM</w:t>
      </w:r>
      <w:r>
        <w:t xml:space="preserve"> concentration =10 </w:t>
      </w:r>
      <w:r w:rsidRPr="005B16D9">
        <w:t>mg L</w:t>
      </w:r>
      <w:r w:rsidRPr="005B16D9">
        <w:rPr>
          <w:vertAlign w:val="superscript"/>
        </w:rPr>
        <w:t>-1</w:t>
      </w:r>
      <w:r>
        <w:t>, catalyst =</w:t>
      </w:r>
      <w:r w:rsidRPr="00E76B8A">
        <w:t xml:space="preserve"> 0.2</w:t>
      </w:r>
      <w:r>
        <w:t xml:space="preserve"> g L</w:t>
      </w:r>
      <w:r w:rsidRPr="00CC1668">
        <w:rPr>
          <w:vertAlign w:val="superscript"/>
        </w:rPr>
        <w:t>-1</w:t>
      </w:r>
      <w:r>
        <w:t xml:space="preserve">, pH = 7, the mole ratio of phenol: </w:t>
      </w:r>
      <w:r w:rsidR="004C0ED9">
        <w:t>SAM</w:t>
      </w:r>
      <w:r>
        <w:t xml:space="preserve"> = 1000:1, NB = 25 </w:t>
      </w:r>
      <w:r w:rsidRPr="005B16D9">
        <w:t>mg L</w:t>
      </w:r>
      <w:r w:rsidRPr="005B16D9">
        <w:rPr>
          <w:vertAlign w:val="superscript"/>
        </w:rPr>
        <w:t>-1</w:t>
      </w:r>
      <w:r>
        <w:t>, NaClO</w:t>
      </w:r>
      <w:r w:rsidRPr="00176EFD">
        <w:rPr>
          <w:vertAlign w:val="subscript"/>
        </w:rPr>
        <w:t>4</w:t>
      </w:r>
      <w:r>
        <w:t xml:space="preserve"> = 0.8 M).</w:t>
      </w:r>
      <w:r w:rsidRPr="006D4355">
        <w:t xml:space="preserve"> </w:t>
      </w:r>
      <w:r>
        <w:t xml:space="preserve">(b) Mechanism of PMS activation and </w:t>
      </w:r>
      <w:r w:rsidR="004C0ED9">
        <w:t>SAM</w:t>
      </w:r>
      <w:r>
        <w:t xml:space="preserve"> degradation on NG.</w:t>
      </w:r>
    </w:p>
    <w:p w14:paraId="58BAFC21" w14:textId="13A22E18" w:rsidR="00B97791" w:rsidRDefault="00B97791" w:rsidP="00B97791">
      <w:pPr>
        <w:pStyle w:val="CETBodytext"/>
      </w:pPr>
      <w:r w:rsidRPr="00FE2E20">
        <w:t xml:space="preserve">As shown in </w:t>
      </w:r>
      <w:r>
        <w:t>Figure</w:t>
      </w:r>
      <w:r w:rsidRPr="00DC416F">
        <w:t xml:space="preserve"> 6(a),</w:t>
      </w:r>
      <w:r w:rsidRPr="00FE2E20">
        <w:t xml:space="preserve"> only 18.3% </w:t>
      </w:r>
      <w:r w:rsidR="004C0ED9">
        <w:t>SAM</w:t>
      </w:r>
      <w:r w:rsidRPr="00FE2E20">
        <w:t xml:space="preserve"> removal </w:t>
      </w:r>
      <w:r>
        <w:t>wa</w:t>
      </w:r>
      <w:r w:rsidRPr="00FE2E20">
        <w:t>s achieved at a phenol/</w:t>
      </w:r>
      <w:r w:rsidR="004C0ED9">
        <w:t>SAM</w:t>
      </w:r>
      <w:r w:rsidRPr="00FE2E20">
        <w:t xml:space="preserve"> molar ratio of 1000:1 within 60 min in the NG/PMS system. The addition of phenol hamper</w:t>
      </w:r>
      <w:r>
        <w:t>ed</w:t>
      </w:r>
      <w:r w:rsidRPr="00FE2E20">
        <w:t xml:space="preserve"> the </w:t>
      </w:r>
      <w:r w:rsidR="004C0ED9">
        <w:t>SAM</w:t>
      </w:r>
      <w:r w:rsidRPr="00FE2E20">
        <w:t xml:space="preserve"> degradation much more significantly than that of NB or NaClO</w:t>
      </w:r>
      <w:r w:rsidRPr="00AF4C09">
        <w:rPr>
          <w:vertAlign w:val="subscript"/>
        </w:rPr>
        <w:t>4</w:t>
      </w:r>
      <w:r w:rsidRPr="00FE2E20">
        <w:t>, indicating: 1) radical pathway</w:t>
      </w:r>
      <w:r>
        <w:t xml:space="preserve"> (relative to pyridinic N and pyrrolic N) </w:t>
      </w:r>
      <w:r>
        <w:fldChar w:fldCharType="begin"/>
      </w:r>
      <w:r>
        <w:instrText xml:space="preserve"> ADDIN EN.CITE &lt;EndNote&gt;&lt;Cite&gt;&lt;Author&gt;Chen&lt;/Author&gt;&lt;Year&gt;2018&lt;/Year&gt;&lt;RecNum&gt;889&lt;/RecNum&gt;&lt;DisplayText&gt;(Chen, Oh et al. 2018)&lt;/DisplayText&gt;&lt;record&gt;&lt;rec-number&gt;889&lt;/rec-number&gt;&lt;foreign-keys&gt;&lt;key app="EN" db-id="ap52awefuxaz96e9avq525ted0txrrx0zx2e" timestamp="1537082228"&gt;889&lt;/key&gt;&lt;/foreign-keys&gt;&lt;ref-type name="Journal Article"&gt;17&lt;/ref-type&gt;&lt;contributors&gt;&lt;authors&gt;&lt;author&gt;Chen, X.&lt;/author&gt;&lt;author&gt;Oh, W. D.&lt;/author&gt;&lt;author&gt;Lim, T. T.&lt;/author&gt;&lt;/authors&gt;&lt;/contributors&gt;&lt;titles&gt;&lt;title&gt;Graphene- and CNTs-based carbocatalysts in persulfates activation: Material design and catalytic mechanisms&lt;/title&gt;&lt;secondary-title&gt;Chemical Engineering Journal&lt;/secondary-title&gt;&lt;/titles&gt;&lt;periodical&gt;&lt;full-title&gt;Chemical Engineering Journal&lt;/full-title&gt;&lt;/periodical&gt;&lt;pages&gt;941-976&lt;/pages&gt;&lt;volume&gt;354&lt;/volume&gt;&lt;dates&gt;&lt;year&gt;2018&lt;/year&gt;&lt;/dates&gt;&lt;work-type&gt;Review&lt;/work-type&gt;&lt;urls&gt;&lt;related-urls&gt;&lt;url&gt;https://www.scopus.com/inward/record.uri?eid=2-s2.0-85051827915&amp;amp;doi=10.1016%2fj.cej.2018.08.049&amp;amp;partnerID=40&amp;amp;md5=2e89975b426529585ed7b655fa87839f&lt;/url&gt;&lt;/related-urls&gt;&lt;/urls&gt;&lt;electronic-resource-num&gt;10.1016/j.cej.2018.08.049&lt;/electronic-resource-num&gt;&lt;remote-database-name&gt;Scopus&lt;/remote-database-name&gt;&lt;/record&gt;&lt;/Cite&gt;&lt;/EndNote&gt;</w:instrText>
      </w:r>
      <w:r>
        <w:fldChar w:fldCharType="separate"/>
      </w:r>
      <w:r>
        <w:rPr>
          <w:noProof/>
        </w:rPr>
        <w:t>(</w:t>
      </w:r>
      <w:hyperlink w:anchor="_ENREF_4" w:tooltip="Chen, 2018 #889" w:history="1">
        <w:r w:rsidR="00922ED7">
          <w:rPr>
            <w:noProof/>
          </w:rPr>
          <w:t>Chen, Oh et al. 2018</w:t>
        </w:r>
      </w:hyperlink>
      <w:r>
        <w:rPr>
          <w:noProof/>
        </w:rPr>
        <w:t>)</w:t>
      </w:r>
      <w:r>
        <w:fldChar w:fldCharType="end"/>
      </w:r>
      <w:r w:rsidRPr="00FE2E20">
        <w:t xml:space="preserve"> contributed more to </w:t>
      </w:r>
      <w:r w:rsidR="004C0ED9">
        <w:t>SAM</w:t>
      </w:r>
      <w:r w:rsidRPr="00FE2E20">
        <w:t xml:space="preserve"> degradation in the present NG/PMS system than non-radical pathway, which is also confirmed by the fact that NG600 possesse</w:t>
      </w:r>
      <w:r>
        <w:t>d</w:t>
      </w:r>
      <w:r w:rsidRPr="00FE2E20">
        <w:t xml:space="preserve"> lower graphitic N level than NG700 and NG800 but demonstrate</w:t>
      </w:r>
      <w:r>
        <w:t>d</w:t>
      </w:r>
      <w:r w:rsidRPr="00FE2E20">
        <w:t xml:space="preserve"> a better degradation performance; 2) between SO4</w:t>
      </w:r>
      <w:r w:rsidRPr="005A7273">
        <w:rPr>
          <w:vertAlign w:val="superscript"/>
        </w:rPr>
        <w:t>•-</w:t>
      </w:r>
      <w:r w:rsidRPr="00FE2E20">
        <w:t xml:space="preserve"> and HO•, the former is the key contributor to degrade </w:t>
      </w:r>
      <w:r w:rsidR="004C0ED9">
        <w:t>SAM</w:t>
      </w:r>
      <w:r w:rsidRPr="00FE2E20">
        <w:t xml:space="preserve">. The proposed </w:t>
      </w:r>
      <w:bookmarkStart w:id="4" w:name="_Hlk486521224"/>
      <w:r w:rsidRPr="00FE2E20">
        <w:t xml:space="preserve">mechanism of PMS activation and </w:t>
      </w:r>
      <w:r w:rsidR="004C0ED9">
        <w:t>SAM</w:t>
      </w:r>
      <w:r w:rsidRPr="00FE2E20">
        <w:t xml:space="preserve"> degradation on NG </w:t>
      </w:r>
      <w:bookmarkEnd w:id="4"/>
      <w:r w:rsidRPr="00FE2E20">
        <w:t xml:space="preserve">is shown in </w:t>
      </w:r>
      <w:r>
        <w:t>Figure</w:t>
      </w:r>
      <w:r w:rsidRPr="00DC416F">
        <w:t xml:space="preserve"> 6(b).</w:t>
      </w:r>
      <w:r>
        <w:t xml:space="preserve"> Specifically, as for the radical pathway, the peroxide O-O bond in PMS was cleaved by the electrons transferred from the active sites of NG (e.g., defective sites, Lewis basic sites, etc.) to generate </w:t>
      </w:r>
      <w:r w:rsidRPr="00FE2E20">
        <w:t>SO</w:t>
      </w:r>
      <w:r w:rsidRPr="00A90BC9">
        <w:rPr>
          <w:vertAlign w:val="subscript"/>
        </w:rPr>
        <w:t>4</w:t>
      </w:r>
      <w:r w:rsidRPr="005A7273">
        <w:rPr>
          <w:vertAlign w:val="superscript"/>
        </w:rPr>
        <w:t>•-</w:t>
      </w:r>
      <w:r w:rsidRPr="00FE2E20">
        <w:t xml:space="preserve"> and HO•</w:t>
      </w:r>
      <w:r>
        <w:t xml:space="preserve"> to oxidize SAM. Regarding the non-radical pathway, the surface activated PMS was formed between the active site (comprising the negatively charged N atom and positively charged C atom</w:t>
      </w:r>
      <w:r w:rsidR="00A90BC9">
        <w:t xml:space="preserve"> due to </w:t>
      </w:r>
      <w:r w:rsidR="00A90BC9" w:rsidRPr="008144B2">
        <w:t>the higher electronegativity of graphitic N than its adjacent C atoms</w:t>
      </w:r>
      <w:r>
        <w:t>) of NG and PMS via electrostatic bonding.</w:t>
      </w:r>
    </w:p>
    <w:p w14:paraId="55E22CE0" w14:textId="628B4B82" w:rsidR="00936163" w:rsidRPr="00B97791" w:rsidRDefault="00097D83" w:rsidP="00B97791">
      <w:pPr>
        <w:pStyle w:val="CETBodytext"/>
      </w:pPr>
      <w:r>
        <w:t xml:space="preserve">The reusability of NG600 was tested. The catalytic performance decreased from </w:t>
      </w:r>
      <w:r w:rsidRPr="00097D83">
        <w:t xml:space="preserve">100% SAM removal within </w:t>
      </w:r>
      <w:r>
        <w:t>50</w:t>
      </w:r>
      <w:r w:rsidRPr="00097D83">
        <w:t xml:space="preserve"> min</w:t>
      </w:r>
      <w:r>
        <w:t xml:space="preserve"> of the 1</w:t>
      </w:r>
      <w:r w:rsidRPr="00097D83">
        <w:rPr>
          <w:vertAlign w:val="superscript"/>
        </w:rPr>
        <w:t>st</w:t>
      </w:r>
      <w:r>
        <w:t xml:space="preserve"> run to 92</w:t>
      </w:r>
      <w:r w:rsidRPr="00097D83">
        <w:t>% SAM removal within 120 min</w:t>
      </w:r>
      <w:r>
        <w:t xml:space="preserve"> of the 2</w:t>
      </w:r>
      <w:r w:rsidRPr="00097D83">
        <w:rPr>
          <w:vertAlign w:val="superscript"/>
        </w:rPr>
        <w:t>nd</w:t>
      </w:r>
      <w:r>
        <w:t xml:space="preserve"> run to 58</w:t>
      </w:r>
      <w:r w:rsidRPr="00097D83">
        <w:t>% SAM removal within 120 min</w:t>
      </w:r>
      <w:r>
        <w:t xml:space="preserve"> of the 3</w:t>
      </w:r>
      <w:r w:rsidRPr="00097D83">
        <w:rPr>
          <w:vertAlign w:val="superscript"/>
        </w:rPr>
        <w:t>rd</w:t>
      </w:r>
      <w:r>
        <w:t xml:space="preserve"> run.</w:t>
      </w:r>
      <w:r w:rsidR="00D970EC">
        <w:t xml:space="preserve"> </w:t>
      </w:r>
      <w:r w:rsidR="0090521C">
        <w:t xml:space="preserve">According to </w:t>
      </w:r>
      <w:r w:rsidR="00D970EC">
        <w:t>XPS analysis</w:t>
      </w:r>
      <w:r w:rsidR="0090521C">
        <w:t xml:space="preserve">, </w:t>
      </w:r>
      <w:r w:rsidR="0090521C">
        <w:rPr>
          <w:rFonts w:cs="Arial"/>
          <w:szCs w:val="18"/>
        </w:rPr>
        <w:t>t</w:t>
      </w:r>
      <w:r w:rsidR="00D970EC" w:rsidRPr="00D970EC">
        <w:rPr>
          <w:rFonts w:cs="Arial"/>
          <w:szCs w:val="18"/>
        </w:rPr>
        <w:t xml:space="preserve">he total N content of the NG600 remained unchanged (5% reduction after </w:t>
      </w:r>
      <w:r w:rsidR="00D970EC" w:rsidRPr="00D970EC">
        <w:rPr>
          <w:rFonts w:cs="Arial"/>
          <w:szCs w:val="18"/>
        </w:rPr>
        <w:lastRenderedPageBreak/>
        <w:t>3</w:t>
      </w:r>
      <w:r w:rsidR="00D970EC" w:rsidRPr="00D970EC">
        <w:rPr>
          <w:rFonts w:cs="Arial"/>
          <w:szCs w:val="18"/>
          <w:vertAlign w:val="superscript"/>
        </w:rPr>
        <w:t>rd</w:t>
      </w:r>
      <w:r w:rsidR="00D970EC" w:rsidRPr="00D970EC">
        <w:rPr>
          <w:rFonts w:cs="Arial"/>
          <w:szCs w:val="18"/>
        </w:rPr>
        <w:t xml:space="preserve"> run)</w:t>
      </w:r>
      <w:r w:rsidR="00D970EC">
        <w:rPr>
          <w:rFonts w:cs="Arial"/>
          <w:szCs w:val="18"/>
        </w:rPr>
        <w:t xml:space="preserve">. However, </w:t>
      </w:r>
      <w:r w:rsidR="00A65756" w:rsidRPr="00A65756">
        <w:rPr>
          <w:rFonts w:cs="Arial"/>
          <w:szCs w:val="18"/>
        </w:rPr>
        <w:t xml:space="preserve">the </w:t>
      </w:r>
      <w:r w:rsidR="006C0C41">
        <w:rPr>
          <w:rFonts w:cs="Arial"/>
          <w:szCs w:val="18"/>
        </w:rPr>
        <w:t>concentration</w:t>
      </w:r>
      <w:r w:rsidR="00A65756" w:rsidRPr="00A65756">
        <w:rPr>
          <w:rFonts w:cs="Arial"/>
          <w:szCs w:val="18"/>
        </w:rPr>
        <w:t xml:space="preserve"> of graphitic N (25.9 %N </w:t>
      </w:r>
      <w:r w:rsidR="00A65756" w:rsidRPr="00A65756">
        <w:rPr>
          <w:rFonts w:eastAsia="Calibri" w:cs="Arial"/>
          <w:szCs w:val="18"/>
        </w:rPr>
        <w:t>→</w:t>
      </w:r>
      <w:r w:rsidR="00A65756" w:rsidRPr="00A65756">
        <w:rPr>
          <w:rFonts w:cs="Arial"/>
          <w:szCs w:val="18"/>
        </w:rPr>
        <w:t xml:space="preserve"> 11.9 %N), pyridinic N (38.4 %N </w:t>
      </w:r>
      <w:r w:rsidR="00A65756" w:rsidRPr="00A65756">
        <w:rPr>
          <w:rFonts w:eastAsia="Calibri" w:cs="Arial"/>
          <w:szCs w:val="18"/>
        </w:rPr>
        <w:t>→</w:t>
      </w:r>
      <w:r w:rsidR="00A65756" w:rsidRPr="00A65756">
        <w:rPr>
          <w:rFonts w:cs="Arial"/>
          <w:szCs w:val="18"/>
        </w:rPr>
        <w:t xml:space="preserve"> 32.2 %N) and nitric oxide (3.94 %N </w:t>
      </w:r>
      <w:r w:rsidR="00A65756" w:rsidRPr="00A65756">
        <w:rPr>
          <w:rFonts w:eastAsia="Calibri" w:cs="Arial"/>
          <w:szCs w:val="18"/>
        </w:rPr>
        <w:t>→</w:t>
      </w:r>
      <w:r w:rsidR="00A65756" w:rsidRPr="00A65756">
        <w:rPr>
          <w:rFonts w:cs="Arial"/>
          <w:szCs w:val="18"/>
        </w:rPr>
        <w:t xml:space="preserve"> 3.34 %N) all decreased, whereas pyrrolic N increased from 31.8 %N to 52.2 %N</w:t>
      </w:r>
      <w:r w:rsidR="00E12F5E">
        <w:rPr>
          <w:rFonts w:cs="Arial"/>
          <w:szCs w:val="18"/>
        </w:rPr>
        <w:t xml:space="preserve">, which indicates </w:t>
      </w:r>
      <w:r w:rsidR="003959A1">
        <w:rPr>
          <w:rFonts w:cs="Arial"/>
          <w:szCs w:val="18"/>
        </w:rPr>
        <w:t xml:space="preserve">the </w:t>
      </w:r>
      <w:r w:rsidR="003959A1" w:rsidRPr="003959A1">
        <w:rPr>
          <w:rFonts w:cs="Arial"/>
          <w:szCs w:val="18"/>
        </w:rPr>
        <w:t>change in the N bonding configuration</w:t>
      </w:r>
      <w:r w:rsidR="003959A1">
        <w:rPr>
          <w:rFonts w:cs="Arial"/>
          <w:szCs w:val="18"/>
        </w:rPr>
        <w:t xml:space="preserve"> accounts for the deactivation of NG600 besides </w:t>
      </w:r>
      <w:r w:rsidR="003959A1" w:rsidRPr="003959A1">
        <w:rPr>
          <w:rFonts w:cs="Arial"/>
          <w:szCs w:val="18"/>
        </w:rPr>
        <w:t>the occupation of active sites by the adsorbed SAM intermediates</w:t>
      </w:r>
      <w:r w:rsidR="003959A1">
        <w:rPr>
          <w:rFonts w:cs="Arial"/>
          <w:szCs w:val="18"/>
        </w:rPr>
        <w:t>.</w:t>
      </w:r>
      <w:r w:rsidR="003959A1" w:rsidRPr="003959A1">
        <w:rPr>
          <w:rFonts w:cs="Arial"/>
          <w:szCs w:val="18"/>
        </w:rPr>
        <w:t xml:space="preserve"> </w:t>
      </w:r>
      <w:r w:rsidR="00E55175" w:rsidRPr="00E55175">
        <w:rPr>
          <w:rFonts w:cs="Arial"/>
          <w:szCs w:val="18"/>
        </w:rPr>
        <w:t>Further investigation can be put in</w:t>
      </w:r>
      <w:r w:rsidR="00522388">
        <w:rPr>
          <w:rFonts w:cs="Arial"/>
          <w:szCs w:val="18"/>
        </w:rPr>
        <w:t>t</w:t>
      </w:r>
      <w:r w:rsidR="00E55175" w:rsidRPr="00E55175">
        <w:rPr>
          <w:rFonts w:cs="Arial"/>
          <w:szCs w:val="18"/>
        </w:rPr>
        <w:t>o develop</w:t>
      </w:r>
      <w:r w:rsidR="0074074C">
        <w:rPr>
          <w:rFonts w:cs="Arial"/>
          <w:szCs w:val="18"/>
        </w:rPr>
        <w:t>ing</w:t>
      </w:r>
      <w:r w:rsidR="00E55175" w:rsidRPr="00E55175">
        <w:rPr>
          <w:rFonts w:cs="Arial"/>
          <w:szCs w:val="18"/>
        </w:rPr>
        <w:t xml:space="preserve"> more efficient and robust carbocatalysts with certain structures, such as the core-shell structure with excellent tunability and stability</w:t>
      </w:r>
      <w:r w:rsidR="008A456D">
        <w:rPr>
          <w:rFonts w:cs="Arial"/>
          <w:szCs w:val="18"/>
        </w:rPr>
        <w:t>.</w:t>
      </w:r>
    </w:p>
    <w:p w14:paraId="4E11ADF8" w14:textId="77777777" w:rsidR="00600535" w:rsidRPr="00B57B36" w:rsidRDefault="00600535" w:rsidP="00600535">
      <w:pPr>
        <w:pStyle w:val="CETHeading1"/>
        <w:rPr>
          <w:lang w:val="en-GB"/>
        </w:rPr>
      </w:pPr>
      <w:r w:rsidRPr="00B57B36">
        <w:rPr>
          <w:lang w:val="en-GB"/>
        </w:rPr>
        <w:t>Conclusions</w:t>
      </w:r>
    </w:p>
    <w:p w14:paraId="174BDEBC" w14:textId="3C152D4E" w:rsidR="00600535" w:rsidRPr="00A8444B" w:rsidRDefault="00773C3D" w:rsidP="00A8444B">
      <w:pPr>
        <w:pStyle w:val="CETBodytext"/>
      </w:pPr>
      <w:r w:rsidRPr="0072438A">
        <w:t>The high nitrogen doping level</w:t>
      </w:r>
      <w:r w:rsidRPr="0072438A">
        <w:rPr>
          <w:rFonts w:hint="eastAsia"/>
        </w:rPr>
        <w:t>s</w:t>
      </w:r>
      <w:r w:rsidRPr="0072438A">
        <w:t xml:space="preserve"> (30.2-11.6 wt%)</w:t>
      </w:r>
      <w:r w:rsidRPr="008322D5">
        <w:t xml:space="preserve"> of NG</w:t>
      </w:r>
      <w:r w:rsidR="00404077">
        <w:t>s</w:t>
      </w:r>
      <w:r w:rsidRPr="008322D5">
        <w:t xml:space="preserve"> synthesized in this study manifested a negative correlation with annealing temperatures. The portion of graphitic N (1.85-3</w:t>
      </w:r>
      <w:r w:rsidR="005917E2">
        <w:t>6</w:t>
      </w:r>
      <w:r w:rsidRPr="008322D5">
        <w:t>.5 at.%) and nitric oxide (</w:t>
      </w:r>
      <w:r w:rsidR="00A04DF0">
        <w:t>3.94</w:t>
      </w:r>
      <w:r w:rsidRPr="008322D5">
        <w:t xml:space="preserve">-9.60 at.%) correlated positively with the annealing temperature. NG endowed with catalytic activity should be synthesized under thermal annealing temperature of </w:t>
      </w:r>
      <m:oMath>
        <m:r>
          <m:rPr>
            <m:sty m:val="p"/>
          </m:rPr>
          <w:rPr>
            <w:rFonts w:ascii="Cambria Math" w:hAnsi="Cambria Math"/>
          </w:rPr>
          <m:t xml:space="preserve">≥ </m:t>
        </m:r>
      </m:oMath>
      <w:r w:rsidRPr="008322D5">
        <w:t>500</w:t>
      </w:r>
      <w:r w:rsidR="002E7D04" w:rsidRPr="008322D5">
        <w:t xml:space="preserve"> °C</w:t>
      </w:r>
      <w:r w:rsidRPr="008322D5">
        <w:t xml:space="preserve">. </w:t>
      </w:r>
      <w:r w:rsidRPr="00773C3D">
        <w:t xml:space="preserve">NG600 exhibited the best degradation performance via PMS activation for </w:t>
      </w:r>
      <w:r w:rsidR="004C0ED9">
        <w:t>SAM</w:t>
      </w:r>
      <w:r w:rsidRPr="00773C3D">
        <w:t xml:space="preserve"> decomposition due to N functionalities as active sites for PMS activation. Radical pathway</w:t>
      </w:r>
      <w:r w:rsidR="00195BB9">
        <w:t xml:space="preserve"> with </w:t>
      </w:r>
      <w:r w:rsidR="00195BB9" w:rsidRPr="00750A2A">
        <w:t>SO4</w:t>
      </w:r>
      <w:r w:rsidR="00195BB9" w:rsidRPr="00195BB9">
        <w:rPr>
          <w:vertAlign w:val="superscript"/>
        </w:rPr>
        <w:t>•-</w:t>
      </w:r>
      <w:r w:rsidR="00195BB9" w:rsidRPr="00750A2A">
        <w:t xml:space="preserve"> </w:t>
      </w:r>
      <w:r w:rsidR="00195BB9">
        <w:t xml:space="preserve">as key factor </w:t>
      </w:r>
      <w:r w:rsidRPr="00773C3D">
        <w:t>contribute</w:t>
      </w:r>
      <w:r w:rsidR="00306951">
        <w:t>d</w:t>
      </w:r>
      <w:r w:rsidRPr="00773C3D">
        <w:t xml:space="preserve"> more to </w:t>
      </w:r>
      <w:r w:rsidR="004C0ED9">
        <w:t>SAM</w:t>
      </w:r>
      <w:r w:rsidRPr="00773C3D">
        <w:t xml:space="preserve"> degradation than non-radical pathway. </w:t>
      </w:r>
      <w:r w:rsidR="00A56583" w:rsidRPr="00A56583">
        <w:t>This study offers an insight into the function of different surface N species to activate PMS, which promotes the advanced development in carbocatalysts design through chemical functionalization with the desired reactive species.</w:t>
      </w:r>
    </w:p>
    <w:p w14:paraId="28B06E0A" w14:textId="5D52F71A" w:rsidR="00821318" w:rsidRDefault="00600535" w:rsidP="00904626">
      <w:pPr>
        <w:pStyle w:val="CETReference"/>
      </w:pPr>
      <w:r w:rsidRPr="00B57B36">
        <w:t>References</w:t>
      </w:r>
    </w:p>
    <w:p w14:paraId="1B1DA6D5" w14:textId="77777777" w:rsidR="00302F26" w:rsidRPr="00B97791" w:rsidRDefault="00302F26" w:rsidP="00302F26">
      <w:pPr>
        <w:pStyle w:val="CETReferencetext"/>
      </w:pPr>
      <w:r w:rsidRPr="00B97791">
        <w:fldChar w:fldCharType="begin"/>
      </w:r>
      <w:r w:rsidRPr="00B97791">
        <w:instrText xml:space="preserve"> ADDIN EN.REFLIST </w:instrText>
      </w:r>
      <w:r w:rsidRPr="00B97791">
        <w:fldChar w:fldCharType="separate"/>
      </w:r>
      <w:bookmarkStart w:id="5" w:name="_ENREF_1"/>
      <w:r w:rsidRPr="00B97791">
        <w:t>Bai, X., Y. Shi, J. Guo, L. Gao, K. Wang, Y. Du and T. Ma, 2016, Catalytic activities enhanced by abundant structural defects and balanced N distribution of N-doped graphene in oxygen reduction reaction, Journal of Power Sources, 306, 85-91.</w:t>
      </w:r>
      <w:bookmarkEnd w:id="5"/>
    </w:p>
    <w:p w14:paraId="5B960461" w14:textId="77777777" w:rsidR="00302F26" w:rsidRPr="00B97791" w:rsidRDefault="00302F26" w:rsidP="00302F26">
      <w:pPr>
        <w:pStyle w:val="CETReferencetext"/>
      </w:pPr>
      <w:bookmarkStart w:id="6" w:name="_ENREF_2"/>
      <w:r w:rsidRPr="00B97791">
        <w:t>Buxton, G. V., C. L. Greenstock, W. P. Helman and A. B. Ross, 1988, Critical Review of rate constants for reactions of hydrated electrons, hydrogen atoms and hydroxyl radicals (</w:t>
      </w:r>
      <w:r w:rsidRPr="00B97791">
        <w:rPr>
          <w:rFonts w:ascii="Cambria Math" w:hAnsi="Cambria Math" w:cs="Cambria Math"/>
        </w:rPr>
        <w:t>⋅</w:t>
      </w:r>
      <w:r w:rsidRPr="00B97791">
        <w:t>OH/</w:t>
      </w:r>
      <w:r w:rsidRPr="00B97791">
        <w:rPr>
          <w:rFonts w:ascii="Cambria Math" w:hAnsi="Cambria Math" w:cs="Cambria Math"/>
        </w:rPr>
        <w:t>⋅</w:t>
      </w:r>
      <w:r w:rsidRPr="00B97791">
        <w:t>O− in Aqueous Solution, Journal of Physical and Chemical Reference Data, 17(2), 513-886.</w:t>
      </w:r>
      <w:bookmarkEnd w:id="6"/>
    </w:p>
    <w:p w14:paraId="2532F6A0" w14:textId="77777777" w:rsidR="00302F26" w:rsidRPr="00B97791" w:rsidRDefault="00302F26" w:rsidP="00302F26">
      <w:pPr>
        <w:pStyle w:val="CETReferencetext"/>
      </w:pPr>
      <w:bookmarkStart w:id="7" w:name="_ENREF_3"/>
      <w:r w:rsidRPr="00B97791">
        <w:t>Chen, J., L. Zhang, T. Huang, W. Li, Y. Wang and Z. Wang, 2016, Decolorization of azo dye by peroxymonosulfate activated by carbon nanotube: Radical versus non-radical mechanism, Journal of Hazardous Materials, 320, 571-580.</w:t>
      </w:r>
      <w:bookmarkEnd w:id="7"/>
    </w:p>
    <w:p w14:paraId="2F2C157E" w14:textId="77777777" w:rsidR="00302F26" w:rsidRPr="00B97791" w:rsidRDefault="00302F26" w:rsidP="00302F26">
      <w:pPr>
        <w:pStyle w:val="CETReferencetext"/>
      </w:pPr>
      <w:bookmarkStart w:id="8" w:name="_ENREF_4"/>
      <w:r w:rsidRPr="00B97791">
        <w:t>Chen, X., W. D. Oh and T. T. Lim, 2018, Graphene- and CNTs-based carbocatalysts in persulfates activation: Material design and catalytic mechanisms, Chemical Engineering Journal, 354, 941-976.</w:t>
      </w:r>
      <w:bookmarkEnd w:id="8"/>
    </w:p>
    <w:p w14:paraId="4941538C" w14:textId="77777777" w:rsidR="00302F26" w:rsidRPr="00B97791" w:rsidRDefault="00302F26" w:rsidP="00302F26">
      <w:pPr>
        <w:pStyle w:val="CETReferencetext"/>
      </w:pPr>
      <w:bookmarkStart w:id="9" w:name="_ENREF_5"/>
      <w:r w:rsidRPr="00B97791">
        <w:t>Costa, L. and G. Camino, 1988, Thermal behaviour of melamine, Journal of Thermal Analysis, 34(2), 423-429.</w:t>
      </w:r>
      <w:bookmarkEnd w:id="9"/>
    </w:p>
    <w:p w14:paraId="6A2EF45A" w14:textId="77777777" w:rsidR="00302F26" w:rsidRPr="00B97791" w:rsidRDefault="00302F26" w:rsidP="00302F26">
      <w:pPr>
        <w:pStyle w:val="CETReferencetext"/>
      </w:pPr>
      <w:bookmarkStart w:id="10" w:name="_ENREF_6"/>
      <w:r w:rsidRPr="00B97791">
        <w:t>Duan, X., S. Indrawirawan, H. Sun and S. Wang, 2015, Effects of nitrogen-, boron-, and phosphorus-doping or codoping on metal-free graphene catalysis, Catalysis Today, 249, 184-191.</w:t>
      </w:r>
      <w:bookmarkEnd w:id="10"/>
    </w:p>
    <w:p w14:paraId="26612060" w14:textId="77777777" w:rsidR="00302F26" w:rsidRPr="00B97791" w:rsidRDefault="00302F26" w:rsidP="00302F26">
      <w:pPr>
        <w:pStyle w:val="CETReferencetext"/>
      </w:pPr>
      <w:bookmarkStart w:id="11" w:name="_ENREF_7"/>
      <w:r w:rsidRPr="00B97791">
        <w:t>Hummers Jr, W. S. and R. E. Offeman, 1958, Preparation of graphitic oxide, Journal of the American Chemical Society, 80(6), 1339.</w:t>
      </w:r>
      <w:bookmarkEnd w:id="11"/>
    </w:p>
    <w:p w14:paraId="7723CA21" w14:textId="77777777" w:rsidR="00302F26" w:rsidRPr="00B97791" w:rsidRDefault="00302F26" w:rsidP="00302F26">
      <w:pPr>
        <w:pStyle w:val="CETReferencetext"/>
      </w:pPr>
      <w:bookmarkStart w:id="12" w:name="_ENREF_8"/>
      <w:r w:rsidRPr="00B97791">
        <w:t>Li, D., X. Duan, H. Sun, J. Kang, H. Zhang, M. O. Tade and S. Wang, 2017, Facile synthesis of nitrogen-doped graphene via low-temperature pyrolysis: The effects of precursors and annealing ambience on metal-free catalytic oxidation, Carbon, 115, 649-658.</w:t>
      </w:r>
      <w:bookmarkEnd w:id="12"/>
    </w:p>
    <w:p w14:paraId="330E4A3A" w14:textId="77777777" w:rsidR="00302F26" w:rsidRPr="00B97791" w:rsidRDefault="00302F26" w:rsidP="00302F26">
      <w:pPr>
        <w:pStyle w:val="CETReferencetext"/>
      </w:pPr>
      <w:bookmarkStart w:id="13" w:name="_ENREF_9"/>
      <w:r w:rsidRPr="00B97791">
        <w:t>Li, H., J. Wan, Y. Ma, Y. Wang, X. Chen and Z. Guan, 2016, Degradation of refractory dibutyl phthalate by peroxymonosulfate activated with novel catalysts cobalt metal-organic frameworks: Mechanism, performance, and stability, Journal of Hazardous Materials, 318, 154-163.</w:t>
      </w:r>
      <w:bookmarkEnd w:id="13"/>
    </w:p>
    <w:p w14:paraId="46425ED3" w14:textId="77777777" w:rsidR="00302F26" w:rsidRPr="00B97791" w:rsidRDefault="00302F26" w:rsidP="00302F26">
      <w:pPr>
        <w:pStyle w:val="CETReferencetext"/>
      </w:pPr>
      <w:bookmarkStart w:id="14" w:name="_ENREF_10"/>
      <w:r w:rsidRPr="00B97791">
        <w:t>Li, X. J., X. X. Yu, J. Y. Liu, X. D. Fan, K. Zhang, H. B. Cai, N. Pan and X. P. Wang, 2012, Synthesis of nitrogen-doped graphene via thermal annealing graphene with urea, Chinese Journal of Chemical Physics, 25(3), 325-329.</w:t>
      </w:r>
      <w:bookmarkEnd w:id="14"/>
    </w:p>
    <w:p w14:paraId="7B3C90A0" w14:textId="77777777" w:rsidR="00302F26" w:rsidRPr="00B97791" w:rsidRDefault="00302F26" w:rsidP="00302F26">
      <w:pPr>
        <w:pStyle w:val="CETReferencetext"/>
      </w:pPr>
      <w:bookmarkStart w:id="15" w:name="_ENREF_11"/>
      <w:r w:rsidRPr="00B97791">
        <w:t>Lin, Z., G. Waller, Y. Liu, M. Liu and C. P. Wong, 2012, Facile synthesis of nitrogen-doped graphene via pyrolysis of graphene oxide and urea, and its electrocatalytic activity toward the oxygen-reduction reaction, Advanced Energy Materials, 2(7), 884-888.</w:t>
      </w:r>
      <w:bookmarkEnd w:id="15"/>
    </w:p>
    <w:p w14:paraId="5D85515E" w14:textId="77777777" w:rsidR="00302F26" w:rsidRPr="00B97791" w:rsidRDefault="00302F26" w:rsidP="00302F26">
      <w:pPr>
        <w:pStyle w:val="CETReferencetext"/>
      </w:pPr>
      <w:bookmarkStart w:id="16" w:name="_ENREF_12"/>
      <w:r w:rsidRPr="00B97791">
        <w:t>Lindsey, M. E. and M. A. Tarr, 2000, Inhibition of hydroxyl radical reaction with aromatics by dissolved natural organic matter, Environmental Science and Technology, 34(3), 444-449.</w:t>
      </w:r>
      <w:bookmarkEnd w:id="16"/>
    </w:p>
    <w:p w14:paraId="5E8F7E1B" w14:textId="77777777" w:rsidR="00302F26" w:rsidRPr="00B97791" w:rsidRDefault="00302F26" w:rsidP="00302F26">
      <w:pPr>
        <w:pStyle w:val="CETReferencetext"/>
      </w:pPr>
      <w:bookmarkStart w:id="17" w:name="_ENREF_13"/>
      <w:r w:rsidRPr="00B97791">
        <w:t>Neta, P., V. Madhavan, H. Zemel and R. W. Fessenden, 1977, Rate constants and mechanism of reaction of SO4•- with aromatic compounds, Journal of the American Chemical Society, 99(1), 163-164.</w:t>
      </w:r>
      <w:bookmarkEnd w:id="17"/>
    </w:p>
    <w:p w14:paraId="41E5AE6C" w14:textId="77777777" w:rsidR="00302F26" w:rsidRPr="00B97791" w:rsidRDefault="00302F26" w:rsidP="00302F26">
      <w:pPr>
        <w:pStyle w:val="CETReferencetext"/>
      </w:pPr>
      <w:bookmarkStart w:id="18" w:name="_ENREF_14"/>
      <w:r w:rsidRPr="00B97791">
        <w:t>Rizzo, L., C. Manaia, C. Merlin, T. Schwartz, C. Dagot, M. C. Ploy, I. Michael and D. Fatta-Kassinos, 2013, Urban wastewater treatment plants as hotspots for antibiotic resistant bacteria and genes spread into the environment: A review, Science of the Total Environment, 447, 345-360.</w:t>
      </w:r>
      <w:bookmarkEnd w:id="18"/>
    </w:p>
    <w:p w14:paraId="23612C32" w14:textId="77777777" w:rsidR="00302F26" w:rsidRPr="00B97791" w:rsidRDefault="00302F26" w:rsidP="00302F26">
      <w:pPr>
        <w:pStyle w:val="CETReferencetext"/>
      </w:pPr>
      <w:bookmarkStart w:id="19" w:name="_ENREF_15"/>
      <w:r w:rsidRPr="00B97791">
        <w:t>Ziajka, J. and W. Pasiuk-Bronikowska, 2005, Rate constants for atmospheric trace organics scavenging SO4•- in the Fe-catalysed autoxidation of S(IV), Atmospheric Environment, 39(8), 1431-1438.</w:t>
      </w:r>
      <w:bookmarkEnd w:id="19"/>
    </w:p>
    <w:p w14:paraId="61E92E2A" w14:textId="77777777" w:rsidR="00302F26" w:rsidRPr="00B97791" w:rsidRDefault="00302F26" w:rsidP="00302F26">
      <w:pPr>
        <w:pStyle w:val="CETReferencetext"/>
      </w:pPr>
      <w:r w:rsidRPr="00B97791">
        <w:fldChar w:fldCharType="end"/>
      </w:r>
    </w:p>
    <w:p w14:paraId="12B75A6D" w14:textId="5A039C38" w:rsidR="009F0488" w:rsidRPr="00B97791" w:rsidRDefault="009F0488" w:rsidP="009567C1">
      <w:pPr>
        <w:pStyle w:val="CETReferencetext"/>
        <w:ind w:left="0" w:firstLine="0"/>
      </w:pPr>
    </w:p>
    <w:sectPr w:rsidR="009F0488" w:rsidRPr="00B97791" w:rsidSect="0077098D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BC493C" w14:textId="77777777" w:rsidR="005156C2" w:rsidRDefault="005156C2" w:rsidP="004F5E36">
      <w:r>
        <w:separator/>
      </w:r>
    </w:p>
  </w:endnote>
  <w:endnote w:type="continuationSeparator" w:id="0">
    <w:p w14:paraId="13437E3B" w14:textId="77777777" w:rsidR="005156C2" w:rsidRDefault="005156C2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5BED9B" w14:textId="77777777" w:rsidR="005156C2" w:rsidRDefault="005156C2" w:rsidP="004F5E36">
      <w:r>
        <w:separator/>
      </w:r>
    </w:p>
  </w:footnote>
  <w:footnote w:type="continuationSeparator" w:id="0">
    <w:p w14:paraId="6B691DB6" w14:textId="77777777" w:rsidR="005156C2" w:rsidRDefault="005156C2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38217E"/>
    <w:multiLevelType w:val="multilevel"/>
    <w:tmpl w:val="F17228D6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eSimpl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6"/>
  </w:num>
  <w:num w:numId="13">
    <w:abstractNumId w:val="12"/>
  </w:num>
  <w:num w:numId="14">
    <w:abstractNumId w:val="17"/>
  </w:num>
  <w:num w:numId="15">
    <w:abstractNumId w:val="19"/>
  </w:num>
  <w:num w:numId="16">
    <w:abstractNumId w:val="18"/>
  </w:num>
  <w:num w:numId="17">
    <w:abstractNumId w:val="11"/>
  </w:num>
  <w:num w:numId="18">
    <w:abstractNumId w:val="12"/>
    <w:lvlOverride w:ilvl="0">
      <w:startOverride w:val="1"/>
    </w:lvlOverride>
  </w:num>
  <w:num w:numId="19">
    <w:abstractNumId w:val="15"/>
  </w:num>
  <w:num w:numId="20">
    <w:abstractNumId w:val="14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uthor-Date&lt;/Style&gt;&lt;LeftDelim&gt;{&lt;/LeftDelim&gt;&lt;RightDelim&gt;}&lt;/RightDelim&gt;&lt;FontName&gt;Arial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0E414A"/>
    <w:rsid w:val="000027C0"/>
    <w:rsid w:val="00002E9E"/>
    <w:rsid w:val="000052FB"/>
    <w:rsid w:val="000072D7"/>
    <w:rsid w:val="00010F40"/>
    <w:rsid w:val="000117CB"/>
    <w:rsid w:val="000223CE"/>
    <w:rsid w:val="00025DC7"/>
    <w:rsid w:val="00026507"/>
    <w:rsid w:val="0003148D"/>
    <w:rsid w:val="00043ACA"/>
    <w:rsid w:val="00047D7F"/>
    <w:rsid w:val="000512FA"/>
    <w:rsid w:val="00051566"/>
    <w:rsid w:val="00055C8A"/>
    <w:rsid w:val="00062A9A"/>
    <w:rsid w:val="00063D73"/>
    <w:rsid w:val="00065058"/>
    <w:rsid w:val="000713D0"/>
    <w:rsid w:val="00072FCD"/>
    <w:rsid w:val="000731CE"/>
    <w:rsid w:val="00075B6B"/>
    <w:rsid w:val="000837C5"/>
    <w:rsid w:val="00085961"/>
    <w:rsid w:val="00086C39"/>
    <w:rsid w:val="00092B96"/>
    <w:rsid w:val="00093173"/>
    <w:rsid w:val="00095AD7"/>
    <w:rsid w:val="00097D83"/>
    <w:rsid w:val="000A0387"/>
    <w:rsid w:val="000A03B2"/>
    <w:rsid w:val="000A0C73"/>
    <w:rsid w:val="000B4841"/>
    <w:rsid w:val="000B58F9"/>
    <w:rsid w:val="000C53DD"/>
    <w:rsid w:val="000D34BE"/>
    <w:rsid w:val="000D6E4C"/>
    <w:rsid w:val="000E102F"/>
    <w:rsid w:val="000E22C0"/>
    <w:rsid w:val="000E36F1"/>
    <w:rsid w:val="000E3A73"/>
    <w:rsid w:val="000E414A"/>
    <w:rsid w:val="000F093C"/>
    <w:rsid w:val="000F16BD"/>
    <w:rsid w:val="000F2D7B"/>
    <w:rsid w:val="000F37A1"/>
    <w:rsid w:val="000F4A69"/>
    <w:rsid w:val="000F787B"/>
    <w:rsid w:val="00110033"/>
    <w:rsid w:val="00111D0A"/>
    <w:rsid w:val="0011285E"/>
    <w:rsid w:val="00112F75"/>
    <w:rsid w:val="0012091F"/>
    <w:rsid w:val="00126BC2"/>
    <w:rsid w:val="001271E8"/>
    <w:rsid w:val="001308B6"/>
    <w:rsid w:val="0013121F"/>
    <w:rsid w:val="00131FAB"/>
    <w:rsid w:val="00131FE6"/>
    <w:rsid w:val="0013263F"/>
    <w:rsid w:val="0013269C"/>
    <w:rsid w:val="00134DE4"/>
    <w:rsid w:val="0014034D"/>
    <w:rsid w:val="0014080B"/>
    <w:rsid w:val="001432FB"/>
    <w:rsid w:val="00144DED"/>
    <w:rsid w:val="001452F9"/>
    <w:rsid w:val="00150E59"/>
    <w:rsid w:val="00151F07"/>
    <w:rsid w:val="00152DE3"/>
    <w:rsid w:val="00164CF9"/>
    <w:rsid w:val="00184AD6"/>
    <w:rsid w:val="00195BB9"/>
    <w:rsid w:val="001A18E9"/>
    <w:rsid w:val="001A58A1"/>
    <w:rsid w:val="001B0349"/>
    <w:rsid w:val="001B04D6"/>
    <w:rsid w:val="001B10F6"/>
    <w:rsid w:val="001B5064"/>
    <w:rsid w:val="001B65C1"/>
    <w:rsid w:val="001B795C"/>
    <w:rsid w:val="001C615E"/>
    <w:rsid w:val="001C684B"/>
    <w:rsid w:val="001D34E3"/>
    <w:rsid w:val="001D53FC"/>
    <w:rsid w:val="001E6015"/>
    <w:rsid w:val="001F3513"/>
    <w:rsid w:val="001F42A5"/>
    <w:rsid w:val="001F6657"/>
    <w:rsid w:val="001F7B9D"/>
    <w:rsid w:val="00200E5A"/>
    <w:rsid w:val="00205961"/>
    <w:rsid w:val="0021527F"/>
    <w:rsid w:val="00220D1D"/>
    <w:rsid w:val="0022241C"/>
    <w:rsid w:val="002224B4"/>
    <w:rsid w:val="002228C2"/>
    <w:rsid w:val="00222F79"/>
    <w:rsid w:val="00233419"/>
    <w:rsid w:val="002447EF"/>
    <w:rsid w:val="00251550"/>
    <w:rsid w:val="0025275F"/>
    <w:rsid w:val="00263B05"/>
    <w:rsid w:val="0027221A"/>
    <w:rsid w:val="00275136"/>
    <w:rsid w:val="00275B61"/>
    <w:rsid w:val="00282656"/>
    <w:rsid w:val="0028351A"/>
    <w:rsid w:val="00292E6E"/>
    <w:rsid w:val="00296B83"/>
    <w:rsid w:val="002A490C"/>
    <w:rsid w:val="002A5616"/>
    <w:rsid w:val="002B78CE"/>
    <w:rsid w:val="002C1D11"/>
    <w:rsid w:val="002C2FB6"/>
    <w:rsid w:val="002E1670"/>
    <w:rsid w:val="002E47FD"/>
    <w:rsid w:val="002E7D04"/>
    <w:rsid w:val="003007ED"/>
    <w:rsid w:val="003009B7"/>
    <w:rsid w:val="00300E56"/>
    <w:rsid w:val="00302F26"/>
    <w:rsid w:val="0030469C"/>
    <w:rsid w:val="00306951"/>
    <w:rsid w:val="00310566"/>
    <w:rsid w:val="00316B49"/>
    <w:rsid w:val="003209BE"/>
    <w:rsid w:val="00321CA6"/>
    <w:rsid w:val="0032313B"/>
    <w:rsid w:val="00326108"/>
    <w:rsid w:val="00334C09"/>
    <w:rsid w:val="003365E3"/>
    <w:rsid w:val="003505F4"/>
    <w:rsid w:val="00354D64"/>
    <w:rsid w:val="00355120"/>
    <w:rsid w:val="00363D7D"/>
    <w:rsid w:val="003642BC"/>
    <w:rsid w:val="003649DC"/>
    <w:rsid w:val="003649F7"/>
    <w:rsid w:val="003723D4"/>
    <w:rsid w:val="00373F19"/>
    <w:rsid w:val="00384CC8"/>
    <w:rsid w:val="003871FD"/>
    <w:rsid w:val="003959A1"/>
    <w:rsid w:val="003961C5"/>
    <w:rsid w:val="00396F2E"/>
    <w:rsid w:val="003A1E30"/>
    <w:rsid w:val="003A40A3"/>
    <w:rsid w:val="003A7D1C"/>
    <w:rsid w:val="003B304B"/>
    <w:rsid w:val="003B3146"/>
    <w:rsid w:val="003B454E"/>
    <w:rsid w:val="003B60F3"/>
    <w:rsid w:val="003C0B7C"/>
    <w:rsid w:val="003C44F1"/>
    <w:rsid w:val="003D61A3"/>
    <w:rsid w:val="003F015E"/>
    <w:rsid w:val="003F70AC"/>
    <w:rsid w:val="00400414"/>
    <w:rsid w:val="0040371D"/>
    <w:rsid w:val="00404077"/>
    <w:rsid w:val="004042CE"/>
    <w:rsid w:val="0041446B"/>
    <w:rsid w:val="004171A8"/>
    <w:rsid w:val="00434BD1"/>
    <w:rsid w:val="00437CC5"/>
    <w:rsid w:val="0044329C"/>
    <w:rsid w:val="004511A7"/>
    <w:rsid w:val="004539A6"/>
    <w:rsid w:val="004548D4"/>
    <w:rsid w:val="00455569"/>
    <w:rsid w:val="004577FE"/>
    <w:rsid w:val="00457B9C"/>
    <w:rsid w:val="0046164A"/>
    <w:rsid w:val="004628D2"/>
    <w:rsid w:val="00462DCD"/>
    <w:rsid w:val="004648AD"/>
    <w:rsid w:val="004703A9"/>
    <w:rsid w:val="004760DE"/>
    <w:rsid w:val="00481161"/>
    <w:rsid w:val="004837D1"/>
    <w:rsid w:val="00484C50"/>
    <w:rsid w:val="00497905"/>
    <w:rsid w:val="004A004E"/>
    <w:rsid w:val="004A24CF"/>
    <w:rsid w:val="004A3629"/>
    <w:rsid w:val="004B2797"/>
    <w:rsid w:val="004B40BC"/>
    <w:rsid w:val="004B4E30"/>
    <w:rsid w:val="004B6721"/>
    <w:rsid w:val="004C0ED9"/>
    <w:rsid w:val="004C2C79"/>
    <w:rsid w:val="004C3D1D"/>
    <w:rsid w:val="004C7913"/>
    <w:rsid w:val="004D03E0"/>
    <w:rsid w:val="004D0FED"/>
    <w:rsid w:val="004D60D3"/>
    <w:rsid w:val="004E4DD6"/>
    <w:rsid w:val="004E718E"/>
    <w:rsid w:val="004F1A3F"/>
    <w:rsid w:val="004F44AF"/>
    <w:rsid w:val="004F5815"/>
    <w:rsid w:val="004F5E36"/>
    <w:rsid w:val="00506753"/>
    <w:rsid w:val="00507B47"/>
    <w:rsid w:val="00507CC9"/>
    <w:rsid w:val="0051079B"/>
    <w:rsid w:val="005116DA"/>
    <w:rsid w:val="005119A5"/>
    <w:rsid w:val="005134C8"/>
    <w:rsid w:val="005156C2"/>
    <w:rsid w:val="00522388"/>
    <w:rsid w:val="00526E91"/>
    <w:rsid w:val="005278B7"/>
    <w:rsid w:val="00532016"/>
    <w:rsid w:val="005346C8"/>
    <w:rsid w:val="00543E7D"/>
    <w:rsid w:val="00547A68"/>
    <w:rsid w:val="005531C9"/>
    <w:rsid w:val="00555FFF"/>
    <w:rsid w:val="005666F5"/>
    <w:rsid w:val="00566BB0"/>
    <w:rsid w:val="00570E14"/>
    <w:rsid w:val="00572E10"/>
    <w:rsid w:val="00573007"/>
    <w:rsid w:val="00582DDA"/>
    <w:rsid w:val="005917E2"/>
    <w:rsid w:val="0059227A"/>
    <w:rsid w:val="00592F55"/>
    <w:rsid w:val="005A1B4E"/>
    <w:rsid w:val="005A2C9B"/>
    <w:rsid w:val="005A7273"/>
    <w:rsid w:val="005B1F2A"/>
    <w:rsid w:val="005B2110"/>
    <w:rsid w:val="005B4D4F"/>
    <w:rsid w:val="005B61E6"/>
    <w:rsid w:val="005C1395"/>
    <w:rsid w:val="005C3DDE"/>
    <w:rsid w:val="005C77E1"/>
    <w:rsid w:val="005D3C27"/>
    <w:rsid w:val="005D6A2F"/>
    <w:rsid w:val="005E0EFB"/>
    <w:rsid w:val="005E1A82"/>
    <w:rsid w:val="005E2095"/>
    <w:rsid w:val="005E3942"/>
    <w:rsid w:val="005E794C"/>
    <w:rsid w:val="005F0A28"/>
    <w:rsid w:val="005F0E5E"/>
    <w:rsid w:val="005F2367"/>
    <w:rsid w:val="005F2C35"/>
    <w:rsid w:val="005F7666"/>
    <w:rsid w:val="00600535"/>
    <w:rsid w:val="0060205E"/>
    <w:rsid w:val="00610313"/>
    <w:rsid w:val="00610CD6"/>
    <w:rsid w:val="00620DEE"/>
    <w:rsid w:val="00621F92"/>
    <w:rsid w:val="00625525"/>
    <w:rsid w:val="00625639"/>
    <w:rsid w:val="00630F15"/>
    <w:rsid w:val="00631B33"/>
    <w:rsid w:val="00636A2A"/>
    <w:rsid w:val="0064184D"/>
    <w:rsid w:val="006422CC"/>
    <w:rsid w:val="00644720"/>
    <w:rsid w:val="006502FB"/>
    <w:rsid w:val="00660E3E"/>
    <w:rsid w:val="00661BA8"/>
    <w:rsid w:val="00662E74"/>
    <w:rsid w:val="00672021"/>
    <w:rsid w:val="00676F7F"/>
    <w:rsid w:val="00680C23"/>
    <w:rsid w:val="00686BA8"/>
    <w:rsid w:val="00693766"/>
    <w:rsid w:val="00694050"/>
    <w:rsid w:val="006A099D"/>
    <w:rsid w:val="006A3281"/>
    <w:rsid w:val="006B2449"/>
    <w:rsid w:val="006B4888"/>
    <w:rsid w:val="006B6CAE"/>
    <w:rsid w:val="006C0C41"/>
    <w:rsid w:val="006C2E45"/>
    <w:rsid w:val="006C359C"/>
    <w:rsid w:val="006C5579"/>
    <w:rsid w:val="006D4355"/>
    <w:rsid w:val="006E737D"/>
    <w:rsid w:val="006F2286"/>
    <w:rsid w:val="006F2988"/>
    <w:rsid w:val="006F57B2"/>
    <w:rsid w:val="006F62CA"/>
    <w:rsid w:val="0070195D"/>
    <w:rsid w:val="0070652F"/>
    <w:rsid w:val="00720A24"/>
    <w:rsid w:val="0072438A"/>
    <w:rsid w:val="00731CCD"/>
    <w:rsid w:val="00732386"/>
    <w:rsid w:val="00734888"/>
    <w:rsid w:val="0074074C"/>
    <w:rsid w:val="00742AF2"/>
    <w:rsid w:val="007447F3"/>
    <w:rsid w:val="00746E22"/>
    <w:rsid w:val="00750A2A"/>
    <w:rsid w:val="0075499F"/>
    <w:rsid w:val="00754C71"/>
    <w:rsid w:val="00755E10"/>
    <w:rsid w:val="007576ED"/>
    <w:rsid w:val="007639D6"/>
    <w:rsid w:val="007661C8"/>
    <w:rsid w:val="0077098D"/>
    <w:rsid w:val="00771AA4"/>
    <w:rsid w:val="007723BC"/>
    <w:rsid w:val="00773C3D"/>
    <w:rsid w:val="007931FA"/>
    <w:rsid w:val="0079401F"/>
    <w:rsid w:val="007A7BBA"/>
    <w:rsid w:val="007B0C50"/>
    <w:rsid w:val="007B1C03"/>
    <w:rsid w:val="007B406C"/>
    <w:rsid w:val="007C1A43"/>
    <w:rsid w:val="007C7EEA"/>
    <w:rsid w:val="007E1DC6"/>
    <w:rsid w:val="007F11DA"/>
    <w:rsid w:val="00802770"/>
    <w:rsid w:val="00810E42"/>
    <w:rsid w:val="00812AE1"/>
    <w:rsid w:val="00813288"/>
    <w:rsid w:val="008144B2"/>
    <w:rsid w:val="008166AC"/>
    <w:rsid w:val="008168FC"/>
    <w:rsid w:val="00821072"/>
    <w:rsid w:val="00821318"/>
    <w:rsid w:val="00827113"/>
    <w:rsid w:val="00830996"/>
    <w:rsid w:val="008322D5"/>
    <w:rsid w:val="008345F1"/>
    <w:rsid w:val="008452DC"/>
    <w:rsid w:val="008531D2"/>
    <w:rsid w:val="00860E86"/>
    <w:rsid w:val="00862A88"/>
    <w:rsid w:val="00865B07"/>
    <w:rsid w:val="008667EA"/>
    <w:rsid w:val="00867176"/>
    <w:rsid w:val="008677C5"/>
    <w:rsid w:val="0087637F"/>
    <w:rsid w:val="00876C04"/>
    <w:rsid w:val="00885B01"/>
    <w:rsid w:val="008904B9"/>
    <w:rsid w:val="00892AD5"/>
    <w:rsid w:val="00894533"/>
    <w:rsid w:val="008A1512"/>
    <w:rsid w:val="008A191E"/>
    <w:rsid w:val="008A345E"/>
    <w:rsid w:val="008A456D"/>
    <w:rsid w:val="008A5388"/>
    <w:rsid w:val="008B0B52"/>
    <w:rsid w:val="008B2B95"/>
    <w:rsid w:val="008B6F57"/>
    <w:rsid w:val="008D32B9"/>
    <w:rsid w:val="008D433B"/>
    <w:rsid w:val="008E152F"/>
    <w:rsid w:val="008E566E"/>
    <w:rsid w:val="008F2CB4"/>
    <w:rsid w:val="008F650C"/>
    <w:rsid w:val="0090161A"/>
    <w:rsid w:val="00901EB6"/>
    <w:rsid w:val="0090284D"/>
    <w:rsid w:val="00904626"/>
    <w:rsid w:val="00904C62"/>
    <w:rsid w:val="0090521C"/>
    <w:rsid w:val="00911AD7"/>
    <w:rsid w:val="00916E60"/>
    <w:rsid w:val="00922ED7"/>
    <w:rsid w:val="00924A7B"/>
    <w:rsid w:val="00924DAC"/>
    <w:rsid w:val="00927058"/>
    <w:rsid w:val="009357A4"/>
    <w:rsid w:val="00936163"/>
    <w:rsid w:val="009450CE"/>
    <w:rsid w:val="009464A4"/>
    <w:rsid w:val="00947179"/>
    <w:rsid w:val="0094746C"/>
    <w:rsid w:val="00947D39"/>
    <w:rsid w:val="00947FF9"/>
    <w:rsid w:val="0095164B"/>
    <w:rsid w:val="00954090"/>
    <w:rsid w:val="0095444C"/>
    <w:rsid w:val="009567C1"/>
    <w:rsid w:val="009573E7"/>
    <w:rsid w:val="00961307"/>
    <w:rsid w:val="00963E05"/>
    <w:rsid w:val="00967D54"/>
    <w:rsid w:val="00981C74"/>
    <w:rsid w:val="00984C4A"/>
    <w:rsid w:val="00987ACC"/>
    <w:rsid w:val="00996483"/>
    <w:rsid w:val="00996F5A"/>
    <w:rsid w:val="009A0A3E"/>
    <w:rsid w:val="009A21F9"/>
    <w:rsid w:val="009B041A"/>
    <w:rsid w:val="009B3270"/>
    <w:rsid w:val="009C50FB"/>
    <w:rsid w:val="009C7C86"/>
    <w:rsid w:val="009D01C1"/>
    <w:rsid w:val="009D2FF7"/>
    <w:rsid w:val="009E25AB"/>
    <w:rsid w:val="009E4261"/>
    <w:rsid w:val="009E519D"/>
    <w:rsid w:val="009E7884"/>
    <w:rsid w:val="009E788A"/>
    <w:rsid w:val="009E7D2A"/>
    <w:rsid w:val="009F0488"/>
    <w:rsid w:val="009F0E08"/>
    <w:rsid w:val="009F3226"/>
    <w:rsid w:val="009F46D9"/>
    <w:rsid w:val="009F6A80"/>
    <w:rsid w:val="00A04DF0"/>
    <w:rsid w:val="00A13DFE"/>
    <w:rsid w:val="00A156D0"/>
    <w:rsid w:val="00A1763D"/>
    <w:rsid w:val="00A17CEC"/>
    <w:rsid w:val="00A240E1"/>
    <w:rsid w:val="00A242AB"/>
    <w:rsid w:val="00A2746E"/>
    <w:rsid w:val="00A27EF0"/>
    <w:rsid w:val="00A31962"/>
    <w:rsid w:val="00A3667F"/>
    <w:rsid w:val="00A436FA"/>
    <w:rsid w:val="00A44138"/>
    <w:rsid w:val="00A45C7A"/>
    <w:rsid w:val="00A50B20"/>
    <w:rsid w:val="00A50B4E"/>
    <w:rsid w:val="00A51390"/>
    <w:rsid w:val="00A51CE1"/>
    <w:rsid w:val="00A56583"/>
    <w:rsid w:val="00A5791A"/>
    <w:rsid w:val="00A60D13"/>
    <w:rsid w:val="00A65756"/>
    <w:rsid w:val="00A72745"/>
    <w:rsid w:val="00A76EFC"/>
    <w:rsid w:val="00A8444B"/>
    <w:rsid w:val="00A90BC9"/>
    <w:rsid w:val="00A91010"/>
    <w:rsid w:val="00A97EE6"/>
    <w:rsid w:val="00A97F29"/>
    <w:rsid w:val="00AA702E"/>
    <w:rsid w:val="00AA7213"/>
    <w:rsid w:val="00AB0964"/>
    <w:rsid w:val="00AB5011"/>
    <w:rsid w:val="00AC7368"/>
    <w:rsid w:val="00AD16B9"/>
    <w:rsid w:val="00AD2AAE"/>
    <w:rsid w:val="00AE3146"/>
    <w:rsid w:val="00AE377D"/>
    <w:rsid w:val="00AF315D"/>
    <w:rsid w:val="00AF4C09"/>
    <w:rsid w:val="00AF6BED"/>
    <w:rsid w:val="00B01816"/>
    <w:rsid w:val="00B05AD1"/>
    <w:rsid w:val="00B05C3D"/>
    <w:rsid w:val="00B17FBD"/>
    <w:rsid w:val="00B20113"/>
    <w:rsid w:val="00B217A0"/>
    <w:rsid w:val="00B315A6"/>
    <w:rsid w:val="00B31813"/>
    <w:rsid w:val="00B33365"/>
    <w:rsid w:val="00B35A04"/>
    <w:rsid w:val="00B36527"/>
    <w:rsid w:val="00B36543"/>
    <w:rsid w:val="00B55271"/>
    <w:rsid w:val="00B57B36"/>
    <w:rsid w:val="00B60915"/>
    <w:rsid w:val="00B66BF9"/>
    <w:rsid w:val="00B75C9E"/>
    <w:rsid w:val="00B76A81"/>
    <w:rsid w:val="00B814EA"/>
    <w:rsid w:val="00B8512D"/>
    <w:rsid w:val="00B8686D"/>
    <w:rsid w:val="00B92B83"/>
    <w:rsid w:val="00B97791"/>
    <w:rsid w:val="00BA00B9"/>
    <w:rsid w:val="00BA4F28"/>
    <w:rsid w:val="00BA7F0C"/>
    <w:rsid w:val="00BB29BE"/>
    <w:rsid w:val="00BC30C9"/>
    <w:rsid w:val="00BE0CE9"/>
    <w:rsid w:val="00BE3CE8"/>
    <w:rsid w:val="00BE3E58"/>
    <w:rsid w:val="00C01616"/>
    <w:rsid w:val="00C0162B"/>
    <w:rsid w:val="00C07A58"/>
    <w:rsid w:val="00C345B1"/>
    <w:rsid w:val="00C40142"/>
    <w:rsid w:val="00C4295D"/>
    <w:rsid w:val="00C57182"/>
    <w:rsid w:val="00C57863"/>
    <w:rsid w:val="00C65463"/>
    <w:rsid w:val="00C655FD"/>
    <w:rsid w:val="00C86966"/>
    <w:rsid w:val="00C870A8"/>
    <w:rsid w:val="00C94434"/>
    <w:rsid w:val="00C9647F"/>
    <w:rsid w:val="00C97AF5"/>
    <w:rsid w:val="00CA0B09"/>
    <w:rsid w:val="00CA0D75"/>
    <w:rsid w:val="00CA1C95"/>
    <w:rsid w:val="00CA5A9C"/>
    <w:rsid w:val="00CB132E"/>
    <w:rsid w:val="00CB5574"/>
    <w:rsid w:val="00CB75E9"/>
    <w:rsid w:val="00CC1EBB"/>
    <w:rsid w:val="00CC7648"/>
    <w:rsid w:val="00CD2A1F"/>
    <w:rsid w:val="00CD3517"/>
    <w:rsid w:val="00CD594E"/>
    <w:rsid w:val="00CD5FE2"/>
    <w:rsid w:val="00CE37D0"/>
    <w:rsid w:val="00CE7C68"/>
    <w:rsid w:val="00CF2979"/>
    <w:rsid w:val="00CF3094"/>
    <w:rsid w:val="00CF6A4E"/>
    <w:rsid w:val="00D02B4C"/>
    <w:rsid w:val="00D03986"/>
    <w:rsid w:val="00D040C4"/>
    <w:rsid w:val="00D17489"/>
    <w:rsid w:val="00D2316E"/>
    <w:rsid w:val="00D27049"/>
    <w:rsid w:val="00D52A9A"/>
    <w:rsid w:val="00D568DD"/>
    <w:rsid w:val="00D57C84"/>
    <w:rsid w:val="00D6057D"/>
    <w:rsid w:val="00D659C9"/>
    <w:rsid w:val="00D713D3"/>
    <w:rsid w:val="00D76B33"/>
    <w:rsid w:val="00D81AB5"/>
    <w:rsid w:val="00D84576"/>
    <w:rsid w:val="00D85130"/>
    <w:rsid w:val="00D85927"/>
    <w:rsid w:val="00D85DAA"/>
    <w:rsid w:val="00D924C2"/>
    <w:rsid w:val="00D947AE"/>
    <w:rsid w:val="00D970EC"/>
    <w:rsid w:val="00DA1399"/>
    <w:rsid w:val="00DA24C6"/>
    <w:rsid w:val="00DA2F3C"/>
    <w:rsid w:val="00DA4D7B"/>
    <w:rsid w:val="00DA66F1"/>
    <w:rsid w:val="00DB6507"/>
    <w:rsid w:val="00DC416F"/>
    <w:rsid w:val="00DC4D8E"/>
    <w:rsid w:val="00DD0B40"/>
    <w:rsid w:val="00DD23CA"/>
    <w:rsid w:val="00DE264A"/>
    <w:rsid w:val="00DF0691"/>
    <w:rsid w:val="00DF19D8"/>
    <w:rsid w:val="00E02036"/>
    <w:rsid w:val="00E0235B"/>
    <w:rsid w:val="00E02D18"/>
    <w:rsid w:val="00E041DC"/>
    <w:rsid w:val="00E041E7"/>
    <w:rsid w:val="00E04269"/>
    <w:rsid w:val="00E10A0C"/>
    <w:rsid w:val="00E12F5E"/>
    <w:rsid w:val="00E170CB"/>
    <w:rsid w:val="00E23CA1"/>
    <w:rsid w:val="00E36321"/>
    <w:rsid w:val="00E36F6A"/>
    <w:rsid w:val="00E406B8"/>
    <w:rsid w:val="00E409A8"/>
    <w:rsid w:val="00E446D0"/>
    <w:rsid w:val="00E50C12"/>
    <w:rsid w:val="00E53E98"/>
    <w:rsid w:val="00E54D43"/>
    <w:rsid w:val="00E55175"/>
    <w:rsid w:val="00E65B91"/>
    <w:rsid w:val="00E7209D"/>
    <w:rsid w:val="00E73B10"/>
    <w:rsid w:val="00E76BAA"/>
    <w:rsid w:val="00E77223"/>
    <w:rsid w:val="00E80184"/>
    <w:rsid w:val="00E8528B"/>
    <w:rsid w:val="00E85B94"/>
    <w:rsid w:val="00E86E00"/>
    <w:rsid w:val="00E94CE3"/>
    <w:rsid w:val="00E978D0"/>
    <w:rsid w:val="00EA4613"/>
    <w:rsid w:val="00EA7F91"/>
    <w:rsid w:val="00EB03FC"/>
    <w:rsid w:val="00EB1523"/>
    <w:rsid w:val="00EC0E49"/>
    <w:rsid w:val="00EC4CC4"/>
    <w:rsid w:val="00EC5282"/>
    <w:rsid w:val="00ED04E8"/>
    <w:rsid w:val="00ED4612"/>
    <w:rsid w:val="00ED5F33"/>
    <w:rsid w:val="00EE0131"/>
    <w:rsid w:val="00EE7DCF"/>
    <w:rsid w:val="00EF0149"/>
    <w:rsid w:val="00EF5C07"/>
    <w:rsid w:val="00F05B34"/>
    <w:rsid w:val="00F155B2"/>
    <w:rsid w:val="00F1630C"/>
    <w:rsid w:val="00F21A6C"/>
    <w:rsid w:val="00F22D68"/>
    <w:rsid w:val="00F30C64"/>
    <w:rsid w:val="00F32CDB"/>
    <w:rsid w:val="00F35ABF"/>
    <w:rsid w:val="00F40862"/>
    <w:rsid w:val="00F519AB"/>
    <w:rsid w:val="00F63861"/>
    <w:rsid w:val="00F63A70"/>
    <w:rsid w:val="00F661E5"/>
    <w:rsid w:val="00F74E4F"/>
    <w:rsid w:val="00F8204D"/>
    <w:rsid w:val="00F859F8"/>
    <w:rsid w:val="00F911A6"/>
    <w:rsid w:val="00F933EC"/>
    <w:rsid w:val="00FA21D0"/>
    <w:rsid w:val="00FA3B91"/>
    <w:rsid w:val="00FA5F5F"/>
    <w:rsid w:val="00FB5C17"/>
    <w:rsid w:val="00FB730C"/>
    <w:rsid w:val="00FC2695"/>
    <w:rsid w:val="00FC3E03"/>
    <w:rsid w:val="00FC3FC1"/>
    <w:rsid w:val="00FE155F"/>
    <w:rsid w:val="00FE18AA"/>
    <w:rsid w:val="00FE2E20"/>
    <w:rsid w:val="00FE4A85"/>
    <w:rsid w:val="00FE4B71"/>
    <w:rsid w:val="00FE63B8"/>
    <w:rsid w:val="00FF1057"/>
    <w:rsid w:val="00FF2B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B7795E9"/>
  <w15:docId w15:val="{DED70D5A-A8EA-4332-856E-6C85E7E9C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ing1">
    <w:name w:val="heading 1"/>
    <w:basedOn w:val="CETHeading1"/>
    <w:next w:val="Normal"/>
    <w:link w:val="Heading1Char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leSimple1">
    <w:name w:val="Table Simple 1"/>
    <w:basedOn w:val="TableNormal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577F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phy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0314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148D"/>
  </w:style>
  <w:style w:type="paragraph" w:styleId="BodyText3">
    <w:name w:val="Body Text 3"/>
    <w:basedOn w:val="Normal"/>
    <w:link w:val="BodyText3Ch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3148D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0314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3148D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03148D"/>
  </w:style>
  <w:style w:type="character" w:customStyle="1" w:styleId="DateChar">
    <w:name w:val="Date Char"/>
    <w:basedOn w:val="DefaultParagraphFont"/>
    <w:link w:val="Date"/>
    <w:uiPriority w:val="99"/>
    <w:semiHidden/>
    <w:rsid w:val="0003148D"/>
  </w:style>
  <w:style w:type="paragraph" w:styleId="Caption">
    <w:name w:val="caption"/>
    <w:basedOn w:val="Normal"/>
    <w:next w:val="Normal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">
    <w:name w:val="List"/>
    <w:basedOn w:val="Normal"/>
    <w:uiPriority w:val="99"/>
    <w:semiHidden/>
    <w:unhideWhenUsed/>
    <w:rsid w:val="0003148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3148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3148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3148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3148D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03148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3148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3148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3148D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3148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3148D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3148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3148D"/>
  </w:style>
  <w:style w:type="paragraph" w:styleId="Closing">
    <w:name w:val="Closing"/>
    <w:basedOn w:val="Normal"/>
    <w:link w:val="Closing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3148D"/>
  </w:style>
  <w:style w:type="paragraph" w:styleId="Index1">
    <w:name w:val="index 1"/>
    <w:basedOn w:val="Normal"/>
    <w:next w:val="Normal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3148D"/>
  </w:style>
  <w:style w:type="paragraph" w:styleId="TableofAuthorities">
    <w:name w:val="table of authorities"/>
    <w:basedOn w:val="Normal"/>
    <w:next w:val="Normal"/>
    <w:uiPriority w:val="99"/>
    <w:semiHidden/>
    <w:unhideWhenUsed/>
    <w:rsid w:val="0003148D"/>
    <w:pPr>
      <w:ind w:left="220" w:hanging="220"/>
    </w:pPr>
  </w:style>
  <w:style w:type="paragraph" w:styleId="EnvelopeAddress">
    <w:name w:val="envelope address"/>
    <w:basedOn w:val="Normal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3148D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3148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3148D"/>
  </w:style>
  <w:style w:type="paragraph" w:styleId="DocumentMap">
    <w:name w:val="Document Map"/>
    <w:basedOn w:val="Normal"/>
    <w:link w:val="DocumentMapChar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3148D"/>
    <w:rPr>
      <w:sz w:val="24"/>
      <w:szCs w:val="24"/>
    </w:rPr>
  </w:style>
  <w:style w:type="paragraph" w:styleId="ListNumber">
    <w:name w:val="List Number"/>
    <w:basedOn w:val="Normal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3148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3148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3148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3148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3148D"/>
  </w:style>
  <w:style w:type="paragraph" w:styleId="ListBullet">
    <w:name w:val="List Bullet"/>
    <w:basedOn w:val="Normal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3148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3148D"/>
    <w:rPr>
      <w:sz w:val="16"/>
      <w:szCs w:val="16"/>
    </w:rPr>
  </w:style>
  <w:style w:type="paragraph" w:styleId="NormalIndent">
    <w:name w:val="Normal Indent"/>
    <w:basedOn w:val="Normal"/>
    <w:uiPriority w:val="99"/>
    <w:semiHidden/>
    <w:unhideWhenUsed/>
    <w:rsid w:val="0003148D"/>
    <w:pPr>
      <w:ind w:left="720"/>
    </w:pPr>
  </w:style>
  <w:style w:type="paragraph" w:styleId="CommentText">
    <w:name w:val="annotation text"/>
    <w:basedOn w:val="Normal"/>
    <w:link w:val="CommentTextChar"/>
    <w:uiPriority w:val="99"/>
    <w:unhideWhenUsed/>
    <w:rsid w:val="000314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314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1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48D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3148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314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3148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3148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3148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3148D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3148D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3148D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3148D"/>
    <w:pPr>
      <w:spacing w:after="100"/>
      <w:ind w:left="1760"/>
    </w:pPr>
  </w:style>
  <w:style w:type="paragraph" w:styleId="BlockText">
    <w:name w:val="Block Text"/>
    <w:basedOn w:val="Normal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croText">
    <w:name w:val="macro"/>
    <w:link w:val="MacroTextChar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3148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148D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148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148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Heading">
    <w:name w:val="index heading"/>
    <w:basedOn w:val="Normal"/>
    <w:next w:val="Index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OAHeading">
    <w:name w:val="toa heading"/>
    <w:basedOn w:val="Normal"/>
    <w:next w:val="Normal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DefaultParagraphFon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leGrid">
    <w:name w:val="Table Grid"/>
    <w:basedOn w:val="TableNormal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DefaultParagraphFont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8531D2"/>
    <w:pPr>
      <w:numPr>
        <w:ilvl w:val="0"/>
        <w:numId w:val="0"/>
      </w:numPr>
      <w:spacing w:after="0"/>
    </w:pPr>
  </w:style>
  <w:style w:type="character" w:customStyle="1" w:styleId="CETHeadingxxChar">
    <w:name w:val="CET Headingxx Char"/>
    <w:basedOn w:val="CETheadingxCarattere"/>
    <w:link w:val="CETHeadingxx"/>
    <w:rsid w:val="008531D2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ListParagraph">
    <w:name w:val="List Paragraph"/>
    <w:basedOn w:val="Normal"/>
    <w:uiPriority w:val="34"/>
    <w:rsid w:val="00CD594E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821318"/>
    <w:pPr>
      <w:jc w:val="center"/>
    </w:pPr>
    <w:rPr>
      <w:rFonts w:cs="Arial"/>
      <w:noProof/>
      <w:sz w:val="20"/>
      <w:lang w:val="en-US"/>
    </w:rPr>
  </w:style>
  <w:style w:type="character" w:customStyle="1" w:styleId="EndNoteBibliographyTitleChar">
    <w:name w:val="EndNote Bibliography Title Char"/>
    <w:basedOn w:val="CETBodytextCarattere"/>
    <w:link w:val="EndNoteBibliographyTitle"/>
    <w:rsid w:val="00821318"/>
    <w:rPr>
      <w:rFonts w:ascii="Arial" w:eastAsia="Times New Roman" w:hAnsi="Arial" w:cs="Arial"/>
      <w:noProof/>
      <w:sz w:val="20"/>
      <w:szCs w:val="20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21318"/>
    <w:pPr>
      <w:spacing w:line="240" w:lineRule="auto"/>
      <w:jc w:val="left"/>
    </w:pPr>
    <w:rPr>
      <w:rFonts w:cs="Arial"/>
      <w:noProof/>
      <w:sz w:val="20"/>
      <w:lang w:val="en-US"/>
    </w:rPr>
  </w:style>
  <w:style w:type="character" w:customStyle="1" w:styleId="EndNoteBibliographyChar">
    <w:name w:val="EndNote Bibliography Char"/>
    <w:basedOn w:val="CETBodytextCarattere"/>
    <w:link w:val="EndNoteBibliography"/>
    <w:rsid w:val="00821318"/>
    <w:rPr>
      <w:rFonts w:ascii="Arial" w:eastAsia="Times New Roman" w:hAnsi="Arial" w:cs="Arial"/>
      <w:noProof/>
      <w:sz w:val="20"/>
      <w:szCs w:val="20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21318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22E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9758D-02CE-4639-8B17-0A1CFE36D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5294</Words>
  <Characters>30178</Characters>
  <Application>Microsoft Office Word</Application>
  <DocSecurity>0</DocSecurity>
  <Lines>251</Lines>
  <Paragraphs>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35402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Lim Teik Thye (Assoc Prof)</cp:lastModifiedBy>
  <cp:revision>3</cp:revision>
  <cp:lastPrinted>2015-05-12T18:31:00Z</cp:lastPrinted>
  <dcterms:created xsi:type="dcterms:W3CDTF">2019-04-12T03:01:00Z</dcterms:created>
  <dcterms:modified xsi:type="dcterms:W3CDTF">2019-04-12T03:27:00Z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