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1220EA24" w14:textId="77777777">
        <w:trPr>
          <w:trHeight w:val="852"/>
          <w:jc w:val="center"/>
        </w:trPr>
        <w:tc>
          <w:tcPr>
            <w:tcW w:w="6946" w:type="dxa"/>
            <w:vMerge w:val="restart"/>
            <w:tcBorders>
              <w:right w:val="single" w:sz="4" w:space="0" w:color="auto"/>
            </w:tcBorders>
          </w:tcPr>
          <w:p w14:paraId="00A3C35D"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785E4366" wp14:editId="534CA1FB">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258A6B21" w14:textId="2F9FD3FD" w:rsidR="000A03B2" w:rsidRPr="00B57B36" w:rsidRDefault="00A76EFC" w:rsidP="00AE66C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AE66C9">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4A3C8823"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F3F8012" w14:textId="77777777" w:rsidR="000A03B2" w:rsidRPr="00B57B36" w:rsidRDefault="000A03B2" w:rsidP="00CD5FE2">
            <w:pPr>
              <w:jc w:val="right"/>
            </w:pPr>
            <w:r w:rsidRPr="00B57B36">
              <w:rPr>
                <w:noProof/>
                <w:lang w:val="it-IT" w:eastAsia="it-IT"/>
              </w:rPr>
              <w:drawing>
                <wp:inline distT="0" distB="0" distL="0" distR="0" wp14:anchorId="3DEEF2D3" wp14:editId="12E65DEC">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76C3690" w14:textId="77777777">
        <w:trPr>
          <w:trHeight w:val="567"/>
          <w:jc w:val="center"/>
        </w:trPr>
        <w:tc>
          <w:tcPr>
            <w:tcW w:w="6946" w:type="dxa"/>
            <w:vMerge/>
            <w:tcBorders>
              <w:right w:val="single" w:sz="4" w:space="0" w:color="auto"/>
            </w:tcBorders>
          </w:tcPr>
          <w:p w14:paraId="13C31204"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3D96DA00"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5F3614D4"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38C9F942"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46282BD2" w14:textId="77777777">
        <w:trPr>
          <w:trHeight w:val="68"/>
          <w:jc w:val="center"/>
        </w:trPr>
        <w:tc>
          <w:tcPr>
            <w:tcW w:w="8789" w:type="dxa"/>
            <w:gridSpan w:val="2"/>
          </w:tcPr>
          <w:p w14:paraId="4D760721" w14:textId="77777777" w:rsidR="00300E56" w:rsidRPr="006F0401" w:rsidRDefault="00300E56" w:rsidP="003365E3">
            <w:pPr>
              <w:ind w:left="-107"/>
              <w:rPr>
                <w:lang w:val="it-IT"/>
              </w:rPr>
            </w:pPr>
            <w:r w:rsidRPr="006F0401">
              <w:rPr>
                <w:rFonts w:ascii="Tahoma" w:hAnsi="Tahoma" w:cs="Tahoma"/>
                <w:iCs/>
                <w:color w:val="333333"/>
                <w:sz w:val="14"/>
                <w:szCs w:val="14"/>
                <w:lang w:val="it-IT" w:eastAsia="it-IT"/>
              </w:rPr>
              <w:t>Guest Editors:</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14:paraId="43FC6E81" w14:textId="5565BE35" w:rsidR="000A03B2" w:rsidRPr="00B57B36" w:rsidRDefault="00FA5F5F" w:rsidP="00AE66C9">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AE66C9">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0E25F2C8"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60DF8DD0" w14:textId="4BD786DF" w:rsidR="00325B77" w:rsidRPr="00634313" w:rsidRDefault="00460F5B" w:rsidP="00AE66C9">
      <w:pPr>
        <w:pStyle w:val="CETTitle"/>
        <w:rPr>
          <w:lang w:val="en-US"/>
        </w:rPr>
      </w:pPr>
      <w:r>
        <w:lastRenderedPageBreak/>
        <w:t>The</w:t>
      </w:r>
      <w:r w:rsidR="004E4D77" w:rsidRPr="004E4D77">
        <w:t xml:space="preserve"> </w:t>
      </w:r>
      <w:r>
        <w:t>E</w:t>
      </w:r>
      <w:r w:rsidR="004E4D77" w:rsidRPr="004E4D77">
        <w:t xml:space="preserve">ffect of pH in Tannery Wastewater by </w:t>
      </w:r>
      <w:r>
        <w:t>Fenton</w:t>
      </w:r>
      <w:r w:rsidR="00382544">
        <w:t xml:space="preserve"> </w:t>
      </w:r>
      <w:r w:rsidR="004E4D77" w:rsidRPr="004E4D77">
        <w:t>vs. Heterogeneous Fenton Process</w:t>
      </w:r>
    </w:p>
    <w:p w14:paraId="7B505660" w14:textId="49E01D37" w:rsidR="00325B77" w:rsidRPr="00171819" w:rsidRDefault="00696EAF" w:rsidP="00325B77">
      <w:pPr>
        <w:pStyle w:val="CETAuthors"/>
        <w:rPr>
          <w:lang w:val="en-US"/>
        </w:rPr>
      </w:pPr>
      <w:r w:rsidRPr="00171819">
        <w:rPr>
          <w:lang w:val="en-US"/>
        </w:rPr>
        <w:t>Javier Rodriguez-Rodriguez</w:t>
      </w:r>
      <w:r>
        <w:rPr>
          <w:lang w:val="en-US"/>
        </w:rPr>
        <w:t xml:space="preserve">, </w:t>
      </w:r>
      <w:r w:rsidR="00634313" w:rsidRPr="00171819">
        <w:rPr>
          <w:lang w:val="en-US"/>
        </w:rPr>
        <w:t>Javier Miguel Ochando-Pulido</w:t>
      </w:r>
      <w:r w:rsidR="00325B77" w:rsidRPr="00171819">
        <w:rPr>
          <w:lang w:val="en-US"/>
        </w:rPr>
        <w:t xml:space="preserve">*, </w:t>
      </w:r>
      <w:r w:rsidR="00634313" w:rsidRPr="00171819">
        <w:rPr>
          <w:lang w:val="en-US"/>
        </w:rPr>
        <w:t>Antonio Martinez-Ferez</w:t>
      </w:r>
    </w:p>
    <w:p w14:paraId="540E9DB4" w14:textId="3B3ECFAB" w:rsidR="00634313" w:rsidRPr="00634313" w:rsidRDefault="00634313" w:rsidP="00634313">
      <w:pPr>
        <w:pStyle w:val="CETHeadingxx"/>
        <w:rPr>
          <w:sz w:val="16"/>
          <w:szCs w:val="16"/>
        </w:rPr>
      </w:pPr>
      <w:r w:rsidRPr="00634313">
        <w:rPr>
          <w:b w:val="0"/>
          <w:sz w:val="16"/>
          <w:szCs w:val="16"/>
        </w:rPr>
        <w:t>University of Granada, Department of Chemical Engineering, Granada, Spain</w:t>
      </w:r>
    </w:p>
    <w:p w14:paraId="4FC4F3E8" w14:textId="2ECA3101" w:rsidR="00325B77" w:rsidRDefault="00634313" w:rsidP="00AE66C9">
      <w:pPr>
        <w:pStyle w:val="CETemail"/>
        <w:rPr>
          <w:color w:val="000000"/>
          <w:lang w:val="en-US"/>
        </w:rPr>
      </w:pPr>
      <w:r w:rsidRPr="00AE66C9">
        <w:rPr>
          <w:lang w:val="en-US"/>
        </w:rPr>
        <w:t>jmochandop@ugr.es</w:t>
      </w:r>
    </w:p>
    <w:p w14:paraId="63ECBBA5" w14:textId="77777777" w:rsidR="00325B77" w:rsidRPr="00325B77" w:rsidRDefault="00634313" w:rsidP="00325B77">
      <w:pPr>
        <w:pStyle w:val="CETBodytext"/>
      </w:pPr>
      <w:r w:rsidRPr="00634313">
        <w:t xml:space="preserve">The present study reports about the development of heterogeneous Fenton process by means of </w:t>
      </w:r>
      <w:proofErr w:type="spellStart"/>
      <w:r w:rsidRPr="00634313">
        <w:t>nano</w:t>
      </w:r>
      <w:proofErr w:type="spellEnd"/>
      <w:r w:rsidRPr="00634313">
        <w:t xml:space="preserve"> zero-valent iron particles (</w:t>
      </w:r>
      <w:proofErr w:type="spellStart"/>
      <w:r w:rsidRPr="00634313">
        <w:t>nZVI</w:t>
      </w:r>
      <w:proofErr w:type="spellEnd"/>
      <w:r w:rsidRPr="00634313">
        <w:t>) as heterogen</w:t>
      </w:r>
      <w:r w:rsidR="0039326A">
        <w:t>e</w:t>
      </w:r>
      <w:r w:rsidRPr="00634313">
        <w:t xml:space="preserve">ous catalyst for the treatment of a synthetic tannery wastewater (STW). The experimental tests were conducted using a pilot Fenton plant for the investigation of the scale-up possibility of the treatment process, studying the influence of initial pH (varied in the range 3-7) and catalyst/oxidant ratio (Cat/Ox </w:t>
      </w:r>
      <w:proofErr w:type="spellStart"/>
      <w:r w:rsidRPr="00634313">
        <w:t>wt</w:t>
      </w:r>
      <w:proofErr w:type="spellEnd"/>
      <w:r w:rsidRPr="00634313">
        <w:t>%) on the overall efficiency of the process. The target wastewater prepared in laboratory, was characterized by a high initial COD</w:t>
      </w:r>
      <w:r w:rsidRPr="00634313">
        <w:rPr>
          <w:vertAlign w:val="subscript"/>
        </w:rPr>
        <w:t>0</w:t>
      </w:r>
      <w:r w:rsidRPr="00634313">
        <w:t>=1200 mg/L and the monitored parameters during the process were COD and hexavalent chromiu</w:t>
      </w:r>
      <w:r w:rsidR="00D05EF3">
        <w:t>m (Cr(VI)) concentrations. Two</w:t>
      </w:r>
      <w:r w:rsidRPr="00634313">
        <w:t xml:space="preserve"> different Cat/Ox ratios were tested (20 and 35%) whereas the </w:t>
      </w:r>
      <w:r w:rsidR="001D7B47">
        <w:t>H</w:t>
      </w:r>
      <w:r w:rsidR="001D7B47" w:rsidRPr="001D7B47">
        <w:rPr>
          <w:vertAlign w:val="subscript"/>
        </w:rPr>
        <w:t>2</w:t>
      </w:r>
      <w:r w:rsidR="001D7B47">
        <w:t>O</w:t>
      </w:r>
      <w:r w:rsidR="001D7B47" w:rsidRPr="001D7B47">
        <w:rPr>
          <w:vertAlign w:val="subscript"/>
        </w:rPr>
        <w:t>2</w:t>
      </w:r>
      <w:r w:rsidRPr="00634313">
        <w:t xml:space="preserve"> amount was fixed equal to 0.75*COD</w:t>
      </w:r>
      <w:r w:rsidRPr="00634313">
        <w:rPr>
          <w:vertAlign w:val="subscript"/>
        </w:rPr>
        <w:t>0</w:t>
      </w:r>
      <w:r w:rsidRPr="00634313">
        <w:t xml:space="preserve">.  The treatment process was performed for the first 2 h in batch, whereas the remaining 8 h were conducted in continuous. The optimal operating parameters (Cat/OX=35%, pH=3) allowed to reach a COD removal efficiency of 70% and a </w:t>
      </w:r>
      <w:r w:rsidR="001D7B47">
        <w:t xml:space="preserve">total </w:t>
      </w:r>
      <w:r w:rsidRPr="00634313">
        <w:t>Cr(VI)</w:t>
      </w:r>
      <w:r w:rsidR="001D7B47">
        <w:t xml:space="preserve"> removal.</w:t>
      </w:r>
      <w:r w:rsidRPr="00634313">
        <w:t xml:space="preserve"> </w:t>
      </w:r>
    </w:p>
    <w:p w14:paraId="0BE7A0D5" w14:textId="77777777" w:rsidR="00600535" w:rsidRPr="00B57B36" w:rsidRDefault="00600535" w:rsidP="00600535">
      <w:pPr>
        <w:pStyle w:val="CETHeading1"/>
        <w:rPr>
          <w:lang w:val="en-GB"/>
        </w:rPr>
      </w:pPr>
      <w:r w:rsidRPr="00B57B36">
        <w:rPr>
          <w:lang w:val="en-GB"/>
        </w:rPr>
        <w:t>Introduction</w:t>
      </w:r>
    </w:p>
    <w:p w14:paraId="5011B078" w14:textId="5ABEE0D8" w:rsidR="00600535" w:rsidRPr="00B57B36" w:rsidRDefault="0084410F" w:rsidP="00D05EF3">
      <w:pPr>
        <w:pStyle w:val="CETBodytext"/>
      </w:pPr>
      <w:r>
        <w:rPr>
          <w:lang w:val="en-GB"/>
        </w:rPr>
        <w:t>Tannery wastewater still represents a serious issue, in particular in the Mediterranean Area (Vilardi et al., 2018a). Spain and Italy hold the most important industrial districts in Europe and their production covers more than 70% of total European leather production (</w:t>
      </w:r>
      <w:r w:rsidR="00C07D69">
        <w:rPr>
          <w:lang w:val="en-GB"/>
        </w:rPr>
        <w:t>Di Palma</w:t>
      </w:r>
      <w:r>
        <w:rPr>
          <w:lang w:val="en-GB"/>
        </w:rPr>
        <w:t xml:space="preserve"> et al., 201</w:t>
      </w:r>
      <w:r w:rsidR="00C07D69">
        <w:rPr>
          <w:lang w:val="en-GB"/>
        </w:rPr>
        <w:t>8</w:t>
      </w:r>
      <w:r>
        <w:rPr>
          <w:lang w:val="en-GB"/>
        </w:rPr>
        <w:t xml:space="preserve">). Since </w:t>
      </w:r>
      <w:r w:rsidRPr="0084410F">
        <w:rPr>
          <w:lang w:val="en-GB"/>
        </w:rPr>
        <w:t xml:space="preserve">the </w:t>
      </w:r>
      <w:r>
        <w:rPr>
          <w:lang w:val="en-GB"/>
        </w:rPr>
        <w:t xml:space="preserve">world </w:t>
      </w:r>
      <w:r w:rsidRPr="0084410F">
        <w:rPr>
          <w:lang w:val="en-GB"/>
        </w:rPr>
        <w:t>annual leather production is 2110 Mm</w:t>
      </w:r>
      <w:r w:rsidRPr="0084410F">
        <w:rPr>
          <w:vertAlign w:val="superscript"/>
          <w:lang w:val="en-GB"/>
        </w:rPr>
        <w:t>2</w:t>
      </w:r>
      <w:r w:rsidRPr="0084410F">
        <w:rPr>
          <w:lang w:val="en-GB"/>
        </w:rPr>
        <w:t>, about 35–45 km</w:t>
      </w:r>
      <w:r w:rsidRPr="0084410F">
        <w:rPr>
          <w:vertAlign w:val="superscript"/>
          <w:lang w:val="en-GB"/>
        </w:rPr>
        <w:t>3</w:t>
      </w:r>
      <w:r w:rsidRPr="0084410F">
        <w:rPr>
          <w:lang w:val="en-GB"/>
        </w:rPr>
        <w:t xml:space="preserve"> of </w:t>
      </w:r>
      <w:r>
        <w:rPr>
          <w:lang w:val="en-GB"/>
        </w:rPr>
        <w:t>tannery wastewater</w:t>
      </w:r>
      <w:r w:rsidRPr="0084410F">
        <w:rPr>
          <w:lang w:val="en-GB"/>
        </w:rPr>
        <w:t xml:space="preserve"> are generated every year</w:t>
      </w:r>
      <w:r>
        <w:rPr>
          <w:lang w:val="en-GB"/>
        </w:rPr>
        <w:t xml:space="preserve">, causing a severe environmental problem which may only grow in the future. </w:t>
      </w:r>
      <w:r w:rsidRPr="0084410F">
        <w:rPr>
          <w:lang w:val="en-GB"/>
        </w:rPr>
        <w:t>Worldwide, chromium tanning process still represents the widest used process with respect to the vegetable one (</w:t>
      </w:r>
      <w:proofErr w:type="spellStart"/>
      <w:r w:rsidRPr="0084410F">
        <w:rPr>
          <w:lang w:val="en-GB"/>
        </w:rPr>
        <w:t>Mella</w:t>
      </w:r>
      <w:proofErr w:type="spellEnd"/>
      <w:r w:rsidRPr="0084410F">
        <w:rPr>
          <w:lang w:val="en-GB"/>
        </w:rPr>
        <w:t xml:space="preserve"> et al., 2015), because of its rapidity and feasibility, producing a more stable and workable leather</w:t>
      </w:r>
      <w:r>
        <w:rPr>
          <w:lang w:val="en-GB"/>
        </w:rPr>
        <w:t xml:space="preserve"> (Vilardi et al., 2018b). The tanning process requires the use of trivalent chromium salts and other potentially toxic compounds, both organic and inorganic, leading to the generation of very polluted process waters</w:t>
      </w:r>
      <w:r w:rsidR="00AA2B4D">
        <w:rPr>
          <w:lang w:val="en-GB"/>
        </w:rPr>
        <w:t xml:space="preserve"> (</w:t>
      </w:r>
      <w:r w:rsidR="00C07D69">
        <w:rPr>
          <w:lang w:val="en-GB"/>
        </w:rPr>
        <w:t>Vilardi et al., 2019a</w:t>
      </w:r>
      <w:r w:rsidR="00AA2B4D">
        <w:rPr>
          <w:lang w:val="en-GB"/>
        </w:rPr>
        <w:t>). Among the various toxic compounds traces of hexavalent chromium, Cr(VI), may also be detected (Vilardi et al., 2018c). Cr(VI) is a very toxic compound, considered carcinogenic and mutagenic (</w:t>
      </w:r>
      <w:proofErr w:type="spellStart"/>
      <w:r w:rsidR="00AA2B4D">
        <w:rPr>
          <w:lang w:val="en-GB"/>
        </w:rPr>
        <w:t>Gueye</w:t>
      </w:r>
      <w:proofErr w:type="spellEnd"/>
      <w:r w:rsidR="00AA2B4D">
        <w:rPr>
          <w:lang w:val="en-GB"/>
        </w:rPr>
        <w:t xml:space="preserve"> et al., 2016) and characterized by a remarkable solubility and mobility in the environment</w:t>
      </w:r>
      <w:r w:rsidR="00B743A0">
        <w:rPr>
          <w:lang w:val="en-GB"/>
        </w:rPr>
        <w:t xml:space="preserve"> (Vilardi et al., 2018d</w:t>
      </w:r>
      <w:r w:rsidR="00AA2B4D">
        <w:rPr>
          <w:lang w:val="en-GB"/>
        </w:rPr>
        <w:t>). Various processes have been developed for the removal of heavy metals in complex wastewaters, such as photocatalysis (Stoller et al., 2017</w:t>
      </w:r>
      <w:r w:rsidR="00D71F05">
        <w:rPr>
          <w:lang w:val="en-GB"/>
        </w:rPr>
        <w:t>a</w:t>
      </w:r>
      <w:r w:rsidR="00AA2B4D">
        <w:rPr>
          <w:lang w:val="en-GB"/>
        </w:rPr>
        <w:t>), membrane tr</w:t>
      </w:r>
      <w:r w:rsidR="005200D4">
        <w:rPr>
          <w:lang w:val="en-GB"/>
        </w:rPr>
        <w:t>eatments (Stoller et al., 2016) and</w:t>
      </w:r>
      <w:r w:rsidR="00AA2B4D">
        <w:rPr>
          <w:lang w:val="en-GB"/>
        </w:rPr>
        <w:t xml:space="preserve"> biosorption (Vilardi et al., 2018</w:t>
      </w:r>
      <w:r w:rsidR="00B743A0">
        <w:rPr>
          <w:lang w:val="en-GB"/>
        </w:rPr>
        <w:t>e</w:t>
      </w:r>
      <w:r w:rsidR="00AA2B4D">
        <w:rPr>
          <w:lang w:val="en-GB"/>
        </w:rPr>
        <w:t>).</w:t>
      </w:r>
      <w:r>
        <w:rPr>
          <w:lang w:val="en-GB"/>
        </w:rPr>
        <w:t xml:space="preserve"> </w:t>
      </w:r>
      <w:r w:rsidR="00AA2B4D">
        <w:rPr>
          <w:lang w:val="en-GB"/>
        </w:rPr>
        <w:t>Considering the high concentration of phenols and other organic material in tannery wastewaters, besides the presence of toxic metals, one of the most employed process for its treatment is represented by Fenton-like processes (</w:t>
      </w:r>
      <w:r w:rsidR="00696EAF">
        <w:rPr>
          <w:lang w:val="en-GB"/>
        </w:rPr>
        <w:t>Vilardi, 2019</w:t>
      </w:r>
      <w:r w:rsidR="00967415">
        <w:rPr>
          <w:lang w:val="en-GB"/>
        </w:rPr>
        <w:t xml:space="preserve">). </w:t>
      </w:r>
      <w:r w:rsidR="00967415" w:rsidRPr="00967415">
        <w:rPr>
          <w:lang w:val="en-GB"/>
        </w:rPr>
        <w:t xml:space="preserve">Fenton processes are well-known within the scientific community because of their suitability to remove </w:t>
      </w:r>
      <w:r w:rsidR="0007027E">
        <w:rPr>
          <w:lang w:val="en-GB"/>
        </w:rPr>
        <w:t>recalcitrant</w:t>
      </w:r>
      <w:r w:rsidR="00967415" w:rsidRPr="00967415">
        <w:rPr>
          <w:lang w:val="en-GB"/>
        </w:rPr>
        <w:t xml:space="preserve"> organic compounds in complex wastewaters</w:t>
      </w:r>
      <w:r w:rsidR="00967415">
        <w:rPr>
          <w:lang w:val="en-GB"/>
        </w:rPr>
        <w:t xml:space="preserve"> (</w:t>
      </w:r>
      <w:proofErr w:type="spellStart"/>
      <w:r w:rsidR="00967415">
        <w:rPr>
          <w:lang w:val="en-GB"/>
        </w:rPr>
        <w:t>Hodaifa</w:t>
      </w:r>
      <w:proofErr w:type="spellEnd"/>
      <w:r w:rsidR="00967415">
        <w:rPr>
          <w:lang w:val="en-GB"/>
        </w:rPr>
        <w:t xml:space="preserve"> et al., 2013). </w:t>
      </w:r>
      <w:r w:rsidR="00967415" w:rsidRPr="00967415">
        <w:rPr>
          <w:lang w:val="en-GB"/>
        </w:rPr>
        <w:t>The main advant</w:t>
      </w:r>
      <w:r w:rsidR="00967415">
        <w:rPr>
          <w:lang w:val="en-GB"/>
        </w:rPr>
        <w:t xml:space="preserve">ages of Fenton </w:t>
      </w:r>
      <w:r w:rsidR="00967415" w:rsidRPr="00967415">
        <w:rPr>
          <w:lang w:val="en-GB"/>
        </w:rPr>
        <w:t>process involve mild operative conditions (the process is usually performed at room t</w:t>
      </w:r>
      <w:r w:rsidR="00967415">
        <w:rPr>
          <w:lang w:val="en-GB"/>
        </w:rPr>
        <w:t>emperature and atmospheric pres</w:t>
      </w:r>
      <w:r w:rsidR="00967415" w:rsidRPr="00967415">
        <w:rPr>
          <w:lang w:val="en-GB"/>
        </w:rPr>
        <w:t>sure) as well as low-cos</w:t>
      </w:r>
      <w:r w:rsidR="00967415">
        <w:rPr>
          <w:lang w:val="en-GB"/>
        </w:rPr>
        <w:t>t and easily available reagents</w:t>
      </w:r>
      <w:r w:rsidR="00967415" w:rsidRPr="00967415">
        <w:rPr>
          <w:lang w:val="en-GB"/>
        </w:rPr>
        <w:t xml:space="preserve"> (Kang and Hwang, 2000). </w:t>
      </w:r>
      <w:r w:rsidR="00967415">
        <w:rPr>
          <w:lang w:val="en-GB"/>
        </w:rPr>
        <w:t>Conversely, acid environment and large hydrogen peroxide dosages are often necessary to reach appreciable treatment efficiencies</w:t>
      </w:r>
      <w:r w:rsidR="00967415" w:rsidRPr="00967415">
        <w:rPr>
          <w:lang w:val="en-GB"/>
        </w:rPr>
        <w:t xml:space="preserve"> </w:t>
      </w:r>
      <w:r w:rsidR="00967415">
        <w:rPr>
          <w:lang w:val="en-GB"/>
        </w:rPr>
        <w:t>(</w:t>
      </w:r>
      <w:proofErr w:type="spellStart"/>
      <w:r w:rsidR="00967415" w:rsidRPr="00967415">
        <w:rPr>
          <w:lang w:val="en-GB"/>
        </w:rPr>
        <w:t>Babuponnusami</w:t>
      </w:r>
      <w:proofErr w:type="spellEnd"/>
      <w:r w:rsidR="00967415" w:rsidRPr="00967415">
        <w:rPr>
          <w:lang w:val="en-GB"/>
        </w:rPr>
        <w:t xml:space="preserve"> and </w:t>
      </w:r>
      <w:proofErr w:type="spellStart"/>
      <w:r w:rsidR="00967415" w:rsidRPr="00967415">
        <w:rPr>
          <w:lang w:val="en-GB"/>
        </w:rPr>
        <w:t>Muthukumar</w:t>
      </w:r>
      <w:proofErr w:type="spellEnd"/>
      <w:r w:rsidR="00967415" w:rsidRPr="00967415">
        <w:rPr>
          <w:lang w:val="en-GB"/>
        </w:rPr>
        <w:t>, 2014).</w:t>
      </w:r>
      <w:r w:rsidR="00967415">
        <w:rPr>
          <w:lang w:val="en-GB"/>
        </w:rPr>
        <w:t xml:space="preserve"> The development of nanotechnology applied to environmental processes has allowed to foster classical processes through the use of limited quantities of active </w:t>
      </w:r>
      <w:proofErr w:type="spellStart"/>
      <w:r w:rsidR="00967415">
        <w:rPr>
          <w:lang w:val="en-GB"/>
        </w:rPr>
        <w:t>nano</w:t>
      </w:r>
      <w:proofErr w:type="spellEnd"/>
      <w:r w:rsidR="00967415">
        <w:rPr>
          <w:lang w:val="en-GB"/>
        </w:rPr>
        <w:t>-catalysts (</w:t>
      </w:r>
      <w:proofErr w:type="spellStart"/>
      <w:r w:rsidR="00967415">
        <w:rPr>
          <w:lang w:val="en-GB"/>
        </w:rPr>
        <w:t>B</w:t>
      </w:r>
      <w:r w:rsidR="0007027E">
        <w:rPr>
          <w:lang w:val="en-GB"/>
        </w:rPr>
        <w:t>avasso</w:t>
      </w:r>
      <w:proofErr w:type="spellEnd"/>
      <w:r w:rsidR="0007027E">
        <w:rPr>
          <w:lang w:val="en-GB"/>
        </w:rPr>
        <w:t xml:space="preserve"> et al., 2016</w:t>
      </w:r>
      <w:r w:rsidR="00967415">
        <w:rPr>
          <w:lang w:val="en-GB"/>
        </w:rPr>
        <w:t>). I</w:t>
      </w:r>
      <w:r w:rsidR="00636162">
        <w:rPr>
          <w:lang w:val="en-GB"/>
        </w:rPr>
        <w:t>n particular</w:t>
      </w:r>
      <w:r w:rsidR="00967415">
        <w:rPr>
          <w:lang w:val="en-GB"/>
        </w:rPr>
        <w:t>,</w:t>
      </w:r>
      <w:r w:rsidR="00636162">
        <w:rPr>
          <w:lang w:val="en-GB"/>
        </w:rPr>
        <w:t xml:space="preserve"> the use of iron-based nanoparticles in</w:t>
      </w:r>
      <w:r w:rsidR="008D64A7">
        <w:rPr>
          <w:lang w:val="en-GB"/>
        </w:rPr>
        <w:t xml:space="preserve"> </w:t>
      </w:r>
      <w:r w:rsidR="00967415">
        <w:rPr>
          <w:lang w:val="en-GB"/>
        </w:rPr>
        <w:t xml:space="preserve">different </w:t>
      </w:r>
      <w:r w:rsidR="00967415">
        <w:rPr>
          <w:lang w:val="en-GB"/>
        </w:rPr>
        <w:lastRenderedPageBreak/>
        <w:t>sectors, such as the</w:t>
      </w:r>
      <w:r w:rsidR="00636162">
        <w:rPr>
          <w:lang w:val="en-GB"/>
        </w:rPr>
        <w:t xml:space="preserve"> civil (Di Palma et al., 2015)</w:t>
      </w:r>
      <w:r w:rsidR="00D71F05">
        <w:rPr>
          <w:lang w:val="en-GB"/>
        </w:rPr>
        <w:t>, the cosmetic (Stoller et al., 2017b)</w:t>
      </w:r>
      <w:r w:rsidR="00636162">
        <w:rPr>
          <w:lang w:val="en-GB"/>
        </w:rPr>
        <w:t xml:space="preserve"> and the environmental one (Vilardi et al., 2017</w:t>
      </w:r>
      <w:r w:rsidR="00D44025">
        <w:rPr>
          <w:lang w:val="en-GB"/>
        </w:rPr>
        <w:t>a</w:t>
      </w:r>
      <w:r w:rsidR="00636162">
        <w:rPr>
          <w:lang w:val="en-GB"/>
        </w:rPr>
        <w:t>)</w:t>
      </w:r>
      <w:r w:rsidR="00325B77">
        <w:rPr>
          <w:lang w:val="en-GB"/>
        </w:rPr>
        <w:t xml:space="preserve"> </w:t>
      </w:r>
      <w:r w:rsidR="00636162">
        <w:rPr>
          <w:lang w:val="en-GB"/>
        </w:rPr>
        <w:t>has been extensively studied</w:t>
      </w:r>
      <w:r w:rsidR="005200D4">
        <w:rPr>
          <w:lang w:val="en-GB"/>
        </w:rPr>
        <w:t xml:space="preserve"> in the last decade</w:t>
      </w:r>
      <w:r w:rsidR="00636162">
        <w:rPr>
          <w:lang w:val="en-GB"/>
        </w:rPr>
        <w:t xml:space="preserve">. </w:t>
      </w:r>
      <w:r w:rsidR="00967415">
        <w:rPr>
          <w:lang w:val="en-GB"/>
        </w:rPr>
        <w:t xml:space="preserve">Zero-valent iron nanoparticles are characterized by high active surface area and remarkable activity towards both </w:t>
      </w:r>
      <w:r w:rsidR="0007027E">
        <w:rPr>
          <w:lang w:val="en-GB"/>
        </w:rPr>
        <w:t>organic and inorganic pollutants (</w:t>
      </w:r>
      <w:r w:rsidR="00696EAF">
        <w:rPr>
          <w:lang w:val="en-GB"/>
        </w:rPr>
        <w:t>Vilardi and Di Palma, 2017</w:t>
      </w:r>
      <w:r w:rsidR="0007027E">
        <w:rPr>
          <w:lang w:val="en-GB"/>
        </w:rPr>
        <w:t>) and has also been investigated its possible use in he</w:t>
      </w:r>
      <w:r w:rsidR="00B743A0">
        <w:rPr>
          <w:lang w:val="en-GB"/>
        </w:rPr>
        <w:t>terogeneous Fenton processes</w:t>
      </w:r>
      <w:r w:rsidR="001D7B47">
        <w:rPr>
          <w:lang w:val="en-GB"/>
        </w:rPr>
        <w:t xml:space="preserve"> (Vilardi, 2018)</w:t>
      </w:r>
      <w:r w:rsidR="0007027E">
        <w:rPr>
          <w:lang w:val="en-GB"/>
        </w:rPr>
        <w:t xml:space="preserve">. </w:t>
      </w:r>
      <w:r w:rsidR="005D10C7">
        <w:rPr>
          <w:lang w:val="en-GB"/>
        </w:rPr>
        <w:t xml:space="preserve">Therefore, the aim of this work was to investigate on the </w:t>
      </w:r>
      <w:r w:rsidR="00D05EF3">
        <w:rPr>
          <w:lang w:val="en-GB"/>
        </w:rPr>
        <w:t>influence of pH and Catalyst/Oxidant weight ratio on the Chemical Oxygen Demand (COD) and Cr(VI) removal efficiency, treating a synthetic tannery wastewater in a pilot-scale Fenton plant sited in the laboratory of Granada University. Kinetic tests were performed once optimal pH and Cat/Ox weight ratio were found. The kinetic data were well fitted to a pseudo-nth order kinetic model</w:t>
      </w:r>
      <w:r w:rsidR="00C07D69">
        <w:rPr>
          <w:lang w:val="en-GB"/>
        </w:rPr>
        <w:t xml:space="preserve"> (White and </w:t>
      </w:r>
      <w:proofErr w:type="spellStart"/>
      <w:r w:rsidR="00C07D69">
        <w:rPr>
          <w:lang w:val="en-GB"/>
        </w:rPr>
        <w:t>Verdone</w:t>
      </w:r>
      <w:proofErr w:type="spellEnd"/>
      <w:r w:rsidR="00C07D69">
        <w:rPr>
          <w:lang w:val="en-GB"/>
        </w:rPr>
        <w:t>, 2000)</w:t>
      </w:r>
      <w:r w:rsidR="00D05EF3">
        <w:rPr>
          <w:lang w:val="en-GB"/>
        </w:rPr>
        <w:t>, using the non-linear Excel solver for the data modelling</w:t>
      </w:r>
      <w:r w:rsidR="00D436D3">
        <w:rPr>
          <w:lang w:val="en-GB"/>
        </w:rPr>
        <w:t xml:space="preserve"> to avoid the errors due to the linearization procedure (Di Palma et al., 2003)</w:t>
      </w:r>
      <w:r w:rsidR="00D05EF3">
        <w:rPr>
          <w:lang w:val="en-GB"/>
        </w:rPr>
        <w:t>.</w:t>
      </w:r>
    </w:p>
    <w:p w14:paraId="51ABC20F" w14:textId="77777777" w:rsidR="00600535" w:rsidRPr="00B57B36" w:rsidRDefault="00960675" w:rsidP="00600535">
      <w:pPr>
        <w:pStyle w:val="CETHeading1"/>
        <w:tabs>
          <w:tab w:val="clear" w:pos="360"/>
          <w:tab w:val="right" w:pos="7100"/>
        </w:tabs>
        <w:jc w:val="both"/>
        <w:rPr>
          <w:lang w:val="en-GB"/>
        </w:rPr>
      </w:pPr>
      <w:r>
        <w:rPr>
          <w:lang w:val="en-GB"/>
        </w:rPr>
        <w:t>Materials and Methods</w:t>
      </w:r>
    </w:p>
    <w:p w14:paraId="4540AAD1" w14:textId="77777777" w:rsidR="00600535" w:rsidRPr="00B57B36" w:rsidRDefault="00960675" w:rsidP="00FA5F5F">
      <w:pPr>
        <w:pStyle w:val="CETheadingx"/>
      </w:pPr>
      <w:r>
        <w:t>Materials</w:t>
      </w:r>
      <w:r w:rsidR="00092D8C">
        <w:t xml:space="preserve"> and synthesis</w:t>
      </w:r>
    </w:p>
    <w:p w14:paraId="5CE5E6F2" w14:textId="44456FFE" w:rsidR="00960675" w:rsidRDefault="00960675" w:rsidP="00600535">
      <w:pPr>
        <w:pStyle w:val="CETBodytext"/>
        <w:rPr>
          <w:lang w:val="en-GB"/>
        </w:rPr>
      </w:pPr>
      <w:r w:rsidRPr="00960675">
        <w:rPr>
          <w:lang w:val="en-GB"/>
        </w:rPr>
        <w:t xml:space="preserve">All the reagents were purchased </w:t>
      </w:r>
      <w:r>
        <w:rPr>
          <w:lang w:val="en-GB"/>
        </w:rPr>
        <w:t xml:space="preserve">at analytical grade </w:t>
      </w:r>
      <w:r w:rsidRPr="00960675">
        <w:rPr>
          <w:lang w:val="en-GB"/>
        </w:rPr>
        <w:t>from Sigma Aldrich (</w:t>
      </w:r>
      <w:r w:rsidR="00D05EF3">
        <w:rPr>
          <w:lang w:val="en-GB"/>
        </w:rPr>
        <w:t>Madrid</w:t>
      </w:r>
      <w:r w:rsidRPr="00960675">
        <w:rPr>
          <w:lang w:val="en-GB"/>
        </w:rPr>
        <w:t xml:space="preserve">). The solutions were prepared in deionized water. </w:t>
      </w:r>
      <w:r w:rsidR="00D05EF3" w:rsidRPr="00D05EF3">
        <w:rPr>
          <w:lang w:val="en-GB"/>
        </w:rPr>
        <w:t>Selected amounts from stock solutions of the following reagents were used</w:t>
      </w:r>
      <w:r w:rsidR="00D05EF3">
        <w:rPr>
          <w:lang w:val="en-GB"/>
        </w:rPr>
        <w:t xml:space="preserve"> to produce synthetic tannery wastewaters (Vilardi et al., 2018a)</w:t>
      </w:r>
      <w:r w:rsidR="00D05EF3" w:rsidRPr="00D05EF3">
        <w:rPr>
          <w:lang w:val="en-GB"/>
        </w:rPr>
        <w:t xml:space="preserve">: </w:t>
      </w:r>
      <w:r w:rsidR="00D05EF3">
        <w:rPr>
          <w:lang w:val="en-GB"/>
        </w:rPr>
        <w:t>tannic acid (5 g/</w:t>
      </w:r>
      <w:r w:rsidR="00D05EF3" w:rsidRPr="00D05EF3">
        <w:rPr>
          <w:lang w:val="en-GB"/>
        </w:rPr>
        <w:t>L), NH</w:t>
      </w:r>
      <w:r w:rsidR="00D05EF3" w:rsidRPr="00D05EF3">
        <w:rPr>
          <w:vertAlign w:val="subscript"/>
          <w:lang w:val="en-GB"/>
        </w:rPr>
        <w:t>4</w:t>
      </w:r>
      <w:r w:rsidR="00D05EF3">
        <w:rPr>
          <w:lang w:val="en-GB"/>
        </w:rPr>
        <w:t>Cl (1 g/</w:t>
      </w:r>
      <w:r w:rsidR="00D05EF3" w:rsidRPr="00D05EF3">
        <w:rPr>
          <w:lang w:val="en-GB"/>
        </w:rPr>
        <w:t>L), K</w:t>
      </w:r>
      <w:r w:rsidR="00D05EF3" w:rsidRPr="00D05EF3">
        <w:rPr>
          <w:vertAlign w:val="subscript"/>
          <w:lang w:val="en-GB"/>
        </w:rPr>
        <w:t>2</w:t>
      </w:r>
      <w:r w:rsidR="00D05EF3" w:rsidRPr="00D05EF3">
        <w:rPr>
          <w:lang w:val="en-GB"/>
        </w:rPr>
        <w:t>Cr</w:t>
      </w:r>
      <w:r w:rsidR="00D05EF3" w:rsidRPr="00D05EF3">
        <w:rPr>
          <w:vertAlign w:val="subscript"/>
          <w:lang w:val="en-GB"/>
        </w:rPr>
        <w:t>2</w:t>
      </w:r>
      <w:r w:rsidR="00D05EF3" w:rsidRPr="00D05EF3">
        <w:rPr>
          <w:lang w:val="en-GB"/>
        </w:rPr>
        <w:t>O</w:t>
      </w:r>
      <w:r w:rsidR="00D05EF3" w:rsidRPr="00D05EF3">
        <w:rPr>
          <w:vertAlign w:val="subscript"/>
          <w:lang w:val="en-GB"/>
        </w:rPr>
        <w:t>7</w:t>
      </w:r>
      <w:r w:rsidR="00D05EF3" w:rsidRPr="00D05EF3">
        <w:rPr>
          <w:lang w:val="en-GB"/>
        </w:rPr>
        <w:t xml:space="preserve"> (12.26 g L</w:t>
      </w:r>
      <w:r w:rsidR="00D05EF3" w:rsidRPr="00D05EF3">
        <w:rPr>
          <w:vertAlign w:val="superscript"/>
          <w:lang w:val="en-GB"/>
        </w:rPr>
        <w:t>−1</w:t>
      </w:r>
      <w:r w:rsidR="00D05EF3" w:rsidRPr="00D05EF3">
        <w:rPr>
          <w:lang w:val="en-GB"/>
        </w:rPr>
        <w:t>), Cr</w:t>
      </w:r>
      <w:r w:rsidR="00D05EF3" w:rsidRPr="00D05EF3">
        <w:rPr>
          <w:vertAlign w:val="subscript"/>
          <w:lang w:val="en-GB"/>
        </w:rPr>
        <w:t>2</w:t>
      </w:r>
      <w:r w:rsidR="00D05EF3" w:rsidRPr="00D05EF3">
        <w:rPr>
          <w:lang w:val="en-GB"/>
        </w:rPr>
        <w:t>(SO</w:t>
      </w:r>
      <w:r w:rsidR="00D05EF3" w:rsidRPr="00D05EF3">
        <w:rPr>
          <w:vertAlign w:val="subscript"/>
          <w:lang w:val="en-GB"/>
        </w:rPr>
        <w:t>4</w:t>
      </w:r>
      <w:r w:rsidR="00D05EF3" w:rsidRPr="00D05EF3">
        <w:rPr>
          <w:lang w:val="en-GB"/>
        </w:rPr>
        <w:t>)</w:t>
      </w:r>
      <w:r w:rsidR="00D05EF3" w:rsidRPr="00D05EF3">
        <w:rPr>
          <w:vertAlign w:val="subscript"/>
          <w:lang w:val="en-GB"/>
        </w:rPr>
        <w:t>3</w:t>
      </w:r>
      <w:r w:rsidR="00D05EF3" w:rsidRPr="00D05EF3">
        <w:rPr>
          <w:lang w:val="en-GB"/>
        </w:rPr>
        <w:t xml:space="preserve"> (1 g</w:t>
      </w:r>
      <w:r w:rsidR="00D05EF3">
        <w:rPr>
          <w:lang w:val="en-GB"/>
        </w:rPr>
        <w:t>/</w:t>
      </w:r>
      <w:r w:rsidR="00D05EF3" w:rsidRPr="00D05EF3">
        <w:rPr>
          <w:lang w:val="en-GB"/>
        </w:rPr>
        <w:t>L), Polyethylene glycol 300, CH</w:t>
      </w:r>
      <w:r w:rsidR="00D05EF3" w:rsidRPr="00D05EF3">
        <w:rPr>
          <w:vertAlign w:val="subscript"/>
          <w:lang w:val="en-GB"/>
        </w:rPr>
        <w:t>2</w:t>
      </w:r>
      <w:r w:rsidR="00D05EF3" w:rsidRPr="00D05EF3">
        <w:rPr>
          <w:lang w:val="en-GB"/>
        </w:rPr>
        <w:t>O</w:t>
      </w:r>
      <w:r w:rsidR="00D05EF3" w:rsidRPr="00D05EF3">
        <w:rPr>
          <w:vertAlign w:val="subscript"/>
          <w:lang w:val="en-GB"/>
        </w:rPr>
        <w:t>2</w:t>
      </w:r>
      <w:r w:rsidR="00D05EF3" w:rsidRPr="00D05EF3">
        <w:rPr>
          <w:lang w:val="en-GB"/>
        </w:rPr>
        <w:t>, NaHCO</w:t>
      </w:r>
      <w:r w:rsidR="00D05EF3" w:rsidRPr="00D05EF3">
        <w:rPr>
          <w:vertAlign w:val="subscript"/>
          <w:lang w:val="en-GB"/>
        </w:rPr>
        <w:t>3</w:t>
      </w:r>
      <w:r w:rsidR="00D05EF3">
        <w:rPr>
          <w:lang w:val="en-GB"/>
        </w:rPr>
        <w:t xml:space="preserve"> (1 g/</w:t>
      </w:r>
      <w:r w:rsidR="00D05EF3" w:rsidRPr="00D05EF3">
        <w:rPr>
          <w:lang w:val="en-GB"/>
        </w:rPr>
        <w:t>L</w:t>
      </w:r>
      <w:r w:rsidR="00D05EF3">
        <w:rPr>
          <w:lang w:val="en-GB"/>
        </w:rPr>
        <w:t xml:space="preserve">), </w:t>
      </w:r>
      <w:proofErr w:type="spellStart"/>
      <w:r w:rsidR="00D05EF3">
        <w:rPr>
          <w:lang w:val="en-GB"/>
        </w:rPr>
        <w:t>HCOONa</w:t>
      </w:r>
      <w:proofErr w:type="spellEnd"/>
      <w:r w:rsidR="00D05EF3">
        <w:rPr>
          <w:lang w:val="en-GB"/>
        </w:rPr>
        <w:t xml:space="preserve"> (1 g/</w:t>
      </w:r>
      <w:r w:rsidR="00D05EF3" w:rsidRPr="00D05EF3">
        <w:rPr>
          <w:lang w:val="en-GB"/>
        </w:rPr>
        <w:t>L), C</w:t>
      </w:r>
      <w:r w:rsidR="00D05EF3" w:rsidRPr="00D05EF3">
        <w:rPr>
          <w:vertAlign w:val="subscript"/>
          <w:lang w:val="en-GB"/>
        </w:rPr>
        <w:t>6</w:t>
      </w:r>
      <w:r w:rsidR="00D05EF3" w:rsidRPr="00D05EF3">
        <w:rPr>
          <w:lang w:val="en-GB"/>
        </w:rPr>
        <w:t>H</w:t>
      </w:r>
      <w:r w:rsidR="00D05EF3" w:rsidRPr="00D05EF3">
        <w:rPr>
          <w:vertAlign w:val="subscript"/>
          <w:lang w:val="en-GB"/>
        </w:rPr>
        <w:t>6</w:t>
      </w:r>
      <w:r w:rsidR="00D05EF3" w:rsidRPr="00D05EF3">
        <w:rPr>
          <w:lang w:val="en-GB"/>
        </w:rPr>
        <w:t>O (5 g L</w:t>
      </w:r>
      <w:r w:rsidR="00D05EF3" w:rsidRPr="00D05EF3">
        <w:rPr>
          <w:vertAlign w:val="superscript"/>
          <w:lang w:val="en-GB"/>
        </w:rPr>
        <w:t>−1</w:t>
      </w:r>
      <w:r w:rsidR="00D05EF3" w:rsidRPr="00D05EF3">
        <w:rPr>
          <w:lang w:val="en-GB"/>
        </w:rPr>
        <w:t>).</w:t>
      </w:r>
      <w:r>
        <w:rPr>
          <w:lang w:val="en-GB"/>
        </w:rPr>
        <w:t xml:space="preserve"> </w:t>
      </w:r>
      <w:r w:rsidR="00092D8C">
        <w:rPr>
          <w:lang w:val="en-GB"/>
        </w:rPr>
        <w:t xml:space="preserve">The STW was characterized in terms of COD (according to </w:t>
      </w:r>
      <w:r w:rsidR="00092D8C" w:rsidRPr="00092D8C">
        <w:rPr>
          <w:lang w:val="en-GB"/>
        </w:rPr>
        <w:t>closed reflux colorimetric method (Federation, 2005))</w:t>
      </w:r>
      <w:r w:rsidR="00092D8C">
        <w:rPr>
          <w:lang w:val="en-GB"/>
        </w:rPr>
        <w:t xml:space="preserve">, pH (measured by a </w:t>
      </w:r>
      <w:proofErr w:type="spellStart"/>
      <w:r w:rsidR="00092D8C">
        <w:rPr>
          <w:lang w:val="en-GB"/>
        </w:rPr>
        <w:t>Crison</w:t>
      </w:r>
      <w:proofErr w:type="spellEnd"/>
      <w:r w:rsidR="00092D8C">
        <w:rPr>
          <w:lang w:val="en-GB"/>
        </w:rPr>
        <w:t xml:space="preserve"> pH-meter) </w:t>
      </w:r>
      <w:r w:rsidR="00FC6759">
        <w:rPr>
          <w:lang w:val="en-GB"/>
        </w:rPr>
        <w:t xml:space="preserve">Cr(III) concentration (using an Agilent 240 measuring total Cr), Total polyphenols (using the </w:t>
      </w:r>
      <w:proofErr w:type="spellStart"/>
      <w:r w:rsidR="00FC6759">
        <w:rPr>
          <w:lang w:val="en-GB"/>
        </w:rPr>
        <w:t>Folin-Ciocalteau</w:t>
      </w:r>
      <w:proofErr w:type="spellEnd"/>
      <w:r w:rsidR="00FC6759">
        <w:rPr>
          <w:lang w:val="en-GB"/>
        </w:rPr>
        <w:t xml:space="preserve"> method and expressing it as mg/L of Gallic Acid Equivalent (</w:t>
      </w:r>
      <w:proofErr w:type="spellStart"/>
      <w:r w:rsidR="00FC6759">
        <w:rPr>
          <w:lang w:val="en-GB"/>
        </w:rPr>
        <w:t>Hodaifa</w:t>
      </w:r>
      <w:proofErr w:type="spellEnd"/>
      <w:r w:rsidR="00FC6759">
        <w:rPr>
          <w:lang w:val="en-GB"/>
        </w:rPr>
        <w:t xml:space="preserve"> et al., 2013)) </w:t>
      </w:r>
      <w:r w:rsidR="00092D8C">
        <w:rPr>
          <w:lang w:val="en-GB"/>
        </w:rPr>
        <w:t xml:space="preserve">and Cr(VI) concentration (determined according </w:t>
      </w:r>
      <w:proofErr w:type="spellStart"/>
      <w:r w:rsidR="00092D8C">
        <w:rPr>
          <w:lang w:val="en-GB"/>
        </w:rPr>
        <w:t>dyphenylcarbazide</w:t>
      </w:r>
      <w:proofErr w:type="spellEnd"/>
      <w:r w:rsidR="00092D8C">
        <w:rPr>
          <w:lang w:val="en-GB"/>
        </w:rPr>
        <w:t xml:space="preserve"> method</w:t>
      </w:r>
      <w:r w:rsidR="00C07D69">
        <w:rPr>
          <w:lang w:val="en-GB"/>
        </w:rPr>
        <w:t xml:space="preserve"> (</w:t>
      </w:r>
      <w:proofErr w:type="spellStart"/>
      <w:r w:rsidR="00C07D69">
        <w:rPr>
          <w:lang w:val="en-GB"/>
        </w:rPr>
        <w:t>Vilardi</w:t>
      </w:r>
      <w:proofErr w:type="spellEnd"/>
      <w:r w:rsidR="00C07D69">
        <w:rPr>
          <w:lang w:val="en-GB"/>
        </w:rPr>
        <w:t xml:space="preserve"> et al., 2019b)</w:t>
      </w:r>
      <w:r w:rsidR="00092D8C">
        <w:rPr>
          <w:lang w:val="en-GB"/>
        </w:rPr>
        <w:t>) and the measured values are reported in Table 1</w:t>
      </w:r>
      <w:r>
        <w:rPr>
          <w:lang w:val="en-GB"/>
        </w:rPr>
        <w:t xml:space="preserve">. </w:t>
      </w:r>
    </w:p>
    <w:p w14:paraId="7AD9B5A4" w14:textId="77777777" w:rsidR="00092D8C" w:rsidRDefault="00092D8C" w:rsidP="00600535">
      <w:pPr>
        <w:pStyle w:val="CETBodytext"/>
        <w:rPr>
          <w:lang w:val="en-GB"/>
        </w:rPr>
      </w:pPr>
    </w:p>
    <w:p w14:paraId="0D1A4BB8" w14:textId="77777777" w:rsidR="00092D8C" w:rsidRDefault="00092D8C" w:rsidP="00600535">
      <w:pPr>
        <w:pStyle w:val="CETBodytext"/>
        <w:rPr>
          <w:i/>
          <w:lang w:val="en-GB"/>
        </w:rPr>
      </w:pPr>
      <w:r w:rsidRPr="00092D8C">
        <w:rPr>
          <w:i/>
          <w:lang w:val="en-GB"/>
        </w:rPr>
        <w:t>Table 1: STW main characteristics.</w:t>
      </w:r>
    </w:p>
    <w:tbl>
      <w:tblPr>
        <w:tblW w:w="4280" w:type="dxa"/>
        <w:tblInd w:w="70" w:type="dxa"/>
        <w:tblCellMar>
          <w:left w:w="70" w:type="dxa"/>
          <w:right w:w="70" w:type="dxa"/>
        </w:tblCellMar>
        <w:tblLook w:val="04A0" w:firstRow="1" w:lastRow="0" w:firstColumn="1" w:lastColumn="0" w:noHBand="0" w:noVBand="1"/>
      </w:tblPr>
      <w:tblGrid>
        <w:gridCol w:w="1640"/>
        <w:gridCol w:w="1660"/>
        <w:gridCol w:w="980"/>
      </w:tblGrid>
      <w:tr w:rsidR="00FC6759" w:rsidRPr="00FC6759" w14:paraId="26E19284" w14:textId="77777777" w:rsidTr="00AE66C9">
        <w:trPr>
          <w:trHeight w:val="284"/>
        </w:trPr>
        <w:tc>
          <w:tcPr>
            <w:tcW w:w="1640" w:type="dxa"/>
            <w:tcBorders>
              <w:top w:val="nil"/>
              <w:left w:val="nil"/>
              <w:bottom w:val="single" w:sz="4" w:space="0" w:color="00B050"/>
              <w:right w:val="nil"/>
            </w:tcBorders>
            <w:shd w:val="clear" w:color="auto" w:fill="auto"/>
            <w:noWrap/>
            <w:vAlign w:val="center"/>
            <w:hideMark/>
          </w:tcPr>
          <w:p w14:paraId="11DB6139" w14:textId="77777777" w:rsidR="00FC6759" w:rsidRPr="00FC6759" w:rsidRDefault="00FC6759" w:rsidP="00FC6759">
            <w:pPr>
              <w:tabs>
                <w:tab w:val="clear" w:pos="7100"/>
              </w:tabs>
              <w:spacing w:line="240" w:lineRule="auto"/>
              <w:contextualSpacing/>
              <w:jc w:val="center"/>
              <w:rPr>
                <w:rFonts w:cs="Arial"/>
                <w:b/>
                <w:bCs/>
                <w:color w:val="000000"/>
                <w:szCs w:val="18"/>
                <w:lang w:val="it-IT" w:eastAsia="it-IT"/>
              </w:rPr>
            </w:pPr>
            <w:proofErr w:type="spellStart"/>
            <w:r w:rsidRPr="00FC6759">
              <w:rPr>
                <w:rFonts w:cs="Arial"/>
                <w:b/>
                <w:bCs/>
                <w:color w:val="000000"/>
                <w:szCs w:val="18"/>
                <w:lang w:val="it-IT" w:eastAsia="it-IT"/>
              </w:rPr>
              <w:t>parameter</w:t>
            </w:r>
            <w:proofErr w:type="spellEnd"/>
          </w:p>
        </w:tc>
        <w:tc>
          <w:tcPr>
            <w:tcW w:w="1660" w:type="dxa"/>
            <w:tcBorders>
              <w:top w:val="nil"/>
              <w:left w:val="nil"/>
              <w:bottom w:val="single" w:sz="4" w:space="0" w:color="00B050"/>
              <w:right w:val="nil"/>
            </w:tcBorders>
            <w:shd w:val="clear" w:color="auto" w:fill="auto"/>
            <w:noWrap/>
            <w:vAlign w:val="center"/>
            <w:hideMark/>
          </w:tcPr>
          <w:p w14:paraId="282D82E7" w14:textId="77777777" w:rsidR="00FC6759" w:rsidRPr="00FC6759" w:rsidRDefault="00FC6759" w:rsidP="00FC6759">
            <w:pPr>
              <w:tabs>
                <w:tab w:val="clear" w:pos="7100"/>
              </w:tabs>
              <w:spacing w:line="240" w:lineRule="auto"/>
              <w:contextualSpacing/>
              <w:jc w:val="center"/>
              <w:rPr>
                <w:rFonts w:cs="Arial"/>
                <w:b/>
                <w:bCs/>
                <w:color w:val="000000"/>
                <w:szCs w:val="18"/>
                <w:lang w:val="it-IT" w:eastAsia="it-IT"/>
              </w:rPr>
            </w:pPr>
            <w:proofErr w:type="spellStart"/>
            <w:r w:rsidRPr="00FC6759">
              <w:rPr>
                <w:rFonts w:cs="Arial"/>
                <w:b/>
                <w:bCs/>
                <w:color w:val="000000"/>
                <w:szCs w:val="18"/>
                <w:lang w:val="it-IT" w:eastAsia="it-IT"/>
              </w:rPr>
              <w:t>unit</w:t>
            </w:r>
            <w:proofErr w:type="spellEnd"/>
            <w:r w:rsidRPr="00FC6759">
              <w:rPr>
                <w:rFonts w:cs="Arial"/>
                <w:b/>
                <w:bCs/>
                <w:color w:val="000000"/>
                <w:szCs w:val="18"/>
                <w:lang w:val="it-IT" w:eastAsia="it-IT"/>
              </w:rPr>
              <w:t xml:space="preserve"> of </w:t>
            </w:r>
            <w:proofErr w:type="spellStart"/>
            <w:r w:rsidRPr="00FC6759">
              <w:rPr>
                <w:rFonts w:cs="Arial"/>
                <w:b/>
                <w:bCs/>
                <w:color w:val="000000"/>
                <w:szCs w:val="18"/>
                <w:lang w:val="it-IT" w:eastAsia="it-IT"/>
              </w:rPr>
              <w:t>measure</w:t>
            </w:r>
            <w:proofErr w:type="spellEnd"/>
          </w:p>
        </w:tc>
        <w:tc>
          <w:tcPr>
            <w:tcW w:w="980" w:type="dxa"/>
            <w:tcBorders>
              <w:top w:val="nil"/>
              <w:left w:val="nil"/>
              <w:bottom w:val="single" w:sz="4" w:space="0" w:color="00B050"/>
              <w:right w:val="nil"/>
            </w:tcBorders>
            <w:shd w:val="clear" w:color="auto" w:fill="auto"/>
            <w:noWrap/>
            <w:vAlign w:val="center"/>
            <w:hideMark/>
          </w:tcPr>
          <w:p w14:paraId="75039E6C" w14:textId="77777777" w:rsidR="00FC6759" w:rsidRPr="00FC6759" w:rsidRDefault="00FC6759" w:rsidP="00FC6759">
            <w:pPr>
              <w:tabs>
                <w:tab w:val="clear" w:pos="7100"/>
              </w:tabs>
              <w:spacing w:line="240" w:lineRule="auto"/>
              <w:contextualSpacing/>
              <w:jc w:val="center"/>
              <w:rPr>
                <w:rFonts w:cs="Arial"/>
                <w:b/>
                <w:bCs/>
                <w:color w:val="000000"/>
                <w:szCs w:val="18"/>
                <w:lang w:val="it-IT" w:eastAsia="it-IT"/>
              </w:rPr>
            </w:pPr>
            <w:proofErr w:type="spellStart"/>
            <w:r w:rsidRPr="00FC6759">
              <w:rPr>
                <w:rFonts w:cs="Arial"/>
                <w:b/>
                <w:bCs/>
                <w:color w:val="000000"/>
                <w:szCs w:val="18"/>
                <w:lang w:val="it-IT" w:eastAsia="it-IT"/>
              </w:rPr>
              <w:t>value</w:t>
            </w:r>
            <w:proofErr w:type="spellEnd"/>
          </w:p>
        </w:tc>
      </w:tr>
      <w:tr w:rsidR="00FC6759" w:rsidRPr="00FC6759" w14:paraId="051E8FC0" w14:textId="77777777" w:rsidTr="00AE66C9">
        <w:trPr>
          <w:trHeight w:val="284"/>
        </w:trPr>
        <w:tc>
          <w:tcPr>
            <w:tcW w:w="1640" w:type="dxa"/>
            <w:tcBorders>
              <w:top w:val="nil"/>
              <w:left w:val="nil"/>
              <w:bottom w:val="nil"/>
              <w:right w:val="nil"/>
            </w:tcBorders>
            <w:shd w:val="clear" w:color="auto" w:fill="auto"/>
            <w:noWrap/>
            <w:vAlign w:val="center"/>
            <w:hideMark/>
          </w:tcPr>
          <w:p w14:paraId="36BEA067"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pH</w:t>
            </w:r>
          </w:p>
        </w:tc>
        <w:tc>
          <w:tcPr>
            <w:tcW w:w="1660" w:type="dxa"/>
            <w:tcBorders>
              <w:top w:val="nil"/>
              <w:left w:val="nil"/>
              <w:bottom w:val="nil"/>
              <w:right w:val="nil"/>
            </w:tcBorders>
            <w:shd w:val="clear" w:color="auto" w:fill="auto"/>
            <w:noWrap/>
            <w:vAlign w:val="center"/>
            <w:hideMark/>
          </w:tcPr>
          <w:p w14:paraId="4A1C7013"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p>
        </w:tc>
        <w:tc>
          <w:tcPr>
            <w:tcW w:w="980" w:type="dxa"/>
            <w:tcBorders>
              <w:top w:val="nil"/>
              <w:left w:val="nil"/>
              <w:bottom w:val="nil"/>
              <w:right w:val="nil"/>
            </w:tcBorders>
            <w:shd w:val="clear" w:color="auto" w:fill="auto"/>
            <w:noWrap/>
            <w:vAlign w:val="center"/>
            <w:hideMark/>
          </w:tcPr>
          <w:p w14:paraId="40046EE1"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5</w:t>
            </w:r>
          </w:p>
        </w:tc>
      </w:tr>
      <w:tr w:rsidR="00FC6759" w:rsidRPr="00FC6759" w14:paraId="05C94937" w14:textId="77777777" w:rsidTr="00AE66C9">
        <w:trPr>
          <w:trHeight w:val="284"/>
        </w:trPr>
        <w:tc>
          <w:tcPr>
            <w:tcW w:w="1640" w:type="dxa"/>
            <w:tcBorders>
              <w:top w:val="nil"/>
              <w:left w:val="nil"/>
              <w:bottom w:val="nil"/>
              <w:right w:val="nil"/>
            </w:tcBorders>
            <w:shd w:val="clear" w:color="auto" w:fill="auto"/>
            <w:noWrap/>
            <w:vAlign w:val="center"/>
            <w:hideMark/>
          </w:tcPr>
          <w:p w14:paraId="007D5C58"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COD</w:t>
            </w:r>
          </w:p>
        </w:tc>
        <w:tc>
          <w:tcPr>
            <w:tcW w:w="1660" w:type="dxa"/>
            <w:tcBorders>
              <w:top w:val="nil"/>
              <w:left w:val="nil"/>
              <w:bottom w:val="nil"/>
              <w:right w:val="nil"/>
            </w:tcBorders>
            <w:shd w:val="clear" w:color="auto" w:fill="auto"/>
            <w:noWrap/>
            <w:vAlign w:val="center"/>
            <w:hideMark/>
          </w:tcPr>
          <w:p w14:paraId="644C5A28"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mg/L</w:t>
            </w:r>
          </w:p>
        </w:tc>
        <w:tc>
          <w:tcPr>
            <w:tcW w:w="980" w:type="dxa"/>
            <w:tcBorders>
              <w:top w:val="nil"/>
              <w:left w:val="nil"/>
              <w:bottom w:val="nil"/>
              <w:right w:val="nil"/>
            </w:tcBorders>
            <w:shd w:val="clear" w:color="auto" w:fill="auto"/>
            <w:noWrap/>
            <w:vAlign w:val="center"/>
            <w:hideMark/>
          </w:tcPr>
          <w:p w14:paraId="602BA798"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1200</w:t>
            </w:r>
          </w:p>
        </w:tc>
      </w:tr>
      <w:tr w:rsidR="00FC6759" w:rsidRPr="00FC6759" w14:paraId="4CC577EC" w14:textId="77777777" w:rsidTr="00AE66C9">
        <w:trPr>
          <w:trHeight w:val="284"/>
        </w:trPr>
        <w:tc>
          <w:tcPr>
            <w:tcW w:w="1640" w:type="dxa"/>
            <w:tcBorders>
              <w:top w:val="nil"/>
              <w:left w:val="nil"/>
              <w:bottom w:val="nil"/>
              <w:right w:val="nil"/>
            </w:tcBorders>
            <w:shd w:val="clear" w:color="auto" w:fill="auto"/>
            <w:noWrap/>
            <w:vAlign w:val="center"/>
            <w:hideMark/>
          </w:tcPr>
          <w:p w14:paraId="160A720A"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proofErr w:type="spellStart"/>
            <w:r w:rsidRPr="00FC6759">
              <w:rPr>
                <w:rFonts w:cs="Arial"/>
                <w:color w:val="000000"/>
                <w:szCs w:val="18"/>
                <w:lang w:val="it-IT" w:eastAsia="it-IT"/>
              </w:rPr>
              <w:t>total</w:t>
            </w:r>
            <w:proofErr w:type="spellEnd"/>
            <w:r w:rsidRPr="00FC6759">
              <w:rPr>
                <w:rFonts w:cs="Arial"/>
                <w:color w:val="000000"/>
                <w:szCs w:val="18"/>
                <w:lang w:val="it-IT" w:eastAsia="it-IT"/>
              </w:rPr>
              <w:t xml:space="preserve"> </w:t>
            </w:r>
            <w:proofErr w:type="spellStart"/>
            <w:r w:rsidRPr="00FC6759">
              <w:rPr>
                <w:rFonts w:cs="Arial"/>
                <w:color w:val="000000"/>
                <w:szCs w:val="18"/>
                <w:lang w:val="it-IT" w:eastAsia="it-IT"/>
              </w:rPr>
              <w:t>polyphenols</w:t>
            </w:r>
            <w:proofErr w:type="spellEnd"/>
          </w:p>
        </w:tc>
        <w:tc>
          <w:tcPr>
            <w:tcW w:w="1660" w:type="dxa"/>
            <w:tcBorders>
              <w:top w:val="nil"/>
              <w:left w:val="nil"/>
              <w:bottom w:val="nil"/>
              <w:right w:val="nil"/>
            </w:tcBorders>
            <w:shd w:val="clear" w:color="auto" w:fill="auto"/>
            <w:noWrap/>
            <w:vAlign w:val="center"/>
            <w:hideMark/>
          </w:tcPr>
          <w:p w14:paraId="29C59FCF"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mg GAE/L</w:t>
            </w:r>
          </w:p>
        </w:tc>
        <w:tc>
          <w:tcPr>
            <w:tcW w:w="980" w:type="dxa"/>
            <w:tcBorders>
              <w:top w:val="nil"/>
              <w:left w:val="nil"/>
              <w:bottom w:val="nil"/>
              <w:right w:val="nil"/>
            </w:tcBorders>
            <w:shd w:val="clear" w:color="auto" w:fill="auto"/>
            <w:noWrap/>
            <w:vAlign w:val="center"/>
            <w:hideMark/>
          </w:tcPr>
          <w:p w14:paraId="1D908831"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270</w:t>
            </w:r>
          </w:p>
        </w:tc>
      </w:tr>
      <w:tr w:rsidR="00FC6759" w:rsidRPr="00FC6759" w14:paraId="0E3D25B2" w14:textId="77777777" w:rsidTr="00AE66C9">
        <w:trPr>
          <w:trHeight w:val="284"/>
        </w:trPr>
        <w:tc>
          <w:tcPr>
            <w:tcW w:w="1640" w:type="dxa"/>
            <w:tcBorders>
              <w:top w:val="nil"/>
              <w:left w:val="nil"/>
              <w:bottom w:val="nil"/>
              <w:right w:val="nil"/>
            </w:tcBorders>
            <w:shd w:val="clear" w:color="auto" w:fill="auto"/>
            <w:noWrap/>
            <w:vAlign w:val="center"/>
            <w:hideMark/>
          </w:tcPr>
          <w:p w14:paraId="4E967472"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Cr(VI)</w:t>
            </w:r>
          </w:p>
        </w:tc>
        <w:tc>
          <w:tcPr>
            <w:tcW w:w="1660" w:type="dxa"/>
            <w:tcBorders>
              <w:top w:val="nil"/>
              <w:left w:val="nil"/>
              <w:bottom w:val="nil"/>
              <w:right w:val="nil"/>
            </w:tcBorders>
            <w:shd w:val="clear" w:color="auto" w:fill="auto"/>
            <w:noWrap/>
            <w:vAlign w:val="center"/>
            <w:hideMark/>
          </w:tcPr>
          <w:p w14:paraId="7CFE1FD6"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mg/L</w:t>
            </w:r>
          </w:p>
        </w:tc>
        <w:tc>
          <w:tcPr>
            <w:tcW w:w="980" w:type="dxa"/>
            <w:tcBorders>
              <w:top w:val="nil"/>
              <w:left w:val="nil"/>
              <w:bottom w:val="nil"/>
              <w:right w:val="nil"/>
            </w:tcBorders>
            <w:shd w:val="clear" w:color="auto" w:fill="auto"/>
            <w:noWrap/>
            <w:vAlign w:val="center"/>
            <w:hideMark/>
          </w:tcPr>
          <w:p w14:paraId="3C18608F"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10</w:t>
            </w:r>
          </w:p>
        </w:tc>
      </w:tr>
      <w:tr w:rsidR="00FC6759" w:rsidRPr="00FC6759" w14:paraId="6FEC8247" w14:textId="77777777" w:rsidTr="00AE66C9">
        <w:trPr>
          <w:trHeight w:val="284"/>
        </w:trPr>
        <w:tc>
          <w:tcPr>
            <w:tcW w:w="1640" w:type="dxa"/>
            <w:tcBorders>
              <w:top w:val="nil"/>
              <w:left w:val="nil"/>
              <w:bottom w:val="single" w:sz="8" w:space="0" w:color="00B050"/>
              <w:right w:val="nil"/>
            </w:tcBorders>
            <w:shd w:val="clear" w:color="auto" w:fill="auto"/>
            <w:noWrap/>
            <w:vAlign w:val="center"/>
            <w:hideMark/>
          </w:tcPr>
          <w:p w14:paraId="5ADBC5AD"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Cr(III)</w:t>
            </w:r>
          </w:p>
        </w:tc>
        <w:tc>
          <w:tcPr>
            <w:tcW w:w="1660" w:type="dxa"/>
            <w:tcBorders>
              <w:top w:val="nil"/>
              <w:left w:val="nil"/>
              <w:bottom w:val="single" w:sz="8" w:space="0" w:color="00B050"/>
              <w:right w:val="nil"/>
            </w:tcBorders>
            <w:shd w:val="clear" w:color="auto" w:fill="auto"/>
            <w:noWrap/>
            <w:vAlign w:val="center"/>
            <w:hideMark/>
          </w:tcPr>
          <w:p w14:paraId="3C3B578A"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mg/L</w:t>
            </w:r>
          </w:p>
        </w:tc>
        <w:tc>
          <w:tcPr>
            <w:tcW w:w="980" w:type="dxa"/>
            <w:tcBorders>
              <w:top w:val="nil"/>
              <w:left w:val="nil"/>
              <w:bottom w:val="single" w:sz="8" w:space="0" w:color="00B050"/>
              <w:right w:val="nil"/>
            </w:tcBorders>
            <w:shd w:val="clear" w:color="auto" w:fill="auto"/>
            <w:noWrap/>
            <w:vAlign w:val="center"/>
            <w:hideMark/>
          </w:tcPr>
          <w:p w14:paraId="4B9A0CDE" w14:textId="77777777" w:rsidR="00FC6759" w:rsidRPr="00FC6759" w:rsidRDefault="00FC6759" w:rsidP="00FC6759">
            <w:pPr>
              <w:tabs>
                <w:tab w:val="clear" w:pos="7100"/>
              </w:tabs>
              <w:spacing w:line="240" w:lineRule="auto"/>
              <w:contextualSpacing/>
              <w:jc w:val="center"/>
              <w:rPr>
                <w:rFonts w:cs="Arial"/>
                <w:color w:val="000000"/>
                <w:szCs w:val="18"/>
                <w:lang w:val="it-IT" w:eastAsia="it-IT"/>
              </w:rPr>
            </w:pPr>
            <w:r w:rsidRPr="00FC6759">
              <w:rPr>
                <w:rFonts w:cs="Arial"/>
                <w:color w:val="000000"/>
                <w:szCs w:val="18"/>
                <w:lang w:val="it-IT" w:eastAsia="it-IT"/>
              </w:rPr>
              <w:t>20</w:t>
            </w:r>
          </w:p>
        </w:tc>
      </w:tr>
    </w:tbl>
    <w:p w14:paraId="329478DC" w14:textId="77777777" w:rsidR="00AE66C9" w:rsidRDefault="00AE66C9" w:rsidP="00600535">
      <w:pPr>
        <w:pStyle w:val="CETBodytext"/>
        <w:rPr>
          <w:lang w:val="en-GB"/>
        </w:rPr>
      </w:pPr>
    </w:p>
    <w:p w14:paraId="6DCD06CB" w14:textId="77777777" w:rsidR="00FA56C6" w:rsidRPr="00FA56C6" w:rsidRDefault="00FA56C6" w:rsidP="00600535">
      <w:pPr>
        <w:pStyle w:val="CETBodytext"/>
        <w:rPr>
          <w:lang w:val="en-GB"/>
        </w:rPr>
      </w:pPr>
      <w:r w:rsidRPr="00FA56C6">
        <w:rPr>
          <w:lang w:val="en-GB"/>
        </w:rPr>
        <w:t xml:space="preserve">The following reagents were used for the production of </w:t>
      </w:r>
      <w:proofErr w:type="spellStart"/>
      <w:r w:rsidRPr="00FA56C6">
        <w:rPr>
          <w:lang w:val="en-GB"/>
        </w:rPr>
        <w:t>nZVI</w:t>
      </w:r>
      <w:proofErr w:type="spellEnd"/>
      <w:r w:rsidR="008F648C">
        <w:rPr>
          <w:lang w:val="en-GB"/>
        </w:rPr>
        <w:t xml:space="preserve">: </w:t>
      </w:r>
      <w:r w:rsidRPr="00FA56C6">
        <w:rPr>
          <w:lang w:val="en-GB"/>
        </w:rPr>
        <w:t>FeSO</w:t>
      </w:r>
      <w:r w:rsidRPr="00FA56C6">
        <w:rPr>
          <w:vertAlign w:val="subscript"/>
          <w:lang w:val="en-GB"/>
        </w:rPr>
        <w:t>4</w:t>
      </w:r>
      <w:r w:rsidRPr="00FA56C6">
        <w:rPr>
          <w:lang w:val="en-GB"/>
        </w:rPr>
        <w:t>·7H</w:t>
      </w:r>
      <w:r w:rsidRPr="00FA56C6">
        <w:rPr>
          <w:vertAlign w:val="subscript"/>
          <w:lang w:val="en-GB"/>
        </w:rPr>
        <w:t>2</w:t>
      </w:r>
      <w:r w:rsidRPr="00FA56C6">
        <w:rPr>
          <w:lang w:val="en-GB"/>
        </w:rPr>
        <w:t>O, NaBH</w:t>
      </w:r>
      <w:r w:rsidRPr="00FA56C6">
        <w:rPr>
          <w:vertAlign w:val="subscript"/>
          <w:lang w:val="en-GB"/>
        </w:rPr>
        <w:t>4</w:t>
      </w:r>
      <w:r w:rsidRPr="00FA56C6">
        <w:rPr>
          <w:lang w:val="en-GB"/>
        </w:rPr>
        <w:t xml:space="preserve">, </w:t>
      </w:r>
      <w:r w:rsidR="008F648C">
        <w:rPr>
          <w:lang w:val="en-GB"/>
        </w:rPr>
        <w:t>N</w:t>
      </w:r>
      <w:r w:rsidR="008F648C" w:rsidRPr="008F648C">
        <w:rPr>
          <w:vertAlign w:val="subscript"/>
          <w:lang w:val="en-GB"/>
        </w:rPr>
        <w:t>2</w:t>
      </w:r>
      <w:r w:rsidR="008F648C">
        <w:rPr>
          <w:lang w:val="en-GB"/>
        </w:rPr>
        <w:t>,</w:t>
      </w:r>
      <w:r>
        <w:rPr>
          <w:lang w:val="en-GB"/>
        </w:rPr>
        <w:t xml:space="preserve"> following the procedure reported in previous paper, where also its characterization is reported</w:t>
      </w:r>
      <w:r w:rsidRPr="00FA56C6">
        <w:rPr>
          <w:lang w:val="en-GB"/>
        </w:rPr>
        <w:t xml:space="preserve"> (Vilardi et al., 2018f)</w:t>
      </w:r>
      <w:r>
        <w:rPr>
          <w:lang w:val="en-GB"/>
        </w:rPr>
        <w:t xml:space="preserve">. </w:t>
      </w:r>
      <w:r w:rsidR="008F648C">
        <w:rPr>
          <w:lang w:val="en-GB"/>
        </w:rPr>
        <w:t>In brief, t</w:t>
      </w:r>
      <w:r w:rsidR="008F648C" w:rsidRPr="008F648C">
        <w:rPr>
          <w:lang w:val="en-GB"/>
        </w:rPr>
        <w:t>he synthesis was carried out in a 500-mL flask where nitrogen (N</w:t>
      </w:r>
      <w:r w:rsidR="008F648C" w:rsidRPr="008F648C">
        <w:rPr>
          <w:vertAlign w:val="subscript"/>
          <w:lang w:val="en-GB"/>
        </w:rPr>
        <w:t>2</w:t>
      </w:r>
      <w:r w:rsidR="008F648C" w:rsidRPr="008F648C">
        <w:rPr>
          <w:lang w:val="en-GB"/>
        </w:rPr>
        <w:t>) was purged during the entire preparation. The selected procedure consists of the preparation of 120 mL of a 0.16 M Fe</w:t>
      </w:r>
      <w:r w:rsidR="008F648C" w:rsidRPr="008F648C">
        <w:rPr>
          <w:vertAlign w:val="superscript"/>
          <w:lang w:val="en-GB"/>
        </w:rPr>
        <w:t>2+</w:t>
      </w:r>
      <w:r w:rsidR="008F648C" w:rsidRPr="008F648C">
        <w:rPr>
          <w:lang w:val="en-GB"/>
        </w:rPr>
        <w:t xml:space="preserve"> solution to which 120 mL of 0.3</w:t>
      </w:r>
      <w:r w:rsidR="001D7B47">
        <w:rPr>
          <w:lang w:val="en-GB"/>
        </w:rPr>
        <w:t>8</w:t>
      </w:r>
      <w:r w:rsidR="008F648C" w:rsidRPr="008F648C">
        <w:rPr>
          <w:lang w:val="en-GB"/>
        </w:rPr>
        <w:t> M BH</w:t>
      </w:r>
      <w:r w:rsidR="008F648C" w:rsidRPr="008F648C">
        <w:rPr>
          <w:vertAlign w:val="subscript"/>
          <w:lang w:val="en-GB"/>
        </w:rPr>
        <w:t>4</w:t>
      </w:r>
      <w:r w:rsidR="008F648C" w:rsidRPr="008F648C">
        <w:rPr>
          <w:vertAlign w:val="superscript"/>
          <w:lang w:val="en-GB"/>
        </w:rPr>
        <w:t>−</w:t>
      </w:r>
      <w:r w:rsidR="008F648C" w:rsidRPr="008F648C">
        <w:rPr>
          <w:lang w:val="en-GB"/>
        </w:rPr>
        <w:t xml:space="preserve"> solution were added drop wise</w:t>
      </w:r>
      <w:r w:rsidR="001D7B47">
        <w:rPr>
          <w:lang w:val="en-GB"/>
        </w:rPr>
        <w:t>, using the optimal molar ratio among BH</w:t>
      </w:r>
      <w:r w:rsidR="001D7B47" w:rsidRPr="001D7B47">
        <w:rPr>
          <w:vertAlign w:val="superscript"/>
          <w:lang w:val="en-GB"/>
        </w:rPr>
        <w:t>4-</w:t>
      </w:r>
      <w:r w:rsidR="001D7B47">
        <w:rPr>
          <w:lang w:val="en-GB"/>
        </w:rPr>
        <w:t xml:space="preserve"> and Fe</w:t>
      </w:r>
      <w:r w:rsidR="001D7B47" w:rsidRPr="001D7B47">
        <w:rPr>
          <w:vertAlign w:val="superscript"/>
          <w:lang w:val="en-GB"/>
        </w:rPr>
        <w:t>2+</w:t>
      </w:r>
      <w:r w:rsidR="001D7B47">
        <w:rPr>
          <w:lang w:val="en-GB"/>
        </w:rPr>
        <w:t xml:space="preserve"> (Vilardi et al., 2017b)</w:t>
      </w:r>
      <w:r w:rsidR="008F648C" w:rsidRPr="008F648C">
        <w:rPr>
          <w:lang w:val="en-GB"/>
        </w:rPr>
        <w:t>. No buffer systems were used during the preparation</w:t>
      </w:r>
      <w:r w:rsidR="008F648C">
        <w:rPr>
          <w:lang w:val="en-GB"/>
        </w:rPr>
        <w:t>.</w:t>
      </w:r>
      <w:r w:rsidR="008F648C" w:rsidRPr="008F648C">
        <w:rPr>
          <w:lang w:val="en-GB"/>
        </w:rPr>
        <w:t xml:space="preserve"> Reaction mixture was shaken vigorously for an hour, up to the gas evolution (hydrogen) ceased. </w:t>
      </w:r>
      <w:r>
        <w:rPr>
          <w:lang w:val="en-GB"/>
        </w:rPr>
        <w:t xml:space="preserve">The iron </w:t>
      </w:r>
      <w:proofErr w:type="spellStart"/>
      <w:r>
        <w:rPr>
          <w:lang w:val="en-GB"/>
        </w:rPr>
        <w:t>nano</w:t>
      </w:r>
      <w:proofErr w:type="spellEnd"/>
      <w:r>
        <w:rPr>
          <w:lang w:val="en-GB"/>
        </w:rPr>
        <w:t>-catalyst was characterized by a mean size of 100 nm and by a bi-modal size distribution, with a second family of aggregated nanoparticles with a mean size of 250 nm</w:t>
      </w:r>
      <w:r w:rsidR="008F648C">
        <w:rPr>
          <w:lang w:val="en-GB"/>
        </w:rPr>
        <w:t>, determined through dynamic light scattering method (Brookhaven)</w:t>
      </w:r>
      <w:r>
        <w:rPr>
          <w:lang w:val="en-GB"/>
        </w:rPr>
        <w:t>.</w:t>
      </w:r>
    </w:p>
    <w:p w14:paraId="6D8A9CDE" w14:textId="77777777" w:rsidR="00600535" w:rsidRPr="00B57B36" w:rsidRDefault="00092D8C" w:rsidP="00FA5F5F">
      <w:pPr>
        <w:pStyle w:val="CETheadingx"/>
      </w:pPr>
      <w:r>
        <w:t>Experimental set-up</w:t>
      </w:r>
    </w:p>
    <w:p w14:paraId="79B0EC0D" w14:textId="77777777" w:rsidR="00092D8C" w:rsidRDefault="001D7B47" w:rsidP="00960675">
      <w:pPr>
        <w:pStyle w:val="CETBodytext"/>
      </w:pPr>
      <w:r>
        <w:t>Figure 1 displays t</w:t>
      </w:r>
      <w:r w:rsidR="00092D8C">
        <w:t>he Fenton Pilot plant made of four units</w:t>
      </w:r>
      <w:r>
        <w:t xml:space="preserve">: </w:t>
      </w:r>
      <w:r w:rsidR="00092D8C">
        <w:t>oxidation, neutralization, separation and store unit</w:t>
      </w:r>
      <w:r>
        <w:t>.</w:t>
      </w:r>
    </w:p>
    <w:p w14:paraId="135CB539" w14:textId="77777777" w:rsidR="00092D8C" w:rsidRDefault="00092D8C" w:rsidP="00960675">
      <w:pPr>
        <w:pStyle w:val="CETBodytext"/>
      </w:pPr>
    </w:p>
    <w:p w14:paraId="66A100FB" w14:textId="77777777" w:rsidR="00092D8C" w:rsidRDefault="00F33E35" w:rsidP="00960675">
      <w:pPr>
        <w:pStyle w:val="CETBodytext"/>
      </w:pPr>
      <w:r>
        <w:rPr>
          <w:noProof/>
          <w:lang w:val="it-IT" w:eastAsia="it-IT"/>
        </w:rPr>
        <w:drawing>
          <wp:inline distT="0" distB="0" distL="0" distR="0" wp14:anchorId="2AADF556" wp14:editId="7B6B765B">
            <wp:extent cx="3048000" cy="1447066"/>
            <wp:effectExtent l="0" t="0" r="0" b="127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5940" cy="1465078"/>
                    </a:xfrm>
                    <a:prstGeom prst="rect">
                      <a:avLst/>
                    </a:prstGeom>
                  </pic:spPr>
                </pic:pic>
              </a:graphicData>
            </a:graphic>
          </wp:inline>
        </w:drawing>
      </w:r>
    </w:p>
    <w:p w14:paraId="49AF7CA4" w14:textId="77777777" w:rsidR="001D7B47" w:rsidRDefault="00092D8C" w:rsidP="00AE66C9">
      <w:pPr>
        <w:pStyle w:val="CETCaption"/>
      </w:pPr>
      <w:r w:rsidRPr="00092D8C">
        <w:t>Figure 1: image of used pilot-scale treatment plant (Vilardi et al., 2018g).</w:t>
      </w:r>
    </w:p>
    <w:p w14:paraId="6C4D8926" w14:textId="77777777" w:rsidR="00F33E35" w:rsidRPr="001D7B47" w:rsidRDefault="00F33E35" w:rsidP="00960675">
      <w:pPr>
        <w:pStyle w:val="CETBodytext"/>
        <w:rPr>
          <w:i/>
        </w:rPr>
      </w:pPr>
      <w:r w:rsidRPr="00F33E35">
        <w:rPr>
          <w:lang w:val="en-GB"/>
        </w:rPr>
        <w:lastRenderedPageBreak/>
        <w:t>Three impellers operating at 60 rpm constituted the stirring</w:t>
      </w:r>
      <w:r>
        <w:rPr>
          <w:lang w:val="en-GB"/>
        </w:rPr>
        <w:t xml:space="preserve"> </w:t>
      </w:r>
      <w:r w:rsidRPr="00F33E35">
        <w:rPr>
          <w:lang w:val="en-GB"/>
        </w:rPr>
        <w:t>equipment, consisting of a three-bladed mixing propeller located at</w:t>
      </w:r>
      <w:r>
        <w:rPr>
          <w:lang w:val="en-GB"/>
        </w:rPr>
        <w:t xml:space="preserve"> </w:t>
      </w:r>
      <w:r w:rsidRPr="00F33E35">
        <w:rPr>
          <w:lang w:val="en-GB"/>
        </w:rPr>
        <w:t>0.05 m from the reactor bottom and others two turbines with four</w:t>
      </w:r>
      <w:r>
        <w:rPr>
          <w:lang w:val="en-GB"/>
        </w:rPr>
        <w:t xml:space="preserve"> </w:t>
      </w:r>
      <w:r w:rsidRPr="00F33E35">
        <w:rPr>
          <w:lang w:val="en-GB"/>
        </w:rPr>
        <w:t>blades inclined 45</w:t>
      </w:r>
      <w:r>
        <w:rPr>
          <w:lang w:val="en-GB"/>
        </w:rPr>
        <w:t xml:space="preserve">° </w:t>
      </w:r>
      <w:r w:rsidRPr="00F33E35">
        <w:rPr>
          <w:lang w:val="en-GB"/>
        </w:rPr>
        <w:t xml:space="preserve">above were installed in the shaft. </w:t>
      </w:r>
      <w:r>
        <w:rPr>
          <w:lang w:val="en-GB"/>
        </w:rPr>
        <w:t>The diameter of each impeller was 0.05 m</w:t>
      </w:r>
      <w:r w:rsidRPr="00F33E35">
        <w:rPr>
          <w:lang w:val="en-GB"/>
        </w:rPr>
        <w:t>, the vertical distance between the impellers</w:t>
      </w:r>
      <w:r>
        <w:rPr>
          <w:lang w:val="en-GB"/>
        </w:rPr>
        <w:t xml:space="preserve"> </w:t>
      </w:r>
      <w:r w:rsidRPr="00F33E35">
        <w:rPr>
          <w:lang w:val="en-GB"/>
        </w:rPr>
        <w:t>was 0.12 m.</w:t>
      </w:r>
      <w:r>
        <w:rPr>
          <w:lang w:val="en-GB"/>
        </w:rPr>
        <w:t xml:space="preserve"> </w:t>
      </w:r>
      <w:r w:rsidRPr="00F33E35">
        <w:rPr>
          <w:lang w:val="en-GB"/>
        </w:rPr>
        <w:t>The oxidation step was performed in a continuous stirred tank</w:t>
      </w:r>
      <w:r>
        <w:rPr>
          <w:lang w:val="en-GB"/>
        </w:rPr>
        <w:t xml:space="preserve"> </w:t>
      </w:r>
      <w:r w:rsidRPr="00F33E35">
        <w:rPr>
          <w:lang w:val="en-GB"/>
        </w:rPr>
        <w:t>reactor, with a diameter of 0.16 m, a height</w:t>
      </w:r>
      <w:r>
        <w:rPr>
          <w:lang w:val="en-GB"/>
        </w:rPr>
        <w:t xml:space="preserve"> </w:t>
      </w:r>
      <w:r w:rsidRPr="00F33E35">
        <w:rPr>
          <w:lang w:val="en-GB"/>
        </w:rPr>
        <w:t>of 0.38 m and a volume of 7.4 L. The static liquid height was set</w:t>
      </w:r>
      <w:r w:rsidR="00C06A05">
        <w:rPr>
          <w:lang w:val="en-GB"/>
        </w:rPr>
        <w:t xml:space="preserve"> </w:t>
      </w:r>
      <w:r w:rsidRPr="00F33E35">
        <w:rPr>
          <w:lang w:val="en-GB"/>
        </w:rPr>
        <w:t>to 0.36 m; the neutralization step was performed in a similar</w:t>
      </w:r>
      <w:r>
        <w:rPr>
          <w:lang w:val="en-GB"/>
        </w:rPr>
        <w:t xml:space="preserve"> </w:t>
      </w:r>
      <w:r w:rsidRPr="00F33E35">
        <w:rPr>
          <w:lang w:val="en-GB"/>
        </w:rPr>
        <w:t>above</w:t>
      </w:r>
      <w:r>
        <w:rPr>
          <w:lang w:val="en-GB"/>
        </w:rPr>
        <w:t xml:space="preserve"> </w:t>
      </w:r>
      <w:r w:rsidRPr="00F33E35">
        <w:rPr>
          <w:lang w:val="en-GB"/>
        </w:rPr>
        <w:t>m</w:t>
      </w:r>
      <w:r>
        <w:rPr>
          <w:lang w:val="en-GB"/>
        </w:rPr>
        <w:t>entioned reactor (volume = 7 L</w:t>
      </w:r>
      <w:r w:rsidRPr="00F33E35">
        <w:rPr>
          <w:lang w:val="en-GB"/>
        </w:rPr>
        <w:t>); the solid</w:t>
      </w:r>
      <w:r>
        <w:rPr>
          <w:lang w:val="en-GB"/>
        </w:rPr>
        <w:t xml:space="preserve"> </w:t>
      </w:r>
      <w:r w:rsidRPr="00F33E35">
        <w:rPr>
          <w:lang w:val="en-GB"/>
        </w:rPr>
        <w:t>sedimentation step occurred in a lamellar settler with a capacity</w:t>
      </w:r>
      <w:r>
        <w:rPr>
          <w:lang w:val="en-GB"/>
        </w:rPr>
        <w:t xml:space="preserve"> of 22 L</w:t>
      </w:r>
      <w:r w:rsidRPr="00F33E35">
        <w:rPr>
          <w:lang w:val="en-GB"/>
        </w:rPr>
        <w:t>; five storage tanks were adopted: (</w:t>
      </w:r>
      <w:proofErr w:type="spellStart"/>
      <w:r w:rsidRPr="00F33E35">
        <w:rPr>
          <w:lang w:val="en-GB"/>
        </w:rPr>
        <w:t>i</w:t>
      </w:r>
      <w:proofErr w:type="spellEnd"/>
      <w:r w:rsidRPr="00F33E35">
        <w:rPr>
          <w:lang w:val="en-GB"/>
        </w:rPr>
        <w:t>) for</w:t>
      </w:r>
      <w:r>
        <w:rPr>
          <w:lang w:val="en-GB"/>
        </w:rPr>
        <w:t xml:space="preserve"> S</w:t>
      </w:r>
      <w:r w:rsidRPr="00F33E35">
        <w:rPr>
          <w:lang w:val="en-GB"/>
        </w:rPr>
        <w:t xml:space="preserve">TW (32 L of capacity), (ii) for the </w:t>
      </w:r>
      <w:r>
        <w:rPr>
          <w:lang w:val="en-GB"/>
        </w:rPr>
        <w:t>hydrogen peroxide (3 L of capac</w:t>
      </w:r>
      <w:r w:rsidRPr="00F33E35">
        <w:rPr>
          <w:lang w:val="en-GB"/>
        </w:rPr>
        <w:t>ity), (iii) for the catalyst (3 L of capacity), (iv) for the NaOH solution</w:t>
      </w:r>
      <w:r>
        <w:rPr>
          <w:lang w:val="en-GB"/>
        </w:rPr>
        <w:t xml:space="preserve"> </w:t>
      </w:r>
      <w:r w:rsidRPr="00F33E35">
        <w:rPr>
          <w:lang w:val="en-GB"/>
        </w:rPr>
        <w:t xml:space="preserve">(3 L of capacity) and (v) for the treated </w:t>
      </w:r>
      <w:r>
        <w:rPr>
          <w:lang w:val="en-GB"/>
        </w:rPr>
        <w:t>S</w:t>
      </w:r>
      <w:r w:rsidRPr="00F33E35">
        <w:rPr>
          <w:lang w:val="en-GB"/>
        </w:rPr>
        <w:t>TW (50 L of capacity); the</w:t>
      </w:r>
      <w:r>
        <w:rPr>
          <w:lang w:val="en-GB"/>
        </w:rPr>
        <w:t xml:space="preserve"> </w:t>
      </w:r>
      <w:r w:rsidRPr="00F33E35">
        <w:rPr>
          <w:lang w:val="en-GB"/>
        </w:rPr>
        <w:t>plant was also equipped by:</w:t>
      </w:r>
      <w:r>
        <w:rPr>
          <w:lang w:val="en-GB"/>
        </w:rPr>
        <w:t xml:space="preserve"> </w:t>
      </w:r>
      <w:r w:rsidRPr="00F33E35">
        <w:rPr>
          <w:lang w:val="en-GB"/>
        </w:rPr>
        <w:t>9 peristaltic pumps;</w:t>
      </w:r>
      <w:r>
        <w:rPr>
          <w:rFonts w:hint="eastAsia"/>
          <w:lang w:val="en-GB"/>
        </w:rPr>
        <w:t xml:space="preserve"> </w:t>
      </w:r>
      <w:r w:rsidRPr="00F33E35">
        <w:rPr>
          <w:lang w:val="en-GB"/>
        </w:rPr>
        <w:t>pneumatic level sensors;</w:t>
      </w:r>
      <w:r>
        <w:rPr>
          <w:rFonts w:hint="eastAsia"/>
          <w:lang w:val="en-GB"/>
        </w:rPr>
        <w:t xml:space="preserve"> </w:t>
      </w:r>
      <w:r w:rsidRPr="00F33E35">
        <w:rPr>
          <w:lang w:val="en-GB"/>
        </w:rPr>
        <w:t>programmable logic controller (PLC).</w:t>
      </w:r>
      <w:r>
        <w:rPr>
          <w:lang w:val="en-GB"/>
        </w:rPr>
        <w:t>Synthetic t</w:t>
      </w:r>
      <w:r w:rsidRPr="00F33E35">
        <w:rPr>
          <w:lang w:val="en-GB"/>
        </w:rPr>
        <w:t>annery wastewater passed fro</w:t>
      </w:r>
      <w:r>
        <w:rPr>
          <w:lang w:val="en-GB"/>
        </w:rPr>
        <w:t>m the oxidation unit to the neu</w:t>
      </w:r>
      <w:r w:rsidRPr="00F33E35">
        <w:rPr>
          <w:lang w:val="en-GB"/>
        </w:rPr>
        <w:t>tralization one by overflow and then was sent from this latter</w:t>
      </w:r>
      <w:r>
        <w:rPr>
          <w:lang w:val="en-GB"/>
        </w:rPr>
        <w:t xml:space="preserve"> </w:t>
      </w:r>
      <w:r w:rsidRPr="00F33E35">
        <w:rPr>
          <w:lang w:val="en-GB"/>
        </w:rPr>
        <w:t>to the sedimentation settler and then to the final treated water</w:t>
      </w:r>
      <w:r>
        <w:rPr>
          <w:lang w:val="en-GB"/>
        </w:rPr>
        <w:t xml:space="preserve"> </w:t>
      </w:r>
      <w:r w:rsidRPr="00F33E35">
        <w:rPr>
          <w:lang w:val="en-GB"/>
        </w:rPr>
        <w:t>storage tank. The beginning of the experiments on continuous</w:t>
      </w:r>
      <w:r>
        <w:rPr>
          <w:lang w:val="en-GB"/>
        </w:rPr>
        <w:t xml:space="preserve"> </w:t>
      </w:r>
      <w:r w:rsidRPr="00F33E35">
        <w:rPr>
          <w:lang w:val="en-GB"/>
        </w:rPr>
        <w:t>mode was performed after having reached steady state (asymptotic organic matter degradation) in the batch step (start-up stage).</w:t>
      </w:r>
      <w:r>
        <w:rPr>
          <w:lang w:val="en-GB"/>
        </w:rPr>
        <w:t xml:space="preserve"> </w:t>
      </w:r>
      <w:r w:rsidRPr="00F33E35">
        <w:rPr>
          <w:lang w:val="en-GB"/>
        </w:rPr>
        <w:t>Experiments were performed continuously for 8 h cycles, taking</w:t>
      </w:r>
      <w:r>
        <w:rPr>
          <w:lang w:val="en-GB"/>
        </w:rPr>
        <w:t xml:space="preserve"> </w:t>
      </w:r>
      <w:r w:rsidRPr="00F33E35">
        <w:rPr>
          <w:lang w:val="en-GB"/>
        </w:rPr>
        <w:t>samples regularly to assess the ability of the depuration process</w:t>
      </w:r>
      <w:r>
        <w:rPr>
          <w:lang w:val="en-GB"/>
        </w:rPr>
        <w:t xml:space="preserve"> </w:t>
      </w:r>
      <w:r w:rsidRPr="00F33E35">
        <w:rPr>
          <w:lang w:val="en-GB"/>
        </w:rPr>
        <w:t xml:space="preserve">operating in continuous. </w:t>
      </w:r>
      <w:r w:rsidR="007B6C86">
        <w:rPr>
          <w:lang w:val="en-GB"/>
        </w:rPr>
        <w:t xml:space="preserve">The process started as batch stirred tank mode for 2 h, then the continuous mode began for additional 8 h. </w:t>
      </w:r>
      <w:r>
        <w:rPr>
          <w:lang w:val="en-GB"/>
        </w:rPr>
        <w:t>T</w:t>
      </w:r>
      <w:r w:rsidRPr="00F33E35">
        <w:rPr>
          <w:lang w:val="en-GB"/>
        </w:rPr>
        <w:t>he monitored parameters during the process were COD</w:t>
      </w:r>
      <w:r w:rsidR="00C06A05">
        <w:rPr>
          <w:lang w:val="en-GB"/>
        </w:rPr>
        <w:t xml:space="preserve"> (</w:t>
      </w:r>
      <w:r w:rsidR="00C06A05" w:rsidRPr="00C06A05">
        <w:rPr>
          <w:lang w:val="en-GB"/>
        </w:rPr>
        <w:t>COD was determined by the closed reflux color</w:t>
      </w:r>
      <w:r w:rsidR="00C06A05">
        <w:rPr>
          <w:lang w:val="en-GB"/>
        </w:rPr>
        <w:t>imetric method</w:t>
      </w:r>
      <w:r w:rsidR="00C06A05" w:rsidRPr="00C06A05">
        <w:rPr>
          <w:lang w:val="en-GB"/>
        </w:rPr>
        <w:t xml:space="preserve"> subsequently to the manganese oxide addition</w:t>
      </w:r>
      <w:r w:rsidR="00C06A05">
        <w:rPr>
          <w:lang w:val="en-GB"/>
        </w:rPr>
        <w:t xml:space="preserve"> </w:t>
      </w:r>
      <w:r w:rsidR="00C06A05" w:rsidRPr="00C06A05">
        <w:rPr>
          <w:lang w:val="en-GB"/>
        </w:rPr>
        <w:t>to remove residual hydrogen peroxide, which remained unreacted</w:t>
      </w:r>
      <w:r w:rsidR="00C06A05">
        <w:rPr>
          <w:lang w:val="en-GB"/>
        </w:rPr>
        <w:t xml:space="preserve"> </w:t>
      </w:r>
      <w:r w:rsidR="00C06A05" w:rsidRPr="00C06A05">
        <w:rPr>
          <w:lang w:val="en-GB"/>
        </w:rPr>
        <w:t>in the samples taken from the reactor during the treatment tests</w:t>
      </w:r>
      <w:r w:rsidR="00C06A05">
        <w:rPr>
          <w:lang w:val="en-GB"/>
        </w:rPr>
        <w:t>)</w:t>
      </w:r>
      <w:r w:rsidRPr="00F33E35">
        <w:rPr>
          <w:lang w:val="en-GB"/>
        </w:rPr>
        <w:t xml:space="preserve"> and hexavalent chromium (Cr(VI)) concentrations. Two different Cat/Ox ratios were tested (20 and 35%) whereas the hydrogen peroxide amount was fixed equal to 0.75*COD</w:t>
      </w:r>
      <w:r w:rsidRPr="00171819">
        <w:rPr>
          <w:vertAlign w:val="subscript"/>
          <w:lang w:val="en-GB"/>
        </w:rPr>
        <w:t>0</w:t>
      </w:r>
      <w:r>
        <w:rPr>
          <w:lang w:val="en-GB"/>
        </w:rPr>
        <w:t xml:space="preserve">. Six kinetic tests were performed varying the initial pH according to the following values: 3, 5 and 7. </w:t>
      </w:r>
      <w:r w:rsidR="000E3C56">
        <w:rPr>
          <w:lang w:val="en-GB"/>
        </w:rPr>
        <w:t xml:space="preserve">At the end of each test the </w:t>
      </w:r>
      <w:proofErr w:type="spellStart"/>
      <w:r w:rsidR="000E3C56">
        <w:rPr>
          <w:lang w:val="en-GB"/>
        </w:rPr>
        <w:t>nZVI</w:t>
      </w:r>
      <w:proofErr w:type="spellEnd"/>
      <w:r w:rsidR="000E3C56">
        <w:rPr>
          <w:lang w:val="en-GB"/>
        </w:rPr>
        <w:t xml:space="preserve"> were recovered, washed with H</w:t>
      </w:r>
      <w:r w:rsidR="000E3C56" w:rsidRPr="000E3C56">
        <w:rPr>
          <w:vertAlign w:val="subscript"/>
          <w:lang w:val="en-GB"/>
        </w:rPr>
        <w:t>2</w:t>
      </w:r>
      <w:r w:rsidR="000E3C56">
        <w:rPr>
          <w:lang w:val="en-GB"/>
        </w:rPr>
        <w:t>SO</w:t>
      </w:r>
      <w:r w:rsidR="000E3C56" w:rsidRPr="000E3C56">
        <w:rPr>
          <w:vertAlign w:val="subscript"/>
          <w:lang w:val="en-GB"/>
        </w:rPr>
        <w:t>4</w:t>
      </w:r>
      <w:r w:rsidR="000E3C56">
        <w:rPr>
          <w:lang w:val="en-GB"/>
        </w:rPr>
        <w:t xml:space="preserve"> 0.1 M solution and re-used until their completely de-activation. </w:t>
      </w:r>
      <w:r>
        <w:rPr>
          <w:lang w:val="en-GB"/>
        </w:rPr>
        <w:t>The COD kinetic data were fitted to a pseudo-nth order kinetic model, whose equation is reported below:</w:t>
      </w:r>
    </w:p>
    <w:p w14:paraId="75937462" w14:textId="77777777" w:rsidR="00F33E35" w:rsidRDefault="002213B9" w:rsidP="00960675">
      <w:pPr>
        <w:pStyle w:val="CETBodytext"/>
        <w:rPr>
          <w:lang w:val="en-GB"/>
        </w:rPr>
      </w:pPr>
      <m:oMathPara>
        <m:oMath>
          <m:sSup>
            <m:sSupPr>
              <m:ctrlPr>
                <w:rPr>
                  <w:rFonts w:ascii="Cambria Math" w:hAnsi="Cambria Math"/>
                  <w:i/>
                  <w:lang w:val="en-GB"/>
                </w:rPr>
              </m:ctrlPr>
            </m:sSupPr>
            <m:e>
              <m:sSub>
                <m:sSubPr>
                  <m:ctrlPr>
                    <w:rPr>
                      <w:rFonts w:ascii="Cambria Math" w:hAnsi="Cambria Math"/>
                      <w:i/>
                      <w:lang w:val="en-GB"/>
                    </w:rPr>
                  </m:ctrlPr>
                </m:sSubPr>
                <m:e>
                  <m:r>
                    <w:rPr>
                      <w:rFonts w:ascii="Cambria Math" w:hAnsi="Cambria Math"/>
                      <w:lang w:val="en-GB"/>
                    </w:rPr>
                    <m:t>COD</m:t>
                  </m:r>
                </m:e>
                <m:sub>
                  <m:r>
                    <w:rPr>
                      <w:rFonts w:ascii="Cambria Math" w:hAnsi="Cambria Math"/>
                      <w:lang w:val="en-GB"/>
                    </w:rPr>
                    <m:t>t</m:t>
                  </m:r>
                </m:sub>
              </m:sSub>
            </m:e>
            <m:sup>
              <m:r>
                <w:rPr>
                  <w:rFonts w:ascii="Cambria Math" w:hAnsi="Cambria Math"/>
                  <w:lang w:val="en-GB"/>
                </w:rPr>
                <m:t>n-1</m:t>
              </m:r>
            </m:sup>
          </m:sSup>
          <m:r>
            <w:rPr>
              <w:rFonts w:ascii="Cambria Math" w:hAnsi="Cambria Math"/>
              <w:lang w:val="en-GB"/>
            </w:rPr>
            <m:t>=</m:t>
          </m:r>
          <m:f>
            <m:fPr>
              <m:ctrlPr>
                <w:rPr>
                  <w:rFonts w:ascii="Cambria Math" w:hAnsi="Cambria Math"/>
                  <w:i/>
                  <w:lang w:val="en-GB"/>
                </w:rPr>
              </m:ctrlPr>
            </m:fPr>
            <m:num>
              <m:sSubSup>
                <m:sSubSupPr>
                  <m:ctrlPr>
                    <w:rPr>
                      <w:rFonts w:ascii="Cambria Math" w:hAnsi="Cambria Math"/>
                      <w:i/>
                      <w:lang w:val="en-GB"/>
                    </w:rPr>
                  </m:ctrlPr>
                </m:sSubSupPr>
                <m:e>
                  <m:r>
                    <w:rPr>
                      <w:rFonts w:ascii="Cambria Math" w:hAnsi="Cambria Math"/>
                      <w:lang w:val="en-GB"/>
                    </w:rPr>
                    <m:t>COD</m:t>
                  </m:r>
                </m:e>
                <m:sub>
                  <m:r>
                    <w:rPr>
                      <w:rFonts w:ascii="Cambria Math" w:hAnsi="Cambria Math"/>
                      <w:lang w:val="en-GB"/>
                    </w:rPr>
                    <m:t>0</m:t>
                  </m:r>
                </m:sub>
                <m:sup>
                  <m:r>
                    <w:rPr>
                      <w:rFonts w:ascii="Cambria Math" w:hAnsi="Cambria Math"/>
                      <w:lang w:val="en-GB"/>
                    </w:rPr>
                    <m:t>n-1</m:t>
                  </m:r>
                </m:sup>
              </m:sSubSup>
            </m:num>
            <m:den>
              <m:r>
                <w:rPr>
                  <w:rFonts w:ascii="Cambria Math" w:hAnsi="Cambria Math"/>
                  <w:lang w:val="en-GB"/>
                </w:rPr>
                <m:t>1+</m:t>
              </m:r>
              <m:d>
                <m:dPr>
                  <m:ctrlPr>
                    <w:rPr>
                      <w:rFonts w:ascii="Cambria Math" w:hAnsi="Cambria Math"/>
                      <w:i/>
                      <w:lang w:val="en-GB"/>
                    </w:rPr>
                  </m:ctrlPr>
                </m:dPr>
                <m:e>
                  <m:r>
                    <w:rPr>
                      <w:rFonts w:ascii="Cambria Math" w:hAnsi="Cambria Math"/>
                      <w:lang w:val="en-GB"/>
                    </w:rPr>
                    <m:t>n-1</m:t>
                  </m:r>
                </m:e>
              </m:d>
              <m:sSubSup>
                <m:sSubSupPr>
                  <m:ctrlPr>
                    <w:rPr>
                      <w:rFonts w:ascii="Cambria Math" w:hAnsi="Cambria Math"/>
                      <w:i/>
                      <w:lang w:val="en-GB"/>
                    </w:rPr>
                  </m:ctrlPr>
                </m:sSubSupPr>
                <m:e>
                  <m:r>
                    <w:rPr>
                      <w:rFonts w:ascii="Cambria Math" w:hAnsi="Cambria Math"/>
                      <w:lang w:val="en-GB"/>
                    </w:rPr>
                    <m:t>COD</m:t>
                  </m:r>
                </m:e>
                <m:sub>
                  <m:r>
                    <w:rPr>
                      <w:rFonts w:ascii="Cambria Math" w:hAnsi="Cambria Math"/>
                      <w:lang w:val="en-GB"/>
                    </w:rPr>
                    <m:t>0</m:t>
                  </m:r>
                </m:sub>
                <m:sup>
                  <m:r>
                    <w:rPr>
                      <w:rFonts w:ascii="Cambria Math" w:hAnsi="Cambria Math"/>
                      <w:lang w:val="en-GB"/>
                    </w:rPr>
                    <m:t>n-1</m:t>
                  </m:r>
                </m:sup>
              </m:sSubSup>
              <m:r>
                <w:rPr>
                  <w:rFonts w:ascii="Cambria Math" w:hAnsi="Cambria Math"/>
                  <w:lang w:val="en-GB"/>
                </w:rPr>
                <m:t>kt</m:t>
              </m:r>
            </m:den>
          </m:f>
          <m:r>
            <w:rPr>
              <w:rFonts w:ascii="Cambria Math" w:hAnsi="Cambria Math"/>
              <w:lang w:val="en-GB"/>
            </w:rPr>
            <m:t xml:space="preserve">                                                                                                                                                     (1)</m:t>
          </m:r>
        </m:oMath>
      </m:oMathPara>
    </w:p>
    <w:p w14:paraId="34E4BDED" w14:textId="77777777" w:rsidR="00F33E35" w:rsidRDefault="00F33E35" w:rsidP="00960675">
      <w:pPr>
        <w:pStyle w:val="CETBodytext"/>
        <w:rPr>
          <w:lang w:val="en-GB"/>
        </w:rPr>
      </w:pPr>
    </w:p>
    <w:p w14:paraId="4656FD59" w14:textId="77777777" w:rsidR="00960675" w:rsidRPr="00960675" w:rsidRDefault="00F33E35" w:rsidP="00960675">
      <w:pPr>
        <w:pStyle w:val="CETBodytext"/>
      </w:pPr>
      <w:r w:rsidRPr="00F33E35">
        <w:rPr>
          <w:lang w:val="en-GB"/>
        </w:rPr>
        <w:t>where n is the reaction order and k</w:t>
      </w:r>
      <w:r w:rsidR="001D7B47">
        <w:rPr>
          <w:lang w:val="en-GB"/>
        </w:rPr>
        <w:t xml:space="preserve"> </w:t>
      </w:r>
      <w:r w:rsidRPr="00F33E35">
        <w:rPr>
          <w:lang w:val="en-GB"/>
        </w:rPr>
        <w:t>(M</w:t>
      </w:r>
      <w:r w:rsidRPr="00F33E35">
        <w:rPr>
          <w:vertAlign w:val="superscript"/>
          <w:lang w:val="en-GB"/>
        </w:rPr>
        <w:t>1-n</w:t>
      </w:r>
      <w:r w:rsidRPr="00F33E35">
        <w:rPr>
          <w:lang w:val="en-GB"/>
        </w:rPr>
        <w:t xml:space="preserve">/s) is the kinetic constant. The non-linear regression of experimental data was accomplished in excel environment, using the </w:t>
      </w:r>
      <w:proofErr w:type="spellStart"/>
      <w:r w:rsidRPr="00F33E35">
        <w:rPr>
          <w:lang w:val="en-GB"/>
        </w:rPr>
        <w:t>non linear</w:t>
      </w:r>
      <w:proofErr w:type="spellEnd"/>
      <w:r w:rsidRPr="00F33E35">
        <w:rPr>
          <w:lang w:val="en-GB"/>
        </w:rPr>
        <w:t xml:space="preserve"> solver of Excel (Microsoft)</w:t>
      </w:r>
      <w:r w:rsidR="00F20414">
        <w:rPr>
          <w:lang w:val="en-GB"/>
        </w:rPr>
        <w:t xml:space="preserve"> function in order to avoid the errors due to linearization (</w:t>
      </w:r>
      <w:r w:rsidR="00D436D3">
        <w:rPr>
          <w:lang w:val="en-GB"/>
        </w:rPr>
        <w:t>Vilardi et al., 2017c)</w:t>
      </w:r>
      <w:r w:rsidRPr="00F33E35">
        <w:rPr>
          <w:lang w:val="en-GB"/>
        </w:rPr>
        <w:t>.</w:t>
      </w:r>
    </w:p>
    <w:p w14:paraId="1242076B" w14:textId="77777777" w:rsidR="00600535" w:rsidRDefault="007D05D6" w:rsidP="00600535">
      <w:pPr>
        <w:pStyle w:val="CETHeading1"/>
        <w:rPr>
          <w:lang w:val="en-GB"/>
        </w:rPr>
      </w:pPr>
      <w:r>
        <w:rPr>
          <w:lang w:val="en-GB"/>
        </w:rPr>
        <w:t>Results and Discussion</w:t>
      </w:r>
    </w:p>
    <w:p w14:paraId="0A233D4F" w14:textId="77777777" w:rsidR="007D05D6" w:rsidRDefault="007D05D6" w:rsidP="007D05D6">
      <w:pPr>
        <w:pStyle w:val="CETheadingx"/>
      </w:pPr>
      <w:r>
        <w:t xml:space="preserve">Optimal </w:t>
      </w:r>
      <w:r w:rsidR="00641FFA">
        <w:t>Cat/Ox ratio at different pH</w:t>
      </w:r>
    </w:p>
    <w:p w14:paraId="04F3C456" w14:textId="675FC15D" w:rsidR="007D05D6" w:rsidRDefault="007D05D6" w:rsidP="007D05D6">
      <w:pPr>
        <w:pStyle w:val="CETBodytext"/>
      </w:pPr>
      <w:r>
        <w:t xml:space="preserve">Figure </w:t>
      </w:r>
      <w:r w:rsidR="00AE66C9">
        <w:t>2</w:t>
      </w:r>
      <w:r>
        <w:t xml:space="preserve"> displays the obtained </w:t>
      </w:r>
      <w:r w:rsidR="00641FFA">
        <w:t>COD removal efficiency values at 10</w:t>
      </w:r>
      <w:r w:rsidR="007B6C86">
        <w:t xml:space="preserve"> h of treatment, varying the Cat/Ox</w:t>
      </w:r>
      <w:r w:rsidR="00641FFA">
        <w:t xml:space="preserve"> ratio and the initial </w:t>
      </w:r>
      <w:proofErr w:type="spellStart"/>
      <w:r w:rsidR="00641FFA">
        <w:t>pH.</w:t>
      </w:r>
      <w:proofErr w:type="spellEnd"/>
    </w:p>
    <w:p w14:paraId="16BFD968" w14:textId="77777777" w:rsidR="00A92D2C" w:rsidRDefault="00A92D2C" w:rsidP="007D05D6">
      <w:pPr>
        <w:pStyle w:val="CETBodytext"/>
      </w:pPr>
    </w:p>
    <w:p w14:paraId="59042D2B" w14:textId="77777777" w:rsidR="007D05D6" w:rsidRDefault="00BA2060" w:rsidP="007D05D6">
      <w:pPr>
        <w:pStyle w:val="CETBodytext"/>
      </w:pPr>
      <w:r>
        <w:rPr>
          <w:noProof/>
          <w:lang w:val="it-IT" w:eastAsia="it-IT"/>
        </w:rPr>
        <w:drawing>
          <wp:inline distT="0" distB="0" distL="0" distR="0" wp14:anchorId="7E4A7BB0" wp14:editId="0A781823">
            <wp:extent cx="2831136" cy="165354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40191" cy="1658829"/>
                    </a:xfrm>
                    <a:prstGeom prst="rect">
                      <a:avLst/>
                    </a:prstGeom>
                  </pic:spPr>
                </pic:pic>
              </a:graphicData>
            </a:graphic>
          </wp:inline>
        </w:drawing>
      </w:r>
      <w:r w:rsidR="002A151B">
        <w:rPr>
          <w:noProof/>
          <w:lang w:val="it-IT" w:eastAsia="it-IT"/>
        </w:rPr>
        <w:drawing>
          <wp:inline distT="0" distB="0" distL="0" distR="0" wp14:anchorId="3C429A4E" wp14:editId="622686E3">
            <wp:extent cx="2720340" cy="164559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9923" cy="1663491"/>
                    </a:xfrm>
                    <a:prstGeom prst="rect">
                      <a:avLst/>
                    </a:prstGeom>
                  </pic:spPr>
                </pic:pic>
              </a:graphicData>
            </a:graphic>
          </wp:inline>
        </w:drawing>
      </w:r>
    </w:p>
    <w:p w14:paraId="1045A1EA" w14:textId="77777777" w:rsidR="00BA2060" w:rsidRDefault="00BA2060" w:rsidP="007D05D6">
      <w:pPr>
        <w:pStyle w:val="CETBodytext"/>
      </w:pPr>
    </w:p>
    <w:p w14:paraId="639DBB3D" w14:textId="4CA88886" w:rsidR="007D05D6" w:rsidRPr="00A16173" w:rsidRDefault="00A16173" w:rsidP="007D05D6">
      <w:pPr>
        <w:pStyle w:val="CETBodytext"/>
        <w:rPr>
          <w:i/>
        </w:rPr>
      </w:pPr>
      <w:r w:rsidRPr="00A16173">
        <w:rPr>
          <w:i/>
        </w:rPr>
        <w:t xml:space="preserve">Figure </w:t>
      </w:r>
      <w:r w:rsidR="00AE66C9">
        <w:rPr>
          <w:i/>
        </w:rPr>
        <w:t>2</w:t>
      </w:r>
      <w:r w:rsidRPr="00A16173">
        <w:rPr>
          <w:i/>
        </w:rPr>
        <w:t xml:space="preserve">: </w:t>
      </w:r>
      <w:r w:rsidR="00641FFA">
        <w:rPr>
          <w:i/>
        </w:rPr>
        <w:t>COD removal e</w:t>
      </w:r>
      <w:r w:rsidR="007B6C86">
        <w:rPr>
          <w:i/>
        </w:rPr>
        <w:t>fficiency value obtained for Cat/Ox=20% (a) and Cat</w:t>
      </w:r>
      <w:r w:rsidR="00641FFA">
        <w:rPr>
          <w:i/>
        </w:rPr>
        <w:t>/O</w:t>
      </w:r>
      <w:r w:rsidR="007B6C86">
        <w:rPr>
          <w:i/>
        </w:rPr>
        <w:t>x</w:t>
      </w:r>
      <w:r w:rsidR="00641FFA">
        <w:rPr>
          <w:i/>
        </w:rPr>
        <w:t>=35% (b) at different initial pH (temperature=25°C, COD</w:t>
      </w:r>
      <w:r w:rsidRPr="00A16173">
        <w:rPr>
          <w:i/>
          <w:vertAlign w:val="subscript"/>
        </w:rPr>
        <w:t>0</w:t>
      </w:r>
      <w:r w:rsidRPr="00A16173">
        <w:rPr>
          <w:i/>
        </w:rPr>
        <w:t>=</w:t>
      </w:r>
      <w:r w:rsidR="00641FFA">
        <w:rPr>
          <w:i/>
        </w:rPr>
        <w:t>120</w:t>
      </w:r>
      <w:r w:rsidRPr="00A16173">
        <w:rPr>
          <w:i/>
        </w:rPr>
        <w:t>0 mg/L, contact time=</w:t>
      </w:r>
      <w:r w:rsidR="00641FFA">
        <w:rPr>
          <w:i/>
        </w:rPr>
        <w:t>10</w:t>
      </w:r>
      <w:r w:rsidRPr="00A16173">
        <w:rPr>
          <w:i/>
        </w:rPr>
        <w:t xml:space="preserve"> h).</w:t>
      </w:r>
    </w:p>
    <w:p w14:paraId="3524FB03" w14:textId="77777777" w:rsidR="00A16173" w:rsidRDefault="00A16173" w:rsidP="007D05D6">
      <w:pPr>
        <w:pStyle w:val="CETBodytext"/>
      </w:pPr>
    </w:p>
    <w:p w14:paraId="66BE727C" w14:textId="77777777" w:rsidR="00BA2060" w:rsidRDefault="00BA2060" w:rsidP="007D05D6">
      <w:pPr>
        <w:pStyle w:val="CETBodytext"/>
      </w:pPr>
      <w:r>
        <w:t xml:space="preserve">As expected, at lower pH the COD removal efficiency increased. In fact, as reported also in previous work (Vilardi et al., 2018g), in very acid environment the production of radical species that oxidize the organic pollutant present in tannery wastewater is </w:t>
      </w:r>
      <w:proofErr w:type="spellStart"/>
      <w:r>
        <w:t>favoured</w:t>
      </w:r>
      <w:proofErr w:type="spellEnd"/>
      <w:r>
        <w:t>. In particular, the mechanism of heterogeneous Fenton process can be represented by the following equations:</w:t>
      </w:r>
    </w:p>
    <w:p w14:paraId="333AFB6E" w14:textId="77777777" w:rsidR="00BA2060" w:rsidRPr="00AE66C9" w:rsidRDefault="00BA2060" w:rsidP="007D05D6">
      <w:pPr>
        <w:pStyle w:val="CETBodytext"/>
        <w:rPr>
          <w:rFonts w:cs="Arial"/>
        </w:rPr>
      </w:pPr>
      <m:oMathPara>
        <m:oMath>
          <m:r>
            <w:rPr>
              <w:rFonts w:ascii="Cambria Math" w:hAnsi="Cambria Math" w:cs="Arial"/>
            </w:rPr>
            <m:t>Fe</m:t>
          </m:r>
          <m:d>
            <m:dPr>
              <m:ctrlPr>
                <w:rPr>
                  <w:rFonts w:ascii="Cambria Math" w:hAnsi="Cambria Math" w:cs="Arial"/>
                  <w:i/>
                </w:rPr>
              </m:ctrlPr>
            </m:dPr>
            <m:e>
              <m:r>
                <w:rPr>
                  <w:rFonts w:ascii="Cambria Math" w:hAnsi="Cambria Math" w:cs="Arial"/>
                </w:rPr>
                <m:t>0</m:t>
              </m:r>
            </m:e>
          </m:d>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O</m:t>
              </m:r>
            </m:e>
            <m:sub>
              <m:r>
                <w:rPr>
                  <w:rFonts w:ascii="Cambria Math" w:hAnsi="Cambria Math" w:cs="Arial"/>
                </w:rPr>
                <m:t>2</m:t>
              </m:r>
            </m:sub>
          </m:sSub>
          <m:r>
            <w:rPr>
              <w:rFonts w:ascii="Cambria Math" w:hAnsi="Cambria Math" w:cs="Arial"/>
            </w:rPr>
            <m:t>+2</m:t>
          </m:r>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→Fe</m:t>
          </m:r>
          <m:d>
            <m:dPr>
              <m:ctrlPr>
                <w:rPr>
                  <w:rFonts w:ascii="Cambria Math" w:hAnsi="Cambria Math" w:cs="Arial"/>
                  <w:i/>
                </w:rPr>
              </m:ctrlPr>
            </m:dPr>
            <m:e>
              <m:r>
                <w:rPr>
                  <w:rFonts w:ascii="Cambria Math" w:hAnsi="Cambria Math" w:cs="Arial"/>
                </w:rPr>
                <m:t>II</m:t>
              </m:r>
            </m:e>
          </m:d>
          <m:r>
            <w:rPr>
              <w:rFonts w:ascii="Cambria Math" w:hAnsi="Cambria Math" w:cs="Arial"/>
            </w:rPr>
            <m:t>+2</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r>
            <w:rPr>
              <w:rFonts w:ascii="Cambria Math" w:hAnsi="Cambria Math" w:cs="Arial"/>
            </w:rPr>
            <m:t>O                                                                                                                                           (2)</m:t>
          </m:r>
        </m:oMath>
      </m:oMathPara>
    </w:p>
    <w:p w14:paraId="78CC7284" w14:textId="77777777" w:rsidR="00BA2060" w:rsidRPr="00AE66C9" w:rsidRDefault="00BA2060" w:rsidP="007D05D6">
      <w:pPr>
        <w:pStyle w:val="CETBodytext"/>
        <w:rPr>
          <w:rFonts w:cs="Arial"/>
        </w:rPr>
      </w:pPr>
      <m:oMathPara>
        <m:oMath>
          <m:r>
            <w:rPr>
              <w:rFonts w:ascii="Cambria Math" w:hAnsi="Cambria Math" w:cs="Arial"/>
            </w:rPr>
            <m:t>Fe</m:t>
          </m:r>
          <m:d>
            <m:dPr>
              <m:ctrlPr>
                <w:rPr>
                  <w:rFonts w:ascii="Cambria Math" w:hAnsi="Cambria Math" w:cs="Arial"/>
                  <w:i/>
                </w:rPr>
              </m:ctrlPr>
            </m:dPr>
            <m:e>
              <m:r>
                <w:rPr>
                  <w:rFonts w:ascii="Cambria Math" w:hAnsi="Cambria Math" w:cs="Arial"/>
                </w:rPr>
                <m:t>II</m:t>
              </m:r>
            </m:e>
          </m:d>
          <m:r>
            <w:rPr>
              <w:rFonts w:ascii="Cambria Math" w:hAnsi="Cambria Math" w:cs="Arial"/>
            </w:rPr>
            <m:t>+</m:t>
          </m:r>
          <m:sSub>
            <m:sSubPr>
              <m:ctrlPr>
                <w:rPr>
                  <w:rFonts w:ascii="Cambria Math" w:hAnsi="Cambria Math" w:cs="Arial"/>
                  <w:i/>
                </w:rPr>
              </m:ctrlPr>
            </m:sSubPr>
            <m:e>
              <m:r>
                <w:rPr>
                  <w:rFonts w:ascii="Cambria Math" w:hAnsi="Cambria Math" w:cs="Arial"/>
                </w:rPr>
                <m:t>H</m:t>
              </m:r>
            </m:e>
            <m:sub>
              <m:r>
                <w:rPr>
                  <w:rFonts w:ascii="Cambria Math" w:hAnsi="Cambria Math" w:cs="Arial"/>
                </w:rPr>
                <m:t>2</m:t>
              </m:r>
            </m:sub>
          </m:sSub>
          <m:sSub>
            <m:sSubPr>
              <m:ctrlPr>
                <w:rPr>
                  <w:rFonts w:ascii="Cambria Math" w:hAnsi="Cambria Math" w:cs="Arial"/>
                  <w:i/>
                </w:rPr>
              </m:ctrlPr>
            </m:sSubPr>
            <m:e>
              <m:r>
                <w:rPr>
                  <w:rFonts w:ascii="Cambria Math" w:hAnsi="Cambria Math" w:cs="Arial"/>
                </w:rPr>
                <m:t>O</m:t>
              </m:r>
            </m:e>
            <m:sub>
              <m:r>
                <w:rPr>
                  <w:rFonts w:ascii="Cambria Math" w:hAnsi="Cambria Math" w:cs="Arial"/>
                </w:rPr>
                <m:t>2</m:t>
              </m:r>
            </m:sub>
          </m:sSub>
          <m:r>
            <w:rPr>
              <w:rFonts w:ascii="Cambria Math" w:hAnsi="Cambria Math" w:cs="Arial"/>
            </w:rPr>
            <m:t>→Fe</m:t>
          </m:r>
          <m:d>
            <m:dPr>
              <m:ctrlPr>
                <w:rPr>
                  <w:rFonts w:ascii="Cambria Math" w:hAnsi="Cambria Math" w:cs="Arial"/>
                  <w:i/>
                </w:rPr>
              </m:ctrlPr>
            </m:dPr>
            <m:e>
              <m:r>
                <w:rPr>
                  <w:rFonts w:ascii="Cambria Math" w:hAnsi="Cambria Math" w:cs="Arial"/>
                </w:rPr>
                <m:t>III</m:t>
              </m:r>
            </m:e>
          </m:d>
          <m:r>
            <w:rPr>
              <w:rFonts w:ascii="Cambria Math" w:hAnsi="Cambria Math" w:cs="Arial"/>
            </w:rPr>
            <m:t>+H</m:t>
          </m:r>
          <m:sSup>
            <m:sSupPr>
              <m:ctrlPr>
                <w:rPr>
                  <w:rFonts w:ascii="Cambria Math" w:hAnsi="Cambria Math" w:cs="Arial"/>
                  <w:i/>
                </w:rPr>
              </m:ctrlPr>
            </m:sSupPr>
            <m:e>
              <m:r>
                <w:rPr>
                  <w:rFonts w:ascii="Cambria Math" w:hAnsi="Cambria Math" w:cs="Arial"/>
                </w:rPr>
                <m:t>O</m:t>
              </m:r>
            </m:e>
            <m:sup>
              <m:r>
                <w:rPr>
                  <w:rFonts w:ascii="Cambria Math" w:hAnsi="Cambria Math" w:cs="Arial"/>
                </w:rPr>
                <m:t>*</m:t>
              </m:r>
            </m:sup>
          </m:sSup>
          <m:r>
            <w:rPr>
              <w:rFonts w:ascii="Cambria Math" w:hAnsi="Cambria Math" w:cs="Arial"/>
            </w:rPr>
            <m:t>+O</m:t>
          </m:r>
          <m:sSup>
            <m:sSupPr>
              <m:ctrlPr>
                <w:rPr>
                  <w:rFonts w:ascii="Cambria Math" w:hAnsi="Cambria Math" w:cs="Arial"/>
                  <w:i/>
                </w:rPr>
              </m:ctrlPr>
            </m:sSupPr>
            <m:e>
              <m:r>
                <w:rPr>
                  <w:rFonts w:ascii="Cambria Math" w:hAnsi="Cambria Math" w:cs="Arial"/>
                </w:rPr>
                <m:t>H</m:t>
              </m:r>
            </m:e>
            <m:sup>
              <m:r>
                <w:rPr>
                  <w:rFonts w:ascii="Cambria Math" w:hAnsi="Cambria Math" w:cs="Arial"/>
                </w:rPr>
                <m:t>-</m:t>
              </m:r>
            </m:sup>
          </m:sSup>
          <m:r>
            <w:rPr>
              <w:rFonts w:ascii="Cambria Math" w:hAnsi="Cambria Math" w:cs="Arial"/>
            </w:rPr>
            <m:t xml:space="preserve">                                                                                                                                          (3)</m:t>
          </m:r>
        </m:oMath>
      </m:oMathPara>
    </w:p>
    <w:p w14:paraId="56521DB3" w14:textId="77777777" w:rsidR="00BA2060" w:rsidRPr="00AE66C9" w:rsidRDefault="00BA2060" w:rsidP="007D05D6">
      <w:pPr>
        <w:pStyle w:val="CETBodytext"/>
        <w:rPr>
          <w:rFonts w:cs="Arial"/>
        </w:rPr>
      </w:pPr>
      <w:r w:rsidRPr="00AE66C9">
        <w:rPr>
          <w:rFonts w:cs="Arial"/>
        </w:rPr>
        <w:lastRenderedPageBreak/>
        <w:t>At the same time, Cr(VI) species are reduced to Cr(III) species by Fe(0), according to eq.(4):</w:t>
      </w:r>
    </w:p>
    <w:p w14:paraId="274A3DA9" w14:textId="77777777" w:rsidR="00BA2060" w:rsidRPr="00AE66C9" w:rsidRDefault="00BA2060" w:rsidP="007D05D6">
      <w:pPr>
        <w:pStyle w:val="CETBodytext"/>
        <w:rPr>
          <w:rFonts w:cs="Arial"/>
        </w:rPr>
      </w:pPr>
      <m:oMathPara>
        <m:oMath>
          <m:r>
            <w:rPr>
              <w:rFonts w:ascii="Cambria Math" w:hAnsi="Cambria Math" w:cs="Arial"/>
            </w:rPr>
            <m:t>Fe</m:t>
          </m:r>
          <m:d>
            <m:dPr>
              <m:ctrlPr>
                <w:rPr>
                  <w:rFonts w:ascii="Cambria Math" w:hAnsi="Cambria Math" w:cs="Arial"/>
                  <w:i/>
                </w:rPr>
              </m:ctrlPr>
            </m:dPr>
            <m:e>
              <m:r>
                <w:rPr>
                  <w:rFonts w:ascii="Cambria Math" w:hAnsi="Cambria Math" w:cs="Arial"/>
                </w:rPr>
                <m:t>0</m:t>
              </m:r>
            </m:e>
          </m:d>
          <m:r>
            <w:rPr>
              <w:rFonts w:ascii="Cambria Math" w:hAnsi="Cambria Math" w:cs="Arial"/>
            </w:rPr>
            <m:t>+Cr</m:t>
          </m:r>
          <m:d>
            <m:dPr>
              <m:ctrlPr>
                <w:rPr>
                  <w:rFonts w:ascii="Cambria Math" w:hAnsi="Cambria Math" w:cs="Arial"/>
                  <w:i/>
                </w:rPr>
              </m:ctrlPr>
            </m:dPr>
            <m:e>
              <m:r>
                <w:rPr>
                  <w:rFonts w:ascii="Cambria Math" w:hAnsi="Cambria Math" w:cs="Arial"/>
                </w:rPr>
                <m:t>VI</m:t>
              </m:r>
            </m:e>
          </m:d>
          <m:r>
            <w:rPr>
              <w:rFonts w:ascii="Cambria Math" w:hAnsi="Cambria Math" w:cs="Arial"/>
            </w:rPr>
            <m:t>→Fe</m:t>
          </m:r>
          <m:d>
            <m:dPr>
              <m:ctrlPr>
                <w:rPr>
                  <w:rFonts w:ascii="Cambria Math" w:hAnsi="Cambria Math" w:cs="Arial"/>
                  <w:i/>
                </w:rPr>
              </m:ctrlPr>
            </m:dPr>
            <m:e>
              <m:r>
                <w:rPr>
                  <w:rFonts w:ascii="Cambria Math" w:hAnsi="Cambria Math" w:cs="Arial"/>
                </w:rPr>
                <m:t>III</m:t>
              </m:r>
            </m:e>
          </m:d>
          <m:r>
            <w:rPr>
              <w:rFonts w:ascii="Cambria Math" w:hAnsi="Cambria Math" w:cs="Arial"/>
            </w:rPr>
            <m:t>+Cr</m:t>
          </m:r>
          <m:d>
            <m:dPr>
              <m:ctrlPr>
                <w:rPr>
                  <w:rFonts w:ascii="Cambria Math" w:hAnsi="Cambria Math" w:cs="Arial"/>
                  <w:i/>
                </w:rPr>
              </m:ctrlPr>
            </m:dPr>
            <m:e>
              <m:r>
                <w:rPr>
                  <w:rFonts w:ascii="Cambria Math" w:hAnsi="Cambria Math" w:cs="Arial"/>
                </w:rPr>
                <m:t>III</m:t>
              </m:r>
            </m:e>
          </m:d>
          <m:r>
            <w:rPr>
              <w:rFonts w:ascii="Cambria Math" w:hAnsi="Cambria Math" w:cs="Arial"/>
            </w:rPr>
            <m:t xml:space="preserve">                                                                                                                                                 (4)</m:t>
          </m:r>
        </m:oMath>
      </m:oMathPara>
    </w:p>
    <w:p w14:paraId="662C49DE" w14:textId="77777777" w:rsidR="00BA2060" w:rsidRDefault="00BA2060" w:rsidP="007D05D6">
      <w:pPr>
        <w:pStyle w:val="CETBodytext"/>
      </w:pPr>
    </w:p>
    <w:p w14:paraId="4C1AC2CF" w14:textId="77777777" w:rsidR="00A16173" w:rsidRPr="007D05D6" w:rsidRDefault="00BA2060" w:rsidP="007D05D6">
      <w:pPr>
        <w:pStyle w:val="CETBodytext"/>
      </w:pPr>
      <w:r>
        <w:t xml:space="preserve">This was demonstrated by the final Cr(VI) concentration measured at 10 h, that, </w:t>
      </w:r>
      <w:r w:rsidR="007B6C86">
        <w:t>independently from the pH or Cat/Ox</w:t>
      </w:r>
      <w:r>
        <w:t xml:space="preserve"> ratio, was always below the detection limit of the method (&lt;0.005 mg/L). </w:t>
      </w:r>
      <w:r w:rsidR="007B6C86">
        <w:t>According to the obtained COD removal efficiency values reported in Figure 1, i.e. for Cat/Ox=20% the values for pH=3, 5 and 7 were 57, 54 and 46%, respectively, whereas for Cat/Ox=35% the values were 68, 63 and 59%, respectively, it was possible to state that the higher Cat/Ox ratio combined with the lower pH value led to the maximum treatment efficiency.</w:t>
      </w:r>
      <w:r w:rsidR="002A151B">
        <w:t xml:space="preserve"> These data are in line with those reported by </w:t>
      </w:r>
      <w:r w:rsidR="002A151B" w:rsidRPr="002A151B">
        <w:rPr>
          <w:lang w:val="en-GB"/>
        </w:rPr>
        <w:t xml:space="preserve">Wang </w:t>
      </w:r>
      <w:r w:rsidR="002A151B">
        <w:rPr>
          <w:lang w:val="en-GB"/>
        </w:rPr>
        <w:t>et al. (2014), that</w:t>
      </w:r>
      <w:r w:rsidR="002A151B" w:rsidRPr="002A151B">
        <w:rPr>
          <w:lang w:val="en-GB"/>
        </w:rPr>
        <w:t xml:space="preserve"> obtained</w:t>
      </w:r>
      <w:r w:rsidR="002A151B">
        <w:rPr>
          <w:lang w:val="en-GB"/>
        </w:rPr>
        <w:t xml:space="preserve"> </w:t>
      </w:r>
      <w:r w:rsidR="002A151B" w:rsidRPr="002A151B">
        <w:rPr>
          <w:lang w:val="en-GB"/>
        </w:rPr>
        <w:t>a similar COD removal efficiency (55.87%) at higher pH, working</w:t>
      </w:r>
      <w:r w:rsidR="002A151B">
        <w:rPr>
          <w:lang w:val="en-GB"/>
        </w:rPr>
        <w:t xml:space="preserve"> </w:t>
      </w:r>
      <w:r w:rsidR="002A151B" w:rsidRPr="002A151B">
        <w:rPr>
          <w:lang w:val="en-GB"/>
        </w:rPr>
        <w:t xml:space="preserve">on a real TW in batch and lab-scale. </w:t>
      </w:r>
      <w:r w:rsidR="002A151B">
        <w:rPr>
          <w:lang w:val="en-GB"/>
        </w:rPr>
        <w:t>analogous</w:t>
      </w:r>
      <w:r w:rsidR="002A151B" w:rsidRPr="002A151B">
        <w:rPr>
          <w:lang w:val="en-GB"/>
        </w:rPr>
        <w:t xml:space="preserve"> results were reported in</w:t>
      </w:r>
      <w:r w:rsidR="002A151B">
        <w:rPr>
          <w:lang w:val="en-GB"/>
        </w:rPr>
        <w:t xml:space="preserve"> </w:t>
      </w:r>
      <w:r w:rsidR="002A151B" w:rsidRPr="002A151B">
        <w:rPr>
          <w:lang w:val="en-GB"/>
        </w:rPr>
        <w:t>other studies where authors worked in batch mode, with lab-scale</w:t>
      </w:r>
      <w:r w:rsidR="002A151B">
        <w:rPr>
          <w:lang w:val="en-GB"/>
        </w:rPr>
        <w:t xml:space="preserve"> </w:t>
      </w:r>
      <w:r w:rsidR="002A151B" w:rsidRPr="002A151B">
        <w:rPr>
          <w:lang w:val="en-GB"/>
        </w:rPr>
        <w:t>equipment and on synthetic TW</w:t>
      </w:r>
      <w:r w:rsidR="002A151B">
        <w:rPr>
          <w:lang w:val="en-GB"/>
        </w:rPr>
        <w:t xml:space="preserve"> (</w:t>
      </w:r>
      <w:proofErr w:type="spellStart"/>
      <w:r w:rsidR="002A151B">
        <w:rPr>
          <w:lang w:val="en-GB"/>
        </w:rPr>
        <w:t>Schrank</w:t>
      </w:r>
      <w:proofErr w:type="spellEnd"/>
      <w:r w:rsidR="002A151B">
        <w:rPr>
          <w:lang w:val="en-GB"/>
        </w:rPr>
        <w:t xml:space="preserve"> et al., 2005).</w:t>
      </w:r>
    </w:p>
    <w:p w14:paraId="39B04E06" w14:textId="77777777" w:rsidR="007D05D6" w:rsidRPr="00B57B36" w:rsidRDefault="007D05D6" w:rsidP="007D05D6">
      <w:pPr>
        <w:pStyle w:val="CETheadingx"/>
      </w:pPr>
      <w:r>
        <w:t xml:space="preserve">Kinetic tests </w:t>
      </w:r>
      <w:r w:rsidR="007B6C86">
        <w:t>and data modelling</w:t>
      </w:r>
    </w:p>
    <w:p w14:paraId="3BAE1951" w14:textId="77777777" w:rsidR="007D05D6" w:rsidRDefault="00A92D2C" w:rsidP="007D05D6">
      <w:pPr>
        <w:pStyle w:val="CETBodytext"/>
        <w:rPr>
          <w:lang w:val="en-GB"/>
        </w:rPr>
      </w:pPr>
      <w:r>
        <w:rPr>
          <w:lang w:val="en-GB"/>
        </w:rPr>
        <w:t xml:space="preserve">Figure </w:t>
      </w:r>
      <w:r w:rsidR="007B6C86">
        <w:rPr>
          <w:lang w:val="en-GB"/>
        </w:rPr>
        <w:t>2</w:t>
      </w:r>
      <w:r>
        <w:rPr>
          <w:lang w:val="en-GB"/>
        </w:rPr>
        <w:t xml:space="preserve"> shows the kinetic experimental data at different </w:t>
      </w:r>
      <w:r w:rsidR="007B6C86">
        <w:rPr>
          <w:lang w:val="en-GB"/>
        </w:rPr>
        <w:t>initial pH and Cat/Ox ratio values, with the</w:t>
      </w:r>
      <w:r>
        <w:rPr>
          <w:lang w:val="en-GB"/>
        </w:rPr>
        <w:t xml:space="preserve"> fitted pseudo-nth order kinetic model.</w:t>
      </w:r>
    </w:p>
    <w:p w14:paraId="210E09CD" w14:textId="77777777" w:rsidR="00A92D2C" w:rsidRDefault="00A92D2C" w:rsidP="007D05D6">
      <w:pPr>
        <w:pStyle w:val="CETBodytext"/>
        <w:rPr>
          <w:lang w:val="en-GB"/>
        </w:rPr>
      </w:pPr>
    </w:p>
    <w:p w14:paraId="329ABAFD" w14:textId="77777777" w:rsidR="00A92D2C" w:rsidRDefault="007E4B6D" w:rsidP="007D05D6">
      <w:pPr>
        <w:pStyle w:val="CETBodytext"/>
        <w:rPr>
          <w:lang w:val="en-GB"/>
        </w:rPr>
      </w:pPr>
      <w:r>
        <w:rPr>
          <w:noProof/>
          <w:lang w:val="it-IT" w:eastAsia="it-IT"/>
        </w:rPr>
        <w:drawing>
          <wp:inline distT="0" distB="0" distL="0" distR="0" wp14:anchorId="7B11A986" wp14:editId="6FA16B91">
            <wp:extent cx="3190875" cy="2159116"/>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09021" cy="2171395"/>
                    </a:xfrm>
                    <a:prstGeom prst="rect">
                      <a:avLst/>
                    </a:prstGeom>
                  </pic:spPr>
                </pic:pic>
              </a:graphicData>
            </a:graphic>
          </wp:inline>
        </w:drawing>
      </w:r>
    </w:p>
    <w:p w14:paraId="75045A9E" w14:textId="77777777" w:rsidR="007E4B6D" w:rsidRDefault="007E4B6D" w:rsidP="007D05D6">
      <w:pPr>
        <w:pStyle w:val="CETBodytext"/>
        <w:rPr>
          <w:lang w:val="en-GB"/>
        </w:rPr>
      </w:pPr>
    </w:p>
    <w:p w14:paraId="43155004" w14:textId="77777777" w:rsidR="007E4B6D" w:rsidRDefault="007E4B6D" w:rsidP="007D05D6">
      <w:pPr>
        <w:pStyle w:val="CETBodytext"/>
        <w:rPr>
          <w:lang w:val="en-GB"/>
        </w:rPr>
      </w:pPr>
      <w:r>
        <w:rPr>
          <w:noProof/>
          <w:lang w:val="it-IT" w:eastAsia="it-IT"/>
        </w:rPr>
        <w:drawing>
          <wp:inline distT="0" distB="0" distL="0" distR="0" wp14:anchorId="1EA89D7A" wp14:editId="45AE1847">
            <wp:extent cx="3219450" cy="2141172"/>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49295" cy="2161021"/>
                    </a:xfrm>
                    <a:prstGeom prst="rect">
                      <a:avLst/>
                    </a:prstGeom>
                  </pic:spPr>
                </pic:pic>
              </a:graphicData>
            </a:graphic>
          </wp:inline>
        </w:drawing>
      </w:r>
    </w:p>
    <w:p w14:paraId="23AB8398" w14:textId="77777777" w:rsidR="00A92D2C" w:rsidRDefault="007B6C86" w:rsidP="004E4D77">
      <w:pPr>
        <w:pStyle w:val="CETBodytext"/>
        <w:spacing w:before="120"/>
        <w:rPr>
          <w:i/>
        </w:rPr>
      </w:pPr>
      <w:r>
        <w:rPr>
          <w:i/>
        </w:rPr>
        <w:t>Figure 2</w:t>
      </w:r>
      <w:r w:rsidR="00A92D2C" w:rsidRPr="00A16173">
        <w:rPr>
          <w:i/>
        </w:rPr>
        <w:t xml:space="preserve">: </w:t>
      </w:r>
      <w:r w:rsidR="00A92D2C">
        <w:rPr>
          <w:i/>
        </w:rPr>
        <w:t>kinetic data</w:t>
      </w:r>
      <w:r w:rsidR="00A92D2C" w:rsidRPr="00A16173">
        <w:rPr>
          <w:i/>
        </w:rPr>
        <w:t xml:space="preserve"> obtained at different initial </w:t>
      </w:r>
      <w:r>
        <w:rPr>
          <w:i/>
        </w:rPr>
        <w:t>pH and Cat/Ox values</w:t>
      </w:r>
      <w:r w:rsidR="00A92D2C">
        <w:rPr>
          <w:i/>
        </w:rPr>
        <w:t xml:space="preserve"> (points) and pseudo-nth order kinetic model (lines)</w:t>
      </w:r>
      <w:r w:rsidR="00A92D2C" w:rsidRPr="00A16173">
        <w:rPr>
          <w:i/>
        </w:rPr>
        <w:t xml:space="preserve"> </w:t>
      </w:r>
      <w:r>
        <w:rPr>
          <w:i/>
        </w:rPr>
        <w:t>(Cat/Ox=20% figure a, Cat/Ox=35% figure b, contact time=10 h, temperature=25°C</w:t>
      </w:r>
      <w:r w:rsidR="00A92D2C" w:rsidRPr="00A16173">
        <w:rPr>
          <w:i/>
        </w:rPr>
        <w:t>).</w:t>
      </w:r>
    </w:p>
    <w:p w14:paraId="05E42568" w14:textId="77777777" w:rsidR="00A92D2C" w:rsidRDefault="00A92D2C" w:rsidP="007D05D6">
      <w:pPr>
        <w:pStyle w:val="CETBodytext"/>
      </w:pPr>
    </w:p>
    <w:p w14:paraId="1C7BA953" w14:textId="77777777" w:rsidR="00A92D2C" w:rsidRDefault="00A92D2C" w:rsidP="004E4D77">
      <w:pPr>
        <w:pStyle w:val="CETBodytext"/>
        <w:spacing w:before="120"/>
      </w:pPr>
      <w:r>
        <w:t xml:space="preserve">The </w:t>
      </w:r>
      <w:r w:rsidR="002A151B">
        <w:t xml:space="preserve">pseudo-nth kinetic model was able to well describe the experimental data after the first two hours of batch mode. In fact, during the transition among batch and continuous mode, the addition of freshly prepared STW caused an initial increase in the </w:t>
      </w:r>
      <w:r w:rsidR="003567D5">
        <w:t>COD value</w:t>
      </w:r>
      <w:r w:rsidR="004E4D77">
        <w:t xml:space="preserve"> that can</w:t>
      </w:r>
      <w:r w:rsidR="002A151B">
        <w:t>not be well described by the model that reports only a reduction of the target parameter concentration. However, the regressed k and n values reported in Table 1 are in line with the expectations</w:t>
      </w:r>
      <w:r w:rsidR="003567D5">
        <w:t>, since similar order of magnitude for the kinetic constant has been reported in previous studies regarding organic oxidation by Fenton-like process (Nakagawa et al., 2016).</w:t>
      </w:r>
      <w:r>
        <w:t xml:space="preserve"> </w:t>
      </w:r>
    </w:p>
    <w:p w14:paraId="4F1BA4E0" w14:textId="77777777" w:rsidR="00A92D2C" w:rsidRDefault="00A92D2C" w:rsidP="007D05D6">
      <w:pPr>
        <w:pStyle w:val="CETBodytext"/>
      </w:pPr>
    </w:p>
    <w:p w14:paraId="72910967" w14:textId="77777777" w:rsidR="00A92D2C" w:rsidRPr="00653F5F" w:rsidRDefault="00A92D2C" w:rsidP="00AE66C9">
      <w:pPr>
        <w:pStyle w:val="CETTabletitle"/>
      </w:pPr>
      <w:r w:rsidRPr="00653F5F">
        <w:lastRenderedPageBreak/>
        <w:t>Table 1: regressed k and n values.</w:t>
      </w:r>
    </w:p>
    <w:tbl>
      <w:tblPr>
        <w:tblW w:w="4171" w:type="dxa"/>
        <w:tblInd w:w="70" w:type="dxa"/>
        <w:tblCellMar>
          <w:left w:w="70" w:type="dxa"/>
          <w:right w:w="70" w:type="dxa"/>
        </w:tblCellMar>
        <w:tblLook w:val="04A0" w:firstRow="1" w:lastRow="0" w:firstColumn="1" w:lastColumn="0" w:noHBand="0" w:noVBand="1"/>
      </w:tblPr>
      <w:tblGrid>
        <w:gridCol w:w="1701"/>
        <w:gridCol w:w="993"/>
        <w:gridCol w:w="517"/>
        <w:gridCol w:w="960"/>
      </w:tblGrid>
      <w:tr w:rsidR="008D3FB5" w:rsidRPr="00AE66C9" w14:paraId="5A0641D3" w14:textId="77777777" w:rsidTr="00EB2193">
        <w:trPr>
          <w:trHeight w:val="312"/>
        </w:trPr>
        <w:tc>
          <w:tcPr>
            <w:tcW w:w="1701" w:type="dxa"/>
            <w:tcBorders>
              <w:top w:val="nil"/>
              <w:left w:val="nil"/>
              <w:bottom w:val="single" w:sz="4" w:space="0" w:color="00B050"/>
              <w:right w:val="nil"/>
            </w:tcBorders>
            <w:shd w:val="clear" w:color="auto" w:fill="auto"/>
            <w:noWrap/>
            <w:vAlign w:val="center"/>
            <w:hideMark/>
          </w:tcPr>
          <w:p w14:paraId="0733685D" w14:textId="77777777" w:rsidR="008D3FB5" w:rsidRPr="00AE66C9" w:rsidRDefault="007B6C86" w:rsidP="008D3FB5">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Conditions</w:t>
            </w:r>
            <w:proofErr w:type="spellEnd"/>
          </w:p>
        </w:tc>
        <w:tc>
          <w:tcPr>
            <w:tcW w:w="993" w:type="dxa"/>
            <w:tcBorders>
              <w:top w:val="nil"/>
              <w:left w:val="nil"/>
              <w:bottom w:val="single" w:sz="4" w:space="0" w:color="00B050"/>
              <w:right w:val="nil"/>
            </w:tcBorders>
            <w:shd w:val="clear" w:color="auto" w:fill="auto"/>
            <w:noWrap/>
            <w:vAlign w:val="center"/>
            <w:hideMark/>
          </w:tcPr>
          <w:p w14:paraId="5A377945" w14:textId="77777777" w:rsidR="008D3FB5" w:rsidRPr="00AE66C9" w:rsidRDefault="008D3FB5" w:rsidP="008D3FB5">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k (M</w:t>
            </w:r>
            <w:r w:rsidRPr="00AE66C9">
              <w:rPr>
                <w:rFonts w:cs="Arial"/>
                <w:color w:val="000000"/>
                <w:szCs w:val="18"/>
                <w:vertAlign w:val="superscript"/>
                <w:lang w:val="it-IT" w:eastAsia="it-IT"/>
              </w:rPr>
              <w:t>1-n</w:t>
            </w:r>
            <w:r w:rsidRPr="00AE66C9">
              <w:rPr>
                <w:rFonts w:cs="Arial"/>
                <w:color w:val="000000"/>
                <w:szCs w:val="18"/>
                <w:lang w:val="it-IT" w:eastAsia="it-IT"/>
              </w:rPr>
              <w:t>/s)</w:t>
            </w:r>
          </w:p>
        </w:tc>
        <w:tc>
          <w:tcPr>
            <w:tcW w:w="517" w:type="dxa"/>
            <w:tcBorders>
              <w:top w:val="nil"/>
              <w:left w:val="nil"/>
              <w:bottom w:val="single" w:sz="4" w:space="0" w:color="00B050"/>
              <w:right w:val="nil"/>
            </w:tcBorders>
            <w:shd w:val="clear" w:color="auto" w:fill="auto"/>
            <w:noWrap/>
            <w:vAlign w:val="center"/>
            <w:hideMark/>
          </w:tcPr>
          <w:p w14:paraId="1D3442D5" w14:textId="77777777" w:rsidR="008D3FB5" w:rsidRPr="00AE66C9" w:rsidRDefault="008D3FB5" w:rsidP="008D3FB5">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n</w:t>
            </w:r>
          </w:p>
        </w:tc>
        <w:tc>
          <w:tcPr>
            <w:tcW w:w="960" w:type="dxa"/>
            <w:tcBorders>
              <w:top w:val="nil"/>
              <w:left w:val="nil"/>
              <w:bottom w:val="single" w:sz="4" w:space="0" w:color="00B050"/>
              <w:right w:val="nil"/>
            </w:tcBorders>
            <w:shd w:val="clear" w:color="auto" w:fill="auto"/>
            <w:noWrap/>
            <w:vAlign w:val="center"/>
            <w:hideMark/>
          </w:tcPr>
          <w:p w14:paraId="78F49508" w14:textId="77777777" w:rsidR="008D3FB5" w:rsidRPr="00AE66C9" w:rsidRDefault="008D3FB5" w:rsidP="008D3FB5">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R</w:t>
            </w:r>
            <w:r w:rsidRPr="00AE66C9">
              <w:rPr>
                <w:rFonts w:cs="Arial"/>
                <w:color w:val="000000"/>
                <w:szCs w:val="18"/>
                <w:vertAlign w:val="superscript"/>
                <w:lang w:val="it-IT" w:eastAsia="it-IT"/>
              </w:rPr>
              <w:t>2</w:t>
            </w:r>
          </w:p>
        </w:tc>
      </w:tr>
      <w:tr w:rsidR="008D3FB5" w:rsidRPr="00AE66C9" w14:paraId="272D7520" w14:textId="77777777" w:rsidTr="00EB2193">
        <w:trPr>
          <w:trHeight w:val="324"/>
        </w:trPr>
        <w:tc>
          <w:tcPr>
            <w:tcW w:w="1701" w:type="dxa"/>
            <w:tcBorders>
              <w:top w:val="nil"/>
              <w:left w:val="nil"/>
              <w:bottom w:val="nil"/>
              <w:right w:val="nil"/>
            </w:tcBorders>
            <w:shd w:val="clear" w:color="auto" w:fill="auto"/>
            <w:noWrap/>
            <w:vAlign w:val="center"/>
            <w:hideMark/>
          </w:tcPr>
          <w:p w14:paraId="3D18277A" w14:textId="77777777" w:rsidR="008D3FB5" w:rsidRPr="00AE66C9" w:rsidRDefault="007B6C86" w:rsidP="008D3FB5">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=3,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=20%</w:t>
            </w:r>
          </w:p>
        </w:tc>
        <w:tc>
          <w:tcPr>
            <w:tcW w:w="993" w:type="dxa"/>
            <w:tcBorders>
              <w:top w:val="nil"/>
              <w:left w:val="nil"/>
              <w:bottom w:val="nil"/>
              <w:right w:val="nil"/>
            </w:tcBorders>
            <w:shd w:val="clear" w:color="auto" w:fill="auto"/>
            <w:noWrap/>
            <w:vAlign w:val="center"/>
            <w:hideMark/>
          </w:tcPr>
          <w:p w14:paraId="62AF3568" w14:textId="77777777" w:rsidR="008D3FB5" w:rsidRPr="00AE66C9" w:rsidRDefault="00AD15D8" w:rsidP="00EB2193">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nil"/>
              <w:right w:val="nil"/>
            </w:tcBorders>
            <w:shd w:val="clear" w:color="auto" w:fill="auto"/>
            <w:noWrap/>
            <w:vAlign w:val="center"/>
            <w:hideMark/>
          </w:tcPr>
          <w:p w14:paraId="76A0B88F" w14:textId="77777777" w:rsidR="008D3FB5" w:rsidRPr="00AE66C9" w:rsidRDefault="00AD15D8" w:rsidP="008D3FB5">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nil"/>
              <w:right w:val="nil"/>
            </w:tcBorders>
            <w:shd w:val="clear" w:color="auto" w:fill="auto"/>
            <w:noWrap/>
            <w:vAlign w:val="center"/>
            <w:hideMark/>
          </w:tcPr>
          <w:p w14:paraId="0ED547BA" w14:textId="77777777" w:rsidR="008D3FB5" w:rsidRPr="00AE66C9" w:rsidRDefault="008D3FB5" w:rsidP="00AD15D8">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w:t>
            </w:r>
            <w:r w:rsidR="00AD15D8" w:rsidRPr="00AE66C9">
              <w:rPr>
                <w:rFonts w:cs="Arial"/>
                <w:color w:val="000000"/>
                <w:szCs w:val="18"/>
                <w:lang w:val="it-IT" w:eastAsia="it-IT"/>
              </w:rPr>
              <w:t>86</w:t>
            </w:r>
          </w:p>
        </w:tc>
      </w:tr>
      <w:tr w:rsidR="007B6C86" w:rsidRPr="00AE66C9" w14:paraId="069D554D" w14:textId="77777777" w:rsidTr="00EB2193">
        <w:trPr>
          <w:trHeight w:val="324"/>
        </w:trPr>
        <w:tc>
          <w:tcPr>
            <w:tcW w:w="1701" w:type="dxa"/>
            <w:tcBorders>
              <w:top w:val="nil"/>
              <w:left w:val="nil"/>
              <w:bottom w:val="nil"/>
              <w:right w:val="nil"/>
            </w:tcBorders>
            <w:shd w:val="clear" w:color="auto" w:fill="auto"/>
            <w:noWrap/>
            <w:vAlign w:val="center"/>
            <w:hideMark/>
          </w:tcPr>
          <w:p w14:paraId="15F31C34" w14:textId="77777777" w:rsidR="007B6C86" w:rsidRPr="00AE66C9" w:rsidRDefault="007B6C86" w:rsidP="007B6C86">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=5,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=20%</w:t>
            </w:r>
          </w:p>
        </w:tc>
        <w:tc>
          <w:tcPr>
            <w:tcW w:w="993" w:type="dxa"/>
            <w:tcBorders>
              <w:top w:val="nil"/>
              <w:left w:val="nil"/>
              <w:bottom w:val="nil"/>
              <w:right w:val="nil"/>
            </w:tcBorders>
            <w:shd w:val="clear" w:color="auto" w:fill="auto"/>
            <w:noWrap/>
            <w:vAlign w:val="center"/>
            <w:hideMark/>
          </w:tcPr>
          <w:p w14:paraId="2A8DA69F"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nil"/>
              <w:right w:val="nil"/>
            </w:tcBorders>
            <w:shd w:val="clear" w:color="auto" w:fill="auto"/>
            <w:noWrap/>
            <w:vAlign w:val="center"/>
            <w:hideMark/>
          </w:tcPr>
          <w:p w14:paraId="173DF04A"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nil"/>
              <w:right w:val="nil"/>
            </w:tcBorders>
            <w:shd w:val="clear" w:color="auto" w:fill="auto"/>
            <w:noWrap/>
            <w:vAlign w:val="center"/>
            <w:hideMark/>
          </w:tcPr>
          <w:p w14:paraId="3E380825" w14:textId="77777777" w:rsidR="007B6C86" w:rsidRPr="00AE66C9" w:rsidRDefault="007B6C86" w:rsidP="00AD15D8">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w:t>
            </w:r>
            <w:r w:rsidR="00AD15D8" w:rsidRPr="00AE66C9">
              <w:rPr>
                <w:rFonts w:cs="Arial"/>
                <w:color w:val="000000"/>
                <w:szCs w:val="18"/>
                <w:lang w:val="it-IT" w:eastAsia="it-IT"/>
              </w:rPr>
              <w:t>86</w:t>
            </w:r>
          </w:p>
        </w:tc>
      </w:tr>
      <w:tr w:rsidR="007B6C86" w:rsidRPr="00AE66C9" w14:paraId="136B57A7" w14:textId="77777777" w:rsidTr="00EB2193">
        <w:trPr>
          <w:trHeight w:val="324"/>
        </w:trPr>
        <w:tc>
          <w:tcPr>
            <w:tcW w:w="1701" w:type="dxa"/>
            <w:tcBorders>
              <w:top w:val="nil"/>
              <w:left w:val="nil"/>
              <w:bottom w:val="nil"/>
              <w:right w:val="nil"/>
            </w:tcBorders>
            <w:shd w:val="clear" w:color="auto" w:fill="auto"/>
            <w:noWrap/>
            <w:vAlign w:val="center"/>
          </w:tcPr>
          <w:p w14:paraId="5CDE26FD" w14:textId="77777777" w:rsidR="007B6C86" w:rsidRPr="00AE66C9" w:rsidRDefault="007B6C86" w:rsidP="007B6C86">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=7,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=20%</w:t>
            </w:r>
          </w:p>
        </w:tc>
        <w:tc>
          <w:tcPr>
            <w:tcW w:w="993" w:type="dxa"/>
            <w:tcBorders>
              <w:top w:val="nil"/>
              <w:left w:val="nil"/>
              <w:bottom w:val="nil"/>
              <w:right w:val="nil"/>
            </w:tcBorders>
            <w:shd w:val="clear" w:color="auto" w:fill="auto"/>
            <w:noWrap/>
            <w:vAlign w:val="center"/>
          </w:tcPr>
          <w:p w14:paraId="518AA4B5" w14:textId="77777777" w:rsidR="007B6C86" w:rsidRPr="00AE66C9" w:rsidRDefault="00AD15D8" w:rsidP="00AD15D8">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nil"/>
              <w:right w:val="nil"/>
            </w:tcBorders>
            <w:shd w:val="clear" w:color="auto" w:fill="auto"/>
            <w:noWrap/>
            <w:vAlign w:val="center"/>
          </w:tcPr>
          <w:p w14:paraId="4EDD83B4"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nil"/>
              <w:right w:val="nil"/>
            </w:tcBorders>
            <w:shd w:val="clear" w:color="auto" w:fill="auto"/>
            <w:noWrap/>
            <w:vAlign w:val="center"/>
          </w:tcPr>
          <w:p w14:paraId="231262F7" w14:textId="77777777" w:rsidR="007B6C86" w:rsidRPr="00AE66C9" w:rsidRDefault="00AD15D8" w:rsidP="00AD15D8">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0.981</w:t>
            </w:r>
          </w:p>
        </w:tc>
      </w:tr>
      <w:tr w:rsidR="007B6C86" w:rsidRPr="00AE66C9" w14:paraId="20BF48C5" w14:textId="77777777" w:rsidTr="00EB2193">
        <w:trPr>
          <w:trHeight w:val="324"/>
        </w:trPr>
        <w:tc>
          <w:tcPr>
            <w:tcW w:w="1701" w:type="dxa"/>
            <w:tcBorders>
              <w:top w:val="nil"/>
              <w:left w:val="nil"/>
              <w:bottom w:val="nil"/>
              <w:right w:val="nil"/>
            </w:tcBorders>
            <w:shd w:val="clear" w:color="auto" w:fill="auto"/>
            <w:noWrap/>
            <w:vAlign w:val="center"/>
          </w:tcPr>
          <w:p w14:paraId="180E64CE" w14:textId="77777777" w:rsidR="007B6C86" w:rsidRPr="00AE66C9" w:rsidRDefault="007B6C86" w:rsidP="007B6C86">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=3,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=35%</w:t>
            </w:r>
          </w:p>
        </w:tc>
        <w:tc>
          <w:tcPr>
            <w:tcW w:w="993" w:type="dxa"/>
            <w:tcBorders>
              <w:top w:val="nil"/>
              <w:left w:val="nil"/>
              <w:bottom w:val="nil"/>
              <w:right w:val="nil"/>
            </w:tcBorders>
            <w:shd w:val="clear" w:color="auto" w:fill="auto"/>
            <w:noWrap/>
            <w:vAlign w:val="center"/>
          </w:tcPr>
          <w:p w14:paraId="7B3E0315"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nil"/>
              <w:right w:val="nil"/>
            </w:tcBorders>
            <w:shd w:val="clear" w:color="auto" w:fill="auto"/>
            <w:noWrap/>
            <w:vAlign w:val="center"/>
          </w:tcPr>
          <w:p w14:paraId="15092B13"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nil"/>
              <w:right w:val="nil"/>
            </w:tcBorders>
            <w:shd w:val="clear" w:color="auto" w:fill="auto"/>
            <w:noWrap/>
            <w:vAlign w:val="center"/>
          </w:tcPr>
          <w:p w14:paraId="1BC647DA" w14:textId="77777777" w:rsidR="007B6C86" w:rsidRPr="00AE66C9" w:rsidRDefault="00AD15D8" w:rsidP="002A151B">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w:t>
            </w:r>
            <w:r w:rsidR="002A151B" w:rsidRPr="00AE66C9">
              <w:rPr>
                <w:rFonts w:cs="Arial"/>
                <w:color w:val="000000"/>
                <w:szCs w:val="18"/>
                <w:lang w:val="it-IT" w:eastAsia="it-IT"/>
              </w:rPr>
              <w:t>7</w:t>
            </w:r>
            <w:r w:rsidRPr="00AE66C9">
              <w:rPr>
                <w:rFonts w:cs="Arial"/>
                <w:color w:val="000000"/>
                <w:szCs w:val="18"/>
                <w:lang w:val="it-IT" w:eastAsia="it-IT"/>
              </w:rPr>
              <w:t>9</w:t>
            </w:r>
          </w:p>
        </w:tc>
      </w:tr>
      <w:tr w:rsidR="007B6C86" w:rsidRPr="00AE66C9" w14:paraId="6D9E4F69" w14:textId="77777777" w:rsidTr="00EB2193">
        <w:trPr>
          <w:trHeight w:val="324"/>
        </w:trPr>
        <w:tc>
          <w:tcPr>
            <w:tcW w:w="1701" w:type="dxa"/>
            <w:tcBorders>
              <w:top w:val="nil"/>
              <w:left w:val="nil"/>
              <w:bottom w:val="nil"/>
              <w:right w:val="nil"/>
            </w:tcBorders>
            <w:shd w:val="clear" w:color="auto" w:fill="auto"/>
            <w:noWrap/>
            <w:vAlign w:val="center"/>
          </w:tcPr>
          <w:p w14:paraId="6557677C" w14:textId="77777777" w:rsidR="007B6C86" w:rsidRPr="00AE66C9" w:rsidRDefault="007B6C86" w:rsidP="007B6C86">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=3,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=35%</w:t>
            </w:r>
          </w:p>
        </w:tc>
        <w:tc>
          <w:tcPr>
            <w:tcW w:w="993" w:type="dxa"/>
            <w:tcBorders>
              <w:top w:val="nil"/>
              <w:left w:val="nil"/>
              <w:bottom w:val="nil"/>
              <w:right w:val="nil"/>
            </w:tcBorders>
            <w:shd w:val="clear" w:color="auto" w:fill="auto"/>
            <w:noWrap/>
            <w:vAlign w:val="center"/>
          </w:tcPr>
          <w:p w14:paraId="6529E98B"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nil"/>
              <w:right w:val="nil"/>
            </w:tcBorders>
            <w:shd w:val="clear" w:color="auto" w:fill="auto"/>
            <w:noWrap/>
            <w:vAlign w:val="center"/>
          </w:tcPr>
          <w:p w14:paraId="13F1701C"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nil"/>
              <w:right w:val="nil"/>
            </w:tcBorders>
            <w:shd w:val="clear" w:color="auto" w:fill="auto"/>
            <w:noWrap/>
            <w:vAlign w:val="center"/>
          </w:tcPr>
          <w:p w14:paraId="3066AA41"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0.992</w:t>
            </w:r>
          </w:p>
        </w:tc>
      </w:tr>
      <w:tr w:rsidR="007B6C86" w:rsidRPr="00AE66C9" w14:paraId="6C3D59D2" w14:textId="77777777" w:rsidTr="00EB2193">
        <w:trPr>
          <w:trHeight w:val="336"/>
        </w:trPr>
        <w:tc>
          <w:tcPr>
            <w:tcW w:w="1701" w:type="dxa"/>
            <w:tcBorders>
              <w:top w:val="nil"/>
              <w:left w:val="nil"/>
              <w:bottom w:val="single" w:sz="8" w:space="0" w:color="00B050"/>
              <w:right w:val="nil"/>
            </w:tcBorders>
            <w:shd w:val="clear" w:color="auto" w:fill="auto"/>
            <w:noWrap/>
            <w:vAlign w:val="center"/>
            <w:hideMark/>
          </w:tcPr>
          <w:p w14:paraId="6D595A24" w14:textId="77777777" w:rsidR="007B6C86" w:rsidRPr="00AE66C9" w:rsidRDefault="007B6C86" w:rsidP="007B6C86">
            <w:pPr>
              <w:tabs>
                <w:tab w:val="clear" w:pos="7100"/>
              </w:tabs>
              <w:spacing w:line="240" w:lineRule="auto"/>
              <w:jc w:val="center"/>
              <w:rPr>
                <w:rFonts w:cs="Arial"/>
                <w:color w:val="000000"/>
                <w:szCs w:val="18"/>
                <w:lang w:val="it-IT" w:eastAsia="it-IT"/>
              </w:rPr>
            </w:pPr>
            <w:proofErr w:type="spellStart"/>
            <w:r w:rsidRPr="00AE66C9">
              <w:rPr>
                <w:rFonts w:cs="Arial"/>
                <w:color w:val="000000"/>
                <w:szCs w:val="18"/>
                <w:lang w:val="it-IT" w:eastAsia="it-IT"/>
              </w:rPr>
              <w:t>pH</w:t>
            </w:r>
            <w:proofErr w:type="spellEnd"/>
            <w:r w:rsidRPr="00AE66C9">
              <w:rPr>
                <w:rFonts w:cs="Arial"/>
                <w:color w:val="000000"/>
                <w:szCs w:val="18"/>
                <w:lang w:val="it-IT" w:eastAsia="it-IT"/>
              </w:rPr>
              <w:t xml:space="preserve">=3, </w:t>
            </w:r>
            <w:proofErr w:type="spellStart"/>
            <w:r w:rsidRPr="00AE66C9">
              <w:rPr>
                <w:rFonts w:cs="Arial"/>
                <w:color w:val="000000"/>
                <w:szCs w:val="18"/>
                <w:lang w:val="it-IT" w:eastAsia="it-IT"/>
              </w:rPr>
              <w:t>Cat</w:t>
            </w:r>
            <w:proofErr w:type="spellEnd"/>
            <w:r w:rsidRPr="00AE66C9">
              <w:rPr>
                <w:rFonts w:cs="Arial"/>
                <w:color w:val="000000"/>
                <w:szCs w:val="18"/>
                <w:lang w:val="it-IT" w:eastAsia="it-IT"/>
              </w:rPr>
              <w:t>/</w:t>
            </w:r>
            <w:proofErr w:type="spellStart"/>
            <w:r w:rsidRPr="00AE66C9">
              <w:rPr>
                <w:rFonts w:cs="Arial"/>
                <w:color w:val="000000"/>
                <w:szCs w:val="18"/>
                <w:lang w:val="it-IT" w:eastAsia="it-IT"/>
              </w:rPr>
              <w:t>Ox</w:t>
            </w:r>
            <w:proofErr w:type="spellEnd"/>
            <w:r w:rsidRPr="00AE66C9">
              <w:rPr>
                <w:rFonts w:cs="Arial"/>
                <w:color w:val="000000"/>
                <w:szCs w:val="18"/>
                <w:lang w:val="it-IT" w:eastAsia="it-IT"/>
              </w:rPr>
              <w:t>=35%</w:t>
            </w:r>
          </w:p>
        </w:tc>
        <w:tc>
          <w:tcPr>
            <w:tcW w:w="993" w:type="dxa"/>
            <w:tcBorders>
              <w:top w:val="nil"/>
              <w:left w:val="nil"/>
              <w:bottom w:val="single" w:sz="8" w:space="0" w:color="00B050"/>
              <w:right w:val="nil"/>
            </w:tcBorders>
            <w:shd w:val="clear" w:color="auto" w:fill="auto"/>
            <w:noWrap/>
            <w:vAlign w:val="center"/>
            <w:hideMark/>
          </w:tcPr>
          <w:p w14:paraId="17E3FF9B"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0.013</w:t>
            </w:r>
          </w:p>
        </w:tc>
        <w:tc>
          <w:tcPr>
            <w:tcW w:w="517" w:type="dxa"/>
            <w:tcBorders>
              <w:top w:val="nil"/>
              <w:left w:val="nil"/>
              <w:bottom w:val="single" w:sz="8" w:space="0" w:color="00B050"/>
              <w:right w:val="nil"/>
            </w:tcBorders>
            <w:shd w:val="clear" w:color="auto" w:fill="auto"/>
            <w:noWrap/>
            <w:vAlign w:val="center"/>
            <w:hideMark/>
          </w:tcPr>
          <w:p w14:paraId="20D19FC6" w14:textId="77777777" w:rsidR="007B6C86" w:rsidRPr="00AE66C9" w:rsidRDefault="00AD15D8" w:rsidP="007B6C86">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0.78</w:t>
            </w:r>
          </w:p>
        </w:tc>
        <w:tc>
          <w:tcPr>
            <w:tcW w:w="960" w:type="dxa"/>
            <w:tcBorders>
              <w:top w:val="nil"/>
              <w:left w:val="nil"/>
              <w:bottom w:val="single" w:sz="8" w:space="0" w:color="00B050"/>
              <w:right w:val="nil"/>
            </w:tcBorders>
            <w:shd w:val="clear" w:color="auto" w:fill="auto"/>
            <w:noWrap/>
            <w:vAlign w:val="center"/>
            <w:hideMark/>
          </w:tcPr>
          <w:p w14:paraId="24EB26D4" w14:textId="77777777" w:rsidR="007B6C86" w:rsidRPr="00AE66C9" w:rsidRDefault="007B6C86" w:rsidP="00AD15D8">
            <w:pPr>
              <w:tabs>
                <w:tab w:val="clear" w:pos="7100"/>
              </w:tabs>
              <w:spacing w:line="240" w:lineRule="auto"/>
              <w:jc w:val="center"/>
              <w:rPr>
                <w:rFonts w:cs="Arial"/>
                <w:color w:val="000000"/>
                <w:szCs w:val="18"/>
                <w:lang w:val="it-IT" w:eastAsia="it-IT"/>
              </w:rPr>
            </w:pPr>
            <w:r w:rsidRPr="00AE66C9">
              <w:rPr>
                <w:rFonts w:cs="Arial"/>
                <w:color w:val="000000"/>
                <w:szCs w:val="18"/>
                <w:lang w:val="it-IT" w:eastAsia="it-IT"/>
              </w:rPr>
              <w:t>0.98</w:t>
            </w:r>
            <w:r w:rsidR="00AD15D8" w:rsidRPr="00AE66C9">
              <w:rPr>
                <w:rFonts w:cs="Arial"/>
                <w:color w:val="000000"/>
                <w:szCs w:val="18"/>
                <w:lang w:val="it-IT" w:eastAsia="it-IT"/>
              </w:rPr>
              <w:t>8</w:t>
            </w:r>
          </w:p>
        </w:tc>
      </w:tr>
    </w:tbl>
    <w:p w14:paraId="38688CF4" w14:textId="77777777" w:rsidR="00AE66C9" w:rsidRDefault="00AE66C9" w:rsidP="007D05D6">
      <w:pPr>
        <w:pStyle w:val="CETBodytext"/>
      </w:pPr>
    </w:p>
    <w:p w14:paraId="3FF4A398" w14:textId="77777777" w:rsidR="00D71F05" w:rsidRDefault="00D71F05" w:rsidP="007D05D6">
      <w:pPr>
        <w:pStyle w:val="CETBodytext"/>
      </w:pPr>
      <w:r>
        <w:t xml:space="preserve">The used </w:t>
      </w:r>
      <w:proofErr w:type="spellStart"/>
      <w:r>
        <w:t>nZVI</w:t>
      </w:r>
      <w:proofErr w:type="spellEnd"/>
      <w:r>
        <w:t xml:space="preserve"> were recovered by magnetic separation and re-used in the same experiments, according to optimal operating conditions (pH=3 and Cat/Ox=35%). The COD removal efficiency obtained up to five cycles of use was almost equal to that obtained in the first experiment. In detail, the removal values at 10 h were: 67.4, 66.1, 65.5, 64.8 and 63.1%, respectively, whereas it dropped up to 51% after the sixth cycle of use, implying that the </w:t>
      </w:r>
      <w:proofErr w:type="spellStart"/>
      <w:r>
        <w:t>nZVI</w:t>
      </w:r>
      <w:proofErr w:type="spellEnd"/>
      <w:r>
        <w:t xml:space="preserve"> activity tended to strongly decrease after 5 cycles of use. </w:t>
      </w:r>
    </w:p>
    <w:p w14:paraId="2734E060" w14:textId="77777777" w:rsidR="007D05D6" w:rsidRPr="00B57B36" w:rsidRDefault="007D05D6" w:rsidP="007D05D6">
      <w:pPr>
        <w:pStyle w:val="CETHeading1"/>
        <w:rPr>
          <w:lang w:val="en-GB"/>
        </w:rPr>
      </w:pPr>
      <w:r w:rsidRPr="00B57B36">
        <w:rPr>
          <w:lang w:val="en-GB"/>
        </w:rPr>
        <w:t>Conclusions</w:t>
      </w:r>
    </w:p>
    <w:p w14:paraId="32909AC4" w14:textId="5564A736" w:rsidR="00600535" w:rsidRPr="00B57B36" w:rsidRDefault="0039326A" w:rsidP="00600535">
      <w:pPr>
        <w:pStyle w:val="CETBodytext"/>
        <w:rPr>
          <w:lang w:val="en-GB"/>
        </w:rPr>
      </w:pPr>
      <w:r>
        <w:rPr>
          <w:lang w:val="en-GB"/>
        </w:rPr>
        <w:t xml:space="preserve">The </w:t>
      </w:r>
      <w:proofErr w:type="spellStart"/>
      <w:r w:rsidR="000E3C56">
        <w:rPr>
          <w:lang w:val="en-GB"/>
        </w:rPr>
        <w:t>nZVI</w:t>
      </w:r>
      <w:proofErr w:type="spellEnd"/>
      <w:r w:rsidR="000E3C56">
        <w:rPr>
          <w:lang w:val="en-GB"/>
        </w:rPr>
        <w:t xml:space="preserve"> particles were successfully used to develop a heterogeneous Fenton-like process, tested on a pilot scale Fenton plant to treat a synthetic tannery wastewater. The nanoparticles were characterized by a bimodal size with a mean size of 100 nm and were used as catalyst for the production of Fe(II) ions in aqueous medium. The influence of pH and the ratio between catalyst and oxidant has been studied monitoring both Cr(VI) concentration and COD of the polluted tannery solutions. The Cr(VI) concentration immediately decreased (after 1 h) below the detection limit of the determination method, independently from the initial pH and/or the initial catalyst/oxidant ratio. The optimal pH and Cat/Ox (% weight) ratio were 3 and 35%, respectively, leading to a COD removal efficiency of 68%. The initial oxidant amount (hydrogen peroxide) was fixed equal to 0.75*COD</w:t>
      </w:r>
      <w:r w:rsidR="000E3C56" w:rsidRPr="00171819">
        <w:rPr>
          <w:vertAlign w:val="subscript"/>
          <w:lang w:val="en-GB"/>
        </w:rPr>
        <w:t>0</w:t>
      </w:r>
      <w:r w:rsidR="000E3C56">
        <w:rPr>
          <w:lang w:val="en-GB"/>
        </w:rPr>
        <w:t>, according to a previous study. The kinetic experimental data were then successfully fitted to a pseudo-nth order kinetic model, obtained as regressed reaction order, n, a value of 0.78 and as regressed kinetic constant, k, a value of 0.013 M</w:t>
      </w:r>
      <w:r w:rsidR="000E3C56" w:rsidRPr="00171819">
        <w:rPr>
          <w:vertAlign w:val="superscript"/>
          <w:lang w:val="en-GB"/>
        </w:rPr>
        <w:t>0.22</w:t>
      </w:r>
      <w:r w:rsidR="000E3C56">
        <w:rPr>
          <w:lang w:val="en-GB"/>
        </w:rPr>
        <w:t xml:space="preserve">/s. In conclusion, the use of a heterogeneous </w:t>
      </w:r>
      <w:proofErr w:type="spellStart"/>
      <w:r w:rsidR="000E3C56">
        <w:rPr>
          <w:lang w:val="en-GB"/>
        </w:rPr>
        <w:t>nano</w:t>
      </w:r>
      <w:proofErr w:type="spellEnd"/>
      <w:r w:rsidR="000E3C56">
        <w:rPr>
          <w:lang w:val="en-GB"/>
        </w:rPr>
        <w:t>-catalyst proved to be an efficient alternative to the classical iron sulphate salt, considering the higher COD removal efficiency values, reported in a previous work, and also the possibility to re-use the catalyst up to 5 times before its de-activation.</w:t>
      </w:r>
    </w:p>
    <w:p w14:paraId="708E2D83" w14:textId="77777777" w:rsidR="00600535" w:rsidRPr="00B57B36" w:rsidRDefault="00600535" w:rsidP="004A0713">
      <w:pPr>
        <w:pStyle w:val="CETReference"/>
      </w:pPr>
      <w:r w:rsidRPr="00B57B36">
        <w:t xml:space="preserve">References </w:t>
      </w:r>
    </w:p>
    <w:p w14:paraId="1974F267" w14:textId="77777777" w:rsidR="00967415" w:rsidRPr="00AE66C9" w:rsidRDefault="00FA56C6" w:rsidP="00AE66C9">
      <w:pPr>
        <w:pStyle w:val="CETReferencetext"/>
      </w:pPr>
      <w:proofErr w:type="spellStart"/>
      <w:r w:rsidRPr="00AE66C9">
        <w:t>Babuponnusami</w:t>
      </w:r>
      <w:proofErr w:type="spellEnd"/>
      <w:r w:rsidR="00967415" w:rsidRPr="00AE66C9">
        <w:t xml:space="preserve"> A., </w:t>
      </w:r>
      <w:proofErr w:type="spellStart"/>
      <w:r w:rsidR="00967415" w:rsidRPr="00AE66C9">
        <w:t>Muthukuma</w:t>
      </w:r>
      <w:r w:rsidRPr="00AE66C9">
        <w:t>r</w:t>
      </w:r>
      <w:proofErr w:type="spellEnd"/>
      <w:r w:rsidRPr="00AE66C9">
        <w:t xml:space="preserve"> K., 2014,</w:t>
      </w:r>
      <w:r w:rsidR="00967415" w:rsidRPr="00AE66C9">
        <w:t xml:space="preserve"> A review on Fenton and improvements to the Fenton p</w:t>
      </w:r>
      <w:r w:rsidRPr="00AE66C9">
        <w:t>rocess for wastewater treatment,</w:t>
      </w:r>
      <w:r w:rsidR="00967415" w:rsidRPr="00AE66C9">
        <w:t xml:space="preserve"> J</w:t>
      </w:r>
      <w:r w:rsidRPr="00AE66C9">
        <w:t>ournal of</w:t>
      </w:r>
      <w:r w:rsidR="00967415" w:rsidRPr="00AE66C9">
        <w:t xml:space="preserve"> Environ</w:t>
      </w:r>
      <w:r w:rsidRPr="00AE66C9">
        <w:t>mental</w:t>
      </w:r>
      <w:r w:rsidR="00967415" w:rsidRPr="00AE66C9">
        <w:t xml:space="preserve"> Chem</w:t>
      </w:r>
      <w:r w:rsidRPr="00AE66C9">
        <w:t>ical</w:t>
      </w:r>
      <w:r w:rsidR="00967415" w:rsidRPr="00AE66C9">
        <w:t xml:space="preserve"> Eng</w:t>
      </w:r>
      <w:r w:rsidRPr="00AE66C9">
        <w:t>ineering,</w:t>
      </w:r>
      <w:r w:rsidR="00967415" w:rsidRPr="00AE66C9">
        <w:t xml:space="preserve"> 2, 557–572</w:t>
      </w:r>
      <w:r w:rsidRPr="00AE66C9">
        <w:t>.</w:t>
      </w:r>
      <w:r w:rsidR="00967415" w:rsidRPr="00AE66C9">
        <w:t xml:space="preserve"> </w:t>
      </w:r>
    </w:p>
    <w:p w14:paraId="36841DFA" w14:textId="77777777" w:rsidR="00BB5FEF" w:rsidRPr="00AE66C9" w:rsidRDefault="00BB5FEF" w:rsidP="00AE66C9">
      <w:pPr>
        <w:pStyle w:val="CETReferencetext"/>
      </w:pPr>
      <w:proofErr w:type="spellStart"/>
      <w:r w:rsidRPr="00AE66C9">
        <w:t>Bavasso</w:t>
      </w:r>
      <w:proofErr w:type="spellEnd"/>
      <w:r w:rsidRPr="00AE66C9">
        <w:t xml:space="preserve"> I., </w:t>
      </w:r>
      <w:proofErr w:type="spellStart"/>
      <w:r w:rsidRPr="00AE66C9">
        <w:t>Vilardi</w:t>
      </w:r>
      <w:proofErr w:type="spellEnd"/>
      <w:r w:rsidRPr="00AE66C9">
        <w:t xml:space="preserve"> G., </w:t>
      </w:r>
      <w:proofErr w:type="spellStart"/>
      <w:r w:rsidRPr="00AE66C9">
        <w:t>Stoller</w:t>
      </w:r>
      <w:proofErr w:type="spellEnd"/>
      <w:r w:rsidRPr="00AE66C9">
        <w:t xml:space="preserve"> M., </w:t>
      </w:r>
      <w:proofErr w:type="spellStart"/>
      <w:r w:rsidRPr="00AE66C9">
        <w:t>Chianese</w:t>
      </w:r>
      <w:proofErr w:type="spellEnd"/>
      <w:r w:rsidRPr="00AE66C9">
        <w:t xml:space="preserve"> A., Di Palma L., 2016, Perspectives in Nanotechnology Based Innovative Applications for The Environment, Chemical Engineering Transactions, 47, 55</w:t>
      </w:r>
      <w:r w:rsidR="00566664" w:rsidRPr="00AE66C9">
        <w:t>-60</w:t>
      </w:r>
      <w:r w:rsidRPr="00AE66C9">
        <w:t xml:space="preserve">. </w:t>
      </w:r>
    </w:p>
    <w:p w14:paraId="057EE161" w14:textId="77777777" w:rsidR="00F20414" w:rsidRPr="00AE66C9" w:rsidRDefault="00F20414" w:rsidP="00AE66C9">
      <w:pPr>
        <w:pStyle w:val="CETReferencetext"/>
      </w:pPr>
      <w:r w:rsidRPr="00AE66C9">
        <w:t xml:space="preserve">Di Palma L., </w:t>
      </w:r>
      <w:proofErr w:type="spellStart"/>
      <w:r w:rsidRPr="00AE66C9">
        <w:t>Merli</w:t>
      </w:r>
      <w:proofErr w:type="spellEnd"/>
      <w:r w:rsidRPr="00AE66C9">
        <w:t xml:space="preserve"> C., Paris M., </w:t>
      </w:r>
      <w:proofErr w:type="spellStart"/>
      <w:r w:rsidRPr="00AE66C9">
        <w:t>Petrucci</w:t>
      </w:r>
      <w:proofErr w:type="spellEnd"/>
      <w:r w:rsidRPr="00AE66C9">
        <w:t xml:space="preserve"> E., 2003, A steady-state model for the evaluation of disk rotational speed influence on RBC kinetic: Model presentation, </w:t>
      </w:r>
      <w:proofErr w:type="spellStart"/>
      <w:r w:rsidRPr="00AE66C9">
        <w:t>Bioresource</w:t>
      </w:r>
      <w:proofErr w:type="spellEnd"/>
      <w:r w:rsidRPr="00AE66C9">
        <w:t xml:space="preserve"> Technology, 86, 193-200.</w:t>
      </w:r>
    </w:p>
    <w:p w14:paraId="6F990CBE" w14:textId="2465630C" w:rsidR="00BB5FEF" w:rsidRPr="00AE66C9" w:rsidRDefault="00BB5FEF" w:rsidP="00AE66C9">
      <w:pPr>
        <w:pStyle w:val="CETReferencetext"/>
      </w:pPr>
      <w:r w:rsidRPr="00AE66C9">
        <w:t xml:space="preserve">Di Palma L., Medici F., </w:t>
      </w:r>
      <w:proofErr w:type="spellStart"/>
      <w:r w:rsidRPr="00AE66C9">
        <w:t>Vilardi</w:t>
      </w:r>
      <w:proofErr w:type="spellEnd"/>
      <w:r w:rsidRPr="00AE66C9">
        <w:t xml:space="preserve"> G., 2015, Artificial aggregate from </w:t>
      </w:r>
      <w:proofErr w:type="spellStart"/>
      <w:r w:rsidRPr="00AE66C9">
        <w:t>non metallic</w:t>
      </w:r>
      <w:proofErr w:type="spellEnd"/>
      <w:r w:rsidRPr="00AE66C9">
        <w:t xml:space="preserve"> automotive shredder residue, Chemical Engineering Transactions, 43, 1723-1728.</w:t>
      </w:r>
    </w:p>
    <w:p w14:paraId="60958AB0" w14:textId="2F631FAF" w:rsidR="00C07D69" w:rsidRPr="00AE66C9" w:rsidRDefault="00C07D69" w:rsidP="00AE66C9">
      <w:pPr>
        <w:pStyle w:val="CETReferencetext"/>
      </w:pPr>
      <w:bookmarkStart w:id="0" w:name="_Hlk1466638"/>
      <w:r w:rsidRPr="00AE66C9">
        <w:t xml:space="preserve">Di Palma L., </w:t>
      </w:r>
      <w:proofErr w:type="spellStart"/>
      <w:r w:rsidRPr="00AE66C9">
        <w:t>Verdone</w:t>
      </w:r>
      <w:proofErr w:type="spellEnd"/>
      <w:r w:rsidRPr="00AE66C9">
        <w:t xml:space="preserve"> N., </w:t>
      </w:r>
      <w:proofErr w:type="spellStart"/>
      <w:r w:rsidRPr="00AE66C9">
        <w:t>Vilardi</w:t>
      </w:r>
      <w:proofErr w:type="spellEnd"/>
      <w:r w:rsidRPr="00AE66C9">
        <w:t xml:space="preserve"> G., 2018, Kinetic </w:t>
      </w:r>
      <w:proofErr w:type="spellStart"/>
      <w:r w:rsidRPr="00AE66C9">
        <w:t>Modeling</w:t>
      </w:r>
      <w:proofErr w:type="spellEnd"/>
      <w:r w:rsidRPr="00AE66C9">
        <w:t xml:space="preserve"> of Cr(VI) Reduction by </w:t>
      </w:r>
      <w:proofErr w:type="spellStart"/>
      <w:r w:rsidRPr="00AE66C9">
        <w:t>nZVI</w:t>
      </w:r>
      <w:proofErr w:type="spellEnd"/>
      <w:r w:rsidRPr="00AE66C9">
        <w:t xml:space="preserve"> in Soil: The Influence of Organic Matter and Manganese Oxide, Bulletin of Environmental Contamination and Toxicology, 101,  692-697.</w:t>
      </w:r>
      <w:bookmarkEnd w:id="0"/>
    </w:p>
    <w:p w14:paraId="31B2C8C9" w14:textId="77777777" w:rsidR="00FA56C6" w:rsidRPr="00AE66C9" w:rsidRDefault="00FA56C6" w:rsidP="00AE66C9">
      <w:pPr>
        <w:pStyle w:val="CETReferencetext"/>
      </w:pPr>
      <w:r w:rsidRPr="00AE66C9">
        <w:t>Feder</w:t>
      </w:r>
      <w:r w:rsidR="000F1331" w:rsidRPr="00AE66C9">
        <w:t>ation, W., 2005,</w:t>
      </w:r>
      <w:r w:rsidRPr="00AE66C9">
        <w:t xml:space="preserve"> Standard Methods for the Exami</w:t>
      </w:r>
      <w:r w:rsidR="000F1331" w:rsidRPr="00AE66C9">
        <w:t>nation of Water and Wastewater,</w:t>
      </w:r>
      <w:r w:rsidRPr="00AE66C9">
        <w:t xml:space="preserve"> American Public Health Association (APHA), Washington, DC, USA.</w:t>
      </w:r>
    </w:p>
    <w:p w14:paraId="203F5445" w14:textId="77777777" w:rsidR="00C07D69" w:rsidRPr="00AE66C9" w:rsidRDefault="00BB5FEF" w:rsidP="00AE66C9">
      <w:pPr>
        <w:pStyle w:val="CETReferencetext"/>
      </w:pPr>
      <w:proofErr w:type="spellStart"/>
      <w:r w:rsidRPr="00AE66C9">
        <w:t>Gueye</w:t>
      </w:r>
      <w:proofErr w:type="spellEnd"/>
      <w:r w:rsidRPr="00AE66C9">
        <w:t xml:space="preserve"> M.T., Di Palma L., </w:t>
      </w:r>
      <w:proofErr w:type="spellStart"/>
      <w:r w:rsidRPr="00AE66C9">
        <w:t>Allahverdeyeva</w:t>
      </w:r>
      <w:proofErr w:type="spellEnd"/>
      <w:r w:rsidRPr="00AE66C9">
        <w:t xml:space="preserve"> G., </w:t>
      </w:r>
      <w:proofErr w:type="spellStart"/>
      <w:r w:rsidRPr="00AE66C9">
        <w:t>Bavasso</w:t>
      </w:r>
      <w:proofErr w:type="spellEnd"/>
      <w:r w:rsidRPr="00AE66C9">
        <w:t xml:space="preserve"> I., </w:t>
      </w:r>
      <w:proofErr w:type="spellStart"/>
      <w:r w:rsidRPr="00AE66C9">
        <w:t>Petrucci</w:t>
      </w:r>
      <w:proofErr w:type="spellEnd"/>
      <w:r w:rsidRPr="00AE66C9">
        <w:t xml:space="preserve"> E., </w:t>
      </w:r>
      <w:proofErr w:type="spellStart"/>
      <w:r w:rsidRPr="00AE66C9">
        <w:t>Stoller</w:t>
      </w:r>
      <w:proofErr w:type="spellEnd"/>
      <w:r w:rsidRPr="00AE66C9">
        <w:t xml:space="preserve"> M., </w:t>
      </w:r>
      <w:proofErr w:type="spellStart"/>
      <w:r w:rsidRPr="00AE66C9">
        <w:t>Vilardi</w:t>
      </w:r>
      <w:proofErr w:type="spellEnd"/>
      <w:r w:rsidRPr="00AE66C9">
        <w:t xml:space="preserve"> G., 2016, The influence of heavy metals and organic matter on hexavalent chromium reduction by </w:t>
      </w:r>
      <w:proofErr w:type="spellStart"/>
      <w:r w:rsidRPr="00AE66C9">
        <w:t>nano</w:t>
      </w:r>
      <w:proofErr w:type="spellEnd"/>
      <w:r w:rsidRPr="00AE66C9">
        <w:t xml:space="preserve"> zero valent iron in soil, Chemical Engineering Transactions, 47, 289-294.</w:t>
      </w:r>
    </w:p>
    <w:p w14:paraId="0C35E9A9" w14:textId="764A6CDD" w:rsidR="00967415" w:rsidRPr="00AE66C9" w:rsidRDefault="00FA56C6" w:rsidP="00AE66C9">
      <w:pPr>
        <w:pStyle w:val="CETReferencetext"/>
      </w:pPr>
      <w:proofErr w:type="spellStart"/>
      <w:r w:rsidRPr="00AE66C9">
        <w:t>Hodaifa</w:t>
      </w:r>
      <w:proofErr w:type="spellEnd"/>
      <w:r w:rsidRPr="00AE66C9">
        <w:t xml:space="preserve"> G., </w:t>
      </w:r>
      <w:proofErr w:type="spellStart"/>
      <w:r w:rsidRPr="00AE66C9">
        <w:t>Ochando</w:t>
      </w:r>
      <w:proofErr w:type="spellEnd"/>
      <w:r w:rsidRPr="00AE66C9">
        <w:t>-Pulido J.M., Rodriguez-</w:t>
      </w:r>
      <w:proofErr w:type="spellStart"/>
      <w:r w:rsidRPr="00AE66C9">
        <w:t>Vives</w:t>
      </w:r>
      <w:proofErr w:type="spellEnd"/>
      <w:r w:rsidRPr="00AE66C9">
        <w:t xml:space="preserve"> S., Martinez-</w:t>
      </w:r>
      <w:proofErr w:type="spellStart"/>
      <w:r w:rsidRPr="00AE66C9">
        <w:t>Ferez</w:t>
      </w:r>
      <w:proofErr w:type="spellEnd"/>
      <w:r w:rsidRPr="00AE66C9">
        <w:t xml:space="preserve"> A., 2013,</w:t>
      </w:r>
      <w:r w:rsidR="00967415" w:rsidRPr="00AE66C9">
        <w:t xml:space="preserve"> Optimization of continuous reactor at pilot scale for olive-oil mill wastewater t</w:t>
      </w:r>
      <w:r w:rsidRPr="00AE66C9">
        <w:t>reatment by Fenton-like process,</w:t>
      </w:r>
      <w:r w:rsidR="00967415" w:rsidRPr="00AE66C9">
        <w:t xml:space="preserve"> </w:t>
      </w:r>
      <w:r w:rsidRPr="00AE66C9">
        <w:t>Chemical</w:t>
      </w:r>
      <w:r w:rsidR="00967415" w:rsidRPr="00AE66C9">
        <w:t xml:space="preserve"> Eng</w:t>
      </w:r>
      <w:r w:rsidRPr="00AE66C9">
        <w:t>ineering</w:t>
      </w:r>
      <w:r w:rsidR="00967415" w:rsidRPr="00AE66C9">
        <w:t xml:space="preserve"> J</w:t>
      </w:r>
      <w:r w:rsidRPr="00AE66C9">
        <w:t>ournal,</w:t>
      </w:r>
      <w:r w:rsidR="00967415" w:rsidRPr="00AE66C9">
        <w:t xml:space="preserve"> 220, 117–124</w:t>
      </w:r>
      <w:r w:rsidRPr="00AE66C9">
        <w:t>.</w:t>
      </w:r>
      <w:r w:rsidR="00967415" w:rsidRPr="00AE66C9">
        <w:t xml:space="preserve"> </w:t>
      </w:r>
    </w:p>
    <w:p w14:paraId="0B51C25A" w14:textId="77777777" w:rsidR="00967415" w:rsidRPr="00AE66C9" w:rsidRDefault="00FA56C6" w:rsidP="00AE66C9">
      <w:pPr>
        <w:pStyle w:val="CETReferencetext"/>
      </w:pPr>
      <w:r w:rsidRPr="00AE66C9">
        <w:t>Kang Y.W., Hwang K.-Y., 2000,</w:t>
      </w:r>
      <w:r w:rsidR="00967415" w:rsidRPr="00AE66C9">
        <w:t xml:space="preserve"> Effects of reaction c</w:t>
      </w:r>
      <w:r w:rsidRPr="00AE66C9">
        <w:t>onditions on the oxidation efficiency in the Fenton process,</w:t>
      </w:r>
      <w:r w:rsidR="00967415" w:rsidRPr="00AE66C9">
        <w:t xml:space="preserve"> Water Res</w:t>
      </w:r>
      <w:r w:rsidRPr="00AE66C9">
        <w:t>earch,</w:t>
      </w:r>
      <w:r w:rsidR="00967415" w:rsidRPr="00AE66C9">
        <w:t xml:space="preserve"> 34, 2786–2790</w:t>
      </w:r>
      <w:r w:rsidRPr="00AE66C9">
        <w:t>.</w:t>
      </w:r>
      <w:r w:rsidR="00967415" w:rsidRPr="00AE66C9">
        <w:t xml:space="preserve"> </w:t>
      </w:r>
    </w:p>
    <w:p w14:paraId="55BD3929" w14:textId="77777777" w:rsidR="00967415" w:rsidRPr="00AE66C9" w:rsidRDefault="00967415" w:rsidP="00AE66C9">
      <w:pPr>
        <w:pStyle w:val="CETReferencetext"/>
      </w:pPr>
      <w:proofErr w:type="spellStart"/>
      <w:r w:rsidRPr="00AE66C9">
        <w:lastRenderedPageBreak/>
        <w:t>Mella</w:t>
      </w:r>
      <w:proofErr w:type="spellEnd"/>
      <w:r w:rsidRPr="00AE66C9">
        <w:t xml:space="preserve"> B., </w:t>
      </w:r>
      <w:proofErr w:type="spellStart"/>
      <w:r w:rsidRPr="00AE66C9">
        <w:t>Gla</w:t>
      </w:r>
      <w:r w:rsidR="00FA56C6" w:rsidRPr="00AE66C9">
        <w:t>nert</w:t>
      </w:r>
      <w:proofErr w:type="spellEnd"/>
      <w:r w:rsidR="00FA56C6" w:rsidRPr="00AE66C9">
        <w:t xml:space="preserve"> A.C., </w:t>
      </w:r>
      <w:proofErr w:type="spellStart"/>
      <w:r w:rsidR="00FA56C6" w:rsidRPr="00AE66C9">
        <w:t>Gutterres</w:t>
      </w:r>
      <w:proofErr w:type="spellEnd"/>
      <w:r w:rsidR="00FA56C6" w:rsidRPr="00AE66C9">
        <w:t xml:space="preserve"> M., 2015,</w:t>
      </w:r>
      <w:r w:rsidRPr="00AE66C9">
        <w:t xml:space="preserve"> Removal of chromium from tanning wastew</w:t>
      </w:r>
      <w:r w:rsidR="00FA56C6" w:rsidRPr="00AE66C9">
        <w:t>ater and its reuse. Process Safety and</w:t>
      </w:r>
      <w:r w:rsidRPr="00AE66C9">
        <w:t xml:space="preserve"> Environ</w:t>
      </w:r>
      <w:r w:rsidR="00FA56C6" w:rsidRPr="00AE66C9">
        <w:t>mental</w:t>
      </w:r>
      <w:r w:rsidRPr="00AE66C9">
        <w:t xml:space="preserve"> Prot</w:t>
      </w:r>
      <w:r w:rsidR="00FA56C6" w:rsidRPr="00AE66C9">
        <w:t>ection,</w:t>
      </w:r>
      <w:r w:rsidRPr="00AE66C9">
        <w:t xml:space="preserve"> 95, 195–201</w:t>
      </w:r>
      <w:r w:rsidR="00FA56C6" w:rsidRPr="00AE66C9">
        <w:t>.</w:t>
      </w:r>
      <w:r w:rsidRPr="00AE66C9">
        <w:t xml:space="preserve"> </w:t>
      </w:r>
    </w:p>
    <w:p w14:paraId="5746CBC9" w14:textId="77777777" w:rsidR="003567D5" w:rsidRPr="00AE66C9" w:rsidRDefault="003567D5" w:rsidP="00AE66C9">
      <w:pPr>
        <w:pStyle w:val="CETReferencetext"/>
      </w:pPr>
      <w:r w:rsidRPr="00AE66C9">
        <w:t xml:space="preserve">Nakagawa H., Takagi S., </w:t>
      </w:r>
      <w:proofErr w:type="spellStart"/>
      <w:r w:rsidRPr="00AE66C9">
        <w:t>Maekawa</w:t>
      </w:r>
      <w:proofErr w:type="spellEnd"/>
      <w:r w:rsidRPr="00AE66C9">
        <w:t xml:space="preserve"> J., 2016, </w:t>
      </w:r>
      <w:proofErr w:type="spellStart"/>
      <w:r w:rsidRPr="00AE66C9">
        <w:t>Fered</w:t>
      </w:r>
      <w:proofErr w:type="spellEnd"/>
      <w:r w:rsidRPr="00AE66C9">
        <w:t xml:space="preserve">-Fenton process for the degradation of 1,4-dioxane with an activated carbon electrode: a kinetic model including active radicals, Chemical Engineering Journal, 296, 398–405. </w:t>
      </w:r>
    </w:p>
    <w:p w14:paraId="1A983E64" w14:textId="77777777" w:rsidR="005200D4" w:rsidRPr="00AE66C9" w:rsidRDefault="005200D4" w:rsidP="00AE66C9">
      <w:pPr>
        <w:pStyle w:val="CETReferencetext"/>
      </w:pPr>
      <w:proofErr w:type="spellStart"/>
      <w:r w:rsidRPr="00AE66C9">
        <w:t>Stoller</w:t>
      </w:r>
      <w:proofErr w:type="spellEnd"/>
      <w:r w:rsidRPr="00AE66C9">
        <w:t xml:space="preserve"> M., </w:t>
      </w:r>
      <w:proofErr w:type="spellStart"/>
      <w:r w:rsidRPr="00AE66C9">
        <w:t>Azizova</w:t>
      </w:r>
      <w:proofErr w:type="spellEnd"/>
      <w:r w:rsidRPr="00AE66C9">
        <w:t xml:space="preserve"> G., </w:t>
      </w:r>
      <w:proofErr w:type="spellStart"/>
      <w:r w:rsidRPr="00AE66C9">
        <w:t>Mammadova</w:t>
      </w:r>
      <w:proofErr w:type="spellEnd"/>
      <w:r w:rsidRPr="00AE66C9">
        <w:t xml:space="preserve"> A., </w:t>
      </w:r>
      <w:proofErr w:type="spellStart"/>
      <w:r w:rsidRPr="00AE66C9">
        <w:t>Vilardi</w:t>
      </w:r>
      <w:proofErr w:type="spellEnd"/>
      <w:r w:rsidRPr="00AE66C9">
        <w:t xml:space="preserve"> G., Di Palma L., </w:t>
      </w:r>
      <w:proofErr w:type="spellStart"/>
      <w:r w:rsidRPr="00AE66C9">
        <w:t>Chianese</w:t>
      </w:r>
      <w:proofErr w:type="spellEnd"/>
      <w:r w:rsidRPr="00AE66C9">
        <w:t xml:space="preserve"> A., 2016, Treatment of Olive Oil Processing Wastewater by Ultrafiltration, </w:t>
      </w:r>
      <w:proofErr w:type="spellStart"/>
      <w:r w:rsidRPr="00AE66C9">
        <w:t>Nanofiltration</w:t>
      </w:r>
      <w:proofErr w:type="spellEnd"/>
      <w:r w:rsidRPr="00AE66C9">
        <w:t xml:space="preserve">, Reverse Osmosis and </w:t>
      </w:r>
      <w:proofErr w:type="spellStart"/>
      <w:r w:rsidRPr="00AE66C9">
        <w:t>Biofiltration</w:t>
      </w:r>
      <w:proofErr w:type="spellEnd"/>
      <w:r w:rsidRPr="00AE66C9">
        <w:t>, Chemical Engineering Transactions, 47, 409–414.</w:t>
      </w:r>
    </w:p>
    <w:p w14:paraId="5D9E2F5C" w14:textId="77777777" w:rsidR="00BB5FEF" w:rsidRPr="00AE66C9" w:rsidRDefault="00BB5FEF" w:rsidP="00AE66C9">
      <w:pPr>
        <w:pStyle w:val="CETReferencetext"/>
      </w:pPr>
      <w:proofErr w:type="spellStart"/>
      <w:r w:rsidRPr="00AE66C9">
        <w:t>Stoller</w:t>
      </w:r>
      <w:proofErr w:type="spellEnd"/>
      <w:r w:rsidRPr="00AE66C9">
        <w:t xml:space="preserve"> M., </w:t>
      </w:r>
      <w:proofErr w:type="spellStart"/>
      <w:r w:rsidRPr="00AE66C9">
        <w:t>Ochando</w:t>
      </w:r>
      <w:proofErr w:type="spellEnd"/>
      <w:r w:rsidRPr="00AE66C9">
        <w:t xml:space="preserve">-Pulido J.M., </w:t>
      </w:r>
      <w:proofErr w:type="spellStart"/>
      <w:r w:rsidRPr="00AE66C9">
        <w:t>Vilardi</w:t>
      </w:r>
      <w:proofErr w:type="spellEnd"/>
      <w:r w:rsidRPr="00AE66C9">
        <w:t xml:space="preserve"> G., </w:t>
      </w:r>
      <w:proofErr w:type="spellStart"/>
      <w:r w:rsidRPr="00AE66C9">
        <w:t>Vuppala</w:t>
      </w:r>
      <w:proofErr w:type="spellEnd"/>
      <w:r w:rsidRPr="00AE66C9">
        <w:t xml:space="preserve"> S., </w:t>
      </w:r>
      <w:proofErr w:type="spellStart"/>
      <w:r w:rsidRPr="00AE66C9">
        <w:t>Bravi</w:t>
      </w:r>
      <w:proofErr w:type="spellEnd"/>
      <w:r w:rsidRPr="00AE66C9">
        <w:t xml:space="preserve"> M., </w:t>
      </w:r>
      <w:proofErr w:type="spellStart"/>
      <w:r w:rsidRPr="00AE66C9">
        <w:t>Verdone</w:t>
      </w:r>
      <w:proofErr w:type="spellEnd"/>
      <w:r w:rsidRPr="00AE66C9">
        <w:t xml:space="preserve"> N., Di Palma L., 2017</w:t>
      </w:r>
      <w:r w:rsidR="00D71F05" w:rsidRPr="00AE66C9">
        <w:t>a</w:t>
      </w:r>
      <w:r w:rsidRPr="00AE66C9">
        <w:t xml:space="preserve">, Technical and economic impact of </w:t>
      </w:r>
      <w:proofErr w:type="spellStart"/>
      <w:r w:rsidRPr="00AE66C9">
        <w:t>photocatalysis</w:t>
      </w:r>
      <w:proofErr w:type="spellEnd"/>
      <w:r w:rsidRPr="00AE66C9">
        <w:t xml:space="preserve"> as a </w:t>
      </w:r>
      <w:proofErr w:type="spellStart"/>
      <w:r w:rsidRPr="00AE66C9">
        <w:t>pretreatment</w:t>
      </w:r>
      <w:proofErr w:type="spellEnd"/>
      <w:r w:rsidRPr="00AE66C9">
        <w:t xml:space="preserve"> process step in olive mill wastewater treatment by membranes, Chemical Engineering Transactions, 57, 1171-1176.</w:t>
      </w:r>
    </w:p>
    <w:p w14:paraId="188BBCA2" w14:textId="7D3ED2EB" w:rsidR="00D71F05" w:rsidRPr="00AE66C9" w:rsidRDefault="00D71F05" w:rsidP="00AE66C9">
      <w:pPr>
        <w:pStyle w:val="CETReferencetext"/>
      </w:pPr>
      <w:proofErr w:type="spellStart"/>
      <w:r w:rsidRPr="00AE66C9">
        <w:t>Stoller</w:t>
      </w:r>
      <w:proofErr w:type="spellEnd"/>
      <w:r w:rsidRPr="00AE66C9">
        <w:t xml:space="preserve"> M., </w:t>
      </w:r>
      <w:proofErr w:type="spellStart"/>
      <w:r w:rsidRPr="00AE66C9">
        <w:t>Vilardi</w:t>
      </w:r>
      <w:proofErr w:type="spellEnd"/>
      <w:r w:rsidRPr="00AE66C9">
        <w:t xml:space="preserve"> G., Di Palma L., </w:t>
      </w:r>
      <w:proofErr w:type="spellStart"/>
      <w:r w:rsidRPr="00AE66C9">
        <w:t>Chianese</w:t>
      </w:r>
      <w:proofErr w:type="spellEnd"/>
      <w:r w:rsidRPr="00AE66C9">
        <w:t xml:space="preserve"> A., </w:t>
      </w:r>
      <w:proofErr w:type="spellStart"/>
      <w:r w:rsidRPr="00AE66C9">
        <w:t>Morganti</w:t>
      </w:r>
      <w:proofErr w:type="spellEnd"/>
      <w:r w:rsidRPr="00AE66C9">
        <w:t xml:space="preserve"> P., 2017b, Process intensification techniques for the production of nanoparticles for the cosmetic and pharmaceutical industry, Journal of Applied Cosmetology, 35 (1-2), 53-59. </w:t>
      </w:r>
    </w:p>
    <w:p w14:paraId="6E2E7A87" w14:textId="5EDC7476" w:rsidR="00696EAF" w:rsidRPr="00AE66C9" w:rsidRDefault="00696EAF" w:rsidP="00AE66C9">
      <w:pPr>
        <w:pStyle w:val="CETReferencetext"/>
      </w:pPr>
      <w:proofErr w:type="spellStart"/>
      <w:r w:rsidRPr="00AE66C9">
        <w:t>Vilardi</w:t>
      </w:r>
      <w:proofErr w:type="spellEnd"/>
      <w:r w:rsidRPr="00AE66C9">
        <w:t xml:space="preserve"> G., Di Palma L., 2017, Kinetic Study of Nitrate Removal from Aqueous Solutions Using Copper-Coated Iron Nanoparticles, Bulletin of Environmental Contamination and Toxicology, 98 (3), 359-365.</w:t>
      </w:r>
    </w:p>
    <w:p w14:paraId="43D04F05" w14:textId="77777777" w:rsidR="00BB5FEF" w:rsidRPr="00AE66C9" w:rsidRDefault="00BB5FEF" w:rsidP="00AE66C9">
      <w:pPr>
        <w:pStyle w:val="CETReferencetext"/>
      </w:pPr>
      <w:proofErr w:type="spellStart"/>
      <w:r w:rsidRPr="00AE66C9">
        <w:t>Vilardi</w:t>
      </w:r>
      <w:proofErr w:type="spellEnd"/>
      <w:r w:rsidRPr="00AE66C9">
        <w:t xml:space="preserve"> G., </w:t>
      </w:r>
      <w:proofErr w:type="spellStart"/>
      <w:r w:rsidRPr="00AE66C9">
        <w:t>Verdone</w:t>
      </w:r>
      <w:proofErr w:type="spellEnd"/>
      <w:r w:rsidRPr="00AE66C9">
        <w:t xml:space="preserve"> N., Di Palma L., 2017</w:t>
      </w:r>
      <w:r w:rsidR="005200D4" w:rsidRPr="00AE66C9">
        <w:t>a</w:t>
      </w:r>
      <w:r w:rsidRPr="00AE66C9">
        <w:t xml:space="preserve">, The influence of nitrate on the reduction of hexavalent chromium by zero-valent iron nanoparticles in polluted wastewater, Desalination and Water Treatment, 86, 252–258. </w:t>
      </w:r>
    </w:p>
    <w:p w14:paraId="29744730" w14:textId="77777777" w:rsidR="005200D4" w:rsidRPr="00AE66C9" w:rsidRDefault="005200D4" w:rsidP="00AE66C9">
      <w:pPr>
        <w:pStyle w:val="CETReferencetext"/>
      </w:pPr>
      <w:proofErr w:type="spellStart"/>
      <w:r w:rsidRPr="00AE66C9">
        <w:t>Vilardi</w:t>
      </w:r>
      <w:proofErr w:type="spellEnd"/>
      <w:r w:rsidRPr="00AE66C9">
        <w:t xml:space="preserve"> G., </w:t>
      </w:r>
      <w:proofErr w:type="spellStart"/>
      <w:r w:rsidRPr="00AE66C9">
        <w:t>Stoller</w:t>
      </w:r>
      <w:proofErr w:type="spellEnd"/>
      <w:r w:rsidRPr="00AE66C9">
        <w:t xml:space="preserve"> M., </w:t>
      </w:r>
      <w:proofErr w:type="spellStart"/>
      <w:r w:rsidRPr="00AE66C9">
        <w:t>Verdone</w:t>
      </w:r>
      <w:proofErr w:type="spellEnd"/>
      <w:r w:rsidRPr="00AE66C9">
        <w:t xml:space="preserve"> N., Di Palma L., 2017b, Production of </w:t>
      </w:r>
      <w:proofErr w:type="spellStart"/>
      <w:r w:rsidRPr="00AE66C9">
        <w:t>nano</w:t>
      </w:r>
      <w:proofErr w:type="spellEnd"/>
      <w:r w:rsidRPr="00AE66C9">
        <w:t xml:space="preserve"> Zero Valent Iron particles by means of a spinning disk reactor, Chemical Engineering Transactions, 57, 751–756.</w:t>
      </w:r>
    </w:p>
    <w:p w14:paraId="6CDBC424" w14:textId="77777777" w:rsidR="00D436D3" w:rsidRPr="00AE66C9" w:rsidRDefault="00D436D3" w:rsidP="00AE66C9">
      <w:pPr>
        <w:pStyle w:val="CETReferencetext"/>
      </w:pPr>
      <w:proofErr w:type="spellStart"/>
      <w:r w:rsidRPr="00AE66C9">
        <w:t>Vilardi</w:t>
      </w:r>
      <w:proofErr w:type="spellEnd"/>
      <w:r w:rsidRPr="00AE66C9">
        <w:t xml:space="preserve"> G., Di Palma L., </w:t>
      </w:r>
      <w:proofErr w:type="spellStart"/>
      <w:r w:rsidRPr="00AE66C9">
        <w:t>Verdone</w:t>
      </w:r>
      <w:proofErr w:type="spellEnd"/>
      <w:r w:rsidRPr="00AE66C9">
        <w:t xml:space="preserve"> N., 2017c, Competitive Reaction Modelling in Aqueous Systems: the Case of Contemporary Reduction of </w:t>
      </w:r>
      <w:proofErr w:type="spellStart"/>
      <w:r w:rsidRPr="00AE66C9">
        <w:t>Dichromates</w:t>
      </w:r>
      <w:proofErr w:type="spellEnd"/>
      <w:r w:rsidRPr="00AE66C9">
        <w:t xml:space="preserve"> and Nitrates by </w:t>
      </w:r>
      <w:proofErr w:type="spellStart"/>
      <w:r w:rsidRPr="00AE66C9">
        <w:t>nZVI</w:t>
      </w:r>
      <w:proofErr w:type="spellEnd"/>
      <w:r w:rsidRPr="00AE66C9">
        <w:t xml:space="preserve">, Chemical Engineering Transactions, 60, 175–180. </w:t>
      </w:r>
    </w:p>
    <w:p w14:paraId="460092C3" w14:textId="77777777" w:rsidR="00BB5FEF" w:rsidRPr="00AE66C9" w:rsidRDefault="001D7B47" w:rsidP="00AE66C9">
      <w:pPr>
        <w:pStyle w:val="CETReferencetext"/>
      </w:pPr>
      <w:proofErr w:type="spellStart"/>
      <w:r w:rsidRPr="00AE66C9">
        <w:t>Vilardi</w:t>
      </w:r>
      <w:proofErr w:type="spellEnd"/>
      <w:r w:rsidRPr="00AE66C9">
        <w:t xml:space="preserve"> G., 2018, Bimetallic </w:t>
      </w:r>
      <w:proofErr w:type="spellStart"/>
      <w:r w:rsidRPr="00AE66C9">
        <w:t>nZVI</w:t>
      </w:r>
      <w:proofErr w:type="spellEnd"/>
      <w:r w:rsidRPr="00AE66C9">
        <w:t>-induced chemical denitrification modelling using the shrinking core model, Chemical Engineering Transactions, 70, 235-240.</w:t>
      </w:r>
      <w:r w:rsidR="00BB5FEF" w:rsidRPr="00AE66C9">
        <w:t xml:space="preserve">Vilardi G., Di Palma L., </w:t>
      </w:r>
      <w:proofErr w:type="spellStart"/>
      <w:r w:rsidR="00BB5FEF" w:rsidRPr="00AE66C9">
        <w:t>Verdone</w:t>
      </w:r>
      <w:proofErr w:type="spellEnd"/>
      <w:r w:rsidR="00BB5FEF" w:rsidRPr="00AE66C9">
        <w:t xml:space="preserve"> N., 2018a, On the critical use of zero valent iron nanoparticles and Fenton processes for the treatment of tannery wastewater, Journal of Water Process Engineering, 22C, 109–122.</w:t>
      </w:r>
    </w:p>
    <w:p w14:paraId="1F0B1C15" w14:textId="77777777" w:rsidR="00B743A0" w:rsidRPr="00AE66C9" w:rsidRDefault="00B743A0" w:rsidP="00AE66C9">
      <w:pPr>
        <w:pStyle w:val="CETReferencetext"/>
      </w:pPr>
      <w:proofErr w:type="spellStart"/>
      <w:r w:rsidRPr="00AE66C9">
        <w:t>Vilardi</w:t>
      </w:r>
      <w:proofErr w:type="spellEnd"/>
      <w:r w:rsidRPr="00AE66C9">
        <w:t xml:space="preserve"> G., </w:t>
      </w:r>
      <w:proofErr w:type="spellStart"/>
      <w:r w:rsidRPr="00AE66C9">
        <w:t>Ochando</w:t>
      </w:r>
      <w:proofErr w:type="spellEnd"/>
      <w:r w:rsidRPr="00AE66C9">
        <w:t xml:space="preserve"> Pulido J.M., </w:t>
      </w:r>
      <w:proofErr w:type="spellStart"/>
      <w:r w:rsidRPr="00AE66C9">
        <w:t>Stoller</w:t>
      </w:r>
      <w:proofErr w:type="spellEnd"/>
      <w:r w:rsidRPr="00AE66C9">
        <w:t xml:space="preserve"> M</w:t>
      </w:r>
      <w:r w:rsidR="005200D4" w:rsidRPr="00AE66C9">
        <w:t xml:space="preserve">., </w:t>
      </w:r>
      <w:proofErr w:type="spellStart"/>
      <w:r w:rsidR="005200D4" w:rsidRPr="00AE66C9">
        <w:t>Verdone</w:t>
      </w:r>
      <w:proofErr w:type="spellEnd"/>
      <w:r w:rsidR="005200D4" w:rsidRPr="00AE66C9">
        <w:t xml:space="preserve"> N.,</w:t>
      </w:r>
      <w:r w:rsidRPr="00AE66C9">
        <w:t xml:space="preserve"> Di Palma L., 2018</w:t>
      </w:r>
      <w:r w:rsidR="005200D4" w:rsidRPr="00AE66C9">
        <w:t>b,</w:t>
      </w:r>
      <w:r w:rsidRPr="00AE66C9">
        <w:t xml:space="preserve"> </w:t>
      </w:r>
      <w:r w:rsidR="005200D4" w:rsidRPr="00AE66C9">
        <w:t>Fenton oxidation and chromium recovery from tannery wastewater by means of iron-based coated biomass as heterogeneous catalyst in fixed-bed columns,</w:t>
      </w:r>
      <w:r w:rsidRPr="00AE66C9">
        <w:t xml:space="preserve"> </w:t>
      </w:r>
      <w:r w:rsidR="005200D4" w:rsidRPr="00AE66C9">
        <w:t>Chemical Engineering Journal, 351, 1-11.</w:t>
      </w:r>
    </w:p>
    <w:p w14:paraId="084111EC" w14:textId="77777777" w:rsidR="005200D4" w:rsidRPr="00AE66C9" w:rsidRDefault="005200D4" w:rsidP="00AE66C9">
      <w:pPr>
        <w:pStyle w:val="CETReferencetext"/>
      </w:pPr>
      <w:proofErr w:type="spellStart"/>
      <w:r w:rsidRPr="00AE66C9">
        <w:t>Vilardi</w:t>
      </w:r>
      <w:proofErr w:type="spellEnd"/>
      <w:r w:rsidRPr="00AE66C9">
        <w:t xml:space="preserve"> G., </w:t>
      </w:r>
      <w:proofErr w:type="spellStart"/>
      <w:r w:rsidRPr="00AE66C9">
        <w:t>Ochando</w:t>
      </w:r>
      <w:proofErr w:type="spellEnd"/>
      <w:r w:rsidRPr="00AE66C9">
        <w:t xml:space="preserve"> Pulido J.M., </w:t>
      </w:r>
      <w:proofErr w:type="spellStart"/>
      <w:r w:rsidRPr="00AE66C9">
        <w:t>Verdone</w:t>
      </w:r>
      <w:proofErr w:type="spellEnd"/>
      <w:r w:rsidRPr="00AE66C9">
        <w:t xml:space="preserve"> N., </w:t>
      </w:r>
      <w:proofErr w:type="spellStart"/>
      <w:r w:rsidRPr="00AE66C9">
        <w:t>Stoller</w:t>
      </w:r>
      <w:proofErr w:type="spellEnd"/>
      <w:r w:rsidRPr="00AE66C9">
        <w:t xml:space="preserve"> M., Di Palma L., 2018c, On the removal of Hexavalent Chromium by olive stones coated by iron-based nanoparticles: equilibrium study and Chromium recovery, Journal of Cleaner Production, 190, 200-210.</w:t>
      </w:r>
    </w:p>
    <w:p w14:paraId="4359385E" w14:textId="77777777" w:rsidR="005200D4" w:rsidRPr="00AE66C9" w:rsidRDefault="005200D4" w:rsidP="00AE66C9">
      <w:pPr>
        <w:pStyle w:val="CETReferencetext"/>
      </w:pPr>
      <w:proofErr w:type="spellStart"/>
      <w:r w:rsidRPr="00AE66C9">
        <w:t>Vilardi</w:t>
      </w:r>
      <w:proofErr w:type="spellEnd"/>
      <w:r w:rsidRPr="00AE66C9">
        <w:t xml:space="preserve"> G., </w:t>
      </w:r>
      <w:proofErr w:type="spellStart"/>
      <w:r w:rsidRPr="00AE66C9">
        <w:t>Mpouras</w:t>
      </w:r>
      <w:proofErr w:type="spellEnd"/>
      <w:r w:rsidRPr="00AE66C9">
        <w:t xml:space="preserve"> T., </w:t>
      </w:r>
      <w:proofErr w:type="spellStart"/>
      <w:r w:rsidRPr="00AE66C9">
        <w:t>Dermatas</w:t>
      </w:r>
      <w:proofErr w:type="spellEnd"/>
      <w:r w:rsidRPr="00AE66C9">
        <w:t xml:space="preserve"> D., </w:t>
      </w:r>
      <w:proofErr w:type="spellStart"/>
      <w:r w:rsidRPr="00AE66C9">
        <w:t>Verdone</w:t>
      </w:r>
      <w:proofErr w:type="spellEnd"/>
      <w:r w:rsidRPr="00AE66C9">
        <w:t xml:space="preserve"> N., </w:t>
      </w:r>
      <w:proofErr w:type="spellStart"/>
      <w:r w:rsidRPr="00AE66C9">
        <w:t>Polydera</w:t>
      </w:r>
      <w:proofErr w:type="spellEnd"/>
      <w:r w:rsidRPr="00AE66C9">
        <w:t xml:space="preserve"> A., Di Palma L., 2018d, Nanomaterials application for heavy metals recovery from polluted water: the combination of </w:t>
      </w:r>
      <w:proofErr w:type="spellStart"/>
      <w:r w:rsidRPr="00AE66C9">
        <w:t>nano</w:t>
      </w:r>
      <w:proofErr w:type="spellEnd"/>
      <w:r w:rsidRPr="00AE66C9">
        <w:t xml:space="preserve"> zero-valent iron and carbon nanotubes. Competitive adsorption non-linear </w:t>
      </w:r>
      <w:proofErr w:type="spellStart"/>
      <w:r w:rsidRPr="00AE66C9">
        <w:t>modeling</w:t>
      </w:r>
      <w:proofErr w:type="spellEnd"/>
      <w:r w:rsidRPr="00AE66C9">
        <w:t>, Chemosphere, 201, 716-729.</w:t>
      </w:r>
    </w:p>
    <w:p w14:paraId="50D43960" w14:textId="77777777" w:rsidR="005200D4" w:rsidRPr="00AE66C9" w:rsidRDefault="005200D4" w:rsidP="00AE66C9">
      <w:pPr>
        <w:pStyle w:val="CETReferencetext"/>
      </w:pPr>
      <w:proofErr w:type="spellStart"/>
      <w:r w:rsidRPr="00AE66C9">
        <w:t>Vilardi</w:t>
      </w:r>
      <w:proofErr w:type="spellEnd"/>
      <w:r w:rsidRPr="00AE66C9">
        <w:t xml:space="preserve"> G., Di Palma L., </w:t>
      </w:r>
      <w:proofErr w:type="spellStart"/>
      <w:r w:rsidRPr="00AE66C9">
        <w:t>Verdone</w:t>
      </w:r>
      <w:proofErr w:type="spellEnd"/>
      <w:r w:rsidRPr="00AE66C9">
        <w:t xml:space="preserve"> N., 2018e, Heavy metals adsorption by banana peels micro-powder. Equilibrium </w:t>
      </w:r>
      <w:proofErr w:type="spellStart"/>
      <w:r w:rsidRPr="00AE66C9">
        <w:t>modeling</w:t>
      </w:r>
      <w:proofErr w:type="spellEnd"/>
      <w:r w:rsidRPr="00AE66C9">
        <w:t xml:space="preserve"> by non-linear models, Chinese Journal of Chemical Engineering, 26, 455-464.</w:t>
      </w:r>
    </w:p>
    <w:p w14:paraId="78A9FFCC" w14:textId="77777777" w:rsidR="00BB5FEF" w:rsidRPr="00AE66C9" w:rsidRDefault="00BB5FEF" w:rsidP="00AE66C9">
      <w:pPr>
        <w:pStyle w:val="CETReferencetext"/>
      </w:pPr>
      <w:proofErr w:type="spellStart"/>
      <w:r w:rsidRPr="00AE66C9">
        <w:t>Vilardi</w:t>
      </w:r>
      <w:proofErr w:type="spellEnd"/>
      <w:r w:rsidRPr="00AE66C9">
        <w:t xml:space="preserve"> G., </w:t>
      </w:r>
      <w:proofErr w:type="spellStart"/>
      <w:r w:rsidRPr="00AE66C9">
        <w:t>Sebastiani</w:t>
      </w:r>
      <w:proofErr w:type="spellEnd"/>
      <w:r w:rsidRPr="00AE66C9">
        <w:t xml:space="preserve"> D., </w:t>
      </w:r>
      <w:proofErr w:type="spellStart"/>
      <w:r w:rsidRPr="00AE66C9">
        <w:t>Miliziano</w:t>
      </w:r>
      <w:proofErr w:type="spellEnd"/>
      <w:r w:rsidRPr="00AE66C9">
        <w:t xml:space="preserve"> S., </w:t>
      </w:r>
      <w:proofErr w:type="spellStart"/>
      <w:r w:rsidRPr="00AE66C9">
        <w:t>Verdone</w:t>
      </w:r>
      <w:proofErr w:type="spellEnd"/>
      <w:r w:rsidRPr="00AE66C9">
        <w:t xml:space="preserve"> N., Di Palma L., 2018</w:t>
      </w:r>
      <w:r w:rsidR="005200D4" w:rsidRPr="00AE66C9">
        <w:t>f</w:t>
      </w:r>
      <w:r w:rsidRPr="00AE66C9">
        <w:t xml:space="preserve">, Heterogeneous </w:t>
      </w:r>
      <w:proofErr w:type="spellStart"/>
      <w:r w:rsidRPr="00AE66C9">
        <w:t>nZVI</w:t>
      </w:r>
      <w:proofErr w:type="spellEnd"/>
      <w:r w:rsidRPr="00AE66C9">
        <w:t xml:space="preserve">-induced Fenton oxidation process to enhance biodegradability of excavation by-products, Chemical Engineering Journal, 335, 309–320. </w:t>
      </w:r>
    </w:p>
    <w:p w14:paraId="2CC732D7" w14:textId="0344D57F" w:rsidR="002A151B" w:rsidRPr="00AE66C9" w:rsidRDefault="002A151B" w:rsidP="00AE66C9">
      <w:pPr>
        <w:pStyle w:val="CETReferencetext"/>
      </w:pPr>
      <w:proofErr w:type="spellStart"/>
      <w:r w:rsidRPr="00AE66C9">
        <w:t>Vilardi</w:t>
      </w:r>
      <w:proofErr w:type="spellEnd"/>
      <w:r w:rsidRPr="00AE66C9">
        <w:t xml:space="preserve"> G., Rodriguez-Rodriguez J., </w:t>
      </w:r>
      <w:proofErr w:type="spellStart"/>
      <w:r w:rsidRPr="00AE66C9">
        <w:t>Ochando</w:t>
      </w:r>
      <w:proofErr w:type="spellEnd"/>
      <w:r w:rsidRPr="00AE66C9">
        <w:t xml:space="preserve">-Pulido J.M., </w:t>
      </w:r>
      <w:proofErr w:type="spellStart"/>
      <w:r w:rsidRPr="00AE66C9">
        <w:t>Verdone</w:t>
      </w:r>
      <w:proofErr w:type="spellEnd"/>
      <w:r w:rsidRPr="00AE66C9">
        <w:t xml:space="preserve"> N., Martinez-</w:t>
      </w:r>
      <w:proofErr w:type="spellStart"/>
      <w:r w:rsidRPr="00AE66C9">
        <w:t>Ferez</w:t>
      </w:r>
      <w:proofErr w:type="spellEnd"/>
      <w:r w:rsidRPr="00AE66C9">
        <w:t xml:space="preserve"> A., Di Palma L., 2018g, Large Laboratory-Plant application of a Tannery wastewater treatment by Fenton oxidation: Fe(II) and </w:t>
      </w:r>
      <w:proofErr w:type="spellStart"/>
      <w:r w:rsidRPr="00AE66C9">
        <w:t>nZVI</w:t>
      </w:r>
      <w:proofErr w:type="spellEnd"/>
      <w:r w:rsidRPr="00AE66C9">
        <w:t xml:space="preserve"> catalyst comparison and kinetic modelling, Process Safety and Environmental Protection, 117, 629-638.</w:t>
      </w:r>
    </w:p>
    <w:p w14:paraId="02BF21A3" w14:textId="69AEE05B" w:rsidR="00C07D69" w:rsidRPr="00AE66C9" w:rsidRDefault="00C07D69" w:rsidP="00AE66C9">
      <w:pPr>
        <w:pStyle w:val="CETReferencetext"/>
      </w:pPr>
      <w:bookmarkStart w:id="1" w:name="_Hlk787592"/>
      <w:proofErr w:type="spellStart"/>
      <w:r w:rsidRPr="00AE66C9">
        <w:t>Vilardi</w:t>
      </w:r>
      <w:proofErr w:type="spellEnd"/>
      <w:r w:rsidRPr="00AE66C9">
        <w:t xml:space="preserve"> G., 2019, Mathematical modelling of simultaneous nitrate and dissolved oxygen reduction by Cu-</w:t>
      </w:r>
      <w:proofErr w:type="spellStart"/>
      <w:r w:rsidRPr="00AE66C9">
        <w:t>nZVI</w:t>
      </w:r>
      <w:proofErr w:type="spellEnd"/>
      <w:r w:rsidRPr="00AE66C9">
        <w:t xml:space="preserve"> using a bi-component shrinking core model, Powder Technology, 343, 613-618.</w:t>
      </w:r>
      <w:bookmarkEnd w:id="1"/>
    </w:p>
    <w:p w14:paraId="4A159201" w14:textId="38844190" w:rsidR="00C07D69" w:rsidRPr="00AE66C9" w:rsidRDefault="00C07D69" w:rsidP="00AE66C9">
      <w:pPr>
        <w:pStyle w:val="CETReferencetext"/>
      </w:pPr>
      <w:proofErr w:type="spellStart"/>
      <w:r w:rsidRPr="00AE66C9">
        <w:t>Vilardi</w:t>
      </w:r>
      <w:proofErr w:type="spellEnd"/>
      <w:r w:rsidRPr="00AE66C9">
        <w:t xml:space="preserve"> G., Rodriguez-Rodriguez J., </w:t>
      </w:r>
      <w:proofErr w:type="spellStart"/>
      <w:r w:rsidRPr="00AE66C9">
        <w:t>Ochando</w:t>
      </w:r>
      <w:proofErr w:type="spellEnd"/>
      <w:r w:rsidRPr="00AE66C9">
        <w:t xml:space="preserve"> Pulido J.M., Di Palma L., </w:t>
      </w:r>
      <w:proofErr w:type="spellStart"/>
      <w:r w:rsidRPr="00AE66C9">
        <w:t>Verdone</w:t>
      </w:r>
      <w:proofErr w:type="spellEnd"/>
      <w:r w:rsidRPr="00AE66C9">
        <w:t xml:space="preserve"> N., 2019a, Fixed-bed reactor scale-up and modelling for Cr(VI) removal using </w:t>
      </w:r>
      <w:proofErr w:type="spellStart"/>
      <w:r w:rsidRPr="00AE66C9">
        <w:t>nano</w:t>
      </w:r>
      <w:proofErr w:type="spellEnd"/>
      <w:r w:rsidRPr="00AE66C9">
        <w:t xml:space="preserve"> iron-based coated biomass as packing material, Chemical Engineering Journal, 361, 990-998.</w:t>
      </w:r>
    </w:p>
    <w:p w14:paraId="44D407C8" w14:textId="0F84BB12" w:rsidR="00C07D69" w:rsidRPr="00AE66C9" w:rsidRDefault="00C07D69" w:rsidP="00AE66C9">
      <w:pPr>
        <w:pStyle w:val="CETReferencetext"/>
      </w:pPr>
      <w:proofErr w:type="spellStart"/>
      <w:r w:rsidRPr="00AE66C9">
        <w:t>Vilardi</w:t>
      </w:r>
      <w:proofErr w:type="spellEnd"/>
      <w:r w:rsidRPr="00AE66C9">
        <w:t xml:space="preserve"> G., Di Palma L., </w:t>
      </w:r>
      <w:proofErr w:type="spellStart"/>
      <w:r w:rsidRPr="00AE66C9">
        <w:t>Verdone</w:t>
      </w:r>
      <w:proofErr w:type="spellEnd"/>
      <w:r w:rsidRPr="00AE66C9">
        <w:t xml:space="preserve"> N., 2019b, A physical-based interpretation of mechanism and kinetics of Cr(VI) reduction in aqueous solution by zero-valent iron nanoparticles, Chemosphere, 220, 590-599.</w:t>
      </w:r>
    </w:p>
    <w:p w14:paraId="70F63426" w14:textId="7DB96018" w:rsidR="002A151B" w:rsidRDefault="002A151B" w:rsidP="00AE66C9">
      <w:pPr>
        <w:pStyle w:val="CETReferencetext"/>
      </w:pPr>
      <w:r w:rsidRPr="00AE66C9">
        <w:t xml:space="preserve">Wang Y., Li W., </w:t>
      </w:r>
      <w:proofErr w:type="spellStart"/>
      <w:r w:rsidRPr="00AE66C9">
        <w:t>Irini</w:t>
      </w:r>
      <w:proofErr w:type="spellEnd"/>
      <w:r w:rsidRPr="00AE66C9">
        <w:t xml:space="preserve"> A., Su C., 2014, Removal of organic pollutants in tannery wastewater from wet-blue fur</w:t>
      </w:r>
      <w:r w:rsidRPr="002A151B">
        <w:t xml:space="preserve"> processing by integrated anoxic/</w:t>
      </w:r>
      <w:proofErr w:type="spellStart"/>
      <w:r w:rsidRPr="002A151B">
        <w:t>oxic</w:t>
      </w:r>
      <w:proofErr w:type="spellEnd"/>
      <w:r w:rsidRPr="002A151B">
        <w:t xml:space="preserve"> (A/O) </w:t>
      </w:r>
      <w:r>
        <w:t>and Fenton: process optimization, Chemical Engineering Journal,</w:t>
      </w:r>
      <w:r w:rsidRPr="002A151B">
        <w:t xml:space="preserve"> 252, 22–29</w:t>
      </w:r>
      <w:r>
        <w:t>.</w:t>
      </w:r>
      <w:r w:rsidRPr="002A151B">
        <w:t xml:space="preserve"> </w:t>
      </w:r>
    </w:p>
    <w:p w14:paraId="303B9209" w14:textId="066637E3" w:rsidR="004628D2" w:rsidRDefault="00C07D69" w:rsidP="00C07D69">
      <w:pPr>
        <w:pStyle w:val="CETReferencetext"/>
      </w:pPr>
      <w:r w:rsidRPr="00C07D69">
        <w:t xml:space="preserve">White D. A., </w:t>
      </w:r>
      <w:proofErr w:type="spellStart"/>
      <w:r w:rsidRPr="00C07D69">
        <w:t>Verdone</w:t>
      </w:r>
      <w:proofErr w:type="spellEnd"/>
      <w:r w:rsidRPr="00C07D69">
        <w:t xml:space="preserve"> N., 2000, Numerical modelling of sedimentation processes, Chemical Engineering Science, 55, 2213-22</w:t>
      </w:r>
      <w:bookmarkStart w:id="2" w:name="_GoBack"/>
      <w:bookmarkEnd w:id="2"/>
      <w:r w:rsidRPr="00C07D69">
        <w:t>22.</w:t>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1C4791" w14:textId="77777777" w:rsidR="002213B9" w:rsidRDefault="002213B9" w:rsidP="004F5E36">
      <w:r>
        <w:separator/>
      </w:r>
    </w:p>
  </w:endnote>
  <w:endnote w:type="continuationSeparator" w:id="0">
    <w:p w14:paraId="13B400B2" w14:textId="77777777" w:rsidR="002213B9" w:rsidRDefault="002213B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17C993" w14:textId="77777777" w:rsidR="002213B9" w:rsidRDefault="002213B9" w:rsidP="004F5E36">
      <w:r>
        <w:separator/>
      </w:r>
    </w:p>
  </w:footnote>
  <w:footnote w:type="continuationSeparator" w:id="0">
    <w:p w14:paraId="7EB4ED9C" w14:textId="77777777" w:rsidR="002213B9" w:rsidRDefault="002213B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47D7F"/>
    <w:rsid w:val="00051566"/>
    <w:rsid w:val="00062A9A"/>
    <w:rsid w:val="00065058"/>
    <w:rsid w:val="0007027E"/>
    <w:rsid w:val="00086C39"/>
    <w:rsid w:val="00092D8C"/>
    <w:rsid w:val="000A03B2"/>
    <w:rsid w:val="000D34BE"/>
    <w:rsid w:val="000E102F"/>
    <w:rsid w:val="000E36F1"/>
    <w:rsid w:val="000E3A73"/>
    <w:rsid w:val="000E3C56"/>
    <w:rsid w:val="000E414A"/>
    <w:rsid w:val="000F093C"/>
    <w:rsid w:val="000F1331"/>
    <w:rsid w:val="000F16BD"/>
    <w:rsid w:val="000F787B"/>
    <w:rsid w:val="0012091F"/>
    <w:rsid w:val="00126BC2"/>
    <w:rsid w:val="001308B6"/>
    <w:rsid w:val="0013121F"/>
    <w:rsid w:val="00131FAB"/>
    <w:rsid w:val="00131FE6"/>
    <w:rsid w:val="0013263F"/>
    <w:rsid w:val="00134DE4"/>
    <w:rsid w:val="0014034D"/>
    <w:rsid w:val="001442F7"/>
    <w:rsid w:val="00150E59"/>
    <w:rsid w:val="00152DE3"/>
    <w:rsid w:val="00164CF9"/>
    <w:rsid w:val="00171819"/>
    <w:rsid w:val="00184AD6"/>
    <w:rsid w:val="001B0349"/>
    <w:rsid w:val="001B65C1"/>
    <w:rsid w:val="001C5EDB"/>
    <w:rsid w:val="001C684B"/>
    <w:rsid w:val="001D53FC"/>
    <w:rsid w:val="001D7B47"/>
    <w:rsid w:val="001F42A5"/>
    <w:rsid w:val="001F7B9D"/>
    <w:rsid w:val="002016F4"/>
    <w:rsid w:val="002213B9"/>
    <w:rsid w:val="002224B4"/>
    <w:rsid w:val="0022379E"/>
    <w:rsid w:val="002330C4"/>
    <w:rsid w:val="002377A8"/>
    <w:rsid w:val="002447EF"/>
    <w:rsid w:val="00247490"/>
    <w:rsid w:val="0024782E"/>
    <w:rsid w:val="00251550"/>
    <w:rsid w:val="00263B05"/>
    <w:rsid w:val="0027221A"/>
    <w:rsid w:val="00275B61"/>
    <w:rsid w:val="00282656"/>
    <w:rsid w:val="00296B83"/>
    <w:rsid w:val="002A151B"/>
    <w:rsid w:val="002A1EB1"/>
    <w:rsid w:val="002B78CE"/>
    <w:rsid w:val="002C2FB6"/>
    <w:rsid w:val="002F4C73"/>
    <w:rsid w:val="003009B7"/>
    <w:rsid w:val="00300E56"/>
    <w:rsid w:val="0030469C"/>
    <w:rsid w:val="00321CA6"/>
    <w:rsid w:val="00325B77"/>
    <w:rsid w:val="00334C09"/>
    <w:rsid w:val="003365E3"/>
    <w:rsid w:val="00342CC8"/>
    <w:rsid w:val="003567D5"/>
    <w:rsid w:val="003723D4"/>
    <w:rsid w:val="00382544"/>
    <w:rsid w:val="00384CC8"/>
    <w:rsid w:val="003871FD"/>
    <w:rsid w:val="0039326A"/>
    <w:rsid w:val="003A1E30"/>
    <w:rsid w:val="003A7D1C"/>
    <w:rsid w:val="003B304B"/>
    <w:rsid w:val="003B3146"/>
    <w:rsid w:val="003B60F3"/>
    <w:rsid w:val="003F015E"/>
    <w:rsid w:val="00400414"/>
    <w:rsid w:val="00401E26"/>
    <w:rsid w:val="0041446B"/>
    <w:rsid w:val="0044329C"/>
    <w:rsid w:val="004577FE"/>
    <w:rsid w:val="00457B9C"/>
    <w:rsid w:val="00460F5B"/>
    <w:rsid w:val="0046164A"/>
    <w:rsid w:val="004628D2"/>
    <w:rsid w:val="00462DCD"/>
    <w:rsid w:val="004648AD"/>
    <w:rsid w:val="004703A9"/>
    <w:rsid w:val="00475176"/>
    <w:rsid w:val="004760DE"/>
    <w:rsid w:val="004A004E"/>
    <w:rsid w:val="004A0713"/>
    <w:rsid w:val="004A24CF"/>
    <w:rsid w:val="004B6721"/>
    <w:rsid w:val="004C3D1D"/>
    <w:rsid w:val="004C7796"/>
    <w:rsid w:val="004C7913"/>
    <w:rsid w:val="004E4D77"/>
    <w:rsid w:val="004E4DD6"/>
    <w:rsid w:val="004F5E36"/>
    <w:rsid w:val="00507B47"/>
    <w:rsid w:val="00507CC9"/>
    <w:rsid w:val="005119A5"/>
    <w:rsid w:val="005200D4"/>
    <w:rsid w:val="005278B7"/>
    <w:rsid w:val="00532016"/>
    <w:rsid w:val="005346C8"/>
    <w:rsid w:val="00541055"/>
    <w:rsid w:val="00543E7D"/>
    <w:rsid w:val="00547A68"/>
    <w:rsid w:val="005531C9"/>
    <w:rsid w:val="00566664"/>
    <w:rsid w:val="005710F7"/>
    <w:rsid w:val="005B2110"/>
    <w:rsid w:val="005B61E6"/>
    <w:rsid w:val="005C77E1"/>
    <w:rsid w:val="005D10C7"/>
    <w:rsid w:val="005D6A2F"/>
    <w:rsid w:val="005E1A82"/>
    <w:rsid w:val="005E794C"/>
    <w:rsid w:val="005F0A28"/>
    <w:rsid w:val="005F0E5E"/>
    <w:rsid w:val="00600535"/>
    <w:rsid w:val="00610CD6"/>
    <w:rsid w:val="00620DEE"/>
    <w:rsid w:val="00621F92"/>
    <w:rsid w:val="00623416"/>
    <w:rsid w:val="00625639"/>
    <w:rsid w:val="00631B33"/>
    <w:rsid w:val="00634313"/>
    <w:rsid w:val="00636162"/>
    <w:rsid w:val="0064184D"/>
    <w:rsid w:val="00641FFA"/>
    <w:rsid w:val="006422CC"/>
    <w:rsid w:val="00653F5F"/>
    <w:rsid w:val="00660E3E"/>
    <w:rsid w:val="00662E74"/>
    <w:rsid w:val="00680C23"/>
    <w:rsid w:val="00693766"/>
    <w:rsid w:val="00696EAF"/>
    <w:rsid w:val="006A3281"/>
    <w:rsid w:val="006A7038"/>
    <w:rsid w:val="006B4888"/>
    <w:rsid w:val="006C2E45"/>
    <w:rsid w:val="006C359C"/>
    <w:rsid w:val="006C5579"/>
    <w:rsid w:val="006E737D"/>
    <w:rsid w:val="006F0401"/>
    <w:rsid w:val="0070195D"/>
    <w:rsid w:val="00720A24"/>
    <w:rsid w:val="00732386"/>
    <w:rsid w:val="007447F3"/>
    <w:rsid w:val="0075499F"/>
    <w:rsid w:val="007661C8"/>
    <w:rsid w:val="0077098D"/>
    <w:rsid w:val="00774679"/>
    <w:rsid w:val="007931FA"/>
    <w:rsid w:val="007A7BBA"/>
    <w:rsid w:val="007B0C50"/>
    <w:rsid w:val="007B6C86"/>
    <w:rsid w:val="007C1A43"/>
    <w:rsid w:val="007D05D6"/>
    <w:rsid w:val="007E1DC6"/>
    <w:rsid w:val="007E4B6D"/>
    <w:rsid w:val="00813288"/>
    <w:rsid w:val="008168FC"/>
    <w:rsid w:val="00830996"/>
    <w:rsid w:val="008345F1"/>
    <w:rsid w:val="0084410F"/>
    <w:rsid w:val="00865B07"/>
    <w:rsid w:val="008667EA"/>
    <w:rsid w:val="0087637F"/>
    <w:rsid w:val="008904B9"/>
    <w:rsid w:val="00892AD5"/>
    <w:rsid w:val="008A1512"/>
    <w:rsid w:val="008D32B9"/>
    <w:rsid w:val="008D3FB5"/>
    <w:rsid w:val="008D433B"/>
    <w:rsid w:val="008D64A7"/>
    <w:rsid w:val="008E566E"/>
    <w:rsid w:val="008F648C"/>
    <w:rsid w:val="00900E17"/>
    <w:rsid w:val="0090161A"/>
    <w:rsid w:val="00901EB6"/>
    <w:rsid w:val="00904C62"/>
    <w:rsid w:val="00924DAC"/>
    <w:rsid w:val="00927058"/>
    <w:rsid w:val="0093759E"/>
    <w:rsid w:val="009450CE"/>
    <w:rsid w:val="00947179"/>
    <w:rsid w:val="0095164B"/>
    <w:rsid w:val="00954090"/>
    <w:rsid w:val="009573E7"/>
    <w:rsid w:val="00960675"/>
    <w:rsid w:val="00963E05"/>
    <w:rsid w:val="00967415"/>
    <w:rsid w:val="00967D54"/>
    <w:rsid w:val="00996483"/>
    <w:rsid w:val="00996F5A"/>
    <w:rsid w:val="009A0A3E"/>
    <w:rsid w:val="009B041A"/>
    <w:rsid w:val="009B5087"/>
    <w:rsid w:val="009C7C86"/>
    <w:rsid w:val="009D2FF7"/>
    <w:rsid w:val="009E7884"/>
    <w:rsid w:val="009E788A"/>
    <w:rsid w:val="009F0E08"/>
    <w:rsid w:val="00A16173"/>
    <w:rsid w:val="00A1763D"/>
    <w:rsid w:val="00A17CEC"/>
    <w:rsid w:val="00A27EF0"/>
    <w:rsid w:val="00A50B20"/>
    <w:rsid w:val="00A51390"/>
    <w:rsid w:val="00A60D13"/>
    <w:rsid w:val="00A72745"/>
    <w:rsid w:val="00A754D4"/>
    <w:rsid w:val="00A76EFC"/>
    <w:rsid w:val="00A85831"/>
    <w:rsid w:val="00A91010"/>
    <w:rsid w:val="00A92D2C"/>
    <w:rsid w:val="00A97F29"/>
    <w:rsid w:val="00AA2B4D"/>
    <w:rsid w:val="00AA702E"/>
    <w:rsid w:val="00AB0964"/>
    <w:rsid w:val="00AB31B4"/>
    <w:rsid w:val="00AB5011"/>
    <w:rsid w:val="00AC7368"/>
    <w:rsid w:val="00AD15D8"/>
    <w:rsid w:val="00AD16B9"/>
    <w:rsid w:val="00AE377D"/>
    <w:rsid w:val="00AE66C9"/>
    <w:rsid w:val="00B17FBD"/>
    <w:rsid w:val="00B315A6"/>
    <w:rsid w:val="00B31813"/>
    <w:rsid w:val="00B33365"/>
    <w:rsid w:val="00B57B36"/>
    <w:rsid w:val="00B64D0F"/>
    <w:rsid w:val="00B743A0"/>
    <w:rsid w:val="00B8686D"/>
    <w:rsid w:val="00BA2060"/>
    <w:rsid w:val="00BB47A9"/>
    <w:rsid w:val="00BB5FEF"/>
    <w:rsid w:val="00BC30C9"/>
    <w:rsid w:val="00BC6A48"/>
    <w:rsid w:val="00BE3E58"/>
    <w:rsid w:val="00BE3F38"/>
    <w:rsid w:val="00C01616"/>
    <w:rsid w:val="00C0162B"/>
    <w:rsid w:val="00C02C45"/>
    <w:rsid w:val="00C06A05"/>
    <w:rsid w:val="00C07D69"/>
    <w:rsid w:val="00C345B1"/>
    <w:rsid w:val="00C40142"/>
    <w:rsid w:val="00C57182"/>
    <w:rsid w:val="00C57863"/>
    <w:rsid w:val="00C655FD"/>
    <w:rsid w:val="00C870A8"/>
    <w:rsid w:val="00C94434"/>
    <w:rsid w:val="00CA0D75"/>
    <w:rsid w:val="00CA1C95"/>
    <w:rsid w:val="00CA5A9C"/>
    <w:rsid w:val="00CD338D"/>
    <w:rsid w:val="00CD3517"/>
    <w:rsid w:val="00CD5FE2"/>
    <w:rsid w:val="00CE7C68"/>
    <w:rsid w:val="00CF284A"/>
    <w:rsid w:val="00D02B4C"/>
    <w:rsid w:val="00D040C4"/>
    <w:rsid w:val="00D05EF3"/>
    <w:rsid w:val="00D41902"/>
    <w:rsid w:val="00D436D3"/>
    <w:rsid w:val="00D44025"/>
    <w:rsid w:val="00D57C84"/>
    <w:rsid w:val="00D6057D"/>
    <w:rsid w:val="00D71F05"/>
    <w:rsid w:val="00D84576"/>
    <w:rsid w:val="00D91EB3"/>
    <w:rsid w:val="00DA1399"/>
    <w:rsid w:val="00DA24C6"/>
    <w:rsid w:val="00DA4D7B"/>
    <w:rsid w:val="00DB0CD3"/>
    <w:rsid w:val="00DE264A"/>
    <w:rsid w:val="00E02D18"/>
    <w:rsid w:val="00E041E7"/>
    <w:rsid w:val="00E23CA1"/>
    <w:rsid w:val="00E409A8"/>
    <w:rsid w:val="00E50C12"/>
    <w:rsid w:val="00E65B91"/>
    <w:rsid w:val="00E7209D"/>
    <w:rsid w:val="00E77223"/>
    <w:rsid w:val="00E8528B"/>
    <w:rsid w:val="00E85B94"/>
    <w:rsid w:val="00E94CAC"/>
    <w:rsid w:val="00E978D0"/>
    <w:rsid w:val="00EA4613"/>
    <w:rsid w:val="00EA7F91"/>
    <w:rsid w:val="00EB1523"/>
    <w:rsid w:val="00EB2193"/>
    <w:rsid w:val="00EC0E49"/>
    <w:rsid w:val="00EE0131"/>
    <w:rsid w:val="00EE084B"/>
    <w:rsid w:val="00F155B2"/>
    <w:rsid w:val="00F20414"/>
    <w:rsid w:val="00F30C64"/>
    <w:rsid w:val="00F32CDB"/>
    <w:rsid w:val="00F33E35"/>
    <w:rsid w:val="00F63A70"/>
    <w:rsid w:val="00FA21D0"/>
    <w:rsid w:val="00FA56C6"/>
    <w:rsid w:val="00FA5F5F"/>
    <w:rsid w:val="00FB730C"/>
    <w:rsid w:val="00FC2695"/>
    <w:rsid w:val="00FC3E03"/>
    <w:rsid w:val="00FC3FC1"/>
    <w:rsid w:val="00FC6759"/>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DEC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Normal Table" w:semiHidden="0" w:unhideWhenUsed="0"/>
    <w:lsdException w:name="Table Simple 1" w:uiPriority="0"/>
    <w:lsdException w:name="Table Subtle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Normal Table" w:semiHidden="0" w:unhideWhenUsed="0"/>
    <w:lsdException w:name="Table Simple 1" w:uiPriority="0"/>
    <w:lsdException w:name="Table Subtle 2" w:semiHidden="0" w:unhideWhenUsed="0"/>
    <w:lsdException w:name="Table Web 3" w:semiHidden="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Testosegnaposto">
    <w:name w:val="Placeholder Text"/>
    <w:basedOn w:val="Carpredefinitoparagrafo"/>
    <w:uiPriority w:val="99"/>
    <w:semiHidden/>
    <w:rsid w:val="004751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092421">
      <w:bodyDiv w:val="1"/>
      <w:marLeft w:val="0"/>
      <w:marRight w:val="0"/>
      <w:marTop w:val="0"/>
      <w:marBottom w:val="0"/>
      <w:divBdr>
        <w:top w:val="none" w:sz="0" w:space="0" w:color="auto"/>
        <w:left w:val="none" w:sz="0" w:space="0" w:color="auto"/>
        <w:bottom w:val="none" w:sz="0" w:space="0" w:color="auto"/>
        <w:right w:val="none" w:sz="0" w:space="0" w:color="auto"/>
      </w:divBdr>
      <w:divsChild>
        <w:div w:id="732778482">
          <w:marLeft w:val="0"/>
          <w:marRight w:val="0"/>
          <w:marTop w:val="0"/>
          <w:marBottom w:val="0"/>
          <w:divBdr>
            <w:top w:val="none" w:sz="0" w:space="0" w:color="auto"/>
            <w:left w:val="none" w:sz="0" w:space="0" w:color="auto"/>
            <w:bottom w:val="none" w:sz="0" w:space="0" w:color="auto"/>
            <w:right w:val="none" w:sz="0" w:space="0" w:color="auto"/>
          </w:divBdr>
        </w:div>
      </w:divsChild>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843">
      <w:bodyDiv w:val="1"/>
      <w:marLeft w:val="0"/>
      <w:marRight w:val="0"/>
      <w:marTop w:val="0"/>
      <w:marBottom w:val="0"/>
      <w:divBdr>
        <w:top w:val="none" w:sz="0" w:space="0" w:color="auto"/>
        <w:left w:val="none" w:sz="0" w:space="0" w:color="auto"/>
        <w:bottom w:val="none" w:sz="0" w:space="0" w:color="auto"/>
        <w:right w:val="none" w:sz="0" w:space="0" w:color="auto"/>
      </w:divBdr>
      <w:divsChild>
        <w:div w:id="751270118">
          <w:marLeft w:val="0"/>
          <w:marRight w:val="0"/>
          <w:marTop w:val="0"/>
          <w:marBottom w:val="0"/>
          <w:divBdr>
            <w:top w:val="none" w:sz="0" w:space="0" w:color="auto"/>
            <w:left w:val="none" w:sz="0" w:space="0" w:color="auto"/>
            <w:bottom w:val="none" w:sz="0" w:space="0" w:color="auto"/>
            <w:right w:val="none" w:sz="0" w:space="0" w:color="auto"/>
          </w:divBdr>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8370333">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11963">
      <w:bodyDiv w:val="1"/>
      <w:marLeft w:val="0"/>
      <w:marRight w:val="0"/>
      <w:marTop w:val="0"/>
      <w:marBottom w:val="0"/>
      <w:divBdr>
        <w:top w:val="none" w:sz="0" w:space="0" w:color="auto"/>
        <w:left w:val="none" w:sz="0" w:space="0" w:color="auto"/>
        <w:bottom w:val="none" w:sz="0" w:space="0" w:color="auto"/>
        <w:right w:val="none" w:sz="0" w:space="0" w:color="auto"/>
      </w:divBdr>
    </w:div>
    <w:div w:id="948508349">
      <w:bodyDiv w:val="1"/>
      <w:marLeft w:val="0"/>
      <w:marRight w:val="0"/>
      <w:marTop w:val="0"/>
      <w:marBottom w:val="0"/>
      <w:divBdr>
        <w:top w:val="none" w:sz="0" w:space="0" w:color="auto"/>
        <w:left w:val="none" w:sz="0" w:space="0" w:color="auto"/>
        <w:bottom w:val="none" w:sz="0" w:space="0" w:color="auto"/>
        <w:right w:val="none" w:sz="0" w:space="0" w:color="auto"/>
      </w:divBdr>
    </w:div>
    <w:div w:id="949892772">
      <w:bodyDiv w:val="1"/>
      <w:marLeft w:val="0"/>
      <w:marRight w:val="0"/>
      <w:marTop w:val="0"/>
      <w:marBottom w:val="0"/>
      <w:divBdr>
        <w:top w:val="none" w:sz="0" w:space="0" w:color="auto"/>
        <w:left w:val="none" w:sz="0" w:space="0" w:color="auto"/>
        <w:bottom w:val="none" w:sz="0" w:space="0" w:color="auto"/>
        <w:right w:val="none" w:sz="0" w:space="0" w:color="auto"/>
      </w:divBdr>
    </w:div>
    <w:div w:id="994990660">
      <w:bodyDiv w:val="1"/>
      <w:marLeft w:val="0"/>
      <w:marRight w:val="0"/>
      <w:marTop w:val="0"/>
      <w:marBottom w:val="0"/>
      <w:divBdr>
        <w:top w:val="none" w:sz="0" w:space="0" w:color="auto"/>
        <w:left w:val="none" w:sz="0" w:space="0" w:color="auto"/>
        <w:bottom w:val="none" w:sz="0" w:space="0" w:color="auto"/>
        <w:right w:val="none" w:sz="0" w:space="0" w:color="auto"/>
      </w:divBdr>
      <w:divsChild>
        <w:div w:id="1969385274">
          <w:marLeft w:val="0"/>
          <w:marRight w:val="0"/>
          <w:marTop w:val="0"/>
          <w:marBottom w:val="0"/>
          <w:divBdr>
            <w:top w:val="none" w:sz="0" w:space="0" w:color="auto"/>
            <w:left w:val="none" w:sz="0" w:space="0" w:color="auto"/>
            <w:bottom w:val="none" w:sz="0" w:space="0" w:color="auto"/>
            <w:right w:val="none" w:sz="0" w:space="0" w:color="auto"/>
          </w:divBdr>
        </w:div>
      </w:divsChild>
    </w:div>
    <w:div w:id="1201552478">
      <w:bodyDiv w:val="1"/>
      <w:marLeft w:val="0"/>
      <w:marRight w:val="0"/>
      <w:marTop w:val="0"/>
      <w:marBottom w:val="0"/>
      <w:divBdr>
        <w:top w:val="none" w:sz="0" w:space="0" w:color="auto"/>
        <w:left w:val="none" w:sz="0" w:space="0" w:color="auto"/>
        <w:bottom w:val="none" w:sz="0" w:space="0" w:color="auto"/>
        <w:right w:val="none" w:sz="0" w:space="0" w:color="auto"/>
      </w:divBdr>
    </w:div>
    <w:div w:id="1448889878">
      <w:bodyDiv w:val="1"/>
      <w:marLeft w:val="0"/>
      <w:marRight w:val="0"/>
      <w:marTop w:val="0"/>
      <w:marBottom w:val="0"/>
      <w:divBdr>
        <w:top w:val="none" w:sz="0" w:space="0" w:color="auto"/>
        <w:left w:val="none" w:sz="0" w:space="0" w:color="auto"/>
        <w:bottom w:val="none" w:sz="0" w:space="0" w:color="auto"/>
        <w:right w:val="none" w:sz="0" w:space="0" w:color="auto"/>
      </w:divBdr>
    </w:div>
    <w:div w:id="1452360651">
      <w:bodyDiv w:val="1"/>
      <w:marLeft w:val="0"/>
      <w:marRight w:val="0"/>
      <w:marTop w:val="0"/>
      <w:marBottom w:val="0"/>
      <w:divBdr>
        <w:top w:val="none" w:sz="0" w:space="0" w:color="auto"/>
        <w:left w:val="none" w:sz="0" w:space="0" w:color="auto"/>
        <w:bottom w:val="none" w:sz="0" w:space="0" w:color="auto"/>
        <w:right w:val="none" w:sz="0" w:space="0" w:color="auto"/>
      </w:divBdr>
    </w:div>
    <w:div w:id="1618443422">
      <w:bodyDiv w:val="1"/>
      <w:marLeft w:val="0"/>
      <w:marRight w:val="0"/>
      <w:marTop w:val="0"/>
      <w:marBottom w:val="0"/>
      <w:divBdr>
        <w:top w:val="none" w:sz="0" w:space="0" w:color="auto"/>
        <w:left w:val="none" w:sz="0" w:space="0" w:color="auto"/>
        <w:bottom w:val="none" w:sz="0" w:space="0" w:color="auto"/>
        <w:right w:val="none" w:sz="0" w:space="0" w:color="auto"/>
      </w:divBdr>
      <w:divsChild>
        <w:div w:id="4957666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020532">
      <w:bodyDiv w:val="1"/>
      <w:marLeft w:val="0"/>
      <w:marRight w:val="0"/>
      <w:marTop w:val="0"/>
      <w:marBottom w:val="0"/>
      <w:divBdr>
        <w:top w:val="none" w:sz="0" w:space="0" w:color="auto"/>
        <w:left w:val="none" w:sz="0" w:space="0" w:color="auto"/>
        <w:bottom w:val="none" w:sz="0" w:space="0" w:color="auto"/>
        <w:right w:val="none" w:sz="0" w:space="0" w:color="auto"/>
      </w:divBdr>
      <w:divsChild>
        <w:div w:id="1932086644">
          <w:marLeft w:val="0"/>
          <w:marRight w:val="0"/>
          <w:marTop w:val="0"/>
          <w:marBottom w:val="0"/>
          <w:divBdr>
            <w:top w:val="none" w:sz="0" w:space="0" w:color="auto"/>
            <w:left w:val="none" w:sz="0" w:space="0" w:color="auto"/>
            <w:bottom w:val="none" w:sz="0" w:space="0" w:color="auto"/>
            <w:right w:val="none" w:sz="0" w:space="0" w:color="auto"/>
          </w:divBdr>
        </w:div>
      </w:divsChild>
    </w:div>
    <w:div w:id="202185392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4EC8D-C284-4652-AF53-D90B5BDEA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3392</Words>
  <Characters>19339</Characters>
  <Application>Microsoft Office Word</Application>
  <DocSecurity>0</DocSecurity>
  <Lines>161</Lines>
  <Paragraphs>45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2019-03-13T14:16:00Z</dcterms:created>
  <dcterms:modified xsi:type="dcterms:W3CDTF">2019-04-01T13:28:00Z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