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64B352E4" w14:textId="77777777">
        <w:trPr>
          <w:trHeight w:val="852"/>
          <w:jc w:val="center"/>
        </w:trPr>
        <w:tc>
          <w:tcPr>
            <w:tcW w:w="6946" w:type="dxa"/>
            <w:vMerge w:val="restart"/>
            <w:tcBorders>
              <w:right w:val="single" w:sz="4" w:space="0" w:color="auto"/>
            </w:tcBorders>
          </w:tcPr>
          <w:p w14:paraId="0E9F31D1"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4DC099B0" wp14:editId="70D4D405">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0C46DF71" w14:textId="7E31E51C" w:rsidR="000A03B2" w:rsidRPr="00B57B36" w:rsidRDefault="00A76EFC" w:rsidP="00BB2426">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BB2426">
              <w:rPr>
                <w:rFonts w:cs="Arial"/>
                <w:b/>
                <w:bCs/>
                <w:i/>
                <w:iCs/>
                <w:color w:val="000066"/>
                <w:sz w:val="22"/>
                <w:szCs w:val="22"/>
                <w:lang w:eastAsia="it-IT"/>
              </w:rPr>
              <w:t>3</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14:paraId="15F6B497"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347AC3B9" w14:textId="77777777" w:rsidR="000A03B2" w:rsidRPr="00B57B36" w:rsidRDefault="000A03B2" w:rsidP="00CD5FE2">
            <w:pPr>
              <w:jc w:val="right"/>
            </w:pPr>
            <w:r w:rsidRPr="00B57B36">
              <w:rPr>
                <w:noProof/>
                <w:lang w:val="it-IT" w:eastAsia="it-IT"/>
              </w:rPr>
              <w:drawing>
                <wp:inline distT="0" distB="0" distL="0" distR="0" wp14:anchorId="2FD6B0EA" wp14:editId="5A4DC677">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160F302D" w14:textId="77777777">
        <w:trPr>
          <w:trHeight w:val="567"/>
          <w:jc w:val="center"/>
        </w:trPr>
        <w:tc>
          <w:tcPr>
            <w:tcW w:w="6946" w:type="dxa"/>
            <w:vMerge/>
            <w:tcBorders>
              <w:right w:val="single" w:sz="4" w:space="0" w:color="auto"/>
            </w:tcBorders>
          </w:tcPr>
          <w:p w14:paraId="4E7FE7FE"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1BF3DC15"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4EDF2D"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6DD4C179" w14:textId="77777777"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14:paraId="034440BE" w14:textId="77777777">
        <w:trPr>
          <w:trHeight w:val="68"/>
          <w:jc w:val="center"/>
        </w:trPr>
        <w:tc>
          <w:tcPr>
            <w:tcW w:w="8789" w:type="dxa"/>
            <w:gridSpan w:val="2"/>
          </w:tcPr>
          <w:p w14:paraId="5FB7F381" w14:textId="77777777" w:rsidR="00300E56" w:rsidRPr="006F0401" w:rsidRDefault="00300E56" w:rsidP="003365E3">
            <w:pPr>
              <w:ind w:left="-107"/>
              <w:rPr>
                <w:lang w:val="it-IT"/>
              </w:rPr>
            </w:pPr>
            <w:r w:rsidRPr="006F0401">
              <w:rPr>
                <w:rFonts w:ascii="Tahoma" w:hAnsi="Tahoma" w:cs="Tahoma"/>
                <w:iCs/>
                <w:color w:val="333333"/>
                <w:sz w:val="14"/>
                <w:szCs w:val="14"/>
                <w:lang w:val="it-IT" w:eastAsia="it-IT"/>
              </w:rPr>
              <w:t xml:space="preserve">Guest </w:t>
            </w:r>
            <w:proofErr w:type="spellStart"/>
            <w:r w:rsidRPr="006F0401">
              <w:rPr>
                <w:rFonts w:ascii="Tahoma" w:hAnsi="Tahoma" w:cs="Tahoma"/>
                <w:iCs/>
                <w:color w:val="333333"/>
                <w:sz w:val="14"/>
                <w:szCs w:val="14"/>
                <w:lang w:val="it-IT" w:eastAsia="it-IT"/>
              </w:rPr>
              <w:t>Editors</w:t>
            </w:r>
            <w:proofErr w:type="spellEnd"/>
            <w:r w:rsidRPr="006F0401">
              <w:rPr>
                <w:rFonts w:ascii="Tahoma" w:hAnsi="Tahoma" w:cs="Tahoma"/>
                <w:iCs/>
                <w:color w:val="333333"/>
                <w:sz w:val="14"/>
                <w:szCs w:val="14"/>
                <w:lang w:val="it-IT" w:eastAsia="it-IT"/>
              </w:rPr>
              <w:t>:</w:t>
            </w:r>
            <w:r w:rsidR="00904C62" w:rsidRPr="006F0401">
              <w:rPr>
                <w:rFonts w:ascii="Tahoma" w:hAnsi="Tahoma" w:cs="Tahoma"/>
                <w:iCs/>
                <w:color w:val="333333"/>
                <w:sz w:val="14"/>
                <w:szCs w:val="14"/>
                <w:lang w:val="it-IT" w:eastAsia="it-IT"/>
              </w:rPr>
              <w:t xml:space="preserve"> </w:t>
            </w:r>
            <w:r w:rsidR="002A1EB1" w:rsidRPr="006F0401">
              <w:rPr>
                <w:rFonts w:ascii="Tahoma" w:hAnsi="Tahoma" w:cs="Tahoma"/>
                <w:color w:val="0D0D0D" w:themeColor="text1" w:themeTint="F2"/>
                <w:sz w:val="14"/>
                <w:szCs w:val="14"/>
                <w:lang w:val="it-IT"/>
              </w:rPr>
              <w:t xml:space="preserve">Andrea D’Anna, </w:t>
            </w:r>
            <w:r w:rsidR="006F0401" w:rsidRPr="006F0401">
              <w:rPr>
                <w:rFonts w:ascii="Tahoma" w:hAnsi="Tahoma" w:cs="Tahoma"/>
                <w:bCs/>
                <w:color w:val="0D0D0D" w:themeColor="text1" w:themeTint="F2"/>
                <w:sz w:val="14"/>
                <w:szCs w:val="14"/>
                <w:lang w:val="it-IT"/>
              </w:rPr>
              <w:t xml:space="preserve">Paolo </w:t>
            </w:r>
            <w:proofErr w:type="spellStart"/>
            <w:r w:rsidR="006F0401" w:rsidRPr="006F0401">
              <w:rPr>
                <w:rFonts w:ascii="Tahoma" w:hAnsi="Tahoma" w:cs="Tahoma"/>
                <w:bCs/>
                <w:color w:val="0D0D0D" w:themeColor="text1" w:themeTint="F2"/>
                <w:sz w:val="14"/>
                <w:szCs w:val="14"/>
                <w:lang w:val="it-IT"/>
              </w:rPr>
              <w:t>Ciambelli</w:t>
            </w:r>
            <w:proofErr w:type="spellEnd"/>
            <w:r w:rsidR="006F0401" w:rsidRPr="006F0401">
              <w:rPr>
                <w:rFonts w:ascii="Tahoma" w:hAnsi="Tahoma" w:cs="Tahoma"/>
                <w:bCs/>
                <w:color w:val="0D0D0D" w:themeColor="text1" w:themeTint="F2"/>
                <w:sz w:val="14"/>
                <w:szCs w:val="14"/>
                <w:lang w:val="it-IT"/>
              </w:rPr>
              <w:t xml:space="preserve">, Carmelo </w:t>
            </w:r>
            <w:proofErr w:type="spellStart"/>
            <w:r w:rsidR="006F0401" w:rsidRPr="006F0401">
              <w:rPr>
                <w:rFonts w:ascii="Tahoma" w:hAnsi="Tahoma" w:cs="Tahoma"/>
                <w:bCs/>
                <w:color w:val="0D0D0D" w:themeColor="text1" w:themeTint="F2"/>
                <w:sz w:val="14"/>
                <w:szCs w:val="14"/>
                <w:lang w:val="it-IT"/>
              </w:rPr>
              <w:t>Sunseri</w:t>
            </w:r>
            <w:proofErr w:type="spellEnd"/>
          </w:p>
          <w:p w14:paraId="2F058ECE" w14:textId="443DA909" w:rsidR="000A03B2" w:rsidRPr="00B57B36" w:rsidRDefault="00FA5F5F" w:rsidP="00BB2426">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2A1EB1">
              <w:rPr>
                <w:rFonts w:ascii="Tahoma" w:hAnsi="Tahoma" w:cs="Tahoma"/>
                <w:sz w:val="14"/>
                <w:szCs w:val="14"/>
              </w:rPr>
              <w:t>7</w:t>
            </w:r>
            <w:r w:rsidR="00BB2426">
              <w:rPr>
                <w:rFonts w:ascii="Tahoma" w:hAnsi="Tahoma" w:cs="Tahoma"/>
                <w:sz w:val="14"/>
                <w:szCs w:val="14"/>
              </w:rPr>
              <w:t>0</w:t>
            </w:r>
            <w:r w:rsidR="008D32B9" w:rsidRPr="00131FAB">
              <w:rPr>
                <w:rFonts w:ascii="Tahoma" w:hAnsi="Tahoma" w:cs="Tahoma"/>
                <w:sz w:val="14"/>
                <w:szCs w:val="14"/>
              </w:rPr>
              <w:t>-</w:t>
            </w:r>
            <w:r w:rsidR="00131FAB" w:rsidRPr="00131FAB">
              <w:rPr>
                <w:rFonts w:ascii="Tahoma" w:hAnsi="Tahoma" w:cs="Tahoma"/>
                <w:sz w:val="14"/>
                <w:szCs w:val="14"/>
              </w:rPr>
              <w:t>9</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6C746C92" w14:textId="77777777"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14:paraId="49761C0B" w14:textId="468A6664" w:rsidR="00BA7FC8" w:rsidRPr="00216FB5" w:rsidRDefault="00BA7FC8" w:rsidP="00BA7FC8">
      <w:pPr>
        <w:tabs>
          <w:tab w:val="clear" w:pos="7100"/>
        </w:tabs>
        <w:suppressAutoHyphens/>
        <w:spacing w:before="480" w:after="120"/>
        <w:jc w:val="center"/>
        <w:outlineLvl w:val="0"/>
        <w:rPr>
          <w:sz w:val="32"/>
        </w:rPr>
      </w:pPr>
      <w:r w:rsidRPr="00216FB5">
        <w:rPr>
          <w:sz w:val="32"/>
        </w:rPr>
        <w:lastRenderedPageBreak/>
        <w:t>Study of the C</w:t>
      </w:r>
      <w:r w:rsidR="00BD6D4E">
        <w:rPr>
          <w:sz w:val="32"/>
        </w:rPr>
        <w:t xml:space="preserve">arbonyl Sulphide </w:t>
      </w:r>
      <w:r w:rsidRPr="00216FB5">
        <w:rPr>
          <w:sz w:val="32"/>
        </w:rPr>
        <w:t>Hydrolysis Reaction in Liquid Phase</w:t>
      </w:r>
    </w:p>
    <w:p w14:paraId="531EBE44" w14:textId="77777777" w:rsidR="00BA7FC8" w:rsidRPr="00216FB5" w:rsidRDefault="00BA7FC8" w:rsidP="00BA7FC8">
      <w:pPr>
        <w:keepNext/>
        <w:suppressAutoHyphens/>
        <w:spacing w:after="120"/>
        <w:rPr>
          <w:noProof/>
          <w:sz w:val="24"/>
          <w:lang w:val="it-IT"/>
        </w:rPr>
      </w:pPr>
      <w:r w:rsidRPr="00216FB5">
        <w:rPr>
          <w:noProof/>
          <w:sz w:val="24"/>
          <w:lang w:val="it-IT"/>
        </w:rPr>
        <w:t>Vincenzo Palma</w:t>
      </w:r>
      <w:r w:rsidRPr="00216FB5">
        <w:rPr>
          <w:noProof/>
          <w:sz w:val="24"/>
          <w:vertAlign w:val="superscript"/>
          <w:lang w:val="it-IT"/>
        </w:rPr>
        <w:t>a</w:t>
      </w:r>
      <w:r w:rsidRPr="00216FB5">
        <w:rPr>
          <w:noProof/>
          <w:sz w:val="24"/>
          <w:lang w:val="it-IT"/>
        </w:rPr>
        <w:t>, Vincenzo Vaiano</w:t>
      </w:r>
      <w:r w:rsidRPr="00216FB5">
        <w:rPr>
          <w:noProof/>
          <w:sz w:val="24"/>
          <w:vertAlign w:val="superscript"/>
          <w:lang w:val="it-IT"/>
        </w:rPr>
        <w:t>a</w:t>
      </w:r>
      <w:r w:rsidRPr="00216FB5">
        <w:rPr>
          <w:noProof/>
          <w:sz w:val="24"/>
          <w:lang w:val="it-IT"/>
        </w:rPr>
        <w:t>, Daniela Barba</w:t>
      </w:r>
      <w:r w:rsidRPr="00216FB5">
        <w:rPr>
          <w:noProof/>
          <w:sz w:val="24"/>
          <w:vertAlign w:val="superscript"/>
          <w:lang w:val="it-IT"/>
        </w:rPr>
        <w:t>a,*</w:t>
      </w:r>
      <w:r w:rsidRPr="00216FB5">
        <w:rPr>
          <w:noProof/>
          <w:sz w:val="24"/>
          <w:lang w:val="it-IT"/>
        </w:rPr>
        <w:t>, Michele Colozzi</w:t>
      </w:r>
      <w:r w:rsidRPr="00216FB5">
        <w:rPr>
          <w:noProof/>
          <w:sz w:val="24"/>
          <w:vertAlign w:val="superscript"/>
          <w:lang w:val="it-IT"/>
        </w:rPr>
        <w:t>b</w:t>
      </w:r>
      <w:r w:rsidRPr="00216FB5">
        <w:rPr>
          <w:noProof/>
          <w:sz w:val="24"/>
          <w:lang w:val="it-IT"/>
        </w:rPr>
        <w:t>, Emma Palo</w:t>
      </w:r>
      <w:r w:rsidRPr="00216FB5">
        <w:rPr>
          <w:noProof/>
          <w:sz w:val="24"/>
          <w:vertAlign w:val="superscript"/>
          <w:lang w:val="it-IT"/>
        </w:rPr>
        <w:t>b</w:t>
      </w:r>
      <w:r w:rsidRPr="00216FB5">
        <w:rPr>
          <w:noProof/>
          <w:sz w:val="24"/>
          <w:lang w:val="it-IT"/>
        </w:rPr>
        <w:t>, Lucia Barbato</w:t>
      </w:r>
      <w:r w:rsidRPr="00216FB5">
        <w:rPr>
          <w:noProof/>
          <w:sz w:val="24"/>
          <w:vertAlign w:val="superscript"/>
          <w:lang w:val="it-IT"/>
        </w:rPr>
        <w:t>b</w:t>
      </w:r>
      <w:r w:rsidRPr="00216FB5">
        <w:rPr>
          <w:noProof/>
          <w:sz w:val="24"/>
          <w:lang w:val="it-IT"/>
        </w:rPr>
        <w:t>, Simona Cortese</w:t>
      </w:r>
      <w:r w:rsidRPr="00216FB5">
        <w:rPr>
          <w:noProof/>
          <w:sz w:val="24"/>
          <w:vertAlign w:val="superscript"/>
          <w:lang w:val="it-IT"/>
        </w:rPr>
        <w:t>b</w:t>
      </w:r>
      <w:r w:rsidR="00CA3932">
        <w:rPr>
          <w:noProof/>
          <w:sz w:val="24"/>
          <w:vertAlign w:val="superscript"/>
          <w:lang w:val="it-IT"/>
        </w:rPr>
        <w:t>,</w:t>
      </w:r>
      <w:r w:rsidR="00CA3932" w:rsidRPr="00CA3932">
        <w:rPr>
          <w:noProof/>
          <w:sz w:val="24"/>
          <w:lang w:val="it-IT"/>
        </w:rPr>
        <w:t xml:space="preserve"> </w:t>
      </w:r>
      <w:r w:rsidR="00CA3932">
        <w:rPr>
          <w:noProof/>
          <w:sz w:val="24"/>
          <w:lang w:val="it-IT"/>
        </w:rPr>
        <w:t>Marino Miccio</w:t>
      </w:r>
      <w:r w:rsidR="00CA3932" w:rsidRPr="00216FB5">
        <w:rPr>
          <w:noProof/>
          <w:sz w:val="24"/>
          <w:vertAlign w:val="superscript"/>
          <w:lang w:val="it-IT"/>
        </w:rPr>
        <w:t>b</w:t>
      </w:r>
    </w:p>
    <w:p w14:paraId="5D762299" w14:textId="77777777" w:rsidR="00BA7FC8" w:rsidRPr="00216FB5" w:rsidRDefault="00BA7FC8" w:rsidP="00BB2426">
      <w:pPr>
        <w:pStyle w:val="CETAddress"/>
        <w:rPr>
          <w:lang w:val="it-IT"/>
        </w:rPr>
      </w:pPr>
      <w:proofErr w:type="spellStart"/>
      <w:r w:rsidRPr="00216FB5">
        <w:rPr>
          <w:vertAlign w:val="superscript"/>
          <w:lang w:val="it-IT"/>
        </w:rPr>
        <w:t>a</w:t>
      </w:r>
      <w:r w:rsidRPr="00216FB5">
        <w:rPr>
          <w:lang w:val="it-IT"/>
        </w:rPr>
        <w:t>University</w:t>
      </w:r>
      <w:proofErr w:type="spellEnd"/>
      <w:r w:rsidRPr="00216FB5">
        <w:rPr>
          <w:lang w:val="it-IT"/>
        </w:rPr>
        <w:t xml:space="preserve"> of Salerno, </w:t>
      </w:r>
      <w:proofErr w:type="spellStart"/>
      <w:r w:rsidRPr="00216FB5">
        <w:rPr>
          <w:lang w:val="it-IT"/>
        </w:rPr>
        <w:t>Department</w:t>
      </w:r>
      <w:proofErr w:type="spellEnd"/>
      <w:r w:rsidRPr="00216FB5">
        <w:rPr>
          <w:lang w:val="it-IT"/>
        </w:rPr>
        <w:t xml:space="preserve"> of Industrial </w:t>
      </w:r>
      <w:proofErr w:type="spellStart"/>
      <w:r w:rsidRPr="00216FB5">
        <w:rPr>
          <w:lang w:val="it-IT"/>
        </w:rPr>
        <w:t>Engineering</w:t>
      </w:r>
      <w:proofErr w:type="spellEnd"/>
      <w:r w:rsidRPr="00216FB5">
        <w:rPr>
          <w:lang w:val="it-IT"/>
        </w:rPr>
        <w:t xml:space="preserve">, via Giovanni Paolo II, 132, Fisciano (SA), </w:t>
      </w:r>
      <w:proofErr w:type="spellStart"/>
      <w:r w:rsidRPr="00216FB5">
        <w:rPr>
          <w:lang w:val="it-IT"/>
        </w:rPr>
        <w:t>Italy</w:t>
      </w:r>
      <w:proofErr w:type="spellEnd"/>
    </w:p>
    <w:p w14:paraId="181A3701" w14:textId="77777777" w:rsidR="00BA7FC8" w:rsidRPr="00216FB5" w:rsidRDefault="00BA7FC8" w:rsidP="00BB2426">
      <w:pPr>
        <w:pStyle w:val="CETAddress"/>
        <w:rPr>
          <w:lang w:val="it-IT"/>
        </w:rPr>
      </w:pPr>
      <w:proofErr w:type="spellStart"/>
      <w:r w:rsidRPr="00216FB5">
        <w:rPr>
          <w:vertAlign w:val="superscript"/>
          <w:lang w:val="it-IT"/>
        </w:rPr>
        <w:t>b</w:t>
      </w:r>
      <w:r w:rsidRPr="00216FB5">
        <w:rPr>
          <w:lang w:val="it-IT"/>
        </w:rPr>
        <w:t>KT</w:t>
      </w:r>
      <w:proofErr w:type="spellEnd"/>
      <w:r w:rsidRPr="00216FB5">
        <w:rPr>
          <w:lang w:val="it-IT"/>
        </w:rPr>
        <w:t xml:space="preserve"> </w:t>
      </w:r>
      <w:proofErr w:type="spellStart"/>
      <w:r w:rsidRPr="00216FB5">
        <w:rPr>
          <w:lang w:val="it-IT"/>
        </w:rPr>
        <w:t>kinetics</w:t>
      </w:r>
      <w:proofErr w:type="spellEnd"/>
      <w:r w:rsidRPr="00216FB5">
        <w:rPr>
          <w:lang w:val="it-IT"/>
        </w:rPr>
        <w:t xml:space="preserve"> Technology, Viale Castello Della Magliana, 27, 00148, Rome, </w:t>
      </w:r>
      <w:proofErr w:type="spellStart"/>
      <w:r w:rsidRPr="00216FB5">
        <w:rPr>
          <w:lang w:val="it-IT"/>
        </w:rPr>
        <w:t>Italy</w:t>
      </w:r>
      <w:proofErr w:type="spellEnd"/>
    </w:p>
    <w:p w14:paraId="40BCD8A9" w14:textId="77777777" w:rsidR="00BA7FC8" w:rsidRPr="00426F72" w:rsidRDefault="00BA7FC8" w:rsidP="00BB2426">
      <w:pPr>
        <w:pStyle w:val="CETAddress"/>
      </w:pPr>
      <w:r w:rsidRPr="00216FB5">
        <w:t>dbarba</w:t>
      </w:r>
      <w:r w:rsidRPr="00216FB5">
        <w:rPr>
          <w:rFonts w:cs="Arial"/>
        </w:rPr>
        <w:t>@</w:t>
      </w:r>
      <w:r w:rsidRPr="00216FB5">
        <w:t>unisa.it</w:t>
      </w:r>
    </w:p>
    <w:p w14:paraId="0AAA7D1C" w14:textId="476D4030" w:rsidR="00BA7FC8" w:rsidRPr="00216FB5" w:rsidRDefault="00BA7FC8" w:rsidP="00BD6D4E">
      <w:pPr>
        <w:spacing w:before="120"/>
      </w:pPr>
      <w:r w:rsidRPr="00216FB5">
        <w:t xml:space="preserve">The hydrolysis of carbonyl </w:t>
      </w:r>
      <w:proofErr w:type="spellStart"/>
      <w:r w:rsidRPr="00216FB5">
        <w:t>sulfide</w:t>
      </w:r>
      <w:proofErr w:type="spellEnd"/>
      <w:r w:rsidRPr="00216FB5">
        <w:t xml:space="preserve"> </w:t>
      </w:r>
      <w:r w:rsidR="003E6450">
        <w:t xml:space="preserve">(COS) </w:t>
      </w:r>
      <w:r w:rsidRPr="00216FB5">
        <w:t>was studied in a gas</w:t>
      </w:r>
      <w:r w:rsidRPr="00216FB5">
        <w:rPr>
          <w:rFonts w:ascii="Cambria Math" w:hAnsi="Cambria Math" w:cs="Cambria Math"/>
        </w:rPr>
        <w:t>‐</w:t>
      </w:r>
      <w:r w:rsidRPr="00216FB5">
        <w:t xml:space="preserve">liquid reactor at room temperature and ambient pressure in presence of </w:t>
      </w:r>
      <w:proofErr w:type="spellStart"/>
      <w:r w:rsidRPr="00216FB5">
        <w:t>alkanolamines</w:t>
      </w:r>
      <w:proofErr w:type="spellEnd"/>
      <w:r w:rsidRPr="00216FB5">
        <w:t xml:space="preserve">, such as </w:t>
      </w:r>
      <w:proofErr w:type="spellStart"/>
      <w:r w:rsidRPr="00216FB5">
        <w:t>monoethanolamine</w:t>
      </w:r>
      <w:proofErr w:type="spellEnd"/>
      <w:r w:rsidRPr="00216FB5">
        <w:t xml:space="preserve"> (MEA), </w:t>
      </w:r>
      <w:proofErr w:type="spellStart"/>
      <w:r w:rsidRPr="00216FB5">
        <w:t>diethanolamine</w:t>
      </w:r>
      <w:proofErr w:type="spellEnd"/>
      <w:r w:rsidRPr="00216FB5">
        <w:t xml:space="preserve"> (DEA), </w:t>
      </w:r>
      <w:proofErr w:type="spellStart"/>
      <w:r w:rsidRPr="00216FB5">
        <w:t>methyldiethanolamine</w:t>
      </w:r>
      <w:proofErr w:type="spellEnd"/>
      <w:r w:rsidRPr="00216FB5">
        <w:t xml:space="preserve"> (MDEA) and </w:t>
      </w:r>
      <w:proofErr w:type="spellStart"/>
      <w:r w:rsidRPr="00216FB5">
        <w:t>diisopropylamine</w:t>
      </w:r>
      <w:proofErr w:type="spellEnd"/>
      <w:r w:rsidRPr="00216FB5">
        <w:t xml:space="preserve"> (DIPA).</w:t>
      </w:r>
      <w:r w:rsidR="00E131D9">
        <w:t xml:space="preserve"> </w:t>
      </w:r>
      <w:r w:rsidRPr="00216FB5">
        <w:t>The activity and stability of the different amines was investigated at fixed COS inlet concentration and reaction volume. The highe</w:t>
      </w:r>
      <w:r w:rsidR="00E131D9">
        <w:t>st</w:t>
      </w:r>
      <w:r w:rsidRPr="00216FB5">
        <w:t xml:space="preserve"> removal efficiency of COS was obtained in presence of DEA aqueous solution (25 %), while the lowest COS conversion was observed with the tertiary amine MDEA (&lt; 10 %). </w:t>
      </w:r>
      <w:r w:rsidR="00D707AE">
        <w:t>A</w:t>
      </w:r>
      <w:r w:rsidR="00D707AE" w:rsidRPr="00216FB5">
        <w:t xml:space="preserve"> </w:t>
      </w:r>
      <w:r w:rsidR="00A0579E">
        <w:t>greater</w:t>
      </w:r>
      <w:r w:rsidRPr="00216FB5">
        <w:t xml:space="preserve"> COS removal was obtained in presence of the </w:t>
      </w:r>
      <w:r w:rsidR="00E131D9" w:rsidRPr="00216FB5">
        <w:t>highe</w:t>
      </w:r>
      <w:r w:rsidR="00E131D9">
        <w:t>r</w:t>
      </w:r>
      <w:r w:rsidR="00E131D9" w:rsidRPr="00216FB5">
        <w:t xml:space="preserve"> </w:t>
      </w:r>
      <w:r w:rsidRPr="00216FB5">
        <w:t xml:space="preserve">reaction volume </w:t>
      </w:r>
      <w:r w:rsidR="00D707AE">
        <w:t>(400 cm</w:t>
      </w:r>
      <w:r w:rsidR="00D707AE" w:rsidRPr="00D707AE">
        <w:rPr>
          <w:vertAlign w:val="superscript"/>
        </w:rPr>
        <w:t>3</w:t>
      </w:r>
      <w:r w:rsidR="00D707AE">
        <w:t xml:space="preserve">) </w:t>
      </w:r>
      <w:r w:rsidRPr="00216FB5">
        <w:t>that was equal to 2</w:t>
      </w:r>
      <w:r w:rsidR="00633AE2">
        <w:t>5</w:t>
      </w:r>
      <w:r w:rsidRPr="00216FB5">
        <w:t xml:space="preserve"> % for DEA and 26 % for DIPA, respectively. Finally, the evaluation of the kinetic constant for the COS hydrolysis reaction with DEA was performed.</w:t>
      </w:r>
    </w:p>
    <w:p w14:paraId="498E5624" w14:textId="3C19DA6C" w:rsidR="00BA7FC8" w:rsidRPr="00BB2426" w:rsidRDefault="00BA7FC8" w:rsidP="00BB2426">
      <w:pPr>
        <w:pStyle w:val="CETHeading1"/>
      </w:pPr>
      <w:r w:rsidRPr="00BB2426">
        <w:t>Introduction</w:t>
      </w:r>
    </w:p>
    <w:p w14:paraId="3DBE4EFE" w14:textId="15426123" w:rsidR="00BA7FC8" w:rsidRDefault="007B318A" w:rsidP="00BA7FC8">
      <w:pPr>
        <w:rPr>
          <w:lang w:val="en-US"/>
        </w:rPr>
      </w:pPr>
      <w:r>
        <w:t>Carbonyl sulphide</w:t>
      </w:r>
      <w:r w:rsidR="00BA7FC8" w:rsidRPr="00216FB5">
        <w:t xml:space="preserve"> is an undesirable impurity in a variety of industrial gases. It is often present in minor amounts in petroleum refinery gases and in larger amounts in coal gasification product streams (</w:t>
      </w:r>
      <w:proofErr w:type="spellStart"/>
      <w:r w:rsidR="00BA7FC8" w:rsidRPr="00216FB5">
        <w:t>Xinxue</w:t>
      </w:r>
      <w:proofErr w:type="spellEnd"/>
      <w:r w:rsidR="00BA7FC8" w:rsidRPr="00216FB5">
        <w:t xml:space="preserve"> et al., 2005).</w:t>
      </w:r>
      <w:r w:rsidR="00E131D9">
        <w:t xml:space="preserve"> </w:t>
      </w:r>
      <w:r w:rsidR="00BA7FC8" w:rsidRPr="00216FB5">
        <w:t xml:space="preserve">In particular, COS and other </w:t>
      </w:r>
      <w:proofErr w:type="spellStart"/>
      <w:r w:rsidR="00BA7FC8" w:rsidRPr="00216FB5">
        <w:t>sulfur</w:t>
      </w:r>
      <w:proofErr w:type="spellEnd"/>
      <w:r w:rsidR="00BA7FC8" w:rsidRPr="00216FB5">
        <w:t xml:space="preserve"> compounds such as CS</w:t>
      </w:r>
      <w:r w:rsidR="00BA7FC8" w:rsidRPr="00216FB5">
        <w:rPr>
          <w:vertAlign w:val="subscript"/>
        </w:rPr>
        <w:t>2</w:t>
      </w:r>
      <w:r w:rsidR="00BA7FC8" w:rsidRPr="00216FB5">
        <w:t>, SO</w:t>
      </w:r>
      <w:r w:rsidR="00BA7FC8" w:rsidRPr="00216FB5">
        <w:rPr>
          <w:vertAlign w:val="subscript"/>
        </w:rPr>
        <w:t>2</w:t>
      </w:r>
      <w:r w:rsidR="00BA7FC8" w:rsidRPr="00216FB5">
        <w:t xml:space="preserve"> are produced in the thermal stage of the Claus process due to the simultaneous presence of hydrocarbons and </w:t>
      </w:r>
      <w:proofErr w:type="spellStart"/>
      <w:r w:rsidR="00BA7FC8" w:rsidRPr="00216FB5">
        <w:t>sulfur</w:t>
      </w:r>
      <w:proofErr w:type="spellEnd"/>
      <w:r w:rsidR="00BA7FC8" w:rsidRPr="00216FB5">
        <w:t xml:space="preserve"> compounds (</w:t>
      </w:r>
      <w:proofErr w:type="spellStart"/>
      <w:r w:rsidR="00BA7FC8" w:rsidRPr="00216FB5">
        <w:t>Manenti</w:t>
      </w:r>
      <w:proofErr w:type="spellEnd"/>
      <w:r w:rsidR="00BA7FC8" w:rsidRPr="00216FB5">
        <w:t xml:space="preserve"> et al., 2013). The complete removal of these compounds is strictly necessary due to the more stringent environmental regulations of the </w:t>
      </w:r>
      <w:proofErr w:type="spellStart"/>
      <w:r w:rsidR="00BA7FC8" w:rsidRPr="00216FB5">
        <w:t>sulfur</w:t>
      </w:r>
      <w:proofErr w:type="spellEnd"/>
      <w:r w:rsidR="00BA7FC8" w:rsidRPr="00216FB5">
        <w:t xml:space="preserve"> emission (Palma et al., 2018).</w:t>
      </w:r>
      <w:r w:rsidR="00E131D9">
        <w:t xml:space="preserve"> </w:t>
      </w:r>
      <w:r w:rsidR="00BA7FC8" w:rsidRPr="00216FB5">
        <w:t>The main processes developed for the removal of COS include hydrogenation, amine processes and gas-liquid phase hydrolysis (</w:t>
      </w:r>
      <w:proofErr w:type="spellStart"/>
      <w:r w:rsidR="00BA7FC8" w:rsidRPr="00216FB5">
        <w:t>Svoronos</w:t>
      </w:r>
      <w:proofErr w:type="spellEnd"/>
      <w:r w:rsidR="00BA7FC8" w:rsidRPr="00216FB5">
        <w:t xml:space="preserve"> et al., 2002).</w:t>
      </w:r>
      <w:r w:rsidR="00BA7FC8" w:rsidRPr="00216FB5">
        <w:rPr>
          <w:lang w:val="en-US"/>
        </w:rPr>
        <w:t xml:space="preserve"> </w:t>
      </w:r>
    </w:p>
    <w:p w14:paraId="4A5193FD" w14:textId="77777777" w:rsidR="007D5C14" w:rsidRDefault="00BA7FC8" w:rsidP="00BA7FC8">
      <w:r w:rsidRPr="00216FB5">
        <w:rPr>
          <w:lang w:val="en-US"/>
        </w:rPr>
        <w:t xml:space="preserve">In process industry, basic </w:t>
      </w:r>
      <w:proofErr w:type="spellStart"/>
      <w:r w:rsidRPr="00216FB5">
        <w:rPr>
          <w:lang w:val="en-US"/>
        </w:rPr>
        <w:t>alkanolamine</w:t>
      </w:r>
      <w:proofErr w:type="spellEnd"/>
      <w:r w:rsidRPr="00216FB5">
        <w:rPr>
          <w:lang w:val="en-US"/>
        </w:rPr>
        <w:t xml:space="preserve"> solutions are used frequently to remove acidic compounds such as H</w:t>
      </w:r>
      <w:r w:rsidRPr="00216FB5">
        <w:rPr>
          <w:vertAlign w:val="subscript"/>
          <w:lang w:val="en-US"/>
        </w:rPr>
        <w:t>2</w:t>
      </w:r>
      <w:r w:rsidRPr="00216FB5">
        <w:rPr>
          <w:lang w:val="en-US"/>
        </w:rPr>
        <w:t>S, COS, and CO</w:t>
      </w:r>
      <w:r w:rsidRPr="00216FB5">
        <w:rPr>
          <w:vertAlign w:val="subscript"/>
          <w:lang w:val="en-US"/>
        </w:rPr>
        <w:t>2</w:t>
      </w:r>
      <w:r w:rsidRPr="00216FB5">
        <w:rPr>
          <w:lang w:val="en-US"/>
        </w:rPr>
        <w:t xml:space="preserve"> (</w:t>
      </w:r>
      <w:proofErr w:type="spellStart"/>
      <w:r w:rsidRPr="00216FB5">
        <w:rPr>
          <w:lang w:val="en-US"/>
        </w:rPr>
        <w:t>Littel</w:t>
      </w:r>
      <w:proofErr w:type="spellEnd"/>
      <w:r w:rsidRPr="00216FB5">
        <w:rPr>
          <w:lang w:val="en-US"/>
        </w:rPr>
        <w:t xml:space="preserve"> et al., 1992).</w:t>
      </w:r>
      <w:r w:rsidRPr="00216FB5">
        <w:t xml:space="preserve"> The common absorbents are primary, secondary and tertiary </w:t>
      </w:r>
      <w:proofErr w:type="spellStart"/>
      <w:r w:rsidRPr="00216FB5">
        <w:t>alkanolamines</w:t>
      </w:r>
      <w:proofErr w:type="spellEnd"/>
      <w:r w:rsidRPr="00216FB5">
        <w:t xml:space="preserve"> (Ernst and Chen, 1988</w:t>
      </w:r>
      <w:r w:rsidR="0078225C">
        <w:t xml:space="preserve">, </w:t>
      </w:r>
      <w:proofErr w:type="spellStart"/>
      <w:r w:rsidR="0078225C" w:rsidRPr="00BA4A28">
        <w:t>Magné-Drisch</w:t>
      </w:r>
      <w:proofErr w:type="spellEnd"/>
      <w:r w:rsidR="0078225C">
        <w:t xml:space="preserve"> et al., 2016</w:t>
      </w:r>
      <w:r w:rsidRPr="00216FB5">
        <w:t xml:space="preserve">). In amine based processes, COS reacts readily with primary and secondary </w:t>
      </w:r>
      <w:proofErr w:type="spellStart"/>
      <w:r>
        <w:t>alkanol</w:t>
      </w:r>
      <w:r w:rsidRPr="00216FB5">
        <w:t>amines</w:t>
      </w:r>
      <w:proofErr w:type="spellEnd"/>
      <w:r w:rsidRPr="00216FB5">
        <w:t xml:space="preserve"> solvents to form stable </w:t>
      </w:r>
      <w:proofErr w:type="spellStart"/>
      <w:r w:rsidRPr="00216FB5">
        <w:t>thiocarbamates</w:t>
      </w:r>
      <w:proofErr w:type="spellEnd"/>
      <w:r w:rsidRPr="00216FB5">
        <w:t xml:space="preserve"> that are difficult to regenerate and may also contribute to operational problems that involve the decreasing of the plant life and also a reduction of the solution absorption capacity (Islam et al., 2010). </w:t>
      </w:r>
      <w:r w:rsidR="00E131D9">
        <w:t>However, t</w:t>
      </w:r>
      <w:r w:rsidRPr="00216FB5">
        <w:t xml:space="preserve">ertiary </w:t>
      </w:r>
      <w:proofErr w:type="spellStart"/>
      <w:r>
        <w:t>alkanol</w:t>
      </w:r>
      <w:r w:rsidRPr="00216FB5">
        <w:t>amines</w:t>
      </w:r>
      <w:proofErr w:type="spellEnd"/>
      <w:r w:rsidRPr="00216FB5">
        <w:t xml:space="preserve">, e.g. MDEA, do not form stable </w:t>
      </w:r>
      <w:proofErr w:type="spellStart"/>
      <w:r w:rsidRPr="00216FB5">
        <w:t>thiocarbamates</w:t>
      </w:r>
      <w:proofErr w:type="spellEnd"/>
      <w:r w:rsidRPr="00216FB5">
        <w:t xml:space="preserve">, as observed for primary and secondary </w:t>
      </w:r>
      <w:proofErr w:type="spellStart"/>
      <w:r>
        <w:t>alkanol</w:t>
      </w:r>
      <w:r w:rsidRPr="00216FB5">
        <w:t>amine</w:t>
      </w:r>
      <w:proofErr w:type="spellEnd"/>
      <w:r w:rsidRPr="00216FB5">
        <w:t xml:space="preserve">, due to the absence of the hydrogen atoms bounded to the nitrogen and has </w:t>
      </w:r>
      <w:r>
        <w:t xml:space="preserve">a </w:t>
      </w:r>
      <w:r w:rsidRPr="00216FB5">
        <w:t xml:space="preserve">low </w:t>
      </w:r>
      <w:proofErr w:type="spellStart"/>
      <w:r w:rsidRPr="00216FB5">
        <w:t>vapor</w:t>
      </w:r>
      <w:proofErr w:type="spellEnd"/>
      <w:r w:rsidRPr="00216FB5">
        <w:t xml:space="preserve"> pressure, high resistance to degradation and requires low energy absorption for the regeneration (</w:t>
      </w:r>
      <w:proofErr w:type="spellStart"/>
      <w:r w:rsidRPr="00216FB5">
        <w:t>Bassani</w:t>
      </w:r>
      <w:proofErr w:type="spellEnd"/>
      <w:r w:rsidRPr="00216FB5">
        <w:t xml:space="preserve"> et al., 2015).</w:t>
      </w:r>
      <w:r w:rsidR="005701F5">
        <w:t xml:space="preserve"> </w:t>
      </w:r>
      <w:r w:rsidR="0024592E">
        <w:t xml:space="preserve">Despite abundant literature, only few works address the absorption kinetics for COS in secondary and tertiary </w:t>
      </w:r>
      <w:proofErr w:type="spellStart"/>
      <w:r w:rsidR="0024592E">
        <w:t>alkanolamines</w:t>
      </w:r>
      <w:proofErr w:type="spellEnd"/>
      <w:r w:rsidR="00A250CD">
        <w:t xml:space="preserve"> (</w:t>
      </w:r>
      <w:proofErr w:type="spellStart"/>
      <w:r w:rsidR="00A250CD" w:rsidRPr="00A250CD">
        <w:t>Hinderaker</w:t>
      </w:r>
      <w:proofErr w:type="spellEnd"/>
      <w:r w:rsidR="007B702B">
        <w:t xml:space="preserve">, </w:t>
      </w:r>
      <w:r w:rsidR="00A250CD">
        <w:t>2000</w:t>
      </w:r>
      <w:r w:rsidR="000B6825">
        <w:t>, Little et al., 1992</w:t>
      </w:r>
      <w:r w:rsidR="00A250CD">
        <w:t>)</w:t>
      </w:r>
      <w:r w:rsidR="0024592E">
        <w:t xml:space="preserve">. </w:t>
      </w:r>
    </w:p>
    <w:p w14:paraId="0EA23EB5" w14:textId="36A73889" w:rsidR="00BA7FC8" w:rsidRDefault="00BA7FC8" w:rsidP="00BA7FC8">
      <w:r w:rsidRPr="00216FB5">
        <w:t>The aim of this work is to study the COS hydrolysis reaction</w:t>
      </w:r>
      <w:r w:rsidR="00AC184C">
        <w:t xml:space="preserve"> in liquid phase</w:t>
      </w:r>
      <w:r w:rsidRPr="00216FB5">
        <w:t xml:space="preserve"> in</w:t>
      </w:r>
      <w:r w:rsidR="00E131D9">
        <w:t xml:space="preserve"> </w:t>
      </w:r>
      <w:r w:rsidRPr="00216FB5">
        <w:t xml:space="preserve">presence of different </w:t>
      </w:r>
      <w:proofErr w:type="spellStart"/>
      <w:r>
        <w:t>alkanol</w:t>
      </w:r>
      <w:r w:rsidRPr="00216FB5">
        <w:t>amines</w:t>
      </w:r>
      <w:proofErr w:type="spellEnd"/>
      <w:r w:rsidRPr="00216FB5">
        <w:t xml:space="preserve"> aqueous solutions, in order to classify the best one in terms of removal efficiency of COS and low tendency to the deactivation.</w:t>
      </w:r>
    </w:p>
    <w:p w14:paraId="14579077" w14:textId="09975B79" w:rsidR="00BA7FC8" w:rsidRPr="00216FB5" w:rsidRDefault="00BA7FC8" w:rsidP="004C52CA">
      <w:pPr>
        <w:pStyle w:val="CETListbullets"/>
        <w:ind w:left="0" w:firstLine="0"/>
      </w:pPr>
      <w:r w:rsidRPr="00A40A2E">
        <w:t>The COS removal was quite low in presence of MDEA (&lt; 10 %)</w:t>
      </w:r>
      <w:r w:rsidR="004C52CA" w:rsidRPr="00A40A2E">
        <w:t xml:space="preserve"> </w:t>
      </w:r>
      <w:r w:rsidRPr="00A40A2E">
        <w:t xml:space="preserve">with respect to the performance obtained with the other </w:t>
      </w:r>
      <w:proofErr w:type="spellStart"/>
      <w:r w:rsidRPr="00A40A2E">
        <w:t>alkanolamines</w:t>
      </w:r>
      <w:proofErr w:type="spellEnd"/>
      <w:r w:rsidRPr="00A40A2E">
        <w:t xml:space="preserve"> (</w:t>
      </w:r>
      <w:r w:rsidRPr="00A40A2E">
        <w:rPr>
          <w:rFonts w:cs="Arial"/>
        </w:rPr>
        <w:t xml:space="preserve">~ 30 %). </w:t>
      </w:r>
      <w:r w:rsidRPr="00A40A2E">
        <w:t>By varying the reaction volume of DEA and DIPA, a greater stability of time on stream was observed in presence of DEA solution.</w:t>
      </w:r>
    </w:p>
    <w:p w14:paraId="7E4DD854" w14:textId="40792DEE" w:rsidR="00BA7FC8" w:rsidRPr="00216FB5" w:rsidRDefault="00BA7FC8" w:rsidP="00BB2426">
      <w:pPr>
        <w:pStyle w:val="CETHeading1"/>
      </w:pPr>
      <w:r w:rsidRPr="00216FB5">
        <w:lastRenderedPageBreak/>
        <w:t>Experimental</w:t>
      </w:r>
    </w:p>
    <w:p w14:paraId="6CD51A52" w14:textId="76CD25CC" w:rsidR="00BD6D4E" w:rsidRDefault="00BD6D4E" w:rsidP="00BA7FC8">
      <w:r w:rsidRPr="00216FB5">
        <w:t xml:space="preserve">At this scope, it was designed and assembled a laboratory plant for the conduction of the experimental tests. The preliminary tests were carried out at fixed temperature (20 °C) in order to perform a screening of different types of </w:t>
      </w:r>
      <w:proofErr w:type="spellStart"/>
      <w:r>
        <w:t>alkanol</w:t>
      </w:r>
      <w:r w:rsidRPr="00216FB5">
        <w:t>amines</w:t>
      </w:r>
      <w:proofErr w:type="spellEnd"/>
      <w:r w:rsidRPr="00216FB5">
        <w:t xml:space="preserve"> (MEA, DEA, MDEA, DIPA). The influence of the </w:t>
      </w:r>
      <w:proofErr w:type="spellStart"/>
      <w:r>
        <w:t>alkanol</w:t>
      </w:r>
      <w:r w:rsidRPr="00216FB5">
        <w:t>amine</w:t>
      </w:r>
      <w:proofErr w:type="spellEnd"/>
      <w:r w:rsidRPr="00216FB5">
        <w:t xml:space="preserve"> solution volume and COS inlet concentration was also assessed. </w:t>
      </w:r>
    </w:p>
    <w:p w14:paraId="0B710A13" w14:textId="77777777" w:rsidR="00BA7FC8" w:rsidRPr="00216FB5" w:rsidRDefault="00BA7FC8" w:rsidP="00BA7FC8">
      <w:r w:rsidRPr="00216FB5">
        <w:t>The laboratory apparatus is schematized in Figure 1.</w:t>
      </w:r>
    </w:p>
    <w:p w14:paraId="0A9C429D" w14:textId="77777777" w:rsidR="00BA7FC8" w:rsidRPr="00216FB5" w:rsidRDefault="00BA7FC8" w:rsidP="00BA7FC8">
      <w:r w:rsidRPr="00216FB5">
        <w:rPr>
          <w:noProof/>
          <w:lang w:val="it-IT" w:eastAsia="it-IT"/>
        </w:rPr>
        <w:drawing>
          <wp:inline distT="0" distB="0" distL="0" distR="0" wp14:anchorId="74C3ABAD" wp14:editId="119E13FF">
            <wp:extent cx="3086100" cy="1754339"/>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086185" cy="1754387"/>
                    </a:xfrm>
                    <a:prstGeom prst="rect">
                      <a:avLst/>
                    </a:prstGeom>
                  </pic:spPr>
                </pic:pic>
              </a:graphicData>
            </a:graphic>
          </wp:inline>
        </w:drawing>
      </w:r>
    </w:p>
    <w:p w14:paraId="27B42DFE" w14:textId="77777777" w:rsidR="00BA7FC8" w:rsidRPr="00216FB5" w:rsidRDefault="00BA7FC8" w:rsidP="0058419E">
      <w:pPr>
        <w:spacing w:before="240" w:after="240"/>
        <w:rPr>
          <w:i/>
        </w:rPr>
      </w:pPr>
      <w:r w:rsidRPr="00216FB5">
        <w:rPr>
          <w:i/>
        </w:rPr>
        <w:t>Figure 1: Scheme of the laboratory plant</w:t>
      </w:r>
    </w:p>
    <w:p w14:paraId="46554283" w14:textId="77777777" w:rsidR="00BA7FC8" w:rsidRPr="00216FB5" w:rsidRDefault="00BA7FC8" w:rsidP="0058419E">
      <w:pPr>
        <w:spacing w:before="120"/>
      </w:pPr>
      <w:r w:rsidRPr="00216FB5">
        <w:t>The main units of the laboratory plant are: feed section (a), reaction section (b) and analysis section (c).</w:t>
      </w:r>
    </w:p>
    <w:p w14:paraId="4FE5823E" w14:textId="77777777" w:rsidR="00BA7FC8" w:rsidRPr="00216FB5" w:rsidRDefault="00BA7FC8" w:rsidP="00BA7FC8">
      <w:r w:rsidRPr="00216FB5">
        <w:t>The feed section consists of a system of three-way valves that allows to send the stream feed (COS, N</w:t>
      </w:r>
      <w:r w:rsidRPr="00216FB5">
        <w:rPr>
          <w:vertAlign w:val="subscript"/>
        </w:rPr>
        <w:t>2</w:t>
      </w:r>
      <w:r w:rsidRPr="00216FB5">
        <w:t xml:space="preserve">) to the reactor, or in by-pass position, to send the stream feed </w:t>
      </w:r>
      <w:r w:rsidR="00AC184C">
        <w:t xml:space="preserve">directly </w:t>
      </w:r>
      <w:r w:rsidRPr="00216FB5">
        <w:t xml:space="preserve">to </w:t>
      </w:r>
      <w:r w:rsidR="00AC184C">
        <w:t xml:space="preserve">the </w:t>
      </w:r>
      <w:r w:rsidRPr="00216FB5">
        <w:t xml:space="preserve">analysis. </w:t>
      </w:r>
    </w:p>
    <w:p w14:paraId="32C25885" w14:textId="77777777" w:rsidR="00BA7FC8" w:rsidRPr="00216FB5" w:rsidRDefault="00BA7FC8" w:rsidP="00BA7FC8">
      <w:r w:rsidRPr="00216FB5">
        <w:t xml:space="preserve">Experimental tests were carried out in a quartz tubular reactor with 280 mm length and internal diameter of 300 mm. The feed stream is bubbled in the reactor that is located in a </w:t>
      </w:r>
      <w:proofErr w:type="spellStart"/>
      <w:r w:rsidRPr="00216FB5">
        <w:t>criostatic</w:t>
      </w:r>
      <w:proofErr w:type="spellEnd"/>
      <w:r w:rsidRPr="00216FB5">
        <w:t xml:space="preserve"> bath at temperature of 20 °C. </w:t>
      </w:r>
    </w:p>
    <w:p w14:paraId="64CAB18B" w14:textId="77777777" w:rsidR="00BA7FC8" w:rsidRPr="00216FB5" w:rsidRDefault="00BA7FC8" w:rsidP="00BA7FC8">
      <w:r w:rsidRPr="00216FB5">
        <w:t xml:space="preserve">The analysis section is characterized by two </w:t>
      </w:r>
      <w:proofErr w:type="spellStart"/>
      <w:r w:rsidRPr="00216FB5">
        <w:t>analyzers</w:t>
      </w:r>
      <w:proofErr w:type="spellEnd"/>
      <w:r w:rsidRPr="00216FB5">
        <w:t>:</w:t>
      </w:r>
      <w:r w:rsidRPr="00216FB5">
        <w:rPr>
          <w:rFonts w:eastAsiaTheme="minorHAnsi" w:cs="Arial"/>
          <w:szCs w:val="18"/>
          <w:lang w:val="en-US"/>
        </w:rPr>
        <w:t xml:space="preserve"> a FT-IR </w:t>
      </w:r>
      <w:proofErr w:type="spellStart"/>
      <w:r w:rsidRPr="00216FB5">
        <w:rPr>
          <w:rFonts w:eastAsiaTheme="minorHAnsi" w:cs="Arial"/>
          <w:szCs w:val="18"/>
          <w:lang w:val="en-US"/>
        </w:rPr>
        <w:t>Multigas</w:t>
      </w:r>
      <w:proofErr w:type="spellEnd"/>
      <w:r w:rsidRPr="00216FB5">
        <w:rPr>
          <w:rFonts w:eastAsiaTheme="minorHAnsi" w:cs="Arial"/>
          <w:szCs w:val="18"/>
          <w:lang w:val="en-US"/>
        </w:rPr>
        <w:t xml:space="preserve"> in continuous </w:t>
      </w:r>
      <w:r w:rsidRPr="00216FB5">
        <w:t xml:space="preserve">Nicolet </w:t>
      </w:r>
      <w:proofErr w:type="spellStart"/>
      <w:r w:rsidRPr="00216FB5">
        <w:t>Antaris</w:t>
      </w:r>
      <w:proofErr w:type="spellEnd"/>
      <w:r w:rsidRPr="00216FB5">
        <w:t xml:space="preserve"> IGS </w:t>
      </w:r>
      <w:r w:rsidRPr="00216FB5">
        <w:rPr>
          <w:rFonts w:eastAsiaTheme="minorHAnsi" w:cs="Arial"/>
          <w:szCs w:val="18"/>
          <w:lang w:val="en-US"/>
        </w:rPr>
        <w:t>(</w:t>
      </w:r>
      <w:proofErr w:type="spellStart"/>
      <w:r w:rsidRPr="00216FB5">
        <w:t>Thermo</w:t>
      </w:r>
      <w:proofErr w:type="spellEnd"/>
      <w:r w:rsidRPr="00216FB5">
        <w:t xml:space="preserve"> Electron) for the COS, CO</w:t>
      </w:r>
      <w:r w:rsidRPr="00216FB5">
        <w:rPr>
          <w:vertAlign w:val="subscript"/>
        </w:rPr>
        <w:t>2</w:t>
      </w:r>
      <w:r w:rsidRPr="00216FB5">
        <w:t xml:space="preserve"> and a quadrupole mass spectrometer for the H</w:t>
      </w:r>
      <w:r w:rsidRPr="00216FB5">
        <w:rPr>
          <w:vertAlign w:val="subscript"/>
        </w:rPr>
        <w:t>2</w:t>
      </w:r>
      <w:r w:rsidRPr="00216FB5">
        <w:t>S, H</w:t>
      </w:r>
      <w:r w:rsidRPr="00216FB5">
        <w:rPr>
          <w:vertAlign w:val="subscript"/>
        </w:rPr>
        <w:t>2</w:t>
      </w:r>
      <w:r w:rsidRPr="00216FB5">
        <w:t>O.</w:t>
      </w:r>
    </w:p>
    <w:p w14:paraId="4F0A096C" w14:textId="77777777" w:rsidR="00BA7FC8" w:rsidRPr="00216FB5" w:rsidRDefault="00BA7FC8" w:rsidP="00BA7FC8">
      <w:r w:rsidRPr="00216FB5">
        <w:t>The activity tests were performed in the following operating conditions listed in Table 1:</w:t>
      </w:r>
    </w:p>
    <w:p w14:paraId="4F184B9A" w14:textId="77777777" w:rsidR="00BA7FC8" w:rsidRPr="00216FB5" w:rsidRDefault="00BA7FC8" w:rsidP="00BA7FC8">
      <w:pPr>
        <w:spacing w:before="240" w:after="240"/>
        <w:jc w:val="left"/>
        <w:rPr>
          <w:i/>
        </w:rPr>
      </w:pPr>
      <w:r w:rsidRPr="00216FB5">
        <w:rPr>
          <w:i/>
        </w:rPr>
        <w:t>Table 1 : Operating conditions of the activity tests</w:t>
      </w:r>
    </w:p>
    <w:tbl>
      <w:tblPr>
        <w:tblStyle w:val="Grigliatabella"/>
        <w:tblW w:w="0" w:type="auto"/>
        <w:tblBorders>
          <w:top w:val="single" w:sz="12" w:space="0" w:color="00B050"/>
          <w:left w:val="none" w:sz="0" w:space="0" w:color="auto"/>
          <w:bottom w:val="single" w:sz="12" w:space="0" w:color="00B050"/>
          <w:right w:val="none" w:sz="0" w:space="0" w:color="auto"/>
          <w:insideH w:val="single" w:sz="6" w:space="0" w:color="00B050"/>
          <w:insideV w:val="none" w:sz="0" w:space="0" w:color="auto"/>
        </w:tblBorders>
        <w:tblLook w:val="04A0" w:firstRow="1" w:lastRow="0" w:firstColumn="1" w:lastColumn="0" w:noHBand="0" w:noVBand="1"/>
      </w:tblPr>
      <w:tblGrid>
        <w:gridCol w:w="3794"/>
        <w:gridCol w:w="1701"/>
      </w:tblGrid>
      <w:tr w:rsidR="00BA7FC8" w:rsidRPr="00216FB5" w14:paraId="2F784348" w14:textId="77777777" w:rsidTr="00DB2449">
        <w:tc>
          <w:tcPr>
            <w:tcW w:w="3794" w:type="dxa"/>
          </w:tcPr>
          <w:p w14:paraId="721924D7" w14:textId="77777777" w:rsidR="00BA7FC8" w:rsidRPr="00216FB5" w:rsidRDefault="00BA7FC8" w:rsidP="00DB2449">
            <w:r w:rsidRPr="00216FB5">
              <w:t xml:space="preserve">Pressure, </w:t>
            </w:r>
            <w:proofErr w:type="spellStart"/>
            <w:r w:rsidRPr="00216FB5">
              <w:t>atm</w:t>
            </w:r>
            <w:proofErr w:type="spellEnd"/>
          </w:p>
        </w:tc>
        <w:tc>
          <w:tcPr>
            <w:tcW w:w="1701" w:type="dxa"/>
          </w:tcPr>
          <w:p w14:paraId="49A73A66" w14:textId="77777777" w:rsidR="00BA7FC8" w:rsidRPr="00216FB5" w:rsidRDefault="00BA7FC8" w:rsidP="00DB2449">
            <w:r w:rsidRPr="00216FB5">
              <w:t>1</w:t>
            </w:r>
          </w:p>
        </w:tc>
      </w:tr>
      <w:tr w:rsidR="00BA7FC8" w:rsidRPr="00216FB5" w14:paraId="7AD45300" w14:textId="77777777" w:rsidTr="00DB2449">
        <w:tc>
          <w:tcPr>
            <w:tcW w:w="3794" w:type="dxa"/>
          </w:tcPr>
          <w:p w14:paraId="33B9EE09" w14:textId="77777777" w:rsidR="00BA7FC8" w:rsidRPr="00216FB5" w:rsidRDefault="00BA7FC8" w:rsidP="00DB2449">
            <w:r w:rsidRPr="00216FB5">
              <w:t>Temperature, °C</w:t>
            </w:r>
          </w:p>
        </w:tc>
        <w:tc>
          <w:tcPr>
            <w:tcW w:w="1701" w:type="dxa"/>
          </w:tcPr>
          <w:p w14:paraId="7EED90AE" w14:textId="77777777" w:rsidR="00BA7FC8" w:rsidRPr="00216FB5" w:rsidRDefault="00BA7FC8" w:rsidP="00DB2449">
            <w:r w:rsidRPr="00216FB5">
              <w:t>20</w:t>
            </w:r>
          </w:p>
        </w:tc>
      </w:tr>
      <w:tr w:rsidR="00BA7FC8" w:rsidRPr="00216FB5" w14:paraId="40164023" w14:textId="77777777" w:rsidTr="00DB2449">
        <w:tc>
          <w:tcPr>
            <w:tcW w:w="3794" w:type="dxa"/>
          </w:tcPr>
          <w:p w14:paraId="3E812781" w14:textId="77777777" w:rsidR="00BA7FC8" w:rsidRPr="00216FB5" w:rsidRDefault="00BA7FC8" w:rsidP="00DB2449">
            <w:r w:rsidRPr="00216FB5">
              <w:t>Total Flow Rate (Q), Ncm</w:t>
            </w:r>
            <w:r w:rsidRPr="00216FB5">
              <w:rPr>
                <w:vertAlign w:val="superscript"/>
              </w:rPr>
              <w:t>3</w:t>
            </w:r>
            <w:r w:rsidRPr="00216FB5">
              <w:t>/h</w:t>
            </w:r>
          </w:p>
        </w:tc>
        <w:tc>
          <w:tcPr>
            <w:tcW w:w="1701" w:type="dxa"/>
          </w:tcPr>
          <w:p w14:paraId="7BD5471E" w14:textId="77777777" w:rsidR="00BA7FC8" w:rsidRPr="00216FB5" w:rsidRDefault="00BA7FC8" w:rsidP="00DB2449">
            <w:r w:rsidRPr="00216FB5">
              <w:t>30,000</w:t>
            </w:r>
          </w:p>
        </w:tc>
      </w:tr>
      <w:tr w:rsidR="00BA7FC8" w:rsidRPr="00216FB5" w14:paraId="71D626EB" w14:textId="77777777" w:rsidTr="00DB2449">
        <w:tc>
          <w:tcPr>
            <w:tcW w:w="3794" w:type="dxa"/>
          </w:tcPr>
          <w:p w14:paraId="30A74A78" w14:textId="77777777" w:rsidR="00BA7FC8" w:rsidRPr="00216FB5" w:rsidRDefault="00BA7FC8" w:rsidP="00DB2449">
            <w:r w:rsidRPr="00216FB5">
              <w:t>COS inlet concentration (C</w:t>
            </w:r>
            <w:r w:rsidRPr="00216FB5">
              <w:rPr>
                <w:vertAlign w:val="subscript"/>
              </w:rPr>
              <w:t>0</w:t>
            </w:r>
            <w:r w:rsidRPr="00216FB5">
              <w:t>), ppm</w:t>
            </w:r>
          </w:p>
        </w:tc>
        <w:tc>
          <w:tcPr>
            <w:tcW w:w="1701" w:type="dxa"/>
          </w:tcPr>
          <w:p w14:paraId="1CE0A993" w14:textId="77777777" w:rsidR="00BA7FC8" w:rsidRPr="00216FB5" w:rsidRDefault="00BA7FC8" w:rsidP="00D8157B">
            <w:r w:rsidRPr="00216FB5">
              <w:t>1</w:t>
            </w:r>
            <w:r w:rsidR="00D8157B">
              <w:t>50</w:t>
            </w:r>
            <w:r w:rsidRPr="00216FB5">
              <w:t xml:space="preserve"> – 1,000</w:t>
            </w:r>
          </w:p>
        </w:tc>
      </w:tr>
      <w:tr w:rsidR="00BA7FC8" w:rsidRPr="00216FB5" w14:paraId="60BC160E" w14:textId="77777777" w:rsidTr="00DB2449">
        <w:tc>
          <w:tcPr>
            <w:tcW w:w="3794" w:type="dxa"/>
          </w:tcPr>
          <w:p w14:paraId="3FA00041" w14:textId="77777777" w:rsidR="00BA7FC8" w:rsidRPr="00216FB5" w:rsidRDefault="00BA7FC8" w:rsidP="00DB2449">
            <w:r w:rsidRPr="00216FB5">
              <w:t>Reaction Volume (V), cm</w:t>
            </w:r>
            <w:r w:rsidRPr="00216FB5">
              <w:rPr>
                <w:vertAlign w:val="superscript"/>
              </w:rPr>
              <w:t>3</w:t>
            </w:r>
          </w:p>
        </w:tc>
        <w:tc>
          <w:tcPr>
            <w:tcW w:w="1701" w:type="dxa"/>
          </w:tcPr>
          <w:p w14:paraId="78369341" w14:textId="77777777" w:rsidR="00BA7FC8" w:rsidRPr="00216FB5" w:rsidRDefault="00BA7FC8" w:rsidP="00DB2449">
            <w:r w:rsidRPr="00216FB5">
              <w:t>100 - 400</w:t>
            </w:r>
          </w:p>
        </w:tc>
      </w:tr>
      <w:tr w:rsidR="00BA7FC8" w:rsidRPr="00216FB5" w14:paraId="2DB35785" w14:textId="77777777" w:rsidTr="00DB2449">
        <w:tc>
          <w:tcPr>
            <w:tcW w:w="3794" w:type="dxa"/>
          </w:tcPr>
          <w:p w14:paraId="2AA6F13A" w14:textId="77777777" w:rsidR="00BA7FC8" w:rsidRPr="00216FB5" w:rsidRDefault="00BA7FC8" w:rsidP="00DB2449">
            <w:proofErr w:type="spellStart"/>
            <w:r w:rsidRPr="00216FB5">
              <w:t>Alkanolamine</w:t>
            </w:r>
            <w:proofErr w:type="spellEnd"/>
            <w:r w:rsidRPr="00216FB5">
              <w:t xml:space="preserve"> concentration in solution, </w:t>
            </w:r>
            <w:proofErr w:type="spellStart"/>
            <w:r w:rsidRPr="00216FB5">
              <w:t>wt</w:t>
            </w:r>
            <w:proofErr w:type="spellEnd"/>
            <w:r w:rsidRPr="00216FB5">
              <w:t xml:space="preserve"> %</w:t>
            </w:r>
          </w:p>
        </w:tc>
        <w:tc>
          <w:tcPr>
            <w:tcW w:w="1701" w:type="dxa"/>
          </w:tcPr>
          <w:p w14:paraId="61810540" w14:textId="77777777" w:rsidR="00BA7FC8" w:rsidRPr="00216FB5" w:rsidRDefault="00BA7FC8" w:rsidP="00DB2449">
            <w:r w:rsidRPr="00216FB5">
              <w:t>1</w:t>
            </w:r>
          </w:p>
        </w:tc>
      </w:tr>
    </w:tbl>
    <w:p w14:paraId="5431590A" w14:textId="77777777" w:rsidR="00BA7FC8" w:rsidRPr="00216FB5" w:rsidRDefault="00BA7FC8" w:rsidP="007D18AD">
      <w:pPr>
        <w:spacing w:before="120" w:after="120"/>
      </w:pPr>
      <w:r w:rsidRPr="00216FB5">
        <w:t>The activity measurement was eva</w:t>
      </w:r>
      <w:r>
        <w:t>luated by the</w:t>
      </w:r>
      <w:r w:rsidRPr="00216FB5">
        <w:t xml:space="preserve"> COS conversion (</w:t>
      </w:r>
      <w:proofErr w:type="spellStart"/>
      <w:r w:rsidRPr="00216FB5">
        <w:t>xCOS</w:t>
      </w:r>
      <w:proofErr w:type="spellEnd"/>
      <w:r w:rsidRPr="00216FB5">
        <w:t xml:space="preserve">) </w:t>
      </w:r>
      <w:proofErr w:type="spellStart"/>
      <w:r w:rsidRPr="00216FB5">
        <w:t>Eq</w:t>
      </w:r>
      <w:proofErr w:type="spellEnd"/>
      <w:r w:rsidRPr="00216FB5">
        <w:t>(1).</w:t>
      </w:r>
    </w:p>
    <w:p w14:paraId="0431B8AB" w14:textId="77777777" w:rsidR="00BA7FC8" w:rsidRPr="007A77D6" w:rsidRDefault="00BA7FC8" w:rsidP="007A77D6">
      <w:pPr>
        <w:spacing w:before="120" w:after="120"/>
        <w:jc w:val="left"/>
        <w:rPr>
          <w:lang w:val="en-US"/>
        </w:rPr>
      </w:pPr>
      <m:oMath>
        <m:r>
          <w:rPr>
            <w:rFonts w:ascii="Cambria Math" w:hAnsi="Cambria Math"/>
            <w:lang w:val="en-US"/>
          </w:rPr>
          <m:t>x</m:t>
        </m:r>
        <m:r>
          <m:rPr>
            <m:sty m:val="p"/>
          </m:rPr>
          <w:rPr>
            <w:rFonts w:ascii="Cambria Math" w:hAnsi="Cambria Math"/>
            <w:lang w:val="en-US"/>
          </w:rPr>
          <m:t xml:space="preserve"> COS</m:t>
        </m:r>
        <m:d>
          <m:dPr>
            <m:ctrlPr>
              <w:rPr>
                <w:rFonts w:ascii="Cambria Math" w:hAnsi="Cambria Math"/>
                <w:lang w:val="en-US"/>
              </w:rPr>
            </m:ctrlPr>
          </m:dPr>
          <m:e>
            <m:r>
              <m:rPr>
                <m:sty m:val="p"/>
              </m:rPr>
              <w:rPr>
                <w:rFonts w:ascii="Cambria Math" w:hAnsi="Cambria Math"/>
                <w:lang w:val="en-US"/>
              </w:rPr>
              <m:t>%</m:t>
            </m:r>
          </m:e>
        </m:d>
        <m:r>
          <m:rPr>
            <m:sty m:val="p"/>
          </m:rPr>
          <w:rPr>
            <w:rFonts w:ascii="Cambria Math" w:hAnsi="Cambria Math"/>
            <w:lang w:val="en-US"/>
          </w:rPr>
          <m:t>=</m:t>
        </m:r>
        <m:f>
          <m:fPr>
            <m:ctrlPr>
              <w:rPr>
                <w:rFonts w:ascii="Cambria Math" w:hAnsi="Cambria Math"/>
                <w:lang w:val="en-US"/>
              </w:rPr>
            </m:ctrlPr>
          </m:fPr>
          <m:num>
            <m:r>
              <m:rPr>
                <m:sty m:val="p"/>
              </m:rPr>
              <w:rPr>
                <w:rFonts w:ascii="Cambria Math" w:hAnsi="Cambria Math"/>
                <w:lang w:val="en-US"/>
              </w:rPr>
              <m:t>(</m:t>
            </m:r>
            <m:r>
              <w:rPr>
                <w:rFonts w:ascii="Cambria Math" w:hAnsi="Cambria Math"/>
                <w:lang w:val="en-US"/>
              </w:rPr>
              <m:t>z</m:t>
            </m:r>
            <m:sSub>
              <m:sSubPr>
                <m:ctrlPr>
                  <w:rPr>
                    <w:rFonts w:ascii="Cambria Math" w:hAnsi="Cambria Math"/>
                    <w:lang w:val="en-US"/>
                  </w:rPr>
                </m:ctrlPr>
              </m:sSubPr>
              <m:e>
                <m:r>
                  <w:rPr>
                    <w:rFonts w:ascii="Cambria Math" w:hAnsi="Cambria Math"/>
                    <w:lang w:val="en-US"/>
                  </w:rPr>
                  <m:t>COS</m:t>
                </m:r>
              </m:e>
              <m:sub>
                <m:r>
                  <w:rPr>
                    <w:rFonts w:ascii="Cambria Math" w:hAnsi="Cambria Math"/>
                    <w:lang w:val="en-US"/>
                  </w:rPr>
                  <m:t>IN</m:t>
                </m:r>
              </m:sub>
            </m:sSub>
            <m:r>
              <m:rPr>
                <m:sty m:val="p"/>
              </m:rPr>
              <w:rPr>
                <w:rFonts w:ascii="Cambria Math" w:hAnsi="Cambria Math"/>
                <w:lang w:val="en-US"/>
              </w:rPr>
              <m:t>-</m:t>
            </m:r>
            <m:r>
              <w:rPr>
                <w:rFonts w:ascii="Cambria Math" w:hAnsi="Cambria Math"/>
                <w:lang w:val="en-US"/>
              </w:rPr>
              <m:t>z</m:t>
            </m:r>
            <m:sSub>
              <m:sSubPr>
                <m:ctrlPr>
                  <w:rPr>
                    <w:rFonts w:ascii="Cambria Math" w:hAnsi="Cambria Math"/>
                    <w:lang w:val="en-US"/>
                  </w:rPr>
                </m:ctrlPr>
              </m:sSubPr>
              <m:e>
                <m:r>
                  <m:rPr>
                    <m:sty m:val="p"/>
                  </m:rPr>
                  <w:rPr>
                    <w:rFonts w:ascii="Cambria Math" w:hAnsi="Cambria Math"/>
                    <w:lang w:val="en-US"/>
                  </w:rPr>
                  <m:t>CO</m:t>
                </m:r>
                <m:r>
                  <w:rPr>
                    <w:rFonts w:ascii="Cambria Math" w:hAnsi="Cambria Math"/>
                    <w:lang w:val="en-US"/>
                  </w:rPr>
                  <m:t>S</m:t>
                </m:r>
              </m:e>
              <m:sub>
                <m:r>
                  <w:rPr>
                    <w:rFonts w:ascii="Cambria Math" w:hAnsi="Cambria Math"/>
                    <w:lang w:val="en-US"/>
                  </w:rPr>
                  <m:t>OUT</m:t>
                </m:r>
              </m:sub>
            </m:sSub>
            <m:r>
              <m:rPr>
                <m:sty m:val="p"/>
              </m:rPr>
              <w:rPr>
                <w:rFonts w:ascii="Cambria Math" w:hAnsi="Cambria Math"/>
                <w:lang w:val="en-US"/>
              </w:rPr>
              <m:t>)</m:t>
            </m:r>
          </m:num>
          <m:den>
            <m:r>
              <w:rPr>
                <w:rFonts w:ascii="Cambria Math" w:hAnsi="Cambria Math"/>
                <w:lang w:val="en-US"/>
              </w:rPr>
              <m:t>z</m:t>
            </m:r>
            <m:sSub>
              <m:sSubPr>
                <m:ctrlPr>
                  <w:rPr>
                    <w:rFonts w:ascii="Cambria Math" w:hAnsi="Cambria Math"/>
                    <w:lang w:val="en-US"/>
                  </w:rPr>
                </m:ctrlPr>
              </m:sSubPr>
              <m:e>
                <m:r>
                  <m:rPr>
                    <m:sty m:val="p"/>
                  </m:rPr>
                  <w:rPr>
                    <w:rFonts w:ascii="Cambria Math" w:hAnsi="Cambria Math"/>
                    <w:lang w:val="en-US"/>
                  </w:rPr>
                  <m:t>CO</m:t>
                </m:r>
                <m:r>
                  <w:rPr>
                    <w:rFonts w:ascii="Cambria Math" w:hAnsi="Cambria Math"/>
                    <w:lang w:val="en-US"/>
                  </w:rPr>
                  <m:t>S</m:t>
                </m:r>
              </m:e>
              <m:sub>
                <m:r>
                  <w:rPr>
                    <w:rFonts w:ascii="Cambria Math" w:hAnsi="Cambria Math"/>
                    <w:lang w:val="en-US"/>
                  </w:rPr>
                  <m:t>IN</m:t>
                </m:r>
              </m:sub>
            </m:sSub>
          </m:den>
        </m:f>
        <m:r>
          <m:rPr>
            <m:sty m:val="p"/>
          </m:rPr>
          <w:rPr>
            <w:rFonts w:ascii="Cambria Math" w:hAnsi="Cambria Math"/>
            <w:lang w:val="en-US"/>
          </w:rPr>
          <m:t>∙100</m:t>
        </m:r>
      </m:oMath>
      <w:r w:rsidRPr="00216FB5">
        <w:rPr>
          <w:lang w:val="en-US"/>
        </w:rPr>
        <w:tab/>
      </w:r>
      <w:r w:rsidRPr="00216FB5">
        <w:rPr>
          <w:lang w:val="en-US"/>
        </w:rPr>
        <w:tab/>
      </w:r>
      <w:r w:rsidRPr="00216FB5">
        <w:rPr>
          <w:lang w:val="en-US"/>
        </w:rPr>
        <w:tab/>
        <w:t>(1)</w:t>
      </w:r>
    </w:p>
    <w:p w14:paraId="0286180B" w14:textId="77777777" w:rsidR="00BA7FC8" w:rsidRPr="00216FB5" w:rsidRDefault="00BA7FC8" w:rsidP="00BA7FC8">
      <w:r w:rsidRPr="00216FB5">
        <w:t xml:space="preserve">where: </w:t>
      </w:r>
    </w:p>
    <w:p w14:paraId="6D552001" w14:textId="77777777" w:rsidR="00BA7FC8" w:rsidRPr="00216FB5" w:rsidRDefault="00BA7FC8" w:rsidP="00BA7FC8">
      <w:proofErr w:type="spellStart"/>
      <w:r w:rsidRPr="00216FB5">
        <w:t>zCOS</w:t>
      </w:r>
      <w:r w:rsidRPr="00216FB5">
        <w:rPr>
          <w:vertAlign w:val="subscript"/>
        </w:rPr>
        <w:t>IN</w:t>
      </w:r>
      <w:proofErr w:type="spellEnd"/>
      <w:r w:rsidRPr="00216FB5">
        <w:t xml:space="preserve"> : Inlet COS volumetric fraction [-]</w:t>
      </w:r>
    </w:p>
    <w:p w14:paraId="75B9C78A" w14:textId="77777777" w:rsidR="00BA7FC8" w:rsidRPr="00216FB5" w:rsidRDefault="00BA7FC8" w:rsidP="00BA7FC8">
      <w:proofErr w:type="spellStart"/>
      <w:r w:rsidRPr="00216FB5">
        <w:t>zCOS</w:t>
      </w:r>
      <w:r w:rsidRPr="00216FB5">
        <w:rPr>
          <w:vertAlign w:val="subscript"/>
        </w:rPr>
        <w:t>OUT</w:t>
      </w:r>
      <w:proofErr w:type="spellEnd"/>
      <w:r w:rsidRPr="00216FB5">
        <w:t xml:space="preserve"> : Outlet COS volumetric fraction [-]</w:t>
      </w:r>
    </w:p>
    <w:p w14:paraId="7328EFBE" w14:textId="281AEBBB" w:rsidR="00BA7FC8" w:rsidRPr="00216FB5" w:rsidRDefault="00BA7FC8" w:rsidP="00BB2426">
      <w:pPr>
        <w:pStyle w:val="CETHeading1"/>
      </w:pPr>
      <w:r w:rsidRPr="00216FB5">
        <w:t>Results</w:t>
      </w:r>
    </w:p>
    <w:p w14:paraId="04823A8C" w14:textId="2050EE73" w:rsidR="00BA7FC8" w:rsidRPr="00216FB5" w:rsidRDefault="00BA7FC8" w:rsidP="00BA7FC8">
      <w:r w:rsidRPr="00216FB5">
        <w:t xml:space="preserve">The influence of the different </w:t>
      </w:r>
      <w:proofErr w:type="spellStart"/>
      <w:r w:rsidRPr="00216FB5">
        <w:t>alkanolamines</w:t>
      </w:r>
      <w:proofErr w:type="spellEnd"/>
      <w:r w:rsidRPr="00216FB5">
        <w:t xml:space="preserve"> (MEA, DEA, MDEA, DIPA) on the COS removal efficiency is reported in Figure 2.</w:t>
      </w:r>
    </w:p>
    <w:p w14:paraId="130CBD57" w14:textId="77777777" w:rsidR="00BA7FC8" w:rsidRDefault="00BA7FC8" w:rsidP="00BA7FC8">
      <w:pPr>
        <w:pStyle w:val="CETListbullets"/>
        <w:ind w:left="0" w:firstLine="0"/>
      </w:pPr>
      <w:r>
        <w:rPr>
          <w:noProof/>
          <w:lang w:val="it-IT" w:eastAsia="it-IT"/>
        </w:rPr>
        <w:lastRenderedPageBreak/>
        <w:drawing>
          <wp:inline distT="0" distB="0" distL="0" distR="0" wp14:anchorId="7871D2C2" wp14:editId="41AF545D">
            <wp:extent cx="3041650" cy="1946531"/>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4894" cy="1948607"/>
                    </a:xfrm>
                    <a:prstGeom prst="rect">
                      <a:avLst/>
                    </a:prstGeom>
                    <a:noFill/>
                  </pic:spPr>
                </pic:pic>
              </a:graphicData>
            </a:graphic>
          </wp:inline>
        </w:drawing>
      </w:r>
    </w:p>
    <w:p w14:paraId="6AC87A16" w14:textId="77777777" w:rsidR="00BA7FC8" w:rsidRPr="00216FB5" w:rsidRDefault="00BA7FC8" w:rsidP="001F7BEC">
      <w:pPr>
        <w:spacing w:before="120" w:after="120"/>
        <w:rPr>
          <w:i/>
        </w:rPr>
      </w:pPr>
      <w:r w:rsidRPr="00216FB5">
        <w:rPr>
          <w:i/>
        </w:rPr>
        <w:t xml:space="preserve">Figure 2: Influence of the type of </w:t>
      </w:r>
      <w:proofErr w:type="spellStart"/>
      <w:r w:rsidRPr="00216FB5">
        <w:rPr>
          <w:i/>
        </w:rPr>
        <w:t>alkanolamine</w:t>
      </w:r>
      <w:proofErr w:type="spellEnd"/>
      <w:r w:rsidRPr="00216FB5">
        <w:rPr>
          <w:i/>
        </w:rPr>
        <w:t xml:space="preserve"> (MEA, DEA, MDEA, DIPA) on the COS conversion (C</w:t>
      </w:r>
      <w:r w:rsidRPr="00216FB5">
        <w:rPr>
          <w:i/>
          <w:vertAlign w:val="subscript"/>
        </w:rPr>
        <w:t>0</w:t>
      </w:r>
      <w:r w:rsidRPr="00216FB5">
        <w:rPr>
          <w:i/>
        </w:rPr>
        <w:t>= 1,000 ppm, V = 400 cm</w:t>
      </w:r>
      <w:r w:rsidRPr="00216FB5">
        <w:rPr>
          <w:i/>
          <w:vertAlign w:val="superscript"/>
        </w:rPr>
        <w:t>3</w:t>
      </w:r>
      <w:r w:rsidRPr="00216FB5">
        <w:rPr>
          <w:i/>
        </w:rPr>
        <w:t>)</w:t>
      </w:r>
    </w:p>
    <w:p w14:paraId="36A5A53F" w14:textId="39F5E250" w:rsidR="00BA7FC8" w:rsidRPr="00216FB5" w:rsidRDefault="00BA7FC8" w:rsidP="001F7BEC">
      <w:r w:rsidRPr="00216FB5">
        <w:t xml:space="preserve">The COS conversion decreases rather quickly in presence of MDEA, while it remains stable in presence of the other three </w:t>
      </w:r>
      <w:proofErr w:type="spellStart"/>
      <w:r w:rsidRPr="00216FB5">
        <w:t>alkanolamines</w:t>
      </w:r>
      <w:proofErr w:type="spellEnd"/>
      <w:r w:rsidRPr="00216FB5">
        <w:t>. In particular, the steady state COS conversion was equal to 25 %, 27 % and 30 % for DEA, DIPA and MEA, respectively.</w:t>
      </w:r>
      <w:r w:rsidR="001F7BEC">
        <w:t xml:space="preserve"> </w:t>
      </w:r>
      <w:r w:rsidR="00B540B0">
        <w:t>An analysis of the gas phase did not show the presence of H</w:t>
      </w:r>
      <w:r w:rsidR="00B540B0" w:rsidRPr="00B540B0">
        <w:rPr>
          <w:vertAlign w:val="subscript"/>
        </w:rPr>
        <w:t>2</w:t>
      </w:r>
      <w:r w:rsidR="00B540B0">
        <w:t>S and CO</w:t>
      </w:r>
      <w:r w:rsidR="00B540B0">
        <w:rPr>
          <w:vertAlign w:val="subscript"/>
        </w:rPr>
        <w:t>2</w:t>
      </w:r>
      <w:r w:rsidRPr="00216FB5">
        <w:t xml:space="preserve">, which are the main expected products of the COS hydrolysis reaction. </w:t>
      </w:r>
      <w:r w:rsidRPr="00B34EF8">
        <w:t>This result could be explained considering that, H</w:t>
      </w:r>
      <w:r w:rsidRPr="00B34EF8">
        <w:rPr>
          <w:vertAlign w:val="subscript"/>
        </w:rPr>
        <w:t>2</w:t>
      </w:r>
      <w:r w:rsidRPr="00B34EF8">
        <w:t>S and CO</w:t>
      </w:r>
      <w:r w:rsidRPr="00B34EF8">
        <w:rPr>
          <w:vertAlign w:val="subscript"/>
        </w:rPr>
        <w:t>2</w:t>
      </w:r>
      <w:r w:rsidRPr="00B34EF8">
        <w:t xml:space="preserve"> </w:t>
      </w:r>
      <w:r w:rsidR="00B34EF8" w:rsidRPr="00B34EF8">
        <w:t xml:space="preserve">have a very high solubility </w:t>
      </w:r>
      <w:r w:rsidRPr="00B34EF8">
        <w:t xml:space="preserve">in </w:t>
      </w:r>
      <w:r w:rsidR="00B34EF8" w:rsidRPr="00B34EF8">
        <w:t xml:space="preserve">aqueous solutions containing </w:t>
      </w:r>
      <w:proofErr w:type="spellStart"/>
      <w:r w:rsidR="00B34EF8" w:rsidRPr="00B34EF8">
        <w:t>alkanolamines</w:t>
      </w:r>
      <w:proofErr w:type="spellEnd"/>
      <w:r w:rsidR="00B34EF8" w:rsidRPr="00B34EF8">
        <w:t xml:space="preserve"> </w:t>
      </w:r>
      <w:r w:rsidRPr="00B34EF8">
        <w:t>as confirmed also by literature (</w:t>
      </w:r>
      <w:proofErr w:type="spellStart"/>
      <w:r w:rsidRPr="00B34EF8">
        <w:t>Dawodu</w:t>
      </w:r>
      <w:proofErr w:type="spellEnd"/>
      <w:r w:rsidRPr="00B34EF8">
        <w:t xml:space="preserve"> et al., 1994).</w:t>
      </w:r>
      <w:r w:rsidR="001F7BEC">
        <w:t xml:space="preserve"> </w:t>
      </w:r>
      <w:r w:rsidRPr="00216FB5">
        <w:t>More precisely, CO</w:t>
      </w:r>
      <w:r w:rsidRPr="00216FB5">
        <w:rPr>
          <w:vertAlign w:val="subscript"/>
        </w:rPr>
        <w:t>2</w:t>
      </w:r>
      <w:r w:rsidRPr="00216FB5">
        <w:t xml:space="preserve"> is solubilized as carbonic acid, </w:t>
      </w:r>
      <w:r w:rsidR="00BD1810">
        <w:t>while</w:t>
      </w:r>
      <w:r w:rsidRPr="00216FB5">
        <w:t xml:space="preserve"> H</w:t>
      </w:r>
      <w:r w:rsidRPr="00216FB5">
        <w:rPr>
          <w:vertAlign w:val="subscript"/>
        </w:rPr>
        <w:t>2</w:t>
      </w:r>
      <w:r w:rsidRPr="00216FB5">
        <w:t>S</w:t>
      </w:r>
      <w:r w:rsidR="00BD1810" w:rsidRPr="00BD1810">
        <w:t>, splits primarily into H</w:t>
      </w:r>
      <w:r w:rsidR="00BD1810" w:rsidRPr="00BD1810">
        <w:rPr>
          <w:vertAlign w:val="superscript"/>
        </w:rPr>
        <w:t>+</w:t>
      </w:r>
      <w:r w:rsidR="00BD1810" w:rsidRPr="00BD1810">
        <w:t xml:space="preserve"> and HS</w:t>
      </w:r>
      <w:r w:rsidRPr="00216FB5">
        <w:t xml:space="preserve"> that, in presence of water according </w:t>
      </w:r>
      <w:r w:rsidR="00BD1810">
        <w:t xml:space="preserve">to the reactions shown in </w:t>
      </w:r>
      <w:r w:rsidRPr="00216FB5">
        <w:t xml:space="preserve">equations </w:t>
      </w:r>
      <w:proofErr w:type="spellStart"/>
      <w:r w:rsidRPr="00216FB5">
        <w:t>Eq</w:t>
      </w:r>
      <w:proofErr w:type="spellEnd"/>
      <w:r w:rsidRPr="00216FB5">
        <w:t xml:space="preserve">(2) and </w:t>
      </w:r>
      <w:proofErr w:type="spellStart"/>
      <w:r w:rsidRPr="00216FB5">
        <w:t>Eq</w:t>
      </w:r>
      <w:proofErr w:type="spellEnd"/>
      <w:r w:rsidRPr="00216FB5">
        <w:t>(3).</w:t>
      </w:r>
    </w:p>
    <w:p w14:paraId="0BC12806" w14:textId="77777777" w:rsidR="00BA7FC8" w:rsidRPr="00216FB5" w:rsidRDefault="00BA7FC8" w:rsidP="00426F72">
      <w:pPr>
        <w:spacing w:before="120"/>
      </w:pPr>
      <m:oMath>
        <m:r>
          <w:rPr>
            <w:rFonts w:ascii="Cambria Math" w:hAnsi="Cambria Math"/>
          </w:rPr>
          <m:t>C</m:t>
        </m:r>
        <m:sSub>
          <m:sSubPr>
            <m:ctrlPr>
              <w:rPr>
                <w:rFonts w:ascii="Cambria Math" w:hAnsi="Cambria Math"/>
                <w:i/>
              </w:rPr>
            </m:ctrlPr>
          </m:sSubPr>
          <m:e>
            <m:r>
              <w:rPr>
                <w:rFonts w:ascii="Cambria Math" w:hAnsi="Cambria Math"/>
              </w:rPr>
              <m:t>O</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O= </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+HC</m:t>
        </m:r>
        <m:sSubSup>
          <m:sSubSupPr>
            <m:ctrlPr>
              <w:rPr>
                <w:rFonts w:ascii="Cambria Math" w:hAnsi="Cambria Math"/>
                <w:i/>
              </w:rPr>
            </m:ctrlPr>
          </m:sSubSupPr>
          <m:e>
            <m:r>
              <w:rPr>
                <w:rFonts w:ascii="Cambria Math" w:hAnsi="Cambria Math"/>
              </w:rPr>
              <m:t>O</m:t>
            </m:r>
          </m:e>
          <m:sub>
            <m:r>
              <w:rPr>
                <w:rFonts w:ascii="Cambria Math" w:hAnsi="Cambria Math"/>
              </w:rPr>
              <m:t>3</m:t>
            </m:r>
          </m:sub>
          <m:sup>
            <m:r>
              <w:rPr>
                <w:rFonts w:ascii="Cambria Math" w:hAnsi="Cambria Math"/>
              </w:rPr>
              <m:t>-</m:t>
            </m:r>
          </m:sup>
        </m:sSubSup>
      </m:oMath>
      <w:r w:rsidRPr="00216FB5">
        <w:tab/>
      </w:r>
      <w:r w:rsidRPr="00216FB5">
        <w:tab/>
      </w:r>
      <w:r w:rsidRPr="00216FB5">
        <w:tab/>
        <w:t>(2)</w:t>
      </w:r>
    </w:p>
    <w:p w14:paraId="0C292242" w14:textId="77777777" w:rsidR="00BA7FC8" w:rsidRPr="00216FB5" w:rsidRDefault="00BA7FC8" w:rsidP="00BA7FC8"/>
    <w:p w14:paraId="2113FAAC" w14:textId="77777777" w:rsidR="00BA7FC8" w:rsidRPr="00216FB5" w:rsidRDefault="008C75F4" w:rsidP="00426F72">
      <w:pPr>
        <w:spacing w:after="120"/>
      </w:pPr>
      <m:oMath>
        <m:sSub>
          <m:sSubPr>
            <m:ctrlPr>
              <w:rPr>
                <w:rFonts w:ascii="Cambria Math" w:hAnsi="Cambria Math"/>
                <w:i/>
              </w:rPr>
            </m:ctrlPr>
          </m:sSubPr>
          <m:e>
            <m:r>
              <w:rPr>
                <w:rFonts w:ascii="Cambria Math" w:hAnsi="Cambria Math"/>
              </w:rPr>
              <m:t>H</m:t>
            </m:r>
          </m:e>
          <m:sub>
            <m:r>
              <w:rPr>
                <w:rFonts w:ascii="Cambria Math" w:hAnsi="Cambria Math"/>
              </w:rPr>
              <m:t>2</m:t>
            </m:r>
          </m:sub>
        </m:sSub>
        <m:r>
          <w:rPr>
            <w:rFonts w:ascii="Cambria Math" w:hAnsi="Cambria Math"/>
          </w:rPr>
          <m:t xml:space="preserve">S= </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+H</m:t>
        </m:r>
        <m:sSup>
          <m:sSupPr>
            <m:ctrlPr>
              <w:rPr>
                <w:rFonts w:ascii="Cambria Math" w:hAnsi="Cambria Math"/>
                <w:i/>
              </w:rPr>
            </m:ctrlPr>
          </m:sSupPr>
          <m:e>
            <m:r>
              <w:rPr>
                <w:rFonts w:ascii="Cambria Math" w:hAnsi="Cambria Math"/>
              </w:rPr>
              <m:t>S</m:t>
            </m:r>
          </m:e>
          <m:sup>
            <m:r>
              <w:rPr>
                <w:rFonts w:ascii="Cambria Math" w:hAnsi="Cambria Math"/>
              </w:rPr>
              <m:t>-</m:t>
            </m:r>
          </m:sup>
        </m:sSup>
      </m:oMath>
      <w:r w:rsidR="00BA7FC8" w:rsidRPr="00216FB5">
        <w:tab/>
      </w:r>
      <w:r w:rsidR="00BA7FC8" w:rsidRPr="00216FB5">
        <w:tab/>
      </w:r>
      <w:r w:rsidR="00BA7FC8" w:rsidRPr="00216FB5">
        <w:tab/>
        <w:t>(3)</w:t>
      </w:r>
    </w:p>
    <w:p w14:paraId="168450E9" w14:textId="157BBBA3" w:rsidR="00BA7FC8" w:rsidRPr="00216FB5" w:rsidRDefault="00BA7FC8" w:rsidP="00BA7FC8">
      <w:r w:rsidRPr="00216FB5">
        <w:t xml:space="preserve">Even if the highest COS conversion was obtained in presence of the MEA solution, it was not considered for the additional tests due to its high volatility and the formation of </w:t>
      </w:r>
      <w:r w:rsidR="00BD1810">
        <w:t xml:space="preserve">degradation </w:t>
      </w:r>
      <w:r w:rsidRPr="00216FB5">
        <w:t xml:space="preserve">products such as </w:t>
      </w:r>
      <w:r w:rsidRPr="009C5822">
        <w:t>carbamates</w:t>
      </w:r>
      <w:r w:rsidRPr="00216FB5">
        <w:t xml:space="preserve"> (Vaidya et al., 2009). </w:t>
      </w:r>
      <w:r w:rsidR="00B34EF8">
        <w:t xml:space="preserve">The presence </w:t>
      </w:r>
      <w:r w:rsidR="000E281B">
        <w:t xml:space="preserve">of these degradation products determines </w:t>
      </w:r>
      <w:r w:rsidR="00541C87">
        <w:t xml:space="preserve">the reduction solution capacity, </w:t>
      </w:r>
      <w:r w:rsidR="000E281B">
        <w:t>corrosion, foaming and fouling</w:t>
      </w:r>
      <w:r w:rsidR="00541C87">
        <w:t xml:space="preserve"> </w:t>
      </w:r>
      <w:r w:rsidR="009C5822">
        <w:t xml:space="preserve">(Islam et al., 2010). </w:t>
      </w:r>
      <w:r w:rsidRPr="00216FB5">
        <w:t>For this reason, further investigations were performed considering DEA and DIPA.</w:t>
      </w:r>
    </w:p>
    <w:p w14:paraId="7C20B2C1" w14:textId="1E0AE770" w:rsidR="00BA7FC8" w:rsidRDefault="00BA7FC8" w:rsidP="00BA7FC8">
      <w:r w:rsidRPr="00216FB5">
        <w:t>The effect of the reaction volume on the COS conversion is shown in Figure</w:t>
      </w:r>
      <w:r w:rsidR="00BD1810">
        <w:t>s</w:t>
      </w:r>
      <w:r w:rsidRPr="00216FB5">
        <w:t xml:space="preserve"> 3 and</w:t>
      </w:r>
      <w:r w:rsidR="00BD1810">
        <w:t xml:space="preserve"> </w:t>
      </w:r>
      <w:r w:rsidRPr="00216FB5">
        <w:t>4 for DEA and DIPA, respectively.</w:t>
      </w:r>
      <w:r w:rsidR="00BD1810">
        <w:t xml:space="preserve"> </w:t>
      </w:r>
      <w:r w:rsidRPr="00216FB5">
        <w:t xml:space="preserve">For both </w:t>
      </w:r>
      <w:proofErr w:type="spellStart"/>
      <w:r w:rsidRPr="00216FB5">
        <w:t>alkanolamine</w:t>
      </w:r>
      <w:proofErr w:type="spellEnd"/>
      <w:r w:rsidRPr="00216FB5">
        <w:t xml:space="preserve"> solutions, it is observe</w:t>
      </w:r>
      <w:r w:rsidR="00BD1810">
        <w:t>d</w:t>
      </w:r>
      <w:r w:rsidRPr="00216FB5">
        <w:t xml:space="preserve"> that a higher efficiency of the COS removal is obtained in presence of higher solution volume (400 cm</w:t>
      </w:r>
      <w:r w:rsidRPr="00216FB5">
        <w:rPr>
          <w:vertAlign w:val="superscript"/>
        </w:rPr>
        <w:t>3</w:t>
      </w:r>
      <w:r w:rsidRPr="00216FB5">
        <w:t>).</w:t>
      </w:r>
      <w:r w:rsidR="00BD1810">
        <w:t xml:space="preserve"> </w:t>
      </w:r>
      <w:r w:rsidRPr="00216FB5">
        <w:t xml:space="preserve">In the case of the DEA solution, the COS conversion increases from 10 up to 24 % after 120 min of time on stream (Figure 3), while for DIPA, the final conversion was about 27 % (Figure 4). </w:t>
      </w:r>
    </w:p>
    <w:p w14:paraId="0D769977" w14:textId="77777777" w:rsidR="00BA7FC8" w:rsidRPr="00216FB5" w:rsidRDefault="00BA7FC8" w:rsidP="00BA7FC8">
      <w:r>
        <w:rPr>
          <w:noProof/>
          <w:lang w:val="it-IT" w:eastAsia="it-IT"/>
        </w:rPr>
        <w:drawing>
          <wp:inline distT="0" distB="0" distL="0" distR="0" wp14:anchorId="7E443F3C" wp14:editId="1B3ADDA1">
            <wp:extent cx="3169920" cy="2072640"/>
            <wp:effectExtent l="0" t="0" r="0" b="381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9920" cy="2072640"/>
                    </a:xfrm>
                    <a:prstGeom prst="rect">
                      <a:avLst/>
                    </a:prstGeom>
                    <a:noFill/>
                  </pic:spPr>
                </pic:pic>
              </a:graphicData>
            </a:graphic>
          </wp:inline>
        </w:drawing>
      </w:r>
    </w:p>
    <w:p w14:paraId="19EA2DBE" w14:textId="77777777" w:rsidR="00BA7FC8" w:rsidRPr="00216FB5" w:rsidRDefault="00BA7FC8" w:rsidP="00BA7FC8">
      <w:pPr>
        <w:spacing w:before="240" w:after="240"/>
        <w:rPr>
          <w:i/>
        </w:rPr>
      </w:pPr>
      <w:r w:rsidRPr="00216FB5">
        <w:rPr>
          <w:i/>
        </w:rPr>
        <w:t>Figure 3: COS removal in DEA solution with reaction volumes of 100 and 400 cm</w:t>
      </w:r>
      <w:r w:rsidRPr="00216FB5">
        <w:rPr>
          <w:i/>
          <w:vertAlign w:val="superscript"/>
        </w:rPr>
        <w:t>3</w:t>
      </w:r>
      <w:r w:rsidRPr="00216FB5">
        <w:rPr>
          <w:i/>
        </w:rPr>
        <w:t xml:space="preserve"> (C</w:t>
      </w:r>
      <w:r w:rsidRPr="00216FB5">
        <w:rPr>
          <w:i/>
          <w:vertAlign w:val="subscript"/>
        </w:rPr>
        <w:t>0</w:t>
      </w:r>
      <w:r w:rsidRPr="00216FB5">
        <w:rPr>
          <w:i/>
        </w:rPr>
        <w:t>= 1,000 ppm)</w:t>
      </w:r>
    </w:p>
    <w:p w14:paraId="47E99EC0" w14:textId="77777777" w:rsidR="00BA7FC8" w:rsidRPr="00216FB5" w:rsidRDefault="00BA7FC8" w:rsidP="00AD0CF6">
      <w:pPr>
        <w:spacing w:before="120" w:after="120"/>
      </w:pPr>
      <w:r w:rsidRPr="00216FB5">
        <w:t xml:space="preserve">It is worthwhile to note that, when DIPA is used in the absorbing solution, the COS conversion is not stable during the test, showing a decreasing trend observable after about 30 min by the starting of the test. </w:t>
      </w:r>
    </w:p>
    <w:p w14:paraId="687C0596" w14:textId="77777777" w:rsidR="00BA7FC8" w:rsidRPr="00216FB5" w:rsidRDefault="00BA7FC8" w:rsidP="00BA7FC8">
      <w:r w:rsidRPr="00216FB5">
        <w:rPr>
          <w:noProof/>
          <w:lang w:val="it-IT" w:eastAsia="it-IT"/>
        </w:rPr>
        <w:lastRenderedPageBreak/>
        <w:drawing>
          <wp:inline distT="0" distB="0" distL="0" distR="0" wp14:anchorId="3C5534A4" wp14:editId="2BD15889">
            <wp:extent cx="2967932" cy="1917864"/>
            <wp:effectExtent l="0" t="0" r="4445" b="635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67646" cy="1917679"/>
                    </a:xfrm>
                    <a:prstGeom prst="rect">
                      <a:avLst/>
                    </a:prstGeom>
                    <a:noFill/>
                  </pic:spPr>
                </pic:pic>
              </a:graphicData>
            </a:graphic>
          </wp:inline>
        </w:drawing>
      </w:r>
    </w:p>
    <w:p w14:paraId="78EF4386" w14:textId="77777777" w:rsidR="00BA7FC8" w:rsidRPr="00216FB5" w:rsidRDefault="00BA7FC8" w:rsidP="00BA7FC8">
      <w:pPr>
        <w:spacing w:before="240" w:after="240"/>
        <w:rPr>
          <w:i/>
        </w:rPr>
      </w:pPr>
      <w:r w:rsidRPr="00216FB5">
        <w:rPr>
          <w:i/>
        </w:rPr>
        <w:t>Figure 4: COS removal in DIPA solution with reaction volumes of 100 and 400 cm</w:t>
      </w:r>
      <w:r w:rsidRPr="00216FB5">
        <w:rPr>
          <w:i/>
          <w:vertAlign w:val="superscript"/>
        </w:rPr>
        <w:t>3</w:t>
      </w:r>
      <w:r w:rsidRPr="00216FB5">
        <w:rPr>
          <w:i/>
        </w:rPr>
        <w:t xml:space="preserve"> (C</w:t>
      </w:r>
      <w:r w:rsidRPr="00216FB5">
        <w:rPr>
          <w:i/>
          <w:vertAlign w:val="subscript"/>
        </w:rPr>
        <w:t>0</w:t>
      </w:r>
      <w:r w:rsidRPr="00216FB5">
        <w:rPr>
          <w:i/>
        </w:rPr>
        <w:t>= 1,000 ppm)</w:t>
      </w:r>
    </w:p>
    <w:p w14:paraId="0DFE6B70" w14:textId="77777777" w:rsidR="00BA7FC8" w:rsidRPr="00216FB5" w:rsidRDefault="00BA7FC8" w:rsidP="00AD0CF6">
      <w:pPr>
        <w:spacing w:before="120" w:after="120"/>
      </w:pPr>
      <w:r w:rsidRPr="00216FB5">
        <w:t xml:space="preserve">Considering this observation, the influence of COS inlet concentration was investigated using DEA </w:t>
      </w:r>
      <w:proofErr w:type="spellStart"/>
      <w:r w:rsidRPr="00216FB5">
        <w:t>alkanolamine</w:t>
      </w:r>
      <w:proofErr w:type="spellEnd"/>
      <w:r w:rsidRPr="00216FB5">
        <w:t>. The obtained results are shown in Figure 5.</w:t>
      </w:r>
    </w:p>
    <w:p w14:paraId="746C4F9F" w14:textId="77777777" w:rsidR="00BA7FC8" w:rsidRPr="00216FB5" w:rsidRDefault="00BA7FC8" w:rsidP="00BA7FC8">
      <w:r w:rsidRPr="00216FB5">
        <w:rPr>
          <w:noProof/>
          <w:lang w:val="it-IT" w:eastAsia="it-IT"/>
        </w:rPr>
        <w:drawing>
          <wp:inline distT="0" distB="0" distL="0" distR="0" wp14:anchorId="193E5B42" wp14:editId="083FC481">
            <wp:extent cx="2968831" cy="1873243"/>
            <wp:effectExtent l="0" t="0" r="3175"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0678" cy="1874409"/>
                    </a:xfrm>
                    <a:prstGeom prst="rect">
                      <a:avLst/>
                    </a:prstGeom>
                    <a:noFill/>
                  </pic:spPr>
                </pic:pic>
              </a:graphicData>
            </a:graphic>
          </wp:inline>
        </w:drawing>
      </w:r>
    </w:p>
    <w:p w14:paraId="7A377FD8" w14:textId="77777777" w:rsidR="00BA7FC8" w:rsidRPr="00216FB5" w:rsidRDefault="00BA7FC8" w:rsidP="00AD0CF6">
      <w:pPr>
        <w:spacing w:before="120"/>
        <w:rPr>
          <w:i/>
        </w:rPr>
      </w:pPr>
      <w:r w:rsidRPr="00216FB5">
        <w:rPr>
          <w:i/>
        </w:rPr>
        <w:t xml:space="preserve">Figure 5: COS removal (Q, </w:t>
      </w:r>
      <w:proofErr w:type="spellStart"/>
      <w:r w:rsidRPr="00216FB5">
        <w:rPr>
          <w:i/>
        </w:rPr>
        <w:t>mmol</w:t>
      </w:r>
      <w:proofErr w:type="spellEnd"/>
      <w:r w:rsidRPr="00216FB5">
        <w:rPr>
          <w:i/>
        </w:rPr>
        <w:t>/h) as function of the COS inlet concentration (C</w:t>
      </w:r>
      <w:r w:rsidRPr="00216FB5">
        <w:rPr>
          <w:i/>
          <w:vertAlign w:val="subscript"/>
        </w:rPr>
        <w:t xml:space="preserve">0 </w:t>
      </w:r>
      <w:r w:rsidRPr="00216FB5">
        <w:rPr>
          <w:i/>
        </w:rPr>
        <w:t xml:space="preserve">= 150 -1000 ppm) in 1 </w:t>
      </w:r>
      <w:proofErr w:type="spellStart"/>
      <w:r w:rsidRPr="00216FB5">
        <w:rPr>
          <w:i/>
        </w:rPr>
        <w:t>wt</w:t>
      </w:r>
      <w:proofErr w:type="spellEnd"/>
      <w:r w:rsidRPr="00216FB5">
        <w:rPr>
          <w:i/>
        </w:rPr>
        <w:t>% DEA solution, V = 100 cm</w:t>
      </w:r>
      <w:r w:rsidRPr="00216FB5">
        <w:rPr>
          <w:i/>
          <w:vertAlign w:val="superscript"/>
        </w:rPr>
        <w:t>3</w:t>
      </w:r>
    </w:p>
    <w:p w14:paraId="32F9F309" w14:textId="11F4E0F5" w:rsidR="00BA7FC8" w:rsidRPr="00216FB5" w:rsidRDefault="00BA7FC8" w:rsidP="00606099">
      <w:pPr>
        <w:spacing w:before="120"/>
      </w:pPr>
      <w:r w:rsidRPr="00216FB5">
        <w:t xml:space="preserve">The degree of COS removal grows linearly with the increasing of the COS inlet concentration. This behaviour could be indicative of the probable absence of limitations related to the mass transfer phenomena of COS molecules from the gas to the liquid phase and from the liquid-gas interface to the liquid bulk where the chemical reaction with </w:t>
      </w:r>
      <w:proofErr w:type="spellStart"/>
      <w:r w:rsidRPr="00216FB5">
        <w:t>alkanolamine</w:t>
      </w:r>
      <w:proofErr w:type="spellEnd"/>
      <w:r w:rsidRPr="00216FB5">
        <w:t xml:space="preserve"> occurs. In order to estimate the rate of the hydrolysis reaction for the different tested </w:t>
      </w:r>
      <w:proofErr w:type="spellStart"/>
      <w:r w:rsidRPr="00216FB5">
        <w:t>alkanolamines</w:t>
      </w:r>
      <w:proofErr w:type="spellEnd"/>
      <w:r w:rsidRPr="00216FB5">
        <w:t>, the reactor was assumed as a CSTR reactor.</w:t>
      </w:r>
      <w:r w:rsidR="00606099">
        <w:t xml:space="preserve"> </w:t>
      </w:r>
      <w:r w:rsidRPr="00216FB5">
        <w:t xml:space="preserve">The COS mass balance is reported in </w:t>
      </w:r>
      <w:proofErr w:type="spellStart"/>
      <w:r w:rsidRPr="00216FB5">
        <w:t>Eq</w:t>
      </w:r>
      <w:proofErr w:type="spellEnd"/>
      <w:r w:rsidRPr="00216FB5">
        <w:t>(4):</w:t>
      </w:r>
    </w:p>
    <w:p w14:paraId="39ED5D30" w14:textId="77777777" w:rsidR="00BA7FC8" w:rsidRPr="00216FB5" w:rsidRDefault="00BA7FC8" w:rsidP="00BA7FC8"/>
    <w:p w14:paraId="621CC7C3" w14:textId="77777777" w:rsidR="00BA7FC8" w:rsidRPr="00216FB5" w:rsidRDefault="00BA7FC8" w:rsidP="00BA7FC8">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 xml:space="preserve">f </m:t>
                </m:r>
              </m:sub>
            </m:sSub>
          </m:e>
        </m:d>
        <m:r>
          <w:rPr>
            <w:rFonts w:ascii="Cambria Math" w:hAnsi="Cambria Math"/>
          </w:rPr>
          <m:t>-r∙V=0</m:t>
        </m:r>
      </m:oMath>
      <w:r w:rsidRPr="00216FB5">
        <w:tab/>
      </w:r>
      <w:r w:rsidRPr="00216FB5">
        <w:tab/>
      </w:r>
      <w:r w:rsidRPr="00216FB5">
        <w:tab/>
        <w:t>(4)</w:t>
      </w:r>
    </w:p>
    <w:p w14:paraId="05286F11" w14:textId="77777777" w:rsidR="00BA7FC8" w:rsidRPr="00216FB5" w:rsidRDefault="00BA7FC8" w:rsidP="00BA7FC8"/>
    <w:p w14:paraId="7B398FE0" w14:textId="77777777" w:rsidR="00BA7FC8" w:rsidRPr="00216FB5" w:rsidRDefault="00BA7FC8" w:rsidP="00BA7FC8">
      <w:r w:rsidRPr="00216FB5">
        <w:t>where:</w:t>
      </w:r>
    </w:p>
    <w:p w14:paraId="6A51871F" w14:textId="77777777" w:rsidR="00BA7FC8" w:rsidRPr="00216FB5" w:rsidRDefault="00BA7FC8" w:rsidP="00BA7FC8">
      <w:r w:rsidRPr="00216FB5">
        <w:t>Q = Total volumetric flow rate [Ncm</w:t>
      </w:r>
      <w:r w:rsidRPr="00216FB5">
        <w:rPr>
          <w:vertAlign w:val="superscript"/>
        </w:rPr>
        <w:t>3</w:t>
      </w:r>
      <w:r w:rsidRPr="00216FB5">
        <w:rPr>
          <w:rFonts w:cs="Arial"/>
        </w:rPr>
        <w:t>·</w:t>
      </w:r>
      <w:r w:rsidRPr="00216FB5">
        <w:t>h</w:t>
      </w:r>
      <w:r w:rsidRPr="00216FB5">
        <w:rPr>
          <w:vertAlign w:val="superscript"/>
        </w:rPr>
        <w:t>-1</w:t>
      </w:r>
      <w:r w:rsidRPr="00216FB5">
        <w:t>]</w:t>
      </w:r>
    </w:p>
    <w:p w14:paraId="54B9AF1D" w14:textId="77777777" w:rsidR="00BA7FC8" w:rsidRPr="00216FB5" w:rsidRDefault="00BA7FC8" w:rsidP="00BA7FC8">
      <w:r w:rsidRPr="00216FB5">
        <w:t>C</w:t>
      </w:r>
      <w:r w:rsidRPr="00216FB5">
        <w:rPr>
          <w:vertAlign w:val="subscript"/>
        </w:rPr>
        <w:t>0</w:t>
      </w:r>
      <w:r w:rsidRPr="00216FB5">
        <w:t xml:space="preserve"> = Inlet COS molar concentration [mol</w:t>
      </w:r>
      <w:r w:rsidRPr="00216FB5">
        <w:rPr>
          <w:rFonts w:cs="Arial"/>
        </w:rPr>
        <w:t>·</w:t>
      </w:r>
      <w:r w:rsidRPr="00216FB5">
        <w:t>cm</w:t>
      </w:r>
      <w:r w:rsidRPr="00216FB5">
        <w:rPr>
          <w:vertAlign w:val="superscript"/>
        </w:rPr>
        <w:t>-3</w:t>
      </w:r>
      <w:r w:rsidRPr="00216FB5">
        <w:t>]</w:t>
      </w:r>
    </w:p>
    <w:p w14:paraId="727FD93A" w14:textId="77777777" w:rsidR="00BA7FC8" w:rsidRPr="00216FB5" w:rsidRDefault="00BA7FC8" w:rsidP="00BA7FC8">
      <w:proofErr w:type="spellStart"/>
      <w:r w:rsidRPr="00216FB5">
        <w:t>C</w:t>
      </w:r>
      <w:r w:rsidRPr="00216FB5">
        <w:rPr>
          <w:vertAlign w:val="subscript"/>
        </w:rPr>
        <w:t>f</w:t>
      </w:r>
      <w:proofErr w:type="spellEnd"/>
      <w:r w:rsidRPr="00216FB5">
        <w:t xml:space="preserve"> = Outlet COS molar concentration [mol</w:t>
      </w:r>
      <w:r w:rsidRPr="00216FB5">
        <w:rPr>
          <w:rFonts w:cs="Arial"/>
        </w:rPr>
        <w:t>·</w:t>
      </w:r>
      <w:r w:rsidRPr="00216FB5">
        <w:t>cm</w:t>
      </w:r>
      <w:r w:rsidRPr="00216FB5">
        <w:rPr>
          <w:vertAlign w:val="superscript"/>
        </w:rPr>
        <w:t>-3</w:t>
      </w:r>
      <w:r w:rsidRPr="00216FB5">
        <w:t>]</w:t>
      </w:r>
    </w:p>
    <w:p w14:paraId="2DBD8347" w14:textId="77777777" w:rsidR="00BA7FC8" w:rsidRPr="00216FB5" w:rsidRDefault="00BA7FC8" w:rsidP="00BA7FC8">
      <w:r w:rsidRPr="00216FB5">
        <w:t>r = Hydrolysis Reaction rate, [mol</w:t>
      </w:r>
      <w:r w:rsidRPr="00216FB5">
        <w:rPr>
          <w:rFonts w:cs="Arial"/>
        </w:rPr>
        <w:t>·cm</w:t>
      </w:r>
      <w:r w:rsidR="005D55F4" w:rsidRPr="005D55F4">
        <w:rPr>
          <w:rFonts w:cs="Arial"/>
          <w:vertAlign w:val="superscript"/>
        </w:rPr>
        <w:t>-</w:t>
      </w:r>
      <w:r w:rsidRPr="00216FB5">
        <w:rPr>
          <w:rFonts w:cs="Arial"/>
          <w:vertAlign w:val="superscript"/>
        </w:rPr>
        <w:t>3</w:t>
      </w:r>
      <w:r w:rsidRPr="00216FB5">
        <w:rPr>
          <w:rFonts w:cs="Arial"/>
        </w:rPr>
        <w:t>·</w:t>
      </w:r>
      <w:r w:rsidRPr="00216FB5">
        <w:t>h</w:t>
      </w:r>
      <w:r w:rsidRPr="00216FB5">
        <w:rPr>
          <w:vertAlign w:val="superscript"/>
        </w:rPr>
        <w:t>-1</w:t>
      </w:r>
      <w:r w:rsidRPr="00216FB5">
        <w:t>]</w:t>
      </w:r>
    </w:p>
    <w:p w14:paraId="5A620259" w14:textId="77777777" w:rsidR="00BA7FC8" w:rsidRPr="00216FB5" w:rsidRDefault="00BA7FC8" w:rsidP="00BA7FC8">
      <w:r w:rsidRPr="00216FB5">
        <w:t>V = Reaction volume [</w:t>
      </w:r>
      <w:r w:rsidRPr="00216FB5">
        <w:rPr>
          <w:rFonts w:cs="Arial"/>
        </w:rPr>
        <w:t>cm</w:t>
      </w:r>
      <w:r w:rsidRPr="00216FB5">
        <w:rPr>
          <w:rFonts w:cs="Arial"/>
          <w:vertAlign w:val="superscript"/>
        </w:rPr>
        <w:t>3</w:t>
      </w:r>
      <w:r w:rsidRPr="00216FB5">
        <w:t>]</w:t>
      </w:r>
    </w:p>
    <w:p w14:paraId="7D00FC13" w14:textId="77777777" w:rsidR="00BA7FC8" w:rsidRPr="00216FB5" w:rsidRDefault="00BA7FC8" w:rsidP="00BA7FC8"/>
    <w:p w14:paraId="29D36CC0" w14:textId="77777777" w:rsidR="00BA7FC8" w:rsidRPr="00216FB5" w:rsidRDefault="00BA7FC8" w:rsidP="00BA7FC8">
      <w:r w:rsidRPr="00216FB5">
        <w:t xml:space="preserve">The hydrolysis reaction rate was calculated in according to the following relationship </w:t>
      </w:r>
      <w:proofErr w:type="spellStart"/>
      <w:r w:rsidR="001F7093" w:rsidRPr="00216FB5">
        <w:t>Eq</w:t>
      </w:r>
      <w:proofErr w:type="spellEnd"/>
      <w:r w:rsidR="001F7093" w:rsidRPr="00216FB5">
        <w:t xml:space="preserve">(5) </w:t>
      </w:r>
      <w:r w:rsidRPr="00216FB5">
        <w:t>and the obtained values are reported in Table 2.</w:t>
      </w:r>
    </w:p>
    <w:p w14:paraId="2EFFC15E" w14:textId="77777777" w:rsidR="00BA7FC8" w:rsidRPr="00216FB5" w:rsidRDefault="00BA7FC8" w:rsidP="00BA7FC8"/>
    <w:p w14:paraId="24A9EECB" w14:textId="3355E733" w:rsidR="00BA7FC8" w:rsidRDefault="00BA7FC8" w:rsidP="00BA7FC8">
      <m:oMath>
        <m:r>
          <w:rPr>
            <w:rFonts w:ascii="Cambria Math" w:hAnsi="Cambria Math"/>
          </w:rPr>
          <m:t>r=Q∙</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 xml:space="preserve">f </m:t>
                    </m:r>
                  </m:sub>
                </m:sSub>
              </m:e>
            </m:d>
          </m:num>
          <m:den>
            <m:r>
              <w:rPr>
                <w:rFonts w:ascii="Cambria Math" w:hAnsi="Cambria Math"/>
              </w:rPr>
              <m:t>V</m:t>
            </m:r>
          </m:den>
        </m:f>
      </m:oMath>
      <w:r w:rsidRPr="00216FB5">
        <w:tab/>
      </w:r>
      <w:r w:rsidRPr="00216FB5">
        <w:tab/>
      </w:r>
      <w:r w:rsidRPr="00216FB5">
        <w:tab/>
        <w:t>(5)</w:t>
      </w:r>
    </w:p>
    <w:p w14:paraId="263AABB4" w14:textId="77777777" w:rsidR="00426F72" w:rsidRPr="00216FB5" w:rsidRDefault="00426F72" w:rsidP="00BA7FC8"/>
    <w:p w14:paraId="33D9D695" w14:textId="77777777" w:rsidR="002D2F77" w:rsidRDefault="002D2F77" w:rsidP="001D6BF3">
      <w:pPr>
        <w:spacing w:before="240" w:after="240"/>
        <w:jc w:val="left"/>
        <w:rPr>
          <w:i/>
        </w:rPr>
      </w:pPr>
    </w:p>
    <w:p w14:paraId="4709E2D4" w14:textId="77777777" w:rsidR="00BA7FC8" w:rsidRPr="00216FB5" w:rsidRDefault="00BA7FC8" w:rsidP="001D6BF3">
      <w:pPr>
        <w:spacing w:before="240" w:after="240"/>
        <w:jc w:val="left"/>
        <w:rPr>
          <w:i/>
        </w:rPr>
      </w:pPr>
      <w:r w:rsidRPr="00216FB5">
        <w:rPr>
          <w:i/>
        </w:rPr>
        <w:lastRenderedPageBreak/>
        <w:t>Table 2 : Hydrolysis Reaction Rate of the amines (C</w:t>
      </w:r>
      <w:r w:rsidRPr="00216FB5">
        <w:rPr>
          <w:i/>
          <w:vertAlign w:val="subscript"/>
        </w:rPr>
        <w:t>0</w:t>
      </w:r>
      <w:r w:rsidRPr="00216FB5">
        <w:rPr>
          <w:i/>
        </w:rPr>
        <w:t>=1000 ppm, V=400 cm</w:t>
      </w:r>
      <w:r w:rsidRPr="00216FB5">
        <w:rPr>
          <w:i/>
          <w:vertAlign w:val="superscript"/>
        </w:rPr>
        <w:t>3</w:t>
      </w:r>
      <w:r w:rsidRPr="00216FB5">
        <w:rPr>
          <w:i/>
        </w:rPr>
        <w:t>)</w:t>
      </w:r>
    </w:p>
    <w:tbl>
      <w:tblPr>
        <w:tblStyle w:val="Grigliatabella"/>
        <w:tblW w:w="0" w:type="auto"/>
        <w:tblBorders>
          <w:top w:val="single" w:sz="12" w:space="0" w:color="00B050"/>
          <w:left w:val="none" w:sz="0" w:space="0" w:color="auto"/>
          <w:bottom w:val="single" w:sz="12" w:space="0" w:color="00B050"/>
          <w:right w:val="none" w:sz="0" w:space="0" w:color="auto"/>
          <w:insideH w:val="single" w:sz="6" w:space="0" w:color="00B050"/>
          <w:insideV w:val="none" w:sz="0" w:space="0" w:color="auto"/>
        </w:tblBorders>
        <w:tblLook w:val="04A0" w:firstRow="1" w:lastRow="0" w:firstColumn="1" w:lastColumn="0" w:noHBand="0" w:noVBand="1"/>
      </w:tblPr>
      <w:tblGrid>
        <w:gridCol w:w="1809"/>
        <w:gridCol w:w="1701"/>
      </w:tblGrid>
      <w:tr w:rsidR="00BA7FC8" w:rsidRPr="00216FB5" w14:paraId="04C25EB6" w14:textId="77777777" w:rsidTr="00DB2449">
        <w:tc>
          <w:tcPr>
            <w:tcW w:w="1809" w:type="dxa"/>
          </w:tcPr>
          <w:p w14:paraId="614FAA8B" w14:textId="77777777" w:rsidR="00BA7FC8" w:rsidRPr="00216FB5" w:rsidRDefault="00BA7FC8" w:rsidP="00DB2449">
            <w:pPr>
              <w:rPr>
                <w:b/>
              </w:rPr>
            </w:pPr>
            <w:r w:rsidRPr="00216FB5">
              <w:rPr>
                <w:b/>
              </w:rPr>
              <w:t>Amines</w:t>
            </w:r>
          </w:p>
        </w:tc>
        <w:tc>
          <w:tcPr>
            <w:tcW w:w="1701" w:type="dxa"/>
          </w:tcPr>
          <w:p w14:paraId="484E73EE" w14:textId="77777777" w:rsidR="00BA7FC8" w:rsidRPr="00216FB5" w:rsidRDefault="00BA7FC8" w:rsidP="00DB2449">
            <w:pPr>
              <w:rPr>
                <w:b/>
              </w:rPr>
            </w:pPr>
            <w:r w:rsidRPr="00216FB5">
              <w:rPr>
                <w:b/>
              </w:rPr>
              <w:t>r, mol</w:t>
            </w:r>
            <w:r w:rsidRPr="00216FB5">
              <w:rPr>
                <w:rFonts w:cs="Arial"/>
                <w:b/>
              </w:rPr>
              <w:t>·</w:t>
            </w:r>
            <w:r w:rsidRPr="00216FB5">
              <w:rPr>
                <w:b/>
              </w:rPr>
              <w:t>cm</w:t>
            </w:r>
            <w:r w:rsidRPr="00216FB5">
              <w:rPr>
                <w:b/>
                <w:vertAlign w:val="superscript"/>
              </w:rPr>
              <w:t>3</w:t>
            </w:r>
            <w:r w:rsidRPr="00216FB5">
              <w:rPr>
                <w:rFonts w:cs="Arial"/>
                <w:b/>
              </w:rPr>
              <w:t>·</w:t>
            </w:r>
            <w:r w:rsidRPr="00216FB5">
              <w:rPr>
                <w:b/>
              </w:rPr>
              <w:t>h</w:t>
            </w:r>
            <w:r w:rsidRPr="00216FB5">
              <w:rPr>
                <w:b/>
                <w:vertAlign w:val="superscript"/>
              </w:rPr>
              <w:t>-1</w:t>
            </w:r>
          </w:p>
        </w:tc>
      </w:tr>
      <w:tr w:rsidR="00BA7FC8" w:rsidRPr="00216FB5" w14:paraId="3B79009F" w14:textId="77777777" w:rsidTr="00DB2449">
        <w:tc>
          <w:tcPr>
            <w:tcW w:w="1809" w:type="dxa"/>
          </w:tcPr>
          <w:p w14:paraId="2FB81927" w14:textId="77777777" w:rsidR="00BA7FC8" w:rsidRPr="00216FB5" w:rsidRDefault="00BA7FC8" w:rsidP="00DB2449">
            <w:r w:rsidRPr="00216FB5">
              <w:t>MEA</w:t>
            </w:r>
          </w:p>
        </w:tc>
        <w:tc>
          <w:tcPr>
            <w:tcW w:w="1701" w:type="dxa"/>
          </w:tcPr>
          <w:p w14:paraId="44A9A703" w14:textId="77777777" w:rsidR="00BA7FC8" w:rsidRPr="00216FB5" w:rsidRDefault="00BA7FC8" w:rsidP="00DB2449">
            <w:r w:rsidRPr="00216FB5">
              <w:t xml:space="preserve">1.0 </w:t>
            </w:r>
            <w:r w:rsidRPr="00216FB5">
              <w:rPr>
                <w:rFonts w:cs="Arial"/>
              </w:rPr>
              <w:t>·</w:t>
            </w:r>
            <w:r w:rsidRPr="00216FB5">
              <w:t>10</w:t>
            </w:r>
            <w:r w:rsidRPr="00216FB5">
              <w:rPr>
                <w:vertAlign w:val="superscript"/>
              </w:rPr>
              <w:t>-6</w:t>
            </w:r>
          </w:p>
        </w:tc>
      </w:tr>
      <w:tr w:rsidR="00BA7FC8" w:rsidRPr="00216FB5" w14:paraId="00FA5AC6" w14:textId="77777777" w:rsidTr="00DB2449">
        <w:tc>
          <w:tcPr>
            <w:tcW w:w="1809" w:type="dxa"/>
          </w:tcPr>
          <w:p w14:paraId="2C19A822" w14:textId="77777777" w:rsidR="00BA7FC8" w:rsidRPr="00216FB5" w:rsidRDefault="00BA7FC8" w:rsidP="00DB2449">
            <w:r w:rsidRPr="00216FB5">
              <w:t>DEA</w:t>
            </w:r>
          </w:p>
        </w:tc>
        <w:tc>
          <w:tcPr>
            <w:tcW w:w="1701" w:type="dxa"/>
          </w:tcPr>
          <w:p w14:paraId="6F53E80E" w14:textId="77777777" w:rsidR="00BA7FC8" w:rsidRPr="00216FB5" w:rsidRDefault="00BA7FC8" w:rsidP="00DB2449">
            <w:r w:rsidRPr="00216FB5">
              <w:t xml:space="preserve">8.0 </w:t>
            </w:r>
            <w:r w:rsidRPr="00216FB5">
              <w:rPr>
                <w:rFonts w:cs="Arial"/>
              </w:rPr>
              <w:t>·</w:t>
            </w:r>
            <w:r w:rsidRPr="00216FB5">
              <w:t>10</w:t>
            </w:r>
            <w:r w:rsidRPr="00216FB5">
              <w:rPr>
                <w:vertAlign w:val="superscript"/>
              </w:rPr>
              <w:t>-7</w:t>
            </w:r>
          </w:p>
        </w:tc>
      </w:tr>
      <w:tr w:rsidR="00BA7FC8" w:rsidRPr="00216FB5" w14:paraId="0021BBE9" w14:textId="77777777" w:rsidTr="00DB2449">
        <w:tc>
          <w:tcPr>
            <w:tcW w:w="1809" w:type="dxa"/>
          </w:tcPr>
          <w:p w14:paraId="1F7910CF" w14:textId="77777777" w:rsidR="00BA7FC8" w:rsidRPr="00216FB5" w:rsidRDefault="00BA7FC8" w:rsidP="00DB2449">
            <w:r w:rsidRPr="00216FB5">
              <w:t>DIPA</w:t>
            </w:r>
          </w:p>
        </w:tc>
        <w:tc>
          <w:tcPr>
            <w:tcW w:w="1701" w:type="dxa"/>
          </w:tcPr>
          <w:p w14:paraId="0286957E" w14:textId="77777777" w:rsidR="00BA7FC8" w:rsidRPr="00216FB5" w:rsidRDefault="00BA7FC8" w:rsidP="00DB2449">
            <w:r w:rsidRPr="00216FB5">
              <w:t>9.0 ·10</w:t>
            </w:r>
            <w:r w:rsidRPr="00216FB5">
              <w:rPr>
                <w:vertAlign w:val="superscript"/>
              </w:rPr>
              <w:t>-7</w:t>
            </w:r>
          </w:p>
        </w:tc>
      </w:tr>
      <w:tr w:rsidR="00BA7FC8" w:rsidRPr="00216FB5" w14:paraId="206BB3D6" w14:textId="77777777" w:rsidTr="00DB2449">
        <w:tc>
          <w:tcPr>
            <w:tcW w:w="1809" w:type="dxa"/>
          </w:tcPr>
          <w:p w14:paraId="29328D29" w14:textId="77777777" w:rsidR="00BA7FC8" w:rsidRPr="00216FB5" w:rsidRDefault="00BA7FC8" w:rsidP="00DB2449">
            <w:r w:rsidRPr="00216FB5">
              <w:t>MDEA</w:t>
            </w:r>
          </w:p>
        </w:tc>
        <w:tc>
          <w:tcPr>
            <w:tcW w:w="1701" w:type="dxa"/>
          </w:tcPr>
          <w:p w14:paraId="135E36DF" w14:textId="77777777" w:rsidR="00BA7FC8" w:rsidRPr="00216FB5" w:rsidRDefault="00BA7FC8" w:rsidP="00DB2449">
            <w:r w:rsidRPr="00216FB5">
              <w:t>2.0 ·10</w:t>
            </w:r>
            <w:r w:rsidRPr="00216FB5">
              <w:rPr>
                <w:vertAlign w:val="superscript"/>
              </w:rPr>
              <w:t>-7</w:t>
            </w:r>
          </w:p>
        </w:tc>
      </w:tr>
    </w:tbl>
    <w:p w14:paraId="5EDED804" w14:textId="72A62317" w:rsidR="00426F72" w:rsidRDefault="00BA7FC8" w:rsidP="00426F72">
      <w:pPr>
        <w:spacing w:before="120" w:after="120"/>
      </w:pPr>
      <w:r w:rsidRPr="00216FB5">
        <w:t>Very similar values of the hydrolysis reaction rates were obtained for MEA, DEA and DIPA.</w:t>
      </w:r>
      <w:r w:rsidR="00033CE6">
        <w:t xml:space="preserve"> </w:t>
      </w:r>
      <w:r w:rsidRPr="00216FB5">
        <w:t xml:space="preserve">Based on the previous considerations regarding the use of MEA and DIPA, the kinetic constant was calculated only for DEA. According to the literature, the reaction of COS in DEA aqueous solutions is generally represented by the zwitterion mechanism </w:t>
      </w:r>
      <w:proofErr w:type="spellStart"/>
      <w:r w:rsidRPr="00216FB5">
        <w:t>Eq</w:t>
      </w:r>
      <w:proofErr w:type="spellEnd"/>
      <w:r w:rsidRPr="00216FB5">
        <w:t>(6-7) (</w:t>
      </w:r>
      <w:proofErr w:type="spellStart"/>
      <w:r w:rsidRPr="00216FB5">
        <w:t>Amar</w:t>
      </w:r>
      <w:r w:rsidR="00E6481B">
        <w:t>ar</w:t>
      </w:r>
      <w:r w:rsidRPr="00216FB5">
        <w:t>ene</w:t>
      </w:r>
      <w:proofErr w:type="spellEnd"/>
      <w:r w:rsidRPr="00216FB5">
        <w:t xml:space="preserve"> et al., 2004). </w:t>
      </w:r>
    </w:p>
    <w:p w14:paraId="26120DA6" w14:textId="77777777" w:rsidR="00BA7FC8" w:rsidRPr="00216FB5" w:rsidRDefault="00BA7FC8" w:rsidP="00426F72">
      <m:oMath>
        <m:r>
          <w:rPr>
            <w:rFonts w:ascii="Cambria Math" w:hAnsi="Cambria Math"/>
          </w:rPr>
          <m:t>COS+</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OH)</m:t>
            </m:r>
          </m:e>
          <m:sub>
            <m:r>
              <w:rPr>
                <w:rFonts w:ascii="Cambria Math" w:hAnsi="Cambria Math"/>
              </w:rPr>
              <m:t>2</m:t>
            </m:r>
          </m:sub>
        </m:sSub>
        <m:r>
          <w:rPr>
            <w:rFonts w:ascii="Cambria Math" w:hAnsi="Cambria Math"/>
          </w:rPr>
          <m:t xml:space="preserve">NH↔ </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OH)</m:t>
            </m:r>
          </m:e>
          <m:sub>
            <m:r>
              <w:rPr>
                <w:rFonts w:ascii="Cambria Math" w:hAnsi="Cambria Math"/>
              </w:rPr>
              <m:t>2</m:t>
            </m:r>
          </m:sub>
        </m:sSub>
        <m:r>
          <w:rPr>
            <w:rFonts w:ascii="Cambria Math" w:hAnsi="Cambria Math"/>
          </w:rPr>
          <m:t>N</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CO</m:t>
        </m:r>
        <m:sSup>
          <m:sSupPr>
            <m:ctrlPr>
              <w:rPr>
                <w:rFonts w:ascii="Cambria Math" w:hAnsi="Cambria Math"/>
                <w:i/>
              </w:rPr>
            </m:ctrlPr>
          </m:sSupPr>
          <m:e>
            <m:r>
              <w:rPr>
                <w:rFonts w:ascii="Cambria Math" w:hAnsi="Cambria Math"/>
              </w:rPr>
              <m:t>S</m:t>
            </m:r>
          </m:e>
          <m:sup>
            <m:r>
              <w:rPr>
                <w:rFonts w:ascii="Cambria Math" w:hAnsi="Cambria Math"/>
              </w:rPr>
              <m:t>-</m:t>
            </m:r>
          </m:sup>
        </m:sSup>
      </m:oMath>
      <w:r w:rsidRPr="00216FB5">
        <w:tab/>
      </w:r>
      <w:r w:rsidRPr="00216FB5">
        <w:tab/>
      </w:r>
      <w:r w:rsidRPr="00216FB5">
        <w:tab/>
        <w:t>(6)</w:t>
      </w:r>
    </w:p>
    <w:p w14:paraId="1DA26296" w14:textId="77777777" w:rsidR="00BA7FC8" w:rsidRPr="00216FB5" w:rsidRDefault="00BA7FC8" w:rsidP="00BA7FC8"/>
    <w:p w14:paraId="79ACE0B1" w14:textId="77777777" w:rsidR="00BA7FC8" w:rsidRPr="00216FB5" w:rsidRDefault="008C75F4" w:rsidP="00BA7FC8">
      <m:oMath>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OH)</m:t>
            </m:r>
          </m:e>
          <m:sub>
            <m:r>
              <w:rPr>
                <w:rFonts w:ascii="Cambria Math" w:hAnsi="Cambria Math"/>
              </w:rPr>
              <m:t>2</m:t>
            </m:r>
          </m:sub>
        </m:sSub>
        <m:r>
          <w:rPr>
            <w:rFonts w:ascii="Cambria Math" w:hAnsi="Cambria Math"/>
          </w:rPr>
          <m:t>N</m:t>
        </m:r>
        <m:sSup>
          <m:sSupPr>
            <m:ctrlPr>
              <w:rPr>
                <w:rFonts w:ascii="Cambria Math" w:hAnsi="Cambria Math"/>
                <w:i/>
              </w:rPr>
            </m:ctrlPr>
          </m:sSupPr>
          <m:e>
            <m:r>
              <w:rPr>
                <w:rFonts w:ascii="Cambria Math" w:hAnsi="Cambria Math"/>
              </w:rPr>
              <m:t>H</m:t>
            </m:r>
          </m:e>
          <m:sup>
            <m:r>
              <w:rPr>
                <w:rFonts w:ascii="Cambria Math" w:hAnsi="Cambria Math"/>
              </w:rPr>
              <m:t>+</m:t>
            </m:r>
          </m:sup>
        </m:sSup>
        <m:r>
          <w:rPr>
            <w:rFonts w:ascii="Cambria Math" w:hAnsi="Cambria Math"/>
          </w:rPr>
          <m:t>CO</m:t>
        </m:r>
        <m:sSup>
          <m:sSupPr>
            <m:ctrlPr>
              <w:rPr>
                <w:rFonts w:ascii="Cambria Math" w:hAnsi="Cambria Math"/>
                <w:i/>
              </w:rPr>
            </m:ctrlPr>
          </m:sSupPr>
          <m:e>
            <m:r>
              <w:rPr>
                <w:rFonts w:ascii="Cambria Math" w:hAnsi="Cambria Math"/>
              </w:rPr>
              <m:t>S</m:t>
            </m:r>
          </m:e>
          <m:sup>
            <m:r>
              <w:rPr>
                <w:rFonts w:ascii="Cambria Math" w:hAnsi="Cambria Math"/>
              </w:rPr>
              <m:t>-</m:t>
            </m:r>
          </m:sup>
        </m:sSup>
        <m:r>
          <w:rPr>
            <w:rFonts w:ascii="Cambria Math" w:hAnsi="Cambria Math"/>
          </w:rPr>
          <m:t xml:space="preserve">+b→ </m:t>
        </m:r>
        <m:sSub>
          <m:sSubPr>
            <m:ctrlPr>
              <w:rPr>
                <w:rFonts w:ascii="Cambria Math" w:hAnsi="Cambria Math"/>
                <w:i/>
              </w:rPr>
            </m:ctrlPr>
          </m:sSubPr>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2</m:t>
                </m:r>
              </m:sub>
            </m:sSub>
            <m:sSub>
              <m:sSubPr>
                <m:ctrlPr>
                  <w:rPr>
                    <w:rFonts w:ascii="Cambria Math" w:hAnsi="Cambria Math"/>
                    <w:i/>
                  </w:rPr>
                </m:ctrlPr>
              </m:sSubPr>
              <m:e>
                <m:r>
                  <w:rPr>
                    <w:rFonts w:ascii="Cambria Math" w:hAnsi="Cambria Math"/>
                  </w:rPr>
                  <m:t>H</m:t>
                </m:r>
              </m:e>
              <m:sub>
                <m:r>
                  <w:rPr>
                    <w:rFonts w:ascii="Cambria Math" w:hAnsi="Cambria Math"/>
                  </w:rPr>
                  <m:t>4</m:t>
                </m:r>
              </m:sub>
            </m:sSub>
            <m:r>
              <w:rPr>
                <w:rFonts w:ascii="Cambria Math" w:hAnsi="Cambria Math"/>
              </w:rPr>
              <m:t>OH)</m:t>
            </m:r>
          </m:e>
          <m:sub>
            <m:r>
              <w:rPr>
                <w:rFonts w:ascii="Cambria Math" w:hAnsi="Cambria Math"/>
              </w:rPr>
              <m:t>2</m:t>
            </m:r>
          </m:sub>
        </m:sSub>
        <m:r>
          <w:rPr>
            <w:rFonts w:ascii="Cambria Math" w:hAnsi="Cambria Math"/>
          </w:rPr>
          <m:t>NCO</m:t>
        </m:r>
        <m:sSup>
          <m:sSupPr>
            <m:ctrlPr>
              <w:rPr>
                <w:rFonts w:ascii="Cambria Math" w:hAnsi="Cambria Math"/>
                <w:i/>
              </w:rPr>
            </m:ctrlPr>
          </m:sSupPr>
          <m:e>
            <m:r>
              <w:rPr>
                <w:rFonts w:ascii="Cambria Math" w:hAnsi="Cambria Math"/>
              </w:rPr>
              <m:t>S</m:t>
            </m:r>
          </m:e>
          <m:sup>
            <m:r>
              <w:rPr>
                <w:rFonts w:ascii="Cambria Math" w:hAnsi="Cambria Math"/>
              </w:rPr>
              <m:t>-</m:t>
            </m:r>
          </m:sup>
        </m:sSup>
        <m:sSup>
          <m:sSupPr>
            <m:ctrlPr>
              <w:rPr>
                <w:rFonts w:ascii="Cambria Math" w:hAnsi="Cambria Math"/>
                <w:i/>
              </w:rPr>
            </m:ctrlPr>
          </m:sSupPr>
          <m:e>
            <m:r>
              <w:rPr>
                <w:rFonts w:ascii="Cambria Math" w:hAnsi="Cambria Math"/>
              </w:rPr>
              <m:t>+ bH</m:t>
            </m:r>
          </m:e>
          <m:sup>
            <m:r>
              <w:rPr>
                <w:rFonts w:ascii="Cambria Math" w:hAnsi="Cambria Math"/>
              </w:rPr>
              <m:t>+</m:t>
            </m:r>
          </m:sup>
        </m:sSup>
      </m:oMath>
      <w:r w:rsidR="00BA7FC8" w:rsidRPr="00216FB5">
        <w:tab/>
      </w:r>
      <w:r w:rsidR="00BA7FC8" w:rsidRPr="00216FB5">
        <w:tab/>
      </w:r>
      <w:r w:rsidR="00BA7FC8" w:rsidRPr="00216FB5">
        <w:tab/>
        <w:t>(7)</w:t>
      </w:r>
    </w:p>
    <w:p w14:paraId="7834DC16" w14:textId="77777777" w:rsidR="00BA7FC8" w:rsidRPr="00216FB5" w:rsidRDefault="00BA7FC8" w:rsidP="00BA7FC8"/>
    <w:p w14:paraId="1EEC2684" w14:textId="77777777" w:rsidR="00BA7FC8" w:rsidRPr="00216FB5" w:rsidRDefault="00BA7FC8" w:rsidP="00BA7FC8">
      <w:r w:rsidRPr="00216FB5">
        <w:t>The deprotonation reaction is considered as limiting step, implying the participation of a second molecule of DEA (b).</w:t>
      </w:r>
      <w:r w:rsidRPr="00216FB5" w:rsidDel="00FD0F00">
        <w:t xml:space="preserve"> </w:t>
      </w:r>
      <w:r w:rsidRPr="00216FB5">
        <w:t xml:space="preserve">Therefore, it was assumed that the reaction between COS and DEA aqueous solutions is irreversible and is of the first order with respect to COS and second order with respect to DEA concentration </w:t>
      </w:r>
      <w:proofErr w:type="spellStart"/>
      <w:r w:rsidRPr="00216FB5">
        <w:t>Eq</w:t>
      </w:r>
      <w:proofErr w:type="spellEnd"/>
      <w:r w:rsidRPr="00216FB5">
        <w:t>(8):</w:t>
      </w:r>
    </w:p>
    <w:p w14:paraId="648E466E" w14:textId="77777777" w:rsidR="00BA7FC8" w:rsidRPr="00216FB5" w:rsidRDefault="00BA7FC8" w:rsidP="00BA7FC8"/>
    <w:p w14:paraId="4130D7CE" w14:textId="77777777" w:rsidR="00BA7FC8" w:rsidRPr="00216FB5" w:rsidRDefault="00BA7FC8" w:rsidP="00BA7FC8">
      <m:oMath>
        <m:r>
          <w:rPr>
            <w:rFonts w:ascii="Cambria Math" w:hAnsi="Cambria Math"/>
          </w:rPr>
          <m:t>r=</m:t>
        </m:r>
        <m:sSub>
          <m:sSubPr>
            <m:ctrlPr>
              <w:rPr>
                <w:rFonts w:ascii="Cambria Math" w:hAnsi="Cambria Math"/>
                <w:i/>
              </w:rPr>
            </m:ctrlPr>
          </m:sSubPr>
          <m:e>
            <m:r>
              <w:rPr>
                <w:rFonts w:ascii="Cambria Math" w:hAnsi="Cambria Math"/>
              </w:rPr>
              <m:t>K</m:t>
            </m:r>
          </m:e>
          <m:sub>
            <m:r>
              <w:rPr>
                <w:rFonts w:ascii="Cambria Math" w:hAnsi="Cambria Math"/>
              </w:rPr>
              <m:t>COS-DEA</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COS</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DEA</m:t>
            </m:r>
          </m:sub>
          <m:sup>
            <m:r>
              <w:rPr>
                <w:rFonts w:ascii="Cambria Math" w:hAnsi="Cambria Math"/>
              </w:rPr>
              <m:t>2</m:t>
            </m:r>
          </m:sup>
        </m:sSubSup>
      </m:oMath>
      <w:r w:rsidRPr="00216FB5">
        <w:tab/>
      </w:r>
      <w:r w:rsidRPr="00216FB5">
        <w:tab/>
      </w:r>
      <w:r w:rsidRPr="00216FB5">
        <w:tab/>
        <w:t>(8)</w:t>
      </w:r>
    </w:p>
    <w:p w14:paraId="09D3DE9E" w14:textId="77777777" w:rsidR="00BA7FC8" w:rsidRPr="00216FB5" w:rsidRDefault="00BA7FC8" w:rsidP="00BA7FC8"/>
    <w:p w14:paraId="201012A4" w14:textId="77777777" w:rsidR="00BA7FC8" w:rsidRPr="00216FB5" w:rsidRDefault="00BA7FC8" w:rsidP="00BA7FC8">
      <w:r w:rsidRPr="00216FB5">
        <w:t xml:space="preserve">Since all the reactions were studied with a large excess of </w:t>
      </w:r>
      <w:proofErr w:type="spellStart"/>
      <w:r w:rsidRPr="00216FB5">
        <w:t>alkanolamine</w:t>
      </w:r>
      <w:proofErr w:type="spellEnd"/>
      <w:r w:rsidRPr="00216FB5">
        <w:t xml:space="preserve"> over COS, a good pseudo-first order equation can be considered </w:t>
      </w:r>
      <w:proofErr w:type="spellStart"/>
      <w:r w:rsidRPr="00216FB5">
        <w:t>Eq</w:t>
      </w:r>
      <w:proofErr w:type="spellEnd"/>
      <w:r w:rsidRPr="00216FB5">
        <w:t>(9):</w:t>
      </w:r>
    </w:p>
    <w:p w14:paraId="23A7DCBF" w14:textId="77777777" w:rsidR="00BA7FC8" w:rsidRPr="00216FB5" w:rsidRDefault="00BA7FC8" w:rsidP="00BA7FC8"/>
    <w:p w14:paraId="79CC4394" w14:textId="77777777" w:rsidR="00BA7FC8" w:rsidRPr="00216FB5" w:rsidRDefault="00BA7FC8" w:rsidP="00BA7FC8">
      <m:oMath>
        <m:r>
          <w:rPr>
            <w:rFonts w:ascii="Cambria Math" w:hAnsi="Cambria Math"/>
          </w:rPr>
          <m:t>r=</m:t>
        </m:r>
        <m:sSub>
          <m:sSubPr>
            <m:ctrlPr>
              <w:rPr>
                <w:rFonts w:ascii="Cambria Math" w:hAnsi="Cambria Math"/>
                <w:i/>
              </w:rPr>
            </m:ctrlPr>
          </m:sSubPr>
          <m:e>
            <m:r>
              <w:rPr>
                <w:rFonts w:ascii="Cambria Math" w:hAnsi="Cambria Math"/>
              </w:rPr>
              <m:t>K</m:t>
            </m:r>
          </m:e>
          <m:sub>
            <m:r>
              <w:rPr>
                <w:rFonts w:ascii="Cambria Math" w:hAnsi="Cambria Math"/>
              </w:rPr>
              <m:t>app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COS</m:t>
            </m:r>
          </m:sub>
        </m:sSub>
      </m:oMath>
      <w:r w:rsidRPr="00216FB5">
        <w:tab/>
      </w:r>
      <w:r w:rsidRPr="00216FB5">
        <w:tab/>
      </w:r>
      <w:r w:rsidRPr="00216FB5">
        <w:tab/>
        <w:t>(9)</w:t>
      </w:r>
    </w:p>
    <w:p w14:paraId="2C498DD0" w14:textId="77777777" w:rsidR="00BA7FC8" w:rsidRPr="00216FB5" w:rsidRDefault="00BA7FC8" w:rsidP="00BA7FC8"/>
    <w:p w14:paraId="1CD22095" w14:textId="77777777" w:rsidR="00BA7FC8" w:rsidRPr="00216FB5" w:rsidRDefault="00BA7FC8" w:rsidP="00BA7FC8">
      <w:r w:rsidRPr="00216FB5">
        <w:t xml:space="preserve">and </w:t>
      </w:r>
      <w:proofErr w:type="spellStart"/>
      <w:r w:rsidRPr="00216FB5">
        <w:t>K</w:t>
      </w:r>
      <w:r w:rsidRPr="00216FB5">
        <w:rPr>
          <w:vertAlign w:val="subscript"/>
        </w:rPr>
        <w:t>app</w:t>
      </w:r>
      <w:proofErr w:type="spellEnd"/>
      <w:r w:rsidRPr="00216FB5">
        <w:t xml:space="preserve"> can be therefore expressed by means of </w:t>
      </w:r>
      <w:proofErr w:type="spellStart"/>
      <w:r w:rsidRPr="00216FB5">
        <w:t>Eq</w:t>
      </w:r>
      <w:proofErr w:type="spellEnd"/>
      <w:r w:rsidRPr="00216FB5">
        <w:t>(10):</w:t>
      </w:r>
    </w:p>
    <w:p w14:paraId="4438BA90" w14:textId="77777777" w:rsidR="00BA7FC8" w:rsidRPr="00216FB5" w:rsidRDefault="00BA7FC8" w:rsidP="00BA7FC8"/>
    <w:p w14:paraId="4F59F643" w14:textId="77777777" w:rsidR="00BA7FC8" w:rsidRPr="00216FB5" w:rsidRDefault="008C75F4" w:rsidP="00BA7FC8">
      <m:oMath>
        <m:sSub>
          <m:sSubPr>
            <m:ctrlPr>
              <w:rPr>
                <w:rFonts w:ascii="Cambria Math" w:hAnsi="Cambria Math"/>
                <w:i/>
              </w:rPr>
            </m:ctrlPr>
          </m:sSubPr>
          <m:e>
            <m:r>
              <w:rPr>
                <w:rFonts w:ascii="Cambria Math" w:hAnsi="Cambria Math"/>
              </w:rPr>
              <m:t>K</m:t>
            </m:r>
          </m:e>
          <m:sub>
            <m:r>
              <w:rPr>
                <w:rFonts w:ascii="Cambria Math" w:hAnsi="Cambria Math"/>
              </w:rPr>
              <m:t>app</m:t>
            </m:r>
          </m:sub>
        </m:sSub>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COS-DEA</m:t>
            </m:r>
          </m:sub>
        </m:sSub>
        <m:r>
          <w:rPr>
            <w:rFonts w:ascii="Cambria Math" w:hAnsi="Cambria Math"/>
          </w:rPr>
          <m:t>·</m:t>
        </m:r>
        <m:sSubSup>
          <m:sSubSupPr>
            <m:ctrlPr>
              <w:rPr>
                <w:rFonts w:ascii="Cambria Math" w:hAnsi="Cambria Math"/>
                <w:i/>
              </w:rPr>
            </m:ctrlPr>
          </m:sSubSupPr>
          <m:e>
            <m:r>
              <w:rPr>
                <w:rFonts w:ascii="Cambria Math" w:hAnsi="Cambria Math"/>
              </w:rPr>
              <m:t>C</m:t>
            </m:r>
          </m:e>
          <m:sub>
            <m:r>
              <w:rPr>
                <w:rFonts w:ascii="Cambria Math" w:hAnsi="Cambria Math"/>
              </w:rPr>
              <m:t>DEA</m:t>
            </m:r>
          </m:sub>
          <m:sup>
            <m:r>
              <w:rPr>
                <w:rFonts w:ascii="Cambria Math" w:hAnsi="Cambria Math"/>
              </w:rPr>
              <m:t>2</m:t>
            </m:r>
          </m:sup>
        </m:sSubSup>
      </m:oMath>
      <w:r w:rsidR="00BA7FC8" w:rsidRPr="00216FB5">
        <w:tab/>
      </w:r>
      <w:r w:rsidR="00BA7FC8" w:rsidRPr="00216FB5">
        <w:tab/>
        <w:t xml:space="preserve">             (10)</w:t>
      </w:r>
    </w:p>
    <w:p w14:paraId="49493AE9" w14:textId="77777777" w:rsidR="00BA7FC8" w:rsidRPr="00216FB5" w:rsidRDefault="00BA7FC8" w:rsidP="00BA7FC8"/>
    <w:p w14:paraId="1965DCEE" w14:textId="77777777" w:rsidR="00BA7FC8" w:rsidRPr="00216FB5" w:rsidRDefault="00BA7FC8" w:rsidP="00BA7FC8">
      <w:r w:rsidRPr="00216FB5">
        <w:t>where:</w:t>
      </w:r>
    </w:p>
    <w:p w14:paraId="73D95998" w14:textId="77777777" w:rsidR="00BA7FC8" w:rsidRPr="00216FB5" w:rsidRDefault="00BA7FC8" w:rsidP="00BA7FC8">
      <w:r w:rsidRPr="00216FB5">
        <w:t>K</w:t>
      </w:r>
      <w:r w:rsidRPr="00216FB5">
        <w:rPr>
          <w:vertAlign w:val="subscript"/>
        </w:rPr>
        <w:t xml:space="preserve">COS-DEA </w:t>
      </w:r>
      <w:r w:rsidRPr="00216FB5">
        <w:t>= Kinetic constant [cm</w:t>
      </w:r>
      <w:r w:rsidRPr="00216FB5">
        <w:rPr>
          <w:vertAlign w:val="superscript"/>
        </w:rPr>
        <w:t>6</w:t>
      </w:r>
      <w:r w:rsidRPr="00216FB5">
        <w:rPr>
          <w:rFonts w:cs="Arial"/>
        </w:rPr>
        <w:t>·</w:t>
      </w:r>
      <w:r w:rsidRPr="00216FB5">
        <w:t>mol</w:t>
      </w:r>
      <w:r w:rsidRPr="00216FB5">
        <w:rPr>
          <w:vertAlign w:val="superscript"/>
        </w:rPr>
        <w:t>-2</w:t>
      </w:r>
      <w:r w:rsidRPr="00216FB5">
        <w:t xml:space="preserve"> h</w:t>
      </w:r>
      <w:r w:rsidRPr="00216FB5">
        <w:rPr>
          <w:vertAlign w:val="superscript"/>
        </w:rPr>
        <w:t>-1</w:t>
      </w:r>
      <w:r w:rsidRPr="00216FB5">
        <w:t>]</w:t>
      </w:r>
    </w:p>
    <w:p w14:paraId="744F12D4" w14:textId="77777777" w:rsidR="00BA7FC8" w:rsidRPr="00216FB5" w:rsidRDefault="00BA7FC8" w:rsidP="00BA7FC8">
      <w:proofErr w:type="spellStart"/>
      <w:r w:rsidRPr="00216FB5">
        <w:t>K</w:t>
      </w:r>
      <w:r w:rsidRPr="00216FB5">
        <w:rPr>
          <w:vertAlign w:val="subscript"/>
        </w:rPr>
        <w:t>app</w:t>
      </w:r>
      <w:proofErr w:type="spellEnd"/>
      <w:r w:rsidRPr="00216FB5">
        <w:t xml:space="preserve"> = Apparent kinetic constant [h</w:t>
      </w:r>
      <w:r w:rsidRPr="00216FB5">
        <w:rPr>
          <w:vertAlign w:val="superscript"/>
        </w:rPr>
        <w:t>-1</w:t>
      </w:r>
      <w:r w:rsidRPr="00216FB5">
        <w:t>]</w:t>
      </w:r>
    </w:p>
    <w:p w14:paraId="18923D8A" w14:textId="77777777" w:rsidR="00BA7FC8" w:rsidRPr="00216FB5" w:rsidRDefault="00BA7FC8" w:rsidP="00BA7FC8">
      <w:r w:rsidRPr="00216FB5">
        <w:t>C</w:t>
      </w:r>
      <w:r w:rsidRPr="00216FB5">
        <w:rPr>
          <w:vertAlign w:val="subscript"/>
        </w:rPr>
        <w:t>COS</w:t>
      </w:r>
      <w:r w:rsidRPr="00216FB5">
        <w:t xml:space="preserve"> = COS molar concentration in liquid phase [mol</w:t>
      </w:r>
      <w:r w:rsidRPr="00216FB5">
        <w:rPr>
          <w:rFonts w:cs="Arial"/>
        </w:rPr>
        <w:t>·</w:t>
      </w:r>
      <w:r w:rsidRPr="00216FB5">
        <w:t>cm</w:t>
      </w:r>
      <w:r w:rsidRPr="00216FB5">
        <w:rPr>
          <w:vertAlign w:val="superscript"/>
        </w:rPr>
        <w:t>-3</w:t>
      </w:r>
      <w:r w:rsidRPr="00216FB5">
        <w:t>]</w:t>
      </w:r>
    </w:p>
    <w:p w14:paraId="3D4F879D" w14:textId="77777777" w:rsidR="00BA7FC8" w:rsidRPr="00216FB5" w:rsidRDefault="00BA7FC8" w:rsidP="00BA7FC8">
      <w:r w:rsidRPr="00216FB5">
        <w:t>C</w:t>
      </w:r>
      <w:r w:rsidRPr="00216FB5">
        <w:rPr>
          <w:vertAlign w:val="subscript"/>
        </w:rPr>
        <w:t>DEA</w:t>
      </w:r>
      <w:r w:rsidRPr="00216FB5">
        <w:t xml:space="preserve"> = DEA molar concentration in liquid phase [mol</w:t>
      </w:r>
      <w:r w:rsidRPr="00216FB5">
        <w:rPr>
          <w:rFonts w:cs="Arial"/>
        </w:rPr>
        <w:t>·</w:t>
      </w:r>
      <w:r w:rsidRPr="00216FB5">
        <w:t>cm</w:t>
      </w:r>
      <w:r w:rsidRPr="00216FB5">
        <w:rPr>
          <w:vertAlign w:val="superscript"/>
        </w:rPr>
        <w:t>-3</w:t>
      </w:r>
      <w:r w:rsidRPr="00216FB5">
        <w:t>]</w:t>
      </w:r>
    </w:p>
    <w:p w14:paraId="2F125985" w14:textId="77777777" w:rsidR="00BA7FC8" w:rsidRPr="00216FB5" w:rsidRDefault="00BA7FC8" w:rsidP="00BA7FC8"/>
    <w:p w14:paraId="6E0101BB" w14:textId="77777777" w:rsidR="00BA7FC8" w:rsidRPr="00216FB5" w:rsidRDefault="00BA7FC8" w:rsidP="00BA7FC8">
      <w:r w:rsidRPr="00216FB5">
        <w:t xml:space="preserve">The equilibrium of COS between gaseous and liquid phase can be described by Henry’s law </w:t>
      </w:r>
      <w:proofErr w:type="spellStart"/>
      <w:r w:rsidRPr="00216FB5">
        <w:t>Eq</w:t>
      </w:r>
      <w:proofErr w:type="spellEnd"/>
      <w:r w:rsidRPr="00216FB5">
        <w:t xml:space="preserve">(11). </w:t>
      </w:r>
    </w:p>
    <w:p w14:paraId="37AC488A" w14:textId="77777777" w:rsidR="00BA7FC8" w:rsidRPr="00216FB5" w:rsidRDefault="00BA7FC8" w:rsidP="00BA7FC8"/>
    <w:p w14:paraId="6767954C" w14:textId="77777777" w:rsidR="00BA7FC8" w:rsidRPr="00216FB5" w:rsidRDefault="00BA7FC8" w:rsidP="00BA7FC8">
      <m:oMath>
        <m:r>
          <w:rPr>
            <w:rFonts w:ascii="Cambria Math" w:hAnsi="Cambria Math"/>
          </w:rPr>
          <m:t>P∙</m:t>
        </m:r>
        <m:sSub>
          <m:sSubPr>
            <m:ctrlPr>
              <w:rPr>
                <w:rFonts w:ascii="Cambria Math" w:hAnsi="Cambria Math"/>
                <w:i/>
              </w:rPr>
            </m:ctrlPr>
          </m:sSubPr>
          <m:e>
            <m:r>
              <w:rPr>
                <w:rFonts w:ascii="Cambria Math" w:hAnsi="Cambria Math"/>
              </w:rPr>
              <m:t>y</m:t>
            </m:r>
          </m:e>
          <m:sub>
            <m:r>
              <w:rPr>
                <w:rFonts w:ascii="Cambria Math" w:hAnsi="Cambria Math"/>
              </w:rPr>
              <m:t>COS</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COS</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COS</m:t>
            </m:r>
          </m:sub>
        </m:sSub>
      </m:oMath>
      <w:r w:rsidRPr="00216FB5">
        <w:tab/>
      </w:r>
      <w:r w:rsidRPr="00216FB5">
        <w:tab/>
        <w:t xml:space="preserve">             (11)</w:t>
      </w:r>
    </w:p>
    <w:p w14:paraId="0BD7632C" w14:textId="77777777" w:rsidR="00BA7FC8" w:rsidRPr="00216FB5" w:rsidRDefault="00BA7FC8" w:rsidP="00BA7FC8"/>
    <w:p w14:paraId="61044B4D" w14:textId="77777777" w:rsidR="00BA7FC8" w:rsidRPr="00216FB5" w:rsidRDefault="00BA7FC8" w:rsidP="00BA7FC8">
      <w:r w:rsidRPr="00216FB5">
        <w:t>where:</w:t>
      </w:r>
    </w:p>
    <w:p w14:paraId="7CC9AB46" w14:textId="77777777" w:rsidR="00BA7FC8" w:rsidRPr="00216FB5" w:rsidRDefault="00BA7FC8" w:rsidP="00BA7FC8">
      <w:r w:rsidRPr="00216FB5">
        <w:t>P = Total Pressure [</w:t>
      </w:r>
      <w:proofErr w:type="spellStart"/>
      <w:r w:rsidRPr="00216FB5">
        <w:t>atm</w:t>
      </w:r>
      <w:proofErr w:type="spellEnd"/>
      <w:r w:rsidRPr="00216FB5">
        <w:t>]</w:t>
      </w:r>
    </w:p>
    <w:p w14:paraId="5FBCA89E" w14:textId="1E4D35A6" w:rsidR="00BA7FC8" w:rsidRPr="00216FB5" w:rsidRDefault="002D2F77" w:rsidP="00BA7FC8">
      <w:proofErr w:type="spellStart"/>
      <w:r>
        <w:t>y</w:t>
      </w:r>
      <w:r>
        <w:rPr>
          <w:vertAlign w:val="subscript"/>
        </w:rPr>
        <w:t>COS</w:t>
      </w:r>
      <w:proofErr w:type="spellEnd"/>
      <w:r w:rsidRPr="00216FB5">
        <w:t xml:space="preserve"> </w:t>
      </w:r>
      <w:r w:rsidR="00BA7FC8" w:rsidRPr="00216FB5">
        <w:t>= COS molar fraction in gas phase</w:t>
      </w:r>
    </w:p>
    <w:p w14:paraId="639DAFE8" w14:textId="77777777" w:rsidR="00BA7FC8" w:rsidRPr="00216FB5" w:rsidRDefault="00BA7FC8" w:rsidP="00BA7FC8">
      <w:proofErr w:type="spellStart"/>
      <w:r w:rsidRPr="00216FB5">
        <w:t>x</w:t>
      </w:r>
      <w:r w:rsidRPr="00216FB5">
        <w:rPr>
          <w:vertAlign w:val="subscript"/>
        </w:rPr>
        <w:t>COS</w:t>
      </w:r>
      <w:proofErr w:type="spellEnd"/>
      <w:r w:rsidRPr="00216FB5">
        <w:t xml:space="preserve"> = COS molar fraction in liquid phase</w:t>
      </w:r>
    </w:p>
    <w:p w14:paraId="33723072" w14:textId="77777777" w:rsidR="00BA7FC8" w:rsidRPr="00216FB5" w:rsidRDefault="00BA7FC8" w:rsidP="00BA7FC8">
      <w:r w:rsidRPr="00216FB5">
        <w:t>H</w:t>
      </w:r>
      <w:r w:rsidRPr="00216FB5">
        <w:rPr>
          <w:vertAlign w:val="subscript"/>
        </w:rPr>
        <w:t>COS</w:t>
      </w:r>
      <w:r w:rsidRPr="00216FB5">
        <w:t xml:space="preserve"> = Henry constant [</w:t>
      </w:r>
      <w:proofErr w:type="spellStart"/>
      <w:r w:rsidRPr="00216FB5">
        <w:t>atm</w:t>
      </w:r>
      <w:proofErr w:type="spellEnd"/>
      <w:r w:rsidRPr="00216FB5">
        <w:t>]</w:t>
      </w:r>
    </w:p>
    <w:p w14:paraId="3EB96519" w14:textId="77777777" w:rsidR="00BA7FC8" w:rsidRPr="00216FB5" w:rsidRDefault="00BA7FC8" w:rsidP="00BA7FC8"/>
    <w:p w14:paraId="69684832" w14:textId="77777777" w:rsidR="00BA7FC8" w:rsidRDefault="00BA7FC8" w:rsidP="00BA7FC8">
      <w:r w:rsidRPr="00216FB5">
        <w:t>Furthermore, being negligible the amine volume with respect to the water one (V</w:t>
      </w:r>
      <w:r w:rsidRPr="00216FB5">
        <w:rPr>
          <w:vertAlign w:val="subscript"/>
        </w:rPr>
        <w:t>H2O</w:t>
      </w:r>
      <w:r w:rsidRPr="00216FB5">
        <w:t xml:space="preserve"> = molar volume, cm</w:t>
      </w:r>
      <w:r w:rsidRPr="00216FB5">
        <w:rPr>
          <w:vertAlign w:val="superscript"/>
        </w:rPr>
        <w:t>3</w:t>
      </w:r>
      <w:r w:rsidRPr="00216FB5">
        <w:t>/</w:t>
      </w:r>
      <w:proofErr w:type="spellStart"/>
      <w:r w:rsidRPr="00216FB5">
        <w:t>mol</w:t>
      </w:r>
      <w:proofErr w:type="spellEnd"/>
      <w:r w:rsidRPr="00216FB5">
        <w:t>), the COS molar concentration (C</w:t>
      </w:r>
      <w:r w:rsidRPr="00216FB5">
        <w:rPr>
          <w:vertAlign w:val="subscript"/>
        </w:rPr>
        <w:t>COS</w:t>
      </w:r>
      <w:r w:rsidRPr="00216FB5">
        <w:t xml:space="preserve">) can be expressed according to the following equation </w:t>
      </w:r>
      <w:proofErr w:type="spellStart"/>
      <w:r w:rsidRPr="00216FB5">
        <w:t>Eq</w:t>
      </w:r>
      <w:proofErr w:type="spellEnd"/>
      <w:r w:rsidRPr="00216FB5">
        <w:t>(12):</w:t>
      </w:r>
    </w:p>
    <w:p w14:paraId="60A69761" w14:textId="77777777" w:rsidR="00D83B62" w:rsidRDefault="00D83B62" w:rsidP="00BA7FC8"/>
    <w:p w14:paraId="720A4FAF" w14:textId="77777777" w:rsidR="00BA7FC8" w:rsidRDefault="008C75F4" w:rsidP="00BA7FC8">
      <m:oMath>
        <m:sSub>
          <m:sSubPr>
            <m:ctrlPr>
              <w:rPr>
                <w:rFonts w:ascii="Cambria Math" w:hAnsi="Cambria Math"/>
                <w:i/>
              </w:rPr>
            </m:ctrlPr>
          </m:sSubPr>
          <m:e>
            <m:r>
              <w:rPr>
                <w:rFonts w:ascii="Cambria Math" w:hAnsi="Cambria Math"/>
              </w:rPr>
              <m:t>x</m:t>
            </m:r>
          </m:e>
          <m:sub>
            <m:r>
              <w:rPr>
                <w:rFonts w:ascii="Cambria Math" w:hAnsi="Cambria Math"/>
              </w:rPr>
              <m:t>COS</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COS</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H2O</m:t>
            </m:r>
          </m:sub>
        </m:sSub>
      </m:oMath>
      <w:r w:rsidR="00D83B62">
        <w:tab/>
      </w:r>
      <w:r w:rsidR="00D83B62">
        <w:tab/>
        <w:t xml:space="preserve">             (12)</w:t>
      </w:r>
    </w:p>
    <w:p w14:paraId="109FD88D" w14:textId="77777777" w:rsidR="00D83B62" w:rsidRDefault="00D83B62" w:rsidP="00BA7FC8"/>
    <w:p w14:paraId="5F4342F5" w14:textId="77777777" w:rsidR="00D83B62" w:rsidRPr="00216FB5" w:rsidRDefault="00D83B62" w:rsidP="00D83B62">
      <w:r w:rsidRPr="00216FB5">
        <w:t xml:space="preserve">Substituting the </w:t>
      </w:r>
      <w:proofErr w:type="spellStart"/>
      <w:r w:rsidRPr="00216FB5">
        <w:t>Eq</w:t>
      </w:r>
      <w:proofErr w:type="spellEnd"/>
      <w:r w:rsidRPr="00216FB5">
        <w:t xml:space="preserve">(12) in Henry’s law </w:t>
      </w:r>
      <w:proofErr w:type="spellStart"/>
      <w:r w:rsidRPr="00216FB5">
        <w:t>Eq</w:t>
      </w:r>
      <w:proofErr w:type="spellEnd"/>
      <w:r w:rsidRPr="00216FB5">
        <w:t xml:space="preserve">(11), the COS concentration can be so expressed </w:t>
      </w:r>
      <w:proofErr w:type="spellStart"/>
      <w:r w:rsidRPr="00216FB5">
        <w:t>Eq</w:t>
      </w:r>
      <w:proofErr w:type="spellEnd"/>
      <w:r w:rsidRPr="00216FB5">
        <w:t xml:space="preserve">(13): </w:t>
      </w:r>
    </w:p>
    <w:p w14:paraId="326C9183" w14:textId="77777777" w:rsidR="00D83B62" w:rsidRPr="00D83B62" w:rsidRDefault="00D83B62" w:rsidP="00BA7FC8"/>
    <w:p w14:paraId="0A1726A2" w14:textId="77777777" w:rsidR="00BA7FC8" w:rsidRPr="00216FB5" w:rsidRDefault="008C75F4" w:rsidP="00BA7FC8">
      <m:oMath>
        <m:sSub>
          <m:sSubPr>
            <m:ctrlPr>
              <w:rPr>
                <w:rFonts w:ascii="Cambria Math" w:hAnsi="Cambria Math"/>
                <w:i/>
              </w:rPr>
            </m:ctrlPr>
          </m:sSubPr>
          <m:e>
            <m:r>
              <w:rPr>
                <w:rFonts w:ascii="Cambria Math" w:hAnsi="Cambria Math"/>
              </w:rPr>
              <m:t>C</m:t>
            </m:r>
          </m:e>
          <m:sub>
            <m:r>
              <w:rPr>
                <w:rFonts w:ascii="Cambria Math" w:hAnsi="Cambria Math"/>
              </w:rPr>
              <m:t>COS</m:t>
            </m:r>
          </m:sub>
        </m:sSub>
        <m:r>
          <w:rPr>
            <w:rFonts w:ascii="Cambria Math" w:hAnsi="Cambria Math"/>
          </w:rPr>
          <m:t>=</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y</m:t>
                </m:r>
              </m:e>
              <m:sub>
                <m:r>
                  <w:rPr>
                    <w:rFonts w:ascii="Cambria Math" w:hAnsi="Cambria Math"/>
                  </w:rPr>
                  <m:t>f</m:t>
                </m:r>
              </m:sub>
            </m:sSub>
          </m:num>
          <m:den>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H2O</m:t>
                </m:r>
              </m:sub>
            </m:sSub>
          </m:den>
        </m:f>
      </m:oMath>
      <w:r w:rsidR="00BA7FC8" w:rsidRPr="00216FB5">
        <w:tab/>
      </w:r>
      <w:r w:rsidR="00BA7FC8" w:rsidRPr="00216FB5">
        <w:tab/>
        <w:t xml:space="preserve">             (13)</w:t>
      </w:r>
    </w:p>
    <w:p w14:paraId="3531D8BD" w14:textId="77777777" w:rsidR="00BA7FC8" w:rsidRPr="00216FB5" w:rsidRDefault="00BA7FC8" w:rsidP="00BA7FC8"/>
    <w:p w14:paraId="545493DD" w14:textId="77777777" w:rsidR="00BA7FC8" w:rsidRPr="00216FB5" w:rsidRDefault="00BA7FC8" w:rsidP="00BA7FC8">
      <w:r w:rsidRPr="00216FB5">
        <w:lastRenderedPageBreak/>
        <w:t>By replacing the</w:t>
      </w:r>
      <w:r>
        <w:t xml:space="preserve"> </w:t>
      </w:r>
      <w:proofErr w:type="spellStart"/>
      <w:r>
        <w:t>Eq</w:t>
      </w:r>
      <w:proofErr w:type="spellEnd"/>
      <w:r>
        <w:t xml:space="preserve">(10) and </w:t>
      </w:r>
      <w:proofErr w:type="spellStart"/>
      <w:r>
        <w:t>Eq</w:t>
      </w:r>
      <w:proofErr w:type="spellEnd"/>
      <w:r>
        <w:t xml:space="preserve">(13) into the </w:t>
      </w:r>
      <w:proofErr w:type="spellStart"/>
      <w:r>
        <w:t>Eq</w:t>
      </w:r>
      <w:proofErr w:type="spellEnd"/>
      <w:r>
        <w:t>(</w:t>
      </w:r>
      <w:r w:rsidRPr="00216FB5">
        <w:t xml:space="preserve">4), the COS mass balance can be expressed as follows </w:t>
      </w:r>
      <w:proofErr w:type="spellStart"/>
      <w:r w:rsidRPr="00216FB5">
        <w:t>Eq</w:t>
      </w:r>
      <w:proofErr w:type="spellEnd"/>
      <w:r w:rsidRPr="00216FB5">
        <w:t>(14):</w:t>
      </w:r>
    </w:p>
    <w:p w14:paraId="4BB970E2" w14:textId="77777777" w:rsidR="00BA7FC8" w:rsidRPr="00216FB5" w:rsidRDefault="00BA7FC8" w:rsidP="00BA7FC8"/>
    <w:p w14:paraId="242C61A6" w14:textId="77777777" w:rsidR="00BA7FC8" w:rsidRPr="00216FB5" w:rsidRDefault="00BA7FC8" w:rsidP="00BA7FC8">
      <m:oMath>
        <m:r>
          <w:rPr>
            <w:rFonts w:ascii="Cambria Math" w:hAnsi="Cambria Math"/>
          </w:rPr>
          <m:t>Q∙</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 xml:space="preserve">f </m:t>
                </m:r>
              </m:sub>
            </m:sSub>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app</m:t>
            </m:r>
          </m:sub>
        </m:sSub>
        <m:r>
          <w:rPr>
            <w:rFonts w:ascii="Cambria Math" w:hAnsi="Cambria Math"/>
          </w:rPr>
          <m:t>∙</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y</m:t>
                </m:r>
              </m:e>
              <m:sub>
                <m:r>
                  <w:rPr>
                    <w:rFonts w:ascii="Cambria Math" w:hAnsi="Cambria Math"/>
                  </w:rPr>
                  <m:t>f</m:t>
                </m:r>
              </m:sub>
            </m:sSub>
          </m:num>
          <m:den>
            <m:r>
              <w:rPr>
                <w:rFonts w:ascii="Cambria Math" w:hAnsi="Cambria Math"/>
              </w:rPr>
              <m:t>H∙</m:t>
            </m:r>
            <m:sSub>
              <m:sSubPr>
                <m:ctrlPr>
                  <w:rPr>
                    <w:rFonts w:ascii="Cambria Math" w:hAnsi="Cambria Math"/>
                    <w:i/>
                  </w:rPr>
                </m:ctrlPr>
              </m:sSubPr>
              <m:e>
                <m:r>
                  <w:rPr>
                    <w:rFonts w:ascii="Cambria Math" w:hAnsi="Cambria Math"/>
                  </w:rPr>
                  <m:t>V</m:t>
                </m:r>
              </m:e>
              <m:sub>
                <m:r>
                  <w:rPr>
                    <w:rFonts w:ascii="Cambria Math" w:hAnsi="Cambria Math"/>
                  </w:rPr>
                  <m:t>H2O</m:t>
                </m:r>
              </m:sub>
            </m:sSub>
          </m:den>
        </m:f>
        <m:r>
          <w:rPr>
            <w:rFonts w:ascii="Cambria Math" w:hAnsi="Cambria Math"/>
          </w:rPr>
          <m:t>∙V=0</m:t>
        </m:r>
      </m:oMath>
      <w:r w:rsidRPr="00216FB5">
        <w:tab/>
      </w:r>
      <w:r w:rsidRPr="00216FB5">
        <w:tab/>
        <w:t xml:space="preserve">             (14)</w:t>
      </w:r>
    </w:p>
    <w:p w14:paraId="55AAE516" w14:textId="77777777" w:rsidR="00BA7FC8" w:rsidRPr="00216FB5" w:rsidRDefault="00BA7FC8" w:rsidP="00BA7FC8"/>
    <w:p w14:paraId="18235749" w14:textId="77777777" w:rsidR="00BA7FC8" w:rsidRPr="00216FB5" w:rsidRDefault="00BA7FC8" w:rsidP="00BA7FC8">
      <w:r w:rsidRPr="00216FB5">
        <w:t xml:space="preserve">Considering that COS must firstly dissolve in water in order to react with DEA, the value for Henry constant in the </w:t>
      </w:r>
      <w:proofErr w:type="spellStart"/>
      <w:r w:rsidRPr="00216FB5">
        <w:t>Eq</w:t>
      </w:r>
      <w:proofErr w:type="spellEnd"/>
      <w:r w:rsidRPr="00216FB5">
        <w:t xml:space="preserve">(14) was approximated with that one related to COS in water and it is equal to 2190 </w:t>
      </w:r>
      <w:proofErr w:type="spellStart"/>
      <w:r w:rsidRPr="00216FB5">
        <w:t>atm</w:t>
      </w:r>
      <w:proofErr w:type="spellEnd"/>
      <w:r w:rsidRPr="00216FB5">
        <w:t xml:space="preserve"> (Perry and Green, 1999). Therefore the values of the apparent kinetic constant (</w:t>
      </w:r>
      <w:proofErr w:type="spellStart"/>
      <w:r w:rsidRPr="00216FB5">
        <w:t>K</w:t>
      </w:r>
      <w:r w:rsidRPr="00216FB5">
        <w:rPr>
          <w:vertAlign w:val="subscript"/>
        </w:rPr>
        <w:t>app</w:t>
      </w:r>
      <w:proofErr w:type="spellEnd"/>
      <w:r w:rsidRPr="00216FB5">
        <w:t>) and kinetic constant (K</w:t>
      </w:r>
      <w:r w:rsidRPr="00216FB5">
        <w:rPr>
          <w:vertAlign w:val="subscript"/>
        </w:rPr>
        <w:t>COS-DEA</w:t>
      </w:r>
      <w:r w:rsidRPr="00216FB5">
        <w:t>)</w:t>
      </w:r>
      <w:r w:rsidRPr="00216FB5">
        <w:rPr>
          <w:vertAlign w:val="subscript"/>
        </w:rPr>
        <w:t xml:space="preserve"> </w:t>
      </w:r>
      <w:r w:rsidRPr="00216FB5">
        <w:t>were respectively 39 h</w:t>
      </w:r>
      <w:r w:rsidRPr="00216FB5">
        <w:rPr>
          <w:vertAlign w:val="superscript"/>
        </w:rPr>
        <w:t>-1</w:t>
      </w:r>
      <w:r w:rsidRPr="00216FB5">
        <w:t xml:space="preserve"> and 3900 cm</w:t>
      </w:r>
      <w:r w:rsidRPr="00216FB5">
        <w:rPr>
          <w:vertAlign w:val="superscript"/>
        </w:rPr>
        <w:t>6</w:t>
      </w:r>
      <w:r w:rsidRPr="00216FB5">
        <w:rPr>
          <w:rFonts w:cs="Arial"/>
        </w:rPr>
        <w:t>·</w:t>
      </w:r>
      <w:r w:rsidRPr="00216FB5">
        <w:t>mol</w:t>
      </w:r>
      <w:r w:rsidRPr="00216FB5">
        <w:rPr>
          <w:vertAlign w:val="superscript"/>
        </w:rPr>
        <w:t>-2</w:t>
      </w:r>
      <w:r w:rsidRPr="00216FB5">
        <w:t xml:space="preserve"> h</w:t>
      </w:r>
      <w:r w:rsidRPr="00216FB5">
        <w:rPr>
          <w:vertAlign w:val="superscript"/>
        </w:rPr>
        <w:t>-1</w:t>
      </w:r>
      <w:r w:rsidRPr="00216FB5">
        <w:t>.</w:t>
      </w:r>
    </w:p>
    <w:p w14:paraId="1ED83A47" w14:textId="77777777" w:rsidR="00BA7FC8" w:rsidRPr="00216FB5" w:rsidRDefault="00BA7FC8" w:rsidP="00BB2426">
      <w:pPr>
        <w:pStyle w:val="CETHeading1"/>
      </w:pPr>
      <w:r w:rsidRPr="00216FB5">
        <w:t>Conclusions</w:t>
      </w:r>
    </w:p>
    <w:p w14:paraId="760355A2" w14:textId="413BC189" w:rsidR="00BA7FC8" w:rsidRPr="00216FB5" w:rsidRDefault="00BA7FC8" w:rsidP="00BA7FC8">
      <w:r w:rsidRPr="00216FB5">
        <w:t xml:space="preserve">The COS hydrolysis reaction in liquid phase was studied in presence of different </w:t>
      </w:r>
      <w:proofErr w:type="spellStart"/>
      <w:r w:rsidRPr="00216FB5">
        <w:t>alkanolamines</w:t>
      </w:r>
      <w:proofErr w:type="spellEnd"/>
      <w:r w:rsidRPr="00216FB5">
        <w:t xml:space="preserve"> (MEA, DEA, MDEA, DIPA) at ambient temperature. A laboratory plant was appropriately designed and assembled for the conduction of the experimental tests. From the screening of the </w:t>
      </w:r>
      <w:proofErr w:type="spellStart"/>
      <w:r w:rsidRPr="00216FB5">
        <w:t>alkanolamines</w:t>
      </w:r>
      <w:proofErr w:type="spellEnd"/>
      <w:r w:rsidRPr="00216FB5">
        <w:t xml:space="preserve">, it was obtained a COS conversion of about 27 % for DIPA and DEA, while a low removal efficiency of COS was observed in presence of MDEA. The MEA has exhibited the highest removal efficiency of COS (30 %), but due to its low vapour pressure and the high </w:t>
      </w:r>
      <w:r w:rsidR="009D09AF">
        <w:t>degradation</w:t>
      </w:r>
      <w:r w:rsidRPr="00216FB5">
        <w:t>, it was not selected for further investigations.</w:t>
      </w:r>
      <w:r w:rsidR="002D2F77">
        <w:t xml:space="preserve"> </w:t>
      </w:r>
      <w:r w:rsidRPr="00216FB5">
        <w:t>The decrease of the reaction volume from 400 to 100 cm</w:t>
      </w:r>
      <w:r w:rsidRPr="00216FB5">
        <w:rPr>
          <w:vertAlign w:val="superscript"/>
        </w:rPr>
        <w:t>3</w:t>
      </w:r>
      <w:r w:rsidRPr="00216FB5">
        <w:t xml:space="preserve"> has involved a decrease of the COS conversion up to 65 and 71 % for DIPA and DEA, respectively.</w:t>
      </w:r>
      <w:r w:rsidR="002D2F77">
        <w:t xml:space="preserve"> </w:t>
      </w:r>
      <w:r w:rsidRPr="00216FB5">
        <w:t xml:space="preserve">Based on the obtained results, the DEA was the </w:t>
      </w:r>
      <w:proofErr w:type="spellStart"/>
      <w:r w:rsidRPr="00216FB5">
        <w:t>alkanolamine</w:t>
      </w:r>
      <w:proofErr w:type="spellEnd"/>
      <w:r w:rsidRPr="00216FB5">
        <w:t xml:space="preserve"> more appropriate to guarantee high stability </w:t>
      </w:r>
      <w:r w:rsidR="00D67E52">
        <w:t xml:space="preserve">and </w:t>
      </w:r>
      <w:r w:rsidRPr="00216FB5">
        <w:t>good reactivity towards COS.</w:t>
      </w:r>
      <w:r w:rsidR="002D2F77">
        <w:t xml:space="preserve"> </w:t>
      </w:r>
      <w:r w:rsidRPr="00216FB5">
        <w:t>A possible future work could be the study of the COS hydrolysis in presence with aqueous solutions at higher DEA concentration in order to further increase the COS removal rate.</w:t>
      </w:r>
    </w:p>
    <w:p w14:paraId="78F913F8" w14:textId="77777777" w:rsidR="00BA7FC8" w:rsidRPr="00216FB5" w:rsidRDefault="00BA7FC8" w:rsidP="00BA7FC8">
      <w:pPr>
        <w:tabs>
          <w:tab w:val="clear" w:pos="7100"/>
        </w:tabs>
        <w:spacing w:before="200" w:after="120" w:line="240" w:lineRule="auto"/>
        <w:jc w:val="left"/>
        <w:rPr>
          <w:b/>
        </w:rPr>
      </w:pPr>
      <w:r w:rsidRPr="00216FB5">
        <w:rPr>
          <w:b/>
        </w:rPr>
        <w:t>References</w:t>
      </w:r>
    </w:p>
    <w:p w14:paraId="0680157F" w14:textId="77777777" w:rsidR="00BA7FC8" w:rsidRPr="00216FB5" w:rsidRDefault="00BA7FC8" w:rsidP="00BB2426">
      <w:pPr>
        <w:pStyle w:val="CETReferencetext"/>
      </w:pPr>
      <w:proofErr w:type="spellStart"/>
      <w:r w:rsidRPr="00216FB5">
        <w:t>Amararene</w:t>
      </w:r>
      <w:proofErr w:type="spellEnd"/>
      <w:r w:rsidRPr="00216FB5">
        <w:t xml:space="preserve"> F., </w:t>
      </w:r>
      <w:proofErr w:type="spellStart"/>
      <w:r w:rsidRPr="00216FB5">
        <w:t>Bouallou</w:t>
      </w:r>
      <w:proofErr w:type="spellEnd"/>
      <w:r w:rsidRPr="00216FB5">
        <w:t xml:space="preserve"> C., 2004, Kinetics of Carbonyl </w:t>
      </w:r>
      <w:proofErr w:type="spellStart"/>
      <w:r w:rsidRPr="00216FB5">
        <w:t>Sulfide</w:t>
      </w:r>
      <w:proofErr w:type="spellEnd"/>
      <w:r w:rsidRPr="00216FB5">
        <w:t xml:space="preserve"> (COS) Absorption with Aqueous Solutions of </w:t>
      </w:r>
      <w:proofErr w:type="spellStart"/>
      <w:r w:rsidRPr="00216FB5">
        <w:t>Diethanolamine</w:t>
      </w:r>
      <w:proofErr w:type="spellEnd"/>
      <w:r w:rsidRPr="00216FB5">
        <w:t xml:space="preserve"> and </w:t>
      </w:r>
      <w:proofErr w:type="spellStart"/>
      <w:r w:rsidRPr="00216FB5">
        <w:t>Methyldiethanolamine</w:t>
      </w:r>
      <w:proofErr w:type="spellEnd"/>
      <w:r w:rsidRPr="00216FB5">
        <w:t>, Industrial and Industrial Engineering Chemistry Research, 43 (19), 6136-6141.</w:t>
      </w:r>
    </w:p>
    <w:p w14:paraId="7AC55B1C" w14:textId="77777777" w:rsidR="00BA7FC8" w:rsidRPr="00216FB5" w:rsidRDefault="00BA7FC8" w:rsidP="00BB2426">
      <w:pPr>
        <w:pStyle w:val="CETReferencetext"/>
      </w:pPr>
      <w:proofErr w:type="spellStart"/>
      <w:r w:rsidRPr="00216FB5">
        <w:t>Bassani</w:t>
      </w:r>
      <w:proofErr w:type="spellEnd"/>
      <w:r w:rsidRPr="00216FB5">
        <w:t xml:space="preserve"> A., </w:t>
      </w:r>
      <w:proofErr w:type="spellStart"/>
      <w:r w:rsidRPr="00216FB5">
        <w:t>Manenti</w:t>
      </w:r>
      <w:proofErr w:type="spellEnd"/>
      <w:r w:rsidRPr="00216FB5">
        <w:t xml:space="preserve"> F., </w:t>
      </w:r>
      <w:proofErr w:type="spellStart"/>
      <w:r w:rsidRPr="00216FB5">
        <w:t>Ranzia</w:t>
      </w:r>
      <w:proofErr w:type="spellEnd"/>
      <w:r w:rsidRPr="00216FB5">
        <w:t xml:space="preserve"> E., Lima N.N.M., </w:t>
      </w:r>
      <w:proofErr w:type="spellStart"/>
      <w:r w:rsidRPr="00216FB5">
        <w:t>Linan</w:t>
      </w:r>
      <w:proofErr w:type="spellEnd"/>
      <w:r w:rsidRPr="00216FB5">
        <w:t xml:space="preserve"> L.Z., 2015, Novel Coal Gasification Process: Improvement of Syngas Yield and Reduction of Emissions, Chemical Engineering Transactions, 43, 1483-1488.</w:t>
      </w:r>
    </w:p>
    <w:p w14:paraId="0045474C" w14:textId="77777777" w:rsidR="00BA7FC8" w:rsidRPr="00216FB5" w:rsidRDefault="00BA7FC8" w:rsidP="00BB2426">
      <w:pPr>
        <w:pStyle w:val="CETReferencetext"/>
      </w:pPr>
      <w:proofErr w:type="spellStart"/>
      <w:r w:rsidRPr="00216FB5">
        <w:t>Dawodu</w:t>
      </w:r>
      <w:proofErr w:type="spellEnd"/>
      <w:r w:rsidRPr="00216FB5">
        <w:t xml:space="preserve"> O.F., </w:t>
      </w:r>
      <w:proofErr w:type="spellStart"/>
      <w:r w:rsidRPr="00216FB5">
        <w:t>Meisen</w:t>
      </w:r>
      <w:proofErr w:type="spellEnd"/>
      <w:r w:rsidRPr="00216FB5">
        <w:t xml:space="preserve"> A.,1994, Mechanism and Kinetics of COS-Induced </w:t>
      </w:r>
      <w:proofErr w:type="spellStart"/>
      <w:r w:rsidRPr="00216FB5">
        <w:t>Diethanolamine</w:t>
      </w:r>
      <w:proofErr w:type="spellEnd"/>
      <w:r w:rsidRPr="00216FB5">
        <w:t xml:space="preserve"> Degradation, Industrial and Engineering Chemistry Research, 33, 480-487.</w:t>
      </w:r>
    </w:p>
    <w:p w14:paraId="7CCCE77A" w14:textId="77777777" w:rsidR="00BA7FC8" w:rsidRDefault="00BA7FC8" w:rsidP="00BB2426">
      <w:pPr>
        <w:pStyle w:val="CETReferencetext"/>
      </w:pPr>
      <w:r w:rsidRPr="00216FB5">
        <w:t xml:space="preserve">Ernst W.R., Chen M.S.K., 1988, Hydrolysis of Carbonyl Sulphide in a gas-liquid reactor, </w:t>
      </w:r>
      <w:proofErr w:type="spellStart"/>
      <w:r w:rsidRPr="00216FB5">
        <w:t>AIchE</w:t>
      </w:r>
      <w:proofErr w:type="spellEnd"/>
      <w:r w:rsidRPr="00216FB5">
        <w:t xml:space="preserve"> Journal, 34 (1), 158-162.</w:t>
      </w:r>
    </w:p>
    <w:p w14:paraId="6BBF32DD" w14:textId="4A9EDFAC" w:rsidR="00BA7EBA" w:rsidRPr="00216FB5" w:rsidRDefault="00BA7EBA" w:rsidP="00BB2426">
      <w:pPr>
        <w:pStyle w:val="CETReferencetext"/>
      </w:pPr>
      <w:proofErr w:type="spellStart"/>
      <w:r w:rsidRPr="00BA7EBA">
        <w:t>Hinderaker</w:t>
      </w:r>
      <w:proofErr w:type="spellEnd"/>
      <w:r w:rsidRPr="00BA7EBA">
        <w:t xml:space="preserve"> </w:t>
      </w:r>
      <w:r>
        <w:t>G.</w:t>
      </w:r>
      <w:r w:rsidRPr="00BA7EBA">
        <w:t xml:space="preserve">, </w:t>
      </w:r>
      <w:proofErr w:type="spellStart"/>
      <w:r w:rsidRPr="00BA7EBA">
        <w:t>Sandall</w:t>
      </w:r>
      <w:proofErr w:type="spellEnd"/>
      <w:r>
        <w:t xml:space="preserve"> O.</w:t>
      </w:r>
      <w:r w:rsidRPr="00BA7EBA">
        <w:t xml:space="preserve"> C.</w:t>
      </w:r>
      <w:r w:rsidR="004B1551">
        <w:t>,</w:t>
      </w:r>
      <w:r w:rsidRPr="00BA7EBA">
        <w:t xml:space="preserve"> </w:t>
      </w:r>
      <w:r w:rsidR="0011062C">
        <w:t xml:space="preserve">2000, </w:t>
      </w:r>
      <w:r w:rsidRPr="00BA7EBA">
        <w:t xml:space="preserve">Absorption of carbonyl </w:t>
      </w:r>
      <w:proofErr w:type="spellStart"/>
      <w:r w:rsidRPr="00BA7EBA">
        <w:t>sul</w:t>
      </w:r>
      <w:r w:rsidR="004B1551">
        <w:t>fi</w:t>
      </w:r>
      <w:r w:rsidRPr="00BA7EBA">
        <w:t>de</w:t>
      </w:r>
      <w:proofErr w:type="spellEnd"/>
      <w:r w:rsidRPr="00BA7EBA">
        <w:t xml:space="preserve"> in aqueous </w:t>
      </w:r>
      <w:proofErr w:type="spellStart"/>
      <w:r w:rsidRPr="00BA7EBA">
        <w:t>diethanolamine</w:t>
      </w:r>
      <w:proofErr w:type="spellEnd"/>
      <w:r w:rsidR="00C96593">
        <w:t xml:space="preserve">, </w:t>
      </w:r>
      <w:r w:rsidR="00C96593" w:rsidRPr="00C96593">
        <w:t>Chemical Engineer</w:t>
      </w:r>
      <w:r w:rsidR="0011062C">
        <w:t xml:space="preserve">ing Science, 55, </w:t>
      </w:r>
      <w:r w:rsidR="00C96593">
        <w:t>5813-5818.</w:t>
      </w:r>
    </w:p>
    <w:p w14:paraId="5BD92E5A" w14:textId="77777777" w:rsidR="00BA7FC8" w:rsidRPr="00216FB5" w:rsidRDefault="00BA7FC8" w:rsidP="00BB2426">
      <w:pPr>
        <w:pStyle w:val="CETReferencetext"/>
      </w:pPr>
      <w:r w:rsidRPr="00216FB5">
        <w:t xml:space="preserve">Islam M.S., </w:t>
      </w:r>
      <w:proofErr w:type="spellStart"/>
      <w:r w:rsidRPr="00216FB5">
        <w:t>Yusoff</w:t>
      </w:r>
      <w:proofErr w:type="spellEnd"/>
      <w:r w:rsidRPr="00216FB5">
        <w:t xml:space="preserve"> R., Ali B.S., 2010, Degradation Studies of Amines and </w:t>
      </w:r>
      <w:proofErr w:type="spellStart"/>
      <w:r w:rsidRPr="00216FB5">
        <w:t>Alkanolamines</w:t>
      </w:r>
      <w:proofErr w:type="spellEnd"/>
      <w:r w:rsidRPr="00216FB5">
        <w:t xml:space="preserve"> during CO</w:t>
      </w:r>
      <w:r w:rsidRPr="00216FB5">
        <w:rPr>
          <w:vertAlign w:val="subscript"/>
        </w:rPr>
        <w:t>2</w:t>
      </w:r>
      <w:r w:rsidRPr="00216FB5">
        <w:t xml:space="preserve"> Absorption and Stripping system, Engineering e-Transaction, 5 (2), 97-109.</w:t>
      </w:r>
    </w:p>
    <w:p w14:paraId="35D424AA" w14:textId="77777777" w:rsidR="00BA7FC8" w:rsidRDefault="00BA7FC8" w:rsidP="00BB2426">
      <w:pPr>
        <w:pStyle w:val="CETReferencetext"/>
      </w:pPr>
      <w:proofErr w:type="spellStart"/>
      <w:r w:rsidRPr="00216FB5">
        <w:t>Littel</w:t>
      </w:r>
      <w:proofErr w:type="spellEnd"/>
      <w:r w:rsidRPr="00216FB5">
        <w:t xml:space="preserve"> R.J., </w:t>
      </w:r>
      <w:proofErr w:type="spellStart"/>
      <w:r w:rsidRPr="00216FB5">
        <w:t>Verstegg</w:t>
      </w:r>
      <w:proofErr w:type="spellEnd"/>
      <w:r w:rsidRPr="00216FB5">
        <w:t xml:space="preserve"> G.F., Van </w:t>
      </w:r>
      <w:proofErr w:type="spellStart"/>
      <w:r w:rsidRPr="00216FB5">
        <w:t>Swaaij</w:t>
      </w:r>
      <w:proofErr w:type="spellEnd"/>
      <w:r w:rsidRPr="00216FB5">
        <w:t xml:space="preserve"> W.P.M., 1992, Kinetics of COS with primary and secondary amines in aqueous solutions, </w:t>
      </w:r>
      <w:proofErr w:type="spellStart"/>
      <w:r w:rsidRPr="00216FB5">
        <w:t>AIchE</w:t>
      </w:r>
      <w:proofErr w:type="spellEnd"/>
      <w:r w:rsidRPr="00216FB5">
        <w:t xml:space="preserve"> Journal, 38 (2), 244-250.</w:t>
      </w:r>
    </w:p>
    <w:p w14:paraId="0CE11A7B" w14:textId="36A3A086" w:rsidR="00BA4A28" w:rsidRPr="00216FB5" w:rsidRDefault="003F30F3" w:rsidP="00BB2426">
      <w:pPr>
        <w:pStyle w:val="CETReferencetext"/>
      </w:pPr>
      <w:proofErr w:type="spellStart"/>
      <w:r w:rsidRPr="00BA4A28">
        <w:t>Magné-Drisch</w:t>
      </w:r>
      <w:proofErr w:type="spellEnd"/>
      <w:r w:rsidRPr="00BA4A28">
        <w:t xml:space="preserve"> </w:t>
      </w:r>
      <w:r>
        <w:t>J.</w:t>
      </w:r>
      <w:r w:rsidRPr="00BA4A28">
        <w:t xml:space="preserve">, </w:t>
      </w:r>
      <w:proofErr w:type="spellStart"/>
      <w:r w:rsidRPr="00BA4A28">
        <w:t>Gazarian</w:t>
      </w:r>
      <w:proofErr w:type="spellEnd"/>
      <w:r w:rsidRPr="00BA4A28">
        <w:t xml:space="preserve"> </w:t>
      </w:r>
      <w:r>
        <w:t>J.</w:t>
      </w:r>
      <w:r w:rsidRPr="00BA4A28">
        <w:t xml:space="preserve">, </w:t>
      </w:r>
      <w:proofErr w:type="spellStart"/>
      <w:r w:rsidRPr="00BA4A28">
        <w:t>Gonnard</w:t>
      </w:r>
      <w:proofErr w:type="spellEnd"/>
      <w:r w:rsidRPr="00BA4A28">
        <w:t xml:space="preserve"> </w:t>
      </w:r>
      <w:r>
        <w:t>S.</w:t>
      </w:r>
      <w:r w:rsidRPr="00BA4A28">
        <w:t xml:space="preserve">, Schweitzer </w:t>
      </w:r>
      <w:r>
        <w:t>J.M.</w:t>
      </w:r>
      <w:r w:rsidRPr="00BA4A28">
        <w:t xml:space="preserve">, </w:t>
      </w:r>
      <w:proofErr w:type="spellStart"/>
      <w:r w:rsidRPr="00BA4A28">
        <w:t>Chiche</w:t>
      </w:r>
      <w:proofErr w:type="spellEnd"/>
      <w:r w:rsidRPr="00BA4A28">
        <w:t xml:space="preserve"> </w:t>
      </w:r>
      <w:r>
        <w:t>D.</w:t>
      </w:r>
      <w:r w:rsidRPr="00BA4A28">
        <w:t xml:space="preserve">, Laborie </w:t>
      </w:r>
      <w:r>
        <w:t>G.,</w:t>
      </w:r>
      <w:r w:rsidRPr="00BA4A28">
        <w:t xml:space="preserve"> Perdu </w:t>
      </w:r>
      <w:r>
        <w:t>G</w:t>
      </w:r>
      <w:r w:rsidRPr="00BA4A28">
        <w:t>.</w:t>
      </w:r>
      <w:r>
        <w:t>,</w:t>
      </w:r>
      <w:r w:rsidRPr="00BA4A28">
        <w:t xml:space="preserve"> 2016</w:t>
      </w:r>
      <w:r>
        <w:t xml:space="preserve">, </w:t>
      </w:r>
      <w:r w:rsidRPr="00BA4A28">
        <w:t>COSWEETTM: A New Process to Reach Very High COS Specification on Natural Gas Treatment Combined with Selective H</w:t>
      </w:r>
      <w:r w:rsidRPr="00BA4A28">
        <w:rPr>
          <w:vertAlign w:val="subscript"/>
        </w:rPr>
        <w:t>2</w:t>
      </w:r>
      <w:r w:rsidRPr="00BA4A28">
        <w:t>S</w:t>
      </w:r>
      <w:r>
        <w:t>,</w:t>
      </w:r>
      <w:r w:rsidRPr="00BA4A28">
        <w:t xml:space="preserve"> Removal Oi</w:t>
      </w:r>
      <w:r>
        <w:t>l &amp; Gas Science and Technology,</w:t>
      </w:r>
      <w:r w:rsidRPr="00BA4A28">
        <w:t xml:space="preserve"> 71</w:t>
      </w:r>
      <w:r>
        <w:t>, (3), 40.</w:t>
      </w:r>
    </w:p>
    <w:p w14:paraId="268F4BCD" w14:textId="77777777" w:rsidR="00BA7FC8" w:rsidRPr="00216FB5" w:rsidRDefault="00BA7FC8" w:rsidP="00BB2426">
      <w:pPr>
        <w:pStyle w:val="CETReferencetext"/>
      </w:pPr>
      <w:proofErr w:type="spellStart"/>
      <w:r w:rsidRPr="00216FB5">
        <w:t>Manenti</w:t>
      </w:r>
      <w:proofErr w:type="spellEnd"/>
      <w:r w:rsidRPr="00216FB5">
        <w:t xml:space="preserve"> F., </w:t>
      </w:r>
      <w:proofErr w:type="spellStart"/>
      <w:r w:rsidRPr="00216FB5">
        <w:t>Papasidero</w:t>
      </w:r>
      <w:proofErr w:type="spellEnd"/>
      <w:r w:rsidRPr="00216FB5">
        <w:t xml:space="preserve"> D., </w:t>
      </w:r>
      <w:proofErr w:type="spellStart"/>
      <w:r w:rsidRPr="00216FB5">
        <w:t>Ranzi</w:t>
      </w:r>
      <w:proofErr w:type="spellEnd"/>
      <w:r w:rsidRPr="00216FB5">
        <w:t xml:space="preserve"> E., 2013, Revised Kinetic Scheme for Thermal Furnace of </w:t>
      </w:r>
      <w:proofErr w:type="spellStart"/>
      <w:r w:rsidRPr="00216FB5">
        <w:t>Sulfur</w:t>
      </w:r>
      <w:proofErr w:type="spellEnd"/>
      <w:r w:rsidRPr="00216FB5">
        <w:t xml:space="preserve"> Recovery Units, Chemical Engineering Transactions, 11, 221-230.</w:t>
      </w:r>
    </w:p>
    <w:p w14:paraId="625BBA3B" w14:textId="77777777" w:rsidR="00BA7FC8" w:rsidRPr="00216FB5" w:rsidRDefault="00BA7FC8" w:rsidP="00BB2426">
      <w:pPr>
        <w:pStyle w:val="CETReferencetext"/>
      </w:pPr>
      <w:r w:rsidRPr="00216FB5">
        <w:t xml:space="preserve">Palma V., Barba D., Vaiano V., </w:t>
      </w:r>
      <w:proofErr w:type="spellStart"/>
      <w:r w:rsidRPr="00216FB5">
        <w:t>Colozzi</w:t>
      </w:r>
      <w:proofErr w:type="spellEnd"/>
      <w:r w:rsidRPr="00216FB5">
        <w:t xml:space="preserve"> M., Palo E., </w:t>
      </w:r>
      <w:proofErr w:type="spellStart"/>
      <w:r w:rsidRPr="00216FB5">
        <w:t>Barbato</w:t>
      </w:r>
      <w:proofErr w:type="spellEnd"/>
      <w:r w:rsidRPr="00216FB5">
        <w:t xml:space="preserve"> L., </w:t>
      </w:r>
      <w:proofErr w:type="spellStart"/>
      <w:r w:rsidRPr="00216FB5">
        <w:t>Cortese</w:t>
      </w:r>
      <w:proofErr w:type="spellEnd"/>
      <w:r w:rsidRPr="00216FB5">
        <w:t xml:space="preserve"> S., </w:t>
      </w:r>
      <w:proofErr w:type="spellStart"/>
      <w:r w:rsidRPr="00216FB5">
        <w:t>Miccio</w:t>
      </w:r>
      <w:proofErr w:type="spellEnd"/>
      <w:r w:rsidRPr="00216FB5">
        <w:t xml:space="preserve"> M., 2018, Catalytic Oxidative Decomposition of H</w:t>
      </w:r>
      <w:r w:rsidRPr="00216FB5">
        <w:rPr>
          <w:vertAlign w:val="subscript"/>
        </w:rPr>
        <w:t>2</w:t>
      </w:r>
      <w:r w:rsidRPr="00216FB5">
        <w:t>S for Hydrogen Production, Chemical Engineering Transactions, 70, 325-330.</w:t>
      </w:r>
    </w:p>
    <w:p w14:paraId="74046390" w14:textId="77777777" w:rsidR="00BA7FC8" w:rsidRPr="00216FB5" w:rsidRDefault="00BA7FC8" w:rsidP="00BB2426">
      <w:pPr>
        <w:pStyle w:val="CETReferencetext"/>
      </w:pPr>
      <w:r w:rsidRPr="00216FB5">
        <w:t>Perry R.B., Green D.W., 1999, Perry’s Chemical Engineers’ Handbook, Seventy Edition, McGraw Hill.</w:t>
      </w:r>
    </w:p>
    <w:p w14:paraId="676C8E5C" w14:textId="77777777" w:rsidR="00BA7FC8" w:rsidRPr="00216FB5" w:rsidRDefault="00BA7FC8" w:rsidP="00BB2426">
      <w:pPr>
        <w:pStyle w:val="CETReferencetext"/>
      </w:pPr>
      <w:proofErr w:type="spellStart"/>
      <w:r w:rsidRPr="00216FB5">
        <w:t>Svoronos</w:t>
      </w:r>
      <w:proofErr w:type="spellEnd"/>
      <w:r w:rsidRPr="00216FB5">
        <w:t xml:space="preserve"> P.D.N, Bruno T.J., 2002, Carbonyl </w:t>
      </w:r>
      <w:proofErr w:type="spellStart"/>
      <w:r w:rsidRPr="00216FB5">
        <w:t>Sulfide</w:t>
      </w:r>
      <w:proofErr w:type="spellEnd"/>
      <w:r w:rsidRPr="00216FB5">
        <w:t>: A review of its chemistry and properties, Industrial and Engineering Chemistry Research, 41, 5321-5336.</w:t>
      </w:r>
    </w:p>
    <w:p w14:paraId="4A9E53C9" w14:textId="77777777" w:rsidR="00BA7FC8" w:rsidRPr="00216FB5" w:rsidRDefault="00BA7FC8" w:rsidP="00BB2426">
      <w:pPr>
        <w:pStyle w:val="CETReferencetext"/>
      </w:pPr>
      <w:r w:rsidRPr="00216FB5">
        <w:t xml:space="preserve">Vaidya P.D., </w:t>
      </w:r>
      <w:proofErr w:type="spellStart"/>
      <w:r w:rsidRPr="00216FB5">
        <w:t>Kenig</w:t>
      </w:r>
      <w:proofErr w:type="spellEnd"/>
      <w:r w:rsidRPr="00216FB5">
        <w:t xml:space="preserve"> E.Y., 2009, Kinetics of Carbonyl </w:t>
      </w:r>
      <w:proofErr w:type="spellStart"/>
      <w:r w:rsidRPr="00216FB5">
        <w:t>Sulfide</w:t>
      </w:r>
      <w:proofErr w:type="spellEnd"/>
      <w:r w:rsidRPr="00216FB5">
        <w:t xml:space="preserve"> reaction with </w:t>
      </w:r>
      <w:proofErr w:type="spellStart"/>
      <w:r w:rsidRPr="00216FB5">
        <w:t>Alkanolamines</w:t>
      </w:r>
      <w:proofErr w:type="spellEnd"/>
      <w:r w:rsidRPr="00216FB5">
        <w:t>: A review, Chemical Engineering Journal, 148, 207–211.</w:t>
      </w:r>
    </w:p>
    <w:p w14:paraId="3701233B" w14:textId="77777777" w:rsidR="00BA7FC8" w:rsidRPr="00216FB5" w:rsidRDefault="00BA7FC8" w:rsidP="00BB2426">
      <w:pPr>
        <w:pStyle w:val="CETReferencetext"/>
      </w:pPr>
      <w:proofErr w:type="spellStart"/>
      <w:r w:rsidRPr="00216FB5">
        <w:t>Xinxue</w:t>
      </w:r>
      <w:proofErr w:type="spellEnd"/>
      <w:r w:rsidRPr="00216FB5">
        <w:t xml:space="preserve"> L., </w:t>
      </w:r>
      <w:proofErr w:type="spellStart"/>
      <w:r w:rsidRPr="00216FB5">
        <w:t>Yingxin</w:t>
      </w:r>
      <w:proofErr w:type="spellEnd"/>
      <w:r w:rsidRPr="00216FB5">
        <w:t xml:space="preserve"> L., </w:t>
      </w:r>
      <w:proofErr w:type="spellStart"/>
      <w:r w:rsidRPr="00216FB5">
        <w:t>Xionghui</w:t>
      </w:r>
      <w:proofErr w:type="spellEnd"/>
      <w:r w:rsidRPr="00216FB5">
        <w:t xml:space="preserve"> W., 2005, Hydrolysis of Carbonyl </w:t>
      </w:r>
      <w:proofErr w:type="spellStart"/>
      <w:r w:rsidRPr="00216FB5">
        <w:t>Sulfide</w:t>
      </w:r>
      <w:proofErr w:type="spellEnd"/>
      <w:r w:rsidRPr="00216FB5">
        <w:t xml:space="preserve"> in binary mixture of Diethylene Glycol Diethyl Ether and Water, Chinese Journal of Chemical Engineering, 13 (2), 234-238.</w:t>
      </w:r>
    </w:p>
    <w:p w14:paraId="41B166C6" w14:textId="77777777" w:rsidR="00BA7FC8" w:rsidRDefault="00BA7FC8" w:rsidP="00BB2426">
      <w:pPr>
        <w:pStyle w:val="CETReferencetext"/>
      </w:pPr>
    </w:p>
    <w:p w14:paraId="0C15ADBD" w14:textId="77777777" w:rsidR="003F30F3" w:rsidRPr="00216FB5" w:rsidRDefault="003F30F3" w:rsidP="00BB2426">
      <w:pPr>
        <w:pStyle w:val="CETReferencetext"/>
      </w:pPr>
      <w:bookmarkStart w:id="0" w:name="_GoBack"/>
      <w:bookmarkEnd w:id="0"/>
    </w:p>
    <w:sectPr w:rsidR="003F30F3" w:rsidRPr="00216FB5" w:rsidSect="0077098D">
      <w:type w:val="continuous"/>
      <w:pgSz w:w="11906" w:h="16838" w:code="9"/>
      <w:pgMar w:top="1701" w:right="1418" w:bottom="1701" w:left="1701" w:header="170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205DED7" w15:done="0"/>
  <w15:commentEx w15:paraId="0642903D" w15:done="0"/>
  <w15:commentEx w15:paraId="42A41521" w15:done="0"/>
  <w15:commentEx w15:paraId="2BCB69D5" w15:done="0"/>
  <w15:commentEx w15:paraId="35A7D7DD" w15:done="0"/>
  <w15:commentEx w15:paraId="0310F7B4" w15:done="0"/>
  <w15:commentEx w15:paraId="3CFB73A1" w15:done="0"/>
  <w15:commentEx w15:paraId="158FCD0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ECFE9" w14:textId="77777777" w:rsidR="008C75F4" w:rsidRDefault="008C75F4" w:rsidP="004F5E36">
      <w:r>
        <w:separator/>
      </w:r>
    </w:p>
  </w:endnote>
  <w:endnote w:type="continuationSeparator" w:id="0">
    <w:p w14:paraId="2046CEAB" w14:textId="77777777" w:rsidR="008C75F4" w:rsidRDefault="008C75F4"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AD3862" w14:textId="77777777" w:rsidR="008C75F4" w:rsidRDefault="008C75F4" w:rsidP="004F5E36">
      <w:r>
        <w:separator/>
      </w:r>
    </w:p>
  </w:footnote>
  <w:footnote w:type="continuationSeparator" w:id="0">
    <w:p w14:paraId="5414D809" w14:textId="77777777" w:rsidR="008C75F4" w:rsidRDefault="008C75F4"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46DC2F13"/>
    <w:multiLevelType w:val="hybridMultilevel"/>
    <w:tmpl w:val="42C4D3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8"/>
  </w:num>
  <w:num w:numId="15">
    <w:abstractNumId w:val="20"/>
  </w:num>
  <w:num w:numId="16">
    <w:abstractNumId w:val="19"/>
  </w:num>
  <w:num w:numId="17">
    <w:abstractNumId w:val="11"/>
  </w:num>
  <w:num w:numId="18">
    <w:abstractNumId w:val="12"/>
    <w:lvlOverride w:ilvl="0">
      <w:startOverride w:val="1"/>
    </w:lvlOverride>
  </w:num>
  <w:num w:numId="19">
    <w:abstractNumId w:val="16"/>
  </w:num>
  <w:num w:numId="20">
    <w:abstractNumId w:val="15"/>
  </w:num>
  <w:num w:numId="21">
    <w:abstractNumId w:val="13"/>
  </w:num>
  <w:num w:numId="2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 SM Tichapondwa">
    <w15:presenceInfo w15:providerId="None" w15:userId="Dr. SM Tichapondw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33CE6"/>
    <w:rsid w:val="00047D7F"/>
    <w:rsid w:val="00051566"/>
    <w:rsid w:val="0006200D"/>
    <w:rsid w:val="00062A9A"/>
    <w:rsid w:val="00065058"/>
    <w:rsid w:val="000774D1"/>
    <w:rsid w:val="00086C39"/>
    <w:rsid w:val="000A03B2"/>
    <w:rsid w:val="000B6825"/>
    <w:rsid w:val="000D34BE"/>
    <w:rsid w:val="000E102F"/>
    <w:rsid w:val="000E281B"/>
    <w:rsid w:val="000E36F1"/>
    <w:rsid w:val="000E3A73"/>
    <w:rsid w:val="000E414A"/>
    <w:rsid w:val="000F093C"/>
    <w:rsid w:val="000F16BD"/>
    <w:rsid w:val="000F787B"/>
    <w:rsid w:val="0011062C"/>
    <w:rsid w:val="0012091F"/>
    <w:rsid w:val="00126BC2"/>
    <w:rsid w:val="001308B6"/>
    <w:rsid w:val="0013121F"/>
    <w:rsid w:val="00131FAB"/>
    <w:rsid w:val="00131FE6"/>
    <w:rsid w:val="0013263F"/>
    <w:rsid w:val="00134DE4"/>
    <w:rsid w:val="0014034D"/>
    <w:rsid w:val="00146068"/>
    <w:rsid w:val="00150E59"/>
    <w:rsid w:val="00152DE3"/>
    <w:rsid w:val="00164CF9"/>
    <w:rsid w:val="00184AD6"/>
    <w:rsid w:val="001B0349"/>
    <w:rsid w:val="001B65C1"/>
    <w:rsid w:val="001C684B"/>
    <w:rsid w:val="001C7FD0"/>
    <w:rsid w:val="001D53FC"/>
    <w:rsid w:val="001D6BF3"/>
    <w:rsid w:val="001E250B"/>
    <w:rsid w:val="001F063B"/>
    <w:rsid w:val="001F42A5"/>
    <w:rsid w:val="001F7093"/>
    <w:rsid w:val="001F7B9D"/>
    <w:rsid w:val="001F7BEC"/>
    <w:rsid w:val="002224B4"/>
    <w:rsid w:val="002447EF"/>
    <w:rsid w:val="0024592E"/>
    <w:rsid w:val="00247490"/>
    <w:rsid w:val="00251550"/>
    <w:rsid w:val="00263B05"/>
    <w:rsid w:val="0027221A"/>
    <w:rsid w:val="00275B61"/>
    <w:rsid w:val="00282656"/>
    <w:rsid w:val="00296B83"/>
    <w:rsid w:val="002A1EB1"/>
    <w:rsid w:val="002B78CE"/>
    <w:rsid w:val="002C2FB6"/>
    <w:rsid w:val="002D2F77"/>
    <w:rsid w:val="003009B7"/>
    <w:rsid w:val="00300E56"/>
    <w:rsid w:val="0030469C"/>
    <w:rsid w:val="00321CA6"/>
    <w:rsid w:val="00334C09"/>
    <w:rsid w:val="003365E3"/>
    <w:rsid w:val="003723D4"/>
    <w:rsid w:val="00384CC8"/>
    <w:rsid w:val="003871FD"/>
    <w:rsid w:val="003A1E30"/>
    <w:rsid w:val="003A7D1C"/>
    <w:rsid w:val="003B304B"/>
    <w:rsid w:val="003B3146"/>
    <w:rsid w:val="003B60F3"/>
    <w:rsid w:val="003E6450"/>
    <w:rsid w:val="003F015E"/>
    <w:rsid w:val="003F30F3"/>
    <w:rsid w:val="00400414"/>
    <w:rsid w:val="0041446B"/>
    <w:rsid w:val="00426F72"/>
    <w:rsid w:val="0044329C"/>
    <w:rsid w:val="004577FE"/>
    <w:rsid w:val="00457B9C"/>
    <w:rsid w:val="0046164A"/>
    <w:rsid w:val="004628D2"/>
    <w:rsid w:val="00462DCD"/>
    <w:rsid w:val="004648AD"/>
    <w:rsid w:val="004703A9"/>
    <w:rsid w:val="004760DE"/>
    <w:rsid w:val="004A004E"/>
    <w:rsid w:val="004A24CF"/>
    <w:rsid w:val="004B1551"/>
    <w:rsid w:val="004B6721"/>
    <w:rsid w:val="004C3D1D"/>
    <w:rsid w:val="004C52CA"/>
    <w:rsid w:val="004C7913"/>
    <w:rsid w:val="004E4DD6"/>
    <w:rsid w:val="004F5E36"/>
    <w:rsid w:val="00507B47"/>
    <w:rsid w:val="00507CC9"/>
    <w:rsid w:val="005119A5"/>
    <w:rsid w:val="005278B7"/>
    <w:rsid w:val="00532016"/>
    <w:rsid w:val="005346C8"/>
    <w:rsid w:val="00541C87"/>
    <w:rsid w:val="00542FE6"/>
    <w:rsid w:val="00543E7D"/>
    <w:rsid w:val="00547A68"/>
    <w:rsid w:val="005531C9"/>
    <w:rsid w:val="00555BFA"/>
    <w:rsid w:val="005701F5"/>
    <w:rsid w:val="0058419E"/>
    <w:rsid w:val="005A3F8F"/>
    <w:rsid w:val="005B2110"/>
    <w:rsid w:val="005B61E6"/>
    <w:rsid w:val="005C77E1"/>
    <w:rsid w:val="005D55F4"/>
    <w:rsid w:val="005D6A2F"/>
    <w:rsid w:val="005E1A82"/>
    <w:rsid w:val="005E794C"/>
    <w:rsid w:val="005F0A28"/>
    <w:rsid w:val="005F0E5E"/>
    <w:rsid w:val="00600535"/>
    <w:rsid w:val="00606099"/>
    <w:rsid w:val="00610CD6"/>
    <w:rsid w:val="00620DEE"/>
    <w:rsid w:val="00621F92"/>
    <w:rsid w:val="00625639"/>
    <w:rsid w:val="00631B33"/>
    <w:rsid w:val="00633AE2"/>
    <w:rsid w:val="0064184D"/>
    <w:rsid w:val="006422CC"/>
    <w:rsid w:val="00660E3E"/>
    <w:rsid w:val="00662E74"/>
    <w:rsid w:val="00676DE9"/>
    <w:rsid w:val="00680C23"/>
    <w:rsid w:val="00693766"/>
    <w:rsid w:val="006A3281"/>
    <w:rsid w:val="006B4888"/>
    <w:rsid w:val="006C2E45"/>
    <w:rsid w:val="006C359C"/>
    <w:rsid w:val="006C5579"/>
    <w:rsid w:val="006E737D"/>
    <w:rsid w:val="006E7894"/>
    <w:rsid w:val="006F0401"/>
    <w:rsid w:val="0070195D"/>
    <w:rsid w:val="00720A24"/>
    <w:rsid w:val="00732386"/>
    <w:rsid w:val="00735ED7"/>
    <w:rsid w:val="007447F3"/>
    <w:rsid w:val="0075499F"/>
    <w:rsid w:val="007661C8"/>
    <w:rsid w:val="0077098D"/>
    <w:rsid w:val="0078225C"/>
    <w:rsid w:val="007931FA"/>
    <w:rsid w:val="007A491B"/>
    <w:rsid w:val="007A77D6"/>
    <w:rsid w:val="007A7BBA"/>
    <w:rsid w:val="007B0C50"/>
    <w:rsid w:val="007B318A"/>
    <w:rsid w:val="007B702B"/>
    <w:rsid w:val="007C1A43"/>
    <w:rsid w:val="007D18AD"/>
    <w:rsid w:val="007D5C14"/>
    <w:rsid w:val="007E1DC6"/>
    <w:rsid w:val="00813288"/>
    <w:rsid w:val="008168FC"/>
    <w:rsid w:val="008216CC"/>
    <w:rsid w:val="00821D0E"/>
    <w:rsid w:val="00830745"/>
    <w:rsid w:val="00830996"/>
    <w:rsid w:val="008345F1"/>
    <w:rsid w:val="00864E51"/>
    <w:rsid w:val="00865B07"/>
    <w:rsid w:val="008667EA"/>
    <w:rsid w:val="0087637F"/>
    <w:rsid w:val="008904B9"/>
    <w:rsid w:val="00892AD5"/>
    <w:rsid w:val="00896477"/>
    <w:rsid w:val="008A1512"/>
    <w:rsid w:val="008C75F4"/>
    <w:rsid w:val="008D32B9"/>
    <w:rsid w:val="008D433B"/>
    <w:rsid w:val="008E566E"/>
    <w:rsid w:val="008E666E"/>
    <w:rsid w:val="0090161A"/>
    <w:rsid w:val="00901EB6"/>
    <w:rsid w:val="00904C62"/>
    <w:rsid w:val="00924DAC"/>
    <w:rsid w:val="00927058"/>
    <w:rsid w:val="009450CE"/>
    <w:rsid w:val="009458EB"/>
    <w:rsid w:val="00947179"/>
    <w:rsid w:val="0095164B"/>
    <w:rsid w:val="00954090"/>
    <w:rsid w:val="009573E7"/>
    <w:rsid w:val="00963E05"/>
    <w:rsid w:val="00967D54"/>
    <w:rsid w:val="00992D7F"/>
    <w:rsid w:val="00996483"/>
    <w:rsid w:val="00996F5A"/>
    <w:rsid w:val="009A0A3E"/>
    <w:rsid w:val="009A0FE6"/>
    <w:rsid w:val="009B041A"/>
    <w:rsid w:val="009C5822"/>
    <w:rsid w:val="009C7C86"/>
    <w:rsid w:val="009D09AF"/>
    <w:rsid w:val="009D2FF7"/>
    <w:rsid w:val="009D52BF"/>
    <w:rsid w:val="009E7884"/>
    <w:rsid w:val="009E788A"/>
    <w:rsid w:val="009F0E08"/>
    <w:rsid w:val="00A0579E"/>
    <w:rsid w:val="00A1763D"/>
    <w:rsid w:val="00A17CEC"/>
    <w:rsid w:val="00A21AC4"/>
    <w:rsid w:val="00A250CD"/>
    <w:rsid w:val="00A27EF0"/>
    <w:rsid w:val="00A40A2E"/>
    <w:rsid w:val="00A50B20"/>
    <w:rsid w:val="00A51390"/>
    <w:rsid w:val="00A60D13"/>
    <w:rsid w:val="00A72745"/>
    <w:rsid w:val="00A76EFC"/>
    <w:rsid w:val="00A91010"/>
    <w:rsid w:val="00A94E2F"/>
    <w:rsid w:val="00A97F29"/>
    <w:rsid w:val="00AA702E"/>
    <w:rsid w:val="00AB0964"/>
    <w:rsid w:val="00AB5011"/>
    <w:rsid w:val="00AC184C"/>
    <w:rsid w:val="00AC7368"/>
    <w:rsid w:val="00AD0CF6"/>
    <w:rsid w:val="00AD16B9"/>
    <w:rsid w:val="00AE377D"/>
    <w:rsid w:val="00AF26BA"/>
    <w:rsid w:val="00B17FBD"/>
    <w:rsid w:val="00B315A6"/>
    <w:rsid w:val="00B31813"/>
    <w:rsid w:val="00B33365"/>
    <w:rsid w:val="00B34EF8"/>
    <w:rsid w:val="00B540B0"/>
    <w:rsid w:val="00B57433"/>
    <w:rsid w:val="00B57B36"/>
    <w:rsid w:val="00B8473E"/>
    <w:rsid w:val="00B8686D"/>
    <w:rsid w:val="00BA4A28"/>
    <w:rsid w:val="00BA7EBA"/>
    <w:rsid w:val="00BA7FC8"/>
    <w:rsid w:val="00BB2426"/>
    <w:rsid w:val="00BB5C1E"/>
    <w:rsid w:val="00BC30C9"/>
    <w:rsid w:val="00BD1810"/>
    <w:rsid w:val="00BD6D4E"/>
    <w:rsid w:val="00BE3E58"/>
    <w:rsid w:val="00C01616"/>
    <w:rsid w:val="00C0162B"/>
    <w:rsid w:val="00C345B1"/>
    <w:rsid w:val="00C35E9E"/>
    <w:rsid w:val="00C40142"/>
    <w:rsid w:val="00C57182"/>
    <w:rsid w:val="00C57863"/>
    <w:rsid w:val="00C578F2"/>
    <w:rsid w:val="00C655FD"/>
    <w:rsid w:val="00C870A8"/>
    <w:rsid w:val="00C94434"/>
    <w:rsid w:val="00C96593"/>
    <w:rsid w:val="00CA0D75"/>
    <w:rsid w:val="00CA1C95"/>
    <w:rsid w:val="00CA3932"/>
    <w:rsid w:val="00CA5A9C"/>
    <w:rsid w:val="00CD3517"/>
    <w:rsid w:val="00CD5FE2"/>
    <w:rsid w:val="00CE7C68"/>
    <w:rsid w:val="00D02B4C"/>
    <w:rsid w:val="00D040C4"/>
    <w:rsid w:val="00D35481"/>
    <w:rsid w:val="00D57C84"/>
    <w:rsid w:val="00D6057D"/>
    <w:rsid w:val="00D67E52"/>
    <w:rsid w:val="00D707AE"/>
    <w:rsid w:val="00D8157B"/>
    <w:rsid w:val="00D83B62"/>
    <w:rsid w:val="00D84576"/>
    <w:rsid w:val="00D95DAE"/>
    <w:rsid w:val="00DA1399"/>
    <w:rsid w:val="00DA24C6"/>
    <w:rsid w:val="00DA4D7B"/>
    <w:rsid w:val="00DC24BD"/>
    <w:rsid w:val="00DE264A"/>
    <w:rsid w:val="00DE7C0C"/>
    <w:rsid w:val="00E02D18"/>
    <w:rsid w:val="00E041E7"/>
    <w:rsid w:val="00E131D9"/>
    <w:rsid w:val="00E23606"/>
    <w:rsid w:val="00E23CA1"/>
    <w:rsid w:val="00E409A8"/>
    <w:rsid w:val="00E50C12"/>
    <w:rsid w:val="00E64808"/>
    <w:rsid w:val="00E6481B"/>
    <w:rsid w:val="00E65B91"/>
    <w:rsid w:val="00E7209D"/>
    <w:rsid w:val="00E77223"/>
    <w:rsid w:val="00E818E5"/>
    <w:rsid w:val="00E8528B"/>
    <w:rsid w:val="00E8554A"/>
    <w:rsid w:val="00E85B94"/>
    <w:rsid w:val="00E978D0"/>
    <w:rsid w:val="00EA4613"/>
    <w:rsid w:val="00EA7F91"/>
    <w:rsid w:val="00EB1523"/>
    <w:rsid w:val="00EC0E49"/>
    <w:rsid w:val="00EE0131"/>
    <w:rsid w:val="00EE084B"/>
    <w:rsid w:val="00F155B2"/>
    <w:rsid w:val="00F15BF0"/>
    <w:rsid w:val="00F30C64"/>
    <w:rsid w:val="00F32CDB"/>
    <w:rsid w:val="00F63A70"/>
    <w:rsid w:val="00FA21D0"/>
    <w:rsid w:val="00FA5F5F"/>
    <w:rsid w:val="00FB730C"/>
    <w:rsid w:val="00FC2695"/>
    <w:rsid w:val="00FC3E03"/>
    <w:rsid w:val="00FC3FC1"/>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0A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BB2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BB2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ED352D-4739-4AFC-AF5D-782842715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2350</Words>
  <Characters>13398</Characters>
  <Application>Microsoft Office Word</Application>
  <DocSecurity>0</DocSecurity>
  <Lines>111</Lines>
  <Paragraphs>31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15717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3</cp:revision>
  <cp:lastPrinted>2015-05-12T18:31:00Z</cp:lastPrinted>
  <dcterms:created xsi:type="dcterms:W3CDTF">2019-02-12T09:28:00Z</dcterms:created>
  <dcterms:modified xsi:type="dcterms:W3CDTF">2019-04-01T12:12:00Z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