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0C2534">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0C2534">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8531D2" w:rsidRDefault="00300E56" w:rsidP="003365E3">
            <w:pPr>
              <w:ind w:left="-107"/>
              <w:rPr>
                <w:lang w:val="it-IT"/>
              </w:rPr>
            </w:pPr>
            <w:r w:rsidRPr="008531D2">
              <w:rPr>
                <w:rFonts w:ascii="Tahoma" w:hAnsi="Tahoma" w:cs="Tahoma"/>
                <w:iCs/>
                <w:color w:val="333333"/>
                <w:sz w:val="14"/>
                <w:szCs w:val="14"/>
                <w:lang w:val="it-IT" w:eastAsia="it-IT"/>
              </w:rPr>
              <w:t xml:space="preserve">Guest </w:t>
            </w:r>
            <w:proofErr w:type="spellStart"/>
            <w:r w:rsidRPr="008531D2">
              <w:rPr>
                <w:rFonts w:ascii="Tahoma" w:hAnsi="Tahoma" w:cs="Tahoma"/>
                <w:iCs/>
                <w:color w:val="333333"/>
                <w:sz w:val="14"/>
                <w:szCs w:val="14"/>
                <w:lang w:val="it-IT" w:eastAsia="it-IT"/>
              </w:rPr>
              <w:t>Editors</w:t>
            </w:r>
            <w:proofErr w:type="spellEnd"/>
            <w:r w:rsidRPr="008531D2">
              <w:rPr>
                <w:rFonts w:ascii="Tahoma" w:hAnsi="Tahoma" w:cs="Tahoma"/>
                <w:iCs/>
                <w:color w:val="333333"/>
                <w:sz w:val="14"/>
                <w:szCs w:val="14"/>
                <w:lang w:val="it-IT" w:eastAsia="it-IT"/>
              </w:rPr>
              <w:t>:</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 xml:space="preserve">Paolo </w:t>
            </w:r>
            <w:proofErr w:type="spellStart"/>
            <w:r w:rsidR="008531D2" w:rsidRPr="006F0401">
              <w:rPr>
                <w:rFonts w:ascii="Tahoma" w:hAnsi="Tahoma" w:cs="Tahoma"/>
                <w:bCs/>
                <w:color w:val="0D0D0D" w:themeColor="text1" w:themeTint="F2"/>
                <w:sz w:val="14"/>
                <w:szCs w:val="14"/>
                <w:lang w:val="it-IT"/>
              </w:rPr>
              <w:t>Ciambelli</w:t>
            </w:r>
            <w:proofErr w:type="spellEnd"/>
            <w:r w:rsidR="008531D2" w:rsidRPr="006F0401">
              <w:rPr>
                <w:rFonts w:ascii="Tahoma" w:hAnsi="Tahoma" w:cs="Tahoma"/>
                <w:bCs/>
                <w:color w:val="0D0D0D" w:themeColor="text1" w:themeTint="F2"/>
                <w:sz w:val="14"/>
                <w:szCs w:val="14"/>
                <w:lang w:val="it-IT"/>
              </w:rPr>
              <w:t xml:space="preserve">, Carmelo </w:t>
            </w:r>
            <w:proofErr w:type="spellStart"/>
            <w:r w:rsidR="008531D2" w:rsidRPr="006F0401">
              <w:rPr>
                <w:rFonts w:ascii="Tahoma" w:hAnsi="Tahoma" w:cs="Tahoma"/>
                <w:bCs/>
                <w:color w:val="0D0D0D" w:themeColor="text1" w:themeTint="F2"/>
                <w:sz w:val="14"/>
                <w:szCs w:val="14"/>
                <w:lang w:val="it-IT"/>
              </w:rPr>
              <w:t>Sunseri</w:t>
            </w:r>
            <w:proofErr w:type="spellEnd"/>
          </w:p>
          <w:p w:rsidR="000A03B2" w:rsidRPr="00B57B36" w:rsidRDefault="00FA5F5F" w:rsidP="000C2534">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w:t>
            </w:r>
            <w:r w:rsidR="000C2534">
              <w:rPr>
                <w:rFonts w:ascii="Tahoma" w:hAnsi="Tahoma" w:cs="Tahoma"/>
                <w:sz w:val="14"/>
                <w:szCs w:val="14"/>
              </w:rPr>
              <w:t>0</w:t>
            </w:r>
            <w:r w:rsidR="008D32B9" w:rsidRPr="00131FAB">
              <w:rPr>
                <w:rFonts w:ascii="Tahoma" w:hAnsi="Tahoma" w:cs="Tahoma"/>
                <w:sz w:val="14"/>
                <w:szCs w:val="14"/>
              </w:rPr>
              <w:t>-</w:t>
            </w:r>
            <w:r w:rsidR="000C2534">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0C2534" w:rsidP="00E978D0">
      <w:pPr>
        <w:pStyle w:val="CETTitle"/>
      </w:pPr>
      <w:r>
        <w:lastRenderedPageBreak/>
        <w:t>Production of PVDF-HFP Nanostructured Membranes for Water</w:t>
      </w:r>
      <w:r w:rsidR="0008269E">
        <w:t xml:space="preserve"> Purification by Supercritical P</w:t>
      </w:r>
      <w:r w:rsidR="00E01A60" w:rsidRPr="00E01A60">
        <w:t xml:space="preserve">hase </w:t>
      </w:r>
      <w:r>
        <w:t>I</w:t>
      </w:r>
      <w:r w:rsidR="00E01A60" w:rsidRPr="00E01A60">
        <w:t>nversion</w:t>
      </w:r>
    </w:p>
    <w:p w:rsidR="00E01A60" w:rsidRPr="00E01A60" w:rsidRDefault="00E01A60" w:rsidP="000C2534">
      <w:pPr>
        <w:pStyle w:val="CETAuthors"/>
        <w:rPr>
          <w:lang w:val="it-IT"/>
        </w:rPr>
      </w:pPr>
      <w:r w:rsidRPr="00E01A60">
        <w:rPr>
          <w:lang w:val="it-IT"/>
        </w:rPr>
        <w:t>Stefano Cardea, Lucia Baldino*, Ernesto Reverchon</w:t>
      </w:r>
    </w:p>
    <w:p w:rsidR="005944E8" w:rsidRDefault="00E01A60" w:rsidP="005944E8">
      <w:pPr>
        <w:pStyle w:val="CETemail"/>
      </w:pPr>
      <w:r w:rsidRPr="007E7F15">
        <w:rPr>
          <w:lang w:val="en-US"/>
        </w:rPr>
        <w:t xml:space="preserve">Department of Industrial Engineering, University of Salerno, Via Giovanni Paolo II, 132, 84084, Fisciano (SA), Italy </w:t>
      </w:r>
      <w:hyperlink r:id="rId11" w:history="1">
        <w:r w:rsidRPr="007E7F15">
          <w:rPr>
            <w:rStyle w:val="Collegamentoipertestuale"/>
            <w:color w:val="auto"/>
            <w:u w:val="none"/>
            <w:lang w:val="en-US"/>
          </w:rPr>
          <w:t>lbaldino@unisa.it</w:t>
        </w:r>
      </w:hyperlink>
    </w:p>
    <w:p w:rsidR="00E01A60" w:rsidRPr="005944E8" w:rsidRDefault="00E01A60" w:rsidP="005944E8">
      <w:pPr>
        <w:pStyle w:val="CETemail"/>
        <w:spacing w:after="0" w:line="264" w:lineRule="auto"/>
        <w:jc w:val="both"/>
        <w:rPr>
          <w:sz w:val="18"/>
        </w:rPr>
      </w:pPr>
      <w:r w:rsidRPr="005944E8">
        <w:rPr>
          <w:sz w:val="18"/>
        </w:rPr>
        <w:t>In this work, poly(vinylidene fluoride-co-hexafluoroprop</w:t>
      </w:r>
      <w:r w:rsidR="00E85780" w:rsidRPr="005944E8">
        <w:rPr>
          <w:sz w:val="18"/>
        </w:rPr>
        <w:t xml:space="preserve">ylene) (PVDF-HFP) membranes for </w:t>
      </w:r>
      <w:r w:rsidRPr="005944E8">
        <w:rPr>
          <w:sz w:val="18"/>
        </w:rPr>
        <w:t>water purification were produced by supercritical phase inversion</w:t>
      </w:r>
      <w:r w:rsidR="00E85780" w:rsidRPr="005944E8">
        <w:rPr>
          <w:sz w:val="18"/>
        </w:rPr>
        <w:t xml:space="preserve"> using </w:t>
      </w:r>
      <w:r w:rsidRPr="005944E8">
        <w:rPr>
          <w:sz w:val="18"/>
        </w:rPr>
        <w:t>a mixture of supercritical CO</w:t>
      </w:r>
      <w:r w:rsidRPr="005944E8">
        <w:rPr>
          <w:sz w:val="18"/>
          <w:vertAlign w:val="subscript"/>
        </w:rPr>
        <w:t>2</w:t>
      </w:r>
      <w:r w:rsidRPr="005944E8">
        <w:rPr>
          <w:sz w:val="18"/>
        </w:rPr>
        <w:t xml:space="preserve"> (SC-CO</w:t>
      </w:r>
      <w:r w:rsidRPr="005944E8">
        <w:rPr>
          <w:sz w:val="18"/>
          <w:vertAlign w:val="subscript"/>
        </w:rPr>
        <w:t>2</w:t>
      </w:r>
      <w:r w:rsidRPr="005944E8">
        <w:rPr>
          <w:sz w:val="18"/>
        </w:rPr>
        <w:t>) and ethanol as non-solvent. Different polymer concentrations (from 10 to 20% w/w) and ethanol amount by volume (from 1 to 50% v/v) with respect to SC-CO</w:t>
      </w:r>
      <w:r w:rsidRPr="005944E8">
        <w:rPr>
          <w:sz w:val="18"/>
          <w:vertAlign w:val="subscript"/>
        </w:rPr>
        <w:t>2</w:t>
      </w:r>
      <w:r w:rsidRPr="005944E8">
        <w:rPr>
          <w:sz w:val="18"/>
        </w:rPr>
        <w:t xml:space="preserve"> flow rate, were tested in order to study their influence on membranes morphology, surface area and porosity; supercritical processing was performed at </w:t>
      </w:r>
      <w:r w:rsidR="00491CE2" w:rsidRPr="005944E8">
        <w:rPr>
          <w:sz w:val="18"/>
        </w:rPr>
        <w:t xml:space="preserve">a pressure of </w:t>
      </w:r>
      <w:r w:rsidRPr="005944E8">
        <w:rPr>
          <w:sz w:val="18"/>
        </w:rPr>
        <w:t xml:space="preserve">200 bar and </w:t>
      </w:r>
      <w:r w:rsidR="00491CE2" w:rsidRPr="005944E8">
        <w:rPr>
          <w:sz w:val="18"/>
        </w:rPr>
        <w:t xml:space="preserve">a temperature of </w:t>
      </w:r>
      <w:r w:rsidRPr="005944E8">
        <w:rPr>
          <w:sz w:val="18"/>
        </w:rPr>
        <w:t>45 °C. Membranes characterized by a cellular morphology with a nanoporous substructure and/or by an homogeneous nanoporous morphology were obtained, changing the starting polymer concentration and the ethanol amount during the process. In particular, increasing the amount of ethanol</w:t>
      </w:r>
      <w:r w:rsidR="00491CE2" w:rsidRPr="005944E8">
        <w:rPr>
          <w:sz w:val="18"/>
        </w:rPr>
        <w:t xml:space="preserve"> from 1 to 50% v/v</w:t>
      </w:r>
      <w:r w:rsidRPr="005944E8">
        <w:rPr>
          <w:sz w:val="18"/>
        </w:rPr>
        <w:t xml:space="preserve">, an increase of membranes porosity and surface areas was obtained, and the membranes morphology changed from microporous with nanoporous cell walls to completely nanoporous, due to an increase of the non-solvent power that improved the in-situ gelification mechanism during </w:t>
      </w:r>
      <w:r w:rsidR="00491CE2" w:rsidRPr="005944E8">
        <w:rPr>
          <w:sz w:val="18"/>
        </w:rPr>
        <w:t xml:space="preserve">the </w:t>
      </w:r>
      <w:r w:rsidRPr="005944E8">
        <w:rPr>
          <w:sz w:val="18"/>
        </w:rPr>
        <w:t>supercritical phase separation.</w:t>
      </w:r>
    </w:p>
    <w:p w:rsidR="00600535" w:rsidRPr="00B57B36" w:rsidRDefault="00600535" w:rsidP="00E01A60">
      <w:pPr>
        <w:pStyle w:val="CETHeading1"/>
        <w:rPr>
          <w:lang w:val="en-GB"/>
        </w:rPr>
      </w:pPr>
      <w:r w:rsidRPr="00B57B36">
        <w:rPr>
          <w:lang w:val="en-GB"/>
        </w:rPr>
        <w:t>Introduction</w:t>
      </w:r>
    </w:p>
    <w:p w:rsidR="00E01A60" w:rsidRPr="005944E8" w:rsidRDefault="00E01A60" w:rsidP="005944E8">
      <w:pPr>
        <w:pStyle w:val="CETAcknowledgementstitle"/>
        <w:spacing w:before="0" w:after="0" w:line="264" w:lineRule="auto"/>
        <w:jc w:val="both"/>
        <w:rPr>
          <w:b w:val="0"/>
        </w:rPr>
      </w:pPr>
      <w:r w:rsidRPr="005944E8">
        <w:rPr>
          <w:b w:val="0"/>
        </w:rPr>
        <w:t xml:space="preserve">Water treatment is one of the major applications of </w:t>
      </w:r>
      <w:proofErr w:type="spellStart"/>
      <w:r w:rsidRPr="005944E8">
        <w:rPr>
          <w:b w:val="0"/>
        </w:rPr>
        <w:t>Polyvinyli</w:t>
      </w:r>
      <w:r w:rsidR="00B56F79" w:rsidRPr="005944E8">
        <w:rPr>
          <w:b w:val="0"/>
        </w:rPr>
        <w:t>dene</w:t>
      </w:r>
      <w:proofErr w:type="spellEnd"/>
      <w:r w:rsidR="00B56F79" w:rsidRPr="005944E8">
        <w:rPr>
          <w:b w:val="0"/>
        </w:rPr>
        <w:t xml:space="preserve"> fluoride (PVDF) membranes (Kang et al., 2014)</w:t>
      </w:r>
      <w:r w:rsidRPr="005944E8">
        <w:rPr>
          <w:b w:val="0"/>
        </w:rPr>
        <w:t xml:space="preserve">. </w:t>
      </w:r>
      <w:proofErr w:type="spellStart"/>
      <w:r w:rsidRPr="005944E8">
        <w:rPr>
          <w:b w:val="0"/>
        </w:rPr>
        <w:t>Polyvinylidene</w:t>
      </w:r>
      <w:proofErr w:type="spellEnd"/>
      <w:r w:rsidRPr="005944E8">
        <w:rPr>
          <w:b w:val="0"/>
        </w:rPr>
        <w:t xml:space="preserve"> fluoride coupled with the co-polymer </w:t>
      </w:r>
      <w:proofErr w:type="spellStart"/>
      <w:r w:rsidRPr="005944E8">
        <w:rPr>
          <w:b w:val="0"/>
        </w:rPr>
        <w:t>hexafluoropropylene</w:t>
      </w:r>
      <w:proofErr w:type="spellEnd"/>
      <w:r w:rsidRPr="005944E8">
        <w:rPr>
          <w:b w:val="0"/>
        </w:rPr>
        <w:t xml:space="preserve"> (PVDF-HFP) is particularly attractive due to its improved characteristics, such as high mechanical strength, good chemical resistance, thermal stability and biocompatibility </w:t>
      </w:r>
      <w:r w:rsidR="00BE07BB" w:rsidRPr="005944E8">
        <w:rPr>
          <w:b w:val="0"/>
        </w:rPr>
        <w:t>(Kang et al., 2014)</w:t>
      </w:r>
      <w:r w:rsidRPr="005944E8">
        <w:rPr>
          <w:b w:val="0"/>
        </w:rPr>
        <w:t>; these properties make it suitable for several and different applications, from separation to biomedical field</w:t>
      </w:r>
      <w:r w:rsidR="00491CE2" w:rsidRPr="005944E8">
        <w:rPr>
          <w:b w:val="0"/>
        </w:rPr>
        <w:t>, from bioreactor to catalysis, from tissue engineering to food industry</w:t>
      </w:r>
      <w:r w:rsidRPr="005944E8">
        <w:rPr>
          <w:b w:val="0"/>
        </w:rPr>
        <w:t xml:space="preserve"> </w:t>
      </w:r>
      <w:r w:rsidR="00BE07BB" w:rsidRPr="005944E8">
        <w:rPr>
          <w:b w:val="0"/>
        </w:rPr>
        <w:t>(</w:t>
      </w:r>
      <w:proofErr w:type="spellStart"/>
      <w:r w:rsidR="00BE07BB" w:rsidRPr="005944E8">
        <w:rPr>
          <w:b w:val="0"/>
        </w:rPr>
        <w:t>Mansourizadeh</w:t>
      </w:r>
      <w:proofErr w:type="spellEnd"/>
      <w:r w:rsidR="00BE07BB" w:rsidRPr="005944E8">
        <w:rPr>
          <w:b w:val="0"/>
        </w:rPr>
        <w:t xml:space="preserve"> et al., 2010; </w:t>
      </w:r>
      <w:proofErr w:type="spellStart"/>
      <w:r w:rsidR="00BE07BB" w:rsidRPr="005944E8">
        <w:rPr>
          <w:b w:val="0"/>
        </w:rPr>
        <w:t>Nunes</w:t>
      </w:r>
      <w:proofErr w:type="spellEnd"/>
      <w:r w:rsidR="00BE07BB" w:rsidRPr="005944E8">
        <w:rPr>
          <w:b w:val="0"/>
        </w:rPr>
        <w:t>-Pereira et al., 2015; Reverchon</w:t>
      </w:r>
      <w:r w:rsidR="00241518" w:rsidRPr="005944E8">
        <w:rPr>
          <w:b w:val="0"/>
        </w:rPr>
        <w:t xml:space="preserve"> et al.</w:t>
      </w:r>
      <w:r w:rsidR="00BE07BB" w:rsidRPr="005944E8">
        <w:rPr>
          <w:b w:val="0"/>
        </w:rPr>
        <w:t>, 200</w:t>
      </w:r>
      <w:r w:rsidR="00241518" w:rsidRPr="005944E8">
        <w:rPr>
          <w:b w:val="0"/>
        </w:rPr>
        <w:t>7</w:t>
      </w:r>
      <w:r w:rsidR="00BE07BB" w:rsidRPr="005944E8">
        <w:rPr>
          <w:b w:val="0"/>
        </w:rPr>
        <w:t>; Tao et al., 2014; Yang et al., 2011)</w:t>
      </w:r>
      <w:r w:rsidRPr="005944E8">
        <w:rPr>
          <w:b w:val="0"/>
        </w:rPr>
        <w:t>.</w:t>
      </w:r>
    </w:p>
    <w:p w:rsidR="00E01A60" w:rsidRPr="005944E8" w:rsidRDefault="00E01A60" w:rsidP="005944E8">
      <w:pPr>
        <w:pStyle w:val="CETAcknowledgementstitle"/>
        <w:spacing w:before="0" w:after="0" w:line="264" w:lineRule="auto"/>
        <w:jc w:val="both"/>
        <w:rPr>
          <w:b w:val="0"/>
        </w:rPr>
      </w:pPr>
      <w:r w:rsidRPr="005944E8">
        <w:rPr>
          <w:b w:val="0"/>
        </w:rPr>
        <w:t>PVDF</w:t>
      </w:r>
      <w:r w:rsidR="004647E4" w:rsidRPr="005944E8">
        <w:rPr>
          <w:b w:val="0"/>
        </w:rPr>
        <w:t>-HFP</w:t>
      </w:r>
      <w:r w:rsidRPr="005944E8">
        <w:rPr>
          <w:b w:val="0"/>
        </w:rPr>
        <w:t xml:space="preserve"> membranes are frequently produced by non-solvent induced phase separation (NIPS) and thermally induced phase separation (TIPS) </w:t>
      </w:r>
      <w:r w:rsidR="00BE07BB" w:rsidRPr="005944E8">
        <w:rPr>
          <w:b w:val="0"/>
        </w:rPr>
        <w:t>(Kang et al., 2014)</w:t>
      </w:r>
      <w:r w:rsidRPr="005944E8">
        <w:rPr>
          <w:b w:val="0"/>
        </w:rPr>
        <w:t xml:space="preserve">. However, these traditional techniques suffer of some </w:t>
      </w:r>
      <w:r w:rsidR="004647E4" w:rsidRPr="005944E8">
        <w:rPr>
          <w:b w:val="0"/>
        </w:rPr>
        <w:t xml:space="preserve">strong </w:t>
      </w:r>
      <w:r w:rsidRPr="005944E8">
        <w:rPr>
          <w:b w:val="0"/>
        </w:rPr>
        <w:t xml:space="preserve">limitations; among them: </w:t>
      </w:r>
      <w:r w:rsidR="004647E4" w:rsidRPr="005944E8">
        <w:rPr>
          <w:b w:val="0"/>
        </w:rPr>
        <w:t xml:space="preserve">the </w:t>
      </w:r>
      <w:r w:rsidRPr="005944E8">
        <w:rPr>
          <w:b w:val="0"/>
        </w:rPr>
        <w:t>use of toxic organic solvents and their residues in the final product</w:t>
      </w:r>
      <w:r w:rsidR="004647E4" w:rsidRPr="005944E8">
        <w:rPr>
          <w:b w:val="0"/>
        </w:rPr>
        <w:t xml:space="preserve"> that affect the structures to be used in tissue engineering and in the biomedical field</w:t>
      </w:r>
      <w:r w:rsidRPr="005944E8">
        <w:rPr>
          <w:b w:val="0"/>
        </w:rPr>
        <w:t>, difficulty in controlling membranes pore size and morphology</w:t>
      </w:r>
      <w:r w:rsidR="00582CF6" w:rsidRPr="005944E8">
        <w:rPr>
          <w:b w:val="0"/>
        </w:rPr>
        <w:t xml:space="preserve"> that affect</w:t>
      </w:r>
      <w:r w:rsidR="004647E4" w:rsidRPr="005944E8">
        <w:rPr>
          <w:b w:val="0"/>
        </w:rPr>
        <w:t xml:space="preserve"> the structures to be used in separation processes</w:t>
      </w:r>
      <w:r w:rsidRPr="005944E8">
        <w:rPr>
          <w:b w:val="0"/>
        </w:rPr>
        <w:t xml:space="preserve">, </w:t>
      </w:r>
      <w:r w:rsidR="004647E4" w:rsidRPr="005944E8">
        <w:rPr>
          <w:b w:val="0"/>
        </w:rPr>
        <w:t xml:space="preserve">and </w:t>
      </w:r>
      <w:r w:rsidRPr="005944E8">
        <w:rPr>
          <w:b w:val="0"/>
        </w:rPr>
        <w:t>long processing times</w:t>
      </w:r>
      <w:r w:rsidR="004647E4" w:rsidRPr="005944E8">
        <w:rPr>
          <w:b w:val="0"/>
        </w:rPr>
        <w:t xml:space="preserve"> (more than two days)</w:t>
      </w:r>
      <w:r w:rsidRPr="005944E8">
        <w:rPr>
          <w:b w:val="0"/>
        </w:rPr>
        <w:t>.</w:t>
      </w:r>
    </w:p>
    <w:p w:rsidR="00E01A60" w:rsidRPr="005944E8" w:rsidRDefault="00E01A60" w:rsidP="005944E8">
      <w:pPr>
        <w:pStyle w:val="CETAcknowledgementstitle"/>
        <w:spacing w:before="0" w:after="0" w:line="264" w:lineRule="auto"/>
        <w:jc w:val="both"/>
        <w:rPr>
          <w:b w:val="0"/>
        </w:rPr>
      </w:pPr>
      <w:r w:rsidRPr="005944E8">
        <w:rPr>
          <w:b w:val="0"/>
        </w:rPr>
        <w:t xml:space="preserve">In order to overcame these problems, </w:t>
      </w:r>
      <w:r w:rsidR="005C4786" w:rsidRPr="005944E8">
        <w:rPr>
          <w:b w:val="0"/>
        </w:rPr>
        <w:t xml:space="preserve">different </w:t>
      </w:r>
      <w:r w:rsidRPr="005944E8">
        <w:rPr>
          <w:b w:val="0"/>
        </w:rPr>
        <w:t>supercritical CO</w:t>
      </w:r>
      <w:r w:rsidRPr="005944E8">
        <w:rPr>
          <w:b w:val="0"/>
          <w:vertAlign w:val="subscript"/>
        </w:rPr>
        <w:t>2</w:t>
      </w:r>
      <w:r w:rsidRPr="005944E8">
        <w:rPr>
          <w:b w:val="0"/>
        </w:rPr>
        <w:t xml:space="preserve"> (SC-CO</w:t>
      </w:r>
      <w:r w:rsidRPr="005944E8">
        <w:rPr>
          <w:b w:val="0"/>
          <w:vertAlign w:val="subscript"/>
        </w:rPr>
        <w:t>2</w:t>
      </w:r>
      <w:r w:rsidRPr="005944E8">
        <w:rPr>
          <w:b w:val="0"/>
        </w:rPr>
        <w:t>) assisted processes were proposed</w:t>
      </w:r>
      <w:r w:rsidR="006C0E16" w:rsidRPr="005944E8">
        <w:rPr>
          <w:b w:val="0"/>
        </w:rPr>
        <w:t>, such as SC-CO</w:t>
      </w:r>
      <w:r w:rsidR="006C0E16" w:rsidRPr="005944E8">
        <w:rPr>
          <w:b w:val="0"/>
          <w:vertAlign w:val="subscript"/>
        </w:rPr>
        <w:t>2</w:t>
      </w:r>
      <w:r w:rsidR="006C0E16" w:rsidRPr="005944E8">
        <w:rPr>
          <w:b w:val="0"/>
        </w:rPr>
        <w:t xml:space="preserve"> phase inversion and supercritical gel drying </w:t>
      </w:r>
      <w:r w:rsidR="00C61529" w:rsidRPr="005944E8">
        <w:rPr>
          <w:b w:val="0"/>
        </w:rPr>
        <w:t>(</w:t>
      </w:r>
      <w:r w:rsidR="00D30CA2" w:rsidRPr="005944E8">
        <w:rPr>
          <w:b w:val="0"/>
        </w:rPr>
        <w:t xml:space="preserve">Cardea et al., 2009; </w:t>
      </w:r>
      <w:r w:rsidR="00C61529" w:rsidRPr="005944E8">
        <w:rPr>
          <w:b w:val="0"/>
        </w:rPr>
        <w:t>Cardea et al., 2014; Cardea et al., 2018; Reverchon</w:t>
      </w:r>
      <w:r w:rsidR="00241518" w:rsidRPr="005944E8">
        <w:rPr>
          <w:b w:val="0"/>
        </w:rPr>
        <w:t xml:space="preserve"> et al.</w:t>
      </w:r>
      <w:r w:rsidR="00C61529" w:rsidRPr="005944E8">
        <w:rPr>
          <w:b w:val="0"/>
        </w:rPr>
        <w:t>, 200</w:t>
      </w:r>
      <w:r w:rsidR="00241518" w:rsidRPr="005944E8">
        <w:rPr>
          <w:b w:val="0"/>
        </w:rPr>
        <w:t>7</w:t>
      </w:r>
      <w:r w:rsidR="00C61529" w:rsidRPr="005944E8">
        <w:rPr>
          <w:b w:val="0"/>
        </w:rPr>
        <w:t>)</w:t>
      </w:r>
      <w:r w:rsidRPr="005944E8">
        <w:rPr>
          <w:b w:val="0"/>
        </w:rPr>
        <w:t>. Indeed, thanks to the SC-CO</w:t>
      </w:r>
      <w:r w:rsidRPr="005944E8">
        <w:rPr>
          <w:b w:val="0"/>
          <w:vertAlign w:val="subscript"/>
        </w:rPr>
        <w:t>2</w:t>
      </w:r>
      <w:r w:rsidRPr="005944E8">
        <w:rPr>
          <w:b w:val="0"/>
        </w:rPr>
        <w:t xml:space="preserve"> peculiarities, as for instance negligible surface tension and high diffusivity, it is possible to produce polymeric membranes </w:t>
      </w:r>
      <w:r w:rsidR="005C4786" w:rsidRPr="005944E8">
        <w:rPr>
          <w:b w:val="0"/>
        </w:rPr>
        <w:t xml:space="preserve">and aerogels </w:t>
      </w:r>
      <w:r w:rsidR="008C18EC" w:rsidRPr="005944E8">
        <w:rPr>
          <w:b w:val="0"/>
        </w:rPr>
        <w:t>(</w:t>
      </w:r>
      <w:proofErr w:type="spellStart"/>
      <w:r w:rsidR="008C18EC" w:rsidRPr="005944E8">
        <w:rPr>
          <w:b w:val="0"/>
        </w:rPr>
        <w:t>Tsivintzelis</w:t>
      </w:r>
      <w:proofErr w:type="spellEnd"/>
      <w:r w:rsidR="008C18EC" w:rsidRPr="005944E8">
        <w:rPr>
          <w:b w:val="0"/>
        </w:rPr>
        <w:t xml:space="preserve"> et al., 2007</w:t>
      </w:r>
      <w:r w:rsidR="001635D2" w:rsidRPr="005944E8">
        <w:rPr>
          <w:b w:val="0"/>
        </w:rPr>
        <w:t>;</w:t>
      </w:r>
      <w:r w:rsidR="00D77BBF" w:rsidRPr="005944E8">
        <w:rPr>
          <w:b w:val="0"/>
        </w:rPr>
        <w:t xml:space="preserve"> Daniel et al., 2012</w:t>
      </w:r>
      <w:r w:rsidR="008C18EC" w:rsidRPr="005944E8">
        <w:rPr>
          <w:b w:val="0"/>
        </w:rPr>
        <w:t>)</w:t>
      </w:r>
      <w:r w:rsidRPr="005944E8">
        <w:rPr>
          <w:b w:val="0"/>
        </w:rPr>
        <w:t xml:space="preserve">, also loaded with active principles </w:t>
      </w:r>
      <w:r w:rsidR="008C18EC" w:rsidRPr="005944E8">
        <w:rPr>
          <w:b w:val="0"/>
        </w:rPr>
        <w:t>(</w:t>
      </w:r>
      <w:r w:rsidR="00B46D22" w:rsidRPr="005944E8">
        <w:rPr>
          <w:b w:val="0"/>
        </w:rPr>
        <w:t xml:space="preserve">Baldino et al., 2015; Cardea et al., 2014; Cardea et al., 2018; </w:t>
      </w:r>
      <w:proofErr w:type="spellStart"/>
      <w:r w:rsidR="00B46D22" w:rsidRPr="005944E8">
        <w:rPr>
          <w:b w:val="0"/>
        </w:rPr>
        <w:t>Tsivintzelis</w:t>
      </w:r>
      <w:proofErr w:type="spellEnd"/>
      <w:r w:rsidR="00B46D22" w:rsidRPr="005944E8">
        <w:rPr>
          <w:b w:val="0"/>
        </w:rPr>
        <w:t xml:space="preserve"> et al., 2007</w:t>
      </w:r>
      <w:r w:rsidR="008C18EC" w:rsidRPr="005944E8">
        <w:rPr>
          <w:b w:val="0"/>
        </w:rPr>
        <w:t>)</w:t>
      </w:r>
      <w:r w:rsidRPr="005944E8">
        <w:rPr>
          <w:b w:val="0"/>
        </w:rPr>
        <w:t>, in a faster and eco-friendly process. Moreover, changing the supercritical process parameters, such as pressure, temperature and CO</w:t>
      </w:r>
      <w:r w:rsidRPr="005944E8">
        <w:rPr>
          <w:b w:val="0"/>
          <w:vertAlign w:val="subscript"/>
        </w:rPr>
        <w:t>2</w:t>
      </w:r>
      <w:r w:rsidRPr="005944E8">
        <w:rPr>
          <w:b w:val="0"/>
        </w:rPr>
        <w:t xml:space="preserve"> flow rate, or polymer concentration, </w:t>
      </w:r>
      <w:r w:rsidR="00ED3570" w:rsidRPr="005944E8">
        <w:rPr>
          <w:b w:val="0"/>
        </w:rPr>
        <w:t>structures</w:t>
      </w:r>
      <w:r w:rsidRPr="005944E8">
        <w:rPr>
          <w:b w:val="0"/>
        </w:rPr>
        <w:t xml:space="preserve"> pore size and kind of morphology (e.g., microporous, finger-like, </w:t>
      </w:r>
      <w:proofErr w:type="spellStart"/>
      <w:r w:rsidRPr="005944E8">
        <w:rPr>
          <w:b w:val="0"/>
        </w:rPr>
        <w:t>nanoporous</w:t>
      </w:r>
      <w:proofErr w:type="spellEnd"/>
      <w:r w:rsidR="00ED3570" w:rsidRPr="005944E8">
        <w:rPr>
          <w:b w:val="0"/>
        </w:rPr>
        <w:t>, etc.</w:t>
      </w:r>
      <w:r w:rsidR="001635D2" w:rsidRPr="005944E8">
        <w:rPr>
          <w:b w:val="0"/>
        </w:rPr>
        <w:t>) can be modulated acting on the</w:t>
      </w:r>
      <w:r w:rsidRPr="005944E8">
        <w:rPr>
          <w:b w:val="0"/>
        </w:rPr>
        <w:t xml:space="preserve"> thermodynamics and kinetics of the system. Reverchon and Cardea </w:t>
      </w:r>
      <w:r w:rsidR="00B46D22" w:rsidRPr="005944E8">
        <w:rPr>
          <w:b w:val="0"/>
        </w:rPr>
        <w:t>(200</w:t>
      </w:r>
      <w:r w:rsidR="00241518" w:rsidRPr="005944E8">
        <w:rPr>
          <w:b w:val="0"/>
        </w:rPr>
        <w:t>6</w:t>
      </w:r>
      <w:r w:rsidR="00B46D22" w:rsidRPr="005944E8">
        <w:rPr>
          <w:b w:val="0"/>
        </w:rPr>
        <w:t>)</w:t>
      </w:r>
      <w:r w:rsidRPr="005944E8">
        <w:rPr>
          <w:b w:val="0"/>
        </w:rPr>
        <w:t xml:space="preserve"> </w:t>
      </w:r>
      <w:r w:rsidR="00ED3570" w:rsidRPr="005944E8">
        <w:rPr>
          <w:b w:val="0"/>
        </w:rPr>
        <w:t xml:space="preserve">specifically </w:t>
      </w:r>
      <w:r w:rsidRPr="005944E8">
        <w:rPr>
          <w:b w:val="0"/>
        </w:rPr>
        <w:t>studied the effect of the process parameters (polymer concentration, temperature, pressure, liquid solvent) on PVDF-HFP membranes morphology and demonstrated that</w:t>
      </w:r>
      <w:r w:rsidR="00ED3570" w:rsidRPr="005944E8">
        <w:rPr>
          <w:b w:val="0"/>
        </w:rPr>
        <w:t>,</w:t>
      </w:r>
      <w:r w:rsidRPr="005944E8">
        <w:rPr>
          <w:b w:val="0"/>
        </w:rPr>
        <w:t xml:space="preserve"> modifying these parameters, it was possible to obtain different membrane morphologies: cellular structure, </w:t>
      </w:r>
      <w:proofErr w:type="spellStart"/>
      <w:r w:rsidRPr="005944E8">
        <w:rPr>
          <w:b w:val="0"/>
        </w:rPr>
        <w:t>binodal</w:t>
      </w:r>
      <w:proofErr w:type="spellEnd"/>
      <w:r w:rsidRPr="005944E8">
        <w:rPr>
          <w:b w:val="0"/>
        </w:rPr>
        <w:t xml:space="preserve"> structure and </w:t>
      </w:r>
      <w:proofErr w:type="spellStart"/>
      <w:r w:rsidRPr="005944E8">
        <w:rPr>
          <w:b w:val="0"/>
        </w:rPr>
        <w:t>microparticles</w:t>
      </w:r>
      <w:proofErr w:type="spellEnd"/>
      <w:r w:rsidRPr="005944E8">
        <w:rPr>
          <w:b w:val="0"/>
        </w:rPr>
        <w:t>.</w:t>
      </w:r>
    </w:p>
    <w:p w:rsidR="00ED3570" w:rsidRPr="005944E8" w:rsidRDefault="006C0E16" w:rsidP="005944E8">
      <w:pPr>
        <w:pStyle w:val="CETAcknowledgementstitle"/>
        <w:spacing w:before="0" w:after="0" w:line="264" w:lineRule="auto"/>
        <w:jc w:val="both"/>
        <w:rPr>
          <w:b w:val="0"/>
        </w:rPr>
      </w:pPr>
      <w:r w:rsidRPr="005944E8">
        <w:rPr>
          <w:b w:val="0"/>
        </w:rPr>
        <w:lastRenderedPageBreak/>
        <w:t>Generally speaking</w:t>
      </w:r>
      <w:r w:rsidR="00ED3570" w:rsidRPr="005944E8">
        <w:rPr>
          <w:b w:val="0"/>
        </w:rPr>
        <w:t>, previous work</w:t>
      </w:r>
      <w:r w:rsidRPr="005944E8">
        <w:rPr>
          <w:b w:val="0"/>
        </w:rPr>
        <w:t>s</w:t>
      </w:r>
      <w:r w:rsidR="00ED3570" w:rsidRPr="005944E8">
        <w:rPr>
          <w:b w:val="0"/>
        </w:rPr>
        <w:t xml:space="preserve"> showed as it was possible to generate two kind</w:t>
      </w:r>
      <w:r w:rsidR="001635D2" w:rsidRPr="005944E8">
        <w:rPr>
          <w:b w:val="0"/>
        </w:rPr>
        <w:t>s</w:t>
      </w:r>
      <w:r w:rsidR="00ED3570" w:rsidRPr="005944E8">
        <w:rPr>
          <w:b w:val="0"/>
        </w:rPr>
        <w:t xml:space="preserve"> of PVDF-HFP structures: one, typically </w:t>
      </w:r>
      <w:r w:rsidRPr="005944E8">
        <w:rPr>
          <w:b w:val="0"/>
        </w:rPr>
        <w:t>defined as</w:t>
      </w:r>
      <w:r w:rsidR="00ED3570" w:rsidRPr="005944E8">
        <w:rPr>
          <w:b w:val="0"/>
        </w:rPr>
        <w:t xml:space="preserve"> membranes, </w:t>
      </w:r>
      <w:r w:rsidRPr="005944E8">
        <w:rPr>
          <w:b w:val="0"/>
        </w:rPr>
        <w:t>obtained by SC-CO</w:t>
      </w:r>
      <w:r w:rsidRPr="005944E8">
        <w:rPr>
          <w:b w:val="0"/>
          <w:vertAlign w:val="subscript"/>
        </w:rPr>
        <w:t>2</w:t>
      </w:r>
      <w:r w:rsidRPr="005944E8">
        <w:rPr>
          <w:b w:val="0"/>
        </w:rPr>
        <w:t xml:space="preserve"> phase inversion and </w:t>
      </w:r>
      <w:r w:rsidR="00ED3570" w:rsidRPr="005944E8">
        <w:rPr>
          <w:b w:val="0"/>
        </w:rPr>
        <w:t>characterized by micrometric porosity</w:t>
      </w:r>
      <w:r w:rsidRPr="005944E8">
        <w:rPr>
          <w:b w:val="0"/>
        </w:rPr>
        <w:t>,</w:t>
      </w:r>
      <w:r w:rsidR="00ED3570" w:rsidRPr="005944E8">
        <w:rPr>
          <w:b w:val="0"/>
        </w:rPr>
        <w:t xml:space="preserve"> and, </w:t>
      </w:r>
      <w:r w:rsidRPr="005944E8">
        <w:rPr>
          <w:b w:val="0"/>
        </w:rPr>
        <w:t>two, typically defined as aerogel</w:t>
      </w:r>
      <w:r w:rsidR="00D30CA2" w:rsidRPr="005944E8">
        <w:rPr>
          <w:b w:val="0"/>
        </w:rPr>
        <w:t>s</w:t>
      </w:r>
      <w:r w:rsidRPr="005944E8">
        <w:rPr>
          <w:b w:val="0"/>
        </w:rPr>
        <w:t xml:space="preserve">, obtained by supercritical gel drying and characterized by </w:t>
      </w:r>
      <w:proofErr w:type="spellStart"/>
      <w:r w:rsidRPr="005944E8">
        <w:rPr>
          <w:b w:val="0"/>
        </w:rPr>
        <w:t>nanometric</w:t>
      </w:r>
      <w:proofErr w:type="spellEnd"/>
      <w:r w:rsidRPr="005944E8">
        <w:rPr>
          <w:b w:val="0"/>
        </w:rPr>
        <w:t xml:space="preserve"> porosity. In particular, the supercritical gel drying process provided two steps (gelation</w:t>
      </w:r>
      <w:r w:rsidR="00B70B32" w:rsidRPr="005944E8">
        <w:rPr>
          <w:b w:val="0"/>
        </w:rPr>
        <w:t>/freezing step</w:t>
      </w:r>
      <w:r w:rsidRPr="005944E8">
        <w:rPr>
          <w:b w:val="0"/>
        </w:rPr>
        <w:t xml:space="preserve"> plus drying)</w:t>
      </w:r>
      <w:r w:rsidR="00DC2CD2" w:rsidRPr="005944E8">
        <w:rPr>
          <w:b w:val="0"/>
        </w:rPr>
        <w:t xml:space="preserve"> (Cardea et al., 2009).</w:t>
      </w:r>
    </w:p>
    <w:p w:rsidR="00B70B32" w:rsidRPr="005944E8" w:rsidRDefault="00E01A60" w:rsidP="005944E8">
      <w:pPr>
        <w:pStyle w:val="CETAcknowledgementstitle"/>
        <w:spacing w:before="0" w:after="0" w:line="264" w:lineRule="auto"/>
        <w:jc w:val="both"/>
        <w:rPr>
          <w:b w:val="0"/>
        </w:rPr>
      </w:pPr>
      <w:r w:rsidRPr="005944E8">
        <w:rPr>
          <w:b w:val="0"/>
        </w:rPr>
        <w:t xml:space="preserve">Taking into account these supercritical process advantages and considering that for water treatment microfiltration and ultrafiltration membranes are necessary (microfiltration membranes can separate particles from about 0.05–0.1 </w:t>
      </w:r>
      <w:proofErr w:type="spellStart"/>
      <w:r w:rsidRPr="005944E8">
        <w:rPr>
          <w:b w:val="0"/>
        </w:rPr>
        <w:t>μm</w:t>
      </w:r>
      <w:proofErr w:type="spellEnd"/>
      <w:r w:rsidRPr="005944E8">
        <w:rPr>
          <w:b w:val="0"/>
        </w:rPr>
        <w:t xml:space="preserve"> to 1.0 </w:t>
      </w:r>
      <w:proofErr w:type="spellStart"/>
      <w:r w:rsidRPr="005944E8">
        <w:rPr>
          <w:b w:val="0"/>
        </w:rPr>
        <w:t>μm</w:t>
      </w:r>
      <w:proofErr w:type="spellEnd"/>
      <w:r w:rsidR="001635D2" w:rsidRPr="005944E8">
        <w:rPr>
          <w:b w:val="0"/>
        </w:rPr>
        <w:t>;</w:t>
      </w:r>
      <w:r w:rsidRPr="005944E8">
        <w:rPr>
          <w:b w:val="0"/>
        </w:rPr>
        <w:t xml:space="preserve"> whereas, ultrafiltration membranes with pore size range of 0.01–0.1 </w:t>
      </w:r>
      <w:proofErr w:type="spellStart"/>
      <w:r w:rsidRPr="005944E8">
        <w:rPr>
          <w:b w:val="0"/>
        </w:rPr>
        <w:t>μm</w:t>
      </w:r>
      <w:proofErr w:type="spellEnd"/>
      <w:r w:rsidRPr="005944E8">
        <w:rPr>
          <w:b w:val="0"/>
        </w:rPr>
        <w:t xml:space="preserve"> can remove viruses, metal hydroxides, colloids and other large molecular weight materials from water </w:t>
      </w:r>
      <w:r w:rsidR="00B46D22" w:rsidRPr="005944E8">
        <w:rPr>
          <w:b w:val="0"/>
        </w:rPr>
        <w:t>(Kang et al., 2014)</w:t>
      </w:r>
      <w:r w:rsidRPr="005944E8">
        <w:rPr>
          <w:b w:val="0"/>
        </w:rPr>
        <w:t xml:space="preserve">), in this work, for the first time, the production of PVDF-HFP membranes with a tuneable morphology from microporous to </w:t>
      </w:r>
      <w:proofErr w:type="spellStart"/>
      <w:r w:rsidRPr="005944E8">
        <w:rPr>
          <w:b w:val="0"/>
        </w:rPr>
        <w:t>nanoporous</w:t>
      </w:r>
      <w:proofErr w:type="spellEnd"/>
      <w:r w:rsidRPr="005944E8">
        <w:rPr>
          <w:b w:val="0"/>
        </w:rPr>
        <w:t xml:space="preserve"> </w:t>
      </w:r>
      <w:r w:rsidR="00ED3570" w:rsidRPr="005944E8">
        <w:rPr>
          <w:b w:val="0"/>
        </w:rPr>
        <w:t xml:space="preserve">one </w:t>
      </w:r>
      <w:r w:rsidRPr="005944E8">
        <w:rPr>
          <w:b w:val="0"/>
        </w:rPr>
        <w:t>is proposed, using a new supercritical phase se</w:t>
      </w:r>
      <w:r w:rsidR="005B0C15" w:rsidRPr="005944E8">
        <w:rPr>
          <w:b w:val="0"/>
        </w:rPr>
        <w:t>paration process configuration.</w:t>
      </w:r>
    </w:p>
    <w:p w:rsidR="00261EA3" w:rsidRPr="005944E8" w:rsidRDefault="00E01A60" w:rsidP="005944E8">
      <w:pPr>
        <w:pStyle w:val="CETAcknowledgementstitle"/>
        <w:spacing w:before="0" w:after="0" w:line="264" w:lineRule="auto"/>
        <w:jc w:val="both"/>
        <w:rPr>
          <w:b w:val="0"/>
        </w:rPr>
      </w:pPr>
      <w:r w:rsidRPr="005944E8">
        <w:rPr>
          <w:b w:val="0"/>
        </w:rPr>
        <w:t xml:space="preserve">In particular, in order to confer to PVDF-HFP membranes also the </w:t>
      </w:r>
      <w:proofErr w:type="spellStart"/>
      <w:r w:rsidRPr="005944E8">
        <w:rPr>
          <w:b w:val="0"/>
        </w:rPr>
        <w:t>nanoporous</w:t>
      </w:r>
      <w:proofErr w:type="spellEnd"/>
      <w:r w:rsidRPr="005944E8">
        <w:rPr>
          <w:b w:val="0"/>
        </w:rPr>
        <w:t xml:space="preserve"> morphology</w:t>
      </w:r>
      <w:r w:rsidR="00B70B32" w:rsidRPr="005944E8">
        <w:rPr>
          <w:b w:val="0"/>
        </w:rPr>
        <w:t>,</w:t>
      </w:r>
      <w:r w:rsidR="006E7E7F" w:rsidRPr="005944E8">
        <w:rPr>
          <w:b w:val="0"/>
        </w:rPr>
        <w:t xml:space="preserve"> typical of the aerogels</w:t>
      </w:r>
      <w:r w:rsidRPr="005944E8">
        <w:rPr>
          <w:b w:val="0"/>
        </w:rPr>
        <w:t xml:space="preserve">, an in-situ polymer gelation was tried by adding ethanol directly during the supercritical </w:t>
      </w:r>
      <w:r w:rsidR="00B70B32" w:rsidRPr="005944E8">
        <w:rPr>
          <w:b w:val="0"/>
        </w:rPr>
        <w:t>phase inversion</w:t>
      </w:r>
      <w:r w:rsidRPr="005944E8">
        <w:rPr>
          <w:b w:val="0"/>
        </w:rPr>
        <w:t>. The aim was to take advantage from the SC-CO</w:t>
      </w:r>
      <w:r w:rsidRPr="005944E8">
        <w:rPr>
          <w:b w:val="0"/>
          <w:vertAlign w:val="subscript"/>
        </w:rPr>
        <w:t>2</w:t>
      </w:r>
      <w:r w:rsidRPr="005944E8">
        <w:rPr>
          <w:b w:val="0"/>
        </w:rPr>
        <w:t xml:space="preserve"> mass transfer characteristics to induce PVDF-HFP gelation in contact with the non-solvent (ethanol) in a faster process and avoiding the freezing step. The PVDF-HFP membranes produced in this manner were analyzed by scanning electron microscopy, BET surface area and porosity in order to determine their characteristics and the applicability as filters for water purification</w:t>
      </w:r>
      <w:r w:rsidR="005B0C15" w:rsidRPr="005944E8">
        <w:rPr>
          <w:b w:val="0"/>
        </w:rPr>
        <w:t>.</w:t>
      </w:r>
    </w:p>
    <w:p w:rsidR="00E01A60" w:rsidRPr="00E01A60" w:rsidRDefault="00E01A60" w:rsidP="00E01A60">
      <w:pPr>
        <w:pStyle w:val="CETHeading1"/>
        <w:tabs>
          <w:tab w:val="num" w:pos="360"/>
        </w:tabs>
        <w:rPr>
          <w:sz w:val="18"/>
        </w:rPr>
      </w:pPr>
      <w:r w:rsidRPr="00E01A60">
        <w:rPr>
          <w:lang w:val="en-GB"/>
        </w:rPr>
        <w:t>Materials and methods</w:t>
      </w:r>
    </w:p>
    <w:p w:rsidR="00E01A60" w:rsidRPr="005944E8" w:rsidRDefault="00E01A60" w:rsidP="005944E8">
      <w:pPr>
        <w:pStyle w:val="CETAcknowledgementstitle"/>
        <w:spacing w:before="0" w:after="0" w:line="264" w:lineRule="auto"/>
        <w:jc w:val="both"/>
        <w:rPr>
          <w:b w:val="0"/>
        </w:rPr>
      </w:pPr>
      <w:proofErr w:type="spellStart"/>
      <w:r w:rsidRPr="005944E8">
        <w:rPr>
          <w:b w:val="0"/>
        </w:rPr>
        <w:t>Polyvinylidene</w:t>
      </w:r>
      <w:proofErr w:type="spellEnd"/>
      <w:r w:rsidRPr="005944E8">
        <w:rPr>
          <w:b w:val="0"/>
        </w:rPr>
        <w:t xml:space="preserve"> fluoride-</w:t>
      </w:r>
      <w:proofErr w:type="spellStart"/>
      <w:r w:rsidRPr="005944E8">
        <w:rPr>
          <w:b w:val="0"/>
        </w:rPr>
        <w:t>hexafluoropropylen</w:t>
      </w:r>
      <w:proofErr w:type="spellEnd"/>
      <w:r w:rsidRPr="005944E8">
        <w:rPr>
          <w:b w:val="0"/>
        </w:rPr>
        <w:t xml:space="preserve"> (PVDF-HFP, </w:t>
      </w:r>
      <w:proofErr w:type="spellStart"/>
      <w:r w:rsidRPr="005944E8">
        <w:rPr>
          <w:b w:val="0"/>
        </w:rPr>
        <w:t>Mn</w:t>
      </w:r>
      <w:proofErr w:type="spellEnd"/>
      <w:r w:rsidRPr="005944E8">
        <w:rPr>
          <w:b w:val="0"/>
        </w:rPr>
        <w:t>=130000), acetone (purity &gt;99.5%) and ethanol (purity &gt;99.9%) were bought from Sigma Aldrich. CO</w:t>
      </w:r>
      <w:r w:rsidRPr="005944E8">
        <w:rPr>
          <w:b w:val="0"/>
          <w:vertAlign w:val="subscript"/>
        </w:rPr>
        <w:t>2</w:t>
      </w:r>
      <w:r w:rsidRPr="005944E8">
        <w:rPr>
          <w:b w:val="0"/>
        </w:rPr>
        <w:t xml:space="preserve"> (purity 99.9%) was supplied by Morlando Group S.R.L. (</w:t>
      </w:r>
      <w:proofErr w:type="spellStart"/>
      <w:r w:rsidRPr="005944E8">
        <w:rPr>
          <w:b w:val="0"/>
        </w:rPr>
        <w:t>Sant’Antimo</w:t>
      </w:r>
      <w:proofErr w:type="spellEnd"/>
      <w:r w:rsidRPr="005944E8">
        <w:rPr>
          <w:b w:val="0"/>
        </w:rPr>
        <w:t>, NA, Italy).</w:t>
      </w:r>
    </w:p>
    <w:p w:rsidR="00E01A60" w:rsidRPr="005944E8" w:rsidRDefault="00E01A60" w:rsidP="005944E8">
      <w:pPr>
        <w:pStyle w:val="CETAcknowledgementstitle"/>
        <w:spacing w:before="0" w:after="0" w:line="264" w:lineRule="auto"/>
        <w:jc w:val="both"/>
        <w:rPr>
          <w:b w:val="0"/>
        </w:rPr>
      </w:pPr>
      <w:r w:rsidRPr="005944E8">
        <w:rPr>
          <w:b w:val="0"/>
        </w:rPr>
        <w:t>Polymer solutions were prepared dissolving PVDF-HFP at different concentrations (10, 15 and 20% w/w) in acetone. When an homogeneous solution was obtained after magnetic stirring at 100 rpm and room temperature, it was distributed on stainless steel cups of 2 cm diameter and about 2 mm height. These samples were put inside the high pressure vessel for the supercritical phase inversion process.</w:t>
      </w:r>
    </w:p>
    <w:p w:rsidR="00E01A60" w:rsidRPr="005944E8" w:rsidRDefault="00E01A60" w:rsidP="005944E8">
      <w:pPr>
        <w:pStyle w:val="CETAcknowledgementstitle"/>
        <w:spacing w:before="0" w:after="0" w:line="264" w:lineRule="auto"/>
        <w:jc w:val="both"/>
        <w:rPr>
          <w:b w:val="0"/>
        </w:rPr>
      </w:pPr>
      <w:r w:rsidRPr="005944E8">
        <w:rPr>
          <w:b w:val="0"/>
        </w:rPr>
        <w:t xml:space="preserve">The laboratory plant used in this work, consists of a 316 stainless steel cylindrical high-pressure vessel with an internal volume of 200 mL, equipped with </w:t>
      </w:r>
      <w:r w:rsidR="00954D32" w:rsidRPr="005944E8">
        <w:rPr>
          <w:b w:val="0"/>
        </w:rPr>
        <w:t>two</w:t>
      </w:r>
      <w:r w:rsidRPr="005944E8">
        <w:rPr>
          <w:b w:val="0"/>
        </w:rPr>
        <w:t xml:space="preserve"> high pressure pump</w:t>
      </w:r>
      <w:r w:rsidR="00954D32" w:rsidRPr="005944E8">
        <w:rPr>
          <w:b w:val="0"/>
        </w:rPr>
        <w:t>s</w:t>
      </w:r>
      <w:r w:rsidRPr="005944E8">
        <w:rPr>
          <w:b w:val="0"/>
        </w:rPr>
        <w:t xml:space="preserve"> (mod. LDB1, </w:t>
      </w:r>
      <w:proofErr w:type="spellStart"/>
      <w:r w:rsidRPr="005944E8">
        <w:rPr>
          <w:b w:val="0"/>
        </w:rPr>
        <w:t>Lewa</w:t>
      </w:r>
      <w:proofErr w:type="spellEnd"/>
      <w:r w:rsidRPr="005944E8">
        <w:rPr>
          <w:b w:val="0"/>
        </w:rPr>
        <w:t xml:space="preserve">, </w:t>
      </w:r>
      <w:proofErr w:type="spellStart"/>
      <w:r w:rsidRPr="005944E8">
        <w:rPr>
          <w:b w:val="0"/>
        </w:rPr>
        <w:t>Leonberg</w:t>
      </w:r>
      <w:proofErr w:type="spellEnd"/>
      <w:r w:rsidRPr="005944E8">
        <w:rPr>
          <w:b w:val="0"/>
        </w:rPr>
        <w:t>, Germany) used to deliver liquid CO</w:t>
      </w:r>
      <w:r w:rsidRPr="005944E8">
        <w:rPr>
          <w:b w:val="0"/>
          <w:vertAlign w:val="subscript"/>
        </w:rPr>
        <w:t>2</w:t>
      </w:r>
      <w:r w:rsidR="00954D32" w:rsidRPr="005944E8">
        <w:rPr>
          <w:b w:val="0"/>
          <w:vertAlign w:val="subscript"/>
        </w:rPr>
        <w:t xml:space="preserve"> </w:t>
      </w:r>
      <w:r w:rsidR="00954D32" w:rsidRPr="005944E8">
        <w:rPr>
          <w:b w:val="0"/>
        </w:rPr>
        <w:t>and liquid ethanol</w:t>
      </w:r>
      <w:r w:rsidRPr="005944E8">
        <w:rPr>
          <w:b w:val="0"/>
        </w:rPr>
        <w:t xml:space="preserve">. Pressure in the vessel was measured by a test gauge (mod. MP1, OMET, Lecco, Italy) and regulated using a </w:t>
      </w:r>
      <w:proofErr w:type="spellStart"/>
      <w:r w:rsidRPr="005944E8">
        <w:rPr>
          <w:b w:val="0"/>
        </w:rPr>
        <w:t>micrometering</w:t>
      </w:r>
      <w:proofErr w:type="spellEnd"/>
      <w:r w:rsidRPr="005944E8">
        <w:rPr>
          <w:b w:val="0"/>
        </w:rPr>
        <w:t xml:space="preserve"> valve (mod. 1335G4Y, Hoke, Spartanburg, USA). Temperature was regulated using PID controllers (mod. 305, </w:t>
      </w:r>
      <w:proofErr w:type="spellStart"/>
      <w:r w:rsidRPr="005944E8">
        <w:rPr>
          <w:b w:val="0"/>
        </w:rPr>
        <w:t>Watlow</w:t>
      </w:r>
      <w:proofErr w:type="spellEnd"/>
      <w:r w:rsidRPr="005944E8">
        <w:rPr>
          <w:b w:val="0"/>
        </w:rPr>
        <w:t xml:space="preserve">, </w:t>
      </w:r>
      <w:proofErr w:type="spellStart"/>
      <w:r w:rsidRPr="005944E8">
        <w:rPr>
          <w:b w:val="0"/>
        </w:rPr>
        <w:t>Corsico</w:t>
      </w:r>
      <w:proofErr w:type="spellEnd"/>
      <w:r w:rsidRPr="005944E8">
        <w:rPr>
          <w:b w:val="0"/>
        </w:rPr>
        <w:t xml:space="preserve"> (MI), Italy). At the exit of the vessel, a rotameter (mod. D6, ASA, Sesto San Giovanni (MI), Italy) was used to measure CO</w:t>
      </w:r>
      <w:r w:rsidRPr="005944E8">
        <w:rPr>
          <w:b w:val="0"/>
          <w:vertAlign w:val="subscript"/>
        </w:rPr>
        <w:t>2</w:t>
      </w:r>
      <w:r w:rsidRPr="005944E8">
        <w:rPr>
          <w:b w:val="0"/>
        </w:rPr>
        <w:t xml:space="preserve"> </w:t>
      </w:r>
      <w:r w:rsidR="00693E94" w:rsidRPr="005944E8">
        <w:rPr>
          <w:b w:val="0"/>
        </w:rPr>
        <w:t xml:space="preserve">+ ethanol </w:t>
      </w:r>
      <w:r w:rsidRPr="005944E8">
        <w:rPr>
          <w:b w:val="0"/>
        </w:rPr>
        <w:t>flow rate.</w:t>
      </w:r>
    </w:p>
    <w:p w:rsidR="00E01A60" w:rsidRPr="005944E8" w:rsidRDefault="00E01A60" w:rsidP="005944E8">
      <w:pPr>
        <w:pStyle w:val="CETAcknowledgementstitle"/>
        <w:spacing w:before="0" w:after="0" w:line="264" w:lineRule="auto"/>
        <w:jc w:val="both"/>
        <w:rPr>
          <w:b w:val="0"/>
        </w:rPr>
      </w:pPr>
      <w:r w:rsidRPr="005944E8">
        <w:rPr>
          <w:b w:val="0"/>
        </w:rPr>
        <w:t xml:space="preserve">PVDF-HFP samples were </w:t>
      </w:r>
      <w:proofErr w:type="spellStart"/>
      <w:r w:rsidRPr="005944E8">
        <w:rPr>
          <w:b w:val="0"/>
        </w:rPr>
        <w:t>cryo</w:t>
      </w:r>
      <w:proofErr w:type="spellEnd"/>
      <w:r w:rsidRPr="005944E8">
        <w:rPr>
          <w:b w:val="0"/>
        </w:rPr>
        <w:t xml:space="preserve">-fractured using liquid nitrogen (SOL, Milan, Italy); then, they were sputter coated with gold (Agar Auto Sputter Coater mod. 108 A, Stansted, UK) at 30 mA for 80 s and analyzed using a field emission scanning microscope (FE-SEM, mod. LEO 1525, Carl Zeiss SMT AG, </w:t>
      </w:r>
      <w:proofErr w:type="spellStart"/>
      <w:r w:rsidRPr="005944E8">
        <w:rPr>
          <w:b w:val="0"/>
        </w:rPr>
        <w:t>Oberkochen</w:t>
      </w:r>
      <w:proofErr w:type="spellEnd"/>
      <w:r w:rsidRPr="005944E8">
        <w:rPr>
          <w:b w:val="0"/>
        </w:rPr>
        <w:t>, Germany) to study their morphology.</w:t>
      </w:r>
    </w:p>
    <w:p w:rsidR="00E01A60" w:rsidRPr="005944E8" w:rsidRDefault="00E01A60" w:rsidP="005944E8">
      <w:pPr>
        <w:pStyle w:val="CETAcknowledgementstitle"/>
        <w:spacing w:before="0" w:after="0" w:line="264" w:lineRule="auto"/>
        <w:jc w:val="both"/>
        <w:rPr>
          <w:b w:val="0"/>
        </w:rPr>
      </w:pPr>
      <w:r w:rsidRPr="005944E8">
        <w:rPr>
          <w:b w:val="0"/>
        </w:rPr>
        <w:t>BET specific surface area was determined by N</w:t>
      </w:r>
      <w:r w:rsidRPr="005944E8">
        <w:rPr>
          <w:b w:val="0"/>
          <w:vertAlign w:val="subscript"/>
        </w:rPr>
        <w:t>2</w:t>
      </w:r>
      <w:r w:rsidRPr="005944E8">
        <w:rPr>
          <w:b w:val="0"/>
        </w:rPr>
        <w:t xml:space="preserve"> </w:t>
      </w:r>
      <w:proofErr w:type="spellStart"/>
      <w:r w:rsidRPr="005944E8">
        <w:rPr>
          <w:b w:val="0"/>
        </w:rPr>
        <w:t>physisorption</w:t>
      </w:r>
      <w:proofErr w:type="spellEnd"/>
      <w:r w:rsidRPr="005944E8">
        <w:rPr>
          <w:b w:val="0"/>
        </w:rPr>
        <w:t xml:space="preserve"> using a Nova 1200e Surface Area &amp; Pore Size </w:t>
      </w:r>
      <w:proofErr w:type="spellStart"/>
      <w:r w:rsidRPr="005944E8">
        <w:rPr>
          <w:b w:val="0"/>
        </w:rPr>
        <w:t>Analyzer</w:t>
      </w:r>
      <w:proofErr w:type="spellEnd"/>
      <w:r w:rsidRPr="005944E8">
        <w:rPr>
          <w:b w:val="0"/>
        </w:rPr>
        <w:t xml:space="preserve"> (</w:t>
      </w:r>
      <w:proofErr w:type="spellStart"/>
      <w:r w:rsidRPr="005944E8">
        <w:rPr>
          <w:b w:val="0"/>
        </w:rPr>
        <w:t>Quantachrome</w:t>
      </w:r>
      <w:proofErr w:type="spellEnd"/>
      <w:r w:rsidRPr="005944E8">
        <w:rPr>
          <w:b w:val="0"/>
        </w:rPr>
        <w:t xml:space="preserve"> Instruments, Florida, USA). About 0.2 g of sample </w:t>
      </w:r>
      <w:r w:rsidR="00396BB8" w:rsidRPr="005944E8">
        <w:rPr>
          <w:b w:val="0"/>
        </w:rPr>
        <w:t>were</w:t>
      </w:r>
      <w:r w:rsidRPr="005944E8">
        <w:rPr>
          <w:b w:val="0"/>
        </w:rPr>
        <w:t xml:space="preserve"> first degassed at 60 °C for 12 h and, then, analyzed by N</w:t>
      </w:r>
      <w:r w:rsidRPr="005944E8">
        <w:rPr>
          <w:b w:val="0"/>
          <w:vertAlign w:val="subscript"/>
        </w:rPr>
        <w:t>2</w:t>
      </w:r>
      <w:r w:rsidRPr="005944E8">
        <w:rPr>
          <w:b w:val="0"/>
        </w:rPr>
        <w:t xml:space="preserve"> adsorption at -196 °C.</w:t>
      </w:r>
    </w:p>
    <w:p w:rsidR="00261EA3" w:rsidRPr="005944E8" w:rsidRDefault="00E01A60" w:rsidP="005944E8">
      <w:pPr>
        <w:pStyle w:val="CETAcknowledgementstitle"/>
        <w:spacing w:before="0" w:after="0" w:line="264" w:lineRule="auto"/>
        <w:jc w:val="both"/>
        <w:rPr>
          <w:b w:val="0"/>
        </w:rPr>
      </w:pPr>
      <w:r w:rsidRPr="005944E8">
        <w:rPr>
          <w:b w:val="0"/>
        </w:rPr>
        <w:t>The porosity (ε) represents the “void space” of the polymer sample and was calculated from the density of the sample and the density of pure PVDF-HFP. The PVDF-HFP sample density was determined by measuring its volume and weight.</w:t>
      </w:r>
    </w:p>
    <w:p w:rsidR="00E01A60" w:rsidRPr="00E01A60" w:rsidRDefault="00272512" w:rsidP="00E01A60">
      <w:pPr>
        <w:pStyle w:val="CETHeading1"/>
        <w:tabs>
          <w:tab w:val="num" w:pos="360"/>
        </w:tabs>
        <w:rPr>
          <w:lang w:val="en-GB"/>
        </w:rPr>
      </w:pPr>
      <w:r>
        <w:rPr>
          <w:lang w:val="en-GB"/>
        </w:rPr>
        <w:t>Results and discussion</w:t>
      </w:r>
    </w:p>
    <w:p w:rsidR="00CD59CA" w:rsidRDefault="00E01A60" w:rsidP="00E01A60">
      <w:pPr>
        <w:pStyle w:val="CETBodytext"/>
        <w:rPr>
          <w:lang w:val="en-GB"/>
        </w:rPr>
      </w:pPr>
      <w:r w:rsidRPr="00E01A60">
        <w:rPr>
          <w:lang w:val="en-GB"/>
        </w:rPr>
        <w:t xml:space="preserve">PVDF-HFP is a polymer that can produce both microporous and </w:t>
      </w:r>
      <w:proofErr w:type="spellStart"/>
      <w:r w:rsidRPr="00E01A60">
        <w:rPr>
          <w:lang w:val="en-GB"/>
        </w:rPr>
        <w:t>nanoporous</w:t>
      </w:r>
      <w:proofErr w:type="spellEnd"/>
      <w:r w:rsidRPr="00E01A60">
        <w:rPr>
          <w:lang w:val="en-GB"/>
        </w:rPr>
        <w:t xml:space="preserve"> structures; it depends on the preparation procedure. In the first case, PVDF-HFP is generally dissolved in</w:t>
      </w:r>
      <w:r w:rsidR="00C955C0">
        <w:rPr>
          <w:lang w:val="en-GB"/>
        </w:rPr>
        <w:t xml:space="preserve"> an organic solvent, as acetone</w:t>
      </w:r>
      <w:r w:rsidRPr="00E01A60">
        <w:rPr>
          <w:lang w:val="en-GB"/>
        </w:rPr>
        <w:t xml:space="preserve"> and, then</w:t>
      </w:r>
      <w:r w:rsidR="00C955C0">
        <w:rPr>
          <w:lang w:val="en-GB"/>
        </w:rPr>
        <w:t>,</w:t>
      </w:r>
      <w:r w:rsidRPr="00E01A60">
        <w:rPr>
          <w:lang w:val="en-GB"/>
        </w:rPr>
        <w:t xml:space="preserve"> the solution is phase-separated </w:t>
      </w:r>
      <w:r w:rsidR="00B46D22">
        <w:rPr>
          <w:lang w:val="en-GB"/>
        </w:rPr>
        <w:t>(Reverchon and Cardea, 2006)</w:t>
      </w:r>
      <w:r w:rsidRPr="00E01A60">
        <w:rPr>
          <w:lang w:val="en-GB"/>
        </w:rPr>
        <w:t>; in the second one, two steps are necessary. Indeed, before processing, the addition of a non-solvent (e.g., ethanol) to the starting PVDF-HFP solution is required that, coupled with a gelation</w:t>
      </w:r>
      <w:r w:rsidR="004515EE">
        <w:rPr>
          <w:lang w:val="en-GB"/>
        </w:rPr>
        <w:t>/freezing</w:t>
      </w:r>
      <w:r w:rsidRPr="00E01A60">
        <w:rPr>
          <w:lang w:val="en-GB"/>
        </w:rPr>
        <w:t xml:space="preserve"> step, produces a PVDF-HFP structure characterized by </w:t>
      </w:r>
      <w:r w:rsidR="004515EE">
        <w:rPr>
          <w:lang w:val="en-GB"/>
        </w:rPr>
        <w:t xml:space="preserve">a </w:t>
      </w:r>
      <w:proofErr w:type="spellStart"/>
      <w:r w:rsidRPr="00E01A60">
        <w:rPr>
          <w:lang w:val="en-GB"/>
        </w:rPr>
        <w:t>nanoporous</w:t>
      </w:r>
      <w:proofErr w:type="spellEnd"/>
      <w:r w:rsidRPr="00E01A60">
        <w:rPr>
          <w:lang w:val="en-GB"/>
        </w:rPr>
        <w:t xml:space="preserve"> morphology </w:t>
      </w:r>
      <w:r w:rsidR="00B46D22">
        <w:rPr>
          <w:lang w:val="en-GB"/>
        </w:rPr>
        <w:t>(Cardea et al., 20</w:t>
      </w:r>
      <w:r w:rsidR="004515EE">
        <w:rPr>
          <w:lang w:val="en-GB"/>
        </w:rPr>
        <w:t>09</w:t>
      </w:r>
      <w:r w:rsidR="00B46D22">
        <w:rPr>
          <w:lang w:val="en-GB"/>
        </w:rPr>
        <w:t>)</w:t>
      </w:r>
      <w:r w:rsidRPr="00E01A60">
        <w:rPr>
          <w:lang w:val="en-GB"/>
        </w:rPr>
        <w:t>.</w:t>
      </w:r>
      <w:r w:rsidR="00C653B1">
        <w:rPr>
          <w:lang w:val="en-GB"/>
        </w:rPr>
        <w:t xml:space="preserve"> </w:t>
      </w:r>
      <w:r w:rsidRPr="00E01A60">
        <w:rPr>
          <w:lang w:val="en-GB"/>
        </w:rPr>
        <w:t>Taking into account these considerations, the aim of this work is to demonstrate that PVDF-HFP samples characterized by the two different morphologies can be produced in a one-step process assisted by SC-CO</w:t>
      </w:r>
      <w:r w:rsidRPr="00F77F76">
        <w:rPr>
          <w:vertAlign w:val="subscript"/>
          <w:lang w:val="en-GB"/>
        </w:rPr>
        <w:t>2</w:t>
      </w:r>
      <w:r w:rsidRPr="00E01A60">
        <w:rPr>
          <w:lang w:val="en-GB"/>
        </w:rPr>
        <w:t xml:space="preserve"> plus </w:t>
      </w:r>
      <w:proofErr w:type="spellStart"/>
      <w:r w:rsidRPr="00E01A60">
        <w:rPr>
          <w:lang w:val="en-GB"/>
        </w:rPr>
        <w:t>EtOH</w:t>
      </w:r>
      <w:proofErr w:type="spellEnd"/>
      <w:r w:rsidRPr="00E01A60">
        <w:rPr>
          <w:lang w:val="en-GB"/>
        </w:rPr>
        <w:t xml:space="preserve">, at different ratios by volume, and that it is possible to determine the conditions at which the switch between the two kind of structures is obtained. </w:t>
      </w:r>
    </w:p>
    <w:p w:rsidR="00EC141A" w:rsidRDefault="00EC141A" w:rsidP="00EC141A">
      <w:pPr>
        <w:pStyle w:val="CETBodytext"/>
        <w:spacing w:before="240" w:after="240"/>
        <w:rPr>
          <w:lang w:val="en-GB"/>
        </w:rPr>
      </w:pPr>
      <w:r>
        <w:rPr>
          <w:lang w:val="en-GB"/>
        </w:rPr>
        <w:lastRenderedPageBreak/>
        <w:t>In the first part of the experimentation, we modified the supercritical CO</w:t>
      </w:r>
      <w:r>
        <w:rPr>
          <w:vertAlign w:val="subscript"/>
          <w:lang w:val="en-GB"/>
        </w:rPr>
        <w:t>2</w:t>
      </w:r>
      <w:r>
        <w:rPr>
          <w:lang w:val="en-GB"/>
        </w:rPr>
        <w:t xml:space="preserve"> assisted plant by the addition of a pump and a mixer to allow the use of </w:t>
      </w:r>
      <w:r w:rsidRPr="00E01A60">
        <w:rPr>
          <w:lang w:val="en-GB"/>
        </w:rPr>
        <w:t>SC-CO</w:t>
      </w:r>
      <w:r w:rsidRPr="00F77F76">
        <w:rPr>
          <w:vertAlign w:val="subscript"/>
          <w:lang w:val="en-GB"/>
        </w:rPr>
        <w:t>2</w:t>
      </w:r>
      <w:r w:rsidRPr="00E01A60">
        <w:rPr>
          <w:lang w:val="en-GB"/>
        </w:rPr>
        <w:t xml:space="preserve"> plus </w:t>
      </w:r>
      <w:proofErr w:type="spellStart"/>
      <w:r w:rsidRPr="00E01A60">
        <w:rPr>
          <w:lang w:val="en-GB"/>
        </w:rPr>
        <w:t>EtOH</w:t>
      </w:r>
      <w:proofErr w:type="spellEnd"/>
      <w:r>
        <w:rPr>
          <w:lang w:val="en-GB"/>
        </w:rPr>
        <w:t xml:space="preserve"> mixture as </w:t>
      </w:r>
      <w:proofErr w:type="spellStart"/>
      <w:r>
        <w:rPr>
          <w:lang w:val="en-GB"/>
        </w:rPr>
        <w:t>antisolvent</w:t>
      </w:r>
      <w:proofErr w:type="spellEnd"/>
      <w:r>
        <w:rPr>
          <w:lang w:val="en-GB"/>
        </w:rPr>
        <w:t xml:space="preserve">. In Figure 1, it is reported the new </w:t>
      </w:r>
      <w:r w:rsidR="008A106E">
        <w:rPr>
          <w:lang w:val="en-GB"/>
        </w:rPr>
        <w:t>configuration of the</w:t>
      </w:r>
      <w:r w:rsidR="00C46484">
        <w:rPr>
          <w:lang w:val="en-GB"/>
        </w:rPr>
        <w:t xml:space="preserve"> plant.</w:t>
      </w:r>
    </w:p>
    <w:p w:rsidR="00EC141A" w:rsidRDefault="00EC141A" w:rsidP="00E01A60">
      <w:pPr>
        <w:pStyle w:val="CETBodytext"/>
        <w:rPr>
          <w:lang w:val="en-GB"/>
        </w:rPr>
      </w:pPr>
      <w:r>
        <w:rPr>
          <w:noProof/>
          <w:lang w:val="it-IT" w:eastAsia="it-IT"/>
        </w:rPr>
        <w:drawing>
          <wp:inline distT="0" distB="0" distL="0" distR="0">
            <wp:extent cx="5519740" cy="42138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527340" cy="4219662"/>
                    </a:xfrm>
                    <a:prstGeom prst="rect">
                      <a:avLst/>
                    </a:prstGeom>
                    <a:noFill/>
                  </pic:spPr>
                </pic:pic>
              </a:graphicData>
            </a:graphic>
          </wp:inline>
        </w:drawing>
      </w:r>
    </w:p>
    <w:p w:rsidR="00EC141A" w:rsidRDefault="00EC141A" w:rsidP="00EC141A">
      <w:pPr>
        <w:pStyle w:val="CETCaption"/>
      </w:pPr>
      <w:r w:rsidRPr="007E7F15">
        <w:t>Figure 1</w:t>
      </w:r>
      <w:r>
        <w:t>:</w:t>
      </w:r>
      <w:r w:rsidRPr="00E01A60">
        <w:t xml:space="preserve"> </w:t>
      </w:r>
      <w:r>
        <w:t xml:space="preserve">Plant modification performed to allow the use of </w:t>
      </w:r>
      <w:r w:rsidRPr="00E01A60">
        <w:t>SC-CO</w:t>
      </w:r>
      <w:r w:rsidRPr="00F77F76">
        <w:rPr>
          <w:vertAlign w:val="subscript"/>
        </w:rPr>
        <w:t>2</w:t>
      </w:r>
      <w:r w:rsidRPr="00E01A60">
        <w:t xml:space="preserve"> plus </w:t>
      </w:r>
      <w:proofErr w:type="spellStart"/>
      <w:r w:rsidRPr="00E01A60">
        <w:t>EtOH</w:t>
      </w:r>
      <w:proofErr w:type="spellEnd"/>
      <w:r>
        <w:t xml:space="preserve"> mixture as </w:t>
      </w:r>
      <w:proofErr w:type="spellStart"/>
      <w:r>
        <w:t>antisolvent</w:t>
      </w:r>
      <w:proofErr w:type="spellEnd"/>
    </w:p>
    <w:p w:rsidR="00E01A60" w:rsidRPr="00E01A60" w:rsidRDefault="00EC141A" w:rsidP="00E01A60">
      <w:pPr>
        <w:pStyle w:val="CETBodytext"/>
        <w:rPr>
          <w:lang w:val="en-GB"/>
        </w:rPr>
      </w:pPr>
      <w:r>
        <w:rPr>
          <w:lang w:val="en-GB"/>
        </w:rPr>
        <w:t>Then</w:t>
      </w:r>
      <w:r w:rsidR="00E01A60" w:rsidRPr="00E01A60">
        <w:rPr>
          <w:lang w:val="en-GB"/>
        </w:rPr>
        <w:t>, the effect of polymer concentration and of SC-CO</w:t>
      </w:r>
      <w:r w:rsidR="00E01A60" w:rsidRPr="00F77F76">
        <w:rPr>
          <w:vertAlign w:val="subscript"/>
          <w:lang w:val="en-GB"/>
        </w:rPr>
        <w:t>2</w:t>
      </w:r>
      <w:r w:rsidR="00E01A60" w:rsidRPr="00E01A60">
        <w:rPr>
          <w:lang w:val="en-GB"/>
        </w:rPr>
        <w:t>/</w:t>
      </w:r>
      <w:proofErr w:type="spellStart"/>
      <w:r w:rsidR="00E01A60" w:rsidRPr="00E01A60">
        <w:rPr>
          <w:lang w:val="en-GB"/>
        </w:rPr>
        <w:t>EtOH</w:t>
      </w:r>
      <w:proofErr w:type="spellEnd"/>
      <w:r w:rsidR="00E01A60" w:rsidRPr="00E01A60">
        <w:rPr>
          <w:lang w:val="en-GB"/>
        </w:rPr>
        <w:t xml:space="preserve"> flow rates volume ratio were studied, changing PVDF-HFP concentrations in acetone from 10 to 20% w/w and performing the supercritical phase separation process at 200 bar and 45 °C for 3 h, using three SC-CO</w:t>
      </w:r>
      <w:r w:rsidR="00E01A60" w:rsidRPr="00F77F76">
        <w:rPr>
          <w:vertAlign w:val="subscript"/>
          <w:lang w:val="en-GB"/>
        </w:rPr>
        <w:t>2</w:t>
      </w:r>
      <w:r w:rsidR="00E01A60" w:rsidRPr="00E01A60">
        <w:rPr>
          <w:lang w:val="en-GB"/>
        </w:rPr>
        <w:t>/</w:t>
      </w:r>
      <w:proofErr w:type="spellStart"/>
      <w:r w:rsidR="00E01A60" w:rsidRPr="00E01A60">
        <w:rPr>
          <w:lang w:val="en-GB"/>
        </w:rPr>
        <w:t>EtOH</w:t>
      </w:r>
      <w:proofErr w:type="spellEnd"/>
      <w:r w:rsidR="00E01A60" w:rsidRPr="00E01A60">
        <w:rPr>
          <w:lang w:val="en-GB"/>
        </w:rPr>
        <w:t xml:space="preserve"> volume ratios: 99/1, 80/20 and 50/50. In this work, supercritical process operative conditions were fixed since they we</w:t>
      </w:r>
      <w:r w:rsidR="00B46D22">
        <w:rPr>
          <w:lang w:val="en-GB"/>
        </w:rPr>
        <w:t>re optimized in previous works (Cardea et al., 2018; Reverchon and Cardea, 2006)</w:t>
      </w:r>
      <w:r w:rsidR="00E01A60" w:rsidRPr="00E01A60">
        <w:rPr>
          <w:lang w:val="en-GB"/>
        </w:rPr>
        <w:t>.</w:t>
      </w:r>
    </w:p>
    <w:p w:rsidR="00E01A60" w:rsidRDefault="00E01A60" w:rsidP="0008269E">
      <w:pPr>
        <w:pStyle w:val="CETBodytext"/>
        <w:rPr>
          <w:lang w:val="en-GB"/>
        </w:rPr>
      </w:pPr>
      <w:r w:rsidRPr="00E01A60">
        <w:rPr>
          <w:lang w:val="en-GB"/>
        </w:rPr>
        <w:t>The first experimental evidence was that the solution of PVDF-HFP at 20% w/w in acetone, processed by SC-CO</w:t>
      </w:r>
      <w:r w:rsidRPr="00EE6F70">
        <w:rPr>
          <w:vertAlign w:val="subscript"/>
          <w:lang w:val="en-GB"/>
        </w:rPr>
        <w:t>2</w:t>
      </w:r>
      <w:r w:rsidRPr="00E01A60">
        <w:rPr>
          <w:lang w:val="en-GB"/>
        </w:rPr>
        <w:t xml:space="preserve"> alone, produced a regular and microporous sample morphology with wrinkled and closed pore walls. These results are consistent with the ones obtained in the literature using the same operative conditions and polymer concentration </w:t>
      </w:r>
      <w:r w:rsidR="00B46D22">
        <w:rPr>
          <w:lang w:val="en-GB"/>
        </w:rPr>
        <w:t>(Cardea et al., 2018)</w:t>
      </w:r>
      <w:r w:rsidRPr="00E01A60">
        <w:rPr>
          <w:lang w:val="en-GB"/>
        </w:rPr>
        <w:t>. Performing the experiments on PVDF-HFP 20% w/w in acetone and using SC-CO</w:t>
      </w:r>
      <w:r w:rsidRPr="00F77F76">
        <w:rPr>
          <w:vertAlign w:val="subscript"/>
          <w:lang w:val="en-GB"/>
        </w:rPr>
        <w:t>2</w:t>
      </w:r>
      <w:r w:rsidRPr="00E01A60">
        <w:rPr>
          <w:lang w:val="en-GB"/>
        </w:rPr>
        <w:t>/</w:t>
      </w:r>
      <w:proofErr w:type="spellStart"/>
      <w:r w:rsidRPr="00E01A60">
        <w:rPr>
          <w:lang w:val="en-GB"/>
        </w:rPr>
        <w:t>EtOH</w:t>
      </w:r>
      <w:proofErr w:type="spellEnd"/>
      <w:r w:rsidRPr="00E01A60">
        <w:rPr>
          <w:lang w:val="en-GB"/>
        </w:rPr>
        <w:t xml:space="preserve"> flow rates at a volume ratio of 99/1, a regular microporous morphology was o</w:t>
      </w:r>
      <w:r w:rsidR="00D47D2C">
        <w:rPr>
          <w:lang w:val="en-GB"/>
        </w:rPr>
        <w:t>bserved as in the previous case;</w:t>
      </w:r>
      <w:r w:rsidRPr="00E01A60">
        <w:rPr>
          <w:lang w:val="en-GB"/>
        </w:rPr>
        <w:t xml:space="preserve"> but</w:t>
      </w:r>
      <w:r w:rsidR="00D47D2C">
        <w:rPr>
          <w:lang w:val="en-GB"/>
        </w:rPr>
        <w:t>,</w:t>
      </w:r>
      <w:r w:rsidRPr="00E01A60">
        <w:rPr>
          <w:lang w:val="en-GB"/>
        </w:rPr>
        <w:t xml:space="preserve"> cell walls were characterized by a </w:t>
      </w:r>
      <w:proofErr w:type="spellStart"/>
      <w:r w:rsidRPr="00E01A60">
        <w:rPr>
          <w:lang w:val="en-GB"/>
        </w:rPr>
        <w:t>nanoporous</w:t>
      </w:r>
      <w:proofErr w:type="spellEnd"/>
      <w:r w:rsidRPr="00E01A60">
        <w:rPr>
          <w:lang w:val="en-GB"/>
        </w:rPr>
        <w:t xml:space="preserve"> sub-structure, as shown in Figure </w:t>
      </w:r>
      <w:r w:rsidR="007A0DD2">
        <w:rPr>
          <w:lang w:val="en-GB"/>
        </w:rPr>
        <w:t>2</w:t>
      </w:r>
      <w:r w:rsidRPr="00E01A60">
        <w:rPr>
          <w:lang w:val="en-GB"/>
        </w:rPr>
        <w:t>a. Changing the SC-CO</w:t>
      </w:r>
      <w:r w:rsidRPr="00F77F76">
        <w:rPr>
          <w:vertAlign w:val="subscript"/>
          <w:lang w:val="en-GB"/>
        </w:rPr>
        <w:t>2</w:t>
      </w:r>
      <w:r w:rsidRPr="00E01A60">
        <w:rPr>
          <w:lang w:val="en-GB"/>
        </w:rPr>
        <w:t>/</w:t>
      </w:r>
      <w:proofErr w:type="spellStart"/>
      <w:r w:rsidRPr="00E01A60">
        <w:rPr>
          <w:lang w:val="en-GB"/>
        </w:rPr>
        <w:t>EtOH</w:t>
      </w:r>
      <w:proofErr w:type="spellEnd"/>
      <w:r w:rsidRPr="00E01A60">
        <w:rPr>
          <w:lang w:val="en-GB"/>
        </w:rPr>
        <w:t xml:space="preserve"> flow rates volume ratio at 80/20, a so-called leafy morphology was obtained and cells disappeared, as reported in Figure </w:t>
      </w:r>
      <w:r w:rsidR="007A0DD2">
        <w:rPr>
          <w:lang w:val="en-GB"/>
        </w:rPr>
        <w:t>2</w:t>
      </w:r>
      <w:r w:rsidRPr="00E01A60">
        <w:rPr>
          <w:lang w:val="en-GB"/>
        </w:rPr>
        <w:t>b. The same morphology was observed also at a SC-CO</w:t>
      </w:r>
      <w:r w:rsidRPr="00F77F76">
        <w:rPr>
          <w:vertAlign w:val="subscript"/>
          <w:lang w:val="en-GB"/>
        </w:rPr>
        <w:t>2</w:t>
      </w:r>
      <w:r w:rsidRPr="00E01A60">
        <w:rPr>
          <w:lang w:val="en-GB"/>
        </w:rPr>
        <w:t>/</w:t>
      </w:r>
      <w:proofErr w:type="spellStart"/>
      <w:r w:rsidRPr="00E01A60">
        <w:rPr>
          <w:lang w:val="en-GB"/>
        </w:rPr>
        <w:t>EtOH</w:t>
      </w:r>
      <w:proofErr w:type="spellEnd"/>
      <w:r w:rsidRPr="00E01A60">
        <w:rPr>
          <w:lang w:val="en-GB"/>
        </w:rPr>
        <w:t xml:space="preserve"> f</w:t>
      </w:r>
      <w:r w:rsidR="00CD59CA">
        <w:rPr>
          <w:lang w:val="en-GB"/>
        </w:rPr>
        <w:t>low rates volume ratio of 50/50; this last morphology was typical of the aerogels generated by the supercritical drying process (Cardea et al., 2009).</w:t>
      </w:r>
    </w:p>
    <w:p w:rsidR="0008269E" w:rsidRDefault="0008269E" w:rsidP="0008269E">
      <w:pPr>
        <w:pStyle w:val="CETBodytext"/>
        <w:spacing w:after="240"/>
        <w:rPr>
          <w:b/>
          <w:lang w:val="en-GB"/>
        </w:rPr>
      </w:pPr>
      <w:r w:rsidRPr="00E01A60">
        <w:rPr>
          <w:lang w:val="en-GB"/>
        </w:rPr>
        <w:t>Reducing the PVDF-HFP concentration in the starting solution at 15 and 10% w/w, the same trend was observed: i.e., when the ethanol flow rate increased from 1 to 20% v/v with respect to the SC-CO</w:t>
      </w:r>
      <w:r w:rsidRPr="00F77F76">
        <w:rPr>
          <w:vertAlign w:val="subscript"/>
          <w:lang w:val="en-GB"/>
        </w:rPr>
        <w:t>2</w:t>
      </w:r>
      <w:r w:rsidRPr="00E01A60">
        <w:rPr>
          <w:lang w:val="en-GB"/>
        </w:rPr>
        <w:t xml:space="preserve"> flow rate, the samples morphology changed from microporous with </w:t>
      </w:r>
      <w:proofErr w:type="spellStart"/>
      <w:r w:rsidRPr="00E01A60">
        <w:rPr>
          <w:lang w:val="en-GB"/>
        </w:rPr>
        <w:t>nanoporous</w:t>
      </w:r>
      <w:proofErr w:type="spellEnd"/>
      <w:r w:rsidRPr="00E01A60">
        <w:rPr>
          <w:lang w:val="en-GB"/>
        </w:rPr>
        <w:t xml:space="preserve"> cell walls to completely </w:t>
      </w:r>
      <w:proofErr w:type="spellStart"/>
      <w:r w:rsidRPr="00E01A60">
        <w:rPr>
          <w:lang w:val="en-GB"/>
        </w:rPr>
        <w:t>nanoporous</w:t>
      </w:r>
      <w:proofErr w:type="spellEnd"/>
      <w:r w:rsidRPr="00E01A60">
        <w:rPr>
          <w:lang w:val="en-GB"/>
        </w:rPr>
        <w:t xml:space="preserve">, as reported in Figure </w:t>
      </w:r>
      <w:r>
        <w:rPr>
          <w:lang w:val="en-GB"/>
        </w:rPr>
        <w:t>3</w:t>
      </w:r>
      <w:r w:rsidRPr="00E01A60">
        <w:rPr>
          <w:lang w:val="en-GB"/>
        </w:rPr>
        <w:t xml:space="preserve">a-b and Figure </w:t>
      </w:r>
      <w:r>
        <w:rPr>
          <w:lang w:val="en-GB"/>
        </w:rPr>
        <w:t>4</w:t>
      </w:r>
      <w:r w:rsidRPr="00E01A60">
        <w:rPr>
          <w:lang w:val="en-GB"/>
        </w:rPr>
        <w:t>a-b.</w:t>
      </w:r>
    </w:p>
    <w:p w:rsidR="0008269E" w:rsidRPr="00E01A60" w:rsidRDefault="0008269E" w:rsidP="00B46D22">
      <w:pPr>
        <w:pStyle w:val="CETBodytext"/>
        <w:spacing w:after="240"/>
        <w:rPr>
          <w:lang w:val="en-GB"/>
        </w:rPr>
      </w:pPr>
    </w:p>
    <w:p w:rsidR="00347FD1" w:rsidRPr="000C2534" w:rsidRDefault="00347FD1" w:rsidP="007E7F15">
      <w:pPr>
        <w:pStyle w:val="CETBodytext"/>
        <w:spacing w:before="240" w:after="240"/>
        <w:rPr>
          <w:b/>
          <w:lang w:val="en-GB"/>
        </w:rPr>
      </w:pPr>
      <w:r w:rsidRPr="00347FD1">
        <w:rPr>
          <w:i/>
          <w:noProof/>
          <w:lang w:val="it-IT" w:eastAsia="it-IT"/>
        </w:rPr>
        <w:lastRenderedPageBreak/>
        <w:drawing>
          <wp:inline distT="0" distB="0" distL="0" distR="0">
            <wp:extent cx="2413414" cy="1800000"/>
            <wp:effectExtent l="19050" t="0" r="5936" b="0"/>
            <wp:docPr id="13" name="Immagin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CF851E02-95F3-4ABF-85ED-0262726CA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CF851E02-95F3-4ABF-85ED-0262726CAA38}"/>
                        </a:ext>
                      </a:extLst>
                    </pic:cNvPr>
                    <pic:cNvPicPr>
                      <a:picLocks noChangeAspect="1"/>
                    </pic:cNvPicPr>
                  </pic:nvPicPr>
                  <pic:blipFill>
                    <a:blip r:embed="rId13" cstate="print"/>
                    <a:stretch>
                      <a:fillRect/>
                    </a:stretch>
                  </pic:blipFill>
                  <pic:spPr>
                    <a:xfrm>
                      <a:off x="0" y="0"/>
                      <a:ext cx="2413414" cy="1800000"/>
                    </a:xfrm>
                    <a:prstGeom prst="rect">
                      <a:avLst/>
                    </a:prstGeom>
                  </pic:spPr>
                </pic:pic>
              </a:graphicData>
            </a:graphic>
          </wp:inline>
        </w:drawing>
      </w:r>
      <w:r w:rsidR="000C2534">
        <w:rPr>
          <w:b/>
          <w:lang w:val="en-GB"/>
        </w:rPr>
        <w:t xml:space="preserve"> </w:t>
      </w:r>
      <w:r w:rsidRPr="00347FD1">
        <w:rPr>
          <w:b/>
          <w:lang w:val="en-GB"/>
        </w:rPr>
        <w:t>a</w:t>
      </w:r>
      <w:r w:rsidR="000C2534">
        <w:rPr>
          <w:b/>
          <w:lang w:val="en-GB"/>
        </w:rPr>
        <w:t xml:space="preserve">   </w:t>
      </w:r>
      <w:r w:rsidRPr="00347FD1">
        <w:rPr>
          <w:i/>
          <w:noProof/>
          <w:lang w:val="it-IT" w:eastAsia="it-IT"/>
        </w:rPr>
        <w:drawing>
          <wp:inline distT="0" distB="0" distL="0" distR="0">
            <wp:extent cx="2413414" cy="1800000"/>
            <wp:effectExtent l="19050" t="0" r="5936" b="0"/>
            <wp:docPr id="12" name="Immagine 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0608EAA8-47B7-4C5A-B3B5-1A85504661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0608EAA8-47B7-4C5A-B3B5-1A855046613D}"/>
                        </a:ext>
                      </a:extLst>
                    </pic:cNvPr>
                    <pic:cNvPicPr>
                      <a:picLocks noChangeAspect="1"/>
                    </pic:cNvPicPr>
                  </pic:nvPicPr>
                  <pic:blipFill>
                    <a:blip r:embed="rId14" cstate="print">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a:off x="0" y="0"/>
                      <a:ext cx="2413414" cy="1800000"/>
                    </a:xfrm>
                    <a:prstGeom prst="rect">
                      <a:avLst/>
                    </a:prstGeom>
                  </pic:spPr>
                </pic:pic>
              </a:graphicData>
            </a:graphic>
          </wp:inline>
        </w:drawing>
      </w:r>
      <w:r w:rsidR="000C2534">
        <w:rPr>
          <w:b/>
          <w:lang w:val="en-GB"/>
        </w:rPr>
        <w:t xml:space="preserve"> </w:t>
      </w:r>
      <w:r w:rsidRPr="00347FD1">
        <w:rPr>
          <w:b/>
          <w:lang w:val="en-GB"/>
        </w:rPr>
        <w:t>b</w:t>
      </w:r>
    </w:p>
    <w:p w:rsidR="00E01A60" w:rsidRPr="00E01A60" w:rsidRDefault="00E01A60" w:rsidP="000C2534">
      <w:pPr>
        <w:pStyle w:val="CETCaption"/>
      </w:pPr>
      <w:r w:rsidRPr="007E7F15">
        <w:t xml:space="preserve">Figure </w:t>
      </w:r>
      <w:r w:rsidR="007A0DD2">
        <w:t>2</w:t>
      </w:r>
      <w:r w:rsidR="007E7F15">
        <w:t>:</w:t>
      </w:r>
      <w:r w:rsidRPr="00E01A60">
        <w:t xml:space="preserve"> 20% w/w PVDF-HFP sample produced using a SC-CO</w:t>
      </w:r>
      <w:r w:rsidRPr="00F77F76">
        <w:rPr>
          <w:vertAlign w:val="subscript"/>
        </w:rPr>
        <w:t>2</w:t>
      </w:r>
      <w:r w:rsidRPr="00E01A60">
        <w:t>/</w:t>
      </w:r>
      <w:proofErr w:type="spellStart"/>
      <w:r w:rsidRPr="00E01A60">
        <w:t>EtOH</w:t>
      </w:r>
      <w:proofErr w:type="spellEnd"/>
      <w:r w:rsidRPr="00E01A60">
        <w:t xml:space="preserve"> flow rates vol</w:t>
      </w:r>
      <w:r w:rsidR="007E7F15">
        <w:t>ume ratio of: a) 99/1, b) 80/20</w:t>
      </w:r>
    </w:p>
    <w:p w:rsidR="00C653B1" w:rsidRPr="00C653B1" w:rsidRDefault="00C653B1" w:rsidP="00B46D22">
      <w:pPr>
        <w:pStyle w:val="CETBodytext"/>
        <w:spacing w:after="240"/>
        <w:rPr>
          <w:b/>
          <w:lang w:val="en-GB"/>
        </w:rPr>
      </w:pPr>
      <w:r w:rsidRPr="00C653B1">
        <w:rPr>
          <w:b/>
          <w:noProof/>
          <w:lang w:val="it-IT" w:eastAsia="it-IT"/>
        </w:rPr>
        <w:drawing>
          <wp:inline distT="0" distB="0" distL="0" distR="0">
            <wp:extent cx="2406951" cy="1800000"/>
            <wp:effectExtent l="19050" t="0" r="0" b="0"/>
            <wp:docPr id="19" name="Immagine 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1E4AE163-8CAF-4654-A560-C06DD58E8A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1E4AE163-8CAF-4654-A560-C06DD58E8AC7}"/>
                        </a:ext>
                      </a:extLst>
                    </pic:cNvPr>
                    <pic:cNvPicPr>
                      <a:picLocks noChangeAspect="1"/>
                    </pic:cNvPicPr>
                  </pic:nvPicPr>
                  <pic:blipFill>
                    <a:blip r:embed="rId16" cstate="print"/>
                    <a:stretch>
                      <a:fillRect/>
                    </a:stretch>
                  </pic:blipFill>
                  <pic:spPr>
                    <a:xfrm>
                      <a:off x="0" y="0"/>
                      <a:ext cx="2406951" cy="1800000"/>
                    </a:xfrm>
                    <a:prstGeom prst="rect">
                      <a:avLst/>
                    </a:prstGeom>
                  </pic:spPr>
                </pic:pic>
              </a:graphicData>
            </a:graphic>
          </wp:inline>
        </w:drawing>
      </w:r>
      <w:r w:rsidR="000C2534">
        <w:rPr>
          <w:b/>
          <w:lang w:val="en-GB"/>
        </w:rPr>
        <w:t xml:space="preserve"> </w:t>
      </w:r>
      <w:r w:rsidRPr="00C653B1">
        <w:rPr>
          <w:b/>
          <w:lang w:val="en-GB"/>
        </w:rPr>
        <w:t>a</w:t>
      </w:r>
      <w:r w:rsidR="000C2534">
        <w:rPr>
          <w:b/>
          <w:lang w:val="en-GB"/>
        </w:rPr>
        <w:t xml:space="preserve">    </w:t>
      </w:r>
      <w:r w:rsidRPr="00C653B1">
        <w:rPr>
          <w:b/>
          <w:noProof/>
          <w:lang w:val="it-IT" w:eastAsia="it-IT"/>
        </w:rPr>
        <w:drawing>
          <wp:inline distT="0" distB="0" distL="0" distR="0">
            <wp:extent cx="2406951" cy="1800000"/>
            <wp:effectExtent l="19050" t="0" r="0" b="0"/>
            <wp:docPr id="17" name="Immagine 15">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1A91B85A-D42E-48A9-8C0C-A2D02FA632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1A91B85A-D42E-48A9-8C0C-A2D02FA632CC}"/>
                        </a:ext>
                      </a:extLst>
                    </pic:cNvPr>
                    <pic:cNvPicPr>
                      <a:picLocks noChangeAspect="1"/>
                    </pic:cNvPicPr>
                  </pic:nvPicPr>
                  <pic:blipFill>
                    <a:blip r:embed="rId17" cstate="print"/>
                    <a:stretch>
                      <a:fillRect/>
                    </a:stretch>
                  </pic:blipFill>
                  <pic:spPr>
                    <a:xfrm>
                      <a:off x="0" y="0"/>
                      <a:ext cx="2406951" cy="1800000"/>
                    </a:xfrm>
                    <a:prstGeom prst="rect">
                      <a:avLst/>
                    </a:prstGeom>
                  </pic:spPr>
                </pic:pic>
              </a:graphicData>
            </a:graphic>
          </wp:inline>
        </w:drawing>
      </w:r>
      <w:r w:rsidR="000C2534">
        <w:rPr>
          <w:b/>
          <w:lang w:val="en-GB"/>
        </w:rPr>
        <w:t xml:space="preserve"> </w:t>
      </w:r>
      <w:r w:rsidRPr="00C653B1">
        <w:rPr>
          <w:b/>
          <w:lang w:val="en-GB"/>
        </w:rPr>
        <w:t>b</w:t>
      </w:r>
    </w:p>
    <w:p w:rsidR="00C653B1" w:rsidRDefault="00E01A60" w:rsidP="000C2534">
      <w:pPr>
        <w:pStyle w:val="CETCaption"/>
      </w:pPr>
      <w:r w:rsidRPr="007E7F15">
        <w:t xml:space="preserve">Figure </w:t>
      </w:r>
      <w:r w:rsidR="007A0DD2">
        <w:t>3</w:t>
      </w:r>
      <w:r w:rsidR="007E7F15">
        <w:t>:</w:t>
      </w:r>
      <w:r w:rsidRPr="00E01A60">
        <w:t xml:space="preserve"> 15% w/w PVDF-HFP sample produced using a SC-CO</w:t>
      </w:r>
      <w:r w:rsidRPr="00F77F76">
        <w:rPr>
          <w:vertAlign w:val="subscript"/>
        </w:rPr>
        <w:t>2</w:t>
      </w:r>
      <w:r w:rsidRPr="00E01A60">
        <w:t>/</w:t>
      </w:r>
      <w:proofErr w:type="spellStart"/>
      <w:r w:rsidRPr="00E01A60">
        <w:t>EtOH</w:t>
      </w:r>
      <w:proofErr w:type="spellEnd"/>
      <w:r w:rsidRPr="00E01A60">
        <w:t xml:space="preserve"> vol</w:t>
      </w:r>
      <w:r w:rsidR="007E7F15">
        <w:t>ume ratio of: a) 99/1, b) 80/20</w:t>
      </w:r>
    </w:p>
    <w:p w:rsidR="00C653B1" w:rsidRPr="00C653B1" w:rsidRDefault="00C653B1" w:rsidP="007E7F15">
      <w:pPr>
        <w:pStyle w:val="CETBodytext"/>
        <w:spacing w:before="240" w:after="240"/>
        <w:rPr>
          <w:b/>
          <w:lang w:val="en-GB"/>
        </w:rPr>
      </w:pPr>
      <w:r w:rsidRPr="00C653B1">
        <w:rPr>
          <w:noProof/>
          <w:lang w:val="it-IT" w:eastAsia="it-IT"/>
        </w:rPr>
        <w:drawing>
          <wp:inline distT="0" distB="0" distL="0" distR="0">
            <wp:extent cx="2406951" cy="1800000"/>
            <wp:effectExtent l="19050" t="0" r="0" b="0"/>
            <wp:docPr id="20" name="Immagine 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2A0D6981-B7C0-4B4D-9EDA-93F58F64D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2A0D6981-B7C0-4B4D-9EDA-93F58F64D19F}"/>
                        </a:ext>
                      </a:extLst>
                    </pic:cNvPr>
                    <pic:cNvPicPr>
                      <a:picLocks noChangeAspect="1"/>
                    </pic:cNvPicPr>
                  </pic:nvPicPr>
                  <pic:blipFill>
                    <a:blip r:embed="rId18" cstate="print"/>
                    <a:stretch>
                      <a:fillRect/>
                    </a:stretch>
                  </pic:blipFill>
                  <pic:spPr>
                    <a:xfrm>
                      <a:off x="0" y="0"/>
                      <a:ext cx="2406951" cy="1800000"/>
                    </a:xfrm>
                    <a:prstGeom prst="rect">
                      <a:avLst/>
                    </a:prstGeom>
                  </pic:spPr>
                </pic:pic>
              </a:graphicData>
            </a:graphic>
          </wp:inline>
        </w:drawing>
      </w:r>
      <w:r w:rsidR="000C2534">
        <w:rPr>
          <w:b/>
          <w:lang w:val="en-GB"/>
        </w:rPr>
        <w:t xml:space="preserve"> </w:t>
      </w:r>
      <w:r w:rsidRPr="00C653B1">
        <w:rPr>
          <w:b/>
          <w:lang w:val="en-GB"/>
        </w:rPr>
        <w:t>a</w:t>
      </w:r>
      <w:r w:rsidR="000C2534">
        <w:rPr>
          <w:b/>
          <w:lang w:val="en-GB"/>
        </w:rPr>
        <w:t xml:space="preserve">     </w:t>
      </w:r>
      <w:r w:rsidRPr="00C653B1">
        <w:rPr>
          <w:noProof/>
          <w:lang w:val="it-IT" w:eastAsia="it-IT"/>
        </w:rPr>
        <w:drawing>
          <wp:inline distT="0" distB="0" distL="0" distR="0">
            <wp:extent cx="2406951" cy="1800000"/>
            <wp:effectExtent l="19050" t="0" r="0" b="0"/>
            <wp:docPr id="21" name="Immagine 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09E763D0-C66B-4E57-BE97-B3559F8682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xmlns:ve="http://schemas.openxmlformats.org/markup-compatibility/2006" id="{09E763D0-C66B-4E57-BE97-B3559F868236}"/>
                        </a:ext>
                      </a:extLst>
                    </pic:cNvPr>
                    <pic:cNvPicPr>
                      <a:picLocks noChangeAspect="1"/>
                    </pic:cNvPicPr>
                  </pic:nvPicPr>
                  <pic:blipFill>
                    <a:blip r:embed="rId19" cstate="print"/>
                    <a:stretch>
                      <a:fillRect/>
                    </a:stretch>
                  </pic:blipFill>
                  <pic:spPr>
                    <a:xfrm>
                      <a:off x="0" y="0"/>
                      <a:ext cx="2406951" cy="1800000"/>
                    </a:xfrm>
                    <a:prstGeom prst="rect">
                      <a:avLst/>
                    </a:prstGeom>
                  </pic:spPr>
                </pic:pic>
              </a:graphicData>
            </a:graphic>
          </wp:inline>
        </w:drawing>
      </w:r>
      <w:r w:rsidR="000C2534">
        <w:rPr>
          <w:b/>
          <w:lang w:val="en-GB"/>
        </w:rPr>
        <w:t xml:space="preserve"> </w:t>
      </w:r>
      <w:r w:rsidRPr="00C653B1">
        <w:rPr>
          <w:b/>
          <w:lang w:val="en-GB"/>
        </w:rPr>
        <w:t>b</w:t>
      </w:r>
    </w:p>
    <w:p w:rsidR="00E01A60" w:rsidRPr="00E01A60" w:rsidRDefault="00E01A60" w:rsidP="000C2534">
      <w:pPr>
        <w:pStyle w:val="CETCaption"/>
      </w:pPr>
      <w:r w:rsidRPr="007E7F15">
        <w:t xml:space="preserve">Figure </w:t>
      </w:r>
      <w:r w:rsidR="007A0DD2">
        <w:t>4</w:t>
      </w:r>
      <w:r w:rsidR="007E7F15">
        <w:t>:</w:t>
      </w:r>
      <w:r w:rsidRPr="00E01A60">
        <w:t xml:space="preserve"> 10% w/w PVDF-HFP sample produced using a SC-CO</w:t>
      </w:r>
      <w:r w:rsidRPr="00F77F76">
        <w:rPr>
          <w:vertAlign w:val="subscript"/>
        </w:rPr>
        <w:t>2</w:t>
      </w:r>
      <w:r w:rsidRPr="00E01A60">
        <w:t>/</w:t>
      </w:r>
      <w:proofErr w:type="spellStart"/>
      <w:r w:rsidRPr="00E01A60">
        <w:t>EtOH</w:t>
      </w:r>
      <w:proofErr w:type="spellEnd"/>
      <w:r w:rsidRPr="00E01A60">
        <w:t xml:space="preserve"> vol</w:t>
      </w:r>
      <w:r w:rsidR="007E7F15">
        <w:t>ume ratio of: a) 99/1, b) 80/20</w:t>
      </w:r>
    </w:p>
    <w:p w:rsidR="00E01A60" w:rsidRDefault="00E01A60" w:rsidP="00E01A60">
      <w:pPr>
        <w:pStyle w:val="CETBodytext"/>
        <w:rPr>
          <w:lang w:val="en-GB"/>
        </w:rPr>
      </w:pPr>
      <w:r w:rsidRPr="00E01A60">
        <w:rPr>
          <w:lang w:val="en-GB"/>
        </w:rPr>
        <w:t>These results demonstrated that this new process configuration, in which SC-CO</w:t>
      </w:r>
      <w:r w:rsidRPr="00F77F76">
        <w:rPr>
          <w:vertAlign w:val="subscript"/>
          <w:lang w:val="en-GB"/>
        </w:rPr>
        <w:t>2</w:t>
      </w:r>
      <w:r w:rsidRPr="00E01A60">
        <w:rPr>
          <w:lang w:val="en-GB"/>
        </w:rPr>
        <w:t xml:space="preserve"> and ethanol were fed together to the </w:t>
      </w:r>
      <w:r w:rsidR="00D47D2C">
        <w:rPr>
          <w:lang w:val="en-GB"/>
        </w:rPr>
        <w:t>high-pressure</w:t>
      </w:r>
      <w:r w:rsidRPr="00E01A60">
        <w:rPr>
          <w:lang w:val="en-GB"/>
        </w:rPr>
        <w:t xml:space="preserve"> vessel, </w:t>
      </w:r>
      <w:r w:rsidR="00FD57AF">
        <w:rPr>
          <w:lang w:val="en-GB"/>
        </w:rPr>
        <w:t xml:space="preserve">probably </w:t>
      </w:r>
      <w:r w:rsidRPr="00E01A60">
        <w:rPr>
          <w:lang w:val="en-GB"/>
        </w:rPr>
        <w:t>induced an in-situ PVDF-HFP gelation</w:t>
      </w:r>
      <w:r w:rsidR="00FD57AF">
        <w:rPr>
          <w:lang w:val="en-GB"/>
        </w:rPr>
        <w:t xml:space="preserve"> during the process</w:t>
      </w:r>
      <w:r w:rsidRPr="00E01A60">
        <w:rPr>
          <w:lang w:val="en-GB"/>
        </w:rPr>
        <w:t>. In particular, when the ethanol flow rate was at least 20% v/v with respect to the SC-CO</w:t>
      </w:r>
      <w:r w:rsidRPr="00F77F76">
        <w:rPr>
          <w:vertAlign w:val="subscript"/>
          <w:lang w:val="en-GB"/>
        </w:rPr>
        <w:t>2</w:t>
      </w:r>
      <w:r w:rsidRPr="00E01A60">
        <w:rPr>
          <w:lang w:val="en-GB"/>
        </w:rPr>
        <w:t xml:space="preserve"> flow rate, during phase separation, also the gelation mechanism occurred</w:t>
      </w:r>
      <w:r w:rsidR="00FD57AF">
        <w:rPr>
          <w:lang w:val="en-GB"/>
        </w:rPr>
        <w:t>,</w:t>
      </w:r>
      <w:r w:rsidRPr="00E01A60">
        <w:rPr>
          <w:lang w:val="en-GB"/>
        </w:rPr>
        <w:t xml:space="preserve"> since ethanol behaves as a non-solvent with respect to the polymer. Operating in this manner, at the end of the process, a dried and nanostructured PVDF-HFP membrane was obtained, with the relevant advantage that the freezing</w:t>
      </w:r>
      <w:r w:rsidR="00FD57AF">
        <w:rPr>
          <w:lang w:val="en-GB"/>
        </w:rPr>
        <w:t>/gelation</w:t>
      </w:r>
      <w:r w:rsidRPr="00E01A60">
        <w:rPr>
          <w:lang w:val="en-GB"/>
        </w:rPr>
        <w:t xml:space="preserve"> step, generally used to induce the </w:t>
      </w:r>
      <w:proofErr w:type="spellStart"/>
      <w:r w:rsidRPr="00E01A60">
        <w:rPr>
          <w:lang w:val="en-GB"/>
        </w:rPr>
        <w:t>nanoporous</w:t>
      </w:r>
      <w:proofErr w:type="spellEnd"/>
      <w:r w:rsidRPr="00E01A60">
        <w:rPr>
          <w:lang w:val="en-GB"/>
        </w:rPr>
        <w:t xml:space="preserve"> structure formation after the addition of the non-solvent to the</w:t>
      </w:r>
      <w:r w:rsidR="00B46D22">
        <w:rPr>
          <w:lang w:val="en-GB"/>
        </w:rPr>
        <w:t xml:space="preserve"> polymer solution</w:t>
      </w:r>
      <w:r w:rsidR="00FD57AF">
        <w:rPr>
          <w:lang w:val="en-GB"/>
        </w:rPr>
        <w:t xml:space="preserve"> (Cardea et al., 2009)</w:t>
      </w:r>
      <w:r w:rsidR="00B46D22">
        <w:rPr>
          <w:lang w:val="en-GB"/>
        </w:rPr>
        <w:t>, was avoided.</w:t>
      </w:r>
    </w:p>
    <w:p w:rsidR="0008269E" w:rsidRPr="00E01A60" w:rsidRDefault="0008269E" w:rsidP="00E01A60">
      <w:pPr>
        <w:pStyle w:val="CETBodytext"/>
        <w:rPr>
          <w:lang w:val="en-GB"/>
        </w:rPr>
      </w:pPr>
    </w:p>
    <w:p w:rsidR="00E01A60" w:rsidRPr="00E01A60" w:rsidRDefault="00E01A60" w:rsidP="00E01A60">
      <w:pPr>
        <w:pStyle w:val="CETBodytext"/>
        <w:rPr>
          <w:lang w:val="en-GB"/>
        </w:rPr>
      </w:pPr>
      <w:r w:rsidRPr="00E01A60">
        <w:rPr>
          <w:lang w:val="en-GB"/>
        </w:rPr>
        <w:lastRenderedPageBreak/>
        <w:t xml:space="preserve">Another </w:t>
      </w:r>
      <w:r w:rsidR="00FD57AF">
        <w:rPr>
          <w:lang w:val="en-GB"/>
        </w:rPr>
        <w:t>interesting</w:t>
      </w:r>
      <w:r w:rsidRPr="00E01A60">
        <w:rPr>
          <w:lang w:val="en-GB"/>
        </w:rPr>
        <w:t xml:space="preserve"> result is that for ethanol flow rate lower than 20% v/v, a microporous morphology was obtained as in the case of PVDF-HFP solution processed by SC-CO</w:t>
      </w:r>
      <w:r w:rsidRPr="00F77F76">
        <w:rPr>
          <w:vertAlign w:val="subscript"/>
          <w:lang w:val="en-GB"/>
        </w:rPr>
        <w:t>2</w:t>
      </w:r>
      <w:r w:rsidRPr="00E01A60">
        <w:rPr>
          <w:lang w:val="en-GB"/>
        </w:rPr>
        <w:t xml:space="preserve"> alone; but, using this procedure, the morphology was modified and improved, since also a </w:t>
      </w:r>
      <w:proofErr w:type="spellStart"/>
      <w:r w:rsidRPr="00E01A60">
        <w:rPr>
          <w:lang w:val="en-GB"/>
        </w:rPr>
        <w:t>nanoporous</w:t>
      </w:r>
      <w:proofErr w:type="spellEnd"/>
      <w:r w:rsidRPr="00E01A60">
        <w:rPr>
          <w:lang w:val="en-GB"/>
        </w:rPr>
        <w:t xml:space="preserve"> sub-structure </w:t>
      </w:r>
      <w:r w:rsidR="00FD701D">
        <w:rPr>
          <w:lang w:val="en-GB"/>
        </w:rPr>
        <w:t xml:space="preserve">on the cells walls </w:t>
      </w:r>
      <w:r w:rsidRPr="00E01A60">
        <w:rPr>
          <w:lang w:val="en-GB"/>
        </w:rPr>
        <w:t>was induced due to the ethanol presence. It is worthy to note that the simultaneous addition to the process of ethanol and SC-CO</w:t>
      </w:r>
      <w:r w:rsidRPr="00EE6F70">
        <w:rPr>
          <w:vertAlign w:val="subscript"/>
          <w:lang w:val="en-GB"/>
        </w:rPr>
        <w:t>2</w:t>
      </w:r>
      <w:r w:rsidRPr="00E01A60">
        <w:rPr>
          <w:lang w:val="en-GB"/>
        </w:rPr>
        <w:t>, at the adopted operative conditions, favo</w:t>
      </w:r>
      <w:r w:rsidR="00B46D22">
        <w:rPr>
          <w:lang w:val="en-GB"/>
        </w:rPr>
        <w:t>u</w:t>
      </w:r>
      <w:r w:rsidRPr="00E01A60">
        <w:rPr>
          <w:lang w:val="en-GB"/>
        </w:rPr>
        <w:t>red ethanol interaction with the polymer solution at nanoscale, due to the peculiarities of the mixture at supercritical conditions, such as negligible surface tension, that avoid sample collapse, and high diffusivity, that makes this process faster with respect to the traditional ones</w:t>
      </w:r>
      <w:r w:rsidR="00E04822">
        <w:rPr>
          <w:lang w:val="en-GB"/>
        </w:rPr>
        <w:t xml:space="preserve"> (NIPS and TIPS)</w:t>
      </w:r>
      <w:r w:rsidRPr="00E01A60">
        <w:rPr>
          <w:lang w:val="en-GB"/>
        </w:rPr>
        <w:t>. This can be the reason why also for small ethanol amount in the system, a different morphology was obtained with respect to the one observed for PVDF-HFP samples processed using SC-CO</w:t>
      </w:r>
      <w:r w:rsidRPr="00F77F76">
        <w:rPr>
          <w:vertAlign w:val="subscript"/>
          <w:lang w:val="en-GB"/>
        </w:rPr>
        <w:t>2</w:t>
      </w:r>
      <w:r w:rsidR="00B46D22">
        <w:rPr>
          <w:lang w:val="en-GB"/>
        </w:rPr>
        <w:t xml:space="preserve"> alone</w:t>
      </w:r>
      <w:r w:rsidR="00FD701D">
        <w:rPr>
          <w:lang w:val="en-GB"/>
        </w:rPr>
        <w:t xml:space="preserve"> (Reverchon and Cardea, 2006)</w:t>
      </w:r>
      <w:r w:rsidR="00B46D22">
        <w:rPr>
          <w:lang w:val="en-GB"/>
        </w:rPr>
        <w:t>.</w:t>
      </w:r>
    </w:p>
    <w:p w:rsidR="00E01A60" w:rsidRPr="00E01A60" w:rsidRDefault="00E01A60" w:rsidP="00E01A60">
      <w:pPr>
        <w:pStyle w:val="CETBodytext"/>
        <w:rPr>
          <w:lang w:val="en-GB"/>
        </w:rPr>
      </w:pPr>
      <w:r w:rsidRPr="00E01A60">
        <w:rPr>
          <w:lang w:val="en-GB"/>
        </w:rPr>
        <w:t>Since this trend was consistent for all the polymer concentrations tested in this work, it can be hypothesized that there is a critical ratio by volume between the SC-CO</w:t>
      </w:r>
      <w:r w:rsidRPr="00EE6F70">
        <w:rPr>
          <w:vertAlign w:val="subscript"/>
          <w:lang w:val="en-GB"/>
        </w:rPr>
        <w:t>2</w:t>
      </w:r>
      <w:r w:rsidRPr="00E01A60">
        <w:rPr>
          <w:lang w:val="en-GB"/>
        </w:rPr>
        <w:t xml:space="preserve"> and </w:t>
      </w:r>
      <w:proofErr w:type="spellStart"/>
      <w:r w:rsidRPr="00E01A60">
        <w:rPr>
          <w:lang w:val="en-GB"/>
        </w:rPr>
        <w:t>EtOH</w:t>
      </w:r>
      <w:proofErr w:type="spellEnd"/>
      <w:r w:rsidRPr="00E01A60">
        <w:rPr>
          <w:lang w:val="en-GB"/>
        </w:rPr>
        <w:t xml:space="preserve"> flow rate that allows the gelation mechanism: i.e., when it was 99/1% v/v (SC-CO</w:t>
      </w:r>
      <w:r w:rsidRPr="00F77F76">
        <w:rPr>
          <w:vertAlign w:val="subscript"/>
          <w:lang w:val="en-GB"/>
        </w:rPr>
        <w:t>2</w:t>
      </w:r>
      <w:r w:rsidRPr="00E01A60">
        <w:rPr>
          <w:lang w:val="en-GB"/>
        </w:rPr>
        <w:t>/</w:t>
      </w:r>
      <w:proofErr w:type="spellStart"/>
      <w:r w:rsidRPr="00E01A60">
        <w:rPr>
          <w:lang w:val="en-GB"/>
        </w:rPr>
        <w:t>EtOH</w:t>
      </w:r>
      <w:proofErr w:type="spellEnd"/>
      <w:r w:rsidRPr="00E01A60">
        <w:rPr>
          <w:lang w:val="en-GB"/>
        </w:rPr>
        <w:t xml:space="preserve"> flow rate), the reduced amount of ethanol was only able to create a </w:t>
      </w:r>
      <w:proofErr w:type="spellStart"/>
      <w:r w:rsidRPr="00E01A60">
        <w:rPr>
          <w:lang w:val="en-GB"/>
        </w:rPr>
        <w:t>nanoporous</w:t>
      </w:r>
      <w:proofErr w:type="spellEnd"/>
      <w:r w:rsidRPr="00E01A60">
        <w:rPr>
          <w:lang w:val="en-GB"/>
        </w:rPr>
        <w:t xml:space="preserve"> sub-structure in the cell walls of the microporous </w:t>
      </w:r>
      <w:r w:rsidR="00A11678">
        <w:rPr>
          <w:lang w:val="en-GB"/>
        </w:rPr>
        <w:t>membrane</w:t>
      </w:r>
      <w:r w:rsidRPr="00E01A60">
        <w:rPr>
          <w:lang w:val="en-GB"/>
        </w:rPr>
        <w:t xml:space="preserve">; whereas, when </w:t>
      </w:r>
      <w:proofErr w:type="spellStart"/>
      <w:r w:rsidRPr="00E01A60">
        <w:rPr>
          <w:lang w:val="en-GB"/>
        </w:rPr>
        <w:t>EtOH</w:t>
      </w:r>
      <w:proofErr w:type="spellEnd"/>
      <w:r w:rsidRPr="00E01A60">
        <w:rPr>
          <w:lang w:val="en-GB"/>
        </w:rPr>
        <w:t xml:space="preserve"> flow rate was at least 20% v/v of the SC-CO</w:t>
      </w:r>
      <w:r w:rsidRPr="00F77F76">
        <w:rPr>
          <w:vertAlign w:val="subscript"/>
          <w:lang w:val="en-GB"/>
        </w:rPr>
        <w:t>2</w:t>
      </w:r>
      <w:r w:rsidRPr="00E01A60">
        <w:rPr>
          <w:lang w:val="en-GB"/>
        </w:rPr>
        <w:t xml:space="preserve"> flow rate, an in-situ gelation was obtained and a completely </w:t>
      </w:r>
      <w:proofErr w:type="spellStart"/>
      <w:r w:rsidRPr="00E01A60">
        <w:rPr>
          <w:lang w:val="en-GB"/>
        </w:rPr>
        <w:t>nanoporous</w:t>
      </w:r>
      <w:proofErr w:type="spellEnd"/>
      <w:r w:rsidRPr="00E01A60">
        <w:rPr>
          <w:lang w:val="en-GB"/>
        </w:rPr>
        <w:t xml:space="preserve"> </w:t>
      </w:r>
      <w:r w:rsidR="00A11678">
        <w:rPr>
          <w:lang w:val="en-GB"/>
        </w:rPr>
        <w:t>membrane</w:t>
      </w:r>
      <w:r w:rsidRPr="00E01A60">
        <w:rPr>
          <w:lang w:val="en-GB"/>
        </w:rPr>
        <w:t xml:space="preserve"> morphology was produced</w:t>
      </w:r>
      <w:r w:rsidR="00E01F06">
        <w:rPr>
          <w:lang w:val="en-GB"/>
        </w:rPr>
        <w:t>, similar to the ones obtained in the supercritical gel drying process (Cardea et al., 2009)</w:t>
      </w:r>
      <w:r w:rsidRPr="00E01A60">
        <w:rPr>
          <w:lang w:val="en-GB"/>
        </w:rPr>
        <w:t>.</w:t>
      </w:r>
    </w:p>
    <w:p w:rsidR="00C653B1" w:rsidRDefault="00A11678" w:rsidP="00E01A60">
      <w:pPr>
        <w:pStyle w:val="CETBodytext"/>
        <w:rPr>
          <w:lang w:val="en-GB"/>
        </w:rPr>
      </w:pPr>
      <w:r>
        <w:rPr>
          <w:lang w:val="en-GB"/>
        </w:rPr>
        <w:t>T</w:t>
      </w:r>
      <w:r w:rsidR="00883DE6">
        <w:rPr>
          <w:lang w:val="en-GB"/>
        </w:rPr>
        <w:t>he modification of structures morphology also affected their peculiarities; in particular, t</w:t>
      </w:r>
      <w:r w:rsidR="00E01A60" w:rsidRPr="00E01A60">
        <w:rPr>
          <w:lang w:val="en-GB"/>
        </w:rPr>
        <w:t xml:space="preserve">he ethanol presence during the process allowed an improvement of PVDF-HFP </w:t>
      </w:r>
      <w:r w:rsidR="00883DE6">
        <w:rPr>
          <w:lang w:val="en-GB"/>
        </w:rPr>
        <w:t>structures</w:t>
      </w:r>
      <w:r w:rsidR="00E01A60" w:rsidRPr="00E01A60">
        <w:rPr>
          <w:lang w:val="en-GB"/>
        </w:rPr>
        <w:t xml:space="preserve"> porosity and surface area, as reported in Table 1.</w:t>
      </w:r>
    </w:p>
    <w:p w:rsidR="00590D21" w:rsidRDefault="00590D21" w:rsidP="00590D21">
      <w:pPr>
        <w:pStyle w:val="CETBodytext"/>
        <w:spacing w:before="240" w:after="240"/>
        <w:rPr>
          <w:lang w:val="en-GB"/>
        </w:rPr>
      </w:pPr>
      <w:r w:rsidRPr="00590D21">
        <w:rPr>
          <w:i/>
          <w:lang w:val="en-GB"/>
        </w:rPr>
        <w:t>Table 1</w:t>
      </w:r>
      <w:r>
        <w:rPr>
          <w:i/>
          <w:lang w:val="en-GB"/>
        </w:rPr>
        <w:t>:</w:t>
      </w:r>
      <w:r w:rsidRPr="00590D21">
        <w:rPr>
          <w:i/>
          <w:lang w:val="en-GB"/>
        </w:rPr>
        <w:t xml:space="preserve"> </w:t>
      </w:r>
      <w:r w:rsidRPr="00E01A60">
        <w:rPr>
          <w:lang w:val="en-GB"/>
        </w:rPr>
        <w:t>Porosity and surface area for all the PVDF-HF</w:t>
      </w:r>
      <w:r>
        <w:rPr>
          <w:lang w:val="en-GB"/>
        </w:rPr>
        <w:t>P samples produced in this work</w:t>
      </w: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1163"/>
        <w:gridCol w:w="1133"/>
        <w:gridCol w:w="1163"/>
        <w:gridCol w:w="1134"/>
        <w:gridCol w:w="1114"/>
        <w:gridCol w:w="1085"/>
      </w:tblGrid>
      <w:tr w:rsidR="00E01A60" w:rsidRPr="00E01A60" w:rsidTr="000C2534">
        <w:trPr>
          <w:trHeight w:val="284"/>
          <w:jc w:val="center"/>
        </w:trPr>
        <w:tc>
          <w:tcPr>
            <w:tcW w:w="2211" w:type="dxa"/>
            <w:vMerge w:val="restart"/>
            <w:tcBorders>
              <w:top w:val="single" w:sz="12" w:space="0" w:color="008000"/>
              <w:bottom w:val="nil"/>
            </w:tcBorders>
          </w:tcPr>
          <w:p w:rsidR="00E01A60" w:rsidRPr="00E01A60" w:rsidRDefault="00E01A60" w:rsidP="000C2534">
            <w:pPr>
              <w:spacing w:line="240" w:lineRule="auto"/>
              <w:rPr>
                <w:b/>
                <w:szCs w:val="18"/>
                <w:lang w:val="en-US"/>
              </w:rPr>
            </w:pPr>
            <w:r w:rsidRPr="00E01A60">
              <w:rPr>
                <w:b/>
                <w:szCs w:val="18"/>
                <w:lang w:val="en-US"/>
              </w:rPr>
              <w:t>SC-CO</w:t>
            </w:r>
            <w:r w:rsidRPr="00E01A60">
              <w:rPr>
                <w:b/>
                <w:szCs w:val="18"/>
                <w:vertAlign w:val="subscript"/>
                <w:lang w:val="en-US"/>
              </w:rPr>
              <w:t>2</w:t>
            </w:r>
            <w:r w:rsidRPr="00E01A60">
              <w:rPr>
                <w:b/>
                <w:szCs w:val="18"/>
                <w:lang w:val="en-US"/>
              </w:rPr>
              <w:t>/</w:t>
            </w:r>
            <w:proofErr w:type="spellStart"/>
            <w:r w:rsidRPr="00E01A60">
              <w:rPr>
                <w:b/>
                <w:szCs w:val="18"/>
                <w:lang w:val="en-US"/>
              </w:rPr>
              <w:t>EtOH</w:t>
            </w:r>
            <w:proofErr w:type="spellEnd"/>
            <w:r w:rsidRPr="00E01A60">
              <w:rPr>
                <w:b/>
                <w:szCs w:val="18"/>
                <w:lang w:val="en-US"/>
              </w:rPr>
              <w:t xml:space="preserve"> flow rate ratio, % v/v</w:t>
            </w:r>
          </w:p>
        </w:tc>
        <w:tc>
          <w:tcPr>
            <w:tcW w:w="2296" w:type="dxa"/>
            <w:gridSpan w:val="2"/>
            <w:tcBorders>
              <w:top w:val="single" w:sz="12" w:space="0" w:color="008000"/>
              <w:bottom w:val="nil"/>
            </w:tcBorders>
          </w:tcPr>
          <w:p w:rsidR="00E01A60" w:rsidRPr="00E01A60" w:rsidRDefault="00E01A60" w:rsidP="000C2534">
            <w:pPr>
              <w:spacing w:line="240" w:lineRule="auto"/>
              <w:rPr>
                <w:b/>
                <w:szCs w:val="18"/>
                <w:lang w:val="en-US"/>
              </w:rPr>
            </w:pPr>
            <w:r w:rsidRPr="00E01A60">
              <w:rPr>
                <w:b/>
                <w:szCs w:val="18"/>
                <w:lang w:val="en-US"/>
              </w:rPr>
              <w:t>PVDF-HFP 10% w/w</w:t>
            </w:r>
          </w:p>
        </w:tc>
        <w:tc>
          <w:tcPr>
            <w:tcW w:w="2297" w:type="dxa"/>
            <w:gridSpan w:val="2"/>
            <w:tcBorders>
              <w:top w:val="single" w:sz="12" w:space="0" w:color="008000"/>
              <w:bottom w:val="nil"/>
            </w:tcBorders>
          </w:tcPr>
          <w:p w:rsidR="00E01A60" w:rsidRPr="00E01A60" w:rsidRDefault="00E01A60" w:rsidP="000C2534">
            <w:pPr>
              <w:spacing w:line="240" w:lineRule="auto"/>
              <w:rPr>
                <w:b/>
                <w:szCs w:val="18"/>
                <w:lang w:val="en-US"/>
              </w:rPr>
            </w:pPr>
            <w:r w:rsidRPr="00E01A60">
              <w:rPr>
                <w:b/>
                <w:szCs w:val="18"/>
                <w:lang w:val="en-US"/>
              </w:rPr>
              <w:t>PVDF-HFP 15% w/w</w:t>
            </w:r>
          </w:p>
        </w:tc>
        <w:tc>
          <w:tcPr>
            <w:tcW w:w="2199" w:type="dxa"/>
            <w:gridSpan w:val="2"/>
            <w:tcBorders>
              <w:top w:val="single" w:sz="12" w:space="0" w:color="008000"/>
              <w:bottom w:val="nil"/>
            </w:tcBorders>
          </w:tcPr>
          <w:p w:rsidR="00E01A60" w:rsidRPr="00E01A60" w:rsidRDefault="00E01A60" w:rsidP="000C2534">
            <w:pPr>
              <w:spacing w:line="240" w:lineRule="auto"/>
              <w:rPr>
                <w:b/>
                <w:szCs w:val="18"/>
                <w:lang w:val="en-US"/>
              </w:rPr>
            </w:pPr>
            <w:r w:rsidRPr="00E01A60">
              <w:rPr>
                <w:b/>
                <w:szCs w:val="18"/>
                <w:lang w:val="en-US"/>
              </w:rPr>
              <w:t>PVDF-HFP 20% w/w</w:t>
            </w:r>
          </w:p>
        </w:tc>
      </w:tr>
      <w:tr w:rsidR="00E01A60" w:rsidRPr="00E01A60" w:rsidTr="000C2534">
        <w:trPr>
          <w:trHeight w:val="284"/>
          <w:jc w:val="center"/>
        </w:trPr>
        <w:tc>
          <w:tcPr>
            <w:tcW w:w="2211" w:type="dxa"/>
            <w:vMerge/>
            <w:tcBorders>
              <w:top w:val="nil"/>
              <w:bottom w:val="single" w:sz="6" w:space="0" w:color="008000"/>
            </w:tcBorders>
          </w:tcPr>
          <w:p w:rsidR="00E01A60" w:rsidRPr="00E01A60" w:rsidRDefault="00E01A60" w:rsidP="000C2534">
            <w:pPr>
              <w:spacing w:line="240" w:lineRule="auto"/>
              <w:rPr>
                <w:b/>
                <w:szCs w:val="18"/>
                <w:lang w:val="en-US"/>
              </w:rPr>
            </w:pPr>
          </w:p>
        </w:tc>
        <w:tc>
          <w:tcPr>
            <w:tcW w:w="1163" w:type="dxa"/>
            <w:tcBorders>
              <w:top w:val="nil"/>
              <w:bottom w:val="single" w:sz="6" w:space="0" w:color="008000"/>
            </w:tcBorders>
          </w:tcPr>
          <w:p w:rsidR="00E01A60" w:rsidRPr="00E01A60" w:rsidRDefault="00E01A60" w:rsidP="000C2534">
            <w:pPr>
              <w:spacing w:line="240" w:lineRule="auto"/>
              <w:rPr>
                <w:b/>
                <w:szCs w:val="18"/>
                <w:lang w:val="en-US"/>
              </w:rPr>
            </w:pPr>
            <w:r w:rsidRPr="00E01A60">
              <w:rPr>
                <w:b/>
                <w:szCs w:val="18"/>
                <w:lang w:val="en-US"/>
              </w:rPr>
              <w:t>Porosity, %</w:t>
            </w:r>
          </w:p>
        </w:tc>
        <w:tc>
          <w:tcPr>
            <w:tcW w:w="1133" w:type="dxa"/>
            <w:tcBorders>
              <w:top w:val="nil"/>
              <w:bottom w:val="single" w:sz="6" w:space="0" w:color="008000"/>
            </w:tcBorders>
          </w:tcPr>
          <w:p w:rsidR="00E01A60" w:rsidRPr="00E01A60" w:rsidRDefault="00E01A60" w:rsidP="000C2534">
            <w:pPr>
              <w:spacing w:line="240" w:lineRule="auto"/>
              <w:rPr>
                <w:b/>
                <w:szCs w:val="18"/>
                <w:lang w:val="en-US"/>
              </w:rPr>
            </w:pPr>
            <w:r w:rsidRPr="00E01A60">
              <w:rPr>
                <w:b/>
                <w:szCs w:val="18"/>
                <w:lang w:val="en-US"/>
              </w:rPr>
              <w:t>Surface area, m</w:t>
            </w:r>
            <w:r w:rsidRPr="00E01A60">
              <w:rPr>
                <w:b/>
                <w:szCs w:val="18"/>
                <w:vertAlign w:val="superscript"/>
                <w:lang w:val="en-US"/>
              </w:rPr>
              <w:t>2</w:t>
            </w:r>
            <w:r w:rsidRPr="00E01A60">
              <w:rPr>
                <w:b/>
                <w:szCs w:val="18"/>
                <w:lang w:val="en-US"/>
              </w:rPr>
              <w:t>/g</w:t>
            </w:r>
          </w:p>
        </w:tc>
        <w:tc>
          <w:tcPr>
            <w:tcW w:w="1163" w:type="dxa"/>
            <w:tcBorders>
              <w:top w:val="nil"/>
              <w:bottom w:val="single" w:sz="6" w:space="0" w:color="008000"/>
            </w:tcBorders>
          </w:tcPr>
          <w:p w:rsidR="00E01A60" w:rsidRPr="00E01A60" w:rsidRDefault="00E01A60" w:rsidP="000C2534">
            <w:pPr>
              <w:spacing w:line="240" w:lineRule="auto"/>
              <w:rPr>
                <w:b/>
                <w:szCs w:val="18"/>
                <w:lang w:val="en-US"/>
              </w:rPr>
            </w:pPr>
            <w:r w:rsidRPr="00E01A60">
              <w:rPr>
                <w:b/>
                <w:szCs w:val="18"/>
                <w:lang w:val="en-US"/>
              </w:rPr>
              <w:t>Porosity, %</w:t>
            </w:r>
          </w:p>
        </w:tc>
        <w:tc>
          <w:tcPr>
            <w:tcW w:w="1134" w:type="dxa"/>
            <w:tcBorders>
              <w:top w:val="nil"/>
              <w:bottom w:val="single" w:sz="6" w:space="0" w:color="008000"/>
            </w:tcBorders>
          </w:tcPr>
          <w:p w:rsidR="00E01A60" w:rsidRPr="00E01A60" w:rsidRDefault="00E01A60" w:rsidP="000C2534">
            <w:pPr>
              <w:spacing w:line="240" w:lineRule="auto"/>
              <w:rPr>
                <w:b/>
                <w:szCs w:val="18"/>
                <w:lang w:val="en-US"/>
              </w:rPr>
            </w:pPr>
            <w:r w:rsidRPr="00E01A60">
              <w:rPr>
                <w:b/>
                <w:szCs w:val="18"/>
                <w:lang w:val="en-US"/>
              </w:rPr>
              <w:t>Surface area, m</w:t>
            </w:r>
            <w:r w:rsidRPr="00E01A60">
              <w:rPr>
                <w:b/>
                <w:szCs w:val="18"/>
                <w:vertAlign w:val="superscript"/>
                <w:lang w:val="en-US"/>
              </w:rPr>
              <w:t>2</w:t>
            </w:r>
            <w:r w:rsidRPr="00E01A60">
              <w:rPr>
                <w:b/>
                <w:szCs w:val="18"/>
                <w:lang w:val="en-US"/>
              </w:rPr>
              <w:t>/g</w:t>
            </w:r>
          </w:p>
        </w:tc>
        <w:tc>
          <w:tcPr>
            <w:tcW w:w="1114" w:type="dxa"/>
            <w:tcBorders>
              <w:top w:val="nil"/>
              <w:bottom w:val="single" w:sz="6" w:space="0" w:color="008000"/>
            </w:tcBorders>
          </w:tcPr>
          <w:p w:rsidR="00E01A60" w:rsidRPr="00E01A60" w:rsidRDefault="00E01A60" w:rsidP="000C2534">
            <w:pPr>
              <w:spacing w:line="240" w:lineRule="auto"/>
              <w:rPr>
                <w:b/>
                <w:szCs w:val="18"/>
                <w:lang w:val="en-US"/>
              </w:rPr>
            </w:pPr>
            <w:r w:rsidRPr="00E01A60">
              <w:rPr>
                <w:b/>
                <w:szCs w:val="18"/>
                <w:lang w:val="en-US"/>
              </w:rPr>
              <w:t>Porosity, %</w:t>
            </w:r>
          </w:p>
        </w:tc>
        <w:tc>
          <w:tcPr>
            <w:tcW w:w="1085" w:type="dxa"/>
            <w:tcBorders>
              <w:top w:val="nil"/>
              <w:bottom w:val="single" w:sz="6" w:space="0" w:color="008000"/>
            </w:tcBorders>
          </w:tcPr>
          <w:p w:rsidR="00E01A60" w:rsidRPr="00E01A60" w:rsidRDefault="00E01A60" w:rsidP="000C2534">
            <w:pPr>
              <w:spacing w:line="240" w:lineRule="auto"/>
              <w:rPr>
                <w:b/>
                <w:szCs w:val="18"/>
                <w:lang w:val="en-US"/>
              </w:rPr>
            </w:pPr>
            <w:r w:rsidRPr="00E01A60">
              <w:rPr>
                <w:b/>
                <w:szCs w:val="18"/>
                <w:lang w:val="en-US"/>
              </w:rPr>
              <w:t>Surface area, m</w:t>
            </w:r>
            <w:r w:rsidRPr="00E01A60">
              <w:rPr>
                <w:b/>
                <w:szCs w:val="18"/>
                <w:vertAlign w:val="superscript"/>
                <w:lang w:val="en-US"/>
              </w:rPr>
              <w:t>2</w:t>
            </w:r>
            <w:r w:rsidRPr="00E01A60">
              <w:rPr>
                <w:b/>
                <w:szCs w:val="18"/>
                <w:lang w:val="en-US"/>
              </w:rPr>
              <w:t>/g</w:t>
            </w:r>
          </w:p>
        </w:tc>
      </w:tr>
      <w:tr w:rsidR="00E01A60" w:rsidRPr="00E01A60" w:rsidTr="000C2534">
        <w:trPr>
          <w:trHeight w:val="284"/>
          <w:jc w:val="center"/>
        </w:trPr>
        <w:tc>
          <w:tcPr>
            <w:tcW w:w="2211" w:type="dxa"/>
            <w:tcBorders>
              <w:top w:val="single" w:sz="6" w:space="0" w:color="008000"/>
              <w:bottom w:val="nil"/>
            </w:tcBorders>
          </w:tcPr>
          <w:p w:rsidR="00E01A60" w:rsidRPr="00E01A60" w:rsidRDefault="00E01A60" w:rsidP="000C2534">
            <w:pPr>
              <w:spacing w:line="240" w:lineRule="auto"/>
              <w:rPr>
                <w:szCs w:val="18"/>
                <w:lang w:val="en-US"/>
              </w:rPr>
            </w:pPr>
            <w:r w:rsidRPr="00E01A60">
              <w:rPr>
                <w:szCs w:val="18"/>
                <w:lang w:val="en-US"/>
              </w:rPr>
              <w:t>100/0</w:t>
            </w:r>
          </w:p>
        </w:tc>
        <w:tc>
          <w:tcPr>
            <w:tcW w:w="1163" w:type="dxa"/>
            <w:tcBorders>
              <w:top w:val="single" w:sz="6" w:space="0" w:color="008000"/>
              <w:bottom w:val="nil"/>
            </w:tcBorders>
          </w:tcPr>
          <w:p w:rsidR="00E01A60" w:rsidRPr="00E01A60" w:rsidRDefault="00E01A60" w:rsidP="000C2534">
            <w:pPr>
              <w:spacing w:line="240" w:lineRule="auto"/>
              <w:rPr>
                <w:szCs w:val="18"/>
                <w:lang w:val="en-US"/>
              </w:rPr>
            </w:pPr>
            <w:r w:rsidRPr="00E01A60">
              <w:rPr>
                <w:szCs w:val="18"/>
                <w:lang w:val="en-US"/>
              </w:rPr>
              <w:t>71</w:t>
            </w:r>
          </w:p>
        </w:tc>
        <w:tc>
          <w:tcPr>
            <w:tcW w:w="1133" w:type="dxa"/>
            <w:tcBorders>
              <w:top w:val="single" w:sz="6" w:space="0" w:color="008000"/>
              <w:bottom w:val="nil"/>
            </w:tcBorders>
          </w:tcPr>
          <w:p w:rsidR="00E01A60" w:rsidRPr="00E01A60" w:rsidRDefault="00E01A60" w:rsidP="000C2534">
            <w:pPr>
              <w:spacing w:line="240" w:lineRule="auto"/>
              <w:rPr>
                <w:szCs w:val="18"/>
                <w:lang w:val="en-US"/>
              </w:rPr>
            </w:pPr>
            <w:r w:rsidRPr="00E01A60">
              <w:rPr>
                <w:szCs w:val="18"/>
                <w:lang w:val="en-US"/>
              </w:rPr>
              <w:t>18.8</w:t>
            </w:r>
          </w:p>
        </w:tc>
        <w:tc>
          <w:tcPr>
            <w:tcW w:w="1163" w:type="dxa"/>
            <w:tcBorders>
              <w:top w:val="single" w:sz="6" w:space="0" w:color="008000"/>
              <w:bottom w:val="nil"/>
            </w:tcBorders>
          </w:tcPr>
          <w:p w:rsidR="00E01A60" w:rsidRPr="00E01A60" w:rsidRDefault="00E01A60" w:rsidP="000C2534">
            <w:pPr>
              <w:spacing w:line="240" w:lineRule="auto"/>
              <w:rPr>
                <w:szCs w:val="18"/>
                <w:lang w:val="en-US"/>
              </w:rPr>
            </w:pPr>
            <w:r w:rsidRPr="00E01A60">
              <w:rPr>
                <w:szCs w:val="18"/>
                <w:lang w:val="en-US"/>
              </w:rPr>
              <w:t>68</w:t>
            </w:r>
          </w:p>
        </w:tc>
        <w:tc>
          <w:tcPr>
            <w:tcW w:w="1134" w:type="dxa"/>
            <w:tcBorders>
              <w:top w:val="single" w:sz="6" w:space="0" w:color="008000"/>
              <w:bottom w:val="nil"/>
            </w:tcBorders>
          </w:tcPr>
          <w:p w:rsidR="00E01A60" w:rsidRPr="00E01A60" w:rsidRDefault="00E01A60" w:rsidP="000C2534">
            <w:pPr>
              <w:spacing w:line="240" w:lineRule="auto"/>
              <w:rPr>
                <w:szCs w:val="18"/>
                <w:lang w:val="en-US"/>
              </w:rPr>
            </w:pPr>
            <w:r w:rsidRPr="00E01A60">
              <w:rPr>
                <w:szCs w:val="18"/>
                <w:lang w:val="en-US"/>
              </w:rPr>
              <w:t>15.6</w:t>
            </w:r>
          </w:p>
        </w:tc>
        <w:tc>
          <w:tcPr>
            <w:tcW w:w="1114" w:type="dxa"/>
            <w:tcBorders>
              <w:top w:val="single" w:sz="6" w:space="0" w:color="008000"/>
              <w:bottom w:val="nil"/>
            </w:tcBorders>
          </w:tcPr>
          <w:p w:rsidR="00E01A60" w:rsidRPr="00E01A60" w:rsidRDefault="00E01A60" w:rsidP="000C2534">
            <w:pPr>
              <w:spacing w:line="240" w:lineRule="auto"/>
              <w:rPr>
                <w:szCs w:val="18"/>
                <w:lang w:val="en-US"/>
              </w:rPr>
            </w:pPr>
            <w:r w:rsidRPr="00E01A60">
              <w:rPr>
                <w:szCs w:val="18"/>
                <w:lang w:val="en-US"/>
              </w:rPr>
              <w:t>63</w:t>
            </w:r>
          </w:p>
        </w:tc>
        <w:tc>
          <w:tcPr>
            <w:tcW w:w="1085" w:type="dxa"/>
            <w:tcBorders>
              <w:top w:val="single" w:sz="6" w:space="0" w:color="008000"/>
              <w:bottom w:val="nil"/>
            </w:tcBorders>
          </w:tcPr>
          <w:p w:rsidR="00E01A60" w:rsidRPr="00E01A60" w:rsidRDefault="00E01A60" w:rsidP="000C2534">
            <w:pPr>
              <w:spacing w:line="240" w:lineRule="auto"/>
              <w:rPr>
                <w:szCs w:val="18"/>
                <w:lang w:val="en-US"/>
              </w:rPr>
            </w:pPr>
            <w:r w:rsidRPr="00E01A60">
              <w:rPr>
                <w:szCs w:val="18"/>
                <w:lang w:val="en-US"/>
              </w:rPr>
              <w:t>4.9</w:t>
            </w:r>
          </w:p>
        </w:tc>
      </w:tr>
      <w:tr w:rsidR="00E01A60" w:rsidRPr="00E01A60" w:rsidTr="000C2534">
        <w:trPr>
          <w:trHeight w:val="284"/>
          <w:jc w:val="center"/>
        </w:trPr>
        <w:tc>
          <w:tcPr>
            <w:tcW w:w="2211" w:type="dxa"/>
            <w:tcBorders>
              <w:top w:val="nil"/>
              <w:bottom w:val="nil"/>
            </w:tcBorders>
          </w:tcPr>
          <w:p w:rsidR="00E01A60" w:rsidRPr="00E01A60" w:rsidRDefault="00E01A60" w:rsidP="000C2534">
            <w:pPr>
              <w:spacing w:line="240" w:lineRule="auto"/>
              <w:rPr>
                <w:szCs w:val="18"/>
                <w:lang w:val="en-US"/>
              </w:rPr>
            </w:pPr>
            <w:r w:rsidRPr="00E01A60">
              <w:rPr>
                <w:szCs w:val="18"/>
                <w:lang w:val="en-US"/>
              </w:rPr>
              <w:t>99/1</w:t>
            </w:r>
          </w:p>
        </w:tc>
        <w:tc>
          <w:tcPr>
            <w:tcW w:w="1163" w:type="dxa"/>
            <w:tcBorders>
              <w:top w:val="nil"/>
              <w:bottom w:val="nil"/>
            </w:tcBorders>
          </w:tcPr>
          <w:p w:rsidR="00E01A60" w:rsidRPr="00E01A60" w:rsidRDefault="00E01A60" w:rsidP="000C2534">
            <w:pPr>
              <w:spacing w:line="240" w:lineRule="auto"/>
              <w:rPr>
                <w:szCs w:val="18"/>
                <w:lang w:val="en-US"/>
              </w:rPr>
            </w:pPr>
            <w:r w:rsidRPr="00E01A60">
              <w:rPr>
                <w:szCs w:val="18"/>
                <w:lang w:val="en-US"/>
              </w:rPr>
              <w:t>74</w:t>
            </w:r>
          </w:p>
        </w:tc>
        <w:tc>
          <w:tcPr>
            <w:tcW w:w="1133" w:type="dxa"/>
            <w:tcBorders>
              <w:top w:val="nil"/>
              <w:bottom w:val="nil"/>
            </w:tcBorders>
          </w:tcPr>
          <w:p w:rsidR="00E01A60" w:rsidRPr="00E01A60" w:rsidRDefault="00E01A60" w:rsidP="000C2534">
            <w:pPr>
              <w:spacing w:line="240" w:lineRule="auto"/>
              <w:rPr>
                <w:szCs w:val="18"/>
                <w:lang w:val="en-US"/>
              </w:rPr>
            </w:pPr>
            <w:r w:rsidRPr="00E01A60">
              <w:rPr>
                <w:szCs w:val="18"/>
                <w:lang w:val="en-US"/>
              </w:rPr>
              <w:t>21.1</w:t>
            </w:r>
          </w:p>
        </w:tc>
        <w:tc>
          <w:tcPr>
            <w:tcW w:w="1163" w:type="dxa"/>
            <w:tcBorders>
              <w:top w:val="nil"/>
              <w:bottom w:val="nil"/>
            </w:tcBorders>
          </w:tcPr>
          <w:p w:rsidR="00E01A60" w:rsidRPr="00E01A60" w:rsidRDefault="00E01A60" w:rsidP="000C2534">
            <w:pPr>
              <w:spacing w:line="240" w:lineRule="auto"/>
              <w:rPr>
                <w:szCs w:val="18"/>
                <w:lang w:val="en-US"/>
              </w:rPr>
            </w:pPr>
            <w:r w:rsidRPr="00E01A60">
              <w:rPr>
                <w:szCs w:val="18"/>
                <w:lang w:val="en-US"/>
              </w:rPr>
              <w:t>70</w:t>
            </w:r>
          </w:p>
        </w:tc>
        <w:tc>
          <w:tcPr>
            <w:tcW w:w="1134" w:type="dxa"/>
            <w:tcBorders>
              <w:top w:val="nil"/>
              <w:bottom w:val="nil"/>
            </w:tcBorders>
          </w:tcPr>
          <w:p w:rsidR="00E01A60" w:rsidRPr="00E01A60" w:rsidRDefault="00E01A60" w:rsidP="000C2534">
            <w:pPr>
              <w:spacing w:line="240" w:lineRule="auto"/>
              <w:rPr>
                <w:szCs w:val="18"/>
                <w:lang w:val="en-US"/>
              </w:rPr>
            </w:pPr>
            <w:r w:rsidRPr="00E01A60">
              <w:rPr>
                <w:szCs w:val="18"/>
                <w:lang w:val="en-US"/>
              </w:rPr>
              <w:t>17.6</w:t>
            </w:r>
          </w:p>
        </w:tc>
        <w:tc>
          <w:tcPr>
            <w:tcW w:w="1114" w:type="dxa"/>
            <w:tcBorders>
              <w:top w:val="nil"/>
              <w:bottom w:val="nil"/>
            </w:tcBorders>
          </w:tcPr>
          <w:p w:rsidR="00E01A60" w:rsidRPr="00E01A60" w:rsidRDefault="00E01A60" w:rsidP="000C2534">
            <w:pPr>
              <w:spacing w:line="240" w:lineRule="auto"/>
              <w:rPr>
                <w:szCs w:val="18"/>
                <w:lang w:val="en-US"/>
              </w:rPr>
            </w:pPr>
            <w:r w:rsidRPr="00E01A60">
              <w:rPr>
                <w:szCs w:val="18"/>
                <w:lang w:val="en-US"/>
              </w:rPr>
              <w:t>68</w:t>
            </w:r>
          </w:p>
        </w:tc>
        <w:tc>
          <w:tcPr>
            <w:tcW w:w="1085" w:type="dxa"/>
            <w:tcBorders>
              <w:top w:val="nil"/>
              <w:bottom w:val="nil"/>
            </w:tcBorders>
          </w:tcPr>
          <w:p w:rsidR="00E01A60" w:rsidRPr="00E01A60" w:rsidRDefault="00E01A60" w:rsidP="000C2534">
            <w:pPr>
              <w:spacing w:line="240" w:lineRule="auto"/>
              <w:rPr>
                <w:szCs w:val="18"/>
                <w:lang w:val="en-US"/>
              </w:rPr>
            </w:pPr>
            <w:r w:rsidRPr="00E01A60">
              <w:rPr>
                <w:szCs w:val="18"/>
                <w:lang w:val="en-US"/>
              </w:rPr>
              <w:t>12.0</w:t>
            </w:r>
          </w:p>
        </w:tc>
      </w:tr>
      <w:tr w:rsidR="00E01A60" w:rsidRPr="00E01A60" w:rsidTr="000C2534">
        <w:trPr>
          <w:trHeight w:val="284"/>
          <w:jc w:val="center"/>
        </w:trPr>
        <w:tc>
          <w:tcPr>
            <w:tcW w:w="2211" w:type="dxa"/>
            <w:tcBorders>
              <w:top w:val="nil"/>
              <w:bottom w:val="nil"/>
            </w:tcBorders>
          </w:tcPr>
          <w:p w:rsidR="00E01A60" w:rsidRPr="00E01A60" w:rsidRDefault="00E01A60" w:rsidP="000C2534">
            <w:pPr>
              <w:spacing w:line="240" w:lineRule="auto"/>
              <w:rPr>
                <w:szCs w:val="18"/>
                <w:lang w:val="en-US"/>
              </w:rPr>
            </w:pPr>
            <w:r w:rsidRPr="00E01A60">
              <w:rPr>
                <w:szCs w:val="18"/>
                <w:lang w:val="en-US"/>
              </w:rPr>
              <w:t>80/20</w:t>
            </w:r>
          </w:p>
        </w:tc>
        <w:tc>
          <w:tcPr>
            <w:tcW w:w="1163" w:type="dxa"/>
            <w:tcBorders>
              <w:top w:val="nil"/>
              <w:bottom w:val="nil"/>
            </w:tcBorders>
          </w:tcPr>
          <w:p w:rsidR="00E01A60" w:rsidRPr="00E01A60" w:rsidRDefault="00E01A60" w:rsidP="000C2534">
            <w:pPr>
              <w:spacing w:line="240" w:lineRule="auto"/>
              <w:rPr>
                <w:szCs w:val="18"/>
                <w:lang w:val="en-US"/>
              </w:rPr>
            </w:pPr>
            <w:r w:rsidRPr="00E01A60">
              <w:rPr>
                <w:szCs w:val="18"/>
                <w:lang w:val="en-US"/>
              </w:rPr>
              <w:t>80</w:t>
            </w:r>
          </w:p>
        </w:tc>
        <w:tc>
          <w:tcPr>
            <w:tcW w:w="1133" w:type="dxa"/>
            <w:tcBorders>
              <w:top w:val="nil"/>
              <w:bottom w:val="nil"/>
            </w:tcBorders>
          </w:tcPr>
          <w:p w:rsidR="00E01A60" w:rsidRPr="00E01A60" w:rsidRDefault="00E01A60" w:rsidP="000C2534">
            <w:pPr>
              <w:spacing w:line="240" w:lineRule="auto"/>
              <w:rPr>
                <w:szCs w:val="18"/>
                <w:lang w:val="en-US"/>
              </w:rPr>
            </w:pPr>
            <w:r w:rsidRPr="00E01A60">
              <w:rPr>
                <w:szCs w:val="18"/>
                <w:lang w:val="en-US"/>
              </w:rPr>
              <w:t>48.1</w:t>
            </w:r>
          </w:p>
        </w:tc>
        <w:tc>
          <w:tcPr>
            <w:tcW w:w="1163" w:type="dxa"/>
            <w:tcBorders>
              <w:top w:val="nil"/>
              <w:bottom w:val="nil"/>
            </w:tcBorders>
          </w:tcPr>
          <w:p w:rsidR="00E01A60" w:rsidRPr="00E01A60" w:rsidRDefault="00E01A60" w:rsidP="000C2534">
            <w:pPr>
              <w:spacing w:line="240" w:lineRule="auto"/>
              <w:rPr>
                <w:szCs w:val="18"/>
                <w:lang w:val="en-US"/>
              </w:rPr>
            </w:pPr>
            <w:r w:rsidRPr="00E01A60">
              <w:rPr>
                <w:szCs w:val="18"/>
                <w:lang w:val="en-US"/>
              </w:rPr>
              <w:t>76</w:t>
            </w:r>
          </w:p>
        </w:tc>
        <w:tc>
          <w:tcPr>
            <w:tcW w:w="1134" w:type="dxa"/>
            <w:tcBorders>
              <w:top w:val="nil"/>
              <w:bottom w:val="nil"/>
            </w:tcBorders>
          </w:tcPr>
          <w:p w:rsidR="00E01A60" w:rsidRPr="00E01A60" w:rsidRDefault="00E01A60" w:rsidP="000C2534">
            <w:pPr>
              <w:spacing w:line="240" w:lineRule="auto"/>
              <w:rPr>
                <w:szCs w:val="18"/>
                <w:lang w:val="en-US"/>
              </w:rPr>
            </w:pPr>
            <w:r w:rsidRPr="00E01A60">
              <w:rPr>
                <w:szCs w:val="18"/>
                <w:lang w:val="en-US"/>
              </w:rPr>
              <w:t>31.5</w:t>
            </w:r>
          </w:p>
        </w:tc>
        <w:tc>
          <w:tcPr>
            <w:tcW w:w="1114" w:type="dxa"/>
            <w:tcBorders>
              <w:top w:val="nil"/>
              <w:bottom w:val="nil"/>
            </w:tcBorders>
          </w:tcPr>
          <w:p w:rsidR="00E01A60" w:rsidRPr="00E01A60" w:rsidRDefault="00E01A60" w:rsidP="000C2534">
            <w:pPr>
              <w:spacing w:line="240" w:lineRule="auto"/>
              <w:rPr>
                <w:szCs w:val="18"/>
                <w:lang w:val="en-US"/>
              </w:rPr>
            </w:pPr>
            <w:r w:rsidRPr="00E01A60">
              <w:rPr>
                <w:szCs w:val="18"/>
                <w:lang w:val="en-US"/>
              </w:rPr>
              <w:t>71</w:t>
            </w:r>
          </w:p>
        </w:tc>
        <w:tc>
          <w:tcPr>
            <w:tcW w:w="1085" w:type="dxa"/>
            <w:tcBorders>
              <w:top w:val="nil"/>
              <w:bottom w:val="nil"/>
            </w:tcBorders>
          </w:tcPr>
          <w:p w:rsidR="00E01A60" w:rsidRPr="00E01A60" w:rsidRDefault="00E01A60" w:rsidP="000C2534">
            <w:pPr>
              <w:spacing w:line="240" w:lineRule="auto"/>
              <w:rPr>
                <w:szCs w:val="18"/>
                <w:lang w:val="en-US"/>
              </w:rPr>
            </w:pPr>
            <w:r w:rsidRPr="00E01A60">
              <w:rPr>
                <w:szCs w:val="18"/>
                <w:lang w:val="en-US"/>
              </w:rPr>
              <w:t>23.2</w:t>
            </w:r>
          </w:p>
        </w:tc>
      </w:tr>
      <w:tr w:rsidR="00E01A60" w:rsidRPr="00E01A60" w:rsidTr="000C2534">
        <w:trPr>
          <w:trHeight w:val="284"/>
          <w:jc w:val="center"/>
        </w:trPr>
        <w:tc>
          <w:tcPr>
            <w:tcW w:w="2211" w:type="dxa"/>
            <w:tcBorders>
              <w:top w:val="nil"/>
              <w:bottom w:val="single" w:sz="12" w:space="0" w:color="008000"/>
            </w:tcBorders>
          </w:tcPr>
          <w:p w:rsidR="00E01A60" w:rsidRPr="00E01A60" w:rsidRDefault="00E01A60" w:rsidP="000C2534">
            <w:pPr>
              <w:spacing w:line="240" w:lineRule="auto"/>
              <w:rPr>
                <w:szCs w:val="18"/>
                <w:lang w:val="en-US"/>
              </w:rPr>
            </w:pPr>
            <w:r w:rsidRPr="00E01A60">
              <w:rPr>
                <w:szCs w:val="18"/>
                <w:lang w:val="en-US"/>
              </w:rPr>
              <w:t>50/50</w:t>
            </w:r>
          </w:p>
        </w:tc>
        <w:tc>
          <w:tcPr>
            <w:tcW w:w="1163" w:type="dxa"/>
            <w:tcBorders>
              <w:top w:val="nil"/>
              <w:bottom w:val="single" w:sz="12" w:space="0" w:color="008000"/>
            </w:tcBorders>
          </w:tcPr>
          <w:p w:rsidR="00E01A60" w:rsidRPr="00E01A60" w:rsidRDefault="00E01A60" w:rsidP="000C2534">
            <w:pPr>
              <w:spacing w:line="240" w:lineRule="auto"/>
              <w:rPr>
                <w:szCs w:val="18"/>
                <w:lang w:val="en-US"/>
              </w:rPr>
            </w:pPr>
            <w:r w:rsidRPr="00E01A60">
              <w:rPr>
                <w:szCs w:val="18"/>
                <w:lang w:val="en-US"/>
              </w:rPr>
              <w:t>88</w:t>
            </w:r>
          </w:p>
        </w:tc>
        <w:tc>
          <w:tcPr>
            <w:tcW w:w="1133" w:type="dxa"/>
            <w:tcBorders>
              <w:top w:val="nil"/>
              <w:bottom w:val="single" w:sz="12" w:space="0" w:color="008000"/>
            </w:tcBorders>
          </w:tcPr>
          <w:p w:rsidR="00E01A60" w:rsidRPr="00E01A60" w:rsidRDefault="00E01A60" w:rsidP="000C2534">
            <w:pPr>
              <w:spacing w:line="240" w:lineRule="auto"/>
              <w:rPr>
                <w:szCs w:val="18"/>
                <w:lang w:val="en-US"/>
              </w:rPr>
            </w:pPr>
            <w:r w:rsidRPr="00E01A60">
              <w:rPr>
                <w:szCs w:val="18"/>
                <w:lang w:val="en-US"/>
              </w:rPr>
              <w:t>95.3</w:t>
            </w:r>
          </w:p>
        </w:tc>
        <w:tc>
          <w:tcPr>
            <w:tcW w:w="1163" w:type="dxa"/>
            <w:tcBorders>
              <w:top w:val="nil"/>
              <w:bottom w:val="single" w:sz="12" w:space="0" w:color="008000"/>
            </w:tcBorders>
          </w:tcPr>
          <w:p w:rsidR="00E01A60" w:rsidRPr="00E01A60" w:rsidRDefault="00E01A60" w:rsidP="000C2534">
            <w:pPr>
              <w:spacing w:line="240" w:lineRule="auto"/>
              <w:rPr>
                <w:szCs w:val="18"/>
                <w:lang w:val="en-US"/>
              </w:rPr>
            </w:pPr>
            <w:r w:rsidRPr="00E01A60">
              <w:rPr>
                <w:szCs w:val="18"/>
                <w:lang w:val="en-US"/>
              </w:rPr>
              <w:t>83</w:t>
            </w:r>
          </w:p>
        </w:tc>
        <w:tc>
          <w:tcPr>
            <w:tcW w:w="1134" w:type="dxa"/>
            <w:tcBorders>
              <w:top w:val="nil"/>
              <w:bottom w:val="single" w:sz="12" w:space="0" w:color="008000"/>
            </w:tcBorders>
          </w:tcPr>
          <w:p w:rsidR="00E01A60" w:rsidRPr="00E01A60" w:rsidRDefault="00E01A60" w:rsidP="000C2534">
            <w:pPr>
              <w:spacing w:line="240" w:lineRule="auto"/>
              <w:rPr>
                <w:szCs w:val="18"/>
                <w:lang w:val="en-US"/>
              </w:rPr>
            </w:pPr>
            <w:r w:rsidRPr="00E01A60">
              <w:rPr>
                <w:szCs w:val="18"/>
                <w:lang w:val="en-US"/>
              </w:rPr>
              <w:t>78.8</w:t>
            </w:r>
          </w:p>
        </w:tc>
        <w:tc>
          <w:tcPr>
            <w:tcW w:w="1114" w:type="dxa"/>
            <w:tcBorders>
              <w:top w:val="nil"/>
              <w:bottom w:val="single" w:sz="12" w:space="0" w:color="008000"/>
            </w:tcBorders>
          </w:tcPr>
          <w:p w:rsidR="00E01A60" w:rsidRPr="00E01A60" w:rsidRDefault="00E01A60" w:rsidP="000C2534">
            <w:pPr>
              <w:spacing w:line="240" w:lineRule="auto"/>
              <w:rPr>
                <w:szCs w:val="18"/>
                <w:lang w:val="en-US"/>
              </w:rPr>
            </w:pPr>
            <w:r w:rsidRPr="00E01A60">
              <w:rPr>
                <w:szCs w:val="18"/>
                <w:lang w:val="en-US"/>
              </w:rPr>
              <w:t>79</w:t>
            </w:r>
          </w:p>
        </w:tc>
        <w:tc>
          <w:tcPr>
            <w:tcW w:w="1085" w:type="dxa"/>
            <w:tcBorders>
              <w:top w:val="nil"/>
              <w:bottom w:val="single" w:sz="12" w:space="0" w:color="008000"/>
            </w:tcBorders>
          </w:tcPr>
          <w:p w:rsidR="00E01A60" w:rsidRPr="00E01A60" w:rsidRDefault="00E01A60" w:rsidP="000C2534">
            <w:pPr>
              <w:spacing w:line="240" w:lineRule="auto"/>
              <w:rPr>
                <w:szCs w:val="18"/>
                <w:lang w:val="en-US"/>
              </w:rPr>
            </w:pPr>
            <w:r w:rsidRPr="00E01A60">
              <w:rPr>
                <w:szCs w:val="18"/>
                <w:lang w:val="en-US"/>
              </w:rPr>
              <w:t>66.6</w:t>
            </w:r>
          </w:p>
        </w:tc>
      </w:tr>
    </w:tbl>
    <w:p w:rsidR="00E01A60" w:rsidRDefault="00E01A60" w:rsidP="00B46D22">
      <w:pPr>
        <w:pStyle w:val="CETBodytext"/>
        <w:spacing w:before="240"/>
        <w:rPr>
          <w:lang w:val="en-GB"/>
        </w:rPr>
      </w:pPr>
      <w:r w:rsidRPr="00E01A60">
        <w:rPr>
          <w:lang w:val="en-GB"/>
        </w:rPr>
        <w:t xml:space="preserve">Increasing the </w:t>
      </w:r>
      <w:proofErr w:type="spellStart"/>
      <w:r w:rsidRPr="00E01A60">
        <w:rPr>
          <w:lang w:val="en-GB"/>
        </w:rPr>
        <w:t>EtOH</w:t>
      </w:r>
      <w:proofErr w:type="spellEnd"/>
      <w:r w:rsidRPr="00E01A60">
        <w:rPr>
          <w:lang w:val="en-GB"/>
        </w:rPr>
        <w:t xml:space="preserve"> content from 0 to 50% v/v, the porosity increased from 71 to 88% and surface area from 18.8 to 95.3 m</w:t>
      </w:r>
      <w:r w:rsidRPr="00B46D22">
        <w:rPr>
          <w:vertAlign w:val="superscript"/>
          <w:lang w:val="en-GB"/>
        </w:rPr>
        <w:t>2</w:t>
      </w:r>
      <w:r w:rsidRPr="00E01A60">
        <w:rPr>
          <w:lang w:val="en-GB"/>
        </w:rPr>
        <w:t>/g for PVDF-HFP 10% w/w sample; the porosity increased from 68 to 83% and surface area from 15.6 to 78.8 m</w:t>
      </w:r>
      <w:r w:rsidRPr="00B46D22">
        <w:rPr>
          <w:vertAlign w:val="superscript"/>
          <w:lang w:val="en-GB"/>
        </w:rPr>
        <w:t>2</w:t>
      </w:r>
      <w:r w:rsidRPr="00E01A60">
        <w:rPr>
          <w:lang w:val="en-GB"/>
        </w:rPr>
        <w:t>/g for PVDF-HFP 15% w/w sample; the porosity increased from 63 to 79% and surface area from 4.9 to 66.6 m</w:t>
      </w:r>
      <w:r w:rsidRPr="00B46D22">
        <w:rPr>
          <w:vertAlign w:val="superscript"/>
          <w:lang w:val="en-GB"/>
        </w:rPr>
        <w:t>2</w:t>
      </w:r>
      <w:r w:rsidRPr="00E01A60">
        <w:rPr>
          <w:lang w:val="en-GB"/>
        </w:rPr>
        <w:t xml:space="preserve">/g for PVDF-HFP 20% w/w sample. These interesting results confirmed the high versatility of the supercritical fluids assisted processes: modifying the process parameters (i.e., </w:t>
      </w:r>
      <w:proofErr w:type="spellStart"/>
      <w:r w:rsidRPr="00E01A60">
        <w:rPr>
          <w:lang w:val="en-GB"/>
        </w:rPr>
        <w:t>EtOH</w:t>
      </w:r>
      <w:proofErr w:type="spellEnd"/>
      <w:r w:rsidRPr="00E01A60">
        <w:rPr>
          <w:lang w:val="en-GB"/>
        </w:rPr>
        <w:t xml:space="preserve"> content), an increase of porosity larger than 20% and an increase of surface area larger than 500%, with respect to the PVDF-HFP sample obtained without </w:t>
      </w:r>
      <w:proofErr w:type="spellStart"/>
      <w:r w:rsidRPr="00E01A60">
        <w:rPr>
          <w:lang w:val="en-GB"/>
        </w:rPr>
        <w:t>EtOH</w:t>
      </w:r>
      <w:proofErr w:type="spellEnd"/>
      <w:r w:rsidRPr="00E01A60">
        <w:rPr>
          <w:lang w:val="en-GB"/>
        </w:rPr>
        <w:t>, were obtained.</w:t>
      </w:r>
    </w:p>
    <w:p w:rsidR="00261EA3" w:rsidRPr="00261EA3" w:rsidRDefault="00261EA3" w:rsidP="00261EA3">
      <w:pPr>
        <w:pStyle w:val="CETHeading1"/>
        <w:tabs>
          <w:tab w:val="num" w:pos="360"/>
        </w:tabs>
        <w:rPr>
          <w:lang w:val="en-GB"/>
        </w:rPr>
      </w:pPr>
      <w:r w:rsidRPr="00261EA3">
        <w:rPr>
          <w:lang w:val="en-GB"/>
        </w:rPr>
        <w:t>Conclusions and perspectives</w:t>
      </w:r>
    </w:p>
    <w:p w:rsidR="00261EA3" w:rsidRPr="00261EA3" w:rsidRDefault="00261EA3" w:rsidP="00261EA3">
      <w:pPr>
        <w:pStyle w:val="CETBodytext"/>
        <w:rPr>
          <w:lang w:val="en-GB"/>
        </w:rPr>
      </w:pPr>
      <w:r w:rsidRPr="00261EA3">
        <w:rPr>
          <w:lang w:val="en-GB"/>
        </w:rPr>
        <w:t xml:space="preserve">In this work, a simplified PVDF-HFP membranes production </w:t>
      </w:r>
      <w:r w:rsidR="005E3CF2">
        <w:rPr>
          <w:lang w:val="en-GB"/>
        </w:rPr>
        <w:t xml:space="preserve">method </w:t>
      </w:r>
      <w:r w:rsidRPr="00261EA3">
        <w:rPr>
          <w:lang w:val="en-GB"/>
        </w:rPr>
        <w:t xml:space="preserve">was successful adopted. In particular, </w:t>
      </w:r>
      <w:r w:rsidR="000B56E9">
        <w:rPr>
          <w:lang w:val="en-GB"/>
        </w:rPr>
        <w:t>depending on the ethanol content, it is possible to generate t</w:t>
      </w:r>
      <w:r w:rsidR="00A11678">
        <w:rPr>
          <w:lang w:val="en-GB"/>
        </w:rPr>
        <w:t>wo different PVDF-HFP structure</w:t>
      </w:r>
      <w:r w:rsidR="000B56E9">
        <w:rPr>
          <w:lang w:val="en-GB"/>
        </w:rPr>
        <w:t xml:space="preserve"> </w:t>
      </w:r>
      <w:r w:rsidR="00A11678">
        <w:rPr>
          <w:lang w:val="en-GB"/>
        </w:rPr>
        <w:t>morphologies</w:t>
      </w:r>
      <w:r w:rsidR="000B56E9">
        <w:rPr>
          <w:lang w:val="en-GB"/>
        </w:rPr>
        <w:t>. The first one, obtained at low ethanol content (i.e., 1% v/v)</w:t>
      </w:r>
      <w:r w:rsidR="005E3CF2">
        <w:rPr>
          <w:lang w:val="en-GB"/>
        </w:rPr>
        <w:t>,</w:t>
      </w:r>
      <w:r w:rsidR="000B56E9">
        <w:rPr>
          <w:lang w:val="en-GB"/>
        </w:rPr>
        <w:t xml:space="preserve"> allowed to generate microporous membranes characterized by </w:t>
      </w:r>
      <w:proofErr w:type="spellStart"/>
      <w:r w:rsidR="000B56E9">
        <w:rPr>
          <w:lang w:val="en-GB"/>
        </w:rPr>
        <w:t>nanoporous</w:t>
      </w:r>
      <w:proofErr w:type="spellEnd"/>
      <w:r w:rsidR="000B56E9">
        <w:rPr>
          <w:lang w:val="en-GB"/>
        </w:rPr>
        <w:t xml:space="preserve"> cells wall</w:t>
      </w:r>
      <w:r w:rsidR="005E3CF2">
        <w:rPr>
          <w:lang w:val="en-GB"/>
        </w:rPr>
        <w:t>s</w:t>
      </w:r>
      <w:r w:rsidR="000B56E9">
        <w:rPr>
          <w:lang w:val="en-GB"/>
        </w:rPr>
        <w:t>; the presence of low traces of ethanol slightly affected the SC-CO</w:t>
      </w:r>
      <w:r w:rsidR="000B56E9">
        <w:rPr>
          <w:vertAlign w:val="subscript"/>
          <w:lang w:val="en-GB"/>
        </w:rPr>
        <w:t>2</w:t>
      </w:r>
      <w:r w:rsidR="000B56E9">
        <w:rPr>
          <w:lang w:val="en-GB"/>
        </w:rPr>
        <w:t xml:space="preserve"> phase inversion process, overlapping a </w:t>
      </w:r>
      <w:proofErr w:type="spellStart"/>
      <w:r w:rsidR="000B56E9">
        <w:rPr>
          <w:lang w:val="en-GB"/>
        </w:rPr>
        <w:t>nanoporous</w:t>
      </w:r>
      <w:proofErr w:type="spellEnd"/>
      <w:r w:rsidR="000B56E9">
        <w:rPr>
          <w:lang w:val="en-GB"/>
        </w:rPr>
        <w:t xml:space="preserve"> morphology to the typical microporous one obtained for PVDF-HFP membranes. Increasing the amount of ethanol (i.e., </w:t>
      </w:r>
      <w:r w:rsidR="00A11678">
        <w:rPr>
          <w:lang w:val="en-GB"/>
        </w:rPr>
        <w:t>larger</w:t>
      </w:r>
      <w:r w:rsidR="000B56E9">
        <w:rPr>
          <w:lang w:val="en-GB"/>
        </w:rPr>
        <w:t xml:space="preserve"> than 20% v/v), the PVDF-HFP structure completely changed and an aerogel-like morphology (i.e., </w:t>
      </w:r>
      <w:proofErr w:type="spellStart"/>
      <w:r w:rsidR="000B56E9">
        <w:rPr>
          <w:lang w:val="en-GB"/>
        </w:rPr>
        <w:t>nanoporous</w:t>
      </w:r>
      <w:proofErr w:type="spellEnd"/>
      <w:r w:rsidR="000B56E9">
        <w:rPr>
          <w:lang w:val="en-GB"/>
        </w:rPr>
        <w:t xml:space="preserve">) was generated, even if a gelation/freezing step was not performed. This result is very </w:t>
      </w:r>
      <w:r w:rsidR="000B56E9" w:rsidRPr="000B56E9">
        <w:rPr>
          <w:lang w:val="en-GB"/>
        </w:rPr>
        <w:t>intriguing</w:t>
      </w:r>
      <w:r w:rsidR="000B56E9">
        <w:rPr>
          <w:lang w:val="en-GB"/>
        </w:rPr>
        <w:t xml:space="preserve"> since it is the first time that this kind of morphology </w:t>
      </w:r>
      <w:r w:rsidR="00A11678">
        <w:rPr>
          <w:lang w:val="en-GB"/>
        </w:rPr>
        <w:t xml:space="preserve">was obtained </w:t>
      </w:r>
      <w:r w:rsidR="000B56E9">
        <w:rPr>
          <w:lang w:val="en-GB"/>
        </w:rPr>
        <w:t>by a one-step procedure; for these reasons, this procedure</w:t>
      </w:r>
      <w:r w:rsidRPr="00261EA3">
        <w:rPr>
          <w:lang w:val="en-GB"/>
        </w:rPr>
        <w:t xml:space="preserve"> can be a relevant alternative for the production of PVDF-HFP microporous and/or </w:t>
      </w:r>
      <w:proofErr w:type="spellStart"/>
      <w:r w:rsidRPr="00261EA3">
        <w:rPr>
          <w:lang w:val="en-GB"/>
        </w:rPr>
        <w:t>nanoporous</w:t>
      </w:r>
      <w:proofErr w:type="spellEnd"/>
      <w:r w:rsidRPr="00261EA3">
        <w:rPr>
          <w:lang w:val="en-GB"/>
        </w:rPr>
        <w:t xml:space="preserve"> filters at industrial scale.</w:t>
      </w:r>
    </w:p>
    <w:p w:rsidR="000B56E9" w:rsidRDefault="00261EA3" w:rsidP="00261EA3">
      <w:pPr>
        <w:pStyle w:val="CETBodytext"/>
        <w:rPr>
          <w:lang w:val="en-GB"/>
        </w:rPr>
      </w:pPr>
      <w:r w:rsidRPr="00261EA3">
        <w:rPr>
          <w:lang w:val="en-GB"/>
        </w:rPr>
        <w:t xml:space="preserve">In perspective, PVDF-HFP membranes </w:t>
      </w:r>
      <w:r w:rsidR="000B56E9">
        <w:rPr>
          <w:lang w:val="en-GB"/>
        </w:rPr>
        <w:t>will</w:t>
      </w:r>
      <w:r w:rsidRPr="00261EA3">
        <w:rPr>
          <w:lang w:val="en-GB"/>
        </w:rPr>
        <w:t xml:space="preserve"> be tested on contaminated water, to verify they capability to entrap particles and the different performances related to the two morphologies can be determined in order to select the best filter solution.</w:t>
      </w:r>
    </w:p>
    <w:p w:rsidR="0008269E" w:rsidRDefault="0008269E" w:rsidP="00261EA3">
      <w:pPr>
        <w:pStyle w:val="CETBodytext"/>
        <w:rPr>
          <w:lang w:val="en-GB"/>
        </w:rPr>
      </w:pPr>
    </w:p>
    <w:p w:rsidR="0008269E" w:rsidRDefault="0008269E" w:rsidP="00261EA3">
      <w:pPr>
        <w:pStyle w:val="CETBodytext"/>
        <w:rPr>
          <w:lang w:val="en-GB"/>
        </w:rPr>
      </w:pPr>
    </w:p>
    <w:p w:rsidR="0008269E" w:rsidRDefault="0008269E" w:rsidP="00261EA3">
      <w:pPr>
        <w:pStyle w:val="CETBodytext"/>
        <w:rPr>
          <w:lang w:val="en-GB"/>
        </w:rPr>
      </w:pPr>
    </w:p>
    <w:p w:rsidR="00600535" w:rsidRPr="00B57B36" w:rsidRDefault="00600535" w:rsidP="0045643D">
      <w:pPr>
        <w:pStyle w:val="CETReference"/>
      </w:pPr>
      <w:bookmarkStart w:id="0" w:name="_GoBack"/>
      <w:bookmarkEnd w:id="0"/>
      <w:r w:rsidRPr="00B57B36">
        <w:lastRenderedPageBreak/>
        <w:t>References</w:t>
      </w:r>
    </w:p>
    <w:p w:rsidR="0045643D" w:rsidRPr="00261EA3" w:rsidRDefault="0045643D" w:rsidP="0045643D">
      <w:pPr>
        <w:pStyle w:val="CETBodytext"/>
        <w:ind w:left="284" w:hanging="284"/>
        <w:rPr>
          <w:lang w:val="en-GB"/>
        </w:rPr>
      </w:pPr>
      <w:r w:rsidRPr="00261EA3">
        <w:rPr>
          <w:lang w:val="en-GB"/>
        </w:rPr>
        <w:t>Baldino</w:t>
      </w:r>
      <w:r>
        <w:rPr>
          <w:lang w:val="en-GB"/>
        </w:rPr>
        <w:t xml:space="preserve"> </w:t>
      </w:r>
      <w:r w:rsidRPr="00261EA3">
        <w:rPr>
          <w:lang w:val="en-GB"/>
        </w:rPr>
        <w:t>L., Cardea</w:t>
      </w:r>
      <w:r>
        <w:rPr>
          <w:lang w:val="en-GB"/>
        </w:rPr>
        <w:t xml:space="preserve"> </w:t>
      </w:r>
      <w:r w:rsidRPr="00261EA3">
        <w:rPr>
          <w:lang w:val="en-GB"/>
        </w:rPr>
        <w:t>S., Reverchon</w:t>
      </w:r>
      <w:r>
        <w:rPr>
          <w:lang w:val="en-GB"/>
        </w:rPr>
        <w:t xml:space="preserve"> </w:t>
      </w:r>
      <w:r w:rsidRPr="00261EA3">
        <w:rPr>
          <w:lang w:val="en-GB"/>
        </w:rPr>
        <w:t xml:space="preserve">E., </w:t>
      </w:r>
      <w:r>
        <w:rPr>
          <w:lang w:val="en-GB"/>
        </w:rPr>
        <w:t xml:space="preserve">2015, </w:t>
      </w:r>
      <w:r w:rsidRPr="00261EA3">
        <w:rPr>
          <w:lang w:val="en-GB"/>
        </w:rPr>
        <w:t>Antimicrobial membranes produced by supercritical assisted phase inversion, Chemical Engineering Transactions</w:t>
      </w:r>
      <w:r>
        <w:rPr>
          <w:lang w:val="en-GB"/>
        </w:rPr>
        <w:t>,</w:t>
      </w:r>
      <w:r w:rsidRPr="00261EA3">
        <w:rPr>
          <w:lang w:val="en-GB"/>
        </w:rPr>
        <w:t xml:space="preserve"> 43</w:t>
      </w:r>
      <w:r>
        <w:rPr>
          <w:lang w:val="en-GB"/>
        </w:rPr>
        <w:t>,</w:t>
      </w:r>
      <w:r w:rsidRPr="00261EA3">
        <w:rPr>
          <w:lang w:val="en-GB"/>
        </w:rPr>
        <w:t xml:space="preserve"> 121-126.</w:t>
      </w:r>
    </w:p>
    <w:p w:rsidR="0045643D" w:rsidRPr="00261EA3" w:rsidRDefault="0045643D" w:rsidP="0045643D">
      <w:pPr>
        <w:pStyle w:val="CETBodytext"/>
        <w:ind w:left="284" w:hanging="284"/>
        <w:rPr>
          <w:lang w:val="en-GB"/>
        </w:rPr>
      </w:pPr>
      <w:r w:rsidRPr="00261EA3">
        <w:rPr>
          <w:lang w:val="en-GB"/>
        </w:rPr>
        <w:t>Cardea</w:t>
      </w:r>
      <w:r>
        <w:rPr>
          <w:lang w:val="en-GB"/>
        </w:rPr>
        <w:t xml:space="preserve"> </w:t>
      </w:r>
      <w:r w:rsidRPr="00261EA3">
        <w:rPr>
          <w:lang w:val="en-GB"/>
        </w:rPr>
        <w:t>S., Baldino</w:t>
      </w:r>
      <w:r>
        <w:rPr>
          <w:lang w:val="en-GB"/>
        </w:rPr>
        <w:t xml:space="preserve"> </w:t>
      </w:r>
      <w:r w:rsidRPr="00261EA3">
        <w:rPr>
          <w:lang w:val="en-GB"/>
        </w:rPr>
        <w:t>L., De Marco</w:t>
      </w:r>
      <w:r>
        <w:rPr>
          <w:lang w:val="en-GB"/>
        </w:rPr>
        <w:t xml:space="preserve"> </w:t>
      </w:r>
      <w:r w:rsidRPr="00261EA3">
        <w:rPr>
          <w:lang w:val="en-GB"/>
        </w:rPr>
        <w:t>I., Reverchon</w:t>
      </w:r>
      <w:r>
        <w:rPr>
          <w:lang w:val="en-GB"/>
        </w:rPr>
        <w:t xml:space="preserve"> </w:t>
      </w:r>
      <w:r w:rsidRPr="00261EA3">
        <w:rPr>
          <w:lang w:val="en-GB"/>
        </w:rPr>
        <w:t xml:space="preserve">E., </w:t>
      </w:r>
      <w:r>
        <w:rPr>
          <w:lang w:val="en-GB"/>
        </w:rPr>
        <w:t xml:space="preserve">2014, </w:t>
      </w:r>
      <w:r w:rsidRPr="00261EA3">
        <w:rPr>
          <w:lang w:val="en-GB"/>
        </w:rPr>
        <w:t xml:space="preserve">Generation of loaded </w:t>
      </w:r>
      <w:proofErr w:type="spellStart"/>
      <w:r w:rsidRPr="00261EA3">
        <w:rPr>
          <w:lang w:val="en-GB"/>
        </w:rPr>
        <w:t>pmma</w:t>
      </w:r>
      <w:proofErr w:type="spellEnd"/>
      <w:r w:rsidRPr="00261EA3">
        <w:rPr>
          <w:lang w:val="en-GB"/>
        </w:rPr>
        <w:t xml:space="preserve"> scaffolds using supercritical CO</w:t>
      </w:r>
      <w:r w:rsidRPr="00EE6F70">
        <w:rPr>
          <w:vertAlign w:val="subscript"/>
          <w:lang w:val="en-GB"/>
        </w:rPr>
        <w:t>2</w:t>
      </w:r>
      <w:r w:rsidRPr="00261EA3">
        <w:rPr>
          <w:lang w:val="en-GB"/>
        </w:rPr>
        <w:t xml:space="preserve"> assisted phase separation, Chemical Engineering Transactions</w:t>
      </w:r>
      <w:r>
        <w:rPr>
          <w:lang w:val="en-GB"/>
        </w:rPr>
        <w:t>,</w:t>
      </w:r>
      <w:r w:rsidRPr="00261EA3">
        <w:rPr>
          <w:lang w:val="en-GB"/>
        </w:rPr>
        <w:t xml:space="preserve"> 38</w:t>
      </w:r>
      <w:r>
        <w:rPr>
          <w:lang w:val="en-GB"/>
        </w:rPr>
        <w:t>,</w:t>
      </w:r>
      <w:r w:rsidRPr="00261EA3">
        <w:rPr>
          <w:lang w:val="en-GB"/>
        </w:rPr>
        <w:t xml:space="preserve"> 241-246.</w:t>
      </w:r>
    </w:p>
    <w:p w:rsidR="0045643D" w:rsidRDefault="0045643D" w:rsidP="0045643D">
      <w:pPr>
        <w:pStyle w:val="CETBodytext"/>
        <w:ind w:left="284" w:hanging="284"/>
        <w:rPr>
          <w:lang w:val="en-GB"/>
        </w:rPr>
      </w:pPr>
      <w:r w:rsidRPr="00261EA3">
        <w:rPr>
          <w:lang w:val="en-GB"/>
        </w:rPr>
        <w:t>Cardea</w:t>
      </w:r>
      <w:r>
        <w:rPr>
          <w:lang w:val="en-GB"/>
        </w:rPr>
        <w:t xml:space="preserve"> </w:t>
      </w:r>
      <w:r w:rsidRPr="00261EA3">
        <w:rPr>
          <w:lang w:val="en-GB"/>
        </w:rPr>
        <w:t>S., Baldino</w:t>
      </w:r>
      <w:r>
        <w:rPr>
          <w:lang w:val="en-GB"/>
        </w:rPr>
        <w:t xml:space="preserve"> </w:t>
      </w:r>
      <w:r w:rsidRPr="00261EA3">
        <w:rPr>
          <w:lang w:val="en-GB"/>
        </w:rPr>
        <w:t>L., Reverchon</w:t>
      </w:r>
      <w:r>
        <w:rPr>
          <w:lang w:val="en-GB"/>
        </w:rPr>
        <w:t xml:space="preserve"> </w:t>
      </w:r>
      <w:r w:rsidRPr="00261EA3">
        <w:rPr>
          <w:lang w:val="en-GB"/>
        </w:rPr>
        <w:t xml:space="preserve">E., </w:t>
      </w:r>
      <w:r>
        <w:rPr>
          <w:lang w:val="en-GB"/>
        </w:rPr>
        <w:t xml:space="preserve">2018, </w:t>
      </w:r>
      <w:r w:rsidRPr="00261EA3">
        <w:rPr>
          <w:lang w:val="en-GB"/>
        </w:rPr>
        <w:t>Comparative study of PVDF-HFP-curcumin porous structures produced by supe</w:t>
      </w:r>
      <w:r>
        <w:rPr>
          <w:lang w:val="en-GB"/>
        </w:rPr>
        <w:t xml:space="preserve">rcritical assisted processes, J </w:t>
      </w:r>
      <w:proofErr w:type="spellStart"/>
      <w:r>
        <w:rPr>
          <w:lang w:val="en-GB"/>
        </w:rPr>
        <w:t>Supercrit</w:t>
      </w:r>
      <w:proofErr w:type="spellEnd"/>
      <w:r w:rsidRPr="00261EA3">
        <w:rPr>
          <w:lang w:val="en-GB"/>
        </w:rPr>
        <w:t xml:space="preserve"> Fluids</w:t>
      </w:r>
      <w:r>
        <w:rPr>
          <w:lang w:val="en-GB"/>
        </w:rPr>
        <w:t>,</w:t>
      </w:r>
      <w:r w:rsidRPr="00261EA3">
        <w:rPr>
          <w:lang w:val="en-GB"/>
        </w:rPr>
        <w:t xml:space="preserve"> 133</w:t>
      </w:r>
      <w:r>
        <w:rPr>
          <w:lang w:val="en-GB"/>
        </w:rPr>
        <w:t>,</w:t>
      </w:r>
      <w:r w:rsidRPr="00261EA3">
        <w:rPr>
          <w:lang w:val="en-GB"/>
        </w:rPr>
        <w:t xml:space="preserve"> 270-277.</w:t>
      </w:r>
    </w:p>
    <w:p w:rsidR="00D30CA2" w:rsidRPr="00D30CA2" w:rsidRDefault="008920FE" w:rsidP="0045643D">
      <w:pPr>
        <w:pStyle w:val="CETBodytext"/>
        <w:ind w:left="284" w:hanging="284"/>
      </w:pPr>
      <w:r>
        <w:t xml:space="preserve">Cardea S., Gugliuzza A., </w:t>
      </w:r>
      <w:proofErr w:type="spellStart"/>
      <w:r>
        <w:t>Sessa</w:t>
      </w:r>
      <w:proofErr w:type="spellEnd"/>
      <w:r>
        <w:t xml:space="preserve"> M., </w:t>
      </w:r>
      <w:proofErr w:type="spellStart"/>
      <w:r>
        <w:t>Aceto</w:t>
      </w:r>
      <w:proofErr w:type="spellEnd"/>
      <w:r>
        <w:t xml:space="preserve"> M.C., </w:t>
      </w:r>
      <w:proofErr w:type="spellStart"/>
      <w:r>
        <w:t>Drioli</w:t>
      </w:r>
      <w:proofErr w:type="spellEnd"/>
      <w:r>
        <w:t xml:space="preserve"> E.,</w:t>
      </w:r>
      <w:r w:rsidR="00D30CA2" w:rsidRPr="00D30CA2">
        <w:t xml:space="preserve"> Reverchon E., 2009, Supercritical gel drying: A powerful tool for tailoring symmetric porous PVDF-HFP membranes</w:t>
      </w:r>
      <w:r w:rsidR="00D30CA2">
        <w:t xml:space="preserve">, </w:t>
      </w:r>
      <w:r w:rsidR="00D30CA2" w:rsidRPr="00D30CA2">
        <w:t>ACS Applied Materials and Interfaces</w:t>
      </w:r>
      <w:r w:rsidR="00D30CA2">
        <w:t>, 1, 171-180.</w:t>
      </w:r>
    </w:p>
    <w:p w:rsidR="00DC2BA4" w:rsidRPr="00DC2BA4" w:rsidRDefault="00DC2BA4" w:rsidP="0045643D">
      <w:pPr>
        <w:pStyle w:val="CETBodytext"/>
        <w:ind w:left="284" w:hanging="284"/>
      </w:pPr>
      <w:r w:rsidRPr="00DC2BA4">
        <w:t xml:space="preserve">Daniel C., Longo S., Cardea S., </w:t>
      </w:r>
      <w:proofErr w:type="spellStart"/>
      <w:r w:rsidRPr="00DC2BA4">
        <w:t>Vitillo</w:t>
      </w:r>
      <w:proofErr w:type="spellEnd"/>
      <w:r w:rsidRPr="00DC2BA4">
        <w:t xml:space="preserve"> J.G., Guerra G., Monolithic </w:t>
      </w:r>
      <w:proofErr w:type="spellStart"/>
      <w:r w:rsidRPr="00DC2BA4">
        <w:t>nanoporous</w:t>
      </w:r>
      <w:proofErr w:type="spellEnd"/>
      <w:r w:rsidRPr="00DC2BA4">
        <w:t>-crystalline aerogels based on PPO</w:t>
      </w:r>
      <w:r>
        <w:t>, RSC Adv, 2, 12011-12018.</w:t>
      </w:r>
    </w:p>
    <w:p w:rsidR="0045643D" w:rsidRPr="00261EA3" w:rsidRDefault="0045643D" w:rsidP="0045643D">
      <w:pPr>
        <w:pStyle w:val="CETBodytext"/>
        <w:ind w:left="284" w:hanging="284"/>
        <w:rPr>
          <w:lang w:val="en-GB"/>
        </w:rPr>
      </w:pPr>
      <w:r w:rsidRPr="00261EA3">
        <w:rPr>
          <w:lang w:val="en-GB"/>
        </w:rPr>
        <w:t>Kang G</w:t>
      </w:r>
      <w:r>
        <w:rPr>
          <w:lang w:val="en-GB"/>
        </w:rPr>
        <w:t>.</w:t>
      </w:r>
      <w:r w:rsidRPr="00261EA3">
        <w:rPr>
          <w:lang w:val="en-GB"/>
        </w:rPr>
        <w:t>-d</w:t>
      </w:r>
      <w:r>
        <w:rPr>
          <w:lang w:val="en-GB"/>
        </w:rPr>
        <w:t>.</w:t>
      </w:r>
      <w:r w:rsidRPr="00261EA3">
        <w:rPr>
          <w:lang w:val="en-GB"/>
        </w:rPr>
        <w:t>, Cao</w:t>
      </w:r>
      <w:r>
        <w:rPr>
          <w:lang w:val="en-GB"/>
        </w:rPr>
        <w:t xml:space="preserve"> </w:t>
      </w:r>
      <w:r w:rsidRPr="00261EA3">
        <w:rPr>
          <w:lang w:val="en-GB"/>
        </w:rPr>
        <w:t>Y</w:t>
      </w:r>
      <w:r>
        <w:rPr>
          <w:lang w:val="en-GB"/>
        </w:rPr>
        <w:t>.</w:t>
      </w:r>
      <w:r w:rsidRPr="00261EA3">
        <w:rPr>
          <w:lang w:val="en-GB"/>
        </w:rPr>
        <w:t>-m</w:t>
      </w:r>
      <w:r>
        <w:rPr>
          <w:lang w:val="en-GB"/>
        </w:rPr>
        <w:t>.</w:t>
      </w:r>
      <w:r w:rsidRPr="00261EA3">
        <w:rPr>
          <w:lang w:val="en-GB"/>
        </w:rPr>
        <w:t xml:space="preserve">, </w:t>
      </w:r>
      <w:r>
        <w:rPr>
          <w:lang w:val="en-GB"/>
        </w:rPr>
        <w:t xml:space="preserve">2014, </w:t>
      </w:r>
      <w:r w:rsidRPr="00261EA3">
        <w:rPr>
          <w:lang w:val="en-GB"/>
        </w:rPr>
        <w:t>Application and modification of poly(</w:t>
      </w:r>
      <w:proofErr w:type="spellStart"/>
      <w:r w:rsidRPr="00261EA3">
        <w:rPr>
          <w:lang w:val="en-GB"/>
        </w:rPr>
        <w:t>vinylidene</w:t>
      </w:r>
      <w:proofErr w:type="spellEnd"/>
      <w:r w:rsidRPr="00261EA3">
        <w:rPr>
          <w:lang w:val="en-GB"/>
        </w:rPr>
        <w:t xml:space="preserve"> fluoride) (PVDF)</w:t>
      </w:r>
      <w:r>
        <w:rPr>
          <w:lang w:val="en-GB"/>
        </w:rPr>
        <w:t xml:space="preserve"> </w:t>
      </w:r>
      <w:r w:rsidRPr="00261EA3">
        <w:rPr>
          <w:lang w:val="en-GB"/>
        </w:rPr>
        <w:t>membranes – A review, J</w:t>
      </w:r>
      <w:r>
        <w:rPr>
          <w:lang w:val="en-GB"/>
        </w:rPr>
        <w:t xml:space="preserve"> </w:t>
      </w:r>
      <w:proofErr w:type="spellStart"/>
      <w:r>
        <w:rPr>
          <w:lang w:val="en-GB"/>
        </w:rPr>
        <w:t>Membr</w:t>
      </w:r>
      <w:proofErr w:type="spellEnd"/>
      <w:r>
        <w:rPr>
          <w:lang w:val="en-GB"/>
        </w:rPr>
        <w:t xml:space="preserve"> </w:t>
      </w:r>
      <w:proofErr w:type="spellStart"/>
      <w:r>
        <w:rPr>
          <w:lang w:val="en-GB"/>
        </w:rPr>
        <w:t>Sci</w:t>
      </w:r>
      <w:proofErr w:type="spellEnd"/>
      <w:r>
        <w:rPr>
          <w:lang w:val="en-GB"/>
        </w:rPr>
        <w:t>, 463,</w:t>
      </w:r>
      <w:r w:rsidRPr="00261EA3">
        <w:rPr>
          <w:lang w:val="en-GB"/>
        </w:rPr>
        <w:t xml:space="preserve"> 145–165.</w:t>
      </w:r>
    </w:p>
    <w:p w:rsidR="0045643D" w:rsidRPr="00261EA3" w:rsidRDefault="0045643D" w:rsidP="0045643D">
      <w:pPr>
        <w:pStyle w:val="CETBodytext"/>
        <w:ind w:left="284" w:hanging="284"/>
        <w:rPr>
          <w:lang w:val="en-GB"/>
        </w:rPr>
      </w:pPr>
      <w:proofErr w:type="spellStart"/>
      <w:r w:rsidRPr="00261EA3">
        <w:rPr>
          <w:lang w:val="en-GB"/>
        </w:rPr>
        <w:t>Mansourizadeh</w:t>
      </w:r>
      <w:proofErr w:type="spellEnd"/>
      <w:r>
        <w:rPr>
          <w:lang w:val="en-GB"/>
        </w:rPr>
        <w:t xml:space="preserve"> </w:t>
      </w:r>
      <w:r w:rsidRPr="00261EA3">
        <w:rPr>
          <w:lang w:val="en-GB"/>
        </w:rPr>
        <w:t>A., Ismail</w:t>
      </w:r>
      <w:r>
        <w:rPr>
          <w:lang w:val="en-GB"/>
        </w:rPr>
        <w:t xml:space="preserve"> </w:t>
      </w:r>
      <w:r w:rsidRPr="00261EA3">
        <w:rPr>
          <w:lang w:val="en-GB"/>
        </w:rPr>
        <w:t>A.F., Matsuura</w:t>
      </w:r>
      <w:r>
        <w:rPr>
          <w:lang w:val="en-GB"/>
        </w:rPr>
        <w:t xml:space="preserve"> </w:t>
      </w:r>
      <w:r w:rsidRPr="00261EA3">
        <w:rPr>
          <w:lang w:val="en-GB"/>
        </w:rPr>
        <w:t xml:space="preserve">T., </w:t>
      </w:r>
      <w:r>
        <w:rPr>
          <w:lang w:val="en-GB"/>
        </w:rPr>
        <w:t xml:space="preserve">2010, </w:t>
      </w:r>
      <w:r w:rsidRPr="00261EA3">
        <w:rPr>
          <w:lang w:val="en-GB"/>
        </w:rPr>
        <w:t>Effect of operating conditions on the physical and chemical CO</w:t>
      </w:r>
      <w:r w:rsidRPr="00EE6F70">
        <w:rPr>
          <w:vertAlign w:val="subscript"/>
          <w:lang w:val="en-GB"/>
        </w:rPr>
        <w:t>2</w:t>
      </w:r>
      <w:r w:rsidRPr="00261EA3">
        <w:rPr>
          <w:lang w:val="en-GB"/>
        </w:rPr>
        <w:t xml:space="preserve"> absorption through the PVDF hol</w:t>
      </w:r>
      <w:r>
        <w:rPr>
          <w:lang w:val="en-GB"/>
        </w:rPr>
        <w:t xml:space="preserve">low </w:t>
      </w:r>
      <w:proofErr w:type="spellStart"/>
      <w:r>
        <w:rPr>
          <w:lang w:val="en-GB"/>
        </w:rPr>
        <w:t>fiber</w:t>
      </w:r>
      <w:proofErr w:type="spellEnd"/>
      <w:r>
        <w:rPr>
          <w:lang w:val="en-GB"/>
        </w:rPr>
        <w:t xml:space="preserve"> membrane contactor, J </w:t>
      </w:r>
      <w:proofErr w:type="spellStart"/>
      <w:r>
        <w:rPr>
          <w:lang w:val="en-GB"/>
        </w:rPr>
        <w:t>Membr</w:t>
      </w:r>
      <w:proofErr w:type="spellEnd"/>
      <w:r>
        <w:rPr>
          <w:lang w:val="en-GB"/>
        </w:rPr>
        <w:t xml:space="preserve"> </w:t>
      </w:r>
      <w:proofErr w:type="spellStart"/>
      <w:r>
        <w:rPr>
          <w:lang w:val="en-GB"/>
        </w:rPr>
        <w:t>Sci</w:t>
      </w:r>
      <w:proofErr w:type="spellEnd"/>
      <w:r>
        <w:rPr>
          <w:lang w:val="en-GB"/>
        </w:rPr>
        <w:t>,</w:t>
      </w:r>
      <w:r w:rsidRPr="00261EA3">
        <w:rPr>
          <w:lang w:val="en-GB"/>
        </w:rPr>
        <w:t xml:space="preserve"> 353</w:t>
      </w:r>
      <w:r>
        <w:rPr>
          <w:lang w:val="en-GB"/>
        </w:rPr>
        <w:t>,</w:t>
      </w:r>
      <w:r w:rsidRPr="00261EA3">
        <w:rPr>
          <w:lang w:val="en-GB"/>
        </w:rPr>
        <w:t xml:space="preserve"> 192-200.</w:t>
      </w:r>
    </w:p>
    <w:p w:rsidR="0045643D" w:rsidRPr="00261EA3" w:rsidRDefault="0045643D" w:rsidP="0045643D">
      <w:pPr>
        <w:pStyle w:val="CETBodytext"/>
        <w:ind w:left="284" w:hanging="284"/>
        <w:rPr>
          <w:lang w:val="en-GB"/>
        </w:rPr>
      </w:pPr>
      <w:proofErr w:type="spellStart"/>
      <w:r w:rsidRPr="00261EA3">
        <w:rPr>
          <w:lang w:val="en-GB"/>
        </w:rPr>
        <w:t>Nunes</w:t>
      </w:r>
      <w:proofErr w:type="spellEnd"/>
      <w:r w:rsidRPr="00261EA3">
        <w:rPr>
          <w:lang w:val="en-GB"/>
        </w:rPr>
        <w:t>-Pereira</w:t>
      </w:r>
      <w:r>
        <w:rPr>
          <w:lang w:val="en-GB"/>
        </w:rPr>
        <w:t xml:space="preserve"> </w:t>
      </w:r>
      <w:r w:rsidRPr="00261EA3">
        <w:rPr>
          <w:lang w:val="en-GB"/>
        </w:rPr>
        <w:t>J., Ribeiro</w:t>
      </w:r>
      <w:r>
        <w:rPr>
          <w:lang w:val="en-GB"/>
        </w:rPr>
        <w:t xml:space="preserve"> </w:t>
      </w:r>
      <w:r w:rsidRPr="00261EA3">
        <w:rPr>
          <w:lang w:val="en-GB"/>
        </w:rPr>
        <w:t>S., Ribeiro</w:t>
      </w:r>
      <w:r>
        <w:rPr>
          <w:lang w:val="en-GB"/>
        </w:rPr>
        <w:t xml:space="preserve"> </w:t>
      </w:r>
      <w:r w:rsidRPr="00261EA3">
        <w:rPr>
          <w:lang w:val="en-GB"/>
        </w:rPr>
        <w:t xml:space="preserve">C., </w:t>
      </w:r>
      <w:proofErr w:type="spellStart"/>
      <w:r w:rsidRPr="00261EA3">
        <w:rPr>
          <w:lang w:val="en-GB"/>
        </w:rPr>
        <w:t>Gombek</w:t>
      </w:r>
      <w:proofErr w:type="spellEnd"/>
      <w:r>
        <w:rPr>
          <w:lang w:val="en-GB"/>
        </w:rPr>
        <w:t xml:space="preserve"> </w:t>
      </w:r>
      <w:r w:rsidRPr="00261EA3">
        <w:rPr>
          <w:lang w:val="en-GB"/>
        </w:rPr>
        <w:t>C.J., Gama</w:t>
      </w:r>
      <w:r>
        <w:rPr>
          <w:lang w:val="en-GB"/>
        </w:rPr>
        <w:t xml:space="preserve"> </w:t>
      </w:r>
      <w:r w:rsidRPr="00261EA3">
        <w:rPr>
          <w:lang w:val="en-GB"/>
        </w:rPr>
        <w:t>F.M., Gomes</w:t>
      </w:r>
      <w:r>
        <w:rPr>
          <w:lang w:val="en-GB"/>
        </w:rPr>
        <w:t xml:space="preserve"> </w:t>
      </w:r>
      <w:r w:rsidRPr="00261EA3">
        <w:rPr>
          <w:lang w:val="en-GB"/>
        </w:rPr>
        <w:t>A.C., Patterson</w:t>
      </w:r>
      <w:r>
        <w:rPr>
          <w:lang w:val="en-GB"/>
        </w:rPr>
        <w:t xml:space="preserve"> </w:t>
      </w:r>
      <w:r w:rsidRPr="00261EA3">
        <w:rPr>
          <w:lang w:val="en-GB"/>
        </w:rPr>
        <w:t xml:space="preserve">D.A., </w:t>
      </w:r>
      <w:proofErr w:type="spellStart"/>
      <w:r w:rsidRPr="00261EA3">
        <w:rPr>
          <w:lang w:val="en-GB"/>
        </w:rPr>
        <w:t>Lanceros</w:t>
      </w:r>
      <w:proofErr w:type="spellEnd"/>
      <w:r w:rsidRPr="00261EA3">
        <w:rPr>
          <w:lang w:val="en-GB"/>
        </w:rPr>
        <w:t>-Méndez</w:t>
      </w:r>
      <w:r>
        <w:rPr>
          <w:lang w:val="en-GB"/>
        </w:rPr>
        <w:t xml:space="preserve"> </w:t>
      </w:r>
      <w:r w:rsidRPr="00261EA3">
        <w:rPr>
          <w:lang w:val="en-GB"/>
        </w:rPr>
        <w:t xml:space="preserve">S., </w:t>
      </w:r>
      <w:r>
        <w:rPr>
          <w:lang w:val="en-GB"/>
        </w:rPr>
        <w:t xml:space="preserve">2015, </w:t>
      </w:r>
      <w:r w:rsidRPr="00261EA3">
        <w:rPr>
          <w:lang w:val="en-GB"/>
        </w:rPr>
        <w:t>Poly(</w:t>
      </w:r>
      <w:proofErr w:type="spellStart"/>
      <w:r w:rsidRPr="00261EA3">
        <w:rPr>
          <w:lang w:val="en-GB"/>
        </w:rPr>
        <w:t>vinylidene</w:t>
      </w:r>
      <w:proofErr w:type="spellEnd"/>
      <w:r w:rsidRPr="00261EA3">
        <w:rPr>
          <w:lang w:val="en-GB"/>
        </w:rPr>
        <w:t xml:space="preserve"> fluoride) and copolymers as porous membranes for tissue engineering applications, Polymer Testing</w:t>
      </w:r>
      <w:r>
        <w:rPr>
          <w:lang w:val="en-GB"/>
        </w:rPr>
        <w:t>,</w:t>
      </w:r>
      <w:r w:rsidRPr="00261EA3">
        <w:rPr>
          <w:lang w:val="en-GB"/>
        </w:rPr>
        <w:t xml:space="preserve"> 44</w:t>
      </w:r>
      <w:r>
        <w:rPr>
          <w:lang w:val="en-GB"/>
        </w:rPr>
        <w:t>,</w:t>
      </w:r>
      <w:r w:rsidRPr="00261EA3">
        <w:rPr>
          <w:lang w:val="en-GB"/>
        </w:rPr>
        <w:t xml:space="preserve"> 234-241.</w:t>
      </w:r>
    </w:p>
    <w:p w:rsidR="0045643D" w:rsidRPr="00261EA3" w:rsidRDefault="0045643D" w:rsidP="0045643D">
      <w:pPr>
        <w:pStyle w:val="CETBodytext"/>
        <w:ind w:left="284" w:hanging="284"/>
        <w:rPr>
          <w:lang w:val="en-GB"/>
        </w:rPr>
      </w:pPr>
      <w:r w:rsidRPr="00261EA3">
        <w:rPr>
          <w:lang w:val="en-GB"/>
        </w:rPr>
        <w:t>Reverchon</w:t>
      </w:r>
      <w:r>
        <w:rPr>
          <w:lang w:val="en-GB"/>
        </w:rPr>
        <w:t xml:space="preserve"> </w:t>
      </w:r>
      <w:r w:rsidRPr="00261EA3">
        <w:rPr>
          <w:lang w:val="en-GB"/>
        </w:rPr>
        <w:t>E., Cardea</w:t>
      </w:r>
      <w:r>
        <w:rPr>
          <w:lang w:val="en-GB"/>
        </w:rPr>
        <w:t xml:space="preserve"> </w:t>
      </w:r>
      <w:r w:rsidRPr="00261EA3">
        <w:rPr>
          <w:lang w:val="en-GB"/>
        </w:rPr>
        <w:t>S.,</w:t>
      </w:r>
      <w:r w:rsidR="00BE22E6">
        <w:rPr>
          <w:lang w:val="en-GB"/>
        </w:rPr>
        <w:t xml:space="preserve"> </w:t>
      </w:r>
      <w:proofErr w:type="spellStart"/>
      <w:r w:rsidR="00BE22E6">
        <w:rPr>
          <w:lang w:val="en-GB"/>
        </w:rPr>
        <w:t>Rapuano</w:t>
      </w:r>
      <w:proofErr w:type="spellEnd"/>
      <w:r w:rsidR="00BE22E6">
        <w:rPr>
          <w:lang w:val="en-GB"/>
        </w:rPr>
        <w:t xml:space="preserve"> C.,</w:t>
      </w:r>
      <w:r w:rsidRPr="00261EA3">
        <w:rPr>
          <w:lang w:val="en-GB"/>
        </w:rPr>
        <w:t xml:space="preserve"> </w:t>
      </w:r>
      <w:r>
        <w:rPr>
          <w:lang w:val="en-GB"/>
        </w:rPr>
        <w:t>200</w:t>
      </w:r>
      <w:r w:rsidR="00BE22E6">
        <w:rPr>
          <w:lang w:val="en-GB"/>
        </w:rPr>
        <w:t>7</w:t>
      </w:r>
      <w:r>
        <w:rPr>
          <w:lang w:val="en-GB"/>
        </w:rPr>
        <w:t xml:space="preserve">, </w:t>
      </w:r>
      <w:r w:rsidR="00BE22E6" w:rsidRPr="00BE22E6">
        <w:rPr>
          <w:lang w:val="en-GB"/>
        </w:rPr>
        <w:t>Formation of poly-vinyl-alcohol structures by supercritical CO</w:t>
      </w:r>
      <w:r w:rsidR="00BE22E6" w:rsidRPr="00BE22E6">
        <w:rPr>
          <w:vertAlign w:val="subscript"/>
          <w:lang w:val="en-GB"/>
        </w:rPr>
        <w:t>2</w:t>
      </w:r>
      <w:r>
        <w:rPr>
          <w:lang w:val="en-GB"/>
        </w:rPr>
        <w:t xml:space="preserve">, </w:t>
      </w:r>
      <w:r w:rsidR="00BE22E6" w:rsidRPr="00BE22E6">
        <w:rPr>
          <w:lang w:val="en-GB"/>
        </w:rPr>
        <w:t>Journal of Applied Polymer Science</w:t>
      </w:r>
      <w:r>
        <w:rPr>
          <w:lang w:val="en-GB"/>
        </w:rPr>
        <w:t>,</w:t>
      </w:r>
      <w:r w:rsidRPr="00261EA3">
        <w:rPr>
          <w:lang w:val="en-GB"/>
        </w:rPr>
        <w:t xml:space="preserve"> </w:t>
      </w:r>
      <w:r w:rsidR="00BE22E6">
        <w:rPr>
          <w:lang w:val="en-GB"/>
        </w:rPr>
        <w:t>104</w:t>
      </w:r>
      <w:r>
        <w:rPr>
          <w:lang w:val="en-GB"/>
        </w:rPr>
        <w:t>,</w:t>
      </w:r>
      <w:r w:rsidRPr="00261EA3">
        <w:rPr>
          <w:lang w:val="en-GB"/>
        </w:rPr>
        <w:t xml:space="preserve"> </w:t>
      </w:r>
      <w:r w:rsidR="00BE22E6">
        <w:rPr>
          <w:lang w:val="en-GB"/>
        </w:rPr>
        <w:t>3151</w:t>
      </w:r>
      <w:r w:rsidRPr="00261EA3">
        <w:rPr>
          <w:lang w:val="en-GB"/>
        </w:rPr>
        <w:t>-</w:t>
      </w:r>
      <w:r w:rsidR="00BE22E6">
        <w:rPr>
          <w:lang w:val="en-GB"/>
        </w:rPr>
        <w:t>3160</w:t>
      </w:r>
      <w:r w:rsidRPr="00261EA3">
        <w:rPr>
          <w:lang w:val="en-GB"/>
        </w:rPr>
        <w:t>.</w:t>
      </w:r>
    </w:p>
    <w:p w:rsidR="0045643D" w:rsidRDefault="0045643D" w:rsidP="0045643D">
      <w:pPr>
        <w:pStyle w:val="CETBodytext"/>
        <w:ind w:left="284" w:hanging="284"/>
        <w:rPr>
          <w:lang w:val="en-GB"/>
        </w:rPr>
      </w:pPr>
      <w:r w:rsidRPr="00261EA3">
        <w:rPr>
          <w:lang w:val="en-GB"/>
        </w:rPr>
        <w:t>Reverchon</w:t>
      </w:r>
      <w:r>
        <w:rPr>
          <w:lang w:val="en-GB"/>
        </w:rPr>
        <w:t xml:space="preserve"> </w:t>
      </w:r>
      <w:r w:rsidRPr="00261EA3">
        <w:rPr>
          <w:lang w:val="en-GB"/>
        </w:rPr>
        <w:t>E., Cardea</w:t>
      </w:r>
      <w:r>
        <w:rPr>
          <w:lang w:val="en-GB"/>
        </w:rPr>
        <w:t xml:space="preserve"> </w:t>
      </w:r>
      <w:r w:rsidRPr="00261EA3">
        <w:rPr>
          <w:lang w:val="en-GB"/>
        </w:rPr>
        <w:t xml:space="preserve">S., </w:t>
      </w:r>
      <w:r>
        <w:rPr>
          <w:lang w:val="en-GB"/>
        </w:rPr>
        <w:t xml:space="preserve">2006, </w:t>
      </w:r>
      <w:r w:rsidRPr="00261EA3">
        <w:rPr>
          <w:lang w:val="en-GB"/>
        </w:rPr>
        <w:t>PVDF−HFP Membrane Formation by Supercritical CO</w:t>
      </w:r>
      <w:r w:rsidRPr="00EE6F70">
        <w:rPr>
          <w:vertAlign w:val="subscript"/>
          <w:lang w:val="en-GB"/>
        </w:rPr>
        <w:t>2</w:t>
      </w:r>
      <w:r w:rsidRPr="00261EA3">
        <w:rPr>
          <w:lang w:val="en-GB"/>
        </w:rPr>
        <w:t xml:space="preserve"> Processing: Elucidati</w:t>
      </w:r>
      <w:r>
        <w:rPr>
          <w:lang w:val="en-GB"/>
        </w:rPr>
        <w:t xml:space="preserve">on of Formation Mechanisms, </w:t>
      </w:r>
      <w:proofErr w:type="spellStart"/>
      <w:r>
        <w:rPr>
          <w:lang w:val="en-GB"/>
        </w:rPr>
        <w:t>Ind</w:t>
      </w:r>
      <w:proofErr w:type="spellEnd"/>
      <w:r>
        <w:rPr>
          <w:lang w:val="en-GB"/>
        </w:rPr>
        <w:t xml:space="preserve"> </w:t>
      </w:r>
      <w:proofErr w:type="spellStart"/>
      <w:r>
        <w:rPr>
          <w:lang w:val="en-GB"/>
        </w:rPr>
        <w:t>Eng</w:t>
      </w:r>
      <w:proofErr w:type="spellEnd"/>
      <w:r>
        <w:rPr>
          <w:lang w:val="en-GB"/>
        </w:rPr>
        <w:t xml:space="preserve"> </w:t>
      </w:r>
      <w:proofErr w:type="spellStart"/>
      <w:r>
        <w:rPr>
          <w:lang w:val="en-GB"/>
        </w:rPr>
        <w:t>Chem</w:t>
      </w:r>
      <w:proofErr w:type="spellEnd"/>
      <w:r>
        <w:rPr>
          <w:lang w:val="en-GB"/>
        </w:rPr>
        <w:t xml:space="preserve"> Res,</w:t>
      </w:r>
      <w:r w:rsidRPr="00261EA3">
        <w:rPr>
          <w:lang w:val="en-GB"/>
        </w:rPr>
        <w:t xml:space="preserve"> 45</w:t>
      </w:r>
      <w:r>
        <w:rPr>
          <w:lang w:val="en-GB"/>
        </w:rPr>
        <w:t>,</w:t>
      </w:r>
      <w:r w:rsidRPr="00261EA3">
        <w:rPr>
          <w:lang w:val="en-GB"/>
        </w:rPr>
        <w:t xml:space="preserve"> 8939-8945.</w:t>
      </w:r>
    </w:p>
    <w:p w:rsidR="00261EA3" w:rsidRPr="00261EA3" w:rsidRDefault="00261EA3" w:rsidP="0045643D">
      <w:pPr>
        <w:pStyle w:val="CETBodytext"/>
        <w:ind w:left="284" w:hanging="284"/>
        <w:rPr>
          <w:lang w:val="en-GB"/>
        </w:rPr>
      </w:pPr>
      <w:r w:rsidRPr="00261EA3">
        <w:rPr>
          <w:lang w:val="en-GB"/>
        </w:rPr>
        <w:t>Tao</w:t>
      </w:r>
      <w:r w:rsidR="000970EA">
        <w:rPr>
          <w:lang w:val="en-GB"/>
        </w:rPr>
        <w:t xml:space="preserve"> </w:t>
      </w:r>
      <w:r w:rsidR="000970EA" w:rsidRPr="00261EA3">
        <w:rPr>
          <w:lang w:val="en-GB"/>
        </w:rPr>
        <w:t>M.</w:t>
      </w:r>
      <w:r w:rsidRPr="00261EA3">
        <w:rPr>
          <w:lang w:val="en-GB"/>
        </w:rPr>
        <w:t xml:space="preserve">, </w:t>
      </w:r>
      <w:proofErr w:type="spellStart"/>
      <w:r w:rsidRPr="00261EA3">
        <w:rPr>
          <w:lang w:val="en-GB"/>
        </w:rPr>
        <w:t>Xue</w:t>
      </w:r>
      <w:proofErr w:type="spellEnd"/>
      <w:r w:rsidR="000970EA">
        <w:rPr>
          <w:lang w:val="en-GB"/>
        </w:rPr>
        <w:t xml:space="preserve"> </w:t>
      </w:r>
      <w:r w:rsidR="000970EA" w:rsidRPr="00261EA3">
        <w:rPr>
          <w:lang w:val="en-GB"/>
        </w:rPr>
        <w:t>L.</w:t>
      </w:r>
      <w:r w:rsidRPr="00261EA3">
        <w:rPr>
          <w:lang w:val="en-GB"/>
        </w:rPr>
        <w:t>, Liu</w:t>
      </w:r>
      <w:r w:rsidR="000970EA">
        <w:rPr>
          <w:lang w:val="en-GB"/>
        </w:rPr>
        <w:t xml:space="preserve"> </w:t>
      </w:r>
      <w:r w:rsidR="000970EA" w:rsidRPr="00261EA3">
        <w:rPr>
          <w:lang w:val="en-GB"/>
        </w:rPr>
        <w:t>F.</w:t>
      </w:r>
      <w:r w:rsidRPr="00261EA3">
        <w:rPr>
          <w:lang w:val="en-GB"/>
        </w:rPr>
        <w:t>, Jiang</w:t>
      </w:r>
      <w:r w:rsidR="000970EA">
        <w:rPr>
          <w:lang w:val="en-GB"/>
        </w:rPr>
        <w:t xml:space="preserve"> </w:t>
      </w:r>
      <w:r w:rsidR="000970EA" w:rsidRPr="00261EA3">
        <w:rPr>
          <w:lang w:val="en-GB"/>
        </w:rPr>
        <w:t>L.</w:t>
      </w:r>
      <w:r w:rsidRPr="00261EA3">
        <w:rPr>
          <w:lang w:val="en-GB"/>
        </w:rPr>
        <w:t xml:space="preserve">, </w:t>
      </w:r>
      <w:r w:rsidR="00594CC1">
        <w:rPr>
          <w:lang w:val="en-GB"/>
        </w:rPr>
        <w:t xml:space="preserve">2014, </w:t>
      </w:r>
      <w:r w:rsidRPr="00261EA3">
        <w:rPr>
          <w:lang w:val="en-GB"/>
        </w:rPr>
        <w:t xml:space="preserve">An intelligent </w:t>
      </w:r>
      <w:proofErr w:type="spellStart"/>
      <w:r w:rsidRPr="00261EA3">
        <w:rPr>
          <w:lang w:val="en-GB"/>
        </w:rPr>
        <w:t>superwetting</w:t>
      </w:r>
      <w:proofErr w:type="spellEnd"/>
      <w:r w:rsidRPr="00261EA3">
        <w:rPr>
          <w:lang w:val="en-GB"/>
        </w:rPr>
        <w:t xml:space="preserve"> PVDF membrane showing switchable transport performance for oil/water </w:t>
      </w:r>
      <w:r w:rsidR="00594CC1">
        <w:rPr>
          <w:lang w:val="en-GB"/>
        </w:rPr>
        <w:t>separation, Adv Mater</w:t>
      </w:r>
      <w:r w:rsidR="008E108A">
        <w:rPr>
          <w:lang w:val="en-GB"/>
        </w:rPr>
        <w:t>,</w:t>
      </w:r>
      <w:r w:rsidR="00594CC1">
        <w:rPr>
          <w:lang w:val="en-GB"/>
        </w:rPr>
        <w:t xml:space="preserve"> 26</w:t>
      </w:r>
      <w:r w:rsidR="008E108A">
        <w:rPr>
          <w:lang w:val="en-GB"/>
        </w:rPr>
        <w:t>,</w:t>
      </w:r>
      <w:r w:rsidRPr="00261EA3">
        <w:rPr>
          <w:lang w:val="en-GB"/>
        </w:rPr>
        <w:t xml:space="preserve"> 2943-2948.</w:t>
      </w:r>
    </w:p>
    <w:p w:rsidR="00261EA3" w:rsidRDefault="00261EA3" w:rsidP="0045643D">
      <w:pPr>
        <w:pStyle w:val="CETBodytext"/>
        <w:ind w:left="284" w:hanging="284"/>
        <w:rPr>
          <w:lang w:val="en-GB"/>
        </w:rPr>
      </w:pPr>
      <w:proofErr w:type="spellStart"/>
      <w:r w:rsidRPr="00261EA3">
        <w:rPr>
          <w:lang w:val="en-GB"/>
        </w:rPr>
        <w:t>Tsivintzelis</w:t>
      </w:r>
      <w:proofErr w:type="spellEnd"/>
      <w:r w:rsidR="000970EA">
        <w:rPr>
          <w:lang w:val="en-GB"/>
        </w:rPr>
        <w:t xml:space="preserve"> </w:t>
      </w:r>
      <w:r w:rsidR="000970EA" w:rsidRPr="00261EA3">
        <w:rPr>
          <w:lang w:val="en-GB"/>
        </w:rPr>
        <w:t>I.</w:t>
      </w:r>
      <w:r w:rsidRPr="00261EA3">
        <w:rPr>
          <w:lang w:val="en-GB"/>
        </w:rPr>
        <w:t xml:space="preserve">, </w:t>
      </w:r>
      <w:proofErr w:type="spellStart"/>
      <w:r w:rsidRPr="00261EA3">
        <w:rPr>
          <w:lang w:val="en-GB"/>
        </w:rPr>
        <w:t>Marras</w:t>
      </w:r>
      <w:proofErr w:type="spellEnd"/>
      <w:r w:rsidR="000970EA">
        <w:rPr>
          <w:lang w:val="en-GB"/>
        </w:rPr>
        <w:t xml:space="preserve"> </w:t>
      </w:r>
      <w:r w:rsidR="000970EA" w:rsidRPr="00261EA3">
        <w:rPr>
          <w:lang w:val="en-GB"/>
        </w:rPr>
        <w:t>S.I.</w:t>
      </w:r>
      <w:r w:rsidRPr="00261EA3">
        <w:rPr>
          <w:lang w:val="en-GB"/>
        </w:rPr>
        <w:t xml:space="preserve">, </w:t>
      </w:r>
      <w:proofErr w:type="spellStart"/>
      <w:r w:rsidRPr="00261EA3">
        <w:rPr>
          <w:lang w:val="en-GB"/>
        </w:rPr>
        <w:t>Zuburtikudis</w:t>
      </w:r>
      <w:proofErr w:type="spellEnd"/>
      <w:r w:rsidR="000970EA">
        <w:rPr>
          <w:lang w:val="en-GB"/>
        </w:rPr>
        <w:t xml:space="preserve"> </w:t>
      </w:r>
      <w:r w:rsidR="000970EA" w:rsidRPr="00261EA3">
        <w:rPr>
          <w:lang w:val="en-GB"/>
        </w:rPr>
        <w:t>I.</w:t>
      </w:r>
      <w:r w:rsidRPr="00261EA3">
        <w:rPr>
          <w:lang w:val="en-GB"/>
        </w:rPr>
        <w:t>, Panayiotou</w:t>
      </w:r>
      <w:r w:rsidR="000970EA">
        <w:rPr>
          <w:lang w:val="en-GB"/>
        </w:rPr>
        <w:t xml:space="preserve"> </w:t>
      </w:r>
      <w:r w:rsidR="000970EA" w:rsidRPr="00261EA3">
        <w:rPr>
          <w:lang w:val="en-GB"/>
        </w:rPr>
        <w:t>C.</w:t>
      </w:r>
      <w:r w:rsidRPr="00261EA3">
        <w:rPr>
          <w:lang w:val="en-GB"/>
        </w:rPr>
        <w:t xml:space="preserve">, </w:t>
      </w:r>
      <w:r w:rsidR="009426F9">
        <w:rPr>
          <w:lang w:val="en-GB"/>
        </w:rPr>
        <w:t xml:space="preserve">2007, </w:t>
      </w:r>
      <w:r w:rsidRPr="00261EA3">
        <w:rPr>
          <w:lang w:val="en-GB"/>
        </w:rPr>
        <w:t>Porous poly (l-lactic acid) nanocomposite scaffolds prepared by phase inversion using supercritical CO</w:t>
      </w:r>
      <w:r w:rsidRPr="00EE6F70">
        <w:rPr>
          <w:vertAlign w:val="subscript"/>
          <w:lang w:val="en-GB"/>
        </w:rPr>
        <w:t>2</w:t>
      </w:r>
      <w:r w:rsidRPr="00261EA3">
        <w:rPr>
          <w:lang w:val="en-GB"/>
        </w:rPr>
        <w:t xml:space="preserve"> as </w:t>
      </w:r>
      <w:proofErr w:type="spellStart"/>
      <w:r w:rsidRPr="00261EA3">
        <w:rPr>
          <w:lang w:val="en-GB"/>
        </w:rPr>
        <w:t>antisolvent</w:t>
      </w:r>
      <w:proofErr w:type="spellEnd"/>
      <w:r w:rsidRPr="00261EA3">
        <w:rPr>
          <w:lang w:val="en-GB"/>
        </w:rPr>
        <w:t>, Polymer</w:t>
      </w:r>
      <w:r w:rsidR="008E108A">
        <w:rPr>
          <w:lang w:val="en-GB"/>
        </w:rPr>
        <w:t>,</w:t>
      </w:r>
      <w:r w:rsidRPr="00261EA3">
        <w:rPr>
          <w:lang w:val="en-GB"/>
        </w:rPr>
        <w:t xml:space="preserve"> 48</w:t>
      </w:r>
      <w:r w:rsidR="008E108A">
        <w:rPr>
          <w:lang w:val="en-GB"/>
        </w:rPr>
        <w:t>,</w:t>
      </w:r>
      <w:r w:rsidRPr="00261EA3">
        <w:rPr>
          <w:lang w:val="en-GB"/>
        </w:rPr>
        <w:t xml:space="preserve"> 6311-6318.</w:t>
      </w:r>
    </w:p>
    <w:p w:rsidR="0045643D" w:rsidRPr="00261EA3" w:rsidRDefault="0045643D" w:rsidP="0045643D">
      <w:pPr>
        <w:pStyle w:val="CETBodytext"/>
        <w:ind w:left="284" w:hanging="284"/>
        <w:rPr>
          <w:lang w:val="en-GB"/>
        </w:rPr>
      </w:pPr>
      <w:r w:rsidRPr="00261EA3">
        <w:rPr>
          <w:lang w:val="en-GB"/>
        </w:rPr>
        <w:t>Yang</w:t>
      </w:r>
      <w:r>
        <w:rPr>
          <w:lang w:val="en-GB"/>
        </w:rPr>
        <w:t xml:space="preserve"> </w:t>
      </w:r>
      <w:r w:rsidRPr="00261EA3">
        <w:rPr>
          <w:lang w:val="en-GB"/>
        </w:rPr>
        <w:t>X., Wang</w:t>
      </w:r>
      <w:r>
        <w:rPr>
          <w:lang w:val="en-GB"/>
        </w:rPr>
        <w:t xml:space="preserve"> </w:t>
      </w:r>
      <w:r w:rsidRPr="00261EA3">
        <w:rPr>
          <w:lang w:val="en-GB"/>
        </w:rPr>
        <w:t>R., Shi</w:t>
      </w:r>
      <w:r>
        <w:rPr>
          <w:lang w:val="en-GB"/>
        </w:rPr>
        <w:t xml:space="preserve"> </w:t>
      </w:r>
      <w:r w:rsidRPr="00261EA3">
        <w:rPr>
          <w:lang w:val="en-GB"/>
        </w:rPr>
        <w:t>L., Fane</w:t>
      </w:r>
      <w:r>
        <w:rPr>
          <w:lang w:val="en-GB"/>
        </w:rPr>
        <w:t xml:space="preserve"> </w:t>
      </w:r>
      <w:r w:rsidRPr="00261EA3">
        <w:rPr>
          <w:lang w:val="en-GB"/>
        </w:rPr>
        <w:t xml:space="preserve">A.G., </w:t>
      </w:r>
      <w:proofErr w:type="spellStart"/>
      <w:r w:rsidRPr="00261EA3">
        <w:rPr>
          <w:lang w:val="en-GB"/>
        </w:rPr>
        <w:t>Debowski</w:t>
      </w:r>
      <w:proofErr w:type="spellEnd"/>
      <w:r>
        <w:rPr>
          <w:lang w:val="en-GB"/>
        </w:rPr>
        <w:t xml:space="preserve"> </w:t>
      </w:r>
      <w:r w:rsidRPr="00261EA3">
        <w:rPr>
          <w:lang w:val="en-GB"/>
        </w:rPr>
        <w:t xml:space="preserve">M., </w:t>
      </w:r>
      <w:r>
        <w:rPr>
          <w:lang w:val="en-GB"/>
        </w:rPr>
        <w:t xml:space="preserve">2011, </w:t>
      </w:r>
      <w:r w:rsidRPr="00261EA3">
        <w:rPr>
          <w:lang w:val="en-GB"/>
        </w:rPr>
        <w:t xml:space="preserve">Performance improvement of PVDF hollow </w:t>
      </w:r>
      <w:proofErr w:type="spellStart"/>
      <w:r w:rsidRPr="00261EA3">
        <w:rPr>
          <w:lang w:val="en-GB"/>
        </w:rPr>
        <w:t>fiber</w:t>
      </w:r>
      <w:proofErr w:type="spellEnd"/>
      <w:r w:rsidRPr="00261EA3">
        <w:rPr>
          <w:lang w:val="en-GB"/>
        </w:rPr>
        <w:t>-based membrane distillation pr</w:t>
      </w:r>
      <w:r>
        <w:rPr>
          <w:lang w:val="en-GB"/>
        </w:rPr>
        <w:t xml:space="preserve">ocess, J </w:t>
      </w:r>
      <w:proofErr w:type="spellStart"/>
      <w:r>
        <w:rPr>
          <w:lang w:val="en-GB"/>
        </w:rPr>
        <w:t>Membr</w:t>
      </w:r>
      <w:proofErr w:type="spellEnd"/>
      <w:r>
        <w:rPr>
          <w:lang w:val="en-GB"/>
        </w:rPr>
        <w:t xml:space="preserve"> </w:t>
      </w:r>
      <w:proofErr w:type="spellStart"/>
      <w:r>
        <w:rPr>
          <w:lang w:val="en-GB"/>
        </w:rPr>
        <w:t>Sci</w:t>
      </w:r>
      <w:proofErr w:type="spellEnd"/>
      <w:r>
        <w:rPr>
          <w:lang w:val="en-GB"/>
        </w:rPr>
        <w:t>, 369,</w:t>
      </w:r>
      <w:r w:rsidRPr="00261EA3">
        <w:rPr>
          <w:lang w:val="en-GB"/>
        </w:rPr>
        <w:t xml:space="preserve"> 437-447.</w:t>
      </w:r>
    </w:p>
    <w:sectPr w:rsidR="0045643D" w:rsidRPr="00261EA3"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81" w:rsidRDefault="00CC0E81" w:rsidP="004F5E36">
      <w:r>
        <w:separator/>
      </w:r>
    </w:p>
  </w:endnote>
  <w:endnote w:type="continuationSeparator" w:id="0">
    <w:p w:rsidR="00CC0E81" w:rsidRDefault="00CC0E8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81" w:rsidRDefault="00CC0E81" w:rsidP="004F5E36">
      <w:r>
        <w:separator/>
      </w:r>
    </w:p>
  </w:footnote>
  <w:footnote w:type="continuationSeparator" w:id="0">
    <w:p w:rsidR="00CC0E81" w:rsidRDefault="00CC0E81"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2E91D55"/>
    <w:multiLevelType w:val="hybridMultilevel"/>
    <w:tmpl w:val="FBE629B2"/>
    <w:lvl w:ilvl="0" w:tplc="EB189984">
      <w:start w:val="1"/>
      <w:numFmt w:val="bullet"/>
      <w:lvlText w:val="•"/>
      <w:lvlJc w:val="left"/>
      <w:pPr>
        <w:tabs>
          <w:tab w:val="num" w:pos="720"/>
        </w:tabs>
        <w:ind w:left="720" w:hanging="360"/>
      </w:pPr>
      <w:rPr>
        <w:rFonts w:ascii="Arial" w:hAnsi="Arial" w:hint="default"/>
      </w:rPr>
    </w:lvl>
    <w:lvl w:ilvl="1" w:tplc="CBC4D05E" w:tentative="1">
      <w:start w:val="1"/>
      <w:numFmt w:val="bullet"/>
      <w:lvlText w:val="•"/>
      <w:lvlJc w:val="left"/>
      <w:pPr>
        <w:tabs>
          <w:tab w:val="num" w:pos="1440"/>
        </w:tabs>
        <w:ind w:left="1440" w:hanging="360"/>
      </w:pPr>
      <w:rPr>
        <w:rFonts w:ascii="Arial" w:hAnsi="Arial" w:hint="default"/>
      </w:rPr>
    </w:lvl>
    <w:lvl w:ilvl="2" w:tplc="1B4E0336" w:tentative="1">
      <w:start w:val="1"/>
      <w:numFmt w:val="bullet"/>
      <w:lvlText w:val="•"/>
      <w:lvlJc w:val="left"/>
      <w:pPr>
        <w:tabs>
          <w:tab w:val="num" w:pos="2160"/>
        </w:tabs>
        <w:ind w:left="2160" w:hanging="360"/>
      </w:pPr>
      <w:rPr>
        <w:rFonts w:ascii="Arial" w:hAnsi="Arial" w:hint="default"/>
      </w:rPr>
    </w:lvl>
    <w:lvl w:ilvl="3" w:tplc="6CC892E2" w:tentative="1">
      <w:start w:val="1"/>
      <w:numFmt w:val="bullet"/>
      <w:lvlText w:val="•"/>
      <w:lvlJc w:val="left"/>
      <w:pPr>
        <w:tabs>
          <w:tab w:val="num" w:pos="2880"/>
        </w:tabs>
        <w:ind w:left="2880" w:hanging="360"/>
      </w:pPr>
      <w:rPr>
        <w:rFonts w:ascii="Arial" w:hAnsi="Arial" w:hint="default"/>
      </w:rPr>
    </w:lvl>
    <w:lvl w:ilvl="4" w:tplc="699C2534" w:tentative="1">
      <w:start w:val="1"/>
      <w:numFmt w:val="bullet"/>
      <w:lvlText w:val="•"/>
      <w:lvlJc w:val="left"/>
      <w:pPr>
        <w:tabs>
          <w:tab w:val="num" w:pos="3600"/>
        </w:tabs>
        <w:ind w:left="3600" w:hanging="360"/>
      </w:pPr>
      <w:rPr>
        <w:rFonts w:ascii="Arial" w:hAnsi="Arial" w:hint="default"/>
      </w:rPr>
    </w:lvl>
    <w:lvl w:ilvl="5" w:tplc="C34028EC" w:tentative="1">
      <w:start w:val="1"/>
      <w:numFmt w:val="bullet"/>
      <w:lvlText w:val="•"/>
      <w:lvlJc w:val="left"/>
      <w:pPr>
        <w:tabs>
          <w:tab w:val="num" w:pos="4320"/>
        </w:tabs>
        <w:ind w:left="4320" w:hanging="360"/>
      </w:pPr>
      <w:rPr>
        <w:rFonts w:ascii="Arial" w:hAnsi="Arial" w:hint="default"/>
      </w:rPr>
    </w:lvl>
    <w:lvl w:ilvl="6" w:tplc="3CB2D1FC" w:tentative="1">
      <w:start w:val="1"/>
      <w:numFmt w:val="bullet"/>
      <w:lvlText w:val="•"/>
      <w:lvlJc w:val="left"/>
      <w:pPr>
        <w:tabs>
          <w:tab w:val="num" w:pos="5040"/>
        </w:tabs>
        <w:ind w:left="5040" w:hanging="360"/>
      </w:pPr>
      <w:rPr>
        <w:rFonts w:ascii="Arial" w:hAnsi="Arial" w:hint="default"/>
      </w:rPr>
    </w:lvl>
    <w:lvl w:ilvl="7" w:tplc="2C66C864" w:tentative="1">
      <w:start w:val="1"/>
      <w:numFmt w:val="bullet"/>
      <w:lvlText w:val="•"/>
      <w:lvlJc w:val="left"/>
      <w:pPr>
        <w:tabs>
          <w:tab w:val="num" w:pos="5760"/>
        </w:tabs>
        <w:ind w:left="5760" w:hanging="360"/>
      </w:pPr>
      <w:rPr>
        <w:rFonts w:ascii="Arial" w:hAnsi="Arial" w:hint="default"/>
      </w:rPr>
    </w:lvl>
    <w:lvl w:ilvl="8" w:tplc="526C8D3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269E"/>
    <w:rsid w:val="00086C39"/>
    <w:rsid w:val="000970EA"/>
    <w:rsid w:val="000A03B2"/>
    <w:rsid w:val="000B56E9"/>
    <w:rsid w:val="000C2534"/>
    <w:rsid w:val="000D204B"/>
    <w:rsid w:val="000D34BE"/>
    <w:rsid w:val="000E102F"/>
    <w:rsid w:val="000E36F1"/>
    <w:rsid w:val="000E3A73"/>
    <w:rsid w:val="000E414A"/>
    <w:rsid w:val="000F093C"/>
    <w:rsid w:val="000F16BD"/>
    <w:rsid w:val="000F21BF"/>
    <w:rsid w:val="000F787B"/>
    <w:rsid w:val="00110349"/>
    <w:rsid w:val="0012091F"/>
    <w:rsid w:val="00126BC2"/>
    <w:rsid w:val="001308B6"/>
    <w:rsid w:val="0013121F"/>
    <w:rsid w:val="00131FAB"/>
    <w:rsid w:val="00131FE6"/>
    <w:rsid w:val="0013263F"/>
    <w:rsid w:val="00134DE4"/>
    <w:rsid w:val="0014034D"/>
    <w:rsid w:val="00150E59"/>
    <w:rsid w:val="00152DE3"/>
    <w:rsid w:val="001635D2"/>
    <w:rsid w:val="00164CF9"/>
    <w:rsid w:val="00183990"/>
    <w:rsid w:val="00184AD6"/>
    <w:rsid w:val="001900E2"/>
    <w:rsid w:val="001B0349"/>
    <w:rsid w:val="001B65C1"/>
    <w:rsid w:val="001C684B"/>
    <w:rsid w:val="001D53FC"/>
    <w:rsid w:val="001F42A5"/>
    <w:rsid w:val="001F7B9D"/>
    <w:rsid w:val="00216671"/>
    <w:rsid w:val="002224B4"/>
    <w:rsid w:val="00233419"/>
    <w:rsid w:val="00241518"/>
    <w:rsid w:val="002447EF"/>
    <w:rsid w:val="00244D64"/>
    <w:rsid w:val="00251550"/>
    <w:rsid w:val="00261EA3"/>
    <w:rsid w:val="002622A3"/>
    <w:rsid w:val="00263B05"/>
    <w:rsid w:val="0027221A"/>
    <w:rsid w:val="00272512"/>
    <w:rsid w:val="00275B61"/>
    <w:rsid w:val="00282656"/>
    <w:rsid w:val="00296B83"/>
    <w:rsid w:val="002A490C"/>
    <w:rsid w:val="002B78CE"/>
    <w:rsid w:val="002C2FB6"/>
    <w:rsid w:val="003009B7"/>
    <w:rsid w:val="00300E56"/>
    <w:rsid w:val="0030469C"/>
    <w:rsid w:val="00321CA6"/>
    <w:rsid w:val="00334C09"/>
    <w:rsid w:val="003365E3"/>
    <w:rsid w:val="00347FD1"/>
    <w:rsid w:val="00352A81"/>
    <w:rsid w:val="003723D4"/>
    <w:rsid w:val="00384CC8"/>
    <w:rsid w:val="003871FD"/>
    <w:rsid w:val="00396BB8"/>
    <w:rsid w:val="003A1E30"/>
    <w:rsid w:val="003A7D1C"/>
    <w:rsid w:val="003B304B"/>
    <w:rsid w:val="003B3146"/>
    <w:rsid w:val="003B3ABE"/>
    <w:rsid w:val="003B60F3"/>
    <w:rsid w:val="003F015E"/>
    <w:rsid w:val="00400414"/>
    <w:rsid w:val="0041446B"/>
    <w:rsid w:val="00415105"/>
    <w:rsid w:val="0044329C"/>
    <w:rsid w:val="004515EE"/>
    <w:rsid w:val="0045643D"/>
    <w:rsid w:val="004577FE"/>
    <w:rsid w:val="00457B9C"/>
    <w:rsid w:val="0046164A"/>
    <w:rsid w:val="004628D2"/>
    <w:rsid w:val="00462DCD"/>
    <w:rsid w:val="004647E4"/>
    <w:rsid w:val="004648AD"/>
    <w:rsid w:val="0046519A"/>
    <w:rsid w:val="004703A9"/>
    <w:rsid w:val="004760DE"/>
    <w:rsid w:val="00491CE2"/>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82CF6"/>
    <w:rsid w:val="00590D21"/>
    <w:rsid w:val="005944E8"/>
    <w:rsid w:val="00594CC1"/>
    <w:rsid w:val="005B0C15"/>
    <w:rsid w:val="005B2110"/>
    <w:rsid w:val="005B61E6"/>
    <w:rsid w:val="005C4786"/>
    <w:rsid w:val="005C77E1"/>
    <w:rsid w:val="005D6A2F"/>
    <w:rsid w:val="005E1A82"/>
    <w:rsid w:val="005E3CF2"/>
    <w:rsid w:val="005E794C"/>
    <w:rsid w:val="005F0A28"/>
    <w:rsid w:val="005F0E5E"/>
    <w:rsid w:val="00600535"/>
    <w:rsid w:val="00610CD6"/>
    <w:rsid w:val="006110F1"/>
    <w:rsid w:val="00620DEE"/>
    <w:rsid w:val="00621F92"/>
    <w:rsid w:val="00625639"/>
    <w:rsid w:val="00631B33"/>
    <w:rsid w:val="0064184D"/>
    <w:rsid w:val="006422CC"/>
    <w:rsid w:val="00660E3E"/>
    <w:rsid w:val="00662E74"/>
    <w:rsid w:val="00680C23"/>
    <w:rsid w:val="00687BA6"/>
    <w:rsid w:val="00691E9C"/>
    <w:rsid w:val="00693766"/>
    <w:rsid w:val="00693E94"/>
    <w:rsid w:val="006A3281"/>
    <w:rsid w:val="006B4888"/>
    <w:rsid w:val="006C0E16"/>
    <w:rsid w:val="006C2E45"/>
    <w:rsid w:val="006C359C"/>
    <w:rsid w:val="006C5579"/>
    <w:rsid w:val="006E737D"/>
    <w:rsid w:val="006E7E7F"/>
    <w:rsid w:val="006F553E"/>
    <w:rsid w:val="0070195D"/>
    <w:rsid w:val="00712315"/>
    <w:rsid w:val="00720A24"/>
    <w:rsid w:val="00732386"/>
    <w:rsid w:val="007447F3"/>
    <w:rsid w:val="0075499F"/>
    <w:rsid w:val="007661C8"/>
    <w:rsid w:val="0077098D"/>
    <w:rsid w:val="0078273D"/>
    <w:rsid w:val="007931FA"/>
    <w:rsid w:val="007A0DD2"/>
    <w:rsid w:val="007A7BBA"/>
    <w:rsid w:val="007B0C50"/>
    <w:rsid w:val="007C1A43"/>
    <w:rsid w:val="007E1DC6"/>
    <w:rsid w:val="007E7F15"/>
    <w:rsid w:val="00813288"/>
    <w:rsid w:val="008168FC"/>
    <w:rsid w:val="00830996"/>
    <w:rsid w:val="00832D62"/>
    <w:rsid w:val="008345F1"/>
    <w:rsid w:val="008531D2"/>
    <w:rsid w:val="00865B07"/>
    <w:rsid w:val="008667EA"/>
    <w:rsid w:val="0087637F"/>
    <w:rsid w:val="00883DE6"/>
    <w:rsid w:val="008904B9"/>
    <w:rsid w:val="008920FE"/>
    <w:rsid w:val="00892AD5"/>
    <w:rsid w:val="008A106E"/>
    <w:rsid w:val="008A1512"/>
    <w:rsid w:val="008A5598"/>
    <w:rsid w:val="008C18EC"/>
    <w:rsid w:val="008D32B9"/>
    <w:rsid w:val="008D433B"/>
    <w:rsid w:val="008E108A"/>
    <w:rsid w:val="008E566E"/>
    <w:rsid w:val="0090161A"/>
    <w:rsid w:val="00901EB6"/>
    <w:rsid w:val="00904C62"/>
    <w:rsid w:val="00924DAC"/>
    <w:rsid w:val="00927058"/>
    <w:rsid w:val="009426F9"/>
    <w:rsid w:val="009450CE"/>
    <w:rsid w:val="00947179"/>
    <w:rsid w:val="0095164B"/>
    <w:rsid w:val="00954090"/>
    <w:rsid w:val="00954D32"/>
    <w:rsid w:val="009573E7"/>
    <w:rsid w:val="00963E05"/>
    <w:rsid w:val="00967D54"/>
    <w:rsid w:val="0098351E"/>
    <w:rsid w:val="00996483"/>
    <w:rsid w:val="00996F5A"/>
    <w:rsid w:val="009A0A3E"/>
    <w:rsid w:val="009B041A"/>
    <w:rsid w:val="009C7C86"/>
    <w:rsid w:val="009D2FF7"/>
    <w:rsid w:val="009E7884"/>
    <w:rsid w:val="009E788A"/>
    <w:rsid w:val="009F0E08"/>
    <w:rsid w:val="00A11678"/>
    <w:rsid w:val="00A1509B"/>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AF75AE"/>
    <w:rsid w:val="00B17FBD"/>
    <w:rsid w:val="00B315A6"/>
    <w:rsid w:val="00B31813"/>
    <w:rsid w:val="00B33365"/>
    <w:rsid w:val="00B46D22"/>
    <w:rsid w:val="00B56F79"/>
    <w:rsid w:val="00B57B36"/>
    <w:rsid w:val="00B70B32"/>
    <w:rsid w:val="00B8686D"/>
    <w:rsid w:val="00BC30C9"/>
    <w:rsid w:val="00BE07BB"/>
    <w:rsid w:val="00BE22E6"/>
    <w:rsid w:val="00BE3E58"/>
    <w:rsid w:val="00C01616"/>
    <w:rsid w:val="00C0162B"/>
    <w:rsid w:val="00C345B1"/>
    <w:rsid w:val="00C40142"/>
    <w:rsid w:val="00C46484"/>
    <w:rsid w:val="00C47C5F"/>
    <w:rsid w:val="00C57182"/>
    <w:rsid w:val="00C57863"/>
    <w:rsid w:val="00C61529"/>
    <w:rsid w:val="00C653B1"/>
    <w:rsid w:val="00C655FD"/>
    <w:rsid w:val="00C870A8"/>
    <w:rsid w:val="00C94434"/>
    <w:rsid w:val="00C955C0"/>
    <w:rsid w:val="00CA0D75"/>
    <w:rsid w:val="00CA1C95"/>
    <w:rsid w:val="00CA5A9C"/>
    <w:rsid w:val="00CC0E81"/>
    <w:rsid w:val="00CD3517"/>
    <w:rsid w:val="00CD59CA"/>
    <w:rsid w:val="00CD5FE2"/>
    <w:rsid w:val="00CE2689"/>
    <w:rsid w:val="00CE7C68"/>
    <w:rsid w:val="00CF4C3C"/>
    <w:rsid w:val="00D02B4C"/>
    <w:rsid w:val="00D040C4"/>
    <w:rsid w:val="00D12235"/>
    <w:rsid w:val="00D20FB1"/>
    <w:rsid w:val="00D30CA2"/>
    <w:rsid w:val="00D47D2C"/>
    <w:rsid w:val="00D57C84"/>
    <w:rsid w:val="00D6057D"/>
    <w:rsid w:val="00D77BBF"/>
    <w:rsid w:val="00D84576"/>
    <w:rsid w:val="00DA1399"/>
    <w:rsid w:val="00DA24C6"/>
    <w:rsid w:val="00DA4D7B"/>
    <w:rsid w:val="00DC2BA4"/>
    <w:rsid w:val="00DC2CD2"/>
    <w:rsid w:val="00DE264A"/>
    <w:rsid w:val="00E01A60"/>
    <w:rsid w:val="00E01F06"/>
    <w:rsid w:val="00E02D18"/>
    <w:rsid w:val="00E041E7"/>
    <w:rsid w:val="00E04822"/>
    <w:rsid w:val="00E23CA1"/>
    <w:rsid w:val="00E409A8"/>
    <w:rsid w:val="00E50C12"/>
    <w:rsid w:val="00E60C19"/>
    <w:rsid w:val="00E65B91"/>
    <w:rsid w:val="00E7209D"/>
    <w:rsid w:val="00E77223"/>
    <w:rsid w:val="00E8528B"/>
    <w:rsid w:val="00E85780"/>
    <w:rsid w:val="00E85B94"/>
    <w:rsid w:val="00E978D0"/>
    <w:rsid w:val="00EA4613"/>
    <w:rsid w:val="00EA7F91"/>
    <w:rsid w:val="00EB1523"/>
    <w:rsid w:val="00EC0E49"/>
    <w:rsid w:val="00EC141A"/>
    <w:rsid w:val="00ED3570"/>
    <w:rsid w:val="00ED5F33"/>
    <w:rsid w:val="00ED7D97"/>
    <w:rsid w:val="00EE0131"/>
    <w:rsid w:val="00EE6F70"/>
    <w:rsid w:val="00F155B2"/>
    <w:rsid w:val="00F30C64"/>
    <w:rsid w:val="00F32CDB"/>
    <w:rsid w:val="00F63A70"/>
    <w:rsid w:val="00F77F76"/>
    <w:rsid w:val="00FA21D0"/>
    <w:rsid w:val="00FA5F5F"/>
    <w:rsid w:val="00FB3015"/>
    <w:rsid w:val="00FB730C"/>
    <w:rsid w:val="00FC2695"/>
    <w:rsid w:val="00FC3E03"/>
    <w:rsid w:val="00FC3FC1"/>
    <w:rsid w:val="00FD57AF"/>
    <w:rsid w:val="00FD70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tiff"/><Relationship Id="rId18" Type="http://schemas.openxmlformats.org/officeDocument/2006/relationships/image" Target="media/image8.tif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tiff"/><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baldino@unisa.it" TargetMode="External"/><Relationship Id="rId5" Type="http://schemas.openxmlformats.org/officeDocument/2006/relationships/settings" Target="settings.xml"/><Relationship Id="rId15" Type="http://schemas.microsoft.com/office/2007/relationships/hdphoto" Target="NULL"/><Relationship Id="rId10" Type="http://schemas.openxmlformats.org/officeDocument/2006/relationships/image" Target="media/image2.jpeg"/><Relationship Id="rId19" Type="http://schemas.openxmlformats.org/officeDocument/2006/relationships/image" Target="media/image9.tif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DA0D-36F7-4E08-A453-C686C395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2864</Words>
  <Characters>16330</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5</cp:revision>
  <cp:lastPrinted>2015-05-12T18:31:00Z</cp:lastPrinted>
  <dcterms:created xsi:type="dcterms:W3CDTF">2019-04-12T09:06:00Z</dcterms:created>
  <dcterms:modified xsi:type="dcterms:W3CDTF">2019-04-13T08:22:00Z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