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68029F" w:rsidRPr="00B57B36" w14:paraId="6E172B03" w14:textId="77777777" w:rsidTr="006D56D7">
        <w:trPr>
          <w:trHeight w:val="852"/>
          <w:jc w:val="center"/>
        </w:trPr>
        <w:tc>
          <w:tcPr>
            <w:tcW w:w="6946" w:type="dxa"/>
            <w:vMerge w:val="restart"/>
            <w:tcBorders>
              <w:right w:val="single" w:sz="4" w:space="0" w:color="auto"/>
            </w:tcBorders>
          </w:tcPr>
          <w:p w14:paraId="25661C68" w14:textId="77777777" w:rsidR="0068029F" w:rsidRPr="00B57B36" w:rsidRDefault="0068029F" w:rsidP="006D56D7">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4BAF927" wp14:editId="13F50644">
                  <wp:extent cx="640080" cy="373380"/>
                  <wp:effectExtent l="0" t="0" r="7620" b="7620"/>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95C88E3" w14:textId="77777777" w:rsidR="0068029F" w:rsidRPr="00B57B36" w:rsidRDefault="0068029F" w:rsidP="006D56D7">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14:paraId="4DFC54C4" w14:textId="77777777" w:rsidR="0068029F" w:rsidRPr="00B57B36" w:rsidRDefault="0068029F" w:rsidP="006D56D7">
            <w:pPr>
              <w:spacing w:line="140" w:lineRule="atLeast"/>
              <w:jc w:val="right"/>
              <w:rPr>
                <w:rFonts w:cs="Arial"/>
                <w:sz w:val="14"/>
                <w:szCs w:val="14"/>
              </w:rPr>
            </w:pPr>
            <w:r w:rsidRPr="00B57B36">
              <w:rPr>
                <w:rFonts w:cs="Arial"/>
                <w:sz w:val="14"/>
                <w:szCs w:val="14"/>
              </w:rPr>
              <w:t>A publication of</w:t>
            </w:r>
          </w:p>
          <w:p w14:paraId="644CB70C" w14:textId="77777777" w:rsidR="0068029F" w:rsidRPr="00B57B36" w:rsidRDefault="0068029F" w:rsidP="006D56D7">
            <w:pPr>
              <w:jc w:val="right"/>
            </w:pPr>
            <w:r w:rsidRPr="00B57B36">
              <w:rPr>
                <w:noProof/>
                <w:lang w:val="it-IT" w:eastAsia="it-IT"/>
              </w:rPr>
              <w:drawing>
                <wp:inline distT="0" distB="0" distL="0" distR="0" wp14:anchorId="39FE21EA" wp14:editId="6567E539">
                  <wp:extent cx="670560" cy="358140"/>
                  <wp:effectExtent l="0" t="0" r="0" b="3810"/>
                  <wp:docPr id="8" name="Immagine 8"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8029F" w:rsidRPr="00B57B36" w14:paraId="5871B23D" w14:textId="77777777" w:rsidTr="006D56D7">
        <w:trPr>
          <w:trHeight w:val="567"/>
          <w:jc w:val="center"/>
        </w:trPr>
        <w:tc>
          <w:tcPr>
            <w:tcW w:w="6946" w:type="dxa"/>
            <w:vMerge/>
            <w:tcBorders>
              <w:right w:val="single" w:sz="4" w:space="0" w:color="auto"/>
            </w:tcBorders>
          </w:tcPr>
          <w:p w14:paraId="09DA0243" w14:textId="77777777" w:rsidR="0068029F" w:rsidRPr="00B57B36" w:rsidRDefault="0068029F" w:rsidP="006D56D7">
            <w:pPr>
              <w:tabs>
                <w:tab w:val="left" w:pos="-108"/>
              </w:tabs>
            </w:pPr>
          </w:p>
        </w:tc>
        <w:tc>
          <w:tcPr>
            <w:tcW w:w="1843" w:type="dxa"/>
            <w:tcBorders>
              <w:left w:val="single" w:sz="4" w:space="0" w:color="auto"/>
              <w:bottom w:val="nil"/>
              <w:right w:val="single" w:sz="4" w:space="0" w:color="auto"/>
            </w:tcBorders>
          </w:tcPr>
          <w:p w14:paraId="0B9574AC" w14:textId="77777777" w:rsidR="0068029F" w:rsidRPr="00B57B36" w:rsidRDefault="0068029F" w:rsidP="006D56D7">
            <w:pPr>
              <w:spacing w:line="140" w:lineRule="atLeast"/>
              <w:jc w:val="right"/>
              <w:rPr>
                <w:rFonts w:cs="Arial"/>
                <w:sz w:val="14"/>
                <w:szCs w:val="14"/>
              </w:rPr>
            </w:pPr>
            <w:r w:rsidRPr="00B57B36">
              <w:rPr>
                <w:rFonts w:cs="Arial"/>
                <w:sz w:val="14"/>
                <w:szCs w:val="14"/>
              </w:rPr>
              <w:t>The Italian Association</w:t>
            </w:r>
          </w:p>
          <w:p w14:paraId="7FA9A407" w14:textId="77777777" w:rsidR="0068029F" w:rsidRPr="00B57B36" w:rsidRDefault="0068029F" w:rsidP="006D56D7">
            <w:pPr>
              <w:spacing w:line="140" w:lineRule="atLeast"/>
              <w:jc w:val="right"/>
              <w:rPr>
                <w:rFonts w:cs="Arial"/>
                <w:sz w:val="14"/>
                <w:szCs w:val="14"/>
              </w:rPr>
            </w:pPr>
            <w:r w:rsidRPr="00B57B36">
              <w:rPr>
                <w:rFonts w:cs="Arial"/>
                <w:sz w:val="14"/>
                <w:szCs w:val="14"/>
              </w:rPr>
              <w:t>of Chemical Engineering</w:t>
            </w:r>
          </w:p>
          <w:p w14:paraId="2A068D91" w14:textId="77777777" w:rsidR="0068029F" w:rsidRPr="00B57B36" w:rsidRDefault="0068029F" w:rsidP="006D56D7">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68029F" w:rsidRPr="00B57B36" w14:paraId="5C3F555F" w14:textId="77777777" w:rsidTr="006D56D7">
        <w:trPr>
          <w:trHeight w:val="68"/>
          <w:jc w:val="center"/>
        </w:trPr>
        <w:tc>
          <w:tcPr>
            <w:tcW w:w="8789" w:type="dxa"/>
            <w:gridSpan w:val="2"/>
          </w:tcPr>
          <w:p w14:paraId="1CCFC1B4" w14:textId="77777777" w:rsidR="0068029F" w:rsidRPr="006F0401" w:rsidRDefault="0068029F" w:rsidP="006D56D7">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14:paraId="6946CD50" w14:textId="77777777" w:rsidR="0068029F" w:rsidRPr="00B57B36" w:rsidRDefault="0068029F" w:rsidP="006D56D7">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70</w:t>
            </w:r>
            <w:r w:rsidRPr="00131FAB">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12835FF" w14:textId="77777777" w:rsidR="0068029F" w:rsidRDefault="0068029F" w:rsidP="0068029F">
      <w:pPr>
        <w:pStyle w:val="CETTitle"/>
      </w:pPr>
      <w:r w:rsidRPr="00325B77">
        <w:t xml:space="preserve">Cr(VI) </w:t>
      </w:r>
      <w:r>
        <w:t>R</w:t>
      </w:r>
      <w:r w:rsidRPr="00325B77">
        <w:t xml:space="preserve">emoval </w:t>
      </w:r>
      <w:r>
        <w:t>b</w:t>
      </w:r>
      <w:r w:rsidRPr="00325B77">
        <w:t xml:space="preserve">y </w:t>
      </w:r>
      <w:r>
        <w:t>C</w:t>
      </w:r>
      <w:r w:rsidRPr="00325B77">
        <w:t>hitosan-Magnetite</w:t>
      </w:r>
      <w:r>
        <w:t xml:space="preserve"> Nano-Composite i</w:t>
      </w:r>
      <w:r w:rsidRPr="00325B77">
        <w:t xml:space="preserve">n </w:t>
      </w:r>
      <w:r>
        <w:t>A</w:t>
      </w:r>
      <w:r w:rsidRPr="00325B77">
        <w:t>queous Solution</w:t>
      </w:r>
    </w:p>
    <w:p w14:paraId="2EAC60EA" w14:textId="77777777" w:rsidR="0068029F" w:rsidRPr="00B02EB8" w:rsidRDefault="0068029F" w:rsidP="0068029F">
      <w:pPr>
        <w:pStyle w:val="CETAuthors"/>
      </w:pPr>
      <w:r w:rsidRPr="00B02EB8">
        <w:t>Irene Bavasso*</w:t>
      </w:r>
      <w:r w:rsidRPr="00B02EB8">
        <w:rPr>
          <w:vertAlign w:val="superscript"/>
        </w:rPr>
        <w:t>a</w:t>
      </w:r>
      <w:r w:rsidRPr="00B02EB8">
        <w:t>, Srikanth Vuppala</w:t>
      </w:r>
      <w:r w:rsidRPr="00B02EB8">
        <w:rPr>
          <w:vertAlign w:val="superscript"/>
        </w:rPr>
        <w:t>b</w:t>
      </w:r>
      <w:r w:rsidRPr="00B02EB8">
        <w:t>, Claudio Cianfrini</w:t>
      </w:r>
      <w:r w:rsidRPr="00B02EB8">
        <w:rPr>
          <w:vertAlign w:val="superscript"/>
        </w:rPr>
        <w:t>b</w:t>
      </w:r>
    </w:p>
    <w:p w14:paraId="6CAB2100" w14:textId="74BE7658" w:rsidR="00325B77" w:rsidRPr="00325B77" w:rsidRDefault="00325B77" w:rsidP="00325B77">
      <w:pPr>
        <w:pStyle w:val="CETBodytext"/>
      </w:pPr>
      <w:r w:rsidRPr="00325B77">
        <w:t xml:space="preserve">The production of functionalized </w:t>
      </w:r>
      <w:proofErr w:type="spellStart"/>
      <w:r w:rsidRPr="00325B77">
        <w:t>nano</w:t>
      </w:r>
      <w:proofErr w:type="spellEnd"/>
      <w:r w:rsidRPr="00325B77">
        <w:t>-composites represents an important research activity in the environmental remediation field. The use of iron</w:t>
      </w:r>
      <w:r w:rsidR="005A36F9">
        <w:t>-</w:t>
      </w:r>
      <w:r w:rsidRPr="00325B77">
        <w:t xml:space="preserve">based </w:t>
      </w:r>
      <w:proofErr w:type="spellStart"/>
      <w:r w:rsidRPr="00325B77">
        <w:t>nano</w:t>
      </w:r>
      <w:proofErr w:type="spellEnd"/>
      <w:r w:rsidRPr="00325B77">
        <w:t xml:space="preserve">-particles (IBNs) supported on bio-polymer matrix might lead to the development of active </w:t>
      </w:r>
      <w:proofErr w:type="spellStart"/>
      <w:r w:rsidRPr="00325B77">
        <w:t>nano</w:t>
      </w:r>
      <w:proofErr w:type="spellEnd"/>
      <w:r w:rsidRPr="00325B77">
        <w:t xml:space="preserve">-materials characterized by a notable eco-compatibility. Chitosan is a biodegradable biopolymer that can be effectively used to produce active </w:t>
      </w:r>
      <w:proofErr w:type="spellStart"/>
      <w:r w:rsidRPr="00325B77">
        <w:t>nano</w:t>
      </w:r>
      <w:proofErr w:type="spellEnd"/>
      <w:r w:rsidRPr="00325B77">
        <w:t>-composites with IBNs. In this study</w:t>
      </w:r>
      <w:r w:rsidR="005A36F9">
        <w:t>,</w:t>
      </w:r>
      <w:r w:rsidRPr="00325B77">
        <w:t xml:space="preserve"> a chitosan-magnetite </w:t>
      </w:r>
      <w:proofErr w:type="spellStart"/>
      <w:r w:rsidRPr="00325B77">
        <w:t>nano</w:t>
      </w:r>
      <w:proofErr w:type="spellEnd"/>
      <w:r w:rsidRPr="00325B77">
        <w:t>-composite was produced in</w:t>
      </w:r>
      <w:r w:rsidR="005A36F9">
        <w:t xml:space="preserve"> the </w:t>
      </w:r>
      <w:r w:rsidRPr="00325B77">
        <w:t>laboratory and used in batch experimental tests for the removal of Hexavalent Chromium, Cr(VI), in aqueous solutions. Cr(VI) is considered one of the most toxic compounds present in the Mediterranean Area due to its carcinogenic and mutagenic characteristics, besides its notable solubility and mobility in the environment. The most effective way for the remediation of Cr(VI)-polluted groundwater is represented by the combination of chemical reduction and co-precipitation processes, generating Cr(III) species, characterized by very low toxicity and solubility in comparison to Cr(VI) ones. The synthe</w:t>
      </w:r>
      <w:r w:rsidR="005A36F9">
        <w:t>s</w:t>
      </w:r>
      <w:r w:rsidRPr="00325B77">
        <w:t xml:space="preserve">ized </w:t>
      </w:r>
      <w:proofErr w:type="spellStart"/>
      <w:r w:rsidRPr="00325B77">
        <w:t>nano</w:t>
      </w:r>
      <w:proofErr w:type="spellEnd"/>
      <w:r w:rsidRPr="00325B77">
        <w:t>-composite was used in batch lab-scale reactors and the kinetic</w:t>
      </w:r>
      <w:r w:rsidR="005A36F9">
        <w:t>s</w:t>
      </w:r>
      <w:r w:rsidRPr="00325B77">
        <w:t xml:space="preserve"> of the process was studied varying the initial </w:t>
      </w:r>
      <w:proofErr w:type="spellStart"/>
      <w:r w:rsidRPr="00325B77">
        <w:t>nano</w:t>
      </w:r>
      <w:proofErr w:type="spellEnd"/>
      <w:r w:rsidRPr="00325B77">
        <w:t xml:space="preserve">-composite concentration (0.25, 0.5, 0.75, 1 g/L) at fixed Cr(VI) initial concentration (20 mg/L). In addition, the initial pH influence on the Cr(VI) removal efficiency was analyzed in the range 3-7.  </w:t>
      </w:r>
    </w:p>
    <w:p w14:paraId="7C1DE05A" w14:textId="77777777" w:rsidR="00600535" w:rsidRPr="00B57B36" w:rsidRDefault="00600535" w:rsidP="00600535">
      <w:pPr>
        <w:pStyle w:val="CETHeading1"/>
        <w:rPr>
          <w:lang w:val="en-GB"/>
        </w:rPr>
      </w:pPr>
      <w:r w:rsidRPr="00B57B36">
        <w:rPr>
          <w:lang w:val="en-GB"/>
        </w:rPr>
        <w:t>Introduction</w:t>
      </w:r>
    </w:p>
    <w:p w14:paraId="2134E2E5" w14:textId="7D16F4E8" w:rsidR="00C02C45" w:rsidRDefault="00636162" w:rsidP="00600535">
      <w:pPr>
        <w:pStyle w:val="CETBodytext"/>
        <w:rPr>
          <w:lang w:val="en-GB"/>
        </w:rPr>
      </w:pPr>
      <w:r>
        <w:rPr>
          <w:lang w:val="en-GB"/>
        </w:rPr>
        <w:t>Remarkable efforts have been done by various researchers as regard</w:t>
      </w:r>
      <w:r w:rsidR="005A36F9">
        <w:rPr>
          <w:lang w:val="en-GB"/>
        </w:rPr>
        <w:t>s</w:t>
      </w:r>
      <w:r>
        <w:rPr>
          <w:lang w:val="en-GB"/>
        </w:rPr>
        <w:t xml:space="preserve"> the </w:t>
      </w:r>
      <w:r w:rsidR="00325B77">
        <w:rPr>
          <w:lang w:val="en-GB"/>
        </w:rPr>
        <w:t>use of nanoparticles</w:t>
      </w:r>
      <w:r>
        <w:rPr>
          <w:lang w:val="en-GB"/>
        </w:rPr>
        <w:t xml:space="preserve"> in different sectors (Bavasso et al., 2016), in particular the use of iron-based nanoparticles in</w:t>
      </w:r>
      <w:r w:rsidR="008D64A7">
        <w:rPr>
          <w:lang w:val="en-GB"/>
        </w:rPr>
        <w:t xml:space="preserve"> industrial (De Falco et al., 2017), in</w:t>
      </w:r>
      <w:r>
        <w:rPr>
          <w:lang w:val="en-GB"/>
        </w:rPr>
        <w:t xml:space="preserve"> civil</w:t>
      </w:r>
      <w:r w:rsidR="00EC6EA9">
        <w:rPr>
          <w:lang w:val="en-GB"/>
        </w:rPr>
        <w:t xml:space="preserve"> (Di Palma et al., 2015)</w:t>
      </w:r>
      <w:r>
        <w:rPr>
          <w:lang w:val="en-GB"/>
        </w:rPr>
        <w:t xml:space="preserve"> and in the environmental one (Vilardi et al., 2017</w:t>
      </w:r>
      <w:r w:rsidR="00D44025">
        <w:rPr>
          <w:lang w:val="en-GB"/>
        </w:rPr>
        <w:t>a</w:t>
      </w:r>
      <w:r>
        <w:rPr>
          <w:lang w:val="en-GB"/>
        </w:rPr>
        <w:t>)</w:t>
      </w:r>
      <w:r w:rsidR="00325B77">
        <w:rPr>
          <w:lang w:val="en-GB"/>
        </w:rPr>
        <w:t xml:space="preserve"> </w:t>
      </w:r>
      <w:r>
        <w:rPr>
          <w:lang w:val="en-GB"/>
        </w:rPr>
        <w:t>has been extensively studied</w:t>
      </w:r>
      <w:r w:rsidR="00412EC2">
        <w:rPr>
          <w:lang w:val="en-GB"/>
        </w:rPr>
        <w:t xml:space="preserve"> (Vilardi et al., 2019a)</w:t>
      </w:r>
      <w:r>
        <w:rPr>
          <w:lang w:val="en-GB"/>
        </w:rPr>
        <w:t xml:space="preserve">. The presence of heavy metals in </w:t>
      </w:r>
      <w:r w:rsidR="00CD2EFA">
        <w:rPr>
          <w:lang w:val="en-GB"/>
        </w:rPr>
        <w:t xml:space="preserve">both soils (Di Palma et al., 2007) and aquatic </w:t>
      </w:r>
      <w:r>
        <w:rPr>
          <w:lang w:val="en-GB"/>
        </w:rPr>
        <w:t>environmental media still represents an issue of great concern (</w:t>
      </w:r>
      <w:proofErr w:type="spellStart"/>
      <w:r>
        <w:rPr>
          <w:lang w:val="en-GB"/>
        </w:rPr>
        <w:t>Gueye</w:t>
      </w:r>
      <w:proofErr w:type="spellEnd"/>
      <w:r>
        <w:rPr>
          <w:lang w:val="en-GB"/>
        </w:rPr>
        <w:t xml:space="preserve"> et al., 2016)</w:t>
      </w:r>
      <w:r w:rsidR="00C02C45">
        <w:rPr>
          <w:lang w:val="en-GB"/>
        </w:rPr>
        <w:t xml:space="preserve">, in particular for the Developing Countries. Hexavalent Chromium, Cr(VI), is a carcinogenic compound, characterized by a high solubility and mobility in the environment (Vilardi et al., 2018a) in comparison with its trivalent form, Cr(III), that is characterized by a very low solubility in neutral-alkaline environment and that tends to rapidly precipitate with other metals, such as iron (Bavasso et al., 2018). Various processes based on </w:t>
      </w:r>
      <w:proofErr w:type="spellStart"/>
      <w:r w:rsidR="00C02C45">
        <w:rPr>
          <w:lang w:val="en-GB"/>
        </w:rPr>
        <w:t>nano</w:t>
      </w:r>
      <w:proofErr w:type="spellEnd"/>
      <w:r w:rsidR="00C02C45">
        <w:rPr>
          <w:lang w:val="en-GB"/>
        </w:rPr>
        <w:t>-catalyst and nanoparticles technologies have been proposed and applied for the treatment of polluted wastewaters</w:t>
      </w:r>
      <w:r w:rsidR="00713870">
        <w:rPr>
          <w:lang w:val="en-GB"/>
        </w:rPr>
        <w:t xml:space="preserve"> and groundwater</w:t>
      </w:r>
      <w:r w:rsidR="008D64A7">
        <w:rPr>
          <w:lang w:val="en-GB"/>
        </w:rPr>
        <w:t xml:space="preserve"> (</w:t>
      </w:r>
      <w:proofErr w:type="spellStart"/>
      <w:r w:rsidR="008D64A7">
        <w:rPr>
          <w:lang w:val="en-GB"/>
        </w:rPr>
        <w:t>Sarno</w:t>
      </w:r>
      <w:proofErr w:type="spellEnd"/>
      <w:r w:rsidR="008D64A7">
        <w:rPr>
          <w:lang w:val="en-GB"/>
        </w:rPr>
        <w:t xml:space="preserve"> et al., 2017a)</w:t>
      </w:r>
      <w:r w:rsidR="00C02C45">
        <w:rPr>
          <w:lang w:val="en-GB"/>
        </w:rPr>
        <w:t xml:space="preserve"> from both inorganic (Stoller et al., 2017) and organic materials (Vilardi et al., 2018b), but towards heavy metals the use of </w:t>
      </w:r>
      <w:r w:rsidR="00CD2EFA">
        <w:rPr>
          <w:lang w:val="en-GB"/>
        </w:rPr>
        <w:t xml:space="preserve">biological processes (Di Palma and Verdone, 2009) and of </w:t>
      </w:r>
      <w:r w:rsidR="00C02C45">
        <w:rPr>
          <w:lang w:val="en-GB"/>
        </w:rPr>
        <w:t xml:space="preserve">biological adsorbent materials, such as spent coffee grounds or fruit peels (Vilardi et al., 2018c) </w:t>
      </w:r>
      <w:r w:rsidR="008D64A7">
        <w:rPr>
          <w:lang w:val="en-GB"/>
        </w:rPr>
        <w:t xml:space="preserve">has been </w:t>
      </w:r>
      <w:r w:rsidR="00C02C45">
        <w:rPr>
          <w:lang w:val="en-GB"/>
        </w:rPr>
        <w:t xml:space="preserve">proved to be the more suitable way to remove and recover the heavy metals in aqueous solutions. </w:t>
      </w:r>
    </w:p>
    <w:p w14:paraId="04F12AF6" w14:textId="585BB04C" w:rsidR="005D10C7" w:rsidRDefault="00C02C45" w:rsidP="00600535">
      <w:pPr>
        <w:pStyle w:val="CETBodytext"/>
        <w:rPr>
          <w:lang w:val="en-GB"/>
        </w:rPr>
      </w:pPr>
      <w:r>
        <w:rPr>
          <w:lang w:val="en-GB"/>
        </w:rPr>
        <w:t xml:space="preserve">Considering the necessity to develop environmentally friendly technologies for a sustainable </w:t>
      </w:r>
      <w:r w:rsidR="008D64A7">
        <w:rPr>
          <w:lang w:val="en-GB"/>
        </w:rPr>
        <w:t>remediation procedure of polluted environments</w:t>
      </w:r>
      <w:r w:rsidR="00713870">
        <w:rPr>
          <w:lang w:val="en-GB"/>
        </w:rPr>
        <w:t xml:space="preserve"> (Stoller et al., 2016)</w:t>
      </w:r>
      <w:r w:rsidR="008D64A7">
        <w:rPr>
          <w:lang w:val="en-GB"/>
        </w:rPr>
        <w:t>, the production of organic-inorganic nanocomposites may play an important role (Sarno et al., 2017b) since can lead to remarkable improvements and production cost reduction. In particular</w:t>
      </w:r>
      <w:r w:rsidR="005D10C7">
        <w:rPr>
          <w:lang w:val="en-GB"/>
        </w:rPr>
        <w:t>, different nanocomposite ha</w:t>
      </w:r>
      <w:r w:rsidR="005A36F9">
        <w:rPr>
          <w:lang w:val="en-GB"/>
        </w:rPr>
        <w:t>s</w:t>
      </w:r>
      <w:r w:rsidR="005D10C7">
        <w:rPr>
          <w:lang w:val="en-GB"/>
        </w:rPr>
        <w:t xml:space="preserve"> already been used towards heavy metals removal in </w:t>
      </w:r>
      <w:r w:rsidR="005A36F9">
        <w:rPr>
          <w:lang w:val="en-GB"/>
        </w:rPr>
        <w:t xml:space="preserve">an </w:t>
      </w:r>
      <w:r w:rsidR="005D10C7">
        <w:rPr>
          <w:lang w:val="en-GB"/>
        </w:rPr>
        <w:t>aqueous environment</w:t>
      </w:r>
      <w:r w:rsidR="00431FEC">
        <w:rPr>
          <w:lang w:val="en-GB"/>
        </w:rPr>
        <w:t xml:space="preserve"> (Vilardi et al., 2018d)</w:t>
      </w:r>
      <w:r w:rsidR="005D10C7">
        <w:rPr>
          <w:lang w:val="en-GB"/>
        </w:rPr>
        <w:t>. For instance, the U retention capacity of a polymer-</w:t>
      </w:r>
      <w:proofErr w:type="spellStart"/>
      <w:r w:rsidR="005D10C7">
        <w:rPr>
          <w:lang w:val="en-GB"/>
        </w:rPr>
        <w:t>nano</w:t>
      </w:r>
      <w:proofErr w:type="spellEnd"/>
      <w:r w:rsidR="005A36F9">
        <w:rPr>
          <w:lang w:val="en-GB"/>
        </w:rPr>
        <w:t xml:space="preserve"> </w:t>
      </w:r>
      <w:r w:rsidR="005D10C7">
        <w:rPr>
          <w:lang w:val="en-GB"/>
        </w:rPr>
        <w:t xml:space="preserve">silica composite prepared by </w:t>
      </w:r>
      <w:proofErr w:type="spellStart"/>
      <w:r w:rsidR="005D10C7">
        <w:rPr>
          <w:lang w:val="en-GB"/>
        </w:rPr>
        <w:t>Milja</w:t>
      </w:r>
      <w:proofErr w:type="spellEnd"/>
      <w:r w:rsidR="005D10C7">
        <w:rPr>
          <w:lang w:val="en-GB"/>
        </w:rPr>
        <w:t xml:space="preserve"> et al. (2011) reached 8.93 mg/g at </w:t>
      </w:r>
      <w:r w:rsidR="005A36F9">
        <w:rPr>
          <w:lang w:val="en-GB"/>
        </w:rPr>
        <w:t xml:space="preserve">an </w:t>
      </w:r>
      <w:r w:rsidR="005D10C7">
        <w:rPr>
          <w:lang w:val="en-GB"/>
        </w:rPr>
        <w:t>initial U concentration of 10 mg/L, that is a notable removal efficiency value if compared with those obtained through classical biological methods (</w:t>
      </w:r>
      <w:proofErr w:type="spellStart"/>
      <w:r w:rsidR="005D10C7">
        <w:rPr>
          <w:lang w:val="en-GB"/>
        </w:rPr>
        <w:t>Marsili</w:t>
      </w:r>
      <w:proofErr w:type="spellEnd"/>
      <w:r w:rsidR="005D10C7">
        <w:rPr>
          <w:lang w:val="en-GB"/>
        </w:rPr>
        <w:t xml:space="preserve"> et al., 2005) or by means of combined biological-geochemical methods (</w:t>
      </w:r>
      <w:proofErr w:type="spellStart"/>
      <w:r w:rsidR="005D10C7">
        <w:rPr>
          <w:lang w:val="en-GB"/>
        </w:rPr>
        <w:t>Marsili</w:t>
      </w:r>
      <w:proofErr w:type="spellEnd"/>
      <w:r w:rsidR="005D10C7">
        <w:rPr>
          <w:lang w:val="en-GB"/>
        </w:rPr>
        <w:t xml:space="preserve"> et al., 2007).</w:t>
      </w:r>
    </w:p>
    <w:p w14:paraId="187AB635" w14:textId="260EAC6E" w:rsidR="00600535" w:rsidRPr="00B57B36" w:rsidRDefault="005D10C7" w:rsidP="0068029F">
      <w:pPr>
        <w:pStyle w:val="CETBodytext"/>
      </w:pPr>
      <w:r>
        <w:rPr>
          <w:lang w:val="en-GB"/>
        </w:rPr>
        <w:t xml:space="preserve">Therefore, the aim of this work was to investigate on the removal efficiency of a hazardous heavy metal, Cr(VI), using a bio-nanocomposite material, produced using chitosan as bio-polymer and </w:t>
      </w:r>
      <w:proofErr w:type="spellStart"/>
      <w:r>
        <w:rPr>
          <w:lang w:val="en-GB"/>
        </w:rPr>
        <w:t>nanomagnetite</w:t>
      </w:r>
      <w:proofErr w:type="spellEnd"/>
      <w:r>
        <w:rPr>
          <w:lang w:val="en-GB"/>
        </w:rPr>
        <w:t xml:space="preserve"> as iron</w:t>
      </w:r>
      <w:r w:rsidR="005A36F9">
        <w:rPr>
          <w:lang w:val="en-GB"/>
        </w:rPr>
        <w:t>-</w:t>
      </w:r>
      <w:r>
        <w:rPr>
          <w:lang w:val="en-GB"/>
        </w:rPr>
        <w:t xml:space="preserve">based nanoparticles. Kinetic experiments were conducted at different temperature and pH, once the </w:t>
      </w:r>
      <w:r>
        <w:rPr>
          <w:lang w:val="en-GB"/>
        </w:rPr>
        <w:lastRenderedPageBreak/>
        <w:t xml:space="preserve">optimal nanocomposite amount has been found. The kinetic data were fitted to a suitable </w:t>
      </w:r>
      <w:r w:rsidR="00960675">
        <w:rPr>
          <w:lang w:val="en-GB"/>
        </w:rPr>
        <w:t xml:space="preserve">mathematical model, as well as the kinetic constant/temperature data were fitted to </w:t>
      </w:r>
      <w:r w:rsidR="005A36F9">
        <w:rPr>
          <w:lang w:val="en-GB"/>
        </w:rPr>
        <w:t xml:space="preserve">a </w:t>
      </w:r>
      <w:r w:rsidR="00960675">
        <w:rPr>
          <w:lang w:val="en-GB"/>
        </w:rPr>
        <w:t>classical Arrhenius model.</w:t>
      </w:r>
      <w:r w:rsidR="008D64A7">
        <w:rPr>
          <w:lang w:val="en-GB"/>
        </w:rPr>
        <w:t xml:space="preserve"> </w:t>
      </w:r>
    </w:p>
    <w:p w14:paraId="36ACCE32" w14:textId="77777777" w:rsidR="00600535" w:rsidRPr="00B57B36" w:rsidRDefault="00960675" w:rsidP="00600535">
      <w:pPr>
        <w:pStyle w:val="CETHeading1"/>
        <w:tabs>
          <w:tab w:val="clear" w:pos="360"/>
          <w:tab w:val="right" w:pos="7100"/>
        </w:tabs>
        <w:jc w:val="both"/>
        <w:rPr>
          <w:lang w:val="en-GB"/>
        </w:rPr>
      </w:pPr>
      <w:r>
        <w:rPr>
          <w:lang w:val="en-GB"/>
        </w:rPr>
        <w:t>Materials and Methods</w:t>
      </w:r>
    </w:p>
    <w:p w14:paraId="1E6F1DD2" w14:textId="77777777" w:rsidR="00600535" w:rsidRPr="00B57B36" w:rsidRDefault="00960675" w:rsidP="00FA5F5F">
      <w:pPr>
        <w:pStyle w:val="CETheadingx"/>
      </w:pPr>
      <w:r>
        <w:t>Materials</w:t>
      </w:r>
    </w:p>
    <w:p w14:paraId="27D7C9F9" w14:textId="322C27E2" w:rsidR="00960675" w:rsidRDefault="00960675" w:rsidP="00600535">
      <w:pPr>
        <w:pStyle w:val="CETBodytext"/>
        <w:rPr>
          <w:lang w:val="en-GB"/>
        </w:rPr>
      </w:pPr>
      <w:r w:rsidRPr="00960675">
        <w:rPr>
          <w:lang w:val="en-GB"/>
        </w:rPr>
        <w:t xml:space="preserve">All the reagents were purchased </w:t>
      </w:r>
      <w:r>
        <w:rPr>
          <w:lang w:val="en-GB"/>
        </w:rPr>
        <w:t xml:space="preserve">at analytical grade </w:t>
      </w:r>
      <w:r w:rsidRPr="00960675">
        <w:rPr>
          <w:lang w:val="en-GB"/>
        </w:rPr>
        <w:t xml:space="preserve">from Sigma Aldrich (Milan). The solutions were prepared in deionized water. The following reagents were used in the experiments: NaOH, </w:t>
      </w:r>
      <w:r w:rsidR="00AB31B4">
        <w:rPr>
          <w:lang w:val="en-GB"/>
        </w:rPr>
        <w:t xml:space="preserve">NaCl, </w:t>
      </w:r>
      <w:r w:rsidR="00EA08EF">
        <w:rPr>
          <w:lang w:val="en-GB"/>
        </w:rPr>
        <w:t>C</w:t>
      </w:r>
      <w:r>
        <w:rPr>
          <w:lang w:val="en-GB"/>
        </w:rPr>
        <w:t>hitosan</w:t>
      </w:r>
      <w:r w:rsidRPr="00960675">
        <w:rPr>
          <w:lang w:val="en-GB"/>
        </w:rPr>
        <w:t>, K</w:t>
      </w:r>
      <w:r w:rsidRPr="00960675">
        <w:rPr>
          <w:vertAlign w:val="subscript"/>
          <w:lang w:val="en-GB"/>
        </w:rPr>
        <w:t>2</w:t>
      </w:r>
      <w:r w:rsidRPr="00960675">
        <w:rPr>
          <w:lang w:val="en-GB"/>
        </w:rPr>
        <w:t>Cr</w:t>
      </w:r>
      <w:r w:rsidRPr="00960675">
        <w:rPr>
          <w:vertAlign w:val="subscript"/>
          <w:lang w:val="en-GB"/>
        </w:rPr>
        <w:t>2</w:t>
      </w:r>
      <w:r w:rsidRPr="00960675">
        <w:rPr>
          <w:lang w:val="en-GB"/>
        </w:rPr>
        <w:t>O</w:t>
      </w:r>
      <w:r w:rsidRPr="00EA08EF">
        <w:rPr>
          <w:vertAlign w:val="subscript"/>
          <w:lang w:val="en-GB"/>
        </w:rPr>
        <w:t>7</w:t>
      </w:r>
      <w:r w:rsidRPr="00960675">
        <w:rPr>
          <w:lang w:val="en-GB"/>
        </w:rPr>
        <w:t>, FeCl</w:t>
      </w:r>
      <w:r w:rsidRPr="00960675">
        <w:rPr>
          <w:vertAlign w:val="subscript"/>
          <w:lang w:val="en-GB"/>
        </w:rPr>
        <w:t>3</w:t>
      </w:r>
      <w:r w:rsidRPr="00960675">
        <w:rPr>
          <w:lang w:val="en-GB"/>
        </w:rPr>
        <w:t>·6H</w:t>
      </w:r>
      <w:r w:rsidRPr="00960675">
        <w:rPr>
          <w:vertAlign w:val="subscript"/>
          <w:lang w:val="en-GB"/>
        </w:rPr>
        <w:t>2</w:t>
      </w:r>
      <w:r w:rsidRPr="00960675">
        <w:rPr>
          <w:lang w:val="en-GB"/>
        </w:rPr>
        <w:t>O, FeSO</w:t>
      </w:r>
      <w:r w:rsidRPr="00960675">
        <w:rPr>
          <w:vertAlign w:val="subscript"/>
          <w:lang w:val="en-GB"/>
        </w:rPr>
        <w:t>4</w:t>
      </w:r>
      <w:r w:rsidRPr="00960675">
        <w:rPr>
          <w:lang w:val="en-GB"/>
        </w:rPr>
        <w:t>·7H</w:t>
      </w:r>
      <w:r w:rsidRPr="00960675">
        <w:rPr>
          <w:vertAlign w:val="subscript"/>
          <w:lang w:val="en-GB"/>
        </w:rPr>
        <w:t>2</w:t>
      </w:r>
      <w:r w:rsidRPr="00960675">
        <w:rPr>
          <w:lang w:val="en-GB"/>
        </w:rPr>
        <w:t>O, NH</w:t>
      </w:r>
      <w:r w:rsidRPr="00960675">
        <w:rPr>
          <w:vertAlign w:val="subscript"/>
          <w:lang w:val="en-GB"/>
        </w:rPr>
        <w:t>4</w:t>
      </w:r>
      <w:r w:rsidR="002330C4">
        <w:rPr>
          <w:lang w:val="en-GB"/>
        </w:rPr>
        <w:t>OH (33% v/v)</w:t>
      </w:r>
      <w:r w:rsidRPr="00960675">
        <w:rPr>
          <w:lang w:val="en-GB"/>
        </w:rPr>
        <w:t xml:space="preserve"> </w:t>
      </w:r>
      <w:r w:rsidR="00EA08EF" w:rsidRPr="00960675">
        <w:rPr>
          <w:lang w:val="en-GB"/>
        </w:rPr>
        <w:t>Diphenyl carbazide</w:t>
      </w:r>
      <w:r w:rsidRPr="00960675">
        <w:rPr>
          <w:lang w:val="en-GB"/>
        </w:rPr>
        <w:t>, and H</w:t>
      </w:r>
      <w:r w:rsidRPr="00960675">
        <w:rPr>
          <w:vertAlign w:val="subscript"/>
          <w:lang w:val="en-GB"/>
        </w:rPr>
        <w:t>2</w:t>
      </w:r>
      <w:r w:rsidRPr="00960675">
        <w:rPr>
          <w:lang w:val="en-GB"/>
        </w:rPr>
        <w:t>SO</w:t>
      </w:r>
      <w:r w:rsidRPr="00960675">
        <w:rPr>
          <w:vertAlign w:val="subscript"/>
          <w:lang w:val="en-GB"/>
        </w:rPr>
        <w:t>4</w:t>
      </w:r>
      <w:r w:rsidRPr="00960675">
        <w:rPr>
          <w:lang w:val="en-GB"/>
        </w:rPr>
        <w:t>.</w:t>
      </w:r>
      <w:r>
        <w:rPr>
          <w:lang w:val="en-GB"/>
        </w:rPr>
        <w:t xml:space="preserve"> The chromium salt was dissolved in deionized water to prepare a solution with an initial Cr(VI) concentration equal to 20 mg/L, whereas the basic and acid solutions were diluted up to 0.1 M and subsequently used to modify the initial Cr(VI) solution pH</w:t>
      </w:r>
      <w:r w:rsidR="00713870">
        <w:rPr>
          <w:lang w:val="en-GB"/>
        </w:rPr>
        <w:t xml:space="preserve">, measured by a </w:t>
      </w:r>
      <w:proofErr w:type="spellStart"/>
      <w:r w:rsidR="00713870">
        <w:rPr>
          <w:lang w:val="en-GB"/>
        </w:rPr>
        <w:t>Crison</w:t>
      </w:r>
      <w:proofErr w:type="spellEnd"/>
      <w:r w:rsidR="00713870">
        <w:rPr>
          <w:lang w:val="en-GB"/>
        </w:rPr>
        <w:t xml:space="preserve"> pH-meter</w:t>
      </w:r>
      <w:r>
        <w:rPr>
          <w:lang w:val="en-GB"/>
        </w:rPr>
        <w:t xml:space="preserve">. </w:t>
      </w:r>
    </w:p>
    <w:p w14:paraId="1C6C1047" w14:textId="77777777" w:rsidR="00600535" w:rsidRPr="00B57B36" w:rsidRDefault="00960675" w:rsidP="00FA5F5F">
      <w:pPr>
        <w:pStyle w:val="CETheadingx"/>
      </w:pPr>
      <w:r>
        <w:t>Bio-Nanocomposite Synthesis</w:t>
      </w:r>
    </w:p>
    <w:p w14:paraId="78B93DD2" w14:textId="2E78EB9E" w:rsidR="00960675" w:rsidRPr="00960675" w:rsidRDefault="002330C4" w:rsidP="00960675">
      <w:pPr>
        <w:pStyle w:val="CETBodytext"/>
      </w:pPr>
      <w:r>
        <w:t>The followed procedure is a modification of a previous syn</w:t>
      </w:r>
      <w:r w:rsidR="00BC6A48">
        <w:t>thesis reported elsewhere (</w:t>
      </w:r>
      <w:r>
        <w:t>Tran et al., 2010). In brief, t</w:t>
      </w:r>
      <w:r w:rsidR="00960675" w:rsidRPr="00960675">
        <w:t xml:space="preserve">he </w:t>
      </w:r>
      <w:r w:rsidR="00960675">
        <w:t xml:space="preserve">iron precursors were dissolved in the aqueous chitosan solution (prepared dissolving </w:t>
      </w:r>
      <w:r>
        <w:t>1 g of chitosan in 90</w:t>
      </w:r>
      <w:r w:rsidR="00960675">
        <w:t xml:space="preserve"> mL of deionized water and </w:t>
      </w:r>
      <w:r>
        <w:t>10</w:t>
      </w:r>
      <w:r w:rsidR="00960675">
        <w:t xml:space="preserve"> mL of H</w:t>
      </w:r>
      <w:r w:rsidR="00960675" w:rsidRPr="00960675">
        <w:rPr>
          <w:vertAlign w:val="subscript"/>
        </w:rPr>
        <w:t>2</w:t>
      </w:r>
      <w:r w:rsidR="00960675">
        <w:t>SO</w:t>
      </w:r>
      <w:r w:rsidR="00960675" w:rsidRPr="00960675">
        <w:rPr>
          <w:vertAlign w:val="subscript"/>
        </w:rPr>
        <w:t>4</w:t>
      </w:r>
      <w:r w:rsidR="00960675">
        <w:t xml:space="preserve"> 0.1 M) </w:t>
      </w:r>
      <w:r w:rsidR="00960675" w:rsidRPr="00960675">
        <w:t>using a molar ratio of 2:1 among Fe(III) and Fe(II) species</w:t>
      </w:r>
      <w:r>
        <w:t xml:space="preserve"> (0.</w:t>
      </w:r>
      <w:r w:rsidRPr="00960675">
        <w:t>1 M of FeSO</w:t>
      </w:r>
      <w:r w:rsidRPr="00960675">
        <w:rPr>
          <w:vertAlign w:val="subscript"/>
        </w:rPr>
        <w:t>4</w:t>
      </w:r>
      <w:r w:rsidRPr="00960675">
        <w:t>·7H</w:t>
      </w:r>
      <w:r w:rsidRPr="00960675">
        <w:rPr>
          <w:vertAlign w:val="subscript"/>
        </w:rPr>
        <w:t>2</w:t>
      </w:r>
      <w:r w:rsidRPr="00960675">
        <w:t>O and 0.2 M of FeCl</w:t>
      </w:r>
      <w:r w:rsidRPr="00960675">
        <w:rPr>
          <w:vertAlign w:val="subscript"/>
        </w:rPr>
        <w:t>3</w:t>
      </w:r>
      <w:r w:rsidRPr="00960675">
        <w:t>·6H</w:t>
      </w:r>
      <w:r w:rsidRPr="00960675">
        <w:rPr>
          <w:vertAlign w:val="subscript"/>
        </w:rPr>
        <w:t>2</w:t>
      </w:r>
      <w:r w:rsidRPr="00960675">
        <w:t>O</w:t>
      </w:r>
      <w:r>
        <w:t>)</w:t>
      </w:r>
      <w:r w:rsidR="00960675">
        <w:t>. The solution was stirred at 300 rpm for 30 min and subsequentl</w:t>
      </w:r>
      <w:r w:rsidR="005A36F9">
        <w:t>y,</w:t>
      </w:r>
      <w:r w:rsidR="00960675">
        <w:t xml:space="preserve"> </w:t>
      </w:r>
      <w:r>
        <w:t>the Bio-nanocomposite (BNC) was synthe</w:t>
      </w:r>
      <w:r w:rsidR="005A36F9">
        <w:t>s</w:t>
      </w:r>
      <w:r>
        <w:t xml:space="preserve">ized adding </w:t>
      </w:r>
      <w:r w:rsidRPr="00960675">
        <w:t>NH</w:t>
      </w:r>
      <w:r w:rsidRPr="00960675">
        <w:rPr>
          <w:vertAlign w:val="subscript"/>
        </w:rPr>
        <w:t>4</w:t>
      </w:r>
      <w:r w:rsidRPr="00960675">
        <w:t xml:space="preserve">OH </w:t>
      </w:r>
      <w:r>
        <w:t>solution dropwise until reaching the required amount according to the theoretical stoichiometric</w:t>
      </w:r>
      <w:r w:rsidR="00960675" w:rsidRPr="00960675">
        <w:t xml:space="preserve"> molar ratio of </w:t>
      </w:r>
      <w:r>
        <w:t>(</w:t>
      </w:r>
      <w:r w:rsidR="00960675" w:rsidRPr="00960675">
        <w:t xml:space="preserve">8:1 </w:t>
      </w:r>
      <w:r>
        <w:t>with respect to initial Fe(II)). The solution was kept in stirring for 1 h and then the BNC</w:t>
      </w:r>
      <w:r w:rsidR="00960675" w:rsidRPr="00960675">
        <w:t xml:space="preserve"> particles were magnetically separated, recovered and washed with pure ethanol. The </w:t>
      </w:r>
      <w:r>
        <w:t>BNC</w:t>
      </w:r>
      <w:r w:rsidR="00960675" w:rsidRPr="00960675">
        <w:t xml:space="preserve"> particles were then characterized by Dynamic Light Scattering</w:t>
      </w:r>
      <w:r w:rsidR="00465AC2">
        <w:t xml:space="preserve"> (Brookhaven)</w:t>
      </w:r>
      <w:r w:rsidR="00960675" w:rsidRPr="00960675">
        <w:t xml:space="preserve">, showing a mean dimension of </w:t>
      </w:r>
      <w:r>
        <w:t>38</w:t>
      </w:r>
      <w:r w:rsidR="00960675" w:rsidRPr="00960675">
        <w:t xml:space="preserve"> ± </w:t>
      </w:r>
      <w:r>
        <w:t>4</w:t>
      </w:r>
      <w:r w:rsidR="00960675" w:rsidRPr="00960675">
        <w:t>.4 nm</w:t>
      </w:r>
      <w:r>
        <w:t>.</w:t>
      </w:r>
      <w:r w:rsidR="00AB31B4">
        <w:t xml:space="preserve"> </w:t>
      </w:r>
      <w:r w:rsidR="00AB31B4" w:rsidRPr="00AB31B4">
        <w:rPr>
          <w:lang w:val="en-GB"/>
        </w:rPr>
        <w:t xml:space="preserve">Point of Zero Charge (PZC), was determined by suspending different material amounts (0.01, 0.1, 1, 5, 10, 20 % </w:t>
      </w:r>
      <w:proofErr w:type="spellStart"/>
      <w:r w:rsidR="00AB31B4" w:rsidRPr="00AB31B4">
        <w:rPr>
          <w:lang w:val="en-GB"/>
        </w:rPr>
        <w:t>wt</w:t>
      </w:r>
      <w:proofErr w:type="spellEnd"/>
      <w:r w:rsidR="00AB31B4" w:rsidRPr="00AB31B4">
        <w:rPr>
          <w:lang w:val="en-GB"/>
        </w:rPr>
        <w:t xml:space="preserve">) in 0.1 M </w:t>
      </w:r>
      <w:proofErr w:type="spellStart"/>
      <w:r w:rsidR="00AB31B4" w:rsidRPr="00AB31B4">
        <w:rPr>
          <w:lang w:val="en-GB"/>
        </w:rPr>
        <w:t>NaCl</w:t>
      </w:r>
      <w:proofErr w:type="spellEnd"/>
      <w:r w:rsidR="00AB31B4" w:rsidRPr="00AB31B4">
        <w:rPr>
          <w:lang w:val="en-GB"/>
        </w:rPr>
        <w:t xml:space="preserve"> solution and measuring the solution pH after 24 h of contact time, according to (</w:t>
      </w:r>
      <w:r w:rsidR="00AB31B4">
        <w:rPr>
          <w:lang w:val="en-GB"/>
        </w:rPr>
        <w:t>Chung et al., 2012</w:t>
      </w:r>
      <w:r w:rsidR="00AB31B4" w:rsidRPr="00AB31B4">
        <w:rPr>
          <w:lang w:val="en-GB"/>
        </w:rPr>
        <w:t>).</w:t>
      </w:r>
      <w:r w:rsidR="00AB31B4">
        <w:rPr>
          <w:lang w:val="en-GB"/>
        </w:rPr>
        <w:t xml:space="preserve"> A pH of zero charge equal to 4.5 was determined, similar to the value obtained for the modified </w:t>
      </w:r>
      <w:proofErr w:type="spellStart"/>
      <w:r w:rsidR="00AB31B4">
        <w:rPr>
          <w:lang w:val="en-GB"/>
        </w:rPr>
        <w:t>nano</w:t>
      </w:r>
      <w:proofErr w:type="spellEnd"/>
      <w:r w:rsidR="00AB31B4">
        <w:rPr>
          <w:lang w:val="en-GB"/>
        </w:rPr>
        <w:t>-magnetite, 4.8, reported by Chung et al. (2012).</w:t>
      </w:r>
    </w:p>
    <w:p w14:paraId="75858CCF" w14:textId="77777777" w:rsidR="00600535" w:rsidRPr="00B57B36" w:rsidRDefault="002330C4" w:rsidP="00FA5F5F">
      <w:pPr>
        <w:pStyle w:val="CETheadingx"/>
      </w:pPr>
      <w:r>
        <w:t>Experiments</w:t>
      </w:r>
    </w:p>
    <w:p w14:paraId="1F77D437" w14:textId="62BCFF2E" w:rsidR="002330C4" w:rsidRDefault="001442F7" w:rsidP="00600535">
      <w:pPr>
        <w:pStyle w:val="CETBodytext"/>
        <w:rPr>
          <w:lang w:val="en-GB"/>
        </w:rPr>
      </w:pPr>
      <w:r>
        <w:rPr>
          <w:lang w:val="en-GB"/>
        </w:rPr>
        <w:t>Four</w:t>
      </w:r>
      <w:r w:rsidR="002330C4">
        <w:rPr>
          <w:lang w:val="en-GB"/>
        </w:rPr>
        <w:t xml:space="preserve"> different BNC concentration </w:t>
      </w:r>
      <w:r w:rsidR="002330C4" w:rsidRPr="00325B77">
        <w:t>(0.25, 0.5, 0.75, 1 g/L)</w:t>
      </w:r>
      <w:r w:rsidR="002330C4">
        <w:rPr>
          <w:lang w:val="en-GB"/>
        </w:rPr>
        <w:t xml:space="preserve"> were tested </w:t>
      </w:r>
      <w:r w:rsidR="00D44025">
        <w:rPr>
          <w:lang w:val="en-GB"/>
        </w:rPr>
        <w:t>at 24 h in synthetic Cr(VI) solution (Cr(VI)</w:t>
      </w:r>
      <w:r w:rsidR="00D44025" w:rsidRPr="00D44025">
        <w:rPr>
          <w:vertAlign w:val="subscript"/>
          <w:lang w:val="en-GB"/>
        </w:rPr>
        <w:t>0</w:t>
      </w:r>
      <w:r w:rsidR="00D44025">
        <w:rPr>
          <w:lang w:val="en-GB"/>
        </w:rPr>
        <w:t>=20 mg/L</w:t>
      </w:r>
      <w:r w:rsidR="00774679">
        <w:rPr>
          <w:lang w:val="en-GB"/>
        </w:rPr>
        <w:t>, initial pH=4.6</w:t>
      </w:r>
      <w:r w:rsidR="00D44025">
        <w:rPr>
          <w:lang w:val="en-GB"/>
        </w:rPr>
        <w:t xml:space="preserve">) </w:t>
      </w:r>
      <w:r w:rsidR="002330C4">
        <w:rPr>
          <w:lang w:val="en-GB"/>
        </w:rPr>
        <w:t xml:space="preserve">to find the optimal amount according to the </w:t>
      </w:r>
      <w:r w:rsidR="00D44025">
        <w:rPr>
          <w:lang w:val="en-GB"/>
        </w:rPr>
        <w:t xml:space="preserve">obtained </w:t>
      </w:r>
      <w:r w:rsidR="002330C4">
        <w:rPr>
          <w:lang w:val="en-GB"/>
        </w:rPr>
        <w:t>higher sorption capacity, q (mg/g), defined by the following equation</w:t>
      </w:r>
      <w:r w:rsidR="00431FEC">
        <w:rPr>
          <w:lang w:val="en-GB"/>
        </w:rPr>
        <w:t xml:space="preserve"> (Vilardi et al., 2017c)</w:t>
      </w:r>
      <w:r w:rsidR="002330C4">
        <w:rPr>
          <w:lang w:val="en-GB"/>
        </w:rPr>
        <w:t xml:space="preserve"> (1):</w:t>
      </w:r>
    </w:p>
    <w:p w14:paraId="531514ED" w14:textId="77777777" w:rsidR="002330C4" w:rsidRPr="00D44025" w:rsidRDefault="00D44025" w:rsidP="00600535">
      <w:pPr>
        <w:pStyle w:val="CETBodytext"/>
        <w:rPr>
          <w:szCs w:val="18"/>
        </w:rPr>
      </w:pPr>
      <m:oMathPara>
        <m:oMath>
          <m:r>
            <w:rPr>
              <w:rFonts w:ascii="Cambria Math" w:hAnsi="Cambria Math" w:cs="Arial"/>
              <w:szCs w:val="18"/>
            </w:rPr>
            <m:t xml:space="preserve">q= </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L</m:t>
                  </m:r>
                </m:sub>
              </m:sSub>
            </m:num>
            <m:den>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BNC</m:t>
                  </m:r>
                </m:sub>
              </m:sSub>
            </m:den>
          </m:f>
          <m:r>
            <w:rPr>
              <w:rFonts w:ascii="Cambria Math" w:hAnsi="Cambria Math" w:cs="Arial"/>
              <w:szCs w:val="18"/>
            </w:rPr>
            <m:t xml:space="preserve"> </m:t>
          </m:r>
          <m:d>
            <m:dPr>
              <m:begChr m:val="["/>
              <m:endChr m:val="]"/>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Cr</m:t>
                  </m:r>
                  <m:d>
                    <m:dPr>
                      <m:ctrlPr>
                        <w:rPr>
                          <w:rFonts w:ascii="Cambria Math" w:hAnsi="Cambria Math" w:cs="Arial"/>
                          <w:i/>
                          <w:szCs w:val="18"/>
                        </w:rPr>
                      </m:ctrlPr>
                    </m:dPr>
                    <m:e>
                      <m:r>
                        <w:rPr>
                          <w:rFonts w:ascii="Cambria Math" w:hAnsi="Cambria Math" w:cs="Arial"/>
                          <w:szCs w:val="18"/>
                        </w:rPr>
                        <m:t>VI</m:t>
                      </m:r>
                    </m:e>
                  </m:d>
                </m:e>
                <m:sub>
                  <m:r>
                    <w:rPr>
                      <w:rFonts w:ascii="Cambria Math" w:hAnsi="Cambria Math" w:cs="Arial"/>
                      <w:szCs w:val="18"/>
                    </w:rPr>
                    <m:t>0</m:t>
                  </m:r>
                </m:sub>
              </m:sSub>
              <m:r>
                <w:rPr>
                  <w:rFonts w:ascii="Cambria Math" w:hAnsi="Cambria Math" w:cs="Arial"/>
                  <w:szCs w:val="18"/>
                </w:rPr>
                <m:t xml:space="preserve">- </m:t>
              </m:r>
              <m:sSub>
                <m:sSubPr>
                  <m:ctrlPr>
                    <w:rPr>
                      <w:rFonts w:ascii="Cambria Math" w:hAnsi="Cambria Math" w:cs="Arial"/>
                      <w:i/>
                      <w:szCs w:val="18"/>
                    </w:rPr>
                  </m:ctrlPr>
                </m:sSubPr>
                <m:e>
                  <m:r>
                    <w:rPr>
                      <w:rFonts w:ascii="Cambria Math" w:hAnsi="Cambria Math" w:cs="Arial"/>
                      <w:szCs w:val="18"/>
                    </w:rPr>
                    <m:t>Cr</m:t>
                  </m:r>
                  <m:d>
                    <m:dPr>
                      <m:ctrlPr>
                        <w:rPr>
                          <w:rFonts w:ascii="Cambria Math" w:hAnsi="Cambria Math" w:cs="Arial"/>
                          <w:i/>
                          <w:szCs w:val="18"/>
                        </w:rPr>
                      </m:ctrlPr>
                    </m:dPr>
                    <m:e>
                      <m:r>
                        <w:rPr>
                          <w:rFonts w:ascii="Cambria Math" w:hAnsi="Cambria Math" w:cs="Arial"/>
                          <w:szCs w:val="18"/>
                        </w:rPr>
                        <m:t>VI</m:t>
                      </m:r>
                    </m:e>
                  </m:d>
                </m:e>
                <m:sub>
                  <m:r>
                    <w:rPr>
                      <w:rFonts w:ascii="Cambria Math" w:hAnsi="Cambria Math" w:cs="Arial"/>
                      <w:szCs w:val="18"/>
                    </w:rPr>
                    <m:t>t</m:t>
                  </m:r>
                </m:sub>
              </m:sSub>
            </m:e>
          </m:d>
          <m:r>
            <w:rPr>
              <w:rFonts w:ascii="Cambria Math" w:hAnsi="Cambria Math" w:cs="Arial"/>
              <w:szCs w:val="18"/>
            </w:rPr>
            <m:t xml:space="preserve">                                                                                                                                                         (1)</m:t>
          </m:r>
        </m:oMath>
      </m:oMathPara>
    </w:p>
    <w:p w14:paraId="646658CF" w14:textId="77777777" w:rsidR="00D44025" w:rsidRDefault="00D44025" w:rsidP="00600535">
      <w:pPr>
        <w:pStyle w:val="CETBodytext"/>
        <w:rPr>
          <w:lang w:val="en-GB"/>
        </w:rPr>
      </w:pPr>
    </w:p>
    <w:p w14:paraId="4569F71C" w14:textId="34D37460" w:rsidR="00600535" w:rsidRPr="00D44025" w:rsidRDefault="00D44025" w:rsidP="00D44025">
      <w:pPr>
        <w:pStyle w:val="CETBodytext"/>
        <w:rPr>
          <w:lang w:val="en-GB"/>
        </w:rPr>
      </w:pPr>
      <w:r>
        <w:rPr>
          <w:lang w:val="en-GB"/>
        </w:rPr>
        <w:t>where V</w:t>
      </w:r>
      <w:r w:rsidRPr="00D44025">
        <w:rPr>
          <w:vertAlign w:val="subscript"/>
          <w:lang w:val="en-GB"/>
        </w:rPr>
        <w:t>L</w:t>
      </w:r>
      <w:r>
        <w:rPr>
          <w:lang w:val="en-GB"/>
        </w:rPr>
        <w:t xml:space="preserve"> (L) is the reaction volume and </w:t>
      </w:r>
      <w:proofErr w:type="spellStart"/>
      <w:r>
        <w:rPr>
          <w:lang w:val="en-GB"/>
        </w:rPr>
        <w:t>m</w:t>
      </w:r>
      <w:r w:rsidRPr="00D44025">
        <w:rPr>
          <w:vertAlign w:val="subscript"/>
          <w:lang w:val="en-GB"/>
        </w:rPr>
        <w:t>BNC</w:t>
      </w:r>
      <w:proofErr w:type="spellEnd"/>
      <w:r>
        <w:rPr>
          <w:lang w:val="en-GB"/>
        </w:rPr>
        <w:t xml:space="preserve"> is the loaded BNC mass (g). </w:t>
      </w:r>
      <w:r w:rsidR="00475176">
        <w:rPr>
          <w:lang w:val="en-GB"/>
        </w:rPr>
        <w:t>Subsequently</w:t>
      </w:r>
      <w:r>
        <w:rPr>
          <w:lang w:val="en-GB"/>
        </w:rPr>
        <w:t>, according to the optimal BNC concentration, the initial pH of Cr(VI) solution was varied to investigate on the pH effect on the Cr(VI) removal efficiency at 24 h, fixing the initial pH at 3, 5 and 7. Once the optimal pH was found, kinetic tests were performed at 25, 35 and 45 °C,</w:t>
      </w:r>
      <w:r w:rsidR="00475176">
        <w:rPr>
          <w:lang w:val="en-GB"/>
        </w:rPr>
        <w:t xml:space="preserve"> fixing the temperature by a water bath, the stirring rate at 300 rpm and</w:t>
      </w:r>
      <w:r>
        <w:rPr>
          <w:lang w:val="en-GB"/>
        </w:rPr>
        <w:t xml:space="preserve"> sampling a liquid volume of 2 mL according to the following time schedule: 10, 20, 30, 45, 60, 90 and 120 min. The BNC particles were separated through </w:t>
      </w:r>
      <w:r w:rsidR="00412EC2">
        <w:rPr>
          <w:lang w:val="en-GB"/>
        </w:rPr>
        <w:t>a magnet</w:t>
      </w:r>
      <w:r>
        <w:rPr>
          <w:lang w:val="en-GB"/>
        </w:rPr>
        <w:t xml:space="preserve"> and </w:t>
      </w:r>
      <w:r w:rsidR="00412EC2">
        <w:rPr>
          <w:lang w:val="en-GB"/>
        </w:rPr>
        <w:t>after filtration</w:t>
      </w:r>
      <w:r w:rsidR="005A36F9">
        <w:rPr>
          <w:lang w:val="en-GB"/>
        </w:rPr>
        <w:t>,</w:t>
      </w:r>
      <w:r w:rsidR="00412EC2">
        <w:rPr>
          <w:lang w:val="en-GB"/>
        </w:rPr>
        <w:t xml:space="preserve"> at 220 nm filter paper </w:t>
      </w:r>
      <w:r>
        <w:rPr>
          <w:lang w:val="en-GB"/>
        </w:rPr>
        <w:t>the liquid phase was withdrawn to proceed with the Cr(VI) measure through d</w:t>
      </w:r>
      <w:r w:rsidR="005A36F9">
        <w:rPr>
          <w:lang w:val="en-GB"/>
        </w:rPr>
        <w:t>i</w:t>
      </w:r>
      <w:r>
        <w:rPr>
          <w:lang w:val="en-GB"/>
        </w:rPr>
        <w:t>phenyl-carbazide method (Vilardi et al., 2017b</w:t>
      </w:r>
      <w:r w:rsidR="00475176">
        <w:rPr>
          <w:lang w:val="en-GB"/>
        </w:rPr>
        <w:t>).</w:t>
      </w:r>
    </w:p>
    <w:p w14:paraId="0D39B4F5" w14:textId="2F2463DD" w:rsidR="00AB5011" w:rsidRPr="00B57B36" w:rsidRDefault="00475176" w:rsidP="00FA5F5F">
      <w:pPr>
        <w:pStyle w:val="CETheadingx"/>
      </w:pPr>
      <w:r>
        <w:t>Mathematical mode</w:t>
      </w:r>
      <w:r w:rsidR="005A36F9">
        <w:t>l</w:t>
      </w:r>
      <w:r>
        <w:t>ling</w:t>
      </w:r>
    </w:p>
    <w:p w14:paraId="1A125595" w14:textId="70B43A98" w:rsidR="00475176" w:rsidRDefault="00475176" w:rsidP="00AB5011">
      <w:pPr>
        <w:pStyle w:val="CETBodytext"/>
        <w:rPr>
          <w:lang w:val="en-GB"/>
        </w:rPr>
      </w:pPr>
      <w:r>
        <w:rPr>
          <w:lang w:val="en-GB"/>
        </w:rPr>
        <w:t>The kinetic data were fitted to a classical pseudo</w:t>
      </w:r>
      <w:r w:rsidR="005A36F9">
        <w:rPr>
          <w:lang w:val="en-GB"/>
        </w:rPr>
        <w:t>-</w:t>
      </w:r>
      <w:r>
        <w:rPr>
          <w:lang w:val="en-GB"/>
        </w:rPr>
        <w:t>n-</w:t>
      </w:r>
      <w:proofErr w:type="spellStart"/>
      <w:r>
        <w:rPr>
          <w:lang w:val="en-GB"/>
        </w:rPr>
        <w:t>th</w:t>
      </w:r>
      <w:proofErr w:type="spellEnd"/>
      <w:r>
        <w:rPr>
          <w:lang w:val="en-GB"/>
        </w:rPr>
        <w:t xml:space="preserve"> order kinetic model</w:t>
      </w:r>
      <w:r w:rsidR="00431FEC">
        <w:rPr>
          <w:lang w:val="en-GB"/>
        </w:rPr>
        <w:t xml:space="preserve"> (Vilardi, 2019)</w:t>
      </w:r>
      <w:r>
        <w:rPr>
          <w:lang w:val="en-GB"/>
        </w:rPr>
        <w:t>, expressed by the following equation:</w:t>
      </w:r>
    </w:p>
    <w:p w14:paraId="4C69F5CB" w14:textId="77777777" w:rsidR="00475176" w:rsidRDefault="00BD41CB" w:rsidP="00AB5011">
      <w:pPr>
        <w:pStyle w:val="CETBodytext"/>
        <w:rPr>
          <w:lang w:val="en-GB"/>
        </w:rPr>
      </w:pPr>
      <m:oMathPara>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Cr(VI)</m:t>
                  </m:r>
                </m:e>
                <m:sub>
                  <m:r>
                    <w:rPr>
                      <w:rFonts w:ascii="Cambria Math" w:hAnsi="Cambria Math"/>
                      <w:lang w:val="en-GB"/>
                    </w:rPr>
                    <m:t>t</m:t>
                  </m:r>
                </m:sub>
              </m:sSub>
            </m:e>
            <m:sup>
              <m:r>
                <w:rPr>
                  <w:rFonts w:ascii="Cambria Math" w:hAnsi="Cambria Math"/>
                  <w:lang w:val="en-GB"/>
                </w:rPr>
                <m:t>n-1</m:t>
              </m:r>
            </m:sup>
          </m:sSup>
          <m:r>
            <w:rPr>
              <w:rFonts w:ascii="Cambria Math" w:hAnsi="Cambria Math"/>
              <w:lang w:val="en-GB"/>
            </w:rPr>
            <m:t>=</m:t>
          </m:r>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Cr(VI)</m:t>
                  </m:r>
                </m:e>
                <m:sub>
                  <m:r>
                    <w:rPr>
                      <w:rFonts w:ascii="Cambria Math" w:hAnsi="Cambria Math"/>
                      <w:lang w:val="en-GB"/>
                    </w:rPr>
                    <m:t>0</m:t>
                  </m:r>
                </m:sub>
                <m:sup>
                  <m:r>
                    <w:rPr>
                      <w:rFonts w:ascii="Cambria Math" w:hAnsi="Cambria Math"/>
                      <w:lang w:val="en-GB"/>
                    </w:rPr>
                    <m:t>n-1</m:t>
                  </m:r>
                </m:sup>
              </m:sSubSup>
            </m:num>
            <m:den>
              <m:r>
                <w:rPr>
                  <w:rFonts w:ascii="Cambria Math" w:hAnsi="Cambria Math"/>
                  <w:lang w:val="en-GB"/>
                </w:rPr>
                <m:t>1+</m:t>
              </m:r>
              <m:d>
                <m:dPr>
                  <m:ctrlPr>
                    <w:rPr>
                      <w:rFonts w:ascii="Cambria Math" w:hAnsi="Cambria Math"/>
                      <w:i/>
                      <w:lang w:val="en-GB"/>
                    </w:rPr>
                  </m:ctrlPr>
                </m:dPr>
                <m:e>
                  <m:r>
                    <w:rPr>
                      <w:rFonts w:ascii="Cambria Math" w:hAnsi="Cambria Math"/>
                      <w:lang w:val="en-GB"/>
                    </w:rPr>
                    <m:t>n-1</m:t>
                  </m:r>
                </m:e>
              </m:d>
              <m:sSubSup>
                <m:sSubSupPr>
                  <m:ctrlPr>
                    <w:rPr>
                      <w:rFonts w:ascii="Cambria Math" w:hAnsi="Cambria Math"/>
                      <w:i/>
                      <w:lang w:val="en-GB"/>
                    </w:rPr>
                  </m:ctrlPr>
                </m:sSubSupPr>
                <m:e>
                  <m:r>
                    <w:rPr>
                      <w:rFonts w:ascii="Cambria Math" w:hAnsi="Cambria Math"/>
                      <w:lang w:val="en-GB"/>
                    </w:rPr>
                    <m:t>Cr(VI)</m:t>
                  </m:r>
                </m:e>
                <m:sub>
                  <m:r>
                    <w:rPr>
                      <w:rFonts w:ascii="Cambria Math" w:hAnsi="Cambria Math"/>
                      <w:lang w:val="en-GB"/>
                    </w:rPr>
                    <m:t>0</m:t>
                  </m:r>
                </m:sub>
                <m:sup>
                  <m:r>
                    <w:rPr>
                      <w:rFonts w:ascii="Cambria Math" w:hAnsi="Cambria Math"/>
                      <w:lang w:val="en-GB"/>
                    </w:rPr>
                    <m:t>n-1</m:t>
                  </m:r>
                </m:sup>
              </m:sSubSup>
              <m:r>
                <w:rPr>
                  <w:rFonts w:ascii="Cambria Math" w:hAnsi="Cambria Math"/>
                  <w:lang w:val="en-GB"/>
                </w:rPr>
                <m:t>kt</m:t>
              </m:r>
            </m:den>
          </m:f>
          <m:r>
            <w:rPr>
              <w:rFonts w:ascii="Cambria Math" w:hAnsi="Cambria Math"/>
              <w:lang w:val="en-GB"/>
            </w:rPr>
            <m:t xml:space="preserve">                                                                                                                                            (2)</m:t>
          </m:r>
        </m:oMath>
      </m:oMathPara>
    </w:p>
    <w:p w14:paraId="2CAA37D2" w14:textId="77777777" w:rsidR="00A92D2C" w:rsidRDefault="00A92D2C" w:rsidP="00AB5011">
      <w:pPr>
        <w:pStyle w:val="CETBodytext"/>
        <w:rPr>
          <w:lang w:val="en-GB"/>
        </w:rPr>
      </w:pPr>
    </w:p>
    <w:p w14:paraId="192C306F" w14:textId="164B4087" w:rsidR="00475176" w:rsidRDefault="00475176" w:rsidP="00AB5011">
      <w:pPr>
        <w:pStyle w:val="CETBodytext"/>
        <w:rPr>
          <w:lang w:val="en-GB"/>
        </w:rPr>
      </w:pPr>
      <w:r>
        <w:rPr>
          <w:lang w:val="en-GB"/>
        </w:rPr>
        <w:t>where n is the reaction order and k</w:t>
      </w:r>
      <w:r w:rsidR="00D5027A">
        <w:rPr>
          <w:lang w:val="en-GB"/>
        </w:rPr>
        <w:t xml:space="preserve"> </w:t>
      </w:r>
      <w:r>
        <w:rPr>
          <w:lang w:val="en-GB"/>
        </w:rPr>
        <w:t>(M</w:t>
      </w:r>
      <w:r w:rsidRPr="00475176">
        <w:rPr>
          <w:vertAlign w:val="superscript"/>
          <w:lang w:val="en-GB"/>
        </w:rPr>
        <w:t>1-n</w:t>
      </w:r>
      <w:r>
        <w:rPr>
          <w:lang w:val="en-GB"/>
        </w:rPr>
        <w:t xml:space="preserve">/s) is the kinetic constant. The non-linear regression of experimental data was accomplished in </w:t>
      </w:r>
      <w:r w:rsidR="005A36F9">
        <w:rPr>
          <w:lang w:val="en-GB"/>
        </w:rPr>
        <w:t>E</w:t>
      </w:r>
      <w:r>
        <w:rPr>
          <w:lang w:val="en-GB"/>
        </w:rPr>
        <w:t>xcel environment, using the non</w:t>
      </w:r>
      <w:r w:rsidR="005A36F9">
        <w:rPr>
          <w:lang w:val="en-GB"/>
        </w:rPr>
        <w:t>-</w:t>
      </w:r>
      <w:r>
        <w:rPr>
          <w:lang w:val="en-GB"/>
        </w:rPr>
        <w:t xml:space="preserve">linear solver of Excel (Microsoft). The regressed kinetic constant values obtained at different initial temperature were fitted to </w:t>
      </w:r>
      <w:r w:rsidR="005A36F9">
        <w:rPr>
          <w:lang w:val="en-GB"/>
        </w:rPr>
        <w:t xml:space="preserve">the </w:t>
      </w:r>
      <w:r>
        <w:rPr>
          <w:lang w:val="en-GB"/>
        </w:rPr>
        <w:t>Arrhenius model, expressed by the following equation:</w:t>
      </w:r>
    </w:p>
    <w:p w14:paraId="4F4ACE31" w14:textId="77777777" w:rsidR="001442F7" w:rsidRDefault="001442F7" w:rsidP="00AB5011">
      <w:pPr>
        <w:pStyle w:val="CETBodytext"/>
        <w:rPr>
          <w:lang w:val="en-GB"/>
        </w:rPr>
      </w:pPr>
    </w:p>
    <w:p w14:paraId="03D50CAA" w14:textId="77777777" w:rsidR="00AB5011" w:rsidRDefault="00475176" w:rsidP="00AB5011">
      <w:pPr>
        <w:pStyle w:val="CETBodytext"/>
        <w:rPr>
          <w:lang w:val="en-GB"/>
        </w:rPr>
      </w:pPr>
      <m:oMath>
        <m:r>
          <w:rPr>
            <w:rFonts w:ascii="Cambria Math" w:hAnsi="Cambria Math"/>
            <w:lang w:val="en-GB"/>
          </w:rPr>
          <m:t>k=</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0</m:t>
            </m:r>
          </m:sub>
        </m:sSub>
        <m:func>
          <m:funcPr>
            <m:ctrlPr>
              <w:rPr>
                <w:rFonts w:ascii="Cambria Math" w:hAnsi="Cambria Math"/>
                <w:i/>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E</m:t>
                    </m:r>
                  </m:num>
                  <m:den>
                    <m:r>
                      <w:rPr>
                        <w:rFonts w:ascii="Cambria Math" w:hAnsi="Cambria Math"/>
                        <w:lang w:val="en-GB"/>
                      </w:rPr>
                      <m:t>RT</m:t>
                    </m:r>
                  </m:den>
                </m:f>
              </m:e>
            </m:d>
          </m:e>
        </m:func>
        <m:r>
          <w:rPr>
            <w:rFonts w:ascii="Cambria Math" w:hAnsi="Cambria Math"/>
            <w:lang w:val="en-GB"/>
          </w:rPr>
          <m:t xml:space="preserve">                                                                                                                                                                                    (3)</m:t>
        </m:r>
      </m:oMath>
      <w:r>
        <w:rPr>
          <w:lang w:val="en-GB"/>
        </w:rPr>
        <w:t xml:space="preserve"> </w:t>
      </w:r>
    </w:p>
    <w:p w14:paraId="1BAA351A" w14:textId="77777777" w:rsidR="00A92D2C" w:rsidRDefault="00A92D2C" w:rsidP="00AB31B4">
      <w:pPr>
        <w:pStyle w:val="CETBodytext"/>
        <w:rPr>
          <w:lang w:val="en-GB"/>
        </w:rPr>
      </w:pPr>
    </w:p>
    <w:p w14:paraId="6BC3DE6A" w14:textId="77777777" w:rsidR="00AB5011" w:rsidRPr="00AB31B4" w:rsidRDefault="00475176" w:rsidP="00AB31B4">
      <w:pPr>
        <w:pStyle w:val="CETBodytext"/>
        <w:rPr>
          <w:lang w:val="en-GB"/>
        </w:rPr>
      </w:pPr>
      <w:r>
        <w:rPr>
          <w:lang w:val="en-GB"/>
        </w:rPr>
        <w:lastRenderedPageBreak/>
        <w:t>where R (8.31 J/</w:t>
      </w:r>
      <w:r w:rsidRPr="00475176">
        <w:rPr>
          <w:lang w:val="en-GB"/>
        </w:rPr>
        <w:t>K mol</w:t>
      </w:r>
      <w:r>
        <w:rPr>
          <w:lang w:val="en-GB"/>
        </w:rPr>
        <w:t xml:space="preserve">) is the gas constant, </w:t>
      </w:r>
      <w:r w:rsidR="00774679">
        <w:rPr>
          <w:lang w:val="en-GB"/>
        </w:rPr>
        <w:t xml:space="preserve">E (J/mol) is the activation energy, </w:t>
      </w:r>
      <w:r>
        <w:rPr>
          <w:lang w:val="en-GB"/>
        </w:rPr>
        <w:t>k</w:t>
      </w:r>
      <w:r w:rsidRPr="007D05D6">
        <w:rPr>
          <w:vertAlign w:val="subscript"/>
          <w:lang w:val="en-GB"/>
        </w:rPr>
        <w:t>0</w:t>
      </w:r>
      <w:r>
        <w:rPr>
          <w:lang w:val="en-GB"/>
        </w:rPr>
        <w:t xml:space="preserve"> </w:t>
      </w:r>
      <w:r w:rsidR="007D05D6">
        <w:rPr>
          <w:lang w:val="en-GB"/>
        </w:rPr>
        <w:t>(M</w:t>
      </w:r>
      <w:r w:rsidR="007D05D6" w:rsidRPr="007D05D6">
        <w:rPr>
          <w:vertAlign w:val="superscript"/>
          <w:lang w:val="en-GB"/>
        </w:rPr>
        <w:t>1-n</w:t>
      </w:r>
      <w:r w:rsidR="007D05D6">
        <w:rPr>
          <w:lang w:val="en-GB"/>
        </w:rPr>
        <w:t>/s) is the pre-exponential constant and T (K) is the reaction volume temperature.</w:t>
      </w:r>
    </w:p>
    <w:p w14:paraId="54387CA5" w14:textId="77777777" w:rsidR="00600535" w:rsidRDefault="007D05D6" w:rsidP="00600535">
      <w:pPr>
        <w:pStyle w:val="CETHeading1"/>
        <w:rPr>
          <w:lang w:val="en-GB"/>
        </w:rPr>
      </w:pPr>
      <w:r>
        <w:rPr>
          <w:lang w:val="en-GB"/>
        </w:rPr>
        <w:t>Results and Discussion</w:t>
      </w:r>
    </w:p>
    <w:p w14:paraId="1612B4C3" w14:textId="77777777" w:rsidR="007D05D6" w:rsidRDefault="007D05D6" w:rsidP="007D05D6">
      <w:pPr>
        <w:pStyle w:val="CETheadingx"/>
      </w:pPr>
      <w:r>
        <w:t xml:space="preserve">Optimal Bio-Nanocomposite concentration and pH values </w:t>
      </w:r>
      <w:r w:rsidR="00AB31B4">
        <w:t>determination</w:t>
      </w:r>
    </w:p>
    <w:p w14:paraId="66AD691D" w14:textId="77777777" w:rsidR="007D05D6" w:rsidRDefault="007D05D6" w:rsidP="007D05D6">
      <w:pPr>
        <w:pStyle w:val="CETBodytext"/>
      </w:pPr>
      <w:r>
        <w:t>Figure 1 displays the obtained q values at different initial BNC concentration.</w:t>
      </w:r>
    </w:p>
    <w:p w14:paraId="25A67A4B" w14:textId="77777777" w:rsidR="00A92D2C" w:rsidRDefault="00A92D2C" w:rsidP="007D05D6">
      <w:pPr>
        <w:pStyle w:val="CETBodytext"/>
      </w:pPr>
    </w:p>
    <w:p w14:paraId="7EAE5347" w14:textId="77777777" w:rsidR="007D05D6" w:rsidRDefault="00653F5F" w:rsidP="007D05D6">
      <w:pPr>
        <w:pStyle w:val="CETBodytext"/>
      </w:pPr>
      <w:r>
        <w:rPr>
          <w:noProof/>
          <w:lang w:val="it-IT" w:eastAsia="it-IT"/>
        </w:rPr>
        <w:drawing>
          <wp:inline distT="0" distB="0" distL="0" distR="0" wp14:anchorId="6A684A31" wp14:editId="3208C375">
            <wp:extent cx="3418609" cy="2400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8312" cy="2407113"/>
                    </a:xfrm>
                    <a:prstGeom prst="rect">
                      <a:avLst/>
                    </a:prstGeom>
                  </pic:spPr>
                </pic:pic>
              </a:graphicData>
            </a:graphic>
          </wp:inline>
        </w:drawing>
      </w:r>
    </w:p>
    <w:p w14:paraId="00BDC84D" w14:textId="77777777" w:rsidR="007D05D6" w:rsidRPr="00A16173" w:rsidRDefault="00A16173" w:rsidP="007D05D6">
      <w:pPr>
        <w:pStyle w:val="CETBodytext"/>
        <w:rPr>
          <w:i/>
        </w:rPr>
      </w:pPr>
      <w:r w:rsidRPr="00A16173">
        <w:rPr>
          <w:i/>
        </w:rPr>
        <w:t>Figure 1: q values obtained at different initial BNC concentration (stirring rate 300 rpm, temperature=25°C, Cr(VI)</w:t>
      </w:r>
      <w:r w:rsidRPr="00A16173">
        <w:rPr>
          <w:i/>
          <w:vertAlign w:val="subscript"/>
        </w:rPr>
        <w:t>0</w:t>
      </w:r>
      <w:r w:rsidRPr="00A16173">
        <w:rPr>
          <w:i/>
        </w:rPr>
        <w:t>=20 mg/L, contact time=24 h).</w:t>
      </w:r>
    </w:p>
    <w:p w14:paraId="0BB9EF0B" w14:textId="77777777" w:rsidR="00A16173" w:rsidRDefault="00A16173" w:rsidP="007D05D6">
      <w:pPr>
        <w:pStyle w:val="CETBodytext"/>
      </w:pPr>
    </w:p>
    <w:p w14:paraId="77142DE5" w14:textId="5FF742AC" w:rsidR="00A16173" w:rsidRDefault="00A16173" w:rsidP="007D05D6">
      <w:pPr>
        <w:pStyle w:val="CETBodytext"/>
      </w:pPr>
      <w:r>
        <w:t>The maximum q value</w:t>
      </w:r>
      <w:r w:rsidR="00774679">
        <w:t xml:space="preserve"> (15.92 mg/g)</w:t>
      </w:r>
      <w:r>
        <w:t xml:space="preserve"> was obtained for a BNC initial concentration of </w:t>
      </w:r>
      <w:r w:rsidR="002016F4">
        <w:t xml:space="preserve">0.5 g/L. This implies that the best mass ratio between pollutant and adsorbent was 0.04 that is analogous to the best ratio obtained in a previous study using solely </w:t>
      </w:r>
      <w:proofErr w:type="spellStart"/>
      <w:r w:rsidR="002016F4">
        <w:t>nanomagnetite</w:t>
      </w:r>
      <w:proofErr w:type="spellEnd"/>
      <w:r w:rsidR="002016F4">
        <w:t xml:space="preserve"> particles (</w:t>
      </w:r>
      <w:proofErr w:type="spellStart"/>
      <w:r w:rsidR="002016F4">
        <w:t>Bavasso</w:t>
      </w:r>
      <w:proofErr w:type="spellEnd"/>
      <w:r w:rsidR="002016F4">
        <w:t xml:space="preserve"> et al., 2018). T</w:t>
      </w:r>
      <w:r>
        <w:t>herefore, for subsequent experiments</w:t>
      </w:r>
      <w:r w:rsidR="005A36F9">
        <w:t>,</w:t>
      </w:r>
      <w:r>
        <w:t xml:space="preserve"> the BNC concentration was fixed equal to </w:t>
      </w:r>
      <w:r w:rsidR="00774679">
        <w:t>0.</w:t>
      </w:r>
      <w:r w:rsidR="002016F4">
        <w:t>5 g/L</w:t>
      </w:r>
      <w:r>
        <w:t>.</w:t>
      </w:r>
    </w:p>
    <w:p w14:paraId="75BAE50F" w14:textId="77777777" w:rsidR="00A16173" w:rsidRDefault="00A16173" w:rsidP="007D05D6">
      <w:pPr>
        <w:pStyle w:val="CETBodytext"/>
      </w:pPr>
      <w:r>
        <w:t>Figure 2 displays the obtained q values at three different pH values.</w:t>
      </w:r>
    </w:p>
    <w:p w14:paraId="1DF263D7" w14:textId="77777777" w:rsidR="00A92D2C" w:rsidRDefault="00A92D2C" w:rsidP="007D05D6">
      <w:pPr>
        <w:pStyle w:val="CETBodytext"/>
      </w:pPr>
    </w:p>
    <w:p w14:paraId="76ECFE74" w14:textId="77777777" w:rsidR="00A16173" w:rsidRDefault="00653F5F" w:rsidP="007D05D6">
      <w:pPr>
        <w:pStyle w:val="CETBodytext"/>
      </w:pPr>
      <w:r>
        <w:rPr>
          <w:noProof/>
          <w:lang w:val="it-IT" w:eastAsia="it-IT"/>
        </w:rPr>
        <w:drawing>
          <wp:inline distT="0" distB="0" distL="0" distR="0" wp14:anchorId="72735978" wp14:editId="4D2D05F9">
            <wp:extent cx="3482340" cy="22498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9177" cy="2260708"/>
                    </a:xfrm>
                    <a:prstGeom prst="rect">
                      <a:avLst/>
                    </a:prstGeom>
                  </pic:spPr>
                </pic:pic>
              </a:graphicData>
            </a:graphic>
          </wp:inline>
        </w:drawing>
      </w:r>
    </w:p>
    <w:p w14:paraId="7CEA8FB0" w14:textId="77777777" w:rsidR="00A16173" w:rsidRDefault="00A16173" w:rsidP="00A16173">
      <w:pPr>
        <w:pStyle w:val="CETBodytext"/>
        <w:rPr>
          <w:i/>
        </w:rPr>
      </w:pPr>
      <w:r>
        <w:rPr>
          <w:i/>
        </w:rPr>
        <w:t>Figure 2</w:t>
      </w:r>
      <w:r w:rsidRPr="00A16173">
        <w:rPr>
          <w:i/>
        </w:rPr>
        <w:t xml:space="preserve">: q values obtained at different initial </w:t>
      </w:r>
      <w:r>
        <w:rPr>
          <w:i/>
        </w:rPr>
        <w:t>pH</w:t>
      </w:r>
      <w:r w:rsidRPr="00A16173">
        <w:rPr>
          <w:i/>
        </w:rPr>
        <w:t xml:space="preserve"> (stirring rate 300 rpm, </w:t>
      </w:r>
      <w:r w:rsidR="00774679">
        <w:rPr>
          <w:i/>
        </w:rPr>
        <w:t>BNC concentration= 0.5 g/L</w:t>
      </w:r>
      <w:r>
        <w:rPr>
          <w:i/>
        </w:rPr>
        <w:t xml:space="preserve">, </w:t>
      </w:r>
      <w:r w:rsidRPr="00A16173">
        <w:rPr>
          <w:i/>
        </w:rPr>
        <w:t>temperature=25°C, Cr(VI)</w:t>
      </w:r>
      <w:r w:rsidRPr="00A16173">
        <w:rPr>
          <w:i/>
          <w:vertAlign w:val="subscript"/>
        </w:rPr>
        <w:t>0</w:t>
      </w:r>
      <w:r w:rsidRPr="00A16173">
        <w:rPr>
          <w:i/>
        </w:rPr>
        <w:t>=20 mg/L, contact time=24 h).</w:t>
      </w:r>
    </w:p>
    <w:p w14:paraId="4D975457" w14:textId="77777777" w:rsidR="00A16173" w:rsidRDefault="00A16173" w:rsidP="00A16173">
      <w:pPr>
        <w:pStyle w:val="CETBodytext"/>
        <w:rPr>
          <w:i/>
        </w:rPr>
      </w:pPr>
    </w:p>
    <w:p w14:paraId="418B5BC2" w14:textId="5A7888E3" w:rsidR="00A16173" w:rsidRDefault="00A16173" w:rsidP="00A16173">
      <w:pPr>
        <w:pStyle w:val="CETBodytext"/>
      </w:pPr>
      <w:r>
        <w:t xml:space="preserve">As expected the acid pH favors the Cr(VI) removal (Vilardi et al., 2017b), since the hexavalent chromium species in </w:t>
      </w:r>
      <w:r w:rsidR="005A36F9">
        <w:t xml:space="preserve">an </w:t>
      </w:r>
      <w:r>
        <w:t xml:space="preserve">aqueous medium are present as oxyanions and their removal is foster in presence of adsorbent materials characterized by a positively charged </w:t>
      </w:r>
      <w:r w:rsidR="00AB31B4">
        <w:t>surface. Considering that the pH of zero-charge of the prepared BNC particles was equal to 4.5</w:t>
      </w:r>
      <w:r w:rsidR="009B5087">
        <w:t xml:space="preserve">, for pH lower than 4.5 </w:t>
      </w:r>
      <w:proofErr w:type="spellStart"/>
      <w:r w:rsidR="009B5087">
        <w:t>it</w:t>
      </w:r>
      <w:r w:rsidR="005A36F9">
        <w:t>'</w:t>
      </w:r>
      <w:r w:rsidR="009B5087">
        <w:t>s</w:t>
      </w:r>
      <w:proofErr w:type="spellEnd"/>
      <w:r w:rsidR="009B5087">
        <w:t xml:space="preserve"> surface results positively charged, improving the sorption of anions in the liquid bulk.</w:t>
      </w:r>
    </w:p>
    <w:p w14:paraId="1A4BE643" w14:textId="77777777" w:rsidR="009B5087" w:rsidRPr="00A16173" w:rsidRDefault="009B5087" w:rsidP="00A16173">
      <w:pPr>
        <w:pStyle w:val="CETBodytext"/>
      </w:pPr>
      <w:r>
        <w:t xml:space="preserve">In subsequent kinetic </w:t>
      </w:r>
      <w:r w:rsidR="00A92D2C">
        <w:t>experiments,</w:t>
      </w:r>
      <w:r>
        <w:t xml:space="preserve"> the optimal pH equal to 3 was adopted.</w:t>
      </w:r>
    </w:p>
    <w:p w14:paraId="1F2C7133" w14:textId="5D2852BE" w:rsidR="007D05D6" w:rsidRPr="00B57B36" w:rsidRDefault="007D05D6" w:rsidP="007D05D6">
      <w:pPr>
        <w:pStyle w:val="CETheadingx"/>
      </w:pPr>
      <w:r>
        <w:lastRenderedPageBreak/>
        <w:t xml:space="preserve">Kinetic tests at </w:t>
      </w:r>
      <w:r w:rsidR="005A36F9">
        <w:t xml:space="preserve">a </w:t>
      </w:r>
      <w:r>
        <w:t>different initial temperature</w:t>
      </w:r>
    </w:p>
    <w:p w14:paraId="06FF6335" w14:textId="6EFB1A8A" w:rsidR="007D05D6" w:rsidRDefault="00A92D2C" w:rsidP="007D05D6">
      <w:pPr>
        <w:pStyle w:val="CETBodytext"/>
        <w:rPr>
          <w:lang w:val="en-GB"/>
        </w:rPr>
      </w:pPr>
      <w:r>
        <w:rPr>
          <w:lang w:val="en-GB"/>
        </w:rPr>
        <w:t xml:space="preserve">Figure 3 shows the kinetic experimental data at </w:t>
      </w:r>
      <w:r w:rsidR="005A36F9">
        <w:rPr>
          <w:lang w:val="en-GB"/>
        </w:rPr>
        <w:t xml:space="preserve">a </w:t>
      </w:r>
      <w:r>
        <w:rPr>
          <w:lang w:val="en-GB"/>
        </w:rPr>
        <w:t>different initial temperature, with the fitted pseudo-nth order kinetic model.</w:t>
      </w:r>
    </w:p>
    <w:p w14:paraId="0E8DAC24" w14:textId="77777777" w:rsidR="00A92D2C" w:rsidRDefault="00A92D2C" w:rsidP="007D05D6">
      <w:pPr>
        <w:pStyle w:val="CETBodytext"/>
        <w:rPr>
          <w:lang w:val="en-GB"/>
        </w:rPr>
      </w:pPr>
    </w:p>
    <w:p w14:paraId="6C11AA48" w14:textId="77777777" w:rsidR="00A92D2C" w:rsidRDefault="008D3FB5" w:rsidP="007D05D6">
      <w:pPr>
        <w:pStyle w:val="CETBodytext"/>
        <w:rPr>
          <w:lang w:val="en-GB"/>
        </w:rPr>
      </w:pPr>
      <w:r>
        <w:rPr>
          <w:noProof/>
          <w:lang w:val="it-IT" w:eastAsia="it-IT"/>
        </w:rPr>
        <w:drawing>
          <wp:inline distT="0" distB="0" distL="0" distR="0" wp14:anchorId="15A2D1F7" wp14:editId="41FBFD14">
            <wp:extent cx="3566160" cy="249675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2516" cy="2501208"/>
                    </a:xfrm>
                    <a:prstGeom prst="rect">
                      <a:avLst/>
                    </a:prstGeom>
                  </pic:spPr>
                </pic:pic>
              </a:graphicData>
            </a:graphic>
          </wp:inline>
        </w:drawing>
      </w:r>
    </w:p>
    <w:p w14:paraId="7CBE77C0" w14:textId="77777777" w:rsidR="00A92D2C" w:rsidRDefault="00A92D2C" w:rsidP="00A92D2C">
      <w:pPr>
        <w:pStyle w:val="CETBodytext"/>
        <w:rPr>
          <w:i/>
        </w:rPr>
      </w:pPr>
      <w:r>
        <w:rPr>
          <w:i/>
        </w:rPr>
        <w:t>Figure 3</w:t>
      </w:r>
      <w:r w:rsidRPr="00A16173">
        <w:rPr>
          <w:i/>
        </w:rPr>
        <w:t xml:space="preserve">: </w:t>
      </w:r>
      <w:r>
        <w:rPr>
          <w:i/>
        </w:rPr>
        <w:t>kinetic data</w:t>
      </w:r>
      <w:r w:rsidRPr="00A16173">
        <w:rPr>
          <w:i/>
        </w:rPr>
        <w:t xml:space="preserve"> obtained at different initial </w:t>
      </w:r>
      <w:r>
        <w:rPr>
          <w:i/>
        </w:rPr>
        <w:t>temperature (points) and pseudo-nth order kinetic model (lines)</w:t>
      </w:r>
      <w:r w:rsidRPr="00A16173">
        <w:rPr>
          <w:i/>
        </w:rPr>
        <w:t xml:space="preserve"> (stirring rate 300 rpm, </w:t>
      </w:r>
      <w:r>
        <w:rPr>
          <w:i/>
        </w:rPr>
        <w:t xml:space="preserve">BNC concentration= </w:t>
      </w:r>
      <w:r w:rsidR="00774679">
        <w:rPr>
          <w:i/>
        </w:rPr>
        <w:t>0.5 g/L</w:t>
      </w:r>
      <w:r>
        <w:rPr>
          <w:i/>
        </w:rPr>
        <w:t>,</w:t>
      </w:r>
      <w:r w:rsidRPr="00A16173">
        <w:rPr>
          <w:i/>
        </w:rPr>
        <w:t xml:space="preserve"> Cr(VI)</w:t>
      </w:r>
      <w:r w:rsidRPr="00A16173">
        <w:rPr>
          <w:i/>
          <w:vertAlign w:val="subscript"/>
        </w:rPr>
        <w:t>0</w:t>
      </w:r>
      <w:r>
        <w:rPr>
          <w:i/>
        </w:rPr>
        <w:t>=20 mg/L, pH=3</w:t>
      </w:r>
      <w:r w:rsidRPr="00A16173">
        <w:rPr>
          <w:i/>
        </w:rPr>
        <w:t>).</w:t>
      </w:r>
    </w:p>
    <w:p w14:paraId="3204FAA9" w14:textId="77777777" w:rsidR="00A92D2C" w:rsidRDefault="00A92D2C" w:rsidP="007D05D6">
      <w:pPr>
        <w:pStyle w:val="CETBodytext"/>
      </w:pPr>
    </w:p>
    <w:p w14:paraId="0410ED41" w14:textId="3235FFF8" w:rsidR="00A92D2C" w:rsidRDefault="00A92D2C" w:rsidP="007D05D6">
      <w:pPr>
        <w:pStyle w:val="CETBodytext"/>
      </w:pPr>
      <w:r>
        <w:t xml:space="preserve">The Cr(VI) removal efficiency at 120 min was </w:t>
      </w:r>
      <w:r w:rsidR="0093759E">
        <w:t>53.4</w:t>
      </w:r>
      <w:r>
        <w:t xml:space="preserve">, </w:t>
      </w:r>
      <w:r w:rsidR="0093759E">
        <w:t>58 and 62%</w:t>
      </w:r>
      <w:r>
        <w:t xml:space="preserve"> for temperature equal to 25, 35 and 45°C, respectively. According to the experimental evidence (regressed k values are reported in Table 1), the Cr(VI) removal process was characterized by faster kinetics at higher temperature values. </w:t>
      </w:r>
    </w:p>
    <w:p w14:paraId="186A9182" w14:textId="77777777" w:rsidR="00A92D2C" w:rsidRDefault="00A92D2C" w:rsidP="007D05D6">
      <w:pPr>
        <w:pStyle w:val="CETBodytext"/>
      </w:pPr>
    </w:p>
    <w:p w14:paraId="4B5CF939" w14:textId="77777777" w:rsidR="00A92D2C" w:rsidRPr="00653F5F" w:rsidRDefault="00A92D2C" w:rsidP="007D05D6">
      <w:pPr>
        <w:pStyle w:val="CETBodytext"/>
        <w:rPr>
          <w:i/>
        </w:rPr>
      </w:pPr>
      <w:bookmarkStart w:id="0" w:name="_Hlk525837850"/>
      <w:r w:rsidRPr="00653F5F">
        <w:rPr>
          <w:i/>
        </w:rPr>
        <w:t>Table 1: regressed k and n values.</w:t>
      </w:r>
    </w:p>
    <w:tbl>
      <w:tblPr>
        <w:tblW w:w="3840" w:type="dxa"/>
        <w:tblInd w:w="70" w:type="dxa"/>
        <w:tblCellMar>
          <w:left w:w="70" w:type="dxa"/>
          <w:right w:w="70" w:type="dxa"/>
        </w:tblCellMar>
        <w:tblLook w:val="04A0" w:firstRow="1" w:lastRow="0" w:firstColumn="1" w:lastColumn="0" w:noHBand="0" w:noVBand="1"/>
      </w:tblPr>
      <w:tblGrid>
        <w:gridCol w:w="960"/>
        <w:gridCol w:w="1167"/>
        <w:gridCol w:w="753"/>
        <w:gridCol w:w="960"/>
      </w:tblGrid>
      <w:tr w:rsidR="008D3FB5" w:rsidRPr="005710F7" w14:paraId="496683DC" w14:textId="77777777" w:rsidTr="0068029F">
        <w:trPr>
          <w:trHeight w:val="284"/>
        </w:trPr>
        <w:tc>
          <w:tcPr>
            <w:tcW w:w="960" w:type="dxa"/>
            <w:tcBorders>
              <w:top w:val="nil"/>
              <w:left w:val="nil"/>
              <w:bottom w:val="single" w:sz="8" w:space="0" w:color="00B050"/>
              <w:right w:val="nil"/>
            </w:tcBorders>
            <w:shd w:val="clear" w:color="auto" w:fill="auto"/>
            <w:noWrap/>
            <w:vAlign w:val="bottom"/>
            <w:hideMark/>
          </w:tcPr>
          <w:p w14:paraId="48D1E71C" w14:textId="77777777" w:rsidR="008D3FB5" w:rsidRPr="005710F7" w:rsidRDefault="008D3FB5" w:rsidP="008D3FB5">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1167" w:type="dxa"/>
            <w:tcBorders>
              <w:top w:val="nil"/>
              <w:left w:val="nil"/>
              <w:bottom w:val="single" w:sz="8" w:space="0" w:color="00B050"/>
              <w:right w:val="nil"/>
            </w:tcBorders>
            <w:shd w:val="clear" w:color="auto" w:fill="auto"/>
            <w:noWrap/>
            <w:vAlign w:val="bottom"/>
            <w:hideMark/>
          </w:tcPr>
          <w:p w14:paraId="379BEA20" w14:textId="77777777" w:rsidR="008D3FB5" w:rsidRPr="005710F7" w:rsidRDefault="008D3FB5" w:rsidP="008D3FB5">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753" w:type="dxa"/>
            <w:tcBorders>
              <w:top w:val="nil"/>
              <w:left w:val="nil"/>
              <w:bottom w:val="single" w:sz="8" w:space="0" w:color="00B050"/>
              <w:right w:val="nil"/>
            </w:tcBorders>
            <w:shd w:val="clear" w:color="auto" w:fill="auto"/>
            <w:noWrap/>
            <w:vAlign w:val="bottom"/>
            <w:hideMark/>
          </w:tcPr>
          <w:p w14:paraId="73719601" w14:textId="77777777" w:rsidR="008D3FB5" w:rsidRPr="005710F7" w:rsidRDefault="008D3FB5" w:rsidP="008D3FB5">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960" w:type="dxa"/>
            <w:tcBorders>
              <w:top w:val="nil"/>
              <w:left w:val="nil"/>
              <w:bottom w:val="single" w:sz="8" w:space="0" w:color="00B050"/>
              <w:right w:val="nil"/>
            </w:tcBorders>
            <w:shd w:val="clear" w:color="auto" w:fill="auto"/>
            <w:noWrap/>
            <w:vAlign w:val="bottom"/>
            <w:hideMark/>
          </w:tcPr>
          <w:p w14:paraId="67949008" w14:textId="77777777" w:rsidR="008D3FB5" w:rsidRPr="005710F7" w:rsidRDefault="008D3FB5" w:rsidP="008D3FB5">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r>
      <w:tr w:rsidR="008D3FB5" w:rsidRPr="005710F7" w14:paraId="14D8ECE2" w14:textId="77777777" w:rsidTr="0068029F">
        <w:trPr>
          <w:trHeight w:val="284"/>
        </w:trPr>
        <w:tc>
          <w:tcPr>
            <w:tcW w:w="960" w:type="dxa"/>
            <w:tcBorders>
              <w:top w:val="nil"/>
              <w:left w:val="nil"/>
              <w:bottom w:val="single" w:sz="4" w:space="0" w:color="00B050"/>
              <w:right w:val="nil"/>
            </w:tcBorders>
            <w:shd w:val="clear" w:color="auto" w:fill="auto"/>
            <w:noWrap/>
            <w:vAlign w:val="center"/>
            <w:hideMark/>
          </w:tcPr>
          <w:p w14:paraId="7CDD598C" w14:textId="77777777" w:rsidR="008D3FB5" w:rsidRPr="005710F7" w:rsidRDefault="008D3FB5" w:rsidP="008D3FB5">
            <w:pPr>
              <w:tabs>
                <w:tab w:val="clear" w:pos="7100"/>
              </w:tabs>
              <w:spacing w:line="240" w:lineRule="auto"/>
              <w:jc w:val="center"/>
              <w:rPr>
                <w:rFonts w:cs="Arial"/>
                <w:color w:val="000000"/>
                <w:szCs w:val="18"/>
                <w:lang w:val="it-IT" w:eastAsia="it-IT"/>
              </w:rPr>
            </w:pPr>
            <w:r w:rsidRPr="005710F7">
              <w:rPr>
                <w:rFonts w:cs="Arial"/>
                <w:color w:val="000000"/>
                <w:szCs w:val="18"/>
                <w:lang w:val="it-IT" w:eastAsia="it-IT"/>
              </w:rPr>
              <w:t>T (°C)</w:t>
            </w:r>
          </w:p>
        </w:tc>
        <w:tc>
          <w:tcPr>
            <w:tcW w:w="1167" w:type="dxa"/>
            <w:tcBorders>
              <w:top w:val="nil"/>
              <w:left w:val="nil"/>
              <w:bottom w:val="single" w:sz="4" w:space="0" w:color="00B050"/>
              <w:right w:val="nil"/>
            </w:tcBorders>
            <w:shd w:val="clear" w:color="auto" w:fill="auto"/>
            <w:noWrap/>
            <w:vAlign w:val="center"/>
            <w:hideMark/>
          </w:tcPr>
          <w:p w14:paraId="52C14CC4" w14:textId="77777777" w:rsidR="008D3FB5" w:rsidRPr="005710F7" w:rsidRDefault="008D3FB5" w:rsidP="008D3FB5">
            <w:pPr>
              <w:tabs>
                <w:tab w:val="clear" w:pos="7100"/>
              </w:tabs>
              <w:spacing w:line="240" w:lineRule="auto"/>
              <w:jc w:val="center"/>
              <w:rPr>
                <w:rFonts w:cs="Arial"/>
                <w:color w:val="000000"/>
                <w:szCs w:val="18"/>
                <w:lang w:val="it-IT" w:eastAsia="it-IT"/>
              </w:rPr>
            </w:pPr>
            <w:r w:rsidRPr="005710F7">
              <w:rPr>
                <w:rFonts w:cs="Arial"/>
                <w:color w:val="000000"/>
                <w:szCs w:val="18"/>
                <w:lang w:val="it-IT" w:eastAsia="it-IT"/>
              </w:rPr>
              <w:t>k (M</w:t>
            </w:r>
            <w:r w:rsidRPr="005710F7">
              <w:rPr>
                <w:rFonts w:cs="Arial"/>
                <w:color w:val="000000"/>
                <w:szCs w:val="18"/>
                <w:vertAlign w:val="superscript"/>
                <w:lang w:val="it-IT" w:eastAsia="it-IT"/>
              </w:rPr>
              <w:t>1-n</w:t>
            </w:r>
            <w:r w:rsidRPr="005710F7">
              <w:rPr>
                <w:rFonts w:cs="Arial"/>
                <w:color w:val="000000"/>
                <w:szCs w:val="18"/>
                <w:lang w:val="it-IT" w:eastAsia="it-IT"/>
              </w:rPr>
              <w:t>/s)</w:t>
            </w:r>
          </w:p>
        </w:tc>
        <w:tc>
          <w:tcPr>
            <w:tcW w:w="753" w:type="dxa"/>
            <w:tcBorders>
              <w:top w:val="nil"/>
              <w:left w:val="nil"/>
              <w:bottom w:val="single" w:sz="4" w:space="0" w:color="00B050"/>
              <w:right w:val="nil"/>
            </w:tcBorders>
            <w:shd w:val="clear" w:color="auto" w:fill="auto"/>
            <w:noWrap/>
            <w:vAlign w:val="center"/>
            <w:hideMark/>
          </w:tcPr>
          <w:p w14:paraId="5CAACD40" w14:textId="77777777" w:rsidR="008D3FB5" w:rsidRPr="005710F7" w:rsidRDefault="008D3FB5" w:rsidP="008D3FB5">
            <w:pPr>
              <w:tabs>
                <w:tab w:val="clear" w:pos="7100"/>
              </w:tabs>
              <w:spacing w:line="240" w:lineRule="auto"/>
              <w:jc w:val="center"/>
              <w:rPr>
                <w:rFonts w:cs="Arial"/>
                <w:color w:val="000000"/>
                <w:szCs w:val="18"/>
                <w:lang w:val="it-IT" w:eastAsia="it-IT"/>
              </w:rPr>
            </w:pPr>
            <w:r w:rsidRPr="005710F7">
              <w:rPr>
                <w:rFonts w:cs="Arial"/>
                <w:color w:val="000000"/>
                <w:szCs w:val="18"/>
                <w:lang w:val="it-IT" w:eastAsia="it-IT"/>
              </w:rPr>
              <w:t>n</w:t>
            </w:r>
          </w:p>
        </w:tc>
        <w:tc>
          <w:tcPr>
            <w:tcW w:w="960" w:type="dxa"/>
            <w:tcBorders>
              <w:top w:val="nil"/>
              <w:left w:val="nil"/>
              <w:bottom w:val="single" w:sz="4" w:space="0" w:color="00B050"/>
              <w:right w:val="nil"/>
            </w:tcBorders>
            <w:shd w:val="clear" w:color="auto" w:fill="auto"/>
            <w:noWrap/>
            <w:vAlign w:val="center"/>
            <w:hideMark/>
          </w:tcPr>
          <w:p w14:paraId="1F90E61F" w14:textId="77777777" w:rsidR="008D3FB5" w:rsidRPr="005710F7" w:rsidRDefault="008D3FB5" w:rsidP="008D3FB5">
            <w:pPr>
              <w:tabs>
                <w:tab w:val="clear" w:pos="7100"/>
              </w:tabs>
              <w:spacing w:line="240" w:lineRule="auto"/>
              <w:jc w:val="center"/>
              <w:rPr>
                <w:rFonts w:cs="Arial"/>
                <w:color w:val="000000"/>
                <w:szCs w:val="18"/>
                <w:lang w:val="it-IT" w:eastAsia="it-IT"/>
              </w:rPr>
            </w:pPr>
            <w:r w:rsidRPr="005710F7">
              <w:rPr>
                <w:rFonts w:cs="Arial"/>
                <w:color w:val="000000"/>
                <w:szCs w:val="18"/>
                <w:lang w:val="it-IT" w:eastAsia="it-IT"/>
              </w:rPr>
              <w:t>R</w:t>
            </w:r>
            <w:r w:rsidRPr="005710F7">
              <w:rPr>
                <w:rFonts w:cs="Arial"/>
                <w:color w:val="000000"/>
                <w:szCs w:val="18"/>
                <w:vertAlign w:val="superscript"/>
                <w:lang w:val="it-IT" w:eastAsia="it-IT"/>
              </w:rPr>
              <w:t>2</w:t>
            </w:r>
          </w:p>
        </w:tc>
      </w:tr>
      <w:tr w:rsidR="008D3FB5" w:rsidRPr="005710F7" w14:paraId="75D3D7C4" w14:textId="77777777" w:rsidTr="0068029F">
        <w:trPr>
          <w:trHeight w:val="284"/>
        </w:trPr>
        <w:tc>
          <w:tcPr>
            <w:tcW w:w="960" w:type="dxa"/>
            <w:tcBorders>
              <w:top w:val="nil"/>
              <w:left w:val="nil"/>
              <w:bottom w:val="nil"/>
              <w:right w:val="nil"/>
            </w:tcBorders>
            <w:shd w:val="clear" w:color="auto" w:fill="auto"/>
            <w:noWrap/>
            <w:vAlign w:val="center"/>
            <w:hideMark/>
          </w:tcPr>
          <w:p w14:paraId="610467BA"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25</w:t>
            </w:r>
          </w:p>
        </w:tc>
        <w:tc>
          <w:tcPr>
            <w:tcW w:w="1167" w:type="dxa"/>
            <w:tcBorders>
              <w:top w:val="nil"/>
              <w:left w:val="nil"/>
              <w:bottom w:val="nil"/>
              <w:right w:val="nil"/>
            </w:tcBorders>
            <w:shd w:val="clear" w:color="auto" w:fill="auto"/>
            <w:noWrap/>
            <w:vAlign w:val="center"/>
            <w:hideMark/>
          </w:tcPr>
          <w:p w14:paraId="010C2B4F"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4.91x10</w:t>
            </w:r>
            <w:r w:rsidRPr="005710F7">
              <w:rPr>
                <w:rFonts w:ascii="Calibri" w:hAnsi="Calibri" w:cs="Calibri"/>
                <w:color w:val="000000"/>
                <w:szCs w:val="18"/>
                <w:vertAlign w:val="superscript"/>
                <w:lang w:val="it-IT" w:eastAsia="it-IT"/>
              </w:rPr>
              <w:t>-3</w:t>
            </w:r>
          </w:p>
        </w:tc>
        <w:tc>
          <w:tcPr>
            <w:tcW w:w="753" w:type="dxa"/>
            <w:tcBorders>
              <w:top w:val="nil"/>
              <w:left w:val="nil"/>
              <w:bottom w:val="nil"/>
              <w:right w:val="nil"/>
            </w:tcBorders>
            <w:shd w:val="clear" w:color="auto" w:fill="auto"/>
            <w:noWrap/>
            <w:vAlign w:val="center"/>
            <w:hideMark/>
          </w:tcPr>
          <w:p w14:paraId="4AE615EB"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2.51</w:t>
            </w:r>
          </w:p>
        </w:tc>
        <w:tc>
          <w:tcPr>
            <w:tcW w:w="960" w:type="dxa"/>
            <w:tcBorders>
              <w:top w:val="nil"/>
              <w:left w:val="nil"/>
              <w:bottom w:val="nil"/>
              <w:right w:val="nil"/>
            </w:tcBorders>
            <w:shd w:val="clear" w:color="auto" w:fill="auto"/>
            <w:noWrap/>
            <w:vAlign w:val="center"/>
            <w:hideMark/>
          </w:tcPr>
          <w:p w14:paraId="77E3B641"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0.993</w:t>
            </w:r>
          </w:p>
        </w:tc>
      </w:tr>
      <w:tr w:rsidR="008D3FB5" w:rsidRPr="005710F7" w14:paraId="4554FC1E" w14:textId="77777777" w:rsidTr="0068029F">
        <w:trPr>
          <w:trHeight w:val="284"/>
        </w:trPr>
        <w:tc>
          <w:tcPr>
            <w:tcW w:w="960" w:type="dxa"/>
            <w:tcBorders>
              <w:top w:val="nil"/>
              <w:left w:val="nil"/>
              <w:bottom w:val="nil"/>
              <w:right w:val="nil"/>
            </w:tcBorders>
            <w:shd w:val="clear" w:color="auto" w:fill="auto"/>
            <w:noWrap/>
            <w:vAlign w:val="center"/>
            <w:hideMark/>
          </w:tcPr>
          <w:p w14:paraId="5B0979A8"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35</w:t>
            </w:r>
          </w:p>
        </w:tc>
        <w:tc>
          <w:tcPr>
            <w:tcW w:w="1167" w:type="dxa"/>
            <w:tcBorders>
              <w:top w:val="nil"/>
              <w:left w:val="nil"/>
              <w:bottom w:val="nil"/>
              <w:right w:val="nil"/>
            </w:tcBorders>
            <w:shd w:val="clear" w:color="auto" w:fill="auto"/>
            <w:noWrap/>
            <w:vAlign w:val="center"/>
            <w:hideMark/>
          </w:tcPr>
          <w:p w14:paraId="158CFAD3"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5.98x10</w:t>
            </w:r>
            <w:r w:rsidRPr="005710F7">
              <w:rPr>
                <w:rFonts w:ascii="Calibri" w:hAnsi="Calibri" w:cs="Calibri"/>
                <w:color w:val="000000"/>
                <w:szCs w:val="18"/>
                <w:vertAlign w:val="superscript"/>
                <w:lang w:val="it-IT" w:eastAsia="it-IT"/>
              </w:rPr>
              <w:t>-3</w:t>
            </w:r>
          </w:p>
        </w:tc>
        <w:tc>
          <w:tcPr>
            <w:tcW w:w="753" w:type="dxa"/>
            <w:tcBorders>
              <w:top w:val="nil"/>
              <w:left w:val="nil"/>
              <w:bottom w:val="nil"/>
              <w:right w:val="nil"/>
            </w:tcBorders>
            <w:shd w:val="clear" w:color="auto" w:fill="auto"/>
            <w:noWrap/>
            <w:vAlign w:val="center"/>
            <w:hideMark/>
          </w:tcPr>
          <w:p w14:paraId="5C7F2D7E"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2.51</w:t>
            </w:r>
          </w:p>
        </w:tc>
        <w:tc>
          <w:tcPr>
            <w:tcW w:w="960" w:type="dxa"/>
            <w:tcBorders>
              <w:top w:val="nil"/>
              <w:left w:val="nil"/>
              <w:bottom w:val="nil"/>
              <w:right w:val="nil"/>
            </w:tcBorders>
            <w:shd w:val="clear" w:color="auto" w:fill="auto"/>
            <w:noWrap/>
            <w:vAlign w:val="center"/>
            <w:hideMark/>
          </w:tcPr>
          <w:p w14:paraId="1601277F"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0.991</w:t>
            </w:r>
          </w:p>
        </w:tc>
      </w:tr>
      <w:tr w:rsidR="008D3FB5" w:rsidRPr="005710F7" w14:paraId="2CABC281" w14:textId="77777777" w:rsidTr="0068029F">
        <w:trPr>
          <w:trHeight w:val="284"/>
        </w:trPr>
        <w:tc>
          <w:tcPr>
            <w:tcW w:w="960" w:type="dxa"/>
            <w:tcBorders>
              <w:top w:val="nil"/>
              <w:left w:val="nil"/>
              <w:bottom w:val="single" w:sz="8" w:space="0" w:color="00B050"/>
              <w:right w:val="nil"/>
            </w:tcBorders>
            <w:shd w:val="clear" w:color="auto" w:fill="auto"/>
            <w:noWrap/>
            <w:vAlign w:val="center"/>
            <w:hideMark/>
          </w:tcPr>
          <w:p w14:paraId="6858E197"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45</w:t>
            </w:r>
          </w:p>
        </w:tc>
        <w:tc>
          <w:tcPr>
            <w:tcW w:w="1167" w:type="dxa"/>
            <w:tcBorders>
              <w:top w:val="nil"/>
              <w:left w:val="nil"/>
              <w:bottom w:val="single" w:sz="8" w:space="0" w:color="00B050"/>
              <w:right w:val="nil"/>
            </w:tcBorders>
            <w:shd w:val="clear" w:color="auto" w:fill="auto"/>
            <w:noWrap/>
            <w:vAlign w:val="center"/>
            <w:hideMark/>
          </w:tcPr>
          <w:p w14:paraId="34D33DC4" w14:textId="77777777" w:rsidR="008D3FB5" w:rsidRPr="005710F7" w:rsidRDefault="008D3FB5" w:rsidP="0093759E">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7.</w:t>
            </w:r>
            <w:r w:rsidR="0093759E" w:rsidRPr="005710F7">
              <w:rPr>
                <w:rFonts w:ascii="Calibri" w:hAnsi="Calibri" w:cs="Calibri"/>
                <w:color w:val="000000"/>
                <w:szCs w:val="18"/>
                <w:lang w:val="it-IT" w:eastAsia="it-IT"/>
              </w:rPr>
              <w:t>97</w:t>
            </w:r>
            <w:r w:rsidRPr="005710F7">
              <w:rPr>
                <w:rFonts w:ascii="Calibri" w:hAnsi="Calibri" w:cs="Calibri"/>
                <w:color w:val="000000"/>
                <w:szCs w:val="18"/>
                <w:lang w:val="it-IT" w:eastAsia="it-IT"/>
              </w:rPr>
              <w:t>x10</w:t>
            </w:r>
            <w:r w:rsidRPr="005710F7">
              <w:rPr>
                <w:rFonts w:ascii="Calibri" w:hAnsi="Calibri" w:cs="Calibri"/>
                <w:color w:val="000000"/>
                <w:szCs w:val="18"/>
                <w:vertAlign w:val="superscript"/>
                <w:lang w:val="it-IT" w:eastAsia="it-IT"/>
              </w:rPr>
              <w:t>-3</w:t>
            </w:r>
          </w:p>
        </w:tc>
        <w:tc>
          <w:tcPr>
            <w:tcW w:w="753" w:type="dxa"/>
            <w:tcBorders>
              <w:top w:val="nil"/>
              <w:left w:val="nil"/>
              <w:bottom w:val="single" w:sz="8" w:space="0" w:color="00B050"/>
              <w:right w:val="nil"/>
            </w:tcBorders>
            <w:shd w:val="clear" w:color="auto" w:fill="auto"/>
            <w:noWrap/>
            <w:vAlign w:val="center"/>
            <w:hideMark/>
          </w:tcPr>
          <w:p w14:paraId="26F54EDD" w14:textId="77777777" w:rsidR="008D3FB5" w:rsidRPr="005710F7" w:rsidRDefault="008D3FB5" w:rsidP="008D3FB5">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2.51</w:t>
            </w:r>
          </w:p>
        </w:tc>
        <w:tc>
          <w:tcPr>
            <w:tcW w:w="960" w:type="dxa"/>
            <w:tcBorders>
              <w:top w:val="nil"/>
              <w:left w:val="nil"/>
              <w:bottom w:val="single" w:sz="8" w:space="0" w:color="00B050"/>
              <w:right w:val="nil"/>
            </w:tcBorders>
            <w:shd w:val="clear" w:color="auto" w:fill="auto"/>
            <w:noWrap/>
            <w:vAlign w:val="center"/>
            <w:hideMark/>
          </w:tcPr>
          <w:p w14:paraId="2BDF32C7" w14:textId="77777777" w:rsidR="008D3FB5" w:rsidRPr="005710F7" w:rsidRDefault="008D3FB5" w:rsidP="0093759E">
            <w:pPr>
              <w:tabs>
                <w:tab w:val="clear" w:pos="7100"/>
              </w:tabs>
              <w:spacing w:line="240" w:lineRule="auto"/>
              <w:jc w:val="center"/>
              <w:rPr>
                <w:rFonts w:ascii="Calibri" w:hAnsi="Calibri" w:cs="Calibri"/>
                <w:color w:val="000000"/>
                <w:szCs w:val="18"/>
                <w:lang w:val="it-IT" w:eastAsia="it-IT"/>
              </w:rPr>
            </w:pPr>
            <w:r w:rsidRPr="005710F7">
              <w:rPr>
                <w:rFonts w:ascii="Calibri" w:hAnsi="Calibri" w:cs="Calibri"/>
                <w:color w:val="000000"/>
                <w:szCs w:val="18"/>
                <w:lang w:val="it-IT" w:eastAsia="it-IT"/>
              </w:rPr>
              <w:t>0.98</w:t>
            </w:r>
            <w:r w:rsidR="0093759E" w:rsidRPr="005710F7">
              <w:rPr>
                <w:rFonts w:ascii="Calibri" w:hAnsi="Calibri" w:cs="Calibri"/>
                <w:color w:val="000000"/>
                <w:szCs w:val="18"/>
                <w:lang w:val="it-IT" w:eastAsia="it-IT"/>
              </w:rPr>
              <w:t>4</w:t>
            </w:r>
          </w:p>
        </w:tc>
      </w:tr>
    </w:tbl>
    <w:p w14:paraId="545189E8" w14:textId="77777777" w:rsidR="00A92D2C" w:rsidRPr="00653F5F" w:rsidRDefault="00A92D2C" w:rsidP="007D05D6">
      <w:pPr>
        <w:pStyle w:val="CETBodytext"/>
      </w:pPr>
    </w:p>
    <w:bookmarkEnd w:id="0"/>
    <w:p w14:paraId="57246837" w14:textId="77777777" w:rsidR="00A92D2C" w:rsidRDefault="00A92D2C" w:rsidP="007D05D6">
      <w:pPr>
        <w:pStyle w:val="CETBodytext"/>
      </w:pPr>
      <w:r>
        <w:t xml:space="preserve">The increase of k value </w:t>
      </w:r>
      <w:r w:rsidR="008D3FB5">
        <w:t xml:space="preserve">with temperature increase </w:t>
      </w:r>
      <w:r>
        <w:t xml:space="preserve">was expected, according to the Arrhenius model. The regressed kinetic constant values were </w:t>
      </w:r>
      <w:r w:rsidR="008D3FB5">
        <w:t>4.91</w:t>
      </w:r>
      <w:r>
        <w:t xml:space="preserve">, </w:t>
      </w:r>
      <w:r w:rsidR="008D3FB5">
        <w:t>5.98</w:t>
      </w:r>
      <w:r>
        <w:t xml:space="preserve"> and </w:t>
      </w:r>
      <w:r w:rsidR="008D3FB5">
        <w:t>7.</w:t>
      </w:r>
      <w:r w:rsidR="0093759E">
        <w:t>97</w:t>
      </w:r>
      <w:r w:rsidR="008D3FB5">
        <w:t>x10</w:t>
      </w:r>
      <w:r w:rsidR="008D3FB5" w:rsidRPr="008D3FB5">
        <w:rPr>
          <w:vertAlign w:val="superscript"/>
        </w:rPr>
        <w:t>-3</w:t>
      </w:r>
      <w:r w:rsidR="008D3FB5">
        <w:t xml:space="preserve"> M</w:t>
      </w:r>
      <w:r w:rsidR="008D3FB5">
        <w:rPr>
          <w:vertAlign w:val="superscript"/>
        </w:rPr>
        <w:t>-1.5</w:t>
      </w:r>
      <w:r w:rsidR="008D3FB5" w:rsidRPr="008D3FB5">
        <w:rPr>
          <w:vertAlign w:val="superscript"/>
        </w:rPr>
        <w:t>1</w:t>
      </w:r>
      <w:r w:rsidR="008D3FB5">
        <w:t>/s</w:t>
      </w:r>
      <w:r>
        <w:t xml:space="preserve">, for temperature fixed at 25, 35 and 45°C, </w:t>
      </w:r>
      <w:r w:rsidR="008D3FB5">
        <w:t>respectively;</w:t>
      </w:r>
      <w:r>
        <w:t xml:space="preserve"> whereas the regressed n order value was </w:t>
      </w:r>
      <w:r w:rsidR="008D3FB5">
        <w:t>2.51</w:t>
      </w:r>
      <w:r>
        <w:t>.</w:t>
      </w:r>
    </w:p>
    <w:p w14:paraId="2ABEE524" w14:textId="77777777" w:rsidR="00A92D2C" w:rsidRDefault="004A0713" w:rsidP="007D05D6">
      <w:pPr>
        <w:pStyle w:val="CETBodytext"/>
      </w:pPr>
      <w:r>
        <w:t xml:space="preserve">The kinetic constant values at different temperature values were reported in figure 4 </w:t>
      </w:r>
      <w:r w:rsidR="008D3FB5">
        <w:t>and fitted to</w:t>
      </w:r>
      <w:r>
        <w:t xml:space="preserve"> the Arrhenius mode</w:t>
      </w:r>
      <w:r w:rsidR="008D3FB5">
        <w:t>l in its non-linear form</w:t>
      </w:r>
      <w:r>
        <w:t>.</w:t>
      </w:r>
    </w:p>
    <w:p w14:paraId="7E25B0FE" w14:textId="77777777" w:rsidR="004A0713" w:rsidRDefault="00C22860" w:rsidP="007D05D6">
      <w:pPr>
        <w:pStyle w:val="CETBodytext"/>
      </w:pPr>
      <w:r>
        <w:rPr>
          <w:noProof/>
          <w:lang w:val="it-IT" w:eastAsia="it-IT"/>
        </w:rPr>
        <w:drawing>
          <wp:inline distT="0" distB="0" distL="0" distR="0" wp14:anchorId="5F5EB018" wp14:editId="04E91D70">
            <wp:extent cx="3028950" cy="22688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0907" cy="2307794"/>
                    </a:xfrm>
                    <a:prstGeom prst="rect">
                      <a:avLst/>
                    </a:prstGeom>
                  </pic:spPr>
                </pic:pic>
              </a:graphicData>
            </a:graphic>
          </wp:inline>
        </w:drawing>
      </w:r>
    </w:p>
    <w:p w14:paraId="0703E91A" w14:textId="5CA98CDB" w:rsidR="004A0713" w:rsidRDefault="004A0713" w:rsidP="004A0713">
      <w:pPr>
        <w:pStyle w:val="CETBodytext"/>
        <w:rPr>
          <w:i/>
        </w:rPr>
      </w:pPr>
      <w:r>
        <w:rPr>
          <w:i/>
        </w:rPr>
        <w:t>Figure 4</w:t>
      </w:r>
      <w:r w:rsidRPr="00A16173">
        <w:rPr>
          <w:i/>
        </w:rPr>
        <w:t xml:space="preserve">: </w:t>
      </w:r>
      <w:r>
        <w:rPr>
          <w:i/>
        </w:rPr>
        <w:t xml:space="preserve">kinetic constant values at different temperature values (point) and fitted </w:t>
      </w:r>
      <w:r w:rsidR="005A36F9">
        <w:rPr>
          <w:i/>
        </w:rPr>
        <w:t xml:space="preserve">the </w:t>
      </w:r>
      <w:r>
        <w:rPr>
          <w:i/>
        </w:rPr>
        <w:t>Arrhenius model (line).</w:t>
      </w:r>
    </w:p>
    <w:p w14:paraId="238AD0A6" w14:textId="6F8D9D80" w:rsidR="004A0713" w:rsidRPr="00B64D0F" w:rsidRDefault="004A0713" w:rsidP="004A0713">
      <w:pPr>
        <w:pStyle w:val="CETBodytext"/>
      </w:pPr>
      <w:r>
        <w:lastRenderedPageBreak/>
        <w:t>From the non-linear regression of experimental data the following parameters values were obtained: k</w:t>
      </w:r>
      <w:r w:rsidRPr="004A0713">
        <w:rPr>
          <w:vertAlign w:val="subscript"/>
        </w:rPr>
        <w:t>0</w:t>
      </w:r>
      <w:r w:rsidR="00B64D0F">
        <w:t>= 0.0035</w:t>
      </w:r>
      <w:r>
        <w:t xml:space="preserve"> and E= </w:t>
      </w:r>
      <w:r w:rsidR="00B64D0F">
        <w:t>4.78 J/mol. The estimated activation energy value was of the same order of magnitude of those reported by other authors for other nanomaterials, such</w:t>
      </w:r>
      <w:r w:rsidR="005A36F9">
        <w:t xml:space="preserve"> as</w:t>
      </w:r>
      <w:r w:rsidR="00B64D0F">
        <w:t xml:space="preserve"> Mn</w:t>
      </w:r>
      <w:r w:rsidR="00B64D0F" w:rsidRPr="00B64D0F">
        <w:rPr>
          <w:vertAlign w:val="subscript"/>
        </w:rPr>
        <w:t>3</w:t>
      </w:r>
      <w:r w:rsidR="00B64D0F">
        <w:t>O</w:t>
      </w:r>
      <w:r w:rsidR="00B64D0F" w:rsidRPr="00B64D0F">
        <w:rPr>
          <w:vertAlign w:val="subscript"/>
        </w:rPr>
        <w:t>4</w:t>
      </w:r>
      <w:r w:rsidR="00B64D0F">
        <w:t xml:space="preserve"> (60.7 J/mol) (Cantu et al., 2014).</w:t>
      </w:r>
    </w:p>
    <w:p w14:paraId="1F73389D" w14:textId="77777777" w:rsidR="007D05D6" w:rsidRPr="00B57B36" w:rsidRDefault="007D05D6" w:rsidP="007D05D6">
      <w:pPr>
        <w:pStyle w:val="CETHeading1"/>
        <w:rPr>
          <w:lang w:val="en-GB"/>
        </w:rPr>
      </w:pPr>
      <w:r w:rsidRPr="00B57B36">
        <w:rPr>
          <w:lang w:val="en-GB"/>
        </w:rPr>
        <w:t>Conclusions</w:t>
      </w:r>
    </w:p>
    <w:p w14:paraId="224F9D61" w14:textId="26E01F94" w:rsidR="00600535" w:rsidRDefault="0093759E" w:rsidP="00600535">
      <w:pPr>
        <w:pStyle w:val="CETBodytext"/>
      </w:pPr>
      <w:r>
        <w:rPr>
          <w:lang w:val="en-GB"/>
        </w:rPr>
        <w:t xml:space="preserve">Chitosan-magnetite nanoparticles characterized by a mean size of </w:t>
      </w:r>
      <w:r>
        <w:t>38</w:t>
      </w:r>
      <w:r w:rsidRPr="00960675">
        <w:t xml:space="preserve"> ± </w:t>
      </w:r>
      <w:r>
        <w:t>4</w:t>
      </w:r>
      <w:r w:rsidRPr="00960675">
        <w:t>.4 nm</w:t>
      </w:r>
      <w:r>
        <w:t xml:space="preserve"> and a pH of zero charge of 4.</w:t>
      </w:r>
      <w:r w:rsidR="00A95EB1">
        <w:t>5</w:t>
      </w:r>
      <w:r>
        <w:t xml:space="preserve"> were successfully synthetized and tested in batch experiments towards Cr(VI) removal. The obtained nanoparticles optimal concentration was 0.5 g/L for a Cr(VI) initial concentration of 20 mg/L and the maximum removal efficiency at 120 min was 62% at 45°C. The pH proved to affect the overall process since for pH below the pH of zero charge the Cr(VI) oxyanions removal was enhanced due to the positively charging of sorbent material surface. The optimal pH was found to be 3. The kinetic data were well fitted to a pseudo-nth order kinetic reaction model, with a regressed reaction order of 2.51 and an increasing kinetic constant value proportionally to the temperature increase. Further experiments and modification of the biological nanocomposite are necessary to improve the performances of this material; however, it results completely environmentally friendly, since the use of chitosan avoid the possible dispersion of the magnetite nanoparticles in the possible use of this technology in real site application.</w:t>
      </w:r>
    </w:p>
    <w:p w14:paraId="5A1846E0" w14:textId="7F282FC7" w:rsidR="003A45F5" w:rsidRDefault="003A45F5" w:rsidP="0068029F">
      <w:pPr>
        <w:pStyle w:val="CETAcknowledgementstitle"/>
      </w:pPr>
      <w:r>
        <w:t>Acknowledg</w:t>
      </w:r>
      <w:r w:rsidR="005A36F9">
        <w:t>e</w:t>
      </w:r>
      <w:r>
        <w:t>ment</w:t>
      </w:r>
    </w:p>
    <w:p w14:paraId="42379D27" w14:textId="77777777" w:rsidR="003A45F5" w:rsidRPr="003A45F5" w:rsidRDefault="003A45F5" w:rsidP="00600535">
      <w:pPr>
        <w:pStyle w:val="CETBodytext"/>
        <w:rPr>
          <w:b/>
          <w:sz w:val="20"/>
        </w:rPr>
      </w:pPr>
      <w:r>
        <w:rPr>
          <w:szCs w:val="18"/>
          <w:lang w:val="en-GB"/>
        </w:rPr>
        <w:t>European</w:t>
      </w:r>
      <w:r w:rsidRPr="003A45F5">
        <w:rPr>
          <w:szCs w:val="18"/>
          <w:lang w:val="en-GB"/>
        </w:rPr>
        <w:t xml:space="preserve"> </w:t>
      </w:r>
      <w:r>
        <w:rPr>
          <w:szCs w:val="18"/>
          <w:lang w:val="en-GB"/>
        </w:rPr>
        <w:t xml:space="preserve">Commission </w:t>
      </w:r>
      <w:r w:rsidRPr="003A45F5">
        <w:rPr>
          <w:szCs w:val="18"/>
          <w:lang w:val="en-GB"/>
        </w:rPr>
        <w:t>is acknowledged for having funded the</w:t>
      </w:r>
      <w:r>
        <w:rPr>
          <w:szCs w:val="18"/>
          <w:lang w:val="en-GB"/>
        </w:rPr>
        <w:t xml:space="preserve"> European</w:t>
      </w:r>
      <w:r w:rsidRPr="003A45F5">
        <w:rPr>
          <w:szCs w:val="18"/>
          <w:lang w:val="en-GB"/>
        </w:rPr>
        <w:t xml:space="preserve"> </w:t>
      </w:r>
      <w:r>
        <w:rPr>
          <w:szCs w:val="18"/>
          <w:lang w:val="en-GB"/>
        </w:rPr>
        <w:t>P</w:t>
      </w:r>
      <w:r w:rsidRPr="003A45F5">
        <w:rPr>
          <w:szCs w:val="18"/>
          <w:lang w:val="en-GB"/>
        </w:rPr>
        <w:t>roject</w:t>
      </w:r>
      <w:hyperlink r:id="rId15" w:anchor="gs1" w:history="1"/>
      <w:r>
        <w:rPr>
          <w:szCs w:val="18"/>
        </w:rPr>
        <w:t xml:space="preserve"> “</w:t>
      </w:r>
      <w:proofErr w:type="spellStart"/>
      <w:r>
        <w:rPr>
          <w:szCs w:val="18"/>
        </w:rPr>
        <w:t>CrITERIA</w:t>
      </w:r>
      <w:proofErr w:type="spellEnd"/>
      <w:r>
        <w:rPr>
          <w:szCs w:val="18"/>
        </w:rPr>
        <w:t xml:space="preserve">” in the </w:t>
      </w:r>
      <w:r>
        <w:rPr>
          <w:rFonts w:cs="Arial"/>
          <w:color w:val="000000"/>
          <w:sz w:val="20"/>
        </w:rPr>
        <w:t>ERANETMED framework,</w:t>
      </w:r>
      <w:r w:rsidRPr="003A45F5">
        <w:rPr>
          <w:szCs w:val="18"/>
          <w:lang w:val="en-GB"/>
        </w:rPr>
        <w:t xml:space="preserve"> as well as the University of </w:t>
      </w:r>
      <w:r>
        <w:rPr>
          <w:szCs w:val="18"/>
          <w:lang w:val="en-GB"/>
        </w:rPr>
        <w:t>Rome “La</w:t>
      </w:r>
      <w:r w:rsidRPr="003A45F5">
        <w:rPr>
          <w:szCs w:val="18"/>
          <w:lang w:val="en-GB"/>
        </w:rPr>
        <w:t xml:space="preserve"> Sapienza</w:t>
      </w:r>
      <w:r>
        <w:rPr>
          <w:szCs w:val="18"/>
          <w:lang w:val="en-GB"/>
        </w:rPr>
        <w:t>” for having funded the project “</w:t>
      </w:r>
      <w:r w:rsidRPr="003A45F5">
        <w:rPr>
          <w:bCs/>
          <w:szCs w:val="18"/>
          <w:lang w:val="en-GB"/>
        </w:rPr>
        <w:t>Heavy metals removal from wastewater by iron-based nanoparticles stabilized by biopolymers</w:t>
      </w:r>
      <w:r>
        <w:rPr>
          <w:szCs w:val="18"/>
          <w:lang w:val="en-GB"/>
        </w:rPr>
        <w:t>”</w:t>
      </w:r>
      <w:r w:rsidRPr="003A45F5">
        <w:rPr>
          <w:szCs w:val="18"/>
          <w:lang w:val="en-GB"/>
        </w:rPr>
        <w:t>.</w:t>
      </w:r>
    </w:p>
    <w:p w14:paraId="6A94B1B7" w14:textId="77777777" w:rsidR="00600535" w:rsidRPr="00B57B36" w:rsidRDefault="00600535" w:rsidP="004A0713">
      <w:pPr>
        <w:pStyle w:val="CETReference"/>
      </w:pPr>
      <w:r w:rsidRPr="00B57B36">
        <w:t xml:space="preserve">References </w:t>
      </w:r>
    </w:p>
    <w:p w14:paraId="65729D6F" w14:textId="77777777" w:rsidR="00BB5FEF" w:rsidRPr="00313258" w:rsidRDefault="00BB5FEF" w:rsidP="00313258">
      <w:pPr>
        <w:pStyle w:val="CETReferencetext"/>
      </w:pPr>
      <w:bookmarkStart w:id="1" w:name="_Hlk525658724"/>
      <w:proofErr w:type="spellStart"/>
      <w:r w:rsidRPr="00313258">
        <w:t>Bavasso</w:t>
      </w:r>
      <w:proofErr w:type="spellEnd"/>
      <w:r w:rsidRPr="00313258">
        <w:t xml:space="preserve"> I., </w:t>
      </w:r>
      <w:proofErr w:type="spellStart"/>
      <w:r w:rsidRPr="00313258">
        <w:t>Vilardi</w:t>
      </w:r>
      <w:proofErr w:type="spellEnd"/>
      <w:r w:rsidRPr="00313258">
        <w:t xml:space="preserve"> G., </w:t>
      </w:r>
      <w:proofErr w:type="spellStart"/>
      <w:r w:rsidRPr="00313258">
        <w:t>Stoller</w:t>
      </w:r>
      <w:proofErr w:type="spellEnd"/>
      <w:r w:rsidRPr="00313258">
        <w:t xml:space="preserve"> M., </w:t>
      </w:r>
      <w:proofErr w:type="spellStart"/>
      <w:r w:rsidRPr="00313258">
        <w:t>Chianese</w:t>
      </w:r>
      <w:proofErr w:type="spellEnd"/>
      <w:r w:rsidRPr="00313258">
        <w:t xml:space="preserve"> A., Di Palma L., 2016, Perspectives in Nanotechnology Based Innovative Applications for The Environment, Chemical Engineering Transactions, 47, 55–60. </w:t>
      </w:r>
    </w:p>
    <w:p w14:paraId="3EDD997F" w14:textId="77777777" w:rsidR="00BC6A48" w:rsidRPr="00313258" w:rsidRDefault="00BC6A48" w:rsidP="00313258">
      <w:pPr>
        <w:pStyle w:val="CETReferencetext"/>
      </w:pPr>
      <w:proofErr w:type="spellStart"/>
      <w:r w:rsidRPr="00313258">
        <w:t>Bavasso</w:t>
      </w:r>
      <w:proofErr w:type="spellEnd"/>
      <w:r w:rsidRPr="00313258">
        <w:t xml:space="preserve"> I., </w:t>
      </w:r>
      <w:proofErr w:type="spellStart"/>
      <w:r w:rsidRPr="00313258">
        <w:t>Verdone</w:t>
      </w:r>
      <w:proofErr w:type="spellEnd"/>
      <w:r w:rsidRPr="00313258">
        <w:t xml:space="preserve"> N., Di Palma L., 2018, Cr(VI) Removal by Green-Synthetized Iron-Based Nanoparticles: Effect of Cr(VI) Concentration and pH Condition on Adsorption Process, Chemical Engineering Transactions, 70, 469-474. </w:t>
      </w:r>
    </w:p>
    <w:bookmarkEnd w:id="1"/>
    <w:p w14:paraId="56567793" w14:textId="77777777" w:rsidR="00B64D0F" w:rsidRPr="00313258" w:rsidRDefault="00B64D0F" w:rsidP="00313258">
      <w:pPr>
        <w:pStyle w:val="CETReferencetext"/>
      </w:pPr>
      <w:r w:rsidRPr="00313258">
        <w:t xml:space="preserve">Cantu Y., </w:t>
      </w:r>
      <w:proofErr w:type="spellStart"/>
      <w:r w:rsidRPr="00313258">
        <w:t>Remes</w:t>
      </w:r>
      <w:proofErr w:type="spellEnd"/>
      <w:r w:rsidRPr="00313258">
        <w:t xml:space="preserve"> A., Reyna A., Martinez D., Villarreal J., Ramos H., Trevino S</w:t>
      </w:r>
      <w:r w:rsidR="00E94CAC" w:rsidRPr="00313258">
        <w:t xml:space="preserve">., </w:t>
      </w:r>
      <w:proofErr w:type="spellStart"/>
      <w:r w:rsidR="00E94CAC" w:rsidRPr="00313258">
        <w:t>Tamez</w:t>
      </w:r>
      <w:proofErr w:type="spellEnd"/>
      <w:r w:rsidR="00E94CAC" w:rsidRPr="00313258">
        <w:t xml:space="preserve"> C., Martinez A., Eubanks T.,</w:t>
      </w:r>
      <w:r w:rsidRPr="00313258">
        <w:t xml:space="preserve"> Parsons, J. G.</w:t>
      </w:r>
      <w:r w:rsidR="00E94CAC" w:rsidRPr="00313258">
        <w:t xml:space="preserve">, </w:t>
      </w:r>
      <w:r w:rsidRPr="00313258">
        <w:t>2014</w:t>
      </w:r>
      <w:r w:rsidR="00E94CAC" w:rsidRPr="00313258">
        <w:t>,</w:t>
      </w:r>
      <w:r w:rsidRPr="00313258">
        <w:t xml:space="preserve"> Thermodynamics, kinetics, and activation energy studies of the sorption of chromium (III) and chromium (VI) to a Mn3O4 nanomaterial</w:t>
      </w:r>
      <w:r w:rsidR="00E94CAC" w:rsidRPr="00313258">
        <w:t>,</w:t>
      </w:r>
      <w:r w:rsidRPr="00313258">
        <w:t xml:space="preserve"> Chemical Engineering Journal, 254, 374-383.</w:t>
      </w:r>
    </w:p>
    <w:p w14:paraId="4E362575" w14:textId="77777777" w:rsidR="00BC6A48" w:rsidRPr="00313258" w:rsidRDefault="00BC6A48" w:rsidP="00313258">
      <w:pPr>
        <w:pStyle w:val="CETReferencetext"/>
      </w:pPr>
      <w:r w:rsidRPr="00313258">
        <w:t xml:space="preserve">Chung J., Chun J., Lee J., Lee S. H., Lee Y. J., Hong S. W., 2012, Sorption of </w:t>
      </w:r>
      <w:proofErr w:type="spellStart"/>
      <w:r w:rsidRPr="00313258">
        <w:t>Pb</w:t>
      </w:r>
      <w:proofErr w:type="spellEnd"/>
      <w:r w:rsidRPr="00313258">
        <w:t xml:space="preserve"> (II) and Cu (II) onto multi-amine grafted mesoporous silica embedded with </w:t>
      </w:r>
      <w:proofErr w:type="spellStart"/>
      <w:r w:rsidRPr="00313258">
        <w:t>nano</w:t>
      </w:r>
      <w:proofErr w:type="spellEnd"/>
      <w:r w:rsidRPr="00313258">
        <w:t>-magnetite: Effects of steric factors, Journal of hazardous materials, 239, 183-191.</w:t>
      </w:r>
    </w:p>
    <w:p w14:paraId="3C111666" w14:textId="77777777" w:rsidR="00314D2C" w:rsidRPr="00313258" w:rsidRDefault="00BC6A48" w:rsidP="00313258">
      <w:pPr>
        <w:pStyle w:val="CETReferencetext"/>
      </w:pPr>
      <w:r w:rsidRPr="00313258">
        <w:t xml:space="preserve">De Falco G., Porta A., Del </w:t>
      </w:r>
      <w:proofErr w:type="spellStart"/>
      <w:r w:rsidRPr="00313258">
        <w:t>Gaudio</w:t>
      </w:r>
      <w:proofErr w:type="spellEnd"/>
      <w:r w:rsidRPr="00313258">
        <w:t xml:space="preserve"> P., </w:t>
      </w:r>
      <w:proofErr w:type="spellStart"/>
      <w:r w:rsidRPr="00313258">
        <w:t>Commodo</w:t>
      </w:r>
      <w:proofErr w:type="spellEnd"/>
      <w:r w:rsidRPr="00313258">
        <w:t xml:space="preserve"> M., Minutolo P., </w:t>
      </w:r>
      <w:proofErr w:type="spellStart"/>
      <w:r w:rsidRPr="00313258">
        <w:t>D’Anna</w:t>
      </w:r>
      <w:proofErr w:type="spellEnd"/>
      <w:r w:rsidRPr="00313258">
        <w:t xml:space="preserve">, A., 2017, Thin Film Coatings Prepared by Direct </w:t>
      </w:r>
      <w:proofErr w:type="spellStart"/>
      <w:r w:rsidRPr="00313258">
        <w:t>Thermophoretic</w:t>
      </w:r>
      <w:proofErr w:type="spellEnd"/>
      <w:r w:rsidRPr="00313258">
        <w:t xml:space="preserve"> Deposition of Flame-Made Nanoparticles, Chemical Engineering Transactions, 60, 67-72.</w:t>
      </w:r>
    </w:p>
    <w:p w14:paraId="7541601A" w14:textId="07D61C87" w:rsidR="00CD2EFA" w:rsidRPr="00313258" w:rsidRDefault="00CD2EFA" w:rsidP="00313258">
      <w:pPr>
        <w:pStyle w:val="CETReferencetext"/>
      </w:pPr>
      <w:r w:rsidRPr="00313258">
        <w:t xml:space="preserve">Di Palma L., </w:t>
      </w:r>
      <w:proofErr w:type="spellStart"/>
      <w:r w:rsidRPr="00313258">
        <w:t>Ferrantelli</w:t>
      </w:r>
      <w:proofErr w:type="spellEnd"/>
      <w:r w:rsidRPr="00313258">
        <w:t xml:space="preserve"> P., </w:t>
      </w:r>
      <w:proofErr w:type="spellStart"/>
      <w:r w:rsidRPr="00313258">
        <w:t>Merli</w:t>
      </w:r>
      <w:proofErr w:type="spellEnd"/>
      <w:r w:rsidRPr="00313258">
        <w:t xml:space="preserve"> C., </w:t>
      </w:r>
      <w:proofErr w:type="spellStart"/>
      <w:r w:rsidRPr="00313258">
        <w:t>Petrucci</w:t>
      </w:r>
      <w:proofErr w:type="spellEnd"/>
      <w:r w:rsidRPr="00313258">
        <w:t xml:space="preserve"> E., </w:t>
      </w:r>
      <w:proofErr w:type="spellStart"/>
      <w:r w:rsidRPr="00313258">
        <w:t>Pitzolu</w:t>
      </w:r>
      <w:proofErr w:type="spellEnd"/>
      <w:r w:rsidRPr="00313258">
        <w:t xml:space="preserve"> I., 2007, Influence of soil organic matter on copper extraction from contaminated soil, Soil and Sediment Contamination, 16 (3), 323-335.</w:t>
      </w:r>
    </w:p>
    <w:p w14:paraId="6810C1C0" w14:textId="77777777" w:rsidR="00CD2EFA" w:rsidRPr="00313258" w:rsidRDefault="00CD2EFA" w:rsidP="00313258">
      <w:pPr>
        <w:pStyle w:val="CETReferencetext"/>
      </w:pPr>
      <w:r w:rsidRPr="00313258">
        <w:t xml:space="preserve">Di Palma L., </w:t>
      </w:r>
      <w:proofErr w:type="spellStart"/>
      <w:r w:rsidRPr="00313258">
        <w:t>Verdone</w:t>
      </w:r>
      <w:proofErr w:type="spellEnd"/>
      <w:r w:rsidRPr="00313258">
        <w:t xml:space="preserve"> N., 2009, The effect of disk rotational speed on oxygen transfer in rotating biological contactors, </w:t>
      </w:r>
      <w:proofErr w:type="spellStart"/>
      <w:r w:rsidRPr="00313258">
        <w:t>Bioresource</w:t>
      </w:r>
      <w:proofErr w:type="spellEnd"/>
      <w:r w:rsidRPr="00313258">
        <w:t xml:space="preserve"> Technology, 100, 1467-1470.</w:t>
      </w:r>
    </w:p>
    <w:p w14:paraId="3821FE52" w14:textId="77777777" w:rsidR="00116E2E" w:rsidRPr="00313258" w:rsidRDefault="00116E2E" w:rsidP="00313258">
      <w:pPr>
        <w:pStyle w:val="CETReferencetext"/>
      </w:pPr>
      <w:r w:rsidRPr="00313258">
        <w:t xml:space="preserve">Di Palma, L., Medici F., </w:t>
      </w:r>
      <w:proofErr w:type="spellStart"/>
      <w:r w:rsidRPr="00313258">
        <w:t>Vilardi</w:t>
      </w:r>
      <w:proofErr w:type="spellEnd"/>
      <w:r w:rsidRPr="00313258">
        <w:t xml:space="preserve"> G., 2015, Artificial aggregate from </w:t>
      </w:r>
      <w:proofErr w:type="spellStart"/>
      <w:r w:rsidRPr="00313258">
        <w:t>non metallic</w:t>
      </w:r>
      <w:proofErr w:type="spellEnd"/>
      <w:r w:rsidRPr="00313258">
        <w:t xml:space="preserve"> automotive shredder residue, Chemical Engineering Transactions, 43, 1723-1728.</w:t>
      </w:r>
    </w:p>
    <w:p w14:paraId="3B7AA7C4" w14:textId="77777777" w:rsidR="00BB5FEF" w:rsidRPr="00313258" w:rsidRDefault="00BB5FEF" w:rsidP="00313258">
      <w:pPr>
        <w:pStyle w:val="CETReferencetext"/>
      </w:pPr>
      <w:proofErr w:type="spellStart"/>
      <w:r w:rsidRPr="00313258">
        <w:t>Gueye</w:t>
      </w:r>
      <w:proofErr w:type="spellEnd"/>
      <w:r w:rsidRPr="00313258">
        <w:t xml:space="preserve"> M.T., Di Palma L., </w:t>
      </w:r>
      <w:proofErr w:type="spellStart"/>
      <w:r w:rsidRPr="00313258">
        <w:t>Allahverdeyeva</w:t>
      </w:r>
      <w:proofErr w:type="spellEnd"/>
      <w:r w:rsidRPr="00313258">
        <w:t xml:space="preserve"> G., </w:t>
      </w:r>
      <w:proofErr w:type="spellStart"/>
      <w:r w:rsidRPr="00313258">
        <w:t>Bavasso</w:t>
      </w:r>
      <w:proofErr w:type="spellEnd"/>
      <w:r w:rsidRPr="00313258">
        <w:t xml:space="preserve"> I., </w:t>
      </w:r>
      <w:proofErr w:type="spellStart"/>
      <w:r w:rsidRPr="00313258">
        <w:t>Petrucci</w:t>
      </w:r>
      <w:proofErr w:type="spellEnd"/>
      <w:r w:rsidRPr="00313258">
        <w:t xml:space="preserve"> E., </w:t>
      </w:r>
      <w:proofErr w:type="spellStart"/>
      <w:r w:rsidRPr="00313258">
        <w:t>Stoller</w:t>
      </w:r>
      <w:proofErr w:type="spellEnd"/>
      <w:r w:rsidRPr="00313258">
        <w:t xml:space="preserve"> M., </w:t>
      </w:r>
      <w:proofErr w:type="spellStart"/>
      <w:r w:rsidRPr="00313258">
        <w:t>Vilardi</w:t>
      </w:r>
      <w:proofErr w:type="spellEnd"/>
      <w:r w:rsidRPr="00313258">
        <w:t xml:space="preserve"> G., 2016, The influence of heavy metals and organic matter on hexavalent chromium reduction by </w:t>
      </w:r>
      <w:proofErr w:type="spellStart"/>
      <w:r w:rsidRPr="00313258">
        <w:t>nano</w:t>
      </w:r>
      <w:proofErr w:type="spellEnd"/>
      <w:r w:rsidRPr="00313258">
        <w:t xml:space="preserve"> zero valent iron in soil, Chemical Engineering Transactions, 47, 289-294.</w:t>
      </w:r>
    </w:p>
    <w:p w14:paraId="6B82E730" w14:textId="77777777" w:rsidR="00A754D4" w:rsidRPr="00313258" w:rsidRDefault="00A754D4" w:rsidP="00313258">
      <w:pPr>
        <w:pStyle w:val="CETReferencetext"/>
      </w:pPr>
      <w:proofErr w:type="spellStart"/>
      <w:r w:rsidRPr="00313258">
        <w:t>Marsili</w:t>
      </w:r>
      <w:proofErr w:type="spellEnd"/>
      <w:r w:rsidRPr="00313258">
        <w:t xml:space="preserve"> E., </w:t>
      </w:r>
      <w:proofErr w:type="spellStart"/>
      <w:r w:rsidRPr="00313258">
        <w:t>Beyenal</w:t>
      </w:r>
      <w:proofErr w:type="spellEnd"/>
      <w:r w:rsidRPr="00313258">
        <w:t xml:space="preserve"> H., Di Palma L., </w:t>
      </w:r>
      <w:proofErr w:type="spellStart"/>
      <w:r w:rsidRPr="00313258">
        <w:t>Merli</w:t>
      </w:r>
      <w:proofErr w:type="spellEnd"/>
      <w:r w:rsidRPr="00313258">
        <w:t xml:space="preserve"> C., </w:t>
      </w:r>
      <w:proofErr w:type="spellStart"/>
      <w:r w:rsidRPr="00313258">
        <w:t>Dohnalkova</w:t>
      </w:r>
      <w:proofErr w:type="spellEnd"/>
      <w:r w:rsidRPr="00313258">
        <w:t xml:space="preserve"> A., </w:t>
      </w:r>
      <w:proofErr w:type="spellStart"/>
      <w:r w:rsidRPr="00313258">
        <w:t>Amonette</w:t>
      </w:r>
      <w:proofErr w:type="spellEnd"/>
      <w:r w:rsidRPr="00313258">
        <w:t xml:space="preserve"> J. E., Lewandowski Z., 2005, Uranium removal by </w:t>
      </w:r>
      <w:proofErr w:type="spellStart"/>
      <w:r w:rsidRPr="00313258">
        <w:t>sulfate</w:t>
      </w:r>
      <w:proofErr w:type="spellEnd"/>
      <w:r w:rsidRPr="00313258">
        <w:t xml:space="preserve"> reducing biofilms in the presence of carbonates, Water Science and Technology, 52(7), 49-55.</w:t>
      </w:r>
    </w:p>
    <w:p w14:paraId="17EC063D" w14:textId="77777777" w:rsidR="00A754D4" w:rsidRPr="00313258" w:rsidRDefault="00A754D4" w:rsidP="00313258">
      <w:pPr>
        <w:pStyle w:val="CETReferencetext"/>
      </w:pPr>
      <w:proofErr w:type="spellStart"/>
      <w:r w:rsidRPr="00313258">
        <w:t>Marsili</w:t>
      </w:r>
      <w:proofErr w:type="spellEnd"/>
      <w:r w:rsidRPr="00313258">
        <w:t xml:space="preserve"> E., </w:t>
      </w:r>
      <w:proofErr w:type="spellStart"/>
      <w:r w:rsidRPr="00313258">
        <w:t>Beyenal</w:t>
      </w:r>
      <w:proofErr w:type="spellEnd"/>
      <w:r w:rsidRPr="00313258">
        <w:t xml:space="preserve"> H., Di Palma L., </w:t>
      </w:r>
      <w:proofErr w:type="spellStart"/>
      <w:r w:rsidRPr="00313258">
        <w:t>Merli</w:t>
      </w:r>
      <w:proofErr w:type="spellEnd"/>
      <w:r w:rsidRPr="00313258">
        <w:t xml:space="preserve"> C., </w:t>
      </w:r>
      <w:proofErr w:type="spellStart"/>
      <w:r w:rsidRPr="00313258">
        <w:t>Dohnalkova</w:t>
      </w:r>
      <w:proofErr w:type="spellEnd"/>
      <w:r w:rsidRPr="00313258">
        <w:t xml:space="preserve"> A., </w:t>
      </w:r>
      <w:proofErr w:type="spellStart"/>
      <w:r w:rsidRPr="00313258">
        <w:t>Amonette</w:t>
      </w:r>
      <w:proofErr w:type="spellEnd"/>
      <w:r w:rsidRPr="00313258">
        <w:t xml:space="preserve"> J. E., Lewandowski Z., 2007, Uranium immobilization by </w:t>
      </w:r>
      <w:proofErr w:type="spellStart"/>
      <w:r w:rsidRPr="00313258">
        <w:t>sulfate</w:t>
      </w:r>
      <w:proofErr w:type="spellEnd"/>
      <w:r w:rsidRPr="00313258">
        <w:t>-reducing biofilms grown on hematite, dolomite, and calcite, Environmental Science and Technology, 41(24), 8349-8354.</w:t>
      </w:r>
    </w:p>
    <w:p w14:paraId="54B817EB" w14:textId="77777777" w:rsidR="00BC6A48" w:rsidRPr="00313258" w:rsidRDefault="00BC6A48" w:rsidP="00313258">
      <w:pPr>
        <w:pStyle w:val="CETReferencetext"/>
      </w:pPr>
      <w:proofErr w:type="spellStart"/>
      <w:r w:rsidRPr="00313258">
        <w:t>Milja</w:t>
      </w:r>
      <w:proofErr w:type="spellEnd"/>
      <w:r w:rsidRPr="00313258">
        <w:t xml:space="preserve"> T. E., </w:t>
      </w:r>
      <w:proofErr w:type="spellStart"/>
      <w:r w:rsidRPr="00313258">
        <w:t>Prathish</w:t>
      </w:r>
      <w:proofErr w:type="spellEnd"/>
      <w:r w:rsidRPr="00313258">
        <w:t xml:space="preserve"> K. P., Rao T. P., 2011, Synthesis of surface imprinted </w:t>
      </w:r>
      <w:proofErr w:type="spellStart"/>
      <w:r w:rsidRPr="00313258">
        <w:t>nanospheres</w:t>
      </w:r>
      <w:proofErr w:type="spellEnd"/>
      <w:r w:rsidRPr="00313258">
        <w:t xml:space="preserve"> for selective removal of uranium from simulants of Sambhar salt lake and ground water, Journal of hazardous materials, 188(1-3), 384-390.</w:t>
      </w:r>
    </w:p>
    <w:p w14:paraId="35343E2D" w14:textId="77777777" w:rsidR="00BC6A48" w:rsidRPr="00313258" w:rsidRDefault="00BC6A48" w:rsidP="00313258">
      <w:pPr>
        <w:pStyle w:val="CETReferencetext"/>
      </w:pPr>
      <w:proofErr w:type="spellStart"/>
      <w:r w:rsidRPr="00313258">
        <w:lastRenderedPageBreak/>
        <w:t>Sarno</w:t>
      </w:r>
      <w:proofErr w:type="spellEnd"/>
      <w:r w:rsidRPr="00313258">
        <w:t xml:space="preserve"> M., </w:t>
      </w:r>
      <w:proofErr w:type="spellStart"/>
      <w:r w:rsidRPr="00313258">
        <w:t>Ponticorvo</w:t>
      </w:r>
      <w:proofErr w:type="spellEnd"/>
      <w:r w:rsidRPr="00313258">
        <w:t xml:space="preserve"> E., </w:t>
      </w:r>
      <w:proofErr w:type="spellStart"/>
      <w:r w:rsidRPr="00313258">
        <w:t>Cirillo</w:t>
      </w:r>
      <w:proofErr w:type="spellEnd"/>
      <w:r w:rsidRPr="00313258">
        <w:t xml:space="preserve"> C., </w:t>
      </w:r>
      <w:proofErr w:type="spellStart"/>
      <w:r w:rsidRPr="00313258">
        <w:t>Ciambelli</w:t>
      </w:r>
      <w:proofErr w:type="spellEnd"/>
      <w:r w:rsidRPr="00313258">
        <w:t>, P., 2017a, Polycyclic Aromatic Hydrocarbons Extraction Based on Graphene Coated Magnetic Alloy Nanoparticles, Chemical Engineering Transactions, 60, 145-150.</w:t>
      </w:r>
    </w:p>
    <w:p w14:paraId="30422143" w14:textId="77777777" w:rsidR="00BC6A48" w:rsidRPr="00313258" w:rsidRDefault="00BC6A48" w:rsidP="00313258">
      <w:pPr>
        <w:pStyle w:val="CETReferencetext"/>
      </w:pPr>
      <w:proofErr w:type="spellStart"/>
      <w:r w:rsidRPr="00313258">
        <w:t>Sarno</w:t>
      </w:r>
      <w:proofErr w:type="spellEnd"/>
      <w:r w:rsidRPr="00313258">
        <w:t xml:space="preserve"> M., </w:t>
      </w:r>
      <w:proofErr w:type="spellStart"/>
      <w:r w:rsidRPr="00313258">
        <w:t>Cirillo</w:t>
      </w:r>
      <w:proofErr w:type="spellEnd"/>
      <w:r w:rsidRPr="00313258">
        <w:t xml:space="preserve"> C., </w:t>
      </w:r>
      <w:proofErr w:type="spellStart"/>
      <w:r w:rsidRPr="00313258">
        <w:t>Troisi</w:t>
      </w:r>
      <w:proofErr w:type="spellEnd"/>
      <w:r w:rsidRPr="00313258">
        <w:t xml:space="preserve"> A., </w:t>
      </w:r>
      <w:proofErr w:type="spellStart"/>
      <w:r w:rsidRPr="00313258">
        <w:t>Ciambelli</w:t>
      </w:r>
      <w:proofErr w:type="spellEnd"/>
      <w:r w:rsidRPr="00313258">
        <w:t xml:space="preserve">, P., 2017b, </w:t>
      </w:r>
      <w:proofErr w:type="spellStart"/>
      <w:r w:rsidRPr="00313258">
        <w:t>Pb</w:t>
      </w:r>
      <w:proofErr w:type="spellEnd"/>
      <w:r w:rsidRPr="00313258">
        <w:t xml:space="preserve"> Removal on Carbon Nanotubes Membrane Decorated by </w:t>
      </w:r>
      <w:proofErr w:type="spellStart"/>
      <w:r w:rsidRPr="00313258">
        <w:t>ZnO</w:t>
      </w:r>
      <w:proofErr w:type="spellEnd"/>
      <w:r w:rsidRPr="00313258">
        <w:t xml:space="preserve"> Nanoparticles, Chemical Engineering Transactions, 60, 277-282.</w:t>
      </w:r>
    </w:p>
    <w:p w14:paraId="7402C3CE" w14:textId="77777777" w:rsidR="00713870" w:rsidRPr="00313258" w:rsidRDefault="00713870" w:rsidP="00313258">
      <w:pPr>
        <w:pStyle w:val="CETReferencetext"/>
      </w:pPr>
      <w:proofErr w:type="spellStart"/>
      <w:r w:rsidRPr="00313258">
        <w:t>Stoller</w:t>
      </w:r>
      <w:proofErr w:type="spellEnd"/>
      <w:r w:rsidRPr="00313258">
        <w:t xml:space="preserve"> M., </w:t>
      </w:r>
      <w:proofErr w:type="spellStart"/>
      <w:r w:rsidRPr="00313258">
        <w:t>Azizova</w:t>
      </w:r>
      <w:proofErr w:type="spellEnd"/>
      <w:r w:rsidRPr="00313258">
        <w:t xml:space="preserve"> G., </w:t>
      </w:r>
      <w:proofErr w:type="spellStart"/>
      <w:r w:rsidRPr="00313258">
        <w:t>Mammadova</w:t>
      </w:r>
      <w:proofErr w:type="spellEnd"/>
      <w:r w:rsidRPr="00313258">
        <w:t xml:space="preserve"> A., </w:t>
      </w:r>
      <w:proofErr w:type="spellStart"/>
      <w:r w:rsidRPr="00313258">
        <w:t>Vilardi</w:t>
      </w:r>
      <w:proofErr w:type="spellEnd"/>
      <w:r w:rsidRPr="00313258">
        <w:t xml:space="preserve"> G., Di Palma L., </w:t>
      </w:r>
      <w:proofErr w:type="spellStart"/>
      <w:r w:rsidRPr="00313258">
        <w:t>Chianese</w:t>
      </w:r>
      <w:proofErr w:type="spellEnd"/>
      <w:r w:rsidRPr="00313258">
        <w:t xml:space="preserve"> A., 2016, Treatment of Olive Oil Processing Wastewater by Ultrafiltration, </w:t>
      </w:r>
      <w:proofErr w:type="spellStart"/>
      <w:r w:rsidRPr="00313258">
        <w:t>Nanofiltration</w:t>
      </w:r>
      <w:proofErr w:type="spellEnd"/>
      <w:r w:rsidRPr="00313258">
        <w:t xml:space="preserve">, Reverse Osmosis and </w:t>
      </w:r>
      <w:proofErr w:type="spellStart"/>
      <w:r w:rsidRPr="00313258">
        <w:t>Biofiltration</w:t>
      </w:r>
      <w:proofErr w:type="spellEnd"/>
      <w:r w:rsidRPr="00313258">
        <w:t>, Chemical Engineering Transactions, 47, 409–414.</w:t>
      </w:r>
    </w:p>
    <w:p w14:paraId="291EA615" w14:textId="77777777" w:rsidR="00BB5FEF" w:rsidRPr="00313258" w:rsidRDefault="00BB5FEF" w:rsidP="00313258">
      <w:pPr>
        <w:pStyle w:val="CETReferencetext"/>
      </w:pPr>
      <w:proofErr w:type="spellStart"/>
      <w:r w:rsidRPr="00313258">
        <w:t>Stoller</w:t>
      </w:r>
      <w:proofErr w:type="spellEnd"/>
      <w:r w:rsidRPr="00313258">
        <w:t xml:space="preserve"> M., </w:t>
      </w:r>
      <w:proofErr w:type="spellStart"/>
      <w:r w:rsidRPr="00313258">
        <w:t>Ochando</w:t>
      </w:r>
      <w:proofErr w:type="spellEnd"/>
      <w:r w:rsidRPr="00313258">
        <w:t xml:space="preserve">-Pulido J.M., </w:t>
      </w:r>
      <w:proofErr w:type="spellStart"/>
      <w:r w:rsidRPr="00313258">
        <w:t>Vilardi</w:t>
      </w:r>
      <w:proofErr w:type="spellEnd"/>
      <w:r w:rsidRPr="00313258">
        <w:t xml:space="preserve"> G., </w:t>
      </w:r>
      <w:proofErr w:type="spellStart"/>
      <w:r w:rsidRPr="00313258">
        <w:t>Vuppala</w:t>
      </w:r>
      <w:proofErr w:type="spellEnd"/>
      <w:r w:rsidRPr="00313258">
        <w:t xml:space="preserve"> S., </w:t>
      </w:r>
      <w:proofErr w:type="spellStart"/>
      <w:r w:rsidRPr="00313258">
        <w:t>Bravi</w:t>
      </w:r>
      <w:proofErr w:type="spellEnd"/>
      <w:r w:rsidRPr="00313258">
        <w:t xml:space="preserve"> M., </w:t>
      </w:r>
      <w:proofErr w:type="spellStart"/>
      <w:r w:rsidRPr="00313258">
        <w:t>Verdone</w:t>
      </w:r>
      <w:proofErr w:type="spellEnd"/>
      <w:r w:rsidRPr="00313258">
        <w:t xml:space="preserve"> N., Di Palma L., 2017, Technical and economic impact of </w:t>
      </w:r>
      <w:proofErr w:type="spellStart"/>
      <w:r w:rsidRPr="00313258">
        <w:t>photocatalysis</w:t>
      </w:r>
      <w:proofErr w:type="spellEnd"/>
      <w:r w:rsidRPr="00313258">
        <w:t xml:space="preserve"> as a </w:t>
      </w:r>
      <w:proofErr w:type="spellStart"/>
      <w:r w:rsidRPr="00313258">
        <w:t>pretreatment</w:t>
      </w:r>
      <w:proofErr w:type="spellEnd"/>
      <w:r w:rsidRPr="00313258">
        <w:t xml:space="preserve"> process step in olive mill wastewater treatment by membranes, Chemical Engineering Transactions, 57, 1171-1176.</w:t>
      </w:r>
    </w:p>
    <w:p w14:paraId="17D62B01" w14:textId="77777777" w:rsidR="00BC6A48" w:rsidRPr="00313258" w:rsidRDefault="00BC6A48" w:rsidP="00313258">
      <w:pPr>
        <w:pStyle w:val="CETReferencetext"/>
      </w:pPr>
      <w:r w:rsidRPr="00313258">
        <w:t xml:space="preserve">Tran H. V., Dai Tran L., Nguyen T. N., 2010, Preparation of chitosan/magnetite composite beads and their application for removal of </w:t>
      </w:r>
      <w:proofErr w:type="spellStart"/>
      <w:r w:rsidRPr="00313258">
        <w:t>Pb</w:t>
      </w:r>
      <w:proofErr w:type="spellEnd"/>
      <w:r w:rsidRPr="00313258">
        <w:t xml:space="preserve"> (II) and Ni (II) from aqueous solution, Materials Science and Engineering: C, 30(2), 304-310.</w:t>
      </w:r>
    </w:p>
    <w:p w14:paraId="0E3C81C2" w14:textId="77777777" w:rsidR="00BB5FEF" w:rsidRPr="00313258" w:rsidRDefault="00BB5FEF" w:rsidP="00313258">
      <w:pPr>
        <w:pStyle w:val="CETReferencetext"/>
      </w:pPr>
      <w:proofErr w:type="spellStart"/>
      <w:r w:rsidRPr="00313258">
        <w:t>Vilardi</w:t>
      </w:r>
      <w:proofErr w:type="spellEnd"/>
      <w:r w:rsidRPr="00313258">
        <w:t xml:space="preserve"> G., </w:t>
      </w:r>
      <w:proofErr w:type="spellStart"/>
      <w:r w:rsidRPr="00313258">
        <w:t>Stoller</w:t>
      </w:r>
      <w:proofErr w:type="spellEnd"/>
      <w:r w:rsidRPr="00313258">
        <w:t xml:space="preserve"> M., </w:t>
      </w:r>
      <w:proofErr w:type="spellStart"/>
      <w:r w:rsidRPr="00313258">
        <w:t>Verdone</w:t>
      </w:r>
      <w:proofErr w:type="spellEnd"/>
      <w:r w:rsidRPr="00313258">
        <w:t xml:space="preserve"> N., Di Palma L., 2017a, Production of </w:t>
      </w:r>
      <w:proofErr w:type="spellStart"/>
      <w:r w:rsidRPr="00313258">
        <w:t>nano</w:t>
      </w:r>
      <w:proofErr w:type="spellEnd"/>
      <w:r w:rsidRPr="00313258">
        <w:t xml:space="preserve"> Zero Valent Iron particles by means of a spinning disk reactor, Chemical Engineering Transactions, 57, 751–756.</w:t>
      </w:r>
    </w:p>
    <w:p w14:paraId="424AB263" w14:textId="466C3FC6" w:rsidR="00BB5FEF" w:rsidRPr="00313258" w:rsidRDefault="00BB5FEF" w:rsidP="00313258">
      <w:pPr>
        <w:pStyle w:val="CETReferencetext"/>
      </w:pPr>
      <w:proofErr w:type="spellStart"/>
      <w:r w:rsidRPr="00313258">
        <w:t>Vilardi</w:t>
      </w:r>
      <w:proofErr w:type="spellEnd"/>
      <w:r w:rsidRPr="00313258">
        <w:t xml:space="preserve"> G., </w:t>
      </w:r>
      <w:proofErr w:type="spellStart"/>
      <w:r w:rsidRPr="00313258">
        <w:t>Verdone</w:t>
      </w:r>
      <w:proofErr w:type="spellEnd"/>
      <w:r w:rsidRPr="00313258">
        <w:t xml:space="preserve"> N., Di Palma L., 2017b, The influence of nitrate on the reduction of hexavalent chromium by zero-valent iron nanoparticles in polluted wastewater, Desalination and Water Treatment, 86, 252–258. </w:t>
      </w:r>
    </w:p>
    <w:p w14:paraId="41D76792" w14:textId="5B55A137" w:rsidR="00431FEC" w:rsidRPr="00313258" w:rsidRDefault="00431FEC" w:rsidP="00313258">
      <w:pPr>
        <w:pStyle w:val="CETReferencetext"/>
      </w:pPr>
      <w:proofErr w:type="spellStart"/>
      <w:r w:rsidRPr="00313258">
        <w:t>Vilardi</w:t>
      </w:r>
      <w:proofErr w:type="spellEnd"/>
      <w:r w:rsidRPr="00313258">
        <w:t xml:space="preserve"> G., Di Palma L., </w:t>
      </w:r>
      <w:proofErr w:type="spellStart"/>
      <w:r w:rsidRPr="00313258">
        <w:t>Verdone</w:t>
      </w:r>
      <w:proofErr w:type="spellEnd"/>
      <w:r w:rsidRPr="00313258">
        <w:t xml:space="preserve"> N., 2017c, Competitive Reaction Modelling in Aqueous Systems: the Case of Contemporary Reduction of </w:t>
      </w:r>
      <w:proofErr w:type="spellStart"/>
      <w:r w:rsidRPr="00313258">
        <w:t>Dichromates</w:t>
      </w:r>
      <w:proofErr w:type="spellEnd"/>
      <w:r w:rsidRPr="00313258">
        <w:t xml:space="preserve"> and Nitrates by </w:t>
      </w:r>
      <w:proofErr w:type="spellStart"/>
      <w:r w:rsidRPr="00313258">
        <w:t>nZVI</w:t>
      </w:r>
      <w:proofErr w:type="spellEnd"/>
      <w:r w:rsidRPr="00313258">
        <w:t xml:space="preserve">, Chemical Engineering Transactions, 60, 175–180. </w:t>
      </w:r>
    </w:p>
    <w:p w14:paraId="46AA61AC" w14:textId="77777777" w:rsidR="00BB5FEF" w:rsidRPr="00313258" w:rsidRDefault="00BB5FEF" w:rsidP="00313258">
      <w:pPr>
        <w:pStyle w:val="CETReferencetext"/>
      </w:pPr>
      <w:proofErr w:type="spellStart"/>
      <w:r w:rsidRPr="00313258">
        <w:t>Vilardi</w:t>
      </w:r>
      <w:proofErr w:type="spellEnd"/>
      <w:r w:rsidRPr="00313258">
        <w:t xml:space="preserve"> G., Di Palma L., </w:t>
      </w:r>
      <w:proofErr w:type="spellStart"/>
      <w:r w:rsidRPr="00313258">
        <w:t>Verdone</w:t>
      </w:r>
      <w:proofErr w:type="spellEnd"/>
      <w:r w:rsidRPr="00313258">
        <w:t xml:space="preserve"> N., 2018a, On the critical use of zero valent iron nanoparticles and Fenton processes for the treatment of tannery wastewater, Journal of Water Process Engineering, 22C, 109–122.</w:t>
      </w:r>
    </w:p>
    <w:p w14:paraId="1171D7EF" w14:textId="77777777" w:rsidR="00BB5FEF" w:rsidRPr="00313258" w:rsidRDefault="00BB5FEF" w:rsidP="00313258">
      <w:pPr>
        <w:pStyle w:val="CETReferencetext"/>
      </w:pPr>
      <w:proofErr w:type="spellStart"/>
      <w:r w:rsidRPr="00313258">
        <w:t>Vilardi</w:t>
      </w:r>
      <w:proofErr w:type="spellEnd"/>
      <w:r w:rsidRPr="00313258">
        <w:t xml:space="preserve"> G., </w:t>
      </w:r>
      <w:proofErr w:type="spellStart"/>
      <w:r w:rsidRPr="00313258">
        <w:t>Sebastiani</w:t>
      </w:r>
      <w:proofErr w:type="spellEnd"/>
      <w:r w:rsidRPr="00313258">
        <w:t xml:space="preserve"> D., </w:t>
      </w:r>
      <w:proofErr w:type="spellStart"/>
      <w:r w:rsidRPr="00313258">
        <w:t>Miliziano</w:t>
      </w:r>
      <w:proofErr w:type="spellEnd"/>
      <w:r w:rsidRPr="00313258">
        <w:t xml:space="preserve"> S., </w:t>
      </w:r>
      <w:proofErr w:type="spellStart"/>
      <w:r w:rsidRPr="00313258">
        <w:t>Verdone</w:t>
      </w:r>
      <w:proofErr w:type="spellEnd"/>
      <w:r w:rsidRPr="00313258">
        <w:t xml:space="preserve"> N., Di Palma L., 2018b, Heterogeneous </w:t>
      </w:r>
      <w:proofErr w:type="spellStart"/>
      <w:r w:rsidRPr="00313258">
        <w:t>nZVI</w:t>
      </w:r>
      <w:proofErr w:type="spellEnd"/>
      <w:r w:rsidRPr="00313258">
        <w:t xml:space="preserve">-induced Fenton oxidation process to enhance biodegradability of excavation by-products, Chemical Engineering Journal, 335, 309–320. </w:t>
      </w:r>
    </w:p>
    <w:p w14:paraId="57759422" w14:textId="41ADA70A" w:rsidR="00BB5FEF" w:rsidRPr="00313258" w:rsidRDefault="00BB5FEF" w:rsidP="00313258">
      <w:pPr>
        <w:pStyle w:val="CETReferencetext"/>
      </w:pPr>
      <w:proofErr w:type="spellStart"/>
      <w:r w:rsidRPr="00313258">
        <w:t>Vilardi</w:t>
      </w:r>
      <w:proofErr w:type="spellEnd"/>
      <w:r w:rsidRPr="00313258">
        <w:t xml:space="preserve"> G., Di Palma L., </w:t>
      </w:r>
      <w:proofErr w:type="spellStart"/>
      <w:r w:rsidRPr="00313258">
        <w:t>Verdone</w:t>
      </w:r>
      <w:proofErr w:type="spellEnd"/>
      <w:r w:rsidRPr="00313258">
        <w:t xml:space="preserve"> N., 2018c, Heavy metals adsorption by banana peels micro-powder. Equilibrium </w:t>
      </w:r>
      <w:proofErr w:type="spellStart"/>
      <w:r w:rsidRPr="00313258">
        <w:t>modeling</w:t>
      </w:r>
      <w:proofErr w:type="spellEnd"/>
      <w:r w:rsidRPr="00313258">
        <w:t xml:space="preserve"> by non-linear models, Chinese Journal of Chemical Engineering, 26, 455-464.</w:t>
      </w:r>
    </w:p>
    <w:p w14:paraId="3DEE04D9" w14:textId="21973517" w:rsidR="00431FEC" w:rsidRPr="00313258" w:rsidRDefault="00431FEC" w:rsidP="00313258">
      <w:pPr>
        <w:pStyle w:val="CETReferencetext"/>
      </w:pPr>
      <w:bookmarkStart w:id="2" w:name="_Hlk180965"/>
      <w:proofErr w:type="spellStart"/>
      <w:r w:rsidRPr="00313258">
        <w:t>Vilardi</w:t>
      </w:r>
      <w:proofErr w:type="spellEnd"/>
      <w:r w:rsidRPr="00313258">
        <w:t xml:space="preserve"> G., </w:t>
      </w:r>
      <w:proofErr w:type="spellStart"/>
      <w:r w:rsidRPr="00313258">
        <w:t>Ochando</w:t>
      </w:r>
      <w:proofErr w:type="spellEnd"/>
      <w:r w:rsidRPr="00313258">
        <w:t xml:space="preserve"> Pulido J.M., </w:t>
      </w:r>
      <w:proofErr w:type="spellStart"/>
      <w:r w:rsidRPr="00313258">
        <w:t>Verdone</w:t>
      </w:r>
      <w:proofErr w:type="spellEnd"/>
      <w:r w:rsidRPr="00313258">
        <w:t xml:space="preserve"> N., </w:t>
      </w:r>
      <w:proofErr w:type="spellStart"/>
      <w:r w:rsidRPr="00313258">
        <w:t>Stoller</w:t>
      </w:r>
      <w:proofErr w:type="spellEnd"/>
      <w:r w:rsidRPr="00313258">
        <w:t xml:space="preserve"> M., Di Palma L., 2018d, On the removal of Hexavalent Chromium by olive stones coated by iron-based nanoparticles: equilibrium study and Chromium recovery, Journal of Cleaner Production, 190, 200-210.</w:t>
      </w:r>
    </w:p>
    <w:p w14:paraId="40DC7E36" w14:textId="5169B597" w:rsidR="00431FEC" w:rsidRPr="00313258" w:rsidRDefault="00431FEC" w:rsidP="00313258">
      <w:pPr>
        <w:pStyle w:val="CETReferencetext"/>
      </w:pPr>
      <w:proofErr w:type="spellStart"/>
      <w:r w:rsidRPr="00313258">
        <w:t>Vilardi</w:t>
      </w:r>
      <w:proofErr w:type="spellEnd"/>
      <w:r w:rsidRPr="00313258">
        <w:t xml:space="preserve"> G., 2019, Mathematical modelling of simultaneous nitrate and dissolved oxygen reduction by Cu-</w:t>
      </w:r>
      <w:proofErr w:type="spellStart"/>
      <w:r w:rsidRPr="00313258">
        <w:t>nZVI</w:t>
      </w:r>
      <w:proofErr w:type="spellEnd"/>
      <w:r w:rsidRPr="00313258">
        <w:t xml:space="preserve"> using a bi-component shrinking core model, Powder Technology, 343, 613-618.</w:t>
      </w:r>
    </w:p>
    <w:bookmarkEnd w:id="2"/>
    <w:p w14:paraId="36425F77" w14:textId="4DD323C0" w:rsidR="00431FEC" w:rsidRPr="00313258" w:rsidRDefault="00431FEC" w:rsidP="00313258">
      <w:pPr>
        <w:pStyle w:val="CETReferencetext"/>
      </w:pPr>
      <w:proofErr w:type="spellStart"/>
      <w:r w:rsidRPr="00313258">
        <w:t>Vilardi</w:t>
      </w:r>
      <w:proofErr w:type="spellEnd"/>
      <w:r w:rsidRPr="00313258">
        <w:t xml:space="preserve"> G., Di Palma L., </w:t>
      </w:r>
      <w:proofErr w:type="spellStart"/>
      <w:r w:rsidRPr="00313258">
        <w:t>Verdone</w:t>
      </w:r>
      <w:proofErr w:type="spellEnd"/>
      <w:r w:rsidRPr="00313258">
        <w:t xml:space="preserve"> N., 2019a, A physical-based interpretation of mechanism and kinetics of Cr(VI) reduction in aqueous solution by zero-valent iron nanoparticles, Chemosphere, 220, 590-599.</w:t>
      </w:r>
    </w:p>
    <w:p w14:paraId="28E51876" w14:textId="2686EF4D" w:rsidR="00431FEC" w:rsidRPr="00313258" w:rsidRDefault="00431FEC" w:rsidP="00313258">
      <w:pPr>
        <w:pStyle w:val="CETReferencetext"/>
      </w:pPr>
      <w:proofErr w:type="spellStart"/>
      <w:r w:rsidRPr="00313258">
        <w:t>Vilardi</w:t>
      </w:r>
      <w:proofErr w:type="spellEnd"/>
      <w:r w:rsidRPr="00313258">
        <w:t xml:space="preserve"> G., Rodriguez-Rodriguez J., </w:t>
      </w:r>
      <w:proofErr w:type="spellStart"/>
      <w:r w:rsidRPr="00313258">
        <w:t>Ochando</w:t>
      </w:r>
      <w:proofErr w:type="spellEnd"/>
      <w:r w:rsidRPr="00313258">
        <w:t xml:space="preserve">-Pulido J.M., Di Palma L., </w:t>
      </w:r>
      <w:proofErr w:type="spellStart"/>
      <w:r w:rsidRPr="00313258">
        <w:t>Verdone</w:t>
      </w:r>
      <w:proofErr w:type="spellEnd"/>
      <w:r w:rsidRPr="00313258">
        <w:t xml:space="preserve"> N., 2019b, Fixed-bed reactor scale-up and modelling for Cr(VI) removal using </w:t>
      </w:r>
      <w:proofErr w:type="spellStart"/>
      <w:r w:rsidRPr="00313258">
        <w:t>nano</w:t>
      </w:r>
      <w:proofErr w:type="spellEnd"/>
      <w:r w:rsidRPr="00313258">
        <w:t xml:space="preserve"> iron-based coated biomass as packing material, Chemical Engineering Journal, 361, 990-998.</w:t>
      </w:r>
    </w:p>
    <w:p w14:paraId="380F69C5" w14:textId="77777777" w:rsidR="00431FEC" w:rsidRPr="00313258" w:rsidRDefault="00431FEC" w:rsidP="00313258">
      <w:pPr>
        <w:pStyle w:val="CETReferencetext"/>
      </w:pPr>
    </w:p>
    <w:p w14:paraId="0441D7A0" w14:textId="77777777" w:rsidR="004628D2" w:rsidRPr="00313258" w:rsidRDefault="004628D2" w:rsidP="00313258">
      <w:pPr>
        <w:pStyle w:val="CETReferencetext"/>
      </w:pPr>
      <w:bookmarkStart w:id="3" w:name="_GoBack"/>
      <w:bookmarkEnd w:id="3"/>
    </w:p>
    <w:sectPr w:rsidR="004628D2" w:rsidRPr="0031325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FA375" w14:textId="77777777" w:rsidR="00BD41CB" w:rsidRDefault="00BD41CB" w:rsidP="004F5E36">
      <w:r>
        <w:separator/>
      </w:r>
    </w:p>
  </w:endnote>
  <w:endnote w:type="continuationSeparator" w:id="0">
    <w:p w14:paraId="4B904B00" w14:textId="77777777" w:rsidR="00BD41CB" w:rsidRDefault="00BD41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6195" w14:textId="77777777" w:rsidR="00BD41CB" w:rsidRDefault="00BD41CB" w:rsidP="004F5E36">
      <w:r>
        <w:separator/>
      </w:r>
    </w:p>
  </w:footnote>
  <w:footnote w:type="continuationSeparator" w:id="0">
    <w:p w14:paraId="5603DD1E" w14:textId="77777777" w:rsidR="00BD41CB" w:rsidRDefault="00BD41C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16E2E"/>
    <w:rsid w:val="0012091F"/>
    <w:rsid w:val="00126BC2"/>
    <w:rsid w:val="001308B6"/>
    <w:rsid w:val="0013121F"/>
    <w:rsid w:val="00131FAB"/>
    <w:rsid w:val="00131FE6"/>
    <w:rsid w:val="0013263F"/>
    <w:rsid w:val="00134DE4"/>
    <w:rsid w:val="0014034D"/>
    <w:rsid w:val="001442F7"/>
    <w:rsid w:val="00150E59"/>
    <w:rsid w:val="00152DE3"/>
    <w:rsid w:val="00164CF9"/>
    <w:rsid w:val="00182B68"/>
    <w:rsid w:val="00184AD6"/>
    <w:rsid w:val="001B0349"/>
    <w:rsid w:val="001B65C1"/>
    <w:rsid w:val="001C684B"/>
    <w:rsid w:val="001D53FC"/>
    <w:rsid w:val="001F42A5"/>
    <w:rsid w:val="001F7B9D"/>
    <w:rsid w:val="002016F4"/>
    <w:rsid w:val="002041D3"/>
    <w:rsid w:val="002224B4"/>
    <w:rsid w:val="0022379E"/>
    <w:rsid w:val="002330C4"/>
    <w:rsid w:val="002447EF"/>
    <w:rsid w:val="00247490"/>
    <w:rsid w:val="00251550"/>
    <w:rsid w:val="00257D33"/>
    <w:rsid w:val="00263B05"/>
    <w:rsid w:val="0027221A"/>
    <w:rsid w:val="00275B61"/>
    <w:rsid w:val="00282656"/>
    <w:rsid w:val="00296B83"/>
    <w:rsid w:val="002A1EB1"/>
    <w:rsid w:val="002B78CE"/>
    <w:rsid w:val="002C2FB6"/>
    <w:rsid w:val="003009B7"/>
    <w:rsid w:val="00300E56"/>
    <w:rsid w:val="0030469C"/>
    <w:rsid w:val="00313258"/>
    <w:rsid w:val="00314D2C"/>
    <w:rsid w:val="00321CA6"/>
    <w:rsid w:val="00325B77"/>
    <w:rsid w:val="00334C09"/>
    <w:rsid w:val="003365E3"/>
    <w:rsid w:val="00342CC8"/>
    <w:rsid w:val="003723D4"/>
    <w:rsid w:val="00384CC8"/>
    <w:rsid w:val="003871FD"/>
    <w:rsid w:val="003A1E30"/>
    <w:rsid w:val="003A45F5"/>
    <w:rsid w:val="003A7D1C"/>
    <w:rsid w:val="003B304B"/>
    <w:rsid w:val="003B3146"/>
    <w:rsid w:val="003B60F3"/>
    <w:rsid w:val="003F015E"/>
    <w:rsid w:val="00400414"/>
    <w:rsid w:val="00412EC2"/>
    <w:rsid w:val="0041446B"/>
    <w:rsid w:val="00431FEC"/>
    <w:rsid w:val="0044329C"/>
    <w:rsid w:val="004577FE"/>
    <w:rsid w:val="00457B9C"/>
    <w:rsid w:val="0046164A"/>
    <w:rsid w:val="004628D2"/>
    <w:rsid w:val="00462DCD"/>
    <w:rsid w:val="004648AD"/>
    <w:rsid w:val="00465AC2"/>
    <w:rsid w:val="004703A9"/>
    <w:rsid w:val="00475176"/>
    <w:rsid w:val="004760DE"/>
    <w:rsid w:val="004A004E"/>
    <w:rsid w:val="004A0713"/>
    <w:rsid w:val="004A24CF"/>
    <w:rsid w:val="004B6721"/>
    <w:rsid w:val="004C229B"/>
    <w:rsid w:val="004C3D1D"/>
    <w:rsid w:val="004C7796"/>
    <w:rsid w:val="004C7913"/>
    <w:rsid w:val="004E4DD6"/>
    <w:rsid w:val="004F5E36"/>
    <w:rsid w:val="00507135"/>
    <w:rsid w:val="00507B47"/>
    <w:rsid w:val="00507CC9"/>
    <w:rsid w:val="005119A5"/>
    <w:rsid w:val="005278B7"/>
    <w:rsid w:val="00532016"/>
    <w:rsid w:val="005346C8"/>
    <w:rsid w:val="005403E9"/>
    <w:rsid w:val="00543E7D"/>
    <w:rsid w:val="00547A68"/>
    <w:rsid w:val="005531C9"/>
    <w:rsid w:val="005710F7"/>
    <w:rsid w:val="005A36F9"/>
    <w:rsid w:val="005B2110"/>
    <w:rsid w:val="005B5857"/>
    <w:rsid w:val="005B61E6"/>
    <w:rsid w:val="005C77E1"/>
    <w:rsid w:val="005D10C7"/>
    <w:rsid w:val="005D6A2F"/>
    <w:rsid w:val="005E1A82"/>
    <w:rsid w:val="005E2C78"/>
    <w:rsid w:val="005E794C"/>
    <w:rsid w:val="005F0A28"/>
    <w:rsid w:val="005F0E5E"/>
    <w:rsid w:val="005F2FD2"/>
    <w:rsid w:val="00600535"/>
    <w:rsid w:val="00610CD6"/>
    <w:rsid w:val="00620DEE"/>
    <w:rsid w:val="00621F92"/>
    <w:rsid w:val="00623E6B"/>
    <w:rsid w:val="00625639"/>
    <w:rsid w:val="00631B33"/>
    <w:rsid w:val="00636162"/>
    <w:rsid w:val="0064184D"/>
    <w:rsid w:val="006422CC"/>
    <w:rsid w:val="00653F5F"/>
    <w:rsid w:val="00660E3E"/>
    <w:rsid w:val="00662E74"/>
    <w:rsid w:val="0068029F"/>
    <w:rsid w:val="00680C23"/>
    <w:rsid w:val="00693766"/>
    <w:rsid w:val="006A3281"/>
    <w:rsid w:val="006B4888"/>
    <w:rsid w:val="006C2E45"/>
    <w:rsid w:val="006C359C"/>
    <w:rsid w:val="006C5579"/>
    <w:rsid w:val="006E737D"/>
    <w:rsid w:val="006F0401"/>
    <w:rsid w:val="0070195D"/>
    <w:rsid w:val="00713870"/>
    <w:rsid w:val="00720A24"/>
    <w:rsid w:val="00732386"/>
    <w:rsid w:val="007447F3"/>
    <w:rsid w:val="0075499F"/>
    <w:rsid w:val="007661C8"/>
    <w:rsid w:val="0077098D"/>
    <w:rsid w:val="00774679"/>
    <w:rsid w:val="007931FA"/>
    <w:rsid w:val="007A7BBA"/>
    <w:rsid w:val="007B0C50"/>
    <w:rsid w:val="007C1A43"/>
    <w:rsid w:val="007D05D6"/>
    <w:rsid w:val="007E1DC6"/>
    <w:rsid w:val="00813288"/>
    <w:rsid w:val="008168FC"/>
    <w:rsid w:val="00830996"/>
    <w:rsid w:val="008345F1"/>
    <w:rsid w:val="00865B07"/>
    <w:rsid w:val="008667EA"/>
    <w:rsid w:val="0087637F"/>
    <w:rsid w:val="008904B9"/>
    <w:rsid w:val="00892AD5"/>
    <w:rsid w:val="008A1512"/>
    <w:rsid w:val="008B0B65"/>
    <w:rsid w:val="008D32B9"/>
    <w:rsid w:val="008D3FB5"/>
    <w:rsid w:val="008D433B"/>
    <w:rsid w:val="008D64A7"/>
    <w:rsid w:val="008E566E"/>
    <w:rsid w:val="0090161A"/>
    <w:rsid w:val="00901EB6"/>
    <w:rsid w:val="00904C62"/>
    <w:rsid w:val="00924DAC"/>
    <w:rsid w:val="00927058"/>
    <w:rsid w:val="0093759E"/>
    <w:rsid w:val="009450CE"/>
    <w:rsid w:val="00947179"/>
    <w:rsid w:val="0095164B"/>
    <w:rsid w:val="00954090"/>
    <w:rsid w:val="009573E7"/>
    <w:rsid w:val="00960675"/>
    <w:rsid w:val="00963E05"/>
    <w:rsid w:val="00967D54"/>
    <w:rsid w:val="00996483"/>
    <w:rsid w:val="00996F5A"/>
    <w:rsid w:val="009A0A3E"/>
    <w:rsid w:val="009B041A"/>
    <w:rsid w:val="009B5087"/>
    <w:rsid w:val="009C7C86"/>
    <w:rsid w:val="009D2FF7"/>
    <w:rsid w:val="009E7884"/>
    <w:rsid w:val="009E788A"/>
    <w:rsid w:val="009F0E08"/>
    <w:rsid w:val="00A079EC"/>
    <w:rsid w:val="00A16173"/>
    <w:rsid w:val="00A1763D"/>
    <w:rsid w:val="00A17CEC"/>
    <w:rsid w:val="00A27EF0"/>
    <w:rsid w:val="00A50B20"/>
    <w:rsid w:val="00A51390"/>
    <w:rsid w:val="00A60D13"/>
    <w:rsid w:val="00A72745"/>
    <w:rsid w:val="00A754D4"/>
    <w:rsid w:val="00A76EFC"/>
    <w:rsid w:val="00A91010"/>
    <w:rsid w:val="00A92D2C"/>
    <w:rsid w:val="00A95EB1"/>
    <w:rsid w:val="00A97F29"/>
    <w:rsid w:val="00AA702E"/>
    <w:rsid w:val="00AB0964"/>
    <w:rsid w:val="00AB31B4"/>
    <w:rsid w:val="00AB3AB8"/>
    <w:rsid w:val="00AB5011"/>
    <w:rsid w:val="00AC7368"/>
    <w:rsid w:val="00AD16B9"/>
    <w:rsid w:val="00AE377D"/>
    <w:rsid w:val="00B0248E"/>
    <w:rsid w:val="00B02EB8"/>
    <w:rsid w:val="00B17FBD"/>
    <w:rsid w:val="00B27F66"/>
    <w:rsid w:val="00B315A6"/>
    <w:rsid w:val="00B31813"/>
    <w:rsid w:val="00B33365"/>
    <w:rsid w:val="00B57B36"/>
    <w:rsid w:val="00B64D0F"/>
    <w:rsid w:val="00B8686D"/>
    <w:rsid w:val="00BB5FEF"/>
    <w:rsid w:val="00BC30C9"/>
    <w:rsid w:val="00BC6A48"/>
    <w:rsid w:val="00BD41CB"/>
    <w:rsid w:val="00BE3E58"/>
    <w:rsid w:val="00C01616"/>
    <w:rsid w:val="00C0162B"/>
    <w:rsid w:val="00C02C45"/>
    <w:rsid w:val="00C22860"/>
    <w:rsid w:val="00C345B1"/>
    <w:rsid w:val="00C40142"/>
    <w:rsid w:val="00C57182"/>
    <w:rsid w:val="00C57863"/>
    <w:rsid w:val="00C655FD"/>
    <w:rsid w:val="00C870A8"/>
    <w:rsid w:val="00C94434"/>
    <w:rsid w:val="00CA0D75"/>
    <w:rsid w:val="00CA1C95"/>
    <w:rsid w:val="00CA5A9C"/>
    <w:rsid w:val="00CA7AE4"/>
    <w:rsid w:val="00CD2EFA"/>
    <w:rsid w:val="00CD3517"/>
    <w:rsid w:val="00CD5FE2"/>
    <w:rsid w:val="00CE7C68"/>
    <w:rsid w:val="00D02B4C"/>
    <w:rsid w:val="00D040C4"/>
    <w:rsid w:val="00D42C20"/>
    <w:rsid w:val="00D44025"/>
    <w:rsid w:val="00D5027A"/>
    <w:rsid w:val="00D57C84"/>
    <w:rsid w:val="00D6057D"/>
    <w:rsid w:val="00D84576"/>
    <w:rsid w:val="00DA1399"/>
    <w:rsid w:val="00DA24C6"/>
    <w:rsid w:val="00DA4D7B"/>
    <w:rsid w:val="00DB0CD3"/>
    <w:rsid w:val="00DE264A"/>
    <w:rsid w:val="00DE59E9"/>
    <w:rsid w:val="00E02D18"/>
    <w:rsid w:val="00E041E7"/>
    <w:rsid w:val="00E23CA1"/>
    <w:rsid w:val="00E409A8"/>
    <w:rsid w:val="00E50C12"/>
    <w:rsid w:val="00E65B91"/>
    <w:rsid w:val="00E7209D"/>
    <w:rsid w:val="00E77223"/>
    <w:rsid w:val="00E8528B"/>
    <w:rsid w:val="00E85B94"/>
    <w:rsid w:val="00E94CAC"/>
    <w:rsid w:val="00E978D0"/>
    <w:rsid w:val="00EA08EF"/>
    <w:rsid w:val="00EA4613"/>
    <w:rsid w:val="00EA7F91"/>
    <w:rsid w:val="00EB1523"/>
    <w:rsid w:val="00EC0E49"/>
    <w:rsid w:val="00EC6EA9"/>
    <w:rsid w:val="00EE0131"/>
    <w:rsid w:val="00EE084B"/>
    <w:rsid w:val="00F155B2"/>
    <w:rsid w:val="00F30C64"/>
    <w:rsid w:val="00F32CDB"/>
    <w:rsid w:val="00F63A70"/>
    <w:rsid w:val="00FA21D0"/>
    <w:rsid w:val="00FA5F5F"/>
    <w:rsid w:val="00FB730C"/>
    <w:rsid w:val="00FC1FF7"/>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Normal Table" w:semiHidden="0" w:unhideWhenUsed="0"/>
    <w:lsdException w:name="Table Simple 1" w:uiPriority="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UnresolvedMention">
    <w:name w:val="Unresolved Mention"/>
    <w:basedOn w:val="Carpredefinitoparagrafo"/>
    <w:uiPriority w:val="99"/>
    <w:semiHidden/>
    <w:unhideWhenUsed/>
    <w:rsid w:val="003A4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Normal Table" w:semiHidden="0" w:unhideWhenUsed="0"/>
    <w:lsdException w:name="Table Simple 1" w:uiPriority="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UnresolvedMention">
    <w:name w:val="Unresolved Mention"/>
    <w:basedOn w:val="Carpredefinitoparagrafo"/>
    <w:uiPriority w:val="99"/>
    <w:semiHidden/>
    <w:unhideWhenUsed/>
    <w:rsid w:val="003A4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sciencedirect.com/science/article/pii/S0959652618311788"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DBDE-767E-4A22-BADB-2C6A6246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2945</Words>
  <Characters>16790</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6</cp:revision>
  <cp:lastPrinted>2019-04-15T13:55:00Z</cp:lastPrinted>
  <dcterms:created xsi:type="dcterms:W3CDTF">2019-02-04T13:01:00Z</dcterms:created>
  <dcterms:modified xsi:type="dcterms:W3CDTF">2019-04-15T13:55:00Z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