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7A05FA">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7A05FA">
              <w:rPr>
                <w:rFonts w:cs="Arial"/>
                <w:b/>
                <w:bCs/>
                <w:i/>
                <w:iCs/>
                <w:color w:val="000066"/>
                <w:sz w:val="22"/>
                <w:szCs w:val="22"/>
                <w:lang w:eastAsia="it-IT"/>
              </w:rPr>
              <w:t>3</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trPr>
          <w:trHeight w:val="68"/>
          <w:jc w:val="center"/>
        </w:trPr>
        <w:tc>
          <w:tcPr>
            <w:tcW w:w="8789" w:type="dxa"/>
            <w:gridSpan w:val="2"/>
          </w:tcPr>
          <w:p w:rsidR="00300E56" w:rsidRPr="008531D2" w:rsidRDefault="00300E56" w:rsidP="003365E3">
            <w:pPr>
              <w:ind w:left="-107"/>
              <w:rPr>
                <w:lang w:val="it-IT"/>
              </w:rPr>
            </w:pPr>
            <w:r w:rsidRPr="008531D2">
              <w:rPr>
                <w:rFonts w:ascii="Tahoma" w:hAnsi="Tahoma" w:cs="Tahoma"/>
                <w:iCs/>
                <w:color w:val="333333"/>
                <w:sz w:val="14"/>
                <w:szCs w:val="14"/>
                <w:lang w:val="it-IT" w:eastAsia="it-IT"/>
              </w:rPr>
              <w:t xml:space="preserve">Guest </w:t>
            </w:r>
            <w:proofErr w:type="spellStart"/>
            <w:r w:rsidRPr="008531D2">
              <w:rPr>
                <w:rFonts w:ascii="Tahoma" w:hAnsi="Tahoma" w:cs="Tahoma"/>
                <w:iCs/>
                <w:color w:val="333333"/>
                <w:sz w:val="14"/>
                <w:szCs w:val="14"/>
                <w:lang w:val="it-IT" w:eastAsia="it-IT"/>
              </w:rPr>
              <w:t>Editors</w:t>
            </w:r>
            <w:proofErr w:type="spellEnd"/>
            <w:r w:rsidRPr="008531D2">
              <w:rPr>
                <w:rFonts w:ascii="Tahoma" w:hAnsi="Tahoma" w:cs="Tahoma"/>
                <w:iCs/>
                <w:color w:val="333333"/>
                <w:sz w:val="14"/>
                <w:szCs w:val="14"/>
                <w:lang w:val="it-IT" w:eastAsia="it-IT"/>
              </w:rPr>
              <w:t>:</w:t>
            </w:r>
            <w:r w:rsidR="00904C62" w:rsidRPr="008531D2">
              <w:rPr>
                <w:rFonts w:ascii="Tahoma" w:hAnsi="Tahoma" w:cs="Tahoma"/>
                <w:iCs/>
                <w:color w:val="333333"/>
                <w:sz w:val="14"/>
                <w:szCs w:val="14"/>
                <w:lang w:val="it-IT" w:eastAsia="it-IT"/>
              </w:rPr>
              <w:t xml:space="preserve"> </w:t>
            </w:r>
            <w:r w:rsidR="008531D2" w:rsidRPr="006F0401">
              <w:rPr>
                <w:rFonts w:ascii="Tahoma" w:hAnsi="Tahoma" w:cs="Tahoma"/>
                <w:color w:val="0D0D0D" w:themeColor="text1" w:themeTint="F2"/>
                <w:sz w:val="14"/>
                <w:szCs w:val="14"/>
                <w:lang w:val="it-IT"/>
              </w:rPr>
              <w:t xml:space="preserve">Andrea D’Anna, </w:t>
            </w:r>
            <w:r w:rsidR="008531D2" w:rsidRPr="006F0401">
              <w:rPr>
                <w:rFonts w:ascii="Tahoma" w:hAnsi="Tahoma" w:cs="Tahoma"/>
                <w:bCs/>
                <w:color w:val="0D0D0D" w:themeColor="text1" w:themeTint="F2"/>
                <w:sz w:val="14"/>
                <w:szCs w:val="14"/>
                <w:lang w:val="it-IT"/>
              </w:rPr>
              <w:t xml:space="preserve">Paolo </w:t>
            </w:r>
            <w:proofErr w:type="spellStart"/>
            <w:r w:rsidR="008531D2" w:rsidRPr="006F0401">
              <w:rPr>
                <w:rFonts w:ascii="Tahoma" w:hAnsi="Tahoma" w:cs="Tahoma"/>
                <w:bCs/>
                <w:color w:val="0D0D0D" w:themeColor="text1" w:themeTint="F2"/>
                <w:sz w:val="14"/>
                <w:szCs w:val="14"/>
                <w:lang w:val="it-IT"/>
              </w:rPr>
              <w:t>Ciambelli</w:t>
            </w:r>
            <w:proofErr w:type="spellEnd"/>
            <w:r w:rsidR="008531D2" w:rsidRPr="006F0401">
              <w:rPr>
                <w:rFonts w:ascii="Tahoma" w:hAnsi="Tahoma" w:cs="Tahoma"/>
                <w:bCs/>
                <w:color w:val="0D0D0D" w:themeColor="text1" w:themeTint="F2"/>
                <w:sz w:val="14"/>
                <w:szCs w:val="14"/>
                <w:lang w:val="it-IT"/>
              </w:rPr>
              <w:t xml:space="preserve">, Carmelo </w:t>
            </w:r>
            <w:proofErr w:type="spellStart"/>
            <w:r w:rsidR="008531D2" w:rsidRPr="006F0401">
              <w:rPr>
                <w:rFonts w:ascii="Tahoma" w:hAnsi="Tahoma" w:cs="Tahoma"/>
                <w:bCs/>
                <w:color w:val="0D0D0D" w:themeColor="text1" w:themeTint="F2"/>
                <w:sz w:val="14"/>
                <w:szCs w:val="14"/>
                <w:lang w:val="it-IT"/>
              </w:rPr>
              <w:t>Sunseri</w:t>
            </w:r>
            <w:proofErr w:type="spellEnd"/>
          </w:p>
          <w:p w:rsidR="000A03B2" w:rsidRPr="00B57B36" w:rsidRDefault="00FA5F5F" w:rsidP="007A05FA">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8531D2">
              <w:rPr>
                <w:rFonts w:ascii="Tahoma" w:hAnsi="Tahoma" w:cs="Tahoma"/>
                <w:sz w:val="14"/>
                <w:szCs w:val="14"/>
              </w:rPr>
              <w:t>7</w:t>
            </w:r>
            <w:r w:rsidR="007A05FA">
              <w:rPr>
                <w:rFonts w:ascii="Tahoma" w:hAnsi="Tahoma" w:cs="Tahoma"/>
                <w:sz w:val="14"/>
                <w:szCs w:val="14"/>
              </w:rPr>
              <w:t>0</w:t>
            </w:r>
            <w:r w:rsidR="008D32B9" w:rsidRPr="00131FAB">
              <w:rPr>
                <w:rFonts w:ascii="Tahoma" w:hAnsi="Tahoma" w:cs="Tahoma"/>
                <w:sz w:val="14"/>
                <w:szCs w:val="14"/>
              </w:rPr>
              <w:t>-</w:t>
            </w:r>
            <w:r w:rsidR="007A05FA">
              <w:rPr>
                <w:rFonts w:ascii="Tahoma" w:hAnsi="Tahoma" w:cs="Tahoma"/>
                <w:sz w:val="14"/>
                <w:szCs w:val="14"/>
              </w:rPr>
              <w:t>9</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212DD1" w:rsidRPr="00CB3B0B" w:rsidRDefault="00212DD1" w:rsidP="00CB3B0B">
      <w:pPr>
        <w:pStyle w:val="CETTitle"/>
      </w:pPr>
      <w:r w:rsidRPr="00CB3B0B">
        <w:lastRenderedPageBreak/>
        <w:t>Nano</w:t>
      </w:r>
      <w:r w:rsidR="00CB3B0B" w:rsidRPr="00CB3B0B">
        <w:t>-</w:t>
      </w:r>
      <w:r w:rsidR="00CB3B0B">
        <w:t>Restructuration of Carbon Materials u</w:t>
      </w:r>
      <w:r w:rsidR="00CB3B0B" w:rsidRPr="00CB3B0B">
        <w:t>nder H</w:t>
      </w:r>
      <w:r w:rsidR="00CB3B0B">
        <w:t>igh Temperature Heat Treatment for Environmental Application a</w:t>
      </w:r>
      <w:r w:rsidR="00CB3B0B" w:rsidRPr="00CB3B0B">
        <w:t xml:space="preserve">nd Energy Storage </w:t>
      </w:r>
    </w:p>
    <w:p w:rsidR="00212DD1" w:rsidRPr="00233E4B" w:rsidRDefault="00212DD1" w:rsidP="00212DD1">
      <w:pPr>
        <w:pStyle w:val="CETAuthors"/>
        <w:rPr>
          <w:szCs w:val="24"/>
        </w:rPr>
      </w:pPr>
      <w:r w:rsidRPr="00233E4B">
        <w:rPr>
          <w:szCs w:val="24"/>
        </w:rPr>
        <w:t>Barbara Apicella</w:t>
      </w:r>
      <w:r w:rsidRPr="00233E4B">
        <w:rPr>
          <w:szCs w:val="24"/>
          <w:vertAlign w:val="superscript"/>
        </w:rPr>
        <w:t>a*</w:t>
      </w:r>
      <w:r w:rsidRPr="00233E4B">
        <w:rPr>
          <w:szCs w:val="24"/>
        </w:rPr>
        <w:t>, Carmela Russo</w:t>
      </w:r>
      <w:r w:rsidRPr="00233E4B">
        <w:rPr>
          <w:szCs w:val="24"/>
          <w:vertAlign w:val="superscript"/>
        </w:rPr>
        <w:t>a</w:t>
      </w:r>
      <w:r w:rsidRPr="00233E4B">
        <w:rPr>
          <w:szCs w:val="24"/>
        </w:rPr>
        <w:t>, Alessandra Di Blasi</w:t>
      </w:r>
      <w:r w:rsidRPr="00233E4B">
        <w:rPr>
          <w:szCs w:val="24"/>
          <w:vertAlign w:val="superscript"/>
        </w:rPr>
        <w:t>b</w:t>
      </w:r>
      <w:r w:rsidRPr="00233E4B">
        <w:rPr>
          <w:szCs w:val="24"/>
        </w:rPr>
        <w:t>, Vito Mennella</w:t>
      </w:r>
      <w:r w:rsidRPr="00233E4B">
        <w:rPr>
          <w:szCs w:val="24"/>
          <w:vertAlign w:val="superscript"/>
        </w:rPr>
        <w:t>c</w:t>
      </w:r>
      <w:r w:rsidRPr="00233E4B">
        <w:rPr>
          <w:szCs w:val="24"/>
        </w:rPr>
        <w:t>, Vincenzo Antonucci</w:t>
      </w:r>
      <w:r w:rsidRPr="00233E4B">
        <w:rPr>
          <w:szCs w:val="24"/>
          <w:vertAlign w:val="superscript"/>
        </w:rPr>
        <w:t>b</w:t>
      </w:r>
      <w:r w:rsidRPr="00233E4B">
        <w:rPr>
          <w:szCs w:val="24"/>
        </w:rPr>
        <w:t>, Osvalda Senneca</w:t>
      </w:r>
      <w:r w:rsidRPr="00233E4B">
        <w:rPr>
          <w:szCs w:val="24"/>
          <w:vertAlign w:val="superscript"/>
        </w:rPr>
        <w:t>a</w:t>
      </w:r>
      <w:r w:rsidRPr="00233E4B">
        <w:rPr>
          <w:szCs w:val="24"/>
        </w:rPr>
        <w:t>, Francesca Cerciello</w:t>
      </w:r>
      <w:r w:rsidRPr="00233E4B">
        <w:rPr>
          <w:szCs w:val="24"/>
          <w:vertAlign w:val="superscript"/>
        </w:rPr>
        <w:t>a</w:t>
      </w:r>
      <w:r w:rsidR="00CB3B0B">
        <w:rPr>
          <w:szCs w:val="24"/>
        </w:rPr>
        <w:t xml:space="preserve">, Anna </w:t>
      </w:r>
      <w:r w:rsidRPr="00233E4B">
        <w:rPr>
          <w:szCs w:val="24"/>
        </w:rPr>
        <w:t>Ciajolo</w:t>
      </w:r>
      <w:r w:rsidRPr="00233E4B">
        <w:rPr>
          <w:szCs w:val="24"/>
          <w:vertAlign w:val="superscript"/>
        </w:rPr>
        <w:t>a</w:t>
      </w:r>
      <w:r w:rsidRPr="00233E4B">
        <w:rPr>
          <w:szCs w:val="24"/>
        </w:rPr>
        <w:t xml:space="preserve"> </w:t>
      </w:r>
    </w:p>
    <w:p w:rsidR="00212DD1" w:rsidRPr="008D3355" w:rsidRDefault="00212DD1" w:rsidP="00CB3B0B">
      <w:pPr>
        <w:pStyle w:val="CETAddress"/>
        <w:rPr>
          <w:lang w:val="it-IT"/>
        </w:rPr>
      </w:pPr>
      <w:r w:rsidRPr="008D3355">
        <w:rPr>
          <w:vertAlign w:val="superscript"/>
          <w:lang w:val="it-IT"/>
        </w:rPr>
        <w:t>a</w:t>
      </w:r>
      <w:r w:rsidRPr="008D3355">
        <w:rPr>
          <w:lang w:val="it-IT"/>
        </w:rPr>
        <w:t>Istituto di Ricerche sulla Combustione (IRC), CNR, P.le Tecchio 80, 80135 Napoli, Italy</w:t>
      </w:r>
    </w:p>
    <w:p w:rsidR="00212DD1" w:rsidRPr="008D3355" w:rsidRDefault="00212DD1" w:rsidP="00CB3B0B">
      <w:pPr>
        <w:pStyle w:val="CETAddress"/>
        <w:rPr>
          <w:lang w:val="it-IT"/>
        </w:rPr>
      </w:pPr>
      <w:r w:rsidRPr="008D3355">
        <w:rPr>
          <w:vertAlign w:val="superscript"/>
          <w:lang w:val="it-IT"/>
        </w:rPr>
        <w:t>b</w:t>
      </w:r>
      <w:r w:rsidRPr="008D3355">
        <w:rPr>
          <w:lang w:val="it-IT"/>
        </w:rPr>
        <w:t xml:space="preserve"> Istituto di Tecnologie Avanzate per l’Energia “Nicola Giordano” (ITAE), CNR, Salita Santa Lucia Sopra Contesse, 5, Messina, Italy</w:t>
      </w:r>
    </w:p>
    <w:p w:rsidR="00212DD1" w:rsidRPr="008D3355" w:rsidRDefault="00212DD1" w:rsidP="00CB3B0B">
      <w:pPr>
        <w:pStyle w:val="CETAddress"/>
        <w:rPr>
          <w:lang w:val="it-IT"/>
        </w:rPr>
      </w:pPr>
      <w:r w:rsidRPr="008D3355">
        <w:rPr>
          <w:vertAlign w:val="superscript"/>
          <w:lang w:val="it-IT"/>
        </w:rPr>
        <w:t>c</w:t>
      </w:r>
      <w:r w:rsidRPr="008D3355">
        <w:rPr>
          <w:lang w:val="it-IT"/>
        </w:rPr>
        <w:t>Istituto Nazionale di Astrofisica – INAF, Salita Moiariello, 16 80131, Napoli, Italy</w:t>
      </w:r>
    </w:p>
    <w:p w:rsidR="00212DD1" w:rsidRPr="00EA6F60" w:rsidRDefault="00212DD1" w:rsidP="00212DD1">
      <w:pPr>
        <w:pStyle w:val="CETemail"/>
        <w:rPr>
          <w:lang w:val="en-US"/>
        </w:rPr>
      </w:pPr>
      <w:r w:rsidRPr="00EA6F60">
        <w:rPr>
          <w:lang w:val="en-US"/>
        </w:rPr>
        <w:t>apicella@irc.cnr.it</w:t>
      </w:r>
    </w:p>
    <w:p w:rsidR="00212DD1" w:rsidRPr="008D3355" w:rsidRDefault="00212DD1" w:rsidP="00212DD1">
      <w:pPr>
        <w:pStyle w:val="CETBodytext"/>
        <w:rPr>
          <w:szCs w:val="18"/>
          <w:lang w:val="en-GB"/>
        </w:rPr>
      </w:pPr>
      <w:r w:rsidRPr="008D3355">
        <w:rPr>
          <w:szCs w:val="18"/>
          <w:lang w:val="en-GB"/>
        </w:rPr>
        <w:t>Thermally-induced annealing by furnace in mild conditions and by fast reactor was applied to naphthalene pitch, an amorphous carbon, commercially available. The carbonaceous materials obtained with the two systems were characterized by advanced analytical tools for inferring the occurrence of structural improvements under annealing. The applicability of the produced nanomaterials for use in electrodes preparation for energy storage was discussed.</w:t>
      </w:r>
    </w:p>
    <w:p w:rsidR="00212DD1" w:rsidRPr="00B57B36" w:rsidRDefault="00212DD1" w:rsidP="00212DD1">
      <w:pPr>
        <w:pStyle w:val="CETHeading1"/>
        <w:rPr>
          <w:lang w:val="en-GB"/>
        </w:rPr>
      </w:pPr>
      <w:r w:rsidRPr="00B57B36">
        <w:rPr>
          <w:lang w:val="en-GB"/>
        </w:rPr>
        <w:t>Introduction</w:t>
      </w:r>
    </w:p>
    <w:p w:rsidR="00212DD1" w:rsidRPr="008D3355" w:rsidRDefault="00212DD1" w:rsidP="00CB3B0B">
      <w:pPr>
        <w:pStyle w:val="CETBodytext"/>
        <w:rPr>
          <w:lang w:val="en-GB"/>
        </w:rPr>
      </w:pPr>
      <w:r w:rsidRPr="00CB3B0B">
        <w:t xml:space="preserve">Disordered and amorphous carbons originating from natural and synthetic sources (soot, pyrolytic carbon, pitches) constitute a cheap carbon feedstock sufficiently flexible to be tailored into sundry </w:t>
      </w:r>
      <w:proofErr w:type="spellStart"/>
      <w:r w:rsidRPr="00CB3B0B">
        <w:t>graphenic</w:t>
      </w:r>
      <w:proofErr w:type="spellEnd"/>
      <w:r w:rsidRPr="00CB3B0B">
        <w:t xml:space="preserve"> </w:t>
      </w:r>
      <w:proofErr w:type="spellStart"/>
      <w:r w:rsidRPr="00CB3B0B">
        <w:t>nanocarbons</w:t>
      </w:r>
      <w:proofErr w:type="spellEnd"/>
      <w:r w:rsidRPr="00CB3B0B">
        <w:t xml:space="preserve"> by a bottom-up transformation process such as thermally induced annealing. Structural transformations toward </w:t>
      </w:r>
      <w:proofErr w:type="spellStart"/>
      <w:r w:rsidRPr="00CB3B0B">
        <w:t>nanocarbons</w:t>
      </w:r>
      <w:proofErr w:type="spellEnd"/>
      <w:r w:rsidRPr="00CB3B0B">
        <w:t xml:space="preserve"> of different properties relevant for practical usage (fibers, composites and </w:t>
      </w:r>
      <w:proofErr w:type="spellStart"/>
      <w:r w:rsidRPr="00CB3B0B">
        <w:t>opto</w:t>
      </w:r>
      <w:proofErr w:type="spellEnd"/>
      <w:r w:rsidRPr="00CB3B0B">
        <w:t xml:space="preserve">-electronic devices) can be tuned by a suitable choice of both amorphous carbon nanostructure and annealing conditions (Wang et al., 2011). The barrier towards establishing reliable and efficient methods for obtaining engineering-tailored </w:t>
      </w:r>
      <w:proofErr w:type="spellStart"/>
      <w:r w:rsidRPr="00CB3B0B">
        <w:t>nanocarbons</w:t>
      </w:r>
      <w:proofErr w:type="spellEnd"/>
      <w:r w:rsidRPr="00CB3B0B">
        <w:t xml:space="preserve"> is the lack of knowledge on the amorphous carbon and amorphous carbon-derived </w:t>
      </w:r>
      <w:proofErr w:type="spellStart"/>
      <w:r w:rsidRPr="00CB3B0B">
        <w:t>nanostructural</w:t>
      </w:r>
      <w:proofErr w:type="spellEnd"/>
      <w:r w:rsidRPr="00CB3B0B">
        <w:t xml:space="preserve"> features and their relationship with physical-chemical properties. Therein the aim of the present paper is the application to naphthalene pitch (Mochida et al., 1995], an amorphous carbon, commercially available and recently characterized in deep detail (</w:t>
      </w:r>
      <w:proofErr w:type="spellStart"/>
      <w:r w:rsidRPr="00CB3B0B">
        <w:t>Gargiulo</w:t>
      </w:r>
      <w:proofErr w:type="spellEnd"/>
      <w:r w:rsidRPr="00CB3B0B">
        <w:t xml:space="preserve"> et al., 2015 and 2016), of thermally-induced annealing, achievable by furnace in mild conditions (low pressure and temperature ≤ 1000 °C) and by fast reactor (under N2 at 1800°C). The naphthalene pitch represents an interesting “case study” for set-up the annealing and characterization procedures that can be then extended to cheaper waste carbonaceous materials as soot, pyrolytic carbon, coal and petroleum pitches (</w:t>
      </w:r>
      <w:proofErr w:type="spellStart"/>
      <w:r w:rsidRPr="00CB3B0B">
        <w:t>Apicella</w:t>
      </w:r>
      <w:proofErr w:type="spellEnd"/>
      <w:r w:rsidRPr="00CB3B0B">
        <w:t xml:space="preserve"> et al., 2017a). Advanced analytical tools were applied for the analysis of structural improved carbonaceous materials obtained from naphthalene pitch transformations under annealing. Moreover, insights on the determination of general structure-property relations linking the structural and physical-chemical features of amorphous carbon-derived materials will be given in the paper. The obtained nanomaterials can be tested for use in electrodes preparation</w:t>
      </w:r>
      <w:r w:rsidRPr="008D3355">
        <w:rPr>
          <w:lang w:val="en-GB"/>
        </w:rPr>
        <w:t xml:space="preserve"> for energy storage. </w:t>
      </w:r>
    </w:p>
    <w:p w:rsidR="00212DD1" w:rsidRPr="00B57B36" w:rsidRDefault="00212DD1" w:rsidP="00212DD1">
      <w:pPr>
        <w:pStyle w:val="CETHeading1"/>
        <w:rPr>
          <w:lang w:val="en-GB"/>
        </w:rPr>
      </w:pPr>
      <w:r w:rsidRPr="00EA6F60">
        <w:rPr>
          <w:lang w:val="en-GB"/>
        </w:rPr>
        <w:t>Experimental</w:t>
      </w:r>
    </w:p>
    <w:p w:rsidR="00212DD1" w:rsidRPr="00B57B36" w:rsidRDefault="00212DD1" w:rsidP="00212DD1">
      <w:pPr>
        <w:pStyle w:val="CETheadingx"/>
      </w:pPr>
      <w:r>
        <w:t>Materials</w:t>
      </w:r>
    </w:p>
    <w:p w:rsidR="00212DD1" w:rsidRPr="008D3355" w:rsidRDefault="00212DD1" w:rsidP="00212DD1">
      <w:pPr>
        <w:pStyle w:val="CETBodytext"/>
        <w:rPr>
          <w:szCs w:val="18"/>
          <w:lang w:val="en-GB"/>
        </w:rPr>
      </w:pPr>
      <w:r w:rsidRPr="008D3355">
        <w:rPr>
          <w:szCs w:val="18"/>
          <w:lang w:val="en-GB"/>
        </w:rPr>
        <w:t xml:space="preserve">AR </w:t>
      </w:r>
      <w:proofErr w:type="spellStart"/>
      <w:r w:rsidRPr="008D3355">
        <w:rPr>
          <w:szCs w:val="18"/>
          <w:lang w:val="en-GB"/>
        </w:rPr>
        <w:t>mesophase</w:t>
      </w:r>
      <w:proofErr w:type="spellEnd"/>
      <w:r w:rsidRPr="008D3355">
        <w:rPr>
          <w:szCs w:val="18"/>
          <w:lang w:val="en-GB"/>
        </w:rPr>
        <w:t xml:space="preserve"> pitch, kindly provided by Mitsubishi Gas Chemical Company, is a 100% </w:t>
      </w:r>
      <w:proofErr w:type="spellStart"/>
      <w:r w:rsidRPr="008D3355">
        <w:rPr>
          <w:szCs w:val="18"/>
          <w:lang w:val="en-GB"/>
        </w:rPr>
        <w:t>mesophase</w:t>
      </w:r>
      <w:proofErr w:type="spellEnd"/>
      <w:r w:rsidRPr="008D3355">
        <w:rPr>
          <w:szCs w:val="18"/>
          <w:lang w:val="en-GB"/>
        </w:rPr>
        <w:t xml:space="preserve"> pitch synthesized by polymerization of naphthalene</w:t>
      </w:r>
      <w:r>
        <w:rPr>
          <w:szCs w:val="18"/>
          <w:lang w:val="en-GB"/>
        </w:rPr>
        <w:t xml:space="preserve"> (</w:t>
      </w:r>
      <w:r w:rsidRPr="008D3355">
        <w:rPr>
          <w:szCs w:val="18"/>
          <w:lang w:val="en-GB"/>
        </w:rPr>
        <w:t>Mochida</w:t>
      </w:r>
      <w:r>
        <w:rPr>
          <w:szCs w:val="18"/>
          <w:lang w:val="en-GB"/>
        </w:rPr>
        <w:t xml:space="preserve"> et al., 1995)</w:t>
      </w:r>
      <w:r w:rsidRPr="008D3355">
        <w:rPr>
          <w:szCs w:val="18"/>
          <w:lang w:val="en-GB"/>
        </w:rPr>
        <w:t>. AR NP has a H/C atomic ratio equal to 0.59 and a softening point of 290 °C. It is commonly named naphthalene pitch (NP).</w:t>
      </w:r>
    </w:p>
    <w:p w:rsidR="00212DD1" w:rsidRPr="008D3355" w:rsidRDefault="00212DD1" w:rsidP="00212DD1">
      <w:pPr>
        <w:pStyle w:val="CETBodytext"/>
        <w:rPr>
          <w:szCs w:val="18"/>
          <w:lang w:val="en-GB"/>
        </w:rPr>
      </w:pPr>
      <w:r w:rsidRPr="004E7F69">
        <w:rPr>
          <w:szCs w:val="18"/>
          <w:lang w:val="en-GB"/>
        </w:rPr>
        <w:lastRenderedPageBreak/>
        <w:t>Carbon Black</w:t>
      </w:r>
      <w:r w:rsidRPr="00265880">
        <w:rPr>
          <w:szCs w:val="18"/>
          <w:lang w:val="en-GB"/>
        </w:rPr>
        <w:t xml:space="preserve"> </w:t>
      </w:r>
      <w:r w:rsidRPr="00DE7788">
        <w:rPr>
          <w:szCs w:val="18"/>
          <w:lang w:val="en-GB"/>
        </w:rPr>
        <w:t>N110 (Phillips Petroleum)</w:t>
      </w:r>
      <w:r w:rsidRPr="004E7F69">
        <w:rPr>
          <w:szCs w:val="18"/>
          <w:lang w:val="en-GB"/>
        </w:rPr>
        <w:t xml:space="preserve"> and Graphite</w:t>
      </w:r>
      <w:r w:rsidRPr="004E7F69">
        <w:rPr>
          <w:szCs w:val="18"/>
        </w:rPr>
        <w:t xml:space="preserve"> (Sigma Aldrich CAS number 7782-42-5, </w:t>
      </w:r>
      <w:r>
        <w:rPr>
          <w:szCs w:val="18"/>
        </w:rPr>
        <w:t>powder, &lt;45</w:t>
      </w:r>
      <w:r w:rsidRPr="006C140F">
        <w:rPr>
          <w:szCs w:val="18"/>
        </w:rPr>
        <w:t xml:space="preserve"> </w:t>
      </w:r>
      <w:proofErr w:type="spellStart"/>
      <w:r w:rsidRPr="006C140F">
        <w:rPr>
          <w:szCs w:val="18"/>
        </w:rPr>
        <w:t>μm</w:t>
      </w:r>
      <w:proofErr w:type="spellEnd"/>
      <w:r w:rsidRPr="006C140F">
        <w:rPr>
          <w:szCs w:val="18"/>
        </w:rPr>
        <w:t xml:space="preserve">, </w:t>
      </w:r>
      <w:r>
        <w:rPr>
          <w:szCs w:val="18"/>
        </w:rPr>
        <w:t xml:space="preserve">purity </w:t>
      </w:r>
      <w:r w:rsidRPr="006C140F">
        <w:rPr>
          <w:szCs w:val="18"/>
        </w:rPr>
        <w:t>99.99%</w:t>
      </w:r>
      <w:r>
        <w:rPr>
          <w:szCs w:val="18"/>
        </w:rPr>
        <w:t>) were also used as reference standards.</w:t>
      </w:r>
      <w:r w:rsidRPr="008D3355">
        <w:rPr>
          <w:szCs w:val="18"/>
          <w:lang w:val="en-GB"/>
        </w:rPr>
        <w:t xml:space="preserve"> </w:t>
      </w:r>
    </w:p>
    <w:p w:rsidR="00212DD1" w:rsidRPr="008D3355" w:rsidRDefault="00212DD1" w:rsidP="00212DD1">
      <w:pPr>
        <w:pStyle w:val="CETheadingx"/>
        <w:rPr>
          <w:szCs w:val="18"/>
        </w:rPr>
      </w:pPr>
      <w:r w:rsidRPr="008D3355">
        <w:rPr>
          <w:szCs w:val="18"/>
        </w:rPr>
        <w:t>Set-up and procedures</w:t>
      </w:r>
    </w:p>
    <w:p w:rsidR="00212DD1" w:rsidRPr="008D3355" w:rsidRDefault="00212DD1" w:rsidP="00212DD1">
      <w:pPr>
        <w:pStyle w:val="CETBodytext"/>
        <w:rPr>
          <w:szCs w:val="18"/>
          <w:lang w:val="en-GB"/>
        </w:rPr>
      </w:pPr>
      <w:r w:rsidRPr="008D3355">
        <w:rPr>
          <w:szCs w:val="18"/>
          <w:lang w:val="en-GB"/>
        </w:rPr>
        <w:t>Two systems have been used for the thermal annealing of NP, very different in terms of the process duration and environment. The employed experimental conditions are summarized in Tab</w:t>
      </w:r>
      <w:r w:rsidR="00CB3B0B">
        <w:rPr>
          <w:szCs w:val="18"/>
          <w:lang w:val="en-GB"/>
        </w:rPr>
        <w:t xml:space="preserve">le </w:t>
      </w:r>
      <w:r w:rsidRPr="008D3355">
        <w:rPr>
          <w:szCs w:val="18"/>
          <w:lang w:val="en-GB"/>
        </w:rPr>
        <w:t>1.</w:t>
      </w:r>
    </w:p>
    <w:p w:rsidR="00212DD1" w:rsidRPr="008D3355" w:rsidRDefault="00212DD1" w:rsidP="00212DD1">
      <w:pPr>
        <w:pStyle w:val="CETTabletitle"/>
        <w:rPr>
          <w:szCs w:val="18"/>
        </w:rPr>
      </w:pPr>
      <w:r w:rsidRPr="008D3355">
        <w:rPr>
          <w:szCs w:val="18"/>
        </w:rPr>
        <w:t>Table 1: Experimental condition of the annealing processes</w:t>
      </w:r>
    </w:p>
    <w:tbl>
      <w:tblPr>
        <w:tblW w:w="0" w:type="auto"/>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1418"/>
        <w:gridCol w:w="850"/>
        <w:gridCol w:w="1134"/>
      </w:tblGrid>
      <w:tr w:rsidR="00212DD1" w:rsidRPr="008D3355" w:rsidTr="00903254">
        <w:tc>
          <w:tcPr>
            <w:tcW w:w="1418" w:type="dxa"/>
            <w:tcBorders>
              <w:top w:val="single" w:sz="12" w:space="0" w:color="008000"/>
              <w:bottom w:val="single" w:sz="6" w:space="0" w:color="008000"/>
            </w:tcBorders>
            <w:shd w:val="clear" w:color="auto" w:fill="FFFFFF"/>
          </w:tcPr>
          <w:p w:rsidR="00212DD1" w:rsidRPr="008D3355" w:rsidRDefault="00212DD1" w:rsidP="00903254">
            <w:pPr>
              <w:rPr>
                <w:szCs w:val="18"/>
              </w:rPr>
            </w:pPr>
            <w:r w:rsidRPr="008D3355">
              <w:rPr>
                <w:szCs w:val="18"/>
              </w:rPr>
              <w:t>Reactor type</w:t>
            </w:r>
          </w:p>
        </w:tc>
        <w:tc>
          <w:tcPr>
            <w:tcW w:w="850" w:type="dxa"/>
            <w:tcBorders>
              <w:top w:val="single" w:sz="12" w:space="0" w:color="008000"/>
              <w:bottom w:val="single" w:sz="6" w:space="0" w:color="008000"/>
            </w:tcBorders>
            <w:shd w:val="clear" w:color="auto" w:fill="FFFFFF"/>
          </w:tcPr>
          <w:p w:rsidR="00212DD1" w:rsidRPr="008D3355" w:rsidRDefault="00212DD1" w:rsidP="00903254">
            <w:pPr>
              <w:rPr>
                <w:szCs w:val="18"/>
              </w:rPr>
            </w:pPr>
            <w:r w:rsidRPr="008D3355">
              <w:rPr>
                <w:szCs w:val="18"/>
              </w:rPr>
              <w:t>AC</w:t>
            </w:r>
          </w:p>
        </w:tc>
        <w:tc>
          <w:tcPr>
            <w:tcW w:w="1134" w:type="dxa"/>
            <w:tcBorders>
              <w:top w:val="single" w:sz="12" w:space="0" w:color="008000"/>
              <w:bottom w:val="single" w:sz="6" w:space="0" w:color="008000"/>
            </w:tcBorders>
            <w:shd w:val="clear" w:color="auto" w:fill="FFFFFF"/>
          </w:tcPr>
          <w:p w:rsidR="00212DD1" w:rsidRPr="008D3355" w:rsidRDefault="00212DD1" w:rsidP="00903254">
            <w:pPr>
              <w:rPr>
                <w:szCs w:val="18"/>
              </w:rPr>
            </w:pPr>
            <w:r w:rsidRPr="008D3355">
              <w:rPr>
                <w:szCs w:val="18"/>
              </w:rPr>
              <w:t>HSR</w:t>
            </w:r>
          </w:p>
        </w:tc>
      </w:tr>
      <w:tr w:rsidR="00212DD1" w:rsidRPr="008D3355" w:rsidTr="00903254">
        <w:tc>
          <w:tcPr>
            <w:tcW w:w="1418" w:type="dxa"/>
            <w:shd w:val="clear" w:color="auto" w:fill="FFFFFF"/>
          </w:tcPr>
          <w:p w:rsidR="00212DD1" w:rsidRPr="008D3355" w:rsidRDefault="00212DD1" w:rsidP="00903254">
            <w:pPr>
              <w:rPr>
                <w:szCs w:val="18"/>
              </w:rPr>
            </w:pPr>
            <w:r w:rsidRPr="008D3355">
              <w:rPr>
                <w:szCs w:val="18"/>
              </w:rPr>
              <w:t xml:space="preserve">Environment </w:t>
            </w:r>
          </w:p>
        </w:tc>
        <w:tc>
          <w:tcPr>
            <w:tcW w:w="850" w:type="dxa"/>
            <w:shd w:val="clear" w:color="auto" w:fill="FFFFFF"/>
          </w:tcPr>
          <w:p w:rsidR="00212DD1" w:rsidRPr="008D3355" w:rsidRDefault="00212DD1" w:rsidP="00903254">
            <w:pPr>
              <w:rPr>
                <w:szCs w:val="18"/>
              </w:rPr>
            </w:pPr>
            <w:r w:rsidRPr="008D3355">
              <w:rPr>
                <w:szCs w:val="18"/>
              </w:rPr>
              <w:t>vacuum</w:t>
            </w:r>
          </w:p>
        </w:tc>
        <w:tc>
          <w:tcPr>
            <w:tcW w:w="1134" w:type="dxa"/>
            <w:shd w:val="clear" w:color="auto" w:fill="FFFFFF"/>
          </w:tcPr>
          <w:p w:rsidR="00212DD1" w:rsidRPr="008D3355" w:rsidRDefault="00212DD1" w:rsidP="00903254">
            <w:pPr>
              <w:rPr>
                <w:szCs w:val="18"/>
              </w:rPr>
            </w:pPr>
            <w:r w:rsidRPr="008D3355">
              <w:rPr>
                <w:szCs w:val="18"/>
              </w:rPr>
              <w:t>N</w:t>
            </w:r>
            <w:r w:rsidRPr="008D3355">
              <w:rPr>
                <w:szCs w:val="18"/>
                <w:vertAlign w:val="subscript"/>
              </w:rPr>
              <w:t>2</w:t>
            </w:r>
          </w:p>
        </w:tc>
      </w:tr>
      <w:tr w:rsidR="00212DD1" w:rsidRPr="008D3355" w:rsidTr="00903254">
        <w:tc>
          <w:tcPr>
            <w:tcW w:w="1418" w:type="dxa"/>
            <w:shd w:val="clear" w:color="auto" w:fill="FFFFFF"/>
          </w:tcPr>
          <w:p w:rsidR="00212DD1" w:rsidRPr="008D3355" w:rsidRDefault="00212DD1" w:rsidP="00903254">
            <w:pPr>
              <w:rPr>
                <w:szCs w:val="18"/>
              </w:rPr>
            </w:pPr>
            <w:r w:rsidRPr="008D3355">
              <w:rPr>
                <w:szCs w:val="18"/>
              </w:rPr>
              <w:t>Pressure</w:t>
            </w:r>
          </w:p>
        </w:tc>
        <w:tc>
          <w:tcPr>
            <w:tcW w:w="850" w:type="dxa"/>
            <w:shd w:val="clear" w:color="auto" w:fill="FFFFFF"/>
          </w:tcPr>
          <w:p w:rsidR="00212DD1" w:rsidRPr="008D3355" w:rsidRDefault="00212DD1" w:rsidP="00903254">
            <w:pPr>
              <w:rPr>
                <w:szCs w:val="18"/>
              </w:rPr>
            </w:pPr>
            <w:r w:rsidRPr="008D3355">
              <w:rPr>
                <w:szCs w:val="18"/>
              </w:rPr>
              <w:t>10</w:t>
            </w:r>
            <w:r w:rsidRPr="008D3355">
              <w:rPr>
                <w:szCs w:val="18"/>
                <w:vertAlign w:val="superscript"/>
              </w:rPr>
              <w:t>−6</w:t>
            </w:r>
            <w:r w:rsidRPr="008D3355">
              <w:rPr>
                <w:szCs w:val="18"/>
              </w:rPr>
              <w:t xml:space="preserve"> mbar</w:t>
            </w:r>
          </w:p>
        </w:tc>
        <w:tc>
          <w:tcPr>
            <w:tcW w:w="1134" w:type="dxa"/>
            <w:shd w:val="clear" w:color="auto" w:fill="FFFFFF"/>
          </w:tcPr>
          <w:p w:rsidR="00212DD1" w:rsidRPr="008D3355" w:rsidRDefault="00212DD1" w:rsidP="00903254">
            <w:pPr>
              <w:rPr>
                <w:szCs w:val="18"/>
              </w:rPr>
            </w:pPr>
            <w:r>
              <w:rPr>
                <w:szCs w:val="18"/>
              </w:rPr>
              <w:t>2</w:t>
            </w:r>
            <w:r w:rsidRPr="008D3355">
              <w:rPr>
                <w:szCs w:val="18"/>
              </w:rPr>
              <w:t xml:space="preserve"> bar</w:t>
            </w:r>
          </w:p>
        </w:tc>
      </w:tr>
      <w:tr w:rsidR="00212DD1" w:rsidRPr="008D3355" w:rsidTr="00903254">
        <w:tc>
          <w:tcPr>
            <w:tcW w:w="1418" w:type="dxa"/>
            <w:shd w:val="clear" w:color="auto" w:fill="FFFFFF"/>
          </w:tcPr>
          <w:p w:rsidR="00212DD1" w:rsidRPr="008D3355" w:rsidRDefault="00212DD1" w:rsidP="00903254">
            <w:pPr>
              <w:rPr>
                <w:szCs w:val="18"/>
              </w:rPr>
            </w:pPr>
            <w:r w:rsidRPr="008D3355">
              <w:rPr>
                <w:szCs w:val="18"/>
              </w:rPr>
              <w:t>Temperature</w:t>
            </w:r>
          </w:p>
        </w:tc>
        <w:tc>
          <w:tcPr>
            <w:tcW w:w="850" w:type="dxa"/>
            <w:shd w:val="clear" w:color="auto" w:fill="FFFFFF"/>
          </w:tcPr>
          <w:p w:rsidR="00212DD1" w:rsidRPr="008D3355" w:rsidRDefault="00212DD1" w:rsidP="00903254">
            <w:pPr>
              <w:rPr>
                <w:szCs w:val="18"/>
              </w:rPr>
            </w:pPr>
            <w:r w:rsidRPr="008D3355">
              <w:rPr>
                <w:szCs w:val="18"/>
              </w:rPr>
              <w:t xml:space="preserve">1000°C </w:t>
            </w:r>
          </w:p>
        </w:tc>
        <w:tc>
          <w:tcPr>
            <w:tcW w:w="1134" w:type="dxa"/>
            <w:shd w:val="clear" w:color="auto" w:fill="FFFFFF"/>
          </w:tcPr>
          <w:p w:rsidR="00212DD1" w:rsidRPr="008D3355" w:rsidRDefault="00212DD1" w:rsidP="00903254">
            <w:pPr>
              <w:rPr>
                <w:szCs w:val="18"/>
              </w:rPr>
            </w:pPr>
            <w:r w:rsidRPr="008D3355">
              <w:rPr>
                <w:szCs w:val="18"/>
              </w:rPr>
              <w:t>1800°C</w:t>
            </w:r>
          </w:p>
        </w:tc>
      </w:tr>
      <w:tr w:rsidR="00212DD1" w:rsidRPr="008D3355" w:rsidTr="00903254">
        <w:tc>
          <w:tcPr>
            <w:tcW w:w="1418" w:type="dxa"/>
            <w:shd w:val="clear" w:color="auto" w:fill="FFFFFF"/>
          </w:tcPr>
          <w:p w:rsidR="00212DD1" w:rsidRPr="008D3355" w:rsidRDefault="00212DD1" w:rsidP="00903254">
            <w:pPr>
              <w:rPr>
                <w:szCs w:val="18"/>
              </w:rPr>
            </w:pPr>
            <w:r w:rsidRPr="008D3355">
              <w:rPr>
                <w:szCs w:val="18"/>
              </w:rPr>
              <w:t>Heating rate</w:t>
            </w:r>
          </w:p>
        </w:tc>
        <w:tc>
          <w:tcPr>
            <w:tcW w:w="850" w:type="dxa"/>
            <w:shd w:val="clear" w:color="auto" w:fill="FFFFFF"/>
          </w:tcPr>
          <w:p w:rsidR="00212DD1" w:rsidRPr="008D3355" w:rsidRDefault="00212DD1" w:rsidP="00903254">
            <w:pPr>
              <w:rPr>
                <w:szCs w:val="18"/>
              </w:rPr>
            </w:pPr>
            <w:r w:rsidRPr="008D3355">
              <w:rPr>
                <w:szCs w:val="18"/>
              </w:rPr>
              <w:t>1·10</w:t>
            </w:r>
            <w:r w:rsidRPr="00FC462A">
              <w:rPr>
                <w:szCs w:val="18"/>
                <w:vertAlign w:val="superscript"/>
              </w:rPr>
              <w:t>3</w:t>
            </w:r>
            <w:r w:rsidRPr="008D3355">
              <w:rPr>
                <w:szCs w:val="18"/>
              </w:rPr>
              <w:t xml:space="preserve"> </w:t>
            </w:r>
            <w:r>
              <w:rPr>
                <w:szCs w:val="18"/>
              </w:rPr>
              <w:t>°</w:t>
            </w:r>
            <w:r w:rsidRPr="008D3355">
              <w:rPr>
                <w:szCs w:val="18"/>
              </w:rPr>
              <w:t>C/h</w:t>
            </w:r>
          </w:p>
        </w:tc>
        <w:tc>
          <w:tcPr>
            <w:tcW w:w="1134" w:type="dxa"/>
            <w:shd w:val="clear" w:color="auto" w:fill="FFFFFF"/>
          </w:tcPr>
          <w:p w:rsidR="00212DD1" w:rsidRPr="008D3355" w:rsidRDefault="00212DD1" w:rsidP="00903254">
            <w:pPr>
              <w:rPr>
                <w:szCs w:val="18"/>
              </w:rPr>
            </w:pPr>
            <w:r w:rsidRPr="008D3355">
              <w:rPr>
                <w:szCs w:val="18"/>
              </w:rPr>
              <w:t>2·10</w:t>
            </w:r>
            <w:r w:rsidRPr="00FC462A">
              <w:rPr>
                <w:szCs w:val="18"/>
                <w:vertAlign w:val="superscript"/>
              </w:rPr>
              <w:t>4</w:t>
            </w:r>
            <w:r w:rsidRPr="008D3355">
              <w:rPr>
                <w:szCs w:val="18"/>
              </w:rPr>
              <w:t>°C/s</w:t>
            </w:r>
          </w:p>
        </w:tc>
      </w:tr>
      <w:tr w:rsidR="00212DD1" w:rsidRPr="008D3355" w:rsidTr="00903254">
        <w:tc>
          <w:tcPr>
            <w:tcW w:w="1418" w:type="dxa"/>
            <w:tcBorders>
              <w:bottom w:val="single" w:sz="12" w:space="0" w:color="008000"/>
            </w:tcBorders>
            <w:shd w:val="clear" w:color="auto" w:fill="FFFFFF"/>
          </w:tcPr>
          <w:p w:rsidR="00212DD1" w:rsidRPr="008D3355" w:rsidRDefault="00212DD1" w:rsidP="00903254">
            <w:pPr>
              <w:rPr>
                <w:szCs w:val="18"/>
              </w:rPr>
            </w:pPr>
            <w:r>
              <w:rPr>
                <w:szCs w:val="18"/>
              </w:rPr>
              <w:t>Annealing</w:t>
            </w:r>
            <w:r w:rsidRPr="008D3355">
              <w:rPr>
                <w:szCs w:val="18"/>
              </w:rPr>
              <w:t xml:space="preserve"> time</w:t>
            </w:r>
          </w:p>
        </w:tc>
        <w:tc>
          <w:tcPr>
            <w:tcW w:w="850" w:type="dxa"/>
            <w:tcBorders>
              <w:bottom w:val="single" w:sz="12" w:space="0" w:color="008000"/>
            </w:tcBorders>
            <w:shd w:val="clear" w:color="auto" w:fill="FFFFFF"/>
          </w:tcPr>
          <w:p w:rsidR="00212DD1" w:rsidRPr="008D3355" w:rsidRDefault="00212DD1" w:rsidP="00903254">
            <w:pPr>
              <w:rPr>
                <w:szCs w:val="18"/>
              </w:rPr>
            </w:pPr>
            <w:r w:rsidRPr="008D3355">
              <w:rPr>
                <w:szCs w:val="18"/>
              </w:rPr>
              <w:t>3 h</w:t>
            </w:r>
          </w:p>
        </w:tc>
        <w:tc>
          <w:tcPr>
            <w:tcW w:w="1134" w:type="dxa"/>
            <w:tcBorders>
              <w:bottom w:val="single" w:sz="12" w:space="0" w:color="008000"/>
            </w:tcBorders>
            <w:shd w:val="clear" w:color="auto" w:fill="FFFFFF"/>
          </w:tcPr>
          <w:p w:rsidR="00212DD1" w:rsidRPr="008D3355" w:rsidRDefault="00212DD1" w:rsidP="00903254">
            <w:pPr>
              <w:rPr>
                <w:szCs w:val="18"/>
              </w:rPr>
            </w:pPr>
            <w:r w:rsidRPr="008D3355">
              <w:rPr>
                <w:szCs w:val="18"/>
              </w:rPr>
              <w:t>3 s</w:t>
            </w:r>
          </w:p>
        </w:tc>
      </w:tr>
    </w:tbl>
    <w:p w:rsidR="00212DD1" w:rsidRPr="008D3355" w:rsidRDefault="00212DD1" w:rsidP="00212DD1">
      <w:pPr>
        <w:pStyle w:val="CETBodytext"/>
        <w:rPr>
          <w:szCs w:val="18"/>
        </w:rPr>
      </w:pPr>
    </w:p>
    <w:p w:rsidR="00212DD1" w:rsidRPr="008D3355" w:rsidRDefault="00212DD1" w:rsidP="00212DD1">
      <w:pPr>
        <w:pStyle w:val="CETBodytext"/>
        <w:rPr>
          <w:szCs w:val="18"/>
        </w:rPr>
      </w:pPr>
      <w:r w:rsidRPr="008D3355">
        <w:rPr>
          <w:i/>
          <w:szCs w:val="18"/>
          <w:u w:val="single"/>
        </w:rPr>
        <w:t>Annealing Chamber (AC):</w:t>
      </w:r>
      <w:r w:rsidRPr="008D3355">
        <w:rPr>
          <w:szCs w:val="18"/>
        </w:rPr>
        <w:t xml:space="preserve"> </w:t>
      </w:r>
    </w:p>
    <w:p w:rsidR="00212DD1" w:rsidRPr="008D3355" w:rsidRDefault="00212DD1" w:rsidP="00212DD1">
      <w:pPr>
        <w:pStyle w:val="CETBodytext"/>
        <w:rPr>
          <w:szCs w:val="18"/>
        </w:rPr>
      </w:pPr>
      <w:r w:rsidRPr="008D3355">
        <w:rPr>
          <w:szCs w:val="18"/>
        </w:rPr>
        <w:t xml:space="preserve">The annealing chamber was constituted by a steel crucible holder connected with a turbo and a </w:t>
      </w:r>
      <w:proofErr w:type="spellStart"/>
      <w:r w:rsidRPr="008D3355">
        <w:rPr>
          <w:szCs w:val="18"/>
        </w:rPr>
        <w:t>rotative</w:t>
      </w:r>
      <w:proofErr w:type="spellEnd"/>
      <w:r w:rsidRPr="008D3355">
        <w:rPr>
          <w:szCs w:val="18"/>
        </w:rPr>
        <w:t xml:space="preserve"> pump in series for reaching a high-vacuum condition [P = 10</w:t>
      </w:r>
      <w:r w:rsidRPr="00FC462A">
        <w:rPr>
          <w:szCs w:val="18"/>
          <w:vertAlign w:val="superscript"/>
        </w:rPr>
        <w:t>−6</w:t>
      </w:r>
      <w:r w:rsidRPr="008D3355">
        <w:rPr>
          <w:szCs w:val="18"/>
        </w:rPr>
        <w:t xml:space="preserve"> mbar]. The crucible is surrounded by an electrical resistance embedded in an insulating material, in order to reach temperatures up to 1000°C. NP as a solid material was directly placed into the crucible inside the chamber and the pressure was decreased up to high-vacuum conditions [P = 10</w:t>
      </w:r>
      <w:r w:rsidRPr="00FC462A">
        <w:rPr>
          <w:szCs w:val="18"/>
          <w:vertAlign w:val="superscript"/>
        </w:rPr>
        <w:t>−6</w:t>
      </w:r>
      <w:r w:rsidRPr="008D3355">
        <w:rPr>
          <w:szCs w:val="18"/>
        </w:rPr>
        <w:t xml:space="preserve"> mbar], which were set for 1 h. After that, the temperature was raised up 1000°C and kept constant for 3 hours. </w:t>
      </w:r>
      <w:r>
        <w:rPr>
          <w:szCs w:val="18"/>
        </w:rPr>
        <w:t xml:space="preserve">More details on the experimental system are reported in </w:t>
      </w:r>
      <w:r>
        <w:rPr>
          <w:szCs w:val="18"/>
          <w:lang w:val="en-GB"/>
        </w:rPr>
        <w:t>(</w:t>
      </w:r>
      <w:proofErr w:type="spellStart"/>
      <w:r>
        <w:rPr>
          <w:szCs w:val="18"/>
          <w:lang w:val="en-GB"/>
        </w:rPr>
        <w:t>Apicella</w:t>
      </w:r>
      <w:proofErr w:type="spellEnd"/>
      <w:r>
        <w:rPr>
          <w:szCs w:val="18"/>
          <w:lang w:val="en-GB"/>
        </w:rPr>
        <w:t xml:space="preserve"> et al., 2017b and 2017c)</w:t>
      </w:r>
    </w:p>
    <w:p w:rsidR="00212DD1" w:rsidRPr="008D3355" w:rsidRDefault="00212DD1" w:rsidP="00212DD1">
      <w:pPr>
        <w:pStyle w:val="CETBodytext"/>
        <w:rPr>
          <w:szCs w:val="18"/>
        </w:rPr>
      </w:pPr>
      <w:r w:rsidRPr="008D3355">
        <w:rPr>
          <w:i/>
          <w:szCs w:val="18"/>
          <w:u w:val="single"/>
        </w:rPr>
        <w:t>Heated Strip Reactor (HSR):</w:t>
      </w:r>
      <w:r w:rsidRPr="008D3355">
        <w:rPr>
          <w:szCs w:val="18"/>
        </w:rPr>
        <w:t xml:space="preserve"> </w:t>
      </w:r>
    </w:p>
    <w:p w:rsidR="00212DD1" w:rsidRPr="008D3355" w:rsidRDefault="00212DD1" w:rsidP="00212DD1">
      <w:pPr>
        <w:pStyle w:val="CETBodytext"/>
        <w:rPr>
          <w:szCs w:val="18"/>
          <w:lang w:val="en-GB"/>
        </w:rPr>
      </w:pPr>
      <w:r w:rsidRPr="008D3355">
        <w:rPr>
          <w:szCs w:val="18"/>
        </w:rPr>
        <w:t>The reactor is a special heated grid device, where the usual metal grid used as the sample holder is replaced by a pyrolytic graphite foil thermally stabilized for use up to 2</w:t>
      </w:r>
      <w:r>
        <w:rPr>
          <w:szCs w:val="18"/>
        </w:rPr>
        <w:t>500</w:t>
      </w:r>
      <w:r w:rsidRPr="008D3355">
        <w:rPr>
          <w:szCs w:val="18"/>
        </w:rPr>
        <w:t xml:space="preserve"> </w:t>
      </w:r>
      <w:r>
        <w:rPr>
          <w:szCs w:val="18"/>
        </w:rPr>
        <w:t>°C (</w:t>
      </w:r>
      <w:proofErr w:type="spellStart"/>
      <w:r w:rsidRPr="008D3355">
        <w:rPr>
          <w:szCs w:val="18"/>
        </w:rPr>
        <w:t>Senneca</w:t>
      </w:r>
      <w:proofErr w:type="spellEnd"/>
      <w:r>
        <w:rPr>
          <w:szCs w:val="18"/>
        </w:rPr>
        <w:t xml:space="preserve"> et al., 2010)</w:t>
      </w:r>
      <w:r w:rsidRPr="008D3355">
        <w:rPr>
          <w:szCs w:val="18"/>
        </w:rPr>
        <w:t>. The apparatus is enclosed in a stainless-steel vessel which can be pressurized up to 12 bar. The temperature of the grid is set by changing the value of the voltage at the two extremes of the strip. Due to the very high heating rate of the HSR, the strip can be considered isothermal for the entire duration of the test. About 100 mg of particles have been laid on the strip. The reactor is flushed with N</w:t>
      </w:r>
      <w:r w:rsidRPr="00FC462A">
        <w:rPr>
          <w:szCs w:val="18"/>
          <w:vertAlign w:val="subscript"/>
        </w:rPr>
        <w:t>2</w:t>
      </w:r>
      <w:r w:rsidRPr="008D3355">
        <w:rPr>
          <w:szCs w:val="18"/>
        </w:rPr>
        <w:t xml:space="preserve"> for 10 min with a high flow rate to remove any oxygen traces. After flushing, the pressure was increased to 2 bar. The strip has then been heated up to 1000°C and 1800°C and the total reaction time is 3 s. Due to the very small particle size, the coal particles are quickly heated up by contact with the strip and radiation from the reactor cover and can be considered isothermal with the strip. Details on equipment and heating</w:t>
      </w:r>
      <w:r>
        <w:rPr>
          <w:szCs w:val="18"/>
        </w:rPr>
        <w:t xml:space="preserve"> rate profiles are provided in (</w:t>
      </w:r>
      <w:proofErr w:type="spellStart"/>
      <w:r w:rsidRPr="008D3355">
        <w:rPr>
          <w:szCs w:val="18"/>
        </w:rPr>
        <w:t>Senneca</w:t>
      </w:r>
      <w:proofErr w:type="spellEnd"/>
      <w:r>
        <w:rPr>
          <w:szCs w:val="18"/>
        </w:rPr>
        <w:t xml:space="preserve"> et al., 2010)</w:t>
      </w:r>
      <w:r w:rsidRPr="008D3355">
        <w:rPr>
          <w:szCs w:val="18"/>
        </w:rPr>
        <w:t>.</w:t>
      </w:r>
    </w:p>
    <w:p w:rsidR="00212DD1" w:rsidRPr="008D3355" w:rsidRDefault="00212DD1" w:rsidP="00212DD1">
      <w:pPr>
        <w:pStyle w:val="CETheadingx"/>
        <w:rPr>
          <w:szCs w:val="18"/>
        </w:rPr>
      </w:pPr>
      <w:r w:rsidRPr="008D3355">
        <w:rPr>
          <w:szCs w:val="18"/>
        </w:rPr>
        <w:t>Analytical techniques</w:t>
      </w:r>
    </w:p>
    <w:p w:rsidR="00212DD1" w:rsidRPr="008D3355" w:rsidRDefault="00212DD1" w:rsidP="00212DD1">
      <w:pPr>
        <w:pStyle w:val="CETCaption"/>
        <w:spacing w:before="0" w:after="0"/>
        <w:rPr>
          <w:i w:val="0"/>
          <w:szCs w:val="18"/>
        </w:rPr>
      </w:pPr>
      <w:r w:rsidRPr="008D3355">
        <w:rPr>
          <w:i w:val="0"/>
          <w:szCs w:val="18"/>
        </w:rPr>
        <w:t xml:space="preserve">The materials annealed into the two systems were preliminarily characterized with elemental analysis and Scanning Electron Microscopy (SEM). The elemental analysis was performed on a CHN 2000 LECO elemental </w:t>
      </w:r>
      <w:proofErr w:type="spellStart"/>
      <w:r w:rsidRPr="008D3355">
        <w:rPr>
          <w:i w:val="0"/>
          <w:szCs w:val="18"/>
        </w:rPr>
        <w:t>Analyzer</w:t>
      </w:r>
      <w:proofErr w:type="spellEnd"/>
      <w:r w:rsidRPr="008D3355">
        <w:rPr>
          <w:i w:val="0"/>
          <w:szCs w:val="18"/>
        </w:rPr>
        <w:t>. SEM analysis was performed using a FEI INSPECT S.</w:t>
      </w:r>
    </w:p>
    <w:p w:rsidR="00212DD1" w:rsidRPr="008D3355" w:rsidRDefault="00212DD1" w:rsidP="00212DD1">
      <w:pPr>
        <w:pStyle w:val="CETCaption"/>
        <w:spacing w:before="0" w:after="0"/>
        <w:rPr>
          <w:szCs w:val="18"/>
          <w:u w:val="single"/>
        </w:rPr>
      </w:pPr>
      <w:r w:rsidRPr="008D3355">
        <w:rPr>
          <w:szCs w:val="18"/>
          <w:u w:val="single"/>
        </w:rPr>
        <w:t>Thermogravimetric (TG) analysis</w:t>
      </w:r>
    </w:p>
    <w:p w:rsidR="00212DD1" w:rsidRPr="008D3355" w:rsidRDefault="00212DD1" w:rsidP="00212DD1">
      <w:pPr>
        <w:pStyle w:val="CETCaption"/>
        <w:spacing w:before="0" w:after="0"/>
        <w:rPr>
          <w:szCs w:val="18"/>
          <w:u w:val="single"/>
        </w:rPr>
      </w:pPr>
      <w:r w:rsidRPr="008D3355">
        <w:rPr>
          <w:i w:val="0"/>
          <w:szCs w:val="18"/>
        </w:rPr>
        <w:t xml:space="preserve">Thermal </w:t>
      </w:r>
      <w:proofErr w:type="spellStart"/>
      <w:r w:rsidRPr="008D3355">
        <w:rPr>
          <w:i w:val="0"/>
          <w:szCs w:val="18"/>
        </w:rPr>
        <w:t>behavior</w:t>
      </w:r>
      <w:proofErr w:type="spellEnd"/>
      <w:r w:rsidRPr="008D3355">
        <w:rPr>
          <w:i w:val="0"/>
          <w:szCs w:val="18"/>
        </w:rPr>
        <w:t xml:space="preserve"> (volatility and oxidation reactivity) was studied by TG analysis performed on a Perkin-Elmer </w:t>
      </w:r>
      <w:proofErr w:type="spellStart"/>
      <w:r w:rsidRPr="008D3355">
        <w:rPr>
          <w:i w:val="0"/>
          <w:szCs w:val="18"/>
        </w:rPr>
        <w:t>Pyris</w:t>
      </w:r>
      <w:proofErr w:type="spellEnd"/>
      <w:r w:rsidRPr="008D3355">
        <w:rPr>
          <w:i w:val="0"/>
          <w:szCs w:val="18"/>
        </w:rPr>
        <w:t xml:space="preserve"> 1 TG </w:t>
      </w:r>
      <w:proofErr w:type="spellStart"/>
      <w:r w:rsidRPr="008D3355">
        <w:rPr>
          <w:i w:val="0"/>
          <w:szCs w:val="18"/>
        </w:rPr>
        <w:t>analyzer</w:t>
      </w:r>
      <w:proofErr w:type="spellEnd"/>
      <w:r w:rsidRPr="008D3355">
        <w:rPr>
          <w:i w:val="0"/>
          <w:szCs w:val="18"/>
        </w:rPr>
        <w:t>. The pitch samples were heated from 50 to 750 °C at a rate of 10 °C min</w:t>
      </w:r>
      <w:r w:rsidRPr="00871BC6">
        <w:rPr>
          <w:i w:val="0"/>
          <w:szCs w:val="18"/>
          <w:vertAlign w:val="superscript"/>
        </w:rPr>
        <w:t>−1</w:t>
      </w:r>
      <w:r w:rsidRPr="008D3355">
        <w:rPr>
          <w:i w:val="0"/>
          <w:szCs w:val="18"/>
        </w:rPr>
        <w:t xml:space="preserve"> in oxidative environment (air, 30 mL min</w:t>
      </w:r>
      <w:r w:rsidRPr="00871BC6">
        <w:rPr>
          <w:i w:val="0"/>
          <w:szCs w:val="18"/>
          <w:vertAlign w:val="superscript"/>
        </w:rPr>
        <w:t>−1</w:t>
      </w:r>
      <w:r w:rsidRPr="008D3355">
        <w:rPr>
          <w:i w:val="0"/>
          <w:szCs w:val="18"/>
        </w:rPr>
        <w:t>).</w:t>
      </w:r>
    </w:p>
    <w:p w:rsidR="00212DD1" w:rsidRPr="008D3355" w:rsidRDefault="00212DD1" w:rsidP="00212DD1">
      <w:pPr>
        <w:pStyle w:val="CETCaption"/>
        <w:spacing w:before="0" w:after="0"/>
        <w:rPr>
          <w:szCs w:val="18"/>
          <w:u w:val="single"/>
        </w:rPr>
      </w:pPr>
      <w:r w:rsidRPr="008D3355">
        <w:rPr>
          <w:szCs w:val="18"/>
          <w:u w:val="single"/>
        </w:rPr>
        <w:t>Raman</w:t>
      </w:r>
    </w:p>
    <w:p w:rsidR="00212DD1" w:rsidRPr="008D3355" w:rsidRDefault="00212DD1" w:rsidP="00212DD1">
      <w:pPr>
        <w:pStyle w:val="CETCaption"/>
        <w:spacing w:before="0" w:after="0"/>
        <w:rPr>
          <w:i w:val="0"/>
          <w:szCs w:val="18"/>
        </w:rPr>
      </w:pPr>
      <w:r w:rsidRPr="008D3355">
        <w:rPr>
          <w:i w:val="0"/>
          <w:szCs w:val="18"/>
        </w:rPr>
        <w:t xml:space="preserve">Raman spectra were measured by means of a Horiba </w:t>
      </w:r>
      <w:proofErr w:type="spellStart"/>
      <w:r w:rsidRPr="008D3355">
        <w:rPr>
          <w:i w:val="0"/>
          <w:szCs w:val="18"/>
        </w:rPr>
        <w:t>XploRA</w:t>
      </w:r>
      <w:proofErr w:type="spellEnd"/>
      <w:r w:rsidRPr="008D3355">
        <w:rPr>
          <w:i w:val="0"/>
          <w:szCs w:val="18"/>
        </w:rPr>
        <w:t xml:space="preserve"> Raman microscope system (Horiba </w:t>
      </w:r>
      <w:proofErr w:type="spellStart"/>
      <w:r w:rsidRPr="008D3355">
        <w:rPr>
          <w:i w:val="0"/>
          <w:szCs w:val="18"/>
        </w:rPr>
        <w:t>Jobin</w:t>
      </w:r>
      <w:proofErr w:type="spellEnd"/>
      <w:r w:rsidRPr="008D3355">
        <w:rPr>
          <w:i w:val="0"/>
          <w:szCs w:val="18"/>
        </w:rPr>
        <w:t xml:space="preserve"> </w:t>
      </w:r>
      <w:proofErr w:type="spellStart"/>
      <w:r w:rsidRPr="008D3355">
        <w:rPr>
          <w:i w:val="0"/>
          <w:szCs w:val="18"/>
        </w:rPr>
        <w:t>Yvon</w:t>
      </w:r>
      <w:proofErr w:type="spellEnd"/>
      <w:r w:rsidRPr="008D3355">
        <w:rPr>
          <w:i w:val="0"/>
          <w:szCs w:val="18"/>
        </w:rPr>
        <w:t xml:space="preserve">, Japan) with an excitation wavelength of </w:t>
      </w:r>
      <w:r w:rsidRPr="00871BC6">
        <w:rPr>
          <w:rFonts w:ascii="Symbol" w:hAnsi="Symbol" w:cs="Arial"/>
          <w:i w:val="0"/>
          <w:szCs w:val="18"/>
        </w:rPr>
        <w:t></w:t>
      </w:r>
      <w:r w:rsidRPr="008D3355">
        <w:rPr>
          <w:i w:val="0"/>
          <w:szCs w:val="18"/>
        </w:rPr>
        <w:t xml:space="preserve"> = 532 nm (frequency doubled </w:t>
      </w:r>
      <w:proofErr w:type="spellStart"/>
      <w:r w:rsidRPr="008D3355">
        <w:rPr>
          <w:i w:val="0"/>
          <w:szCs w:val="18"/>
        </w:rPr>
        <w:t>Nd:YAG-solid</w:t>
      </w:r>
      <w:proofErr w:type="spellEnd"/>
      <w:r w:rsidRPr="008D3355">
        <w:rPr>
          <w:i w:val="0"/>
          <w:szCs w:val="18"/>
        </w:rPr>
        <w:t xml:space="preserve"> state laser, 25 </w:t>
      </w:r>
      <w:proofErr w:type="spellStart"/>
      <w:r w:rsidRPr="008D3355">
        <w:rPr>
          <w:i w:val="0"/>
          <w:szCs w:val="18"/>
        </w:rPr>
        <w:t>mW</w:t>
      </w:r>
      <w:proofErr w:type="spellEnd"/>
      <w:r w:rsidRPr="008D3355">
        <w:rPr>
          <w:i w:val="0"/>
          <w:szCs w:val="18"/>
        </w:rPr>
        <w:t>). The Raman spectral intensity and wavelength were calibrated with a silicon wafer by utilizing the first-order Stokes Raman of pure Si at 520 cm</w:t>
      </w:r>
      <w:r w:rsidRPr="00871BC6">
        <w:rPr>
          <w:i w:val="0"/>
          <w:szCs w:val="18"/>
          <w:vertAlign w:val="superscript"/>
        </w:rPr>
        <w:t>-1</w:t>
      </w:r>
      <w:r w:rsidRPr="008D3355">
        <w:rPr>
          <w:i w:val="0"/>
          <w:szCs w:val="18"/>
        </w:rPr>
        <w:t>. The microscope was focused onto the sample surface using the white light source and the objective with a magnification of 100. Then the white light was replaced by the laser beam and Raman spectra were recorded in the range of 900-3400 cm</w:t>
      </w:r>
      <w:r w:rsidRPr="00871BC6">
        <w:rPr>
          <w:i w:val="0"/>
          <w:szCs w:val="18"/>
          <w:vertAlign w:val="superscript"/>
        </w:rPr>
        <w:t>-1</w:t>
      </w:r>
      <w:r w:rsidRPr="008D3355">
        <w:rPr>
          <w:i w:val="0"/>
          <w:szCs w:val="18"/>
        </w:rPr>
        <w:t xml:space="preserve"> (Raman shift) using a 1200 grooves/mm grating. </w:t>
      </w:r>
      <w:r>
        <w:rPr>
          <w:i w:val="0"/>
          <w:szCs w:val="18"/>
        </w:rPr>
        <w:t>T</w:t>
      </w:r>
      <w:r w:rsidRPr="008D3355">
        <w:rPr>
          <w:i w:val="0"/>
          <w:szCs w:val="18"/>
        </w:rPr>
        <w:t xml:space="preserve">he power of </w:t>
      </w:r>
      <w:r>
        <w:rPr>
          <w:i w:val="0"/>
          <w:szCs w:val="18"/>
        </w:rPr>
        <w:t xml:space="preserve">the excitation laser beam was </w:t>
      </w:r>
      <w:r w:rsidRPr="008D3355">
        <w:rPr>
          <w:i w:val="0"/>
          <w:szCs w:val="18"/>
        </w:rPr>
        <w:t xml:space="preserve">about 1 </w:t>
      </w:r>
      <w:proofErr w:type="spellStart"/>
      <w:r w:rsidRPr="008D3355">
        <w:rPr>
          <w:i w:val="0"/>
          <w:szCs w:val="18"/>
        </w:rPr>
        <w:t>mW</w:t>
      </w:r>
      <w:proofErr w:type="spellEnd"/>
      <w:r w:rsidRPr="008D3355">
        <w:rPr>
          <w:i w:val="0"/>
          <w:szCs w:val="18"/>
        </w:rPr>
        <w:t>. The Raman spectra were collected with an acquisition time of 30 s and an accumulation of 6 runs.</w:t>
      </w:r>
    </w:p>
    <w:p w:rsidR="00212DD1" w:rsidRPr="00B57B36" w:rsidRDefault="00212DD1" w:rsidP="00212DD1">
      <w:pPr>
        <w:pStyle w:val="CETHeading1"/>
        <w:rPr>
          <w:lang w:val="en-GB"/>
        </w:rPr>
      </w:pPr>
      <w:r>
        <w:rPr>
          <w:lang w:val="en-GB"/>
        </w:rPr>
        <w:t>Result</w:t>
      </w:r>
      <w:r w:rsidRPr="00B57B36">
        <w:rPr>
          <w:lang w:val="en-GB"/>
        </w:rPr>
        <w:t>s</w:t>
      </w:r>
    </w:p>
    <w:p w:rsidR="00212DD1" w:rsidRPr="008D3355" w:rsidRDefault="00212DD1" w:rsidP="00CB3B0B">
      <w:pPr>
        <w:pStyle w:val="CETBodytext"/>
        <w:rPr>
          <w:i/>
        </w:rPr>
      </w:pPr>
      <w:r w:rsidRPr="008D3355">
        <w:t xml:space="preserve">Naphthalene pitch was treated in the two systems described in the Experimental section. The temperature of the annealing treatment initially chosen was 1000°C, which represents the temperature </w:t>
      </w:r>
      <w:r>
        <w:t>of</w:t>
      </w:r>
      <w:r w:rsidRPr="008D3355">
        <w:t xml:space="preserve"> </w:t>
      </w:r>
      <w:r>
        <w:t xml:space="preserve">an </w:t>
      </w:r>
      <w:r w:rsidRPr="008D3355">
        <w:t>almost complete</w:t>
      </w:r>
      <w:r>
        <w:t xml:space="preserve"> occurring of</w:t>
      </w:r>
      <w:r w:rsidRPr="008D3355">
        <w:t xml:space="preserve"> carbonization reaction</w:t>
      </w:r>
      <w:r>
        <w:t>, in dependence of the sample nature</w:t>
      </w:r>
      <w:r w:rsidRPr="008D3355">
        <w:t xml:space="preserve"> (Obe</w:t>
      </w:r>
      <w:r>
        <w:t>r</w:t>
      </w:r>
      <w:r w:rsidRPr="008D3355">
        <w:t>lin</w:t>
      </w:r>
      <w:r>
        <w:t xml:space="preserve">, 1984; </w:t>
      </w:r>
      <w:r w:rsidRPr="008D3355">
        <w:t>Oberlin</w:t>
      </w:r>
      <w:r>
        <w:t xml:space="preserve"> and </w:t>
      </w:r>
      <w:proofErr w:type="spellStart"/>
      <w:r>
        <w:lastRenderedPageBreak/>
        <w:t>Bonnamy</w:t>
      </w:r>
      <w:proofErr w:type="spellEnd"/>
      <w:r>
        <w:t>,</w:t>
      </w:r>
      <w:r w:rsidRPr="008D3355">
        <w:t xml:space="preserve"> </w:t>
      </w:r>
      <w:r>
        <w:t>2013</w:t>
      </w:r>
      <w:r w:rsidRPr="008D3355">
        <w:t>). During the thermal treatment, the first step is the removal of volatiles, constituted essentially by low molecular mas</w:t>
      </w:r>
      <w:r>
        <w:t>s alkanes (C1–C3) and hydrogen (</w:t>
      </w:r>
      <w:proofErr w:type="spellStart"/>
      <w:r w:rsidRPr="008D3355">
        <w:t>Dumond</w:t>
      </w:r>
      <w:proofErr w:type="spellEnd"/>
      <w:r>
        <w:t xml:space="preserve"> et al., 2005)</w:t>
      </w:r>
      <w:r w:rsidRPr="008D3355">
        <w:t>, with the formation o</w:t>
      </w:r>
      <w:r>
        <w:t>f tar in the “semi-coke stage” (</w:t>
      </w:r>
      <w:r w:rsidRPr="008D3355">
        <w:t>Oberlin</w:t>
      </w:r>
      <w:r>
        <w:t>, 1984)</w:t>
      </w:r>
      <w:r w:rsidRPr="008D3355">
        <w:t xml:space="preserve">. After that, the “coke stage”, characterized by high carbon content, is reached by gas release only (total volatiles release is about 20% in weight). After the carbonization stage, the materials may or may not graphitize if they are heat-treated further at </w:t>
      </w:r>
      <w:r>
        <w:t>temperature well above 1000°C (</w:t>
      </w:r>
      <w:r w:rsidRPr="008D3355">
        <w:t>Obe</w:t>
      </w:r>
      <w:r>
        <w:t>r</w:t>
      </w:r>
      <w:r w:rsidRPr="008D3355">
        <w:t>lin</w:t>
      </w:r>
      <w:r>
        <w:t>, 1984)</w:t>
      </w:r>
      <w:r w:rsidRPr="008D3355">
        <w:t>.</w:t>
      </w:r>
    </w:p>
    <w:p w:rsidR="00212DD1" w:rsidRPr="008D3355" w:rsidRDefault="00212DD1" w:rsidP="00CB3B0B">
      <w:pPr>
        <w:pStyle w:val="CETBodytext"/>
        <w:rPr>
          <w:i/>
        </w:rPr>
      </w:pPr>
      <w:r w:rsidRPr="008D3355">
        <w:t xml:space="preserve">In the case of the annealing chamber (AC), the solid pitch has a time of 3 hours at 1000°C for the carbonization occurrence and the final morphology reached is reported in </w:t>
      </w:r>
      <w:r w:rsidR="00CB3B0B">
        <w:t>Figure</w:t>
      </w:r>
      <w:r w:rsidRPr="008D3355">
        <w:t>1.</w:t>
      </w:r>
    </w:p>
    <w:p w:rsidR="00212DD1" w:rsidRDefault="00212DD1" w:rsidP="00212DD1">
      <w:pPr>
        <w:pStyle w:val="CETCaption"/>
      </w:pPr>
      <w:r>
        <w:rPr>
          <w:noProof/>
          <w:lang w:val="it-IT" w:eastAsia="it-IT"/>
        </w:rPr>
        <w:drawing>
          <wp:inline distT="0" distB="0" distL="0" distR="0" wp14:anchorId="4F14F02B" wp14:editId="714E880C">
            <wp:extent cx="5516880" cy="2133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6880" cy="2133600"/>
                    </a:xfrm>
                    <a:prstGeom prst="rect">
                      <a:avLst/>
                    </a:prstGeom>
                    <a:noFill/>
                    <a:ln>
                      <a:noFill/>
                    </a:ln>
                  </pic:spPr>
                </pic:pic>
              </a:graphicData>
            </a:graphic>
          </wp:inline>
        </w:drawing>
      </w:r>
    </w:p>
    <w:p w:rsidR="00212DD1" w:rsidRPr="008D3355" w:rsidRDefault="00212DD1" w:rsidP="00212DD1">
      <w:pPr>
        <w:pStyle w:val="CETCaption"/>
        <w:rPr>
          <w:szCs w:val="18"/>
        </w:rPr>
      </w:pPr>
      <w:r w:rsidRPr="008D3355">
        <w:rPr>
          <w:szCs w:val="18"/>
        </w:rPr>
        <w:t>Figure 1: SEM images of NP treated in AC system at 1000°C.</w:t>
      </w:r>
    </w:p>
    <w:p w:rsidR="00212DD1" w:rsidRPr="008D3355" w:rsidRDefault="00212DD1" w:rsidP="00212DD1">
      <w:pPr>
        <w:pStyle w:val="CETBodytext"/>
        <w:rPr>
          <w:szCs w:val="18"/>
        </w:rPr>
      </w:pPr>
      <w:r w:rsidRPr="008D3355">
        <w:rPr>
          <w:szCs w:val="18"/>
        </w:rPr>
        <w:t>The obtained material, as</w:t>
      </w:r>
      <w:r w:rsidR="00CB3B0B">
        <w:rPr>
          <w:szCs w:val="18"/>
        </w:rPr>
        <w:t xml:space="preserve"> observable in the inset of Figure </w:t>
      </w:r>
      <w:r w:rsidRPr="008D3355">
        <w:rPr>
          <w:szCs w:val="18"/>
        </w:rPr>
        <w:t xml:space="preserve">1a, appears to be constituted of a hard block </w:t>
      </w:r>
      <w:r>
        <w:rPr>
          <w:szCs w:val="18"/>
        </w:rPr>
        <w:t xml:space="preserve">(showed in the inset of </w:t>
      </w:r>
      <w:r w:rsidR="00CB3B0B">
        <w:rPr>
          <w:szCs w:val="18"/>
        </w:rPr>
        <w:t>Figure</w:t>
      </w:r>
      <w:r>
        <w:rPr>
          <w:szCs w:val="18"/>
        </w:rPr>
        <w:t xml:space="preserve">1a) </w:t>
      </w:r>
      <w:r w:rsidRPr="008D3355">
        <w:rPr>
          <w:szCs w:val="18"/>
        </w:rPr>
        <w:t xml:space="preserve">with some holes, with the diameter of the crucible (about 80 mm), very difficult to mill. SEM images in </w:t>
      </w:r>
      <w:r w:rsidR="00CB3B0B">
        <w:rPr>
          <w:szCs w:val="18"/>
        </w:rPr>
        <w:t>Figure</w:t>
      </w:r>
      <w:r w:rsidRPr="008D3355">
        <w:rPr>
          <w:szCs w:val="18"/>
        </w:rPr>
        <w:t>1 revealed that, after milling, it is constituted by small flakes (of about 100</w:t>
      </w:r>
      <w:r w:rsidRPr="008D3355">
        <w:rPr>
          <w:rFonts w:ascii="Symbol" w:hAnsi="Symbol" w:cs="Arial"/>
          <w:szCs w:val="18"/>
        </w:rPr>
        <w:t></w:t>
      </w:r>
      <w:r w:rsidRPr="008D3355">
        <w:rPr>
          <w:szCs w:val="18"/>
        </w:rPr>
        <w:t xml:space="preserve">m), made of a sequence of stacked layers, as observable in the zoom at 3 </w:t>
      </w:r>
      <w:r w:rsidRPr="008D3355">
        <w:rPr>
          <w:rFonts w:ascii="Symbol" w:hAnsi="Symbol" w:cs="Arial"/>
          <w:szCs w:val="18"/>
        </w:rPr>
        <w:t></w:t>
      </w:r>
      <w:r w:rsidRPr="008D3355">
        <w:rPr>
          <w:szCs w:val="18"/>
        </w:rPr>
        <w:t xml:space="preserve">m scale reported in </w:t>
      </w:r>
      <w:r w:rsidR="00CB3B0B">
        <w:rPr>
          <w:szCs w:val="18"/>
        </w:rPr>
        <w:t>Figure</w:t>
      </w:r>
      <w:r w:rsidRPr="008D3355">
        <w:rPr>
          <w:szCs w:val="18"/>
        </w:rPr>
        <w:t xml:space="preserve">1b. </w:t>
      </w:r>
    </w:p>
    <w:p w:rsidR="00212DD1" w:rsidRPr="008D3355" w:rsidRDefault="00212DD1" w:rsidP="00212DD1">
      <w:pPr>
        <w:pStyle w:val="CETBodytext"/>
        <w:rPr>
          <w:szCs w:val="18"/>
        </w:rPr>
      </w:pPr>
      <w:r w:rsidRPr="008D3355">
        <w:rPr>
          <w:szCs w:val="18"/>
        </w:rPr>
        <w:t xml:space="preserve">In the case of HSR system, the time scale of the reaction is 3 order of magnitude and half lower with respect to AC (3s instead of 3 hours) and, when a temperature of 1000°C is employed, only the volatile release and the semi-coke stage occur, obtaining a fused material not removable from the graphite strip. Therefore, in the present work the carbonization process was performed at 1800°C in the HSR. The obtained material appears to be constituted by several columns (diameter of about 0.4 mm) of spongy and fragile material (as shown in the inset of </w:t>
      </w:r>
      <w:r w:rsidR="00CB3B0B">
        <w:rPr>
          <w:szCs w:val="18"/>
        </w:rPr>
        <w:t>Figure</w:t>
      </w:r>
      <w:r w:rsidRPr="008D3355">
        <w:rPr>
          <w:szCs w:val="18"/>
        </w:rPr>
        <w:t xml:space="preserve">2a). SEM images, reported in </w:t>
      </w:r>
      <w:r w:rsidR="00CB3B0B">
        <w:rPr>
          <w:szCs w:val="18"/>
        </w:rPr>
        <w:t>Figure</w:t>
      </w:r>
      <w:r w:rsidRPr="008D3355">
        <w:rPr>
          <w:szCs w:val="18"/>
        </w:rPr>
        <w:t xml:space="preserve">2, revealed a structure constituted of thin curved foils that, at micrometric scale (zoom at 3 </w:t>
      </w:r>
      <w:r w:rsidRPr="008D3355">
        <w:rPr>
          <w:rFonts w:ascii="Symbol" w:hAnsi="Symbol" w:cs="Arial"/>
          <w:szCs w:val="18"/>
        </w:rPr>
        <w:t></w:t>
      </w:r>
      <w:r w:rsidRPr="008D3355">
        <w:rPr>
          <w:szCs w:val="18"/>
        </w:rPr>
        <w:t xml:space="preserve">m scale reported in </w:t>
      </w:r>
      <w:r w:rsidR="00CB3B0B">
        <w:rPr>
          <w:szCs w:val="18"/>
        </w:rPr>
        <w:t>Figure</w:t>
      </w:r>
      <w:r w:rsidRPr="008D3355">
        <w:rPr>
          <w:szCs w:val="18"/>
        </w:rPr>
        <w:t>2b) shows the presence of large spaces between the layers, indicating a high porosity of the structure.</w:t>
      </w:r>
    </w:p>
    <w:p w:rsidR="00212DD1" w:rsidRDefault="00212DD1" w:rsidP="00212DD1">
      <w:pPr>
        <w:pStyle w:val="CETBodytext"/>
        <w:rPr>
          <w:lang w:val="en-GB"/>
        </w:rPr>
      </w:pPr>
      <w:r>
        <w:rPr>
          <w:noProof/>
          <w:lang w:val="it-IT" w:eastAsia="it-IT"/>
        </w:rPr>
        <w:drawing>
          <wp:inline distT="0" distB="0" distL="0" distR="0" wp14:anchorId="4AA67D30" wp14:editId="701D7014">
            <wp:extent cx="5577840" cy="212598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7840" cy="2125980"/>
                    </a:xfrm>
                    <a:prstGeom prst="rect">
                      <a:avLst/>
                    </a:prstGeom>
                    <a:noFill/>
                    <a:ln>
                      <a:noFill/>
                    </a:ln>
                  </pic:spPr>
                </pic:pic>
              </a:graphicData>
            </a:graphic>
          </wp:inline>
        </w:drawing>
      </w:r>
    </w:p>
    <w:p w:rsidR="00212DD1" w:rsidRPr="008D3355" w:rsidRDefault="00212DD1" w:rsidP="00212DD1">
      <w:pPr>
        <w:pStyle w:val="CETCaption"/>
        <w:rPr>
          <w:szCs w:val="18"/>
        </w:rPr>
      </w:pPr>
      <w:r w:rsidRPr="008D3355">
        <w:rPr>
          <w:szCs w:val="18"/>
        </w:rPr>
        <w:t>Figure 2: SEM images of NP treated in HSR system at 1800°C.</w:t>
      </w:r>
    </w:p>
    <w:p w:rsidR="00212DD1" w:rsidRPr="008D3355" w:rsidRDefault="00212DD1" w:rsidP="00212DD1">
      <w:pPr>
        <w:pStyle w:val="CETBodytext"/>
        <w:rPr>
          <w:szCs w:val="18"/>
          <w:lang w:val="en-GB"/>
        </w:rPr>
      </w:pPr>
    </w:p>
    <w:p w:rsidR="00212DD1" w:rsidRPr="008D3355" w:rsidRDefault="00212DD1" w:rsidP="00212DD1">
      <w:pPr>
        <w:pStyle w:val="CETBodytext"/>
        <w:rPr>
          <w:szCs w:val="18"/>
          <w:lang w:val="en-GB"/>
        </w:rPr>
      </w:pPr>
      <w:r w:rsidRPr="008D3355">
        <w:rPr>
          <w:szCs w:val="18"/>
          <w:lang w:val="en-GB"/>
        </w:rPr>
        <w:lastRenderedPageBreak/>
        <w:t xml:space="preserve">Unfortunately, </w:t>
      </w:r>
      <w:proofErr w:type="spellStart"/>
      <w:r w:rsidRPr="008D3355">
        <w:rPr>
          <w:szCs w:val="18"/>
          <w:lang w:val="en-GB"/>
        </w:rPr>
        <w:t>porosimetry</w:t>
      </w:r>
      <w:proofErr w:type="spellEnd"/>
      <w:r w:rsidRPr="008D3355">
        <w:rPr>
          <w:szCs w:val="18"/>
          <w:lang w:val="en-GB"/>
        </w:rPr>
        <w:t xml:space="preserve"> measurements were not applicable due to the fragility of the material and work in progress regards instead the use of microscopy for a quantitative measurement of pores distribution. </w:t>
      </w:r>
    </w:p>
    <w:p w:rsidR="00212DD1" w:rsidRDefault="00212DD1" w:rsidP="00212DD1">
      <w:pPr>
        <w:pStyle w:val="CETBodytext"/>
        <w:rPr>
          <w:szCs w:val="18"/>
          <w:lang w:val="en-GB"/>
        </w:rPr>
      </w:pPr>
      <w:r w:rsidRPr="008D3355">
        <w:rPr>
          <w:szCs w:val="18"/>
          <w:lang w:val="en-GB"/>
        </w:rPr>
        <w:t xml:space="preserve">The TG and TG derivative (DTG) curves of the carbonized pitches, measured under air flow, are reported in </w:t>
      </w:r>
      <w:r w:rsidR="00CB3B0B">
        <w:rPr>
          <w:szCs w:val="18"/>
          <w:lang w:val="en-GB"/>
        </w:rPr>
        <w:t>Figure</w:t>
      </w:r>
      <w:r w:rsidRPr="008D3355">
        <w:rPr>
          <w:szCs w:val="18"/>
          <w:lang w:val="en-GB"/>
        </w:rPr>
        <w:t xml:space="preserve">3, along with two reference standards, Carbon Black and Graphite. NP treated in AC system at 1000°C was named in the following “NP-AC 1000°C” and NP treated in HSR system at 1800°C “NP-HSR 1800°C”. It is observable that the TG profile of NP-HSR 1800°C resembles, especially in the first part, the profile of an amorphous carbon like the Carbon Black, whereas the NP-AC 1000°C profile is much more shifted toward the graphite one. Observing the DTG profiles </w:t>
      </w:r>
      <w:r>
        <w:rPr>
          <w:szCs w:val="18"/>
          <w:lang w:val="en-GB"/>
        </w:rPr>
        <w:t xml:space="preserve">reported </w:t>
      </w:r>
      <w:r w:rsidRPr="008D3355">
        <w:rPr>
          <w:szCs w:val="18"/>
          <w:lang w:val="en-GB"/>
        </w:rPr>
        <w:t xml:space="preserve">in the right side of the </w:t>
      </w:r>
      <w:r w:rsidR="00CB3B0B">
        <w:rPr>
          <w:szCs w:val="18"/>
          <w:lang w:val="en-GB"/>
        </w:rPr>
        <w:t>Figure</w:t>
      </w:r>
      <w:r w:rsidRPr="008D3355">
        <w:rPr>
          <w:szCs w:val="18"/>
          <w:lang w:val="en-GB"/>
        </w:rPr>
        <w:t xml:space="preserve">3, it is worth to note that NP-HSR 1800°C presents two peaks, one overlapped to the Carbon Black peak and the second, smaller, to the NP-AC 1000°C. The </w:t>
      </w:r>
      <w:r>
        <w:rPr>
          <w:szCs w:val="18"/>
          <w:lang w:val="en-GB"/>
        </w:rPr>
        <w:t>higher</w:t>
      </w:r>
      <w:r w:rsidRPr="008D3355">
        <w:rPr>
          <w:szCs w:val="18"/>
          <w:lang w:val="en-GB"/>
        </w:rPr>
        <w:t xml:space="preserve"> reactivity of NP-HSR 1800°C can be due to its much higher superficial area with respect to NP-AC 1000°C, which facilitates its reaction with oxygen, lowering its combustion temperature. By contrast NP-AC 1000°C presents an unique peak at a temperature of 780°C, which approaches the oxidation temperature found for Graphite standard (840°C). </w:t>
      </w:r>
    </w:p>
    <w:p w:rsidR="00212DD1" w:rsidRPr="008D3355" w:rsidRDefault="00212DD1" w:rsidP="00CB3B0B">
      <w:pPr>
        <w:pStyle w:val="CETCaption"/>
        <w:spacing w:before="120"/>
        <w:rPr>
          <w:szCs w:val="18"/>
        </w:rPr>
      </w:pPr>
      <w:r>
        <w:rPr>
          <w:noProof/>
          <w:lang w:val="it-IT" w:eastAsia="it-IT"/>
        </w:rPr>
        <w:drawing>
          <wp:inline distT="0" distB="0" distL="0" distR="0">
            <wp:extent cx="5494020" cy="214884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313"/>
                    <a:stretch/>
                  </pic:blipFill>
                  <pic:spPr bwMode="auto">
                    <a:xfrm>
                      <a:off x="0" y="0"/>
                      <a:ext cx="5494020" cy="2148840"/>
                    </a:xfrm>
                    <a:prstGeom prst="rect">
                      <a:avLst/>
                    </a:prstGeom>
                    <a:noFill/>
                    <a:ln>
                      <a:noFill/>
                    </a:ln>
                    <a:extLst>
                      <a:ext uri="{53640926-AAD7-44D8-BBD7-CCE9431645EC}">
                        <a14:shadowObscured xmlns:a14="http://schemas.microsoft.com/office/drawing/2010/main"/>
                      </a:ext>
                    </a:extLst>
                  </pic:spPr>
                </pic:pic>
              </a:graphicData>
            </a:graphic>
          </wp:inline>
        </w:drawing>
      </w:r>
      <w:r w:rsidRPr="00AE1342">
        <w:t xml:space="preserve"> </w:t>
      </w:r>
      <w:r w:rsidRPr="008D3355">
        <w:rPr>
          <w:szCs w:val="18"/>
        </w:rPr>
        <w:t>Figure 3: TG (left side) and DTG (right side) of NP treated in AC at 1000°C and in HSR at 1800°C, along with Carbon Black and Graphite standards.</w:t>
      </w:r>
    </w:p>
    <w:p w:rsidR="00212DD1" w:rsidRPr="008D3355" w:rsidRDefault="00212DD1" w:rsidP="00212DD1">
      <w:pPr>
        <w:pStyle w:val="CETCaption"/>
        <w:spacing w:before="0" w:after="0"/>
        <w:rPr>
          <w:i w:val="0"/>
          <w:szCs w:val="18"/>
        </w:rPr>
      </w:pPr>
      <w:r w:rsidRPr="008D3355">
        <w:rPr>
          <w:i w:val="0"/>
          <w:szCs w:val="18"/>
        </w:rPr>
        <w:t xml:space="preserve">Raman spectroscopy has been used to characterize the carbonaceous network of the NP annealed samples. Figure 3 reports Raman spectra </w:t>
      </w:r>
      <w:r>
        <w:rPr>
          <w:i w:val="0"/>
          <w:szCs w:val="18"/>
        </w:rPr>
        <w:t xml:space="preserve">of the </w:t>
      </w:r>
      <w:r w:rsidRPr="008D3355">
        <w:rPr>
          <w:i w:val="0"/>
          <w:szCs w:val="18"/>
        </w:rPr>
        <w:t xml:space="preserve">samples produced in the two systems. </w:t>
      </w:r>
    </w:p>
    <w:p w:rsidR="00212DD1" w:rsidRDefault="00212DD1" w:rsidP="00212DD1">
      <w:pPr>
        <w:pStyle w:val="CETCaption"/>
        <w:spacing w:before="0" w:after="0"/>
        <w:rPr>
          <w:i w:val="0"/>
          <w:szCs w:val="18"/>
        </w:rPr>
      </w:pPr>
      <w:r w:rsidRPr="008D3355">
        <w:rPr>
          <w:i w:val="0"/>
          <w:szCs w:val="18"/>
        </w:rPr>
        <w:t>The two most remarkable spectral modes of the Raman spectra are the G peak at about 1600 cm</w:t>
      </w:r>
      <w:r w:rsidRPr="008D3355">
        <w:rPr>
          <w:i w:val="0"/>
          <w:szCs w:val="18"/>
          <w:vertAlign w:val="superscript"/>
        </w:rPr>
        <w:t>-1</w:t>
      </w:r>
      <w:r w:rsidRPr="008D3355">
        <w:rPr>
          <w:i w:val="0"/>
          <w:szCs w:val="18"/>
        </w:rPr>
        <w:t xml:space="preserve"> and the D peak at about 1350 cm</w:t>
      </w:r>
      <w:r w:rsidRPr="008D3355">
        <w:rPr>
          <w:i w:val="0"/>
          <w:szCs w:val="18"/>
          <w:vertAlign w:val="superscript"/>
        </w:rPr>
        <w:t>-1</w:t>
      </w:r>
      <w:r w:rsidRPr="008D3355">
        <w:rPr>
          <w:i w:val="0"/>
          <w:szCs w:val="18"/>
        </w:rPr>
        <w:t xml:space="preserve">. An accurate analysis of Raman spectra by means of a systematic procedure is necessary to derive meaningful spectral parameters for carbonaceous material characterization. The deconvolution procedure and the peak attribution adopted in this work were already described in a previous </w:t>
      </w:r>
      <w:r>
        <w:rPr>
          <w:i w:val="0"/>
          <w:szCs w:val="18"/>
        </w:rPr>
        <w:t xml:space="preserve">study (Russo and </w:t>
      </w:r>
      <w:proofErr w:type="spellStart"/>
      <w:r>
        <w:rPr>
          <w:i w:val="0"/>
          <w:szCs w:val="18"/>
        </w:rPr>
        <w:t>Ciajolo</w:t>
      </w:r>
      <w:proofErr w:type="spellEnd"/>
      <w:r>
        <w:rPr>
          <w:i w:val="0"/>
          <w:szCs w:val="18"/>
        </w:rPr>
        <w:t>, 2015)</w:t>
      </w:r>
      <w:r w:rsidRPr="008D3355">
        <w:rPr>
          <w:i w:val="0"/>
          <w:szCs w:val="18"/>
        </w:rPr>
        <w:t xml:space="preserve">. The ratio of the D to the G peak intensity, I(D)/I(G), reported in Table </w:t>
      </w:r>
      <w:r>
        <w:rPr>
          <w:i w:val="0"/>
          <w:szCs w:val="18"/>
        </w:rPr>
        <w:t>2</w:t>
      </w:r>
      <w:r w:rsidRPr="008D3355">
        <w:rPr>
          <w:i w:val="0"/>
          <w:szCs w:val="18"/>
        </w:rPr>
        <w:t xml:space="preserve">, is often used to trace carbonaceous material order/disorder. </w:t>
      </w:r>
    </w:p>
    <w:p w:rsidR="00212DD1" w:rsidRPr="006002FD" w:rsidRDefault="00212DD1" w:rsidP="00212DD1">
      <w:pPr>
        <w:pStyle w:val="CETTabletitle"/>
        <w:rPr>
          <w:szCs w:val="18"/>
        </w:rPr>
      </w:pPr>
      <w:r w:rsidRPr="008D3355">
        <w:rPr>
          <w:szCs w:val="18"/>
        </w:rPr>
        <w:t xml:space="preserve">Table </w:t>
      </w:r>
      <w:r>
        <w:rPr>
          <w:szCs w:val="18"/>
        </w:rPr>
        <w:t>2</w:t>
      </w:r>
      <w:r w:rsidRPr="008D3355">
        <w:rPr>
          <w:szCs w:val="18"/>
        </w:rPr>
        <w:t xml:space="preserve">: </w:t>
      </w:r>
      <w:r w:rsidRPr="006002FD">
        <w:rPr>
          <w:szCs w:val="18"/>
        </w:rPr>
        <w:t xml:space="preserve">I(D)/I(G) ratio and FWHM (D) of NP-AC 1000°C </w:t>
      </w:r>
      <w:r>
        <w:rPr>
          <w:szCs w:val="18"/>
        </w:rPr>
        <w:t xml:space="preserve">and </w:t>
      </w:r>
      <w:r w:rsidRPr="006002FD">
        <w:rPr>
          <w:szCs w:val="18"/>
        </w:rPr>
        <w:t xml:space="preserve">NP-HSR 1800°C </w:t>
      </w:r>
      <w:r>
        <w:rPr>
          <w:szCs w:val="18"/>
        </w:rPr>
        <w:t xml:space="preserve"> </w:t>
      </w:r>
      <w:r w:rsidRPr="006002FD">
        <w:rPr>
          <w:szCs w:val="18"/>
        </w:rPr>
        <w:t>as derived from Raman spectrum deconvolution.</w:t>
      </w:r>
    </w:p>
    <w:tbl>
      <w:tblPr>
        <w:tblW w:w="0" w:type="auto"/>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1418"/>
        <w:gridCol w:w="1102"/>
        <w:gridCol w:w="1449"/>
      </w:tblGrid>
      <w:tr w:rsidR="00212DD1" w:rsidRPr="008D3355" w:rsidTr="00903254">
        <w:tc>
          <w:tcPr>
            <w:tcW w:w="1418" w:type="dxa"/>
            <w:tcBorders>
              <w:top w:val="single" w:sz="12" w:space="0" w:color="008000"/>
              <w:bottom w:val="single" w:sz="6" w:space="0" w:color="008000"/>
            </w:tcBorders>
            <w:shd w:val="clear" w:color="auto" w:fill="FFFFFF"/>
          </w:tcPr>
          <w:p w:rsidR="00212DD1" w:rsidRPr="008D3355" w:rsidRDefault="00212DD1" w:rsidP="00903254">
            <w:pPr>
              <w:rPr>
                <w:szCs w:val="18"/>
              </w:rPr>
            </w:pPr>
            <w:r>
              <w:rPr>
                <w:szCs w:val="18"/>
              </w:rPr>
              <w:t>Sample</w:t>
            </w:r>
          </w:p>
        </w:tc>
        <w:tc>
          <w:tcPr>
            <w:tcW w:w="1102" w:type="dxa"/>
            <w:tcBorders>
              <w:top w:val="single" w:sz="12" w:space="0" w:color="008000"/>
              <w:bottom w:val="single" w:sz="6" w:space="0" w:color="008000"/>
            </w:tcBorders>
            <w:shd w:val="clear" w:color="auto" w:fill="FFFFFF"/>
          </w:tcPr>
          <w:p w:rsidR="00212DD1" w:rsidRPr="006002FD" w:rsidRDefault="00212DD1" w:rsidP="00903254">
            <w:pPr>
              <w:rPr>
                <w:szCs w:val="18"/>
              </w:rPr>
            </w:pPr>
            <w:r w:rsidRPr="006002FD">
              <w:rPr>
                <w:szCs w:val="18"/>
              </w:rPr>
              <w:t>I(D)/I(G) ratio</w:t>
            </w:r>
          </w:p>
        </w:tc>
        <w:tc>
          <w:tcPr>
            <w:tcW w:w="1449" w:type="dxa"/>
            <w:tcBorders>
              <w:top w:val="single" w:sz="12" w:space="0" w:color="008000"/>
              <w:bottom w:val="single" w:sz="6" w:space="0" w:color="008000"/>
            </w:tcBorders>
            <w:shd w:val="clear" w:color="auto" w:fill="FFFFFF"/>
          </w:tcPr>
          <w:p w:rsidR="00212DD1" w:rsidRPr="00823688" w:rsidRDefault="00212DD1" w:rsidP="00903254">
            <w:pPr>
              <w:rPr>
                <w:szCs w:val="18"/>
              </w:rPr>
            </w:pPr>
            <w:r w:rsidRPr="00823688">
              <w:rPr>
                <w:szCs w:val="18"/>
              </w:rPr>
              <w:t>FWHM (D)</w:t>
            </w:r>
            <w:r>
              <w:rPr>
                <w:szCs w:val="18"/>
              </w:rPr>
              <w:t>, cm</w:t>
            </w:r>
            <w:r w:rsidRPr="004E7F69">
              <w:rPr>
                <w:szCs w:val="18"/>
                <w:vertAlign w:val="superscript"/>
              </w:rPr>
              <w:t>-1</w:t>
            </w:r>
          </w:p>
        </w:tc>
      </w:tr>
      <w:tr w:rsidR="00212DD1" w:rsidRPr="008D3355" w:rsidTr="00903254">
        <w:tc>
          <w:tcPr>
            <w:tcW w:w="1418" w:type="dxa"/>
            <w:shd w:val="clear" w:color="auto" w:fill="FFFFFF"/>
          </w:tcPr>
          <w:p w:rsidR="00212DD1" w:rsidRPr="00823688" w:rsidRDefault="00212DD1" w:rsidP="00903254">
            <w:pPr>
              <w:rPr>
                <w:szCs w:val="18"/>
              </w:rPr>
            </w:pPr>
            <w:r w:rsidRPr="00823688">
              <w:rPr>
                <w:szCs w:val="18"/>
              </w:rPr>
              <w:t>NP-AC 1000°C</w:t>
            </w:r>
          </w:p>
        </w:tc>
        <w:tc>
          <w:tcPr>
            <w:tcW w:w="1102" w:type="dxa"/>
            <w:shd w:val="clear" w:color="auto" w:fill="FFFFFF"/>
          </w:tcPr>
          <w:p w:rsidR="00212DD1" w:rsidRPr="008D3355" w:rsidRDefault="00212DD1" w:rsidP="00903254">
            <w:pPr>
              <w:rPr>
                <w:szCs w:val="18"/>
              </w:rPr>
            </w:pPr>
            <w:r>
              <w:rPr>
                <w:szCs w:val="18"/>
              </w:rPr>
              <w:t>0.96</w:t>
            </w:r>
          </w:p>
        </w:tc>
        <w:tc>
          <w:tcPr>
            <w:tcW w:w="1449" w:type="dxa"/>
            <w:shd w:val="clear" w:color="auto" w:fill="FFFFFF"/>
          </w:tcPr>
          <w:p w:rsidR="00212DD1" w:rsidRPr="008D3355" w:rsidRDefault="00212DD1" w:rsidP="00903254">
            <w:pPr>
              <w:rPr>
                <w:szCs w:val="18"/>
              </w:rPr>
            </w:pPr>
            <w:r>
              <w:rPr>
                <w:szCs w:val="18"/>
              </w:rPr>
              <w:t>137.9</w:t>
            </w:r>
          </w:p>
        </w:tc>
      </w:tr>
      <w:tr w:rsidR="00212DD1" w:rsidRPr="008D3355" w:rsidTr="00903254">
        <w:tc>
          <w:tcPr>
            <w:tcW w:w="1418" w:type="dxa"/>
            <w:tcBorders>
              <w:bottom w:val="single" w:sz="12" w:space="0" w:color="008000"/>
            </w:tcBorders>
            <w:shd w:val="clear" w:color="auto" w:fill="FFFFFF"/>
          </w:tcPr>
          <w:p w:rsidR="00212DD1" w:rsidRPr="008D3355" w:rsidRDefault="00212DD1" w:rsidP="00903254">
            <w:pPr>
              <w:rPr>
                <w:szCs w:val="18"/>
              </w:rPr>
            </w:pPr>
            <w:r w:rsidRPr="006002FD">
              <w:rPr>
                <w:szCs w:val="18"/>
              </w:rPr>
              <w:t>NP-HSR 1800°C</w:t>
            </w:r>
          </w:p>
        </w:tc>
        <w:tc>
          <w:tcPr>
            <w:tcW w:w="1102" w:type="dxa"/>
            <w:tcBorders>
              <w:bottom w:val="single" w:sz="12" w:space="0" w:color="008000"/>
            </w:tcBorders>
            <w:shd w:val="clear" w:color="auto" w:fill="FFFFFF"/>
          </w:tcPr>
          <w:p w:rsidR="00212DD1" w:rsidRPr="008D3355" w:rsidRDefault="00212DD1" w:rsidP="00903254">
            <w:pPr>
              <w:rPr>
                <w:szCs w:val="18"/>
              </w:rPr>
            </w:pPr>
            <w:r>
              <w:rPr>
                <w:szCs w:val="18"/>
              </w:rPr>
              <w:t>1.02</w:t>
            </w:r>
          </w:p>
        </w:tc>
        <w:tc>
          <w:tcPr>
            <w:tcW w:w="1449" w:type="dxa"/>
            <w:tcBorders>
              <w:bottom w:val="single" w:sz="12" w:space="0" w:color="008000"/>
            </w:tcBorders>
            <w:shd w:val="clear" w:color="auto" w:fill="FFFFFF"/>
          </w:tcPr>
          <w:p w:rsidR="00212DD1" w:rsidRPr="008D3355" w:rsidRDefault="00212DD1" w:rsidP="00903254">
            <w:pPr>
              <w:rPr>
                <w:szCs w:val="18"/>
              </w:rPr>
            </w:pPr>
            <w:r>
              <w:rPr>
                <w:szCs w:val="18"/>
              </w:rPr>
              <w:t>79.1</w:t>
            </w:r>
          </w:p>
        </w:tc>
      </w:tr>
    </w:tbl>
    <w:p w:rsidR="00212DD1" w:rsidRPr="008D3355" w:rsidRDefault="00212DD1" w:rsidP="00212DD1">
      <w:pPr>
        <w:pStyle w:val="CETBodytext"/>
        <w:rPr>
          <w:szCs w:val="18"/>
        </w:rPr>
      </w:pPr>
    </w:p>
    <w:p w:rsidR="00212DD1" w:rsidRDefault="00212DD1" w:rsidP="00212DD1">
      <w:pPr>
        <w:pStyle w:val="CETCaption"/>
        <w:spacing w:before="0" w:after="0"/>
        <w:rPr>
          <w:i w:val="0"/>
          <w:iCs/>
          <w:szCs w:val="18"/>
        </w:rPr>
      </w:pPr>
      <w:r w:rsidRPr="008D3355">
        <w:rPr>
          <w:i w:val="0"/>
          <w:szCs w:val="18"/>
        </w:rPr>
        <w:t xml:space="preserve">However, </w:t>
      </w:r>
      <w:r>
        <w:rPr>
          <w:i w:val="0"/>
          <w:szCs w:val="18"/>
        </w:rPr>
        <w:t>i</w:t>
      </w:r>
      <w:r w:rsidRPr="008D3355">
        <w:rPr>
          <w:i w:val="0"/>
          <w:szCs w:val="18"/>
        </w:rPr>
        <w:t>n their pione</w:t>
      </w:r>
      <w:r>
        <w:rPr>
          <w:i w:val="0"/>
          <w:szCs w:val="18"/>
        </w:rPr>
        <w:t xml:space="preserve">ering work </w:t>
      </w:r>
      <w:proofErr w:type="spellStart"/>
      <w:r>
        <w:rPr>
          <w:i w:val="0"/>
          <w:szCs w:val="18"/>
        </w:rPr>
        <w:t>Tuinstra</w:t>
      </w:r>
      <w:proofErr w:type="spellEnd"/>
      <w:r>
        <w:rPr>
          <w:i w:val="0"/>
          <w:szCs w:val="18"/>
        </w:rPr>
        <w:t xml:space="preserve"> and Koenig (1970)</w:t>
      </w:r>
      <w:r w:rsidRPr="008D3355">
        <w:rPr>
          <w:i w:val="0"/>
          <w:szCs w:val="18"/>
        </w:rPr>
        <w:t xml:space="preserve"> showed that I(D)/I(G) varied inversely with La. </w:t>
      </w:r>
      <w:r>
        <w:rPr>
          <w:i w:val="0"/>
          <w:szCs w:val="18"/>
        </w:rPr>
        <w:t>Ferrari and Robertson (2000)</w:t>
      </w:r>
      <w:r w:rsidRPr="008D3355">
        <w:rPr>
          <w:i w:val="0"/>
          <w:szCs w:val="18"/>
        </w:rPr>
        <w:t xml:space="preserve"> found that the relationship found by </w:t>
      </w:r>
      <w:proofErr w:type="spellStart"/>
      <w:r w:rsidRPr="008D3355">
        <w:rPr>
          <w:i w:val="0"/>
          <w:szCs w:val="18"/>
        </w:rPr>
        <w:t>Tuinstra</w:t>
      </w:r>
      <w:proofErr w:type="spellEnd"/>
      <w:r w:rsidRPr="008D3355">
        <w:rPr>
          <w:i w:val="0"/>
          <w:szCs w:val="18"/>
        </w:rPr>
        <w:t xml:space="preserve">-Koenig equation is no longer valid for small crystallites (La &lt; ~2 nm) and showed that in such case the D band intensity is proportional to the area of the aromatic domains. Thus in a narrow La range, </w:t>
      </w:r>
      <w:proofErr w:type="spellStart"/>
      <w:r w:rsidRPr="008D3355">
        <w:rPr>
          <w:i w:val="0"/>
          <w:szCs w:val="18"/>
        </w:rPr>
        <w:t>centered</w:t>
      </w:r>
      <w:proofErr w:type="spellEnd"/>
      <w:r w:rsidRPr="008D3355">
        <w:rPr>
          <w:i w:val="0"/>
          <w:szCs w:val="18"/>
        </w:rPr>
        <w:t xml:space="preserve"> around 2 nm, the same I(D)/I(G) ratio corresponds to two different La values. Nevertheless, to</w:t>
      </w:r>
      <w:r w:rsidRPr="008D3355">
        <w:rPr>
          <w:szCs w:val="18"/>
        </w:rPr>
        <w:t xml:space="preserve"> </w:t>
      </w:r>
      <w:r w:rsidRPr="008D3355">
        <w:rPr>
          <w:i w:val="0"/>
          <w:szCs w:val="18"/>
        </w:rPr>
        <w:t>overcome this ambiguity and to probe the graphitization/carbonization process by Raman spectroscopy, the full width at half maximum of the D band (FWHM(D)) is often chosen as a more meaning</w:t>
      </w:r>
      <w:r>
        <w:rPr>
          <w:i w:val="0"/>
          <w:szCs w:val="18"/>
        </w:rPr>
        <w:t>ful structural order parameter (</w:t>
      </w:r>
      <w:proofErr w:type="spellStart"/>
      <w:r>
        <w:rPr>
          <w:i w:val="0"/>
          <w:szCs w:val="18"/>
        </w:rPr>
        <w:t>Vallerot</w:t>
      </w:r>
      <w:proofErr w:type="spellEnd"/>
      <w:r>
        <w:rPr>
          <w:i w:val="0"/>
          <w:szCs w:val="18"/>
        </w:rPr>
        <w:t xml:space="preserve"> et al., 2006)</w:t>
      </w:r>
      <w:r w:rsidRPr="008D3355">
        <w:rPr>
          <w:i w:val="0"/>
          <w:szCs w:val="18"/>
        </w:rPr>
        <w:t>: FWHM(D) decreases as the structural order increases.</w:t>
      </w:r>
      <w:r w:rsidR="00CB3B0B">
        <w:rPr>
          <w:i w:val="0"/>
          <w:szCs w:val="18"/>
        </w:rPr>
        <w:t xml:space="preserve"> </w:t>
      </w:r>
      <w:r w:rsidRPr="006002FD">
        <w:rPr>
          <w:i w:val="0"/>
          <w:iCs/>
          <w:szCs w:val="18"/>
        </w:rPr>
        <w:t>NP-AC 1000°C</w:t>
      </w:r>
      <w:r w:rsidRPr="008D3355">
        <w:rPr>
          <w:i w:val="0"/>
          <w:szCs w:val="18"/>
        </w:rPr>
        <w:t xml:space="preserve"> </w:t>
      </w:r>
      <w:r>
        <w:rPr>
          <w:i w:val="0"/>
          <w:szCs w:val="18"/>
        </w:rPr>
        <w:t>is</w:t>
      </w:r>
      <w:r w:rsidRPr="008D3355">
        <w:rPr>
          <w:i w:val="0"/>
          <w:szCs w:val="18"/>
        </w:rPr>
        <w:t xml:space="preserve"> characterized by a FWHM (D) around </w:t>
      </w:r>
      <w:r>
        <w:rPr>
          <w:i w:val="0"/>
          <w:szCs w:val="18"/>
        </w:rPr>
        <w:t>140</w:t>
      </w:r>
      <w:r w:rsidRPr="008D3355">
        <w:rPr>
          <w:i w:val="0"/>
          <w:szCs w:val="18"/>
        </w:rPr>
        <w:t>cm</w:t>
      </w:r>
      <w:r w:rsidRPr="006002FD">
        <w:rPr>
          <w:i w:val="0"/>
          <w:szCs w:val="18"/>
          <w:vertAlign w:val="superscript"/>
        </w:rPr>
        <w:t>-1</w:t>
      </w:r>
      <w:r>
        <w:rPr>
          <w:i w:val="0"/>
          <w:szCs w:val="18"/>
        </w:rPr>
        <w:t xml:space="preserve">much broader in comparison to that of </w:t>
      </w:r>
      <w:r w:rsidRPr="006002FD">
        <w:rPr>
          <w:i w:val="0"/>
          <w:szCs w:val="18"/>
        </w:rPr>
        <w:t xml:space="preserve">NP-HSR 1800°C </w:t>
      </w:r>
      <w:r>
        <w:rPr>
          <w:i w:val="0"/>
          <w:szCs w:val="18"/>
        </w:rPr>
        <w:t xml:space="preserve">whose </w:t>
      </w:r>
      <w:r w:rsidRPr="008D3355">
        <w:rPr>
          <w:i w:val="0"/>
          <w:szCs w:val="18"/>
        </w:rPr>
        <w:t>Raman</w:t>
      </w:r>
      <w:r>
        <w:rPr>
          <w:i w:val="0"/>
          <w:szCs w:val="18"/>
        </w:rPr>
        <w:t xml:space="preserve"> spectrum presents also a well-structured second order</w:t>
      </w:r>
      <w:r w:rsidR="00CB3B0B">
        <w:rPr>
          <w:i w:val="0"/>
          <w:szCs w:val="18"/>
        </w:rPr>
        <w:t xml:space="preserve"> </w:t>
      </w:r>
      <w:r>
        <w:rPr>
          <w:i w:val="0"/>
          <w:szCs w:val="18"/>
        </w:rPr>
        <w:t xml:space="preserve">The Raman features indicate a higher structural order reached by </w:t>
      </w:r>
      <w:r w:rsidRPr="006002FD">
        <w:rPr>
          <w:i w:val="0"/>
          <w:szCs w:val="18"/>
        </w:rPr>
        <w:t>NP-HSR 1800°C</w:t>
      </w:r>
      <w:r>
        <w:rPr>
          <w:i w:val="0"/>
          <w:szCs w:val="18"/>
        </w:rPr>
        <w:t xml:space="preserve"> with respect to </w:t>
      </w:r>
      <w:r w:rsidRPr="006002FD">
        <w:rPr>
          <w:i w:val="0"/>
          <w:iCs/>
          <w:szCs w:val="18"/>
        </w:rPr>
        <w:t>NP-AC 1000°C</w:t>
      </w:r>
      <w:r>
        <w:rPr>
          <w:i w:val="0"/>
          <w:iCs/>
          <w:szCs w:val="18"/>
        </w:rPr>
        <w:t>.</w:t>
      </w:r>
    </w:p>
    <w:p w:rsidR="00212DD1" w:rsidRDefault="00212DD1" w:rsidP="00212DD1">
      <w:pPr>
        <w:pStyle w:val="CETCaption"/>
      </w:pPr>
      <w:r>
        <w:rPr>
          <w:noProof/>
          <w:lang w:val="it-IT" w:eastAsia="it-IT"/>
        </w:rPr>
        <w:lastRenderedPageBreak/>
        <w:drawing>
          <wp:inline distT="0" distB="0" distL="0" distR="0">
            <wp:extent cx="3817620" cy="258318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9600"/>
                    <a:stretch/>
                  </pic:blipFill>
                  <pic:spPr bwMode="auto">
                    <a:xfrm>
                      <a:off x="0" y="0"/>
                      <a:ext cx="3817620" cy="2583180"/>
                    </a:xfrm>
                    <a:prstGeom prst="rect">
                      <a:avLst/>
                    </a:prstGeom>
                    <a:noFill/>
                    <a:ln>
                      <a:noFill/>
                    </a:ln>
                    <a:extLst>
                      <a:ext uri="{53640926-AAD7-44D8-BBD7-CCE9431645EC}">
                        <a14:shadowObscured xmlns:a14="http://schemas.microsoft.com/office/drawing/2010/main"/>
                      </a:ext>
                    </a:extLst>
                  </pic:spPr>
                </pic:pic>
              </a:graphicData>
            </a:graphic>
          </wp:inline>
        </w:drawing>
      </w:r>
    </w:p>
    <w:p w:rsidR="00212DD1" w:rsidRPr="008D3355" w:rsidRDefault="00212DD1" w:rsidP="00212DD1">
      <w:pPr>
        <w:pStyle w:val="CETCaption"/>
        <w:rPr>
          <w:szCs w:val="18"/>
        </w:rPr>
      </w:pPr>
      <w:r w:rsidRPr="008D3355">
        <w:rPr>
          <w:szCs w:val="18"/>
        </w:rPr>
        <w:t>Figure 4: Normalized intensity Raman spectra of NP treated in AC at 1000°C and in HSR at 1800°C.</w:t>
      </w:r>
    </w:p>
    <w:p w:rsidR="00212DD1" w:rsidRDefault="00212DD1" w:rsidP="00212DD1">
      <w:pPr>
        <w:pStyle w:val="CETBodytext"/>
        <w:rPr>
          <w:szCs w:val="18"/>
          <w:lang w:val="en-GB"/>
        </w:rPr>
      </w:pPr>
      <w:r>
        <w:rPr>
          <w:szCs w:val="18"/>
          <w:lang w:val="en-GB"/>
        </w:rPr>
        <w:t xml:space="preserve">In order to test the two materials for the use of </w:t>
      </w:r>
      <w:r w:rsidRPr="008D3355">
        <w:rPr>
          <w:szCs w:val="18"/>
          <w:lang w:val="en-GB"/>
        </w:rPr>
        <w:t>electrodes</w:t>
      </w:r>
      <w:r>
        <w:rPr>
          <w:szCs w:val="18"/>
          <w:lang w:val="en-GB"/>
        </w:rPr>
        <w:t xml:space="preserve"> preparation for energy storage, it is mandatory to verify their capability of forming stable suspensions in organic solvents (Di </w:t>
      </w:r>
      <w:proofErr w:type="spellStart"/>
      <w:r>
        <w:rPr>
          <w:szCs w:val="18"/>
          <w:lang w:val="en-GB"/>
        </w:rPr>
        <w:t>Blasi</w:t>
      </w:r>
      <w:proofErr w:type="spellEnd"/>
      <w:r>
        <w:rPr>
          <w:szCs w:val="18"/>
          <w:lang w:val="en-GB"/>
        </w:rPr>
        <w:t xml:space="preserve"> et al., 2015). </w:t>
      </w:r>
    </w:p>
    <w:p w:rsidR="00212DD1" w:rsidRPr="008D3355" w:rsidRDefault="00212DD1" w:rsidP="00212DD1">
      <w:pPr>
        <w:pStyle w:val="CETBodytext"/>
        <w:rPr>
          <w:szCs w:val="18"/>
          <w:lang w:val="en-GB"/>
        </w:rPr>
      </w:pPr>
      <w:r>
        <w:rPr>
          <w:szCs w:val="18"/>
          <w:lang w:val="en-GB"/>
        </w:rPr>
        <w:t xml:space="preserve">Preliminary tests revealed that only the </w:t>
      </w:r>
      <w:r w:rsidRPr="006002FD">
        <w:rPr>
          <w:szCs w:val="18"/>
        </w:rPr>
        <w:t>NP-HSR 1800°C</w:t>
      </w:r>
      <w:r>
        <w:rPr>
          <w:szCs w:val="18"/>
        </w:rPr>
        <w:t xml:space="preserve"> was well dispersed in isopropanol, which is the solvent commonly used in electrodes preparation </w:t>
      </w:r>
      <w:r>
        <w:rPr>
          <w:szCs w:val="18"/>
          <w:lang w:val="en-GB"/>
        </w:rPr>
        <w:t xml:space="preserve">(Di </w:t>
      </w:r>
      <w:proofErr w:type="spellStart"/>
      <w:r>
        <w:rPr>
          <w:szCs w:val="18"/>
          <w:lang w:val="en-GB"/>
        </w:rPr>
        <w:t>Blasi</w:t>
      </w:r>
      <w:proofErr w:type="spellEnd"/>
      <w:r>
        <w:rPr>
          <w:szCs w:val="18"/>
          <w:lang w:val="en-GB"/>
        </w:rPr>
        <w:t xml:space="preserve"> et al., 2015)</w:t>
      </w:r>
      <w:r>
        <w:rPr>
          <w:szCs w:val="18"/>
        </w:rPr>
        <w:t xml:space="preserve">. Work in progress regards the test of </w:t>
      </w:r>
      <w:r w:rsidRPr="006002FD">
        <w:rPr>
          <w:szCs w:val="18"/>
        </w:rPr>
        <w:t>NP-HSR 1800°C</w:t>
      </w:r>
      <w:r>
        <w:rPr>
          <w:szCs w:val="18"/>
        </w:rPr>
        <w:t xml:space="preserve"> performance after its deposition on electrodes through isopropanol dispersion and also the trial of other organic solvents for dispersing </w:t>
      </w:r>
      <w:r w:rsidRPr="00A92867">
        <w:rPr>
          <w:szCs w:val="18"/>
          <w:lang w:val="en-GB"/>
        </w:rPr>
        <w:t>NP-AC 1000°C</w:t>
      </w:r>
      <w:r>
        <w:rPr>
          <w:szCs w:val="18"/>
          <w:lang w:val="en-GB"/>
        </w:rPr>
        <w:t>.</w:t>
      </w:r>
      <w:r w:rsidRPr="00A92867">
        <w:rPr>
          <w:szCs w:val="18"/>
        </w:rPr>
        <w:t xml:space="preserve"> </w:t>
      </w:r>
    </w:p>
    <w:p w:rsidR="00212DD1" w:rsidRPr="00B57B36" w:rsidRDefault="00212DD1" w:rsidP="00212DD1">
      <w:pPr>
        <w:pStyle w:val="CETHeading1"/>
        <w:rPr>
          <w:lang w:val="en-GB"/>
        </w:rPr>
      </w:pPr>
      <w:r w:rsidRPr="00B57B36">
        <w:rPr>
          <w:lang w:val="en-GB"/>
        </w:rPr>
        <w:t>Conclusions</w:t>
      </w:r>
    </w:p>
    <w:p w:rsidR="00212DD1" w:rsidRPr="008D3355" w:rsidRDefault="00212DD1" w:rsidP="00212DD1">
      <w:pPr>
        <w:pStyle w:val="CETBodytext"/>
        <w:rPr>
          <w:szCs w:val="18"/>
          <w:lang w:val="en-GB"/>
        </w:rPr>
      </w:pPr>
      <w:r>
        <w:rPr>
          <w:szCs w:val="18"/>
          <w:lang w:val="en-GB"/>
        </w:rPr>
        <w:t>In the present work two annealing processes, in mild conditions, have been performed to improve the structural order and therefore the technological interest of an amorphous carbon, the naphthalene pitch. It was found that the temperature and the annealing times are important to address morphological, structural and mechanical properties of the obtained materials. A temperature of 1800°C is necessary for carbonizing in a very short time (3 sec) the material, obtaining a spongy, porous and fragile material (</w:t>
      </w:r>
      <w:r w:rsidRPr="006002FD">
        <w:rPr>
          <w:szCs w:val="18"/>
        </w:rPr>
        <w:t>NP-HSR 1800°C</w:t>
      </w:r>
      <w:r>
        <w:rPr>
          <w:szCs w:val="18"/>
        </w:rPr>
        <w:t>)</w:t>
      </w:r>
      <w:r>
        <w:rPr>
          <w:szCs w:val="18"/>
          <w:lang w:val="en-GB"/>
        </w:rPr>
        <w:t xml:space="preserve">, easily prone to be milled and dispersed in organic solvents for deposition on electrodes and electrochemical application. It appears also to be more reactive, due to its high superficial area, but instead presents a higher degree of </w:t>
      </w:r>
      <w:proofErr w:type="spellStart"/>
      <w:r>
        <w:rPr>
          <w:szCs w:val="18"/>
          <w:lang w:val="en-GB"/>
        </w:rPr>
        <w:t>nanostructural</w:t>
      </w:r>
      <w:proofErr w:type="spellEnd"/>
      <w:r>
        <w:rPr>
          <w:szCs w:val="18"/>
          <w:lang w:val="en-GB"/>
        </w:rPr>
        <w:t xml:space="preserve"> order with respect to the material obtained in furnace. In furnace, it is possible to use lower temperature for carbonization occurring (1000°C) but much longer times are necessary (3 hours) and a material much harder is obtained (</w:t>
      </w:r>
      <w:r w:rsidRPr="00A92867">
        <w:rPr>
          <w:szCs w:val="18"/>
          <w:lang w:val="en-GB"/>
        </w:rPr>
        <w:t>NP-AC 1000°C</w:t>
      </w:r>
      <w:r>
        <w:rPr>
          <w:szCs w:val="18"/>
          <w:lang w:val="en-GB"/>
        </w:rPr>
        <w:t>), difficult to be milled and dispersed in solvents. Work in progress regards the test of mechanical properties of the material produced in furnace for exploring its possible applications.</w:t>
      </w:r>
    </w:p>
    <w:p w:rsidR="00212DD1" w:rsidRPr="00CB3B0B" w:rsidRDefault="00212DD1" w:rsidP="00CB3B0B">
      <w:pPr>
        <w:pStyle w:val="CETAcknowledgementstitle"/>
      </w:pPr>
      <w:r w:rsidRPr="00CB3B0B">
        <w:t>Acknowledgments</w:t>
      </w:r>
    </w:p>
    <w:p w:rsidR="00212DD1" w:rsidRDefault="00212DD1" w:rsidP="00CB3B0B">
      <w:pPr>
        <w:pStyle w:val="CETBodytext"/>
        <w:rPr>
          <w:b/>
          <w:lang w:eastAsia="it-IT"/>
        </w:rPr>
      </w:pPr>
      <w:r w:rsidRPr="006B6F17">
        <w:rPr>
          <w:lang w:eastAsia="it-IT"/>
        </w:rPr>
        <w:t xml:space="preserve">Authors acknowledge the financial </w:t>
      </w:r>
      <w:proofErr w:type="spellStart"/>
      <w:r w:rsidRPr="006B6F17">
        <w:rPr>
          <w:lang w:eastAsia="it-IT"/>
        </w:rPr>
        <w:t>support</w:t>
      </w:r>
      <w:proofErr w:type="spellEnd"/>
      <w:r w:rsidRPr="006B6F17">
        <w:rPr>
          <w:lang w:eastAsia="it-IT"/>
        </w:rPr>
        <w:t xml:space="preserve"> from “Ministero dello Sviluppo Economico – Accordo di Programma </w:t>
      </w:r>
      <w:r w:rsidRPr="004E7F69">
        <w:rPr>
          <w:lang w:eastAsia="it-IT"/>
        </w:rPr>
        <w:t xml:space="preserve">MSE-CNR per la Ricerca </w:t>
      </w:r>
      <w:r>
        <w:rPr>
          <w:lang w:eastAsia="it-IT"/>
        </w:rPr>
        <w:t>del Sistema Elettrico Nazionale 2015-2017</w:t>
      </w:r>
      <w:r w:rsidRPr="004E7F69">
        <w:rPr>
          <w:lang w:eastAsia="it-IT"/>
        </w:rPr>
        <w:t>”.</w:t>
      </w:r>
    </w:p>
    <w:p w:rsidR="00212DD1" w:rsidRPr="0065353B" w:rsidRDefault="00212DD1" w:rsidP="00CB3B0B">
      <w:pPr>
        <w:pStyle w:val="CETBodytext"/>
        <w:rPr>
          <w:b/>
          <w:lang w:eastAsia="it-IT"/>
        </w:rPr>
      </w:pPr>
      <w:r w:rsidRPr="0065353B">
        <w:rPr>
          <w:lang w:eastAsia="it-IT"/>
        </w:rPr>
        <w:t xml:space="preserve">Luciano </w:t>
      </w:r>
      <w:proofErr w:type="spellStart"/>
      <w:r w:rsidRPr="0065353B">
        <w:rPr>
          <w:lang w:eastAsia="it-IT"/>
        </w:rPr>
        <w:t>Cortese</w:t>
      </w:r>
      <w:proofErr w:type="spellEnd"/>
      <w:r w:rsidRPr="0065353B">
        <w:rPr>
          <w:lang w:eastAsia="it-IT"/>
        </w:rPr>
        <w:t xml:space="preserve"> (IRC-CNR) is acknowledged for SEM images.</w:t>
      </w:r>
    </w:p>
    <w:p w:rsidR="00212DD1" w:rsidRPr="006B6F17" w:rsidRDefault="00212DD1" w:rsidP="00212DD1">
      <w:pPr>
        <w:pStyle w:val="CETReference"/>
        <w:rPr>
          <w:lang w:val="en-US"/>
        </w:rPr>
      </w:pPr>
      <w:r w:rsidRPr="006B6F17">
        <w:rPr>
          <w:lang w:val="en-US"/>
        </w:rPr>
        <w:t>References</w:t>
      </w:r>
    </w:p>
    <w:p w:rsidR="00212DD1" w:rsidRPr="00FC462A" w:rsidRDefault="00212DD1" w:rsidP="00CB3B0B">
      <w:pPr>
        <w:pStyle w:val="CETReferencetext"/>
      </w:pPr>
      <w:proofErr w:type="spellStart"/>
      <w:r>
        <w:t>Apicella</w:t>
      </w:r>
      <w:proofErr w:type="spellEnd"/>
      <w:r>
        <w:t xml:space="preserve"> B., </w:t>
      </w:r>
      <w:proofErr w:type="spellStart"/>
      <w:r>
        <w:t>Tregrossi</w:t>
      </w:r>
      <w:proofErr w:type="spellEnd"/>
      <w:r w:rsidRPr="00FC462A">
        <w:t xml:space="preserve"> A., </w:t>
      </w:r>
      <w:proofErr w:type="spellStart"/>
      <w:r w:rsidRPr="00FC462A">
        <w:t>Stazi</w:t>
      </w:r>
      <w:r>
        <w:t>one</w:t>
      </w:r>
      <w:proofErr w:type="spellEnd"/>
      <w:r>
        <w:t xml:space="preserve"> F., </w:t>
      </w:r>
      <w:proofErr w:type="spellStart"/>
      <w:r>
        <w:t>Ciajolo</w:t>
      </w:r>
      <w:proofErr w:type="spellEnd"/>
      <w:r>
        <w:t xml:space="preserve"> A., Russo C., </w:t>
      </w:r>
      <w:r w:rsidRPr="00FC462A">
        <w:t>2017</w:t>
      </w:r>
      <w:r>
        <w:t xml:space="preserve">a, </w:t>
      </w:r>
      <w:r w:rsidRPr="00FC462A">
        <w:t>Analysis of petroleum an</w:t>
      </w:r>
      <w:r>
        <w:t>d coal tar pitches as large PAH</w:t>
      </w:r>
      <w:r w:rsidRPr="00FC462A">
        <w:t>, Chem</w:t>
      </w:r>
      <w:r>
        <w:t>. Eng. Trans., 57, 775-780</w:t>
      </w:r>
      <w:r w:rsidRPr="00FC462A">
        <w:t xml:space="preserve">. </w:t>
      </w:r>
    </w:p>
    <w:p w:rsidR="00212DD1" w:rsidRPr="00FC462A" w:rsidRDefault="00212DD1" w:rsidP="00CB3B0B">
      <w:pPr>
        <w:pStyle w:val="CETReferencetext"/>
      </w:pPr>
      <w:proofErr w:type="spellStart"/>
      <w:r>
        <w:t>Apicella</w:t>
      </w:r>
      <w:proofErr w:type="spellEnd"/>
      <w:r>
        <w:t xml:space="preserve"> B., </w:t>
      </w:r>
      <w:proofErr w:type="spellStart"/>
      <w:r>
        <w:t>Tregrossi</w:t>
      </w:r>
      <w:proofErr w:type="spellEnd"/>
      <w:r>
        <w:t xml:space="preserve"> A., </w:t>
      </w:r>
      <w:proofErr w:type="spellStart"/>
      <w:r>
        <w:t>Popa</w:t>
      </w:r>
      <w:proofErr w:type="spellEnd"/>
      <w:r w:rsidRPr="00FC462A">
        <w:t xml:space="preserve"> </w:t>
      </w:r>
      <w:r>
        <w:t xml:space="preserve">C, </w:t>
      </w:r>
      <w:proofErr w:type="spellStart"/>
      <w:r w:rsidRPr="00FC462A">
        <w:t>M</w:t>
      </w:r>
      <w:r>
        <w:t>ennella</w:t>
      </w:r>
      <w:proofErr w:type="spellEnd"/>
      <w:r>
        <w:t xml:space="preserve"> V., </w:t>
      </w:r>
      <w:proofErr w:type="spellStart"/>
      <w:r>
        <w:t>Ciajolo</w:t>
      </w:r>
      <w:proofErr w:type="spellEnd"/>
      <w:r>
        <w:t xml:space="preserve"> A., Russo C., </w:t>
      </w:r>
      <w:r w:rsidRPr="00FC462A">
        <w:t>2017</w:t>
      </w:r>
      <w:r>
        <w:t xml:space="preserve">b, </w:t>
      </w:r>
      <w:r w:rsidRPr="00FC462A">
        <w:t xml:space="preserve">Thermal treatment under high-vacuum of tars relevant in </w:t>
      </w:r>
      <w:r>
        <w:t>combustion and material science, Chem. Eng. Trans., 57,</w:t>
      </w:r>
      <w:r w:rsidRPr="00FC462A">
        <w:t xml:space="preserve"> 745-750.</w:t>
      </w:r>
    </w:p>
    <w:p w:rsidR="00212DD1" w:rsidRDefault="00212DD1" w:rsidP="00CB3B0B">
      <w:pPr>
        <w:pStyle w:val="CETReferencetext"/>
        <w:rPr>
          <w:lang w:val="en-US" w:eastAsia="it-IT"/>
        </w:rPr>
      </w:pPr>
      <w:proofErr w:type="spellStart"/>
      <w:r>
        <w:rPr>
          <w:lang w:val="en-US" w:eastAsia="it-IT"/>
        </w:rPr>
        <w:t>Apicella</w:t>
      </w:r>
      <w:proofErr w:type="spellEnd"/>
      <w:r>
        <w:rPr>
          <w:lang w:val="en-US" w:eastAsia="it-IT"/>
        </w:rPr>
        <w:t xml:space="preserve"> B., </w:t>
      </w:r>
      <w:proofErr w:type="spellStart"/>
      <w:r>
        <w:rPr>
          <w:lang w:val="en-US" w:eastAsia="it-IT"/>
        </w:rPr>
        <w:t>Tregrossi</w:t>
      </w:r>
      <w:proofErr w:type="spellEnd"/>
      <w:r>
        <w:rPr>
          <w:lang w:val="en-US" w:eastAsia="it-IT"/>
        </w:rPr>
        <w:t xml:space="preserve"> A., </w:t>
      </w:r>
      <w:proofErr w:type="spellStart"/>
      <w:r>
        <w:rPr>
          <w:lang w:val="en-US" w:eastAsia="it-IT"/>
        </w:rPr>
        <w:t>Popa</w:t>
      </w:r>
      <w:proofErr w:type="spellEnd"/>
      <w:r w:rsidRPr="00020C72">
        <w:rPr>
          <w:lang w:val="en-US" w:eastAsia="it-IT"/>
        </w:rPr>
        <w:t xml:space="preserve"> C., </w:t>
      </w:r>
      <w:proofErr w:type="spellStart"/>
      <w:r w:rsidRPr="00020C72">
        <w:rPr>
          <w:lang w:val="en-US" w:eastAsia="it-IT"/>
        </w:rPr>
        <w:t>Mennel</w:t>
      </w:r>
      <w:r>
        <w:rPr>
          <w:lang w:val="en-US" w:eastAsia="it-IT"/>
        </w:rPr>
        <w:t>la</w:t>
      </w:r>
      <w:proofErr w:type="spellEnd"/>
      <w:r>
        <w:rPr>
          <w:lang w:val="en-US" w:eastAsia="it-IT"/>
        </w:rPr>
        <w:t xml:space="preserve"> V., </w:t>
      </w:r>
      <w:proofErr w:type="spellStart"/>
      <w:r>
        <w:rPr>
          <w:lang w:val="en-US" w:eastAsia="it-IT"/>
        </w:rPr>
        <w:t>Ciajolo</w:t>
      </w:r>
      <w:proofErr w:type="spellEnd"/>
      <w:r>
        <w:rPr>
          <w:lang w:val="en-US" w:eastAsia="it-IT"/>
        </w:rPr>
        <w:t xml:space="preserve"> A., Russo C., </w:t>
      </w:r>
      <w:r w:rsidRPr="00020C72">
        <w:rPr>
          <w:lang w:val="en-US" w:eastAsia="it-IT"/>
        </w:rPr>
        <w:t>2017</w:t>
      </w:r>
      <w:r>
        <w:rPr>
          <w:lang w:val="en-US" w:eastAsia="it-IT"/>
        </w:rPr>
        <w:t xml:space="preserve">c, </w:t>
      </w:r>
      <w:r w:rsidRPr="00020C72">
        <w:rPr>
          <w:lang w:val="en-US" w:eastAsia="it-IT"/>
        </w:rPr>
        <w:t>Study on the separation and thin film deposition of tarry aromatics mixtures (soot extract and naphthalen</w:t>
      </w:r>
      <w:r>
        <w:rPr>
          <w:lang w:val="en-US" w:eastAsia="it-IT"/>
        </w:rPr>
        <w:t xml:space="preserve">e pitch) by high-vacuum heating, Fuel, 201, </w:t>
      </w:r>
      <w:r w:rsidRPr="00020C72">
        <w:rPr>
          <w:lang w:val="en-US" w:eastAsia="it-IT"/>
        </w:rPr>
        <w:t xml:space="preserve">118-123. </w:t>
      </w:r>
    </w:p>
    <w:p w:rsidR="00212DD1" w:rsidRPr="004E7F69" w:rsidRDefault="00212DD1" w:rsidP="00CB3B0B">
      <w:pPr>
        <w:pStyle w:val="CETReferencetext"/>
        <w:rPr>
          <w:lang w:val="en-US"/>
        </w:rPr>
      </w:pPr>
      <w:r w:rsidRPr="004E7F69">
        <w:rPr>
          <w:lang w:val="en-US"/>
        </w:rPr>
        <w:lastRenderedPageBreak/>
        <w:t xml:space="preserve">Di </w:t>
      </w:r>
      <w:proofErr w:type="spellStart"/>
      <w:r w:rsidRPr="004E7F69">
        <w:rPr>
          <w:lang w:val="en-US"/>
        </w:rPr>
        <w:t>Blasi</w:t>
      </w:r>
      <w:proofErr w:type="spellEnd"/>
      <w:r>
        <w:rPr>
          <w:lang w:val="en-US"/>
        </w:rPr>
        <w:t xml:space="preserve"> O., </w:t>
      </w:r>
      <w:proofErr w:type="spellStart"/>
      <w:r w:rsidRPr="004E7F69">
        <w:rPr>
          <w:lang w:val="en-US"/>
        </w:rPr>
        <w:t>Briguglio</w:t>
      </w:r>
      <w:proofErr w:type="spellEnd"/>
      <w:r>
        <w:rPr>
          <w:lang w:val="en-US"/>
        </w:rPr>
        <w:t xml:space="preserve"> N., </w:t>
      </w:r>
      <w:proofErr w:type="spellStart"/>
      <w:r w:rsidRPr="004E7F69">
        <w:rPr>
          <w:lang w:val="en-US"/>
        </w:rPr>
        <w:t>Busacca</w:t>
      </w:r>
      <w:proofErr w:type="spellEnd"/>
      <w:r>
        <w:rPr>
          <w:lang w:val="en-US"/>
        </w:rPr>
        <w:t xml:space="preserve"> C., </w:t>
      </w:r>
      <w:r w:rsidRPr="004E7F69">
        <w:rPr>
          <w:lang w:val="en-US"/>
        </w:rPr>
        <w:t>Ferraro</w:t>
      </w:r>
      <w:r>
        <w:rPr>
          <w:lang w:val="en-US"/>
        </w:rPr>
        <w:t xml:space="preserve"> M., </w:t>
      </w:r>
      <w:proofErr w:type="spellStart"/>
      <w:r w:rsidRPr="004E7F69">
        <w:rPr>
          <w:lang w:val="en-US"/>
        </w:rPr>
        <w:t>Antonucci</w:t>
      </w:r>
      <w:proofErr w:type="spellEnd"/>
      <w:r>
        <w:rPr>
          <w:lang w:val="en-US"/>
        </w:rPr>
        <w:t xml:space="preserve"> V., </w:t>
      </w:r>
      <w:r w:rsidRPr="004E7F69">
        <w:rPr>
          <w:lang w:val="en-US"/>
        </w:rPr>
        <w:t xml:space="preserve">Di </w:t>
      </w:r>
      <w:proofErr w:type="spellStart"/>
      <w:r w:rsidRPr="004E7F69">
        <w:rPr>
          <w:lang w:val="en-US"/>
        </w:rPr>
        <w:t>Blasi</w:t>
      </w:r>
      <w:proofErr w:type="spellEnd"/>
      <w:r>
        <w:rPr>
          <w:lang w:val="en-US"/>
        </w:rPr>
        <w:t xml:space="preserve"> A.</w:t>
      </w:r>
      <w:r w:rsidRPr="004E7F69">
        <w:rPr>
          <w:lang w:val="en-US"/>
        </w:rPr>
        <w:t xml:space="preserve">, </w:t>
      </w:r>
      <w:r>
        <w:rPr>
          <w:lang w:val="en-US"/>
        </w:rPr>
        <w:t xml:space="preserve">2015, </w:t>
      </w:r>
      <w:r w:rsidRPr="004E7F69">
        <w:rPr>
          <w:lang w:val="en-US"/>
        </w:rPr>
        <w:t xml:space="preserve">Electrochemical investigation of </w:t>
      </w:r>
      <w:proofErr w:type="spellStart"/>
      <w:r w:rsidRPr="004E7F69">
        <w:rPr>
          <w:lang w:val="en-US"/>
        </w:rPr>
        <w:t>thermically</w:t>
      </w:r>
      <w:proofErr w:type="spellEnd"/>
      <w:r w:rsidRPr="004E7F69">
        <w:rPr>
          <w:lang w:val="en-US"/>
        </w:rPr>
        <w:t xml:space="preserve"> treated graphene oxides as electrode materials for vanadium redox flow battery</w:t>
      </w:r>
      <w:r>
        <w:rPr>
          <w:lang w:val="en-US"/>
        </w:rPr>
        <w:t>, Applied Energy, 147, 74-81.</w:t>
      </w:r>
    </w:p>
    <w:p w:rsidR="00212DD1" w:rsidRDefault="00212DD1" w:rsidP="00CB3B0B">
      <w:pPr>
        <w:pStyle w:val="CETReferencetext"/>
        <w:rPr>
          <w:lang w:val="en-US"/>
        </w:rPr>
      </w:pPr>
      <w:r>
        <w:rPr>
          <w:lang w:val="en-US"/>
        </w:rPr>
        <w:t xml:space="preserve">Dumont M., </w:t>
      </w:r>
      <w:proofErr w:type="spellStart"/>
      <w:r w:rsidRPr="001B7AB5">
        <w:rPr>
          <w:lang w:val="en-US"/>
        </w:rPr>
        <w:t>Dourges</w:t>
      </w:r>
      <w:proofErr w:type="spellEnd"/>
      <w:r>
        <w:rPr>
          <w:lang w:val="en-US"/>
        </w:rPr>
        <w:t xml:space="preserve"> M.A., </w:t>
      </w:r>
      <w:proofErr w:type="spellStart"/>
      <w:r w:rsidRPr="001B7AB5">
        <w:rPr>
          <w:lang w:val="en-US"/>
        </w:rPr>
        <w:t>Bourrat</w:t>
      </w:r>
      <w:proofErr w:type="spellEnd"/>
      <w:r>
        <w:rPr>
          <w:lang w:val="en-US"/>
        </w:rPr>
        <w:t xml:space="preserve"> X., </w:t>
      </w:r>
      <w:proofErr w:type="spellStart"/>
      <w:r w:rsidRPr="001B7AB5">
        <w:rPr>
          <w:lang w:val="en-US"/>
        </w:rPr>
        <w:t>Pailler</w:t>
      </w:r>
      <w:proofErr w:type="spellEnd"/>
      <w:r>
        <w:rPr>
          <w:lang w:val="en-US"/>
        </w:rPr>
        <w:t xml:space="preserve"> R., </w:t>
      </w:r>
      <w:proofErr w:type="spellStart"/>
      <w:r w:rsidRPr="001B7AB5">
        <w:rPr>
          <w:lang w:val="en-US"/>
        </w:rPr>
        <w:t>Naslain</w:t>
      </w:r>
      <w:proofErr w:type="spellEnd"/>
      <w:r>
        <w:rPr>
          <w:lang w:val="en-US"/>
        </w:rPr>
        <w:t xml:space="preserve"> R., </w:t>
      </w:r>
      <w:proofErr w:type="spellStart"/>
      <w:r w:rsidRPr="001B7AB5">
        <w:rPr>
          <w:lang w:val="en-US"/>
        </w:rPr>
        <w:t>Babot</w:t>
      </w:r>
      <w:proofErr w:type="spellEnd"/>
      <w:r>
        <w:rPr>
          <w:lang w:val="en-US"/>
        </w:rPr>
        <w:t xml:space="preserve"> O., </w:t>
      </w:r>
      <w:proofErr w:type="spellStart"/>
      <w:r w:rsidRPr="001B7AB5">
        <w:rPr>
          <w:lang w:val="en-US"/>
        </w:rPr>
        <w:t>Birot</w:t>
      </w:r>
      <w:proofErr w:type="spellEnd"/>
      <w:r>
        <w:rPr>
          <w:lang w:val="en-US"/>
        </w:rPr>
        <w:t xml:space="preserve"> M., </w:t>
      </w:r>
      <w:proofErr w:type="spellStart"/>
      <w:r w:rsidRPr="001B7AB5">
        <w:rPr>
          <w:lang w:val="en-US"/>
        </w:rPr>
        <w:t>Pillot</w:t>
      </w:r>
      <w:proofErr w:type="spellEnd"/>
      <w:r>
        <w:rPr>
          <w:lang w:val="en-US"/>
        </w:rPr>
        <w:t xml:space="preserve"> J.P.</w:t>
      </w:r>
      <w:r w:rsidRPr="001B7AB5">
        <w:rPr>
          <w:lang w:val="en-US"/>
        </w:rPr>
        <w:t>,</w:t>
      </w:r>
      <w:r>
        <w:rPr>
          <w:lang w:val="en-US"/>
        </w:rPr>
        <w:t xml:space="preserve"> 2005, </w:t>
      </w:r>
      <w:r w:rsidRPr="001B7AB5">
        <w:rPr>
          <w:lang w:val="en-US"/>
        </w:rPr>
        <w:t xml:space="preserve">Carbonization </w:t>
      </w:r>
      <w:proofErr w:type="spellStart"/>
      <w:r w:rsidRPr="001B7AB5">
        <w:rPr>
          <w:lang w:val="en-US"/>
        </w:rPr>
        <w:t>behaviour</w:t>
      </w:r>
      <w:proofErr w:type="spellEnd"/>
      <w:r w:rsidRPr="001B7AB5">
        <w:rPr>
          <w:lang w:val="en-US"/>
        </w:rPr>
        <w:t xml:space="preserve"> of modifi</w:t>
      </w:r>
      <w:r>
        <w:rPr>
          <w:lang w:val="en-US"/>
        </w:rPr>
        <w:t xml:space="preserve">ed synthetic </w:t>
      </w:r>
      <w:proofErr w:type="spellStart"/>
      <w:r>
        <w:rPr>
          <w:lang w:val="en-US"/>
        </w:rPr>
        <w:t>mesophase</w:t>
      </w:r>
      <w:proofErr w:type="spellEnd"/>
      <w:r>
        <w:rPr>
          <w:lang w:val="en-US"/>
        </w:rPr>
        <w:t xml:space="preserve"> pitches, Carbon, 43, 2277-2284.</w:t>
      </w:r>
    </w:p>
    <w:p w:rsidR="00212DD1" w:rsidRDefault="00212DD1" w:rsidP="00CB3B0B">
      <w:pPr>
        <w:pStyle w:val="CETReferencetext"/>
      </w:pPr>
      <w:r w:rsidRPr="00D20610">
        <w:rPr>
          <w:lang w:val="en-US"/>
        </w:rPr>
        <w:t>Ferrari A.C., Robertson J.</w:t>
      </w:r>
      <w:r>
        <w:rPr>
          <w:lang w:val="en-US"/>
        </w:rPr>
        <w:t>, 2000,</w:t>
      </w:r>
      <w:r w:rsidRPr="00D20610">
        <w:rPr>
          <w:lang w:val="en-US"/>
        </w:rPr>
        <w:t xml:space="preserve"> </w:t>
      </w:r>
      <w:r w:rsidRPr="008D3355">
        <w:t xml:space="preserve">Interpretation of Raman spectra of </w:t>
      </w:r>
      <w:r>
        <w:t xml:space="preserve">disordered and amorphous carbon, Phys Rev B, 61, </w:t>
      </w:r>
      <w:r w:rsidRPr="008D3355">
        <w:t>14095–14107.</w:t>
      </w:r>
    </w:p>
    <w:p w:rsidR="00212DD1" w:rsidRPr="00DC4F3B" w:rsidRDefault="00212DD1" w:rsidP="00CB3B0B">
      <w:pPr>
        <w:pStyle w:val="CETReferencetext"/>
      </w:pPr>
      <w:proofErr w:type="spellStart"/>
      <w:r>
        <w:t>Gargiulo</w:t>
      </w:r>
      <w:proofErr w:type="spellEnd"/>
      <w:r>
        <w:t xml:space="preserve"> V., </w:t>
      </w:r>
      <w:proofErr w:type="spellStart"/>
      <w:r>
        <w:t>Apicella</w:t>
      </w:r>
      <w:proofErr w:type="spellEnd"/>
      <w:r>
        <w:t xml:space="preserve"> B., </w:t>
      </w:r>
      <w:proofErr w:type="spellStart"/>
      <w:r>
        <w:t>Alfe</w:t>
      </w:r>
      <w:proofErr w:type="spellEnd"/>
      <w:r>
        <w:t xml:space="preserve">̀ M., Russo C., </w:t>
      </w:r>
      <w:proofErr w:type="spellStart"/>
      <w:r>
        <w:t>Stanzione</w:t>
      </w:r>
      <w:proofErr w:type="spellEnd"/>
      <w:r>
        <w:t xml:space="preserve"> F., </w:t>
      </w:r>
      <w:proofErr w:type="spellStart"/>
      <w:r>
        <w:t>Tregrossi</w:t>
      </w:r>
      <w:proofErr w:type="spellEnd"/>
      <w:r w:rsidRPr="00DC4F3B">
        <w:t xml:space="preserve"> A.,</w:t>
      </w:r>
      <w:r>
        <w:t xml:space="preserve"> </w:t>
      </w:r>
      <w:proofErr w:type="spellStart"/>
      <w:r>
        <w:t>Amoresano</w:t>
      </w:r>
      <w:proofErr w:type="spellEnd"/>
      <w:r w:rsidRPr="00DC4F3B">
        <w:t xml:space="preserve"> A</w:t>
      </w:r>
      <w:r>
        <w:t>., Millan</w:t>
      </w:r>
      <w:r w:rsidRPr="00DC4F3B">
        <w:t xml:space="preserve"> M.,</w:t>
      </w:r>
      <w:r>
        <w:t xml:space="preserve"> </w:t>
      </w:r>
      <w:proofErr w:type="spellStart"/>
      <w:r>
        <w:t>Ciajolo</w:t>
      </w:r>
      <w:proofErr w:type="spellEnd"/>
      <w:r w:rsidRPr="00DC4F3B">
        <w:t xml:space="preserve"> A., </w:t>
      </w:r>
      <w:r>
        <w:t xml:space="preserve">2015, </w:t>
      </w:r>
      <w:r w:rsidRPr="00DC4F3B">
        <w:t>Structural Characterization of Large Polycyclic Aromatic Hydrocarbons. Part 1: The Case of Coal Tar Pitch and Naphthalene-Derived Pitch</w:t>
      </w:r>
      <w:r>
        <w:t xml:space="preserve">, </w:t>
      </w:r>
      <w:r w:rsidRPr="00DC4F3B">
        <w:t>Energy Fuels</w:t>
      </w:r>
      <w:r>
        <w:t xml:space="preserve">, </w:t>
      </w:r>
      <w:r w:rsidRPr="00DC4F3B">
        <w:t>29, 5714−5722.</w:t>
      </w:r>
    </w:p>
    <w:p w:rsidR="00212DD1" w:rsidRPr="00DC4F3B" w:rsidRDefault="00212DD1" w:rsidP="00CB3B0B">
      <w:pPr>
        <w:pStyle w:val="CETReferencetext"/>
      </w:pPr>
      <w:proofErr w:type="spellStart"/>
      <w:r w:rsidRPr="00DC4F3B">
        <w:t>Gargiulo</w:t>
      </w:r>
      <w:proofErr w:type="spellEnd"/>
      <w:r w:rsidRPr="00DC4F3B">
        <w:t xml:space="preserve"> V., </w:t>
      </w:r>
      <w:proofErr w:type="spellStart"/>
      <w:r w:rsidRPr="00DC4F3B">
        <w:t>Apicella</w:t>
      </w:r>
      <w:proofErr w:type="spellEnd"/>
      <w:r w:rsidRPr="00DC4F3B">
        <w:t xml:space="preserve"> B., </w:t>
      </w:r>
      <w:proofErr w:type="spellStart"/>
      <w:r w:rsidRPr="00DC4F3B">
        <w:t>Stanzione</w:t>
      </w:r>
      <w:proofErr w:type="spellEnd"/>
      <w:r w:rsidRPr="00DC4F3B">
        <w:t xml:space="preserve"> F., </w:t>
      </w:r>
      <w:proofErr w:type="spellStart"/>
      <w:r w:rsidRPr="00DC4F3B">
        <w:t>Tregrossi</w:t>
      </w:r>
      <w:proofErr w:type="spellEnd"/>
      <w:r w:rsidRPr="00DC4F3B">
        <w:t xml:space="preserve"> A., Millan M., </w:t>
      </w:r>
      <w:proofErr w:type="spellStart"/>
      <w:r w:rsidRPr="00DC4F3B">
        <w:t>Ciajolo</w:t>
      </w:r>
      <w:proofErr w:type="spellEnd"/>
      <w:r w:rsidRPr="00DC4F3B">
        <w:t xml:space="preserve"> A., Russo C., 2016, Structural Characterization of Large Polycyclic Aromatic Hydrocarbons. Part 2: Solvent-Separated Fractions of Coal Tar Pitch and Naphthalene-Derived Pitch</w:t>
      </w:r>
      <w:r>
        <w:t>, Energy Fuels</w:t>
      </w:r>
      <w:r w:rsidRPr="00DC4F3B">
        <w:t>, 30, 2574−2583</w:t>
      </w:r>
      <w:r>
        <w:t>.</w:t>
      </w:r>
      <w:r w:rsidRPr="00DC4F3B">
        <w:t xml:space="preserve"> </w:t>
      </w:r>
    </w:p>
    <w:p w:rsidR="00212DD1" w:rsidRPr="00B97F7E" w:rsidRDefault="00212DD1" w:rsidP="00CB3B0B">
      <w:pPr>
        <w:pStyle w:val="CETReferencetext"/>
      </w:pPr>
      <w:r w:rsidRPr="00B97F7E">
        <w:t xml:space="preserve">Mochida I., </w:t>
      </w:r>
      <w:proofErr w:type="spellStart"/>
      <w:r w:rsidRPr="00B97F7E">
        <w:t>Fujiura</w:t>
      </w:r>
      <w:proofErr w:type="spellEnd"/>
      <w:r w:rsidRPr="00B97F7E">
        <w:t xml:space="preserve"> R., Kojima T., Sakamoto H., Yoshimura T., 1995, Carbon disc of high density and strength prepared from heat-treated </w:t>
      </w:r>
      <w:proofErr w:type="spellStart"/>
      <w:r w:rsidRPr="00B97F7E">
        <w:t>mesophase</w:t>
      </w:r>
      <w:proofErr w:type="spellEnd"/>
      <w:r w:rsidRPr="00B97F7E">
        <w:t xml:space="preserve"> pitch grains, Carbon, 33, 265−274. </w:t>
      </w:r>
    </w:p>
    <w:p w:rsidR="00212DD1" w:rsidRDefault="00212DD1" w:rsidP="00CB3B0B">
      <w:pPr>
        <w:pStyle w:val="CETReferencetext"/>
      </w:pPr>
      <w:r>
        <w:t>Oberlin A.</w:t>
      </w:r>
      <w:r w:rsidRPr="008D3355">
        <w:t xml:space="preserve">, </w:t>
      </w:r>
      <w:r>
        <w:t>1984, Carbonization and graphitization, Carbon, 22, 521-541.</w:t>
      </w:r>
    </w:p>
    <w:p w:rsidR="00212DD1" w:rsidRPr="008D3355" w:rsidRDefault="00212DD1" w:rsidP="00CB3B0B">
      <w:pPr>
        <w:pStyle w:val="CETReferencetext"/>
      </w:pPr>
      <w:r w:rsidRPr="006A3811">
        <w:t xml:space="preserve">Oberlin A., </w:t>
      </w:r>
      <w:proofErr w:type="spellStart"/>
      <w:r w:rsidRPr="006A3811">
        <w:t>Bonnamy</w:t>
      </w:r>
      <w:proofErr w:type="spellEnd"/>
      <w:r w:rsidRPr="006A3811">
        <w:t xml:space="preserve"> S., </w:t>
      </w:r>
      <w:r>
        <w:t xml:space="preserve">2013, </w:t>
      </w:r>
      <w:r w:rsidRPr="006A3811">
        <w:t>A realistic approach to disordered carbons, in: Chemistry and Physics of Carbon, 31, Marcel Dekker, 1-84.</w:t>
      </w:r>
    </w:p>
    <w:p w:rsidR="00212DD1" w:rsidRPr="00D20610" w:rsidRDefault="00212DD1" w:rsidP="00CB3B0B">
      <w:pPr>
        <w:pStyle w:val="CETReferencetext"/>
        <w:rPr>
          <w:lang w:val="en-US"/>
        </w:rPr>
      </w:pPr>
      <w:r>
        <w:rPr>
          <w:lang w:val="en-US"/>
        </w:rPr>
        <w:t xml:space="preserve">Russo C., </w:t>
      </w:r>
      <w:proofErr w:type="spellStart"/>
      <w:r>
        <w:rPr>
          <w:lang w:val="en-US"/>
        </w:rPr>
        <w:t>Ciajolo</w:t>
      </w:r>
      <w:proofErr w:type="spellEnd"/>
      <w:r>
        <w:rPr>
          <w:lang w:val="en-US"/>
        </w:rPr>
        <w:t xml:space="preserve"> A., 2015, </w:t>
      </w:r>
      <w:r w:rsidRPr="00D20610">
        <w:rPr>
          <w:lang w:val="en-US"/>
        </w:rPr>
        <w:t>Effect of the flame environment on soot nanostructure inferred by Raman spectroscopy at different excitation wavelengths</w:t>
      </w:r>
      <w:r>
        <w:rPr>
          <w:lang w:val="en-US"/>
        </w:rPr>
        <w:t>, Comb. Flame, 162, 2431-2441.</w:t>
      </w:r>
    </w:p>
    <w:p w:rsidR="00212DD1" w:rsidRPr="008D3355" w:rsidRDefault="00212DD1" w:rsidP="00CB3B0B">
      <w:pPr>
        <w:pStyle w:val="CETReferencetext"/>
      </w:pPr>
      <w:proofErr w:type="spellStart"/>
      <w:r>
        <w:t>Senneca</w:t>
      </w:r>
      <w:proofErr w:type="spellEnd"/>
      <w:r>
        <w:t xml:space="preserve"> O., </w:t>
      </w:r>
      <w:proofErr w:type="spellStart"/>
      <w:r>
        <w:t>Allouis</w:t>
      </w:r>
      <w:proofErr w:type="spellEnd"/>
      <w:r>
        <w:t xml:space="preserve"> C., </w:t>
      </w:r>
      <w:proofErr w:type="spellStart"/>
      <w:r>
        <w:t>Chirone</w:t>
      </w:r>
      <w:proofErr w:type="spellEnd"/>
      <w:r>
        <w:t xml:space="preserve"> R., Russo</w:t>
      </w:r>
      <w:r w:rsidRPr="008D3355">
        <w:t xml:space="preserve"> S., </w:t>
      </w:r>
      <w:r>
        <w:t xml:space="preserve">2010, </w:t>
      </w:r>
      <w:r w:rsidRPr="008D3355">
        <w:t xml:space="preserve">Set up of an experimental apparatus for the study of fragmentation of </w:t>
      </w:r>
      <w:r>
        <w:t>solid fuels upon severe heating</w:t>
      </w:r>
      <w:r w:rsidRPr="008D3355">
        <w:t>, Experimenta</w:t>
      </w:r>
      <w:r>
        <w:t>l Thermal and Fluid Science, 34, 366-372</w:t>
      </w:r>
      <w:r w:rsidRPr="008D3355">
        <w:t>.</w:t>
      </w:r>
    </w:p>
    <w:p w:rsidR="00212DD1" w:rsidRPr="00B97F7E" w:rsidRDefault="00212DD1" w:rsidP="00CB3B0B">
      <w:pPr>
        <w:pStyle w:val="CETReferencetext"/>
        <w:rPr>
          <w:lang w:val="en-US"/>
        </w:rPr>
      </w:pPr>
      <w:proofErr w:type="spellStart"/>
      <w:r w:rsidRPr="00923D3B">
        <w:t>Tuinstra</w:t>
      </w:r>
      <w:proofErr w:type="spellEnd"/>
      <w:r>
        <w:t xml:space="preserve"> F., </w:t>
      </w:r>
      <w:r w:rsidRPr="00923D3B">
        <w:t>Koenig</w:t>
      </w:r>
      <w:r>
        <w:t xml:space="preserve"> J.L., 1970,</w:t>
      </w:r>
      <w:r w:rsidRPr="00923D3B">
        <w:t xml:space="preserve"> </w:t>
      </w:r>
      <w:r>
        <w:t>Raman Spectrum of Graphite,</w:t>
      </w:r>
      <w:r w:rsidRPr="006002FD">
        <w:t xml:space="preserve"> </w:t>
      </w:r>
      <w:r w:rsidRPr="00B97F7E">
        <w:rPr>
          <w:lang w:val="en-US"/>
        </w:rPr>
        <w:t xml:space="preserve">J </w:t>
      </w:r>
      <w:proofErr w:type="spellStart"/>
      <w:r w:rsidRPr="00B97F7E">
        <w:rPr>
          <w:lang w:val="en-US"/>
        </w:rPr>
        <w:t>Chem</w:t>
      </w:r>
      <w:proofErr w:type="spellEnd"/>
      <w:r w:rsidRPr="00B97F7E">
        <w:rPr>
          <w:lang w:val="en-US"/>
        </w:rPr>
        <w:t xml:space="preserve"> Phys, 53, 1126–1130.</w:t>
      </w:r>
    </w:p>
    <w:p w:rsidR="00212DD1" w:rsidRDefault="00212DD1" w:rsidP="00CB3B0B">
      <w:pPr>
        <w:pStyle w:val="CETReferencetext"/>
      </w:pPr>
      <w:proofErr w:type="spellStart"/>
      <w:r w:rsidRPr="00B97F7E">
        <w:rPr>
          <w:lang w:val="en-US"/>
        </w:rPr>
        <w:t>Vallerot</w:t>
      </w:r>
      <w:proofErr w:type="spellEnd"/>
      <w:r w:rsidRPr="00B97F7E">
        <w:rPr>
          <w:lang w:val="en-US"/>
        </w:rPr>
        <w:t xml:space="preserve"> J.M., </w:t>
      </w:r>
      <w:proofErr w:type="spellStart"/>
      <w:r w:rsidRPr="00B97F7E">
        <w:rPr>
          <w:lang w:val="en-US"/>
        </w:rPr>
        <w:t>Bourrat</w:t>
      </w:r>
      <w:proofErr w:type="spellEnd"/>
      <w:r w:rsidRPr="00B97F7E">
        <w:rPr>
          <w:lang w:val="en-US"/>
        </w:rPr>
        <w:t xml:space="preserve"> X., </w:t>
      </w:r>
      <w:proofErr w:type="spellStart"/>
      <w:r w:rsidRPr="00B97F7E">
        <w:rPr>
          <w:lang w:val="en-US"/>
        </w:rPr>
        <w:t>Mouchon</w:t>
      </w:r>
      <w:proofErr w:type="spellEnd"/>
      <w:r w:rsidRPr="00B97F7E">
        <w:rPr>
          <w:lang w:val="en-US"/>
        </w:rPr>
        <w:t xml:space="preserve"> A., </w:t>
      </w:r>
      <w:proofErr w:type="spellStart"/>
      <w:r w:rsidRPr="00B97F7E">
        <w:rPr>
          <w:lang w:val="en-US"/>
        </w:rPr>
        <w:t>Chollon</w:t>
      </w:r>
      <w:proofErr w:type="spellEnd"/>
      <w:r w:rsidRPr="00B97F7E">
        <w:rPr>
          <w:lang w:val="en-US"/>
        </w:rPr>
        <w:t xml:space="preserve"> G., 2006, </w:t>
      </w:r>
      <w:r w:rsidRPr="006002FD">
        <w:t xml:space="preserve">Quantitative structural and textural assessment of laminar </w:t>
      </w:r>
      <w:proofErr w:type="spellStart"/>
      <w:r w:rsidRPr="006002FD">
        <w:t>pyrocarbons</w:t>
      </w:r>
      <w:proofErr w:type="spellEnd"/>
      <w:r w:rsidRPr="006002FD">
        <w:t xml:space="preserve"> through Raman spectroscopy, electron diffraction and few other tech</w:t>
      </w:r>
      <w:r>
        <w:t xml:space="preserve">niques, Carbon, 44, </w:t>
      </w:r>
      <w:r w:rsidRPr="006002FD">
        <w:t>1833–1844.</w:t>
      </w:r>
    </w:p>
    <w:p w:rsidR="00212DD1" w:rsidRPr="008D3355" w:rsidRDefault="00212DD1" w:rsidP="00CB3B0B">
      <w:pPr>
        <w:pStyle w:val="CETReferencetext"/>
      </w:pPr>
      <w:r>
        <w:t>Wang</w:t>
      </w:r>
      <w:r w:rsidRPr="008D3355">
        <w:t xml:space="preserve"> H.</w:t>
      </w:r>
      <w:r>
        <w:t xml:space="preserve">, </w:t>
      </w:r>
      <w:r w:rsidRPr="008D3355">
        <w:t>201</w:t>
      </w:r>
      <w:r>
        <w:t>1</w:t>
      </w:r>
      <w:r w:rsidRPr="008D3355">
        <w:t xml:space="preserve">, </w:t>
      </w:r>
      <w:r w:rsidRPr="00BA1E44">
        <w:t>Formation of nascent soot and other condensed-phase materials in flames</w:t>
      </w:r>
      <w:r>
        <w:t>, Proc. Combust. Inst., 33</w:t>
      </w:r>
      <w:r w:rsidRPr="008D3355">
        <w:t>, 41–67.</w:t>
      </w:r>
    </w:p>
    <w:p w:rsidR="00212DD1" w:rsidRDefault="00212DD1" w:rsidP="00CB3B0B">
      <w:pPr>
        <w:pStyle w:val="CETReferencetext"/>
      </w:pPr>
      <w:bookmarkStart w:id="0" w:name="_GoBack"/>
      <w:bookmarkEnd w:id="0"/>
    </w:p>
    <w:sectPr w:rsidR="00212DD1"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446" w:rsidRDefault="00F32446" w:rsidP="004F5E36">
      <w:r>
        <w:separator/>
      </w:r>
    </w:p>
  </w:endnote>
  <w:endnote w:type="continuationSeparator" w:id="0">
    <w:p w:rsidR="00F32446" w:rsidRDefault="00F3244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446" w:rsidRDefault="00F32446" w:rsidP="004F5E36">
      <w:r>
        <w:separator/>
      </w:r>
    </w:p>
  </w:footnote>
  <w:footnote w:type="continuationSeparator" w:id="0">
    <w:p w:rsidR="00F32446" w:rsidRDefault="00F32446"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F40"/>
    <w:rsid w:val="000117CB"/>
    <w:rsid w:val="0003148D"/>
    <w:rsid w:val="00047D7F"/>
    <w:rsid w:val="00051566"/>
    <w:rsid w:val="00062A9A"/>
    <w:rsid w:val="00065058"/>
    <w:rsid w:val="00086C39"/>
    <w:rsid w:val="000A03B2"/>
    <w:rsid w:val="000D34BE"/>
    <w:rsid w:val="000E102F"/>
    <w:rsid w:val="000E36F1"/>
    <w:rsid w:val="000E3A73"/>
    <w:rsid w:val="000E414A"/>
    <w:rsid w:val="000F093C"/>
    <w:rsid w:val="000F16BD"/>
    <w:rsid w:val="000F787B"/>
    <w:rsid w:val="0012091F"/>
    <w:rsid w:val="00126BC2"/>
    <w:rsid w:val="001308B6"/>
    <w:rsid w:val="0013121F"/>
    <w:rsid w:val="00131FAB"/>
    <w:rsid w:val="00131FE6"/>
    <w:rsid w:val="0013263F"/>
    <w:rsid w:val="00134DE4"/>
    <w:rsid w:val="0014034D"/>
    <w:rsid w:val="0014418B"/>
    <w:rsid w:val="00150E59"/>
    <w:rsid w:val="00152DE3"/>
    <w:rsid w:val="00164CF9"/>
    <w:rsid w:val="00184AD6"/>
    <w:rsid w:val="001B0349"/>
    <w:rsid w:val="001B65C1"/>
    <w:rsid w:val="001C684B"/>
    <w:rsid w:val="001D53FC"/>
    <w:rsid w:val="001F42A5"/>
    <w:rsid w:val="001F7B9D"/>
    <w:rsid w:val="00212DD1"/>
    <w:rsid w:val="002224B4"/>
    <w:rsid w:val="00233419"/>
    <w:rsid w:val="002447EF"/>
    <w:rsid w:val="00251550"/>
    <w:rsid w:val="00263B05"/>
    <w:rsid w:val="0027221A"/>
    <w:rsid w:val="00275B61"/>
    <w:rsid w:val="00282656"/>
    <w:rsid w:val="00296B83"/>
    <w:rsid w:val="002A490C"/>
    <w:rsid w:val="002B78CE"/>
    <w:rsid w:val="002C2FB6"/>
    <w:rsid w:val="003009B7"/>
    <w:rsid w:val="00300E56"/>
    <w:rsid w:val="0030469C"/>
    <w:rsid w:val="00321CA6"/>
    <w:rsid w:val="00334C09"/>
    <w:rsid w:val="003365E3"/>
    <w:rsid w:val="003723D4"/>
    <w:rsid w:val="00384CC8"/>
    <w:rsid w:val="003871FD"/>
    <w:rsid w:val="003A1E30"/>
    <w:rsid w:val="003A7D1C"/>
    <w:rsid w:val="003B304B"/>
    <w:rsid w:val="003B3146"/>
    <w:rsid w:val="003B60F3"/>
    <w:rsid w:val="003F015E"/>
    <w:rsid w:val="00400414"/>
    <w:rsid w:val="0041446B"/>
    <w:rsid w:val="0044329C"/>
    <w:rsid w:val="004577FE"/>
    <w:rsid w:val="00457B9C"/>
    <w:rsid w:val="0046164A"/>
    <w:rsid w:val="004628D2"/>
    <w:rsid w:val="00462DCD"/>
    <w:rsid w:val="004648AD"/>
    <w:rsid w:val="004703A9"/>
    <w:rsid w:val="004760DE"/>
    <w:rsid w:val="004A004E"/>
    <w:rsid w:val="004A24CF"/>
    <w:rsid w:val="004B6721"/>
    <w:rsid w:val="004C3D1D"/>
    <w:rsid w:val="004C7913"/>
    <w:rsid w:val="004E4DD6"/>
    <w:rsid w:val="004F5E36"/>
    <w:rsid w:val="00507B47"/>
    <w:rsid w:val="00507CC9"/>
    <w:rsid w:val="005119A5"/>
    <w:rsid w:val="005278B7"/>
    <w:rsid w:val="00532016"/>
    <w:rsid w:val="005346C8"/>
    <w:rsid w:val="00543E7D"/>
    <w:rsid w:val="00547A68"/>
    <w:rsid w:val="005531C9"/>
    <w:rsid w:val="005B2110"/>
    <w:rsid w:val="005B61E6"/>
    <w:rsid w:val="005C77E1"/>
    <w:rsid w:val="005D6A2F"/>
    <w:rsid w:val="005E1A82"/>
    <w:rsid w:val="005E794C"/>
    <w:rsid w:val="005F0A28"/>
    <w:rsid w:val="005F0E5E"/>
    <w:rsid w:val="00600535"/>
    <w:rsid w:val="00610CD6"/>
    <w:rsid w:val="00620DEE"/>
    <w:rsid w:val="00621F92"/>
    <w:rsid w:val="00625639"/>
    <w:rsid w:val="00631B33"/>
    <w:rsid w:val="0064184D"/>
    <w:rsid w:val="006422CC"/>
    <w:rsid w:val="00660E3E"/>
    <w:rsid w:val="00662E74"/>
    <w:rsid w:val="00680C23"/>
    <w:rsid w:val="00693766"/>
    <w:rsid w:val="006A3281"/>
    <w:rsid w:val="006B4888"/>
    <w:rsid w:val="006C2E45"/>
    <w:rsid w:val="006C359C"/>
    <w:rsid w:val="006C5579"/>
    <w:rsid w:val="006E737D"/>
    <w:rsid w:val="0070195D"/>
    <w:rsid w:val="00720A24"/>
    <w:rsid w:val="00732386"/>
    <w:rsid w:val="007447F3"/>
    <w:rsid w:val="0075499F"/>
    <w:rsid w:val="007661C8"/>
    <w:rsid w:val="0077098D"/>
    <w:rsid w:val="007931FA"/>
    <w:rsid w:val="007A05FA"/>
    <w:rsid w:val="007A7BBA"/>
    <w:rsid w:val="007B0C50"/>
    <w:rsid w:val="007C1A43"/>
    <w:rsid w:val="007E1DC6"/>
    <w:rsid w:val="00813288"/>
    <w:rsid w:val="008168FC"/>
    <w:rsid w:val="00830996"/>
    <w:rsid w:val="008345F1"/>
    <w:rsid w:val="008531D2"/>
    <w:rsid w:val="00865B07"/>
    <w:rsid w:val="008667EA"/>
    <w:rsid w:val="0087637F"/>
    <w:rsid w:val="008904B9"/>
    <w:rsid w:val="00892AD5"/>
    <w:rsid w:val="008A1512"/>
    <w:rsid w:val="008D32B9"/>
    <w:rsid w:val="008D433B"/>
    <w:rsid w:val="008E566E"/>
    <w:rsid w:val="0090161A"/>
    <w:rsid w:val="00901EB6"/>
    <w:rsid w:val="00904C62"/>
    <w:rsid w:val="00924DAC"/>
    <w:rsid w:val="00927058"/>
    <w:rsid w:val="009450CE"/>
    <w:rsid w:val="00947179"/>
    <w:rsid w:val="0095164B"/>
    <w:rsid w:val="00954090"/>
    <w:rsid w:val="009573E7"/>
    <w:rsid w:val="00963E05"/>
    <w:rsid w:val="00967D54"/>
    <w:rsid w:val="00996483"/>
    <w:rsid w:val="00996F5A"/>
    <w:rsid w:val="009A0A3E"/>
    <w:rsid w:val="009B041A"/>
    <w:rsid w:val="009C7C86"/>
    <w:rsid w:val="009D2FF7"/>
    <w:rsid w:val="009E7884"/>
    <w:rsid w:val="009E788A"/>
    <w:rsid w:val="009F0E08"/>
    <w:rsid w:val="00A1763D"/>
    <w:rsid w:val="00A17CEC"/>
    <w:rsid w:val="00A27EF0"/>
    <w:rsid w:val="00A50B20"/>
    <w:rsid w:val="00A51390"/>
    <w:rsid w:val="00A60D13"/>
    <w:rsid w:val="00A72745"/>
    <w:rsid w:val="00A76EFC"/>
    <w:rsid w:val="00A91010"/>
    <w:rsid w:val="00A97F29"/>
    <w:rsid w:val="00AA702E"/>
    <w:rsid w:val="00AB0964"/>
    <w:rsid w:val="00AB5011"/>
    <w:rsid w:val="00AC7368"/>
    <w:rsid w:val="00AD16B9"/>
    <w:rsid w:val="00AE377D"/>
    <w:rsid w:val="00B17FBD"/>
    <w:rsid w:val="00B315A6"/>
    <w:rsid w:val="00B31813"/>
    <w:rsid w:val="00B33365"/>
    <w:rsid w:val="00B57B36"/>
    <w:rsid w:val="00B8686D"/>
    <w:rsid w:val="00BC30C9"/>
    <w:rsid w:val="00BE3E58"/>
    <w:rsid w:val="00C01616"/>
    <w:rsid w:val="00C0162B"/>
    <w:rsid w:val="00C345B1"/>
    <w:rsid w:val="00C40142"/>
    <w:rsid w:val="00C57182"/>
    <w:rsid w:val="00C57863"/>
    <w:rsid w:val="00C655FD"/>
    <w:rsid w:val="00C870A8"/>
    <w:rsid w:val="00C94434"/>
    <w:rsid w:val="00CA0D75"/>
    <w:rsid w:val="00CA1C95"/>
    <w:rsid w:val="00CA5A9C"/>
    <w:rsid w:val="00CB3B0B"/>
    <w:rsid w:val="00CD3517"/>
    <w:rsid w:val="00CD5FE2"/>
    <w:rsid w:val="00CE7C68"/>
    <w:rsid w:val="00D02B4C"/>
    <w:rsid w:val="00D040C4"/>
    <w:rsid w:val="00D57C84"/>
    <w:rsid w:val="00D6057D"/>
    <w:rsid w:val="00D84576"/>
    <w:rsid w:val="00DA1399"/>
    <w:rsid w:val="00DA24C6"/>
    <w:rsid w:val="00DA4D7B"/>
    <w:rsid w:val="00DE264A"/>
    <w:rsid w:val="00E02D18"/>
    <w:rsid w:val="00E041E7"/>
    <w:rsid w:val="00E23CA1"/>
    <w:rsid w:val="00E409A8"/>
    <w:rsid w:val="00E50C12"/>
    <w:rsid w:val="00E65B91"/>
    <w:rsid w:val="00E7209D"/>
    <w:rsid w:val="00E77223"/>
    <w:rsid w:val="00E8528B"/>
    <w:rsid w:val="00E85B94"/>
    <w:rsid w:val="00E978D0"/>
    <w:rsid w:val="00EA4613"/>
    <w:rsid w:val="00EA7F91"/>
    <w:rsid w:val="00EB1523"/>
    <w:rsid w:val="00EC0E49"/>
    <w:rsid w:val="00ED5F33"/>
    <w:rsid w:val="00EE0131"/>
    <w:rsid w:val="00F155B2"/>
    <w:rsid w:val="00F30C64"/>
    <w:rsid w:val="00F32446"/>
    <w:rsid w:val="00F32CDB"/>
    <w:rsid w:val="00F63A70"/>
    <w:rsid w:val="00FA21D0"/>
    <w:rsid w:val="00FA5F5F"/>
    <w:rsid w:val="00FB730C"/>
    <w:rsid w:val="00FC2695"/>
    <w:rsid w:val="00FC3E03"/>
    <w:rsid w:val="00FC3FC1"/>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uiPriority w:val="99"/>
    <w:qFormat/>
    <w:rsid w:val="000E414A"/>
    <w:pPr>
      <w:keepNext/>
      <w:suppressAutoHyphens/>
      <w:spacing w:after="120"/>
    </w:pPr>
    <w:rPr>
      <w:noProof/>
      <w:sz w:val="24"/>
      <w:lang w:val="en-GB"/>
    </w:rPr>
  </w:style>
  <w:style w:type="paragraph" w:customStyle="1" w:styleId="CETTitle">
    <w:name w:val="CET Title"/>
    <w:next w:val="CETAuthors"/>
    <w:link w:val="CETTitleCarattere"/>
    <w:uiPriority w:val="99"/>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uiPriority w:val="99"/>
    <w:rsid w:val="009E788A"/>
    <w:rPr>
      <w:rFonts w:ascii="Arial" w:eastAsia="Times New Roman" w:hAnsi="Arial" w:cs="Times New Roman"/>
      <w:noProof/>
      <w:sz w:val="24"/>
      <w:szCs w:val="20"/>
      <w:lang w:val="en-GB"/>
    </w:rPr>
  </w:style>
  <w:style w:type="character" w:customStyle="1" w:styleId="CETTitleCarattere">
    <w:name w:val="CET Title Carattere"/>
    <w:link w:val="CETTitle"/>
    <w:uiPriority w:val="99"/>
    <w:rsid w:val="00FB730C"/>
    <w:rPr>
      <w:rFonts w:ascii="Arial" w:eastAsia="Times New Roman" w:hAnsi="Arial" w:cs="Times New Roman"/>
      <w:sz w:val="32"/>
      <w:szCs w:val="20"/>
      <w:lang w:val="en-GB"/>
    </w:rPr>
  </w:style>
  <w:style w:type="paragraph" w:customStyle="1" w:styleId="CETHeading1">
    <w:name w:val="CET Heading1"/>
    <w:next w:val="CETBodytext"/>
    <w:uiPriority w:val="99"/>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uiPriority w:val="99"/>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uiPriority w:val="99"/>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uiPriority w:val="99"/>
    <w:rsid w:val="000E414A"/>
    <w:rPr>
      <w:rFonts w:ascii="Arial" w:eastAsia="Times New Roman" w:hAnsi="Arial" w:cs="Times New Roman"/>
      <w:sz w:val="18"/>
      <w:szCs w:val="20"/>
      <w:lang w:val="en-US"/>
    </w:rPr>
  </w:style>
  <w:style w:type="paragraph" w:customStyle="1" w:styleId="CETReference">
    <w:name w:val="CET Reference"/>
    <w:uiPriority w:val="99"/>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uiPriority w:val="99"/>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uiPriority w:val="99"/>
    <w:rsid w:val="00FA5F5F"/>
    <w:rPr>
      <w:rFonts w:ascii="Arial" w:eastAsia="Times New Roman" w:hAnsi="Arial" w:cs="Times New Roman"/>
      <w:b/>
      <w:sz w:val="18"/>
      <w:szCs w:val="20"/>
      <w:lang w:val="en-US"/>
    </w:rPr>
  </w:style>
  <w:style w:type="character" w:customStyle="1" w:styleId="CETCaptionCarattere">
    <w:name w:val="CET Caption Carattere"/>
    <w:link w:val="CETCaption"/>
    <w:uiPriority w:val="99"/>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uiPriority w:val="99"/>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uiPriority w:val="99"/>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uiPriority w:val="99"/>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uiPriority w:val="99"/>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uiPriority w:val="99"/>
    <w:qFormat/>
    <w:rsid w:val="008531D2"/>
    <w:pPr>
      <w:numPr>
        <w:ilvl w:val="0"/>
        <w:numId w:val="0"/>
      </w:numPr>
      <w:spacing w:after="0"/>
    </w:pPr>
  </w:style>
  <w:style w:type="character" w:customStyle="1" w:styleId="CETHeadingxxChar">
    <w:name w:val="CET Headingxx Char"/>
    <w:basedOn w:val="CETheadingxCarattere"/>
    <w:link w:val="CETHeadingxx"/>
    <w:uiPriority w:val="99"/>
    <w:rsid w:val="008531D2"/>
    <w:rPr>
      <w:rFonts w:ascii="Arial" w:eastAsia="Times New Roman" w:hAnsi="Arial" w:cs="Times New Roman"/>
      <w:b/>
      <w:sz w:val="18"/>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EE119-1A86-4B4A-AD83-1AA9CA156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2750</Words>
  <Characters>15676</Characters>
  <Application>Microsoft Office Word</Application>
  <DocSecurity>0</DocSecurity>
  <Lines>130</Lines>
  <Paragraphs>36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3</cp:revision>
  <cp:lastPrinted>2015-05-12T18:31:00Z</cp:lastPrinted>
  <dcterms:created xsi:type="dcterms:W3CDTF">2019-04-01T14:56:00Z</dcterms:created>
  <dcterms:modified xsi:type="dcterms:W3CDTF">2019-04-01T15:01:00Z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